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9ADB" w14:textId="77777777" w:rsidR="00BE34E4" w:rsidRDefault="00BE34E4" w:rsidP="00BE34E4">
      <w:pPr>
        <w:jc w:val="center"/>
        <w:rPr>
          <w:b/>
          <w:bCs/>
        </w:rPr>
      </w:pPr>
      <w:bookmarkStart w:id="0" w:name="_GoBack"/>
      <w:bookmarkEnd w:id="0"/>
      <w:r>
        <w:rPr>
          <w:b/>
          <w:bCs/>
        </w:rPr>
        <w:t>Supporting Statement for a Request for OMB Review under</w:t>
      </w:r>
    </w:p>
    <w:p w14:paraId="27F89635" w14:textId="77777777" w:rsidR="00BE34E4" w:rsidRDefault="00BE34E4" w:rsidP="00BE34E4">
      <w:pPr>
        <w:jc w:val="center"/>
        <w:rPr>
          <w:b/>
          <w:bCs/>
        </w:rPr>
      </w:pPr>
      <w:r>
        <w:rPr>
          <w:b/>
          <w:bCs/>
        </w:rPr>
        <w:t>the Paperwork Reduction Act</w:t>
      </w:r>
    </w:p>
    <w:p w14:paraId="06A73025" w14:textId="77777777" w:rsidR="00BE34E4" w:rsidRDefault="00BE34E4" w:rsidP="00BE34E4">
      <w:pPr>
        <w:rPr>
          <w:b/>
          <w:bCs/>
        </w:rPr>
      </w:pPr>
    </w:p>
    <w:p w14:paraId="56EEBA74" w14:textId="77777777" w:rsidR="00BE34E4" w:rsidRPr="008B55AB" w:rsidRDefault="00BE34E4" w:rsidP="00BE34E4">
      <w:pPr>
        <w:pStyle w:val="Heading1"/>
        <w:numPr>
          <w:ilvl w:val="0"/>
          <w:numId w:val="0"/>
        </w:numPr>
        <w:ind w:left="720" w:hanging="720"/>
        <w:rPr>
          <w:b/>
        </w:rPr>
      </w:pPr>
      <w:r>
        <w:rPr>
          <w:b/>
        </w:rPr>
        <w:t>1.</w:t>
      </w:r>
      <w:r>
        <w:rPr>
          <w:b/>
        </w:rPr>
        <w:tab/>
      </w:r>
      <w:r w:rsidRPr="008B55AB">
        <w:rPr>
          <w:b/>
        </w:rPr>
        <w:t>IDENTIFICATION OF THE INFORMATION COLLECTION</w:t>
      </w:r>
    </w:p>
    <w:p w14:paraId="1F73EB21" w14:textId="77777777" w:rsidR="00BE34E4" w:rsidRDefault="00BE34E4" w:rsidP="00BE34E4">
      <w:pPr>
        <w:jc w:val="both"/>
        <w:rPr>
          <w:b/>
          <w:bCs/>
        </w:rPr>
      </w:pPr>
    </w:p>
    <w:p w14:paraId="3D10158C"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bCs/>
        </w:rPr>
      </w:pPr>
      <w:r>
        <w:rPr>
          <w:b/>
          <w:bCs/>
        </w:rPr>
        <w:t>1(a)</w:t>
      </w:r>
      <w:r>
        <w:rPr>
          <w:b/>
          <w:bCs/>
        </w:rPr>
        <w:tab/>
        <w:t>Title and Number of the Information Collection</w:t>
      </w:r>
    </w:p>
    <w:p w14:paraId="2D177D6B" w14:textId="77777777" w:rsidR="00BE34E4" w:rsidRDefault="00BE34E4" w:rsidP="00BE34E4">
      <w:pPr>
        <w:jc w:val="both"/>
        <w:rPr>
          <w:b/>
          <w:bCs/>
        </w:rPr>
      </w:pPr>
    </w:p>
    <w:p w14:paraId="79333860"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b/>
          <w:bCs/>
        </w:rPr>
      </w:pPr>
      <w:r>
        <w:rPr>
          <w:b/>
          <w:bCs/>
        </w:rPr>
        <w:t>Title:</w:t>
      </w:r>
      <w:r>
        <w:rPr>
          <w:b/>
          <w:bCs/>
        </w:rPr>
        <w:tab/>
        <w:t>TSCA Section 5(a)(2) Significant New Use Rules for Existing Chemicals</w:t>
      </w:r>
    </w:p>
    <w:p w14:paraId="3D06B828" w14:textId="77777777" w:rsidR="00BE34E4" w:rsidRDefault="00BE34E4" w:rsidP="00BE34E4">
      <w:pPr>
        <w:rPr>
          <w:b/>
          <w:bCs/>
        </w:rPr>
      </w:pPr>
    </w:p>
    <w:p w14:paraId="45D3A4FB" w14:textId="14830EFA"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rPr>
          <w:b/>
          <w:bCs/>
        </w:rPr>
      </w:pPr>
      <w:r>
        <w:rPr>
          <w:b/>
          <w:bCs/>
        </w:rPr>
        <w:t>EPA ICR No.:</w:t>
      </w:r>
      <w:r w:rsidR="00721FE6">
        <w:rPr>
          <w:b/>
          <w:bCs/>
        </w:rPr>
        <w:t xml:space="preserve">  </w:t>
      </w:r>
      <w:r>
        <w:rPr>
          <w:b/>
          <w:bCs/>
        </w:rPr>
        <w:t>1188.13</w:t>
      </w:r>
      <w:r>
        <w:rPr>
          <w:b/>
          <w:bCs/>
        </w:rPr>
        <w:tab/>
        <w:t>OMB Control No.:</w:t>
      </w:r>
      <w:r w:rsidR="00721FE6">
        <w:rPr>
          <w:b/>
          <w:bCs/>
        </w:rPr>
        <w:t xml:space="preserve">  </w:t>
      </w:r>
      <w:r>
        <w:rPr>
          <w:b/>
          <w:bCs/>
        </w:rPr>
        <w:t>2070</w:t>
      </w:r>
      <w:r>
        <w:rPr>
          <w:b/>
          <w:bCs/>
        </w:rPr>
        <w:noBreakHyphen/>
        <w:t>0038</w:t>
      </w:r>
    </w:p>
    <w:p w14:paraId="636D11D7"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rPr>
          <w:b/>
          <w:bCs/>
        </w:rPr>
      </w:pPr>
    </w:p>
    <w:p w14:paraId="6A524B15"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2880"/>
        <w:rPr>
          <w:b/>
          <w:bCs/>
        </w:rPr>
      </w:pPr>
      <w:r>
        <w:rPr>
          <w:b/>
          <w:bCs/>
        </w:rPr>
        <w:t xml:space="preserve">Docket ID No. </w:t>
      </w:r>
      <w:r w:rsidRPr="009F79A7">
        <w:rPr>
          <w:bCs/>
        </w:rPr>
        <w:t>EPA-HQ-OPPT-2015-0273</w:t>
      </w:r>
    </w:p>
    <w:p w14:paraId="721746A2" w14:textId="77777777" w:rsidR="00BE34E4" w:rsidRDefault="00BE34E4" w:rsidP="00BE34E4">
      <w:pPr>
        <w:rPr>
          <w:b/>
          <w:bCs/>
        </w:rPr>
      </w:pPr>
    </w:p>
    <w:p w14:paraId="01FDA52C"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1(b)</w:t>
      </w:r>
      <w:r>
        <w:rPr>
          <w:b/>
          <w:bCs/>
        </w:rPr>
        <w:tab/>
        <w:t>Short Characterization</w:t>
      </w:r>
    </w:p>
    <w:p w14:paraId="7AB6473F" w14:textId="77777777" w:rsidR="00BE34E4" w:rsidRDefault="00BE34E4" w:rsidP="00BE34E4"/>
    <w:p w14:paraId="569D0F45" w14:textId="07B52428" w:rsidR="00BE34E4" w:rsidRDefault="00BE34E4" w:rsidP="007B1B89">
      <w:pPr>
        <w:ind w:firstLine="720"/>
      </w:pPr>
      <w:r>
        <w:t xml:space="preserve">Section 5 of the Toxic Substances Control Act (TSCA), </w:t>
      </w:r>
      <w:r w:rsidR="002F6A76">
        <w:t>as amended by the Frank R. Lautenberg Chemical Safety for the 21</w:t>
      </w:r>
      <w:r w:rsidR="002F6A76" w:rsidRPr="00283719">
        <w:rPr>
          <w:vertAlign w:val="superscript"/>
        </w:rPr>
        <w:t>st</w:t>
      </w:r>
      <w:r w:rsidR="002F6A76">
        <w:t xml:space="preserve"> Century Act </w:t>
      </w:r>
      <w:r w:rsidR="00155697">
        <w:t>(</w:t>
      </w:r>
      <w:r>
        <w:t>15 U.S.C. 2604</w:t>
      </w:r>
      <w:r w:rsidR="00155697">
        <w:t>,</w:t>
      </w:r>
      <w:r>
        <w:t xml:space="preserve"> see </w:t>
      </w:r>
      <w:r w:rsidRPr="00810628">
        <w:t>Attachment 1</w:t>
      </w:r>
      <w:r>
        <w:t>), authorizes EPA to determine that a use of a chemical substance is a “significant new use.”</w:t>
      </w:r>
      <w:r w:rsidR="00721FE6">
        <w:t xml:space="preserve"> </w:t>
      </w:r>
      <w:r>
        <w:t>EPA must make this determination by rule after considering all relevant factors, including those listed in TSCA section 5(a)(2).</w:t>
      </w:r>
      <w:r w:rsidR="00721FE6">
        <w:t xml:space="preserve"> </w:t>
      </w:r>
      <w:r>
        <w:t>Once EPA determines that a use of a chemical substance is a significant new use</w:t>
      </w:r>
      <w:r w:rsidR="00DF168F">
        <w:t xml:space="preserve"> via issuance of  a Significant New Use Rule (SNUR)</w:t>
      </w:r>
      <w:r>
        <w:t>, TSCA section 5(a)(1)(B) requires persons to submit a notice to EPA at least 90 days before they manufacture</w:t>
      </w:r>
      <w:r w:rsidR="005C45E4">
        <w:t xml:space="preserve"> (including</w:t>
      </w:r>
      <w:r>
        <w:t xml:space="preserve"> import</w:t>
      </w:r>
      <w:r w:rsidR="005C45E4">
        <w:t>)</w:t>
      </w:r>
      <w:r w:rsidR="007B1B89">
        <w:t xml:space="preserve"> </w:t>
      </w:r>
      <w:r>
        <w:t>or process the substance for that use</w:t>
      </w:r>
      <w:r w:rsidR="008A3F54">
        <w:t>. EPA must review the notice, make an affirmative determination on the safety of the significant new use of the existing chemical substance</w:t>
      </w:r>
      <w:r w:rsidR="00653E13">
        <w:t xml:space="preserve"> under TSCA section 5(a)(3)</w:t>
      </w:r>
      <w:r w:rsidR="008A3F54">
        <w:t xml:space="preserve">, and, if appropriate, </w:t>
      </w:r>
      <w:r w:rsidR="009E3AC0">
        <w:t>take</w:t>
      </w:r>
      <w:r w:rsidR="007E43D7">
        <w:t xml:space="preserve"> action </w:t>
      </w:r>
      <w:r w:rsidR="006C707E">
        <w:t xml:space="preserve">under TSCA section 5(e) or 5(f) </w:t>
      </w:r>
      <w:r w:rsidR="007E43D7">
        <w:t>to</w:t>
      </w:r>
      <w:r w:rsidR="008A3F54">
        <w:t xml:space="preserve"> address any unreasonable risks </w:t>
      </w:r>
      <w:r w:rsidR="007E43D7">
        <w:t xml:space="preserve">that have been identified </w:t>
      </w:r>
      <w:r w:rsidR="008A3F54">
        <w:t xml:space="preserve">before the new use </w:t>
      </w:r>
      <w:r w:rsidR="002624CF">
        <w:t>may</w:t>
      </w:r>
      <w:r w:rsidR="008A3F54">
        <w:t xml:space="preserve"> occur.</w:t>
      </w:r>
      <w:r w:rsidR="00721FE6">
        <w:t xml:space="preserve"> </w:t>
      </w:r>
      <w:r>
        <w:t>Regulations implementing significant new uses appear at 40 CFR part 721 (</w:t>
      </w:r>
      <w:r w:rsidRPr="00810628">
        <w:t>see Attachment 2</w:t>
      </w:r>
      <w:r>
        <w:t>).</w:t>
      </w:r>
    </w:p>
    <w:p w14:paraId="0CCA5A85" w14:textId="77777777" w:rsidR="009E13D1" w:rsidRDefault="009E13D1" w:rsidP="007B1B89">
      <w:pPr>
        <w:ind w:firstLine="720"/>
      </w:pPr>
    </w:p>
    <w:p w14:paraId="0C02B73B" w14:textId="6735DC99" w:rsidR="00BE34E4" w:rsidRDefault="00BE34E4" w:rsidP="00F76614">
      <w:r>
        <w:t>Persons who intend to export a substance identified in a proposed or final SNUR are subject to the export notification provisions of TSCA section 12(b)</w:t>
      </w:r>
      <w:r w:rsidR="002624CF">
        <w:t>, and</w:t>
      </w:r>
      <w:r>
        <w:t xml:space="preserve"> regulations that interpret TSCA section 12(b) appear at 40 CFR part 707.</w:t>
      </w:r>
    </w:p>
    <w:p w14:paraId="5F3C03A9" w14:textId="77777777" w:rsidR="00BE34E4" w:rsidRDefault="00BE34E4" w:rsidP="00BE34E4"/>
    <w:p w14:paraId="1C655133" w14:textId="77777777" w:rsidR="00BE34E4" w:rsidRDefault="00BE34E4" w:rsidP="00BE34E4"/>
    <w:p w14:paraId="75E8CD18" w14:textId="77777777" w:rsidR="00BE34E4" w:rsidRPr="008B55AB" w:rsidRDefault="00BE34E4" w:rsidP="00BE34E4">
      <w:pPr>
        <w:pStyle w:val="Heading1"/>
        <w:numPr>
          <w:ilvl w:val="0"/>
          <w:numId w:val="0"/>
        </w:numPr>
        <w:ind w:left="720" w:hanging="720"/>
        <w:rPr>
          <w:b/>
        </w:rPr>
      </w:pPr>
      <w:r>
        <w:rPr>
          <w:b/>
        </w:rPr>
        <w:t>2.</w:t>
      </w:r>
      <w:r>
        <w:rPr>
          <w:b/>
        </w:rPr>
        <w:tab/>
      </w:r>
      <w:r w:rsidRPr="008B55AB">
        <w:rPr>
          <w:b/>
        </w:rPr>
        <w:t>NEED FOR AND USE OF THE COLLECTION</w:t>
      </w:r>
    </w:p>
    <w:p w14:paraId="7F10FB10" w14:textId="77777777" w:rsidR="00BE34E4" w:rsidRDefault="00BE34E4" w:rsidP="00BE34E4">
      <w:pPr>
        <w:rPr>
          <w:b/>
          <w:bCs/>
        </w:rPr>
      </w:pPr>
    </w:p>
    <w:p w14:paraId="497CA400"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2(a)</w:t>
      </w:r>
      <w:r>
        <w:rPr>
          <w:b/>
          <w:bCs/>
        </w:rPr>
        <w:tab/>
        <w:t>Need/Authority for the Collection</w:t>
      </w:r>
    </w:p>
    <w:p w14:paraId="4DAC7256" w14:textId="77777777" w:rsidR="00BE34E4" w:rsidRDefault="00BE34E4" w:rsidP="00BE34E4"/>
    <w:p w14:paraId="6BAB1B04" w14:textId="2FB47DAA" w:rsidR="00BE34E4" w:rsidRDefault="00BE34E4" w:rsidP="00BE34E4">
      <w:pPr>
        <w:ind w:firstLine="720"/>
      </w:pPr>
      <w:r>
        <w:t xml:space="preserve">TSCA section 5(a)(2) provides </w:t>
      </w:r>
      <w:r w:rsidR="00BA3EA7">
        <w:t>EPA</w:t>
      </w:r>
      <w:r>
        <w:t xml:space="preserve"> with the authority to </w:t>
      </w:r>
      <w:r w:rsidR="00BA3EA7">
        <w:t xml:space="preserve">designate by rule </w:t>
      </w:r>
      <w:r>
        <w:t>significant new uses of existing chemical substances</w:t>
      </w:r>
      <w:r w:rsidR="00BC07EF">
        <w:t xml:space="preserve"> for which notice to the Agency is required. </w:t>
      </w:r>
      <w:r>
        <w:t xml:space="preserve">This document covers </w:t>
      </w:r>
      <w:r w:rsidR="00307E81">
        <w:t>information collection requirements relating to SNURs</w:t>
      </w:r>
      <w:r>
        <w:t xml:space="preserve"> for existing chemical substances</w:t>
      </w:r>
      <w:r w:rsidR="00234B9E">
        <w:t>.</w:t>
      </w:r>
      <w:r>
        <w:t xml:space="preserve"> </w:t>
      </w:r>
      <w:r w:rsidR="00234B9E">
        <w:t>S</w:t>
      </w:r>
      <w:r w:rsidR="00307E81">
        <w:t>NURs</w:t>
      </w:r>
      <w:r>
        <w:t xml:space="preserve"> for new chemical substances are covered under the renewal ICR for Premanufacture Review Reporting and Exemption Requirements for New Chemical Substances and Significant New Use Reporting Requirements for Chemical Substances (OMB Control No. 2070-0012).</w:t>
      </w:r>
      <w:r w:rsidR="00721FE6">
        <w:t xml:space="preserve"> </w:t>
      </w:r>
      <w:r>
        <w:t xml:space="preserve">The Administrator </w:t>
      </w:r>
      <w:r w:rsidR="00BC07EF">
        <w:t xml:space="preserve">must consider the following factors </w:t>
      </w:r>
      <w:r>
        <w:t xml:space="preserve">in determining a significant new use </w:t>
      </w:r>
      <w:r w:rsidR="00BC07EF">
        <w:t>of an existing chemical substance</w:t>
      </w:r>
      <w:r>
        <w:t>:</w:t>
      </w:r>
    </w:p>
    <w:p w14:paraId="1E385720"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14:paraId="7273250A"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1)</w:t>
      </w:r>
      <w:r>
        <w:tab/>
        <w:t>The projected volume of manufacturing and processing of a chemical substance;</w:t>
      </w:r>
    </w:p>
    <w:p w14:paraId="4660D63C"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2)</w:t>
      </w:r>
      <w:r>
        <w:tab/>
        <w:t>The extent to which a use changes the type or form of exposure of human beings or the environment to a chemical substance;</w:t>
      </w:r>
    </w:p>
    <w:p w14:paraId="0C07A154"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3)</w:t>
      </w:r>
      <w:r>
        <w:tab/>
        <w:t xml:space="preserve">The extent to which a use increases the magnitude and duration of exposure of human </w:t>
      </w:r>
      <w:r>
        <w:lastRenderedPageBreak/>
        <w:t>beings or the environment to a chemical substance; and</w:t>
      </w:r>
    </w:p>
    <w:p w14:paraId="1BC4CBB7"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4)</w:t>
      </w:r>
      <w:r>
        <w:tab/>
        <w:t>The reasonably anticipated manner and methods of manufacturing, processing, distribution in commerce, and disposal of a chemical substance.</w:t>
      </w:r>
    </w:p>
    <w:p w14:paraId="67C7E7CC" w14:textId="77777777" w:rsidR="00BE34E4" w:rsidRDefault="00BE34E4" w:rsidP="00BE34E4"/>
    <w:p w14:paraId="5D6DF2C9" w14:textId="0B88226B" w:rsidR="00DE48F1" w:rsidRDefault="00307E81" w:rsidP="00BE34E4">
      <w:pPr>
        <w:ind w:firstLine="720"/>
      </w:pPr>
      <w:r>
        <w:t xml:space="preserve">After proposal and finalization of </w:t>
      </w:r>
      <w:r w:rsidR="00BE34E4">
        <w:t>a SNUR</w:t>
      </w:r>
      <w:r>
        <w:t>,</w:t>
      </w:r>
      <w:r w:rsidR="00BE34E4">
        <w:t xml:space="preserve"> a person who intends to </w:t>
      </w:r>
      <w:r>
        <w:t xml:space="preserve">manufacture </w:t>
      </w:r>
      <w:r w:rsidR="007B09E3">
        <w:t xml:space="preserve">(including import) </w:t>
      </w:r>
      <w:r>
        <w:t>or process</w:t>
      </w:r>
      <w:r w:rsidR="00BE34E4">
        <w:t xml:space="preserve"> a significant new use of a chemical </w:t>
      </w:r>
      <w:r>
        <w:t xml:space="preserve">substance </w:t>
      </w:r>
      <w:r w:rsidR="00BE34E4">
        <w:t xml:space="preserve">covered by a SNUR must notify EPA of </w:t>
      </w:r>
      <w:r>
        <w:t xml:space="preserve">the intent </w:t>
      </w:r>
      <w:r w:rsidR="00BE34E4">
        <w:t xml:space="preserve">via </w:t>
      </w:r>
      <w:r>
        <w:t>a</w:t>
      </w:r>
      <w:r w:rsidR="00BE34E4">
        <w:t xml:space="preserve"> Significant New Use Notice (SNUN) at least 90 days prior to commencing the new use.</w:t>
      </w:r>
      <w:r w:rsidR="00721FE6">
        <w:t xml:space="preserve"> </w:t>
      </w:r>
      <w:r w:rsidR="00BE34E4">
        <w:t xml:space="preserve">The required notice must be submitted </w:t>
      </w:r>
      <w:r w:rsidR="00BE34E4" w:rsidRPr="009455CC">
        <w:t>electronically, via the Central Data Exchange (CDX), using the Agency’s e-PMN software.</w:t>
      </w:r>
      <w:r w:rsidR="009505ED">
        <w:t xml:space="preserve"> Within 90 days, EPA must either conclude, following review of a SNUN, that the activities are not likely to present an unreasonable risk to human health or the environment, or take appropriate action under </w:t>
      </w:r>
      <w:r w:rsidR="00066FCD">
        <w:t xml:space="preserve">TSCA </w:t>
      </w:r>
      <w:r w:rsidR="009505ED">
        <w:t xml:space="preserve">section 5(e) or 5(f) to protect against any unreasonable risk to human health or the environment. The review would factor in the conditions of use of the chemical specifically associated with the significant new use and, as appropriate, any other conditions of use relevant to the evaluation of the significant new use under </w:t>
      </w:r>
      <w:r w:rsidR="00724187">
        <w:t xml:space="preserve">TSCA </w:t>
      </w:r>
      <w:r w:rsidR="009505ED">
        <w:t>section 5(a)(3). </w:t>
      </w:r>
      <w:r w:rsidR="00412B7F">
        <w:t>If the Agency has not made a determination within 90 days, it may extend the evaluation period by up to 90 days with good cause.</w:t>
      </w:r>
    </w:p>
    <w:p w14:paraId="009D1A3F" w14:textId="77777777" w:rsidR="0057492E" w:rsidRDefault="0057492E" w:rsidP="00BE34E4">
      <w:pPr>
        <w:ind w:firstLine="720"/>
      </w:pPr>
    </w:p>
    <w:p w14:paraId="70FB538E" w14:textId="78F5EA93" w:rsidR="00DE48F1" w:rsidRDefault="00DE48F1" w:rsidP="00BE34E4">
      <w:pPr>
        <w:ind w:firstLine="720"/>
      </w:pPr>
      <w:r w:rsidRPr="00575814">
        <w:t>If EPA makes a determination under TSCA section 5(a)(3) that a chemical substance or significant new use is not likely to present an unreasonable risk of injury to health or the environment, without consideration of costs or other non</w:t>
      </w:r>
      <w:r w:rsidR="00263671">
        <w:t>-</w:t>
      </w:r>
      <w:r w:rsidRPr="00575814">
        <w:t xml:space="preserve">risk factors, including an unreasonable risk to a potentially exposed or susceptible subpopulation identified as relevant by the Administrator under the conditions of use, then the submitter may commence manufacture </w:t>
      </w:r>
      <w:r w:rsidR="00C73474">
        <w:t xml:space="preserve">(including import) </w:t>
      </w:r>
      <w:r w:rsidRPr="00575814">
        <w:t>or processing for the significant new use</w:t>
      </w:r>
      <w:r>
        <w:t>.</w:t>
      </w:r>
    </w:p>
    <w:p w14:paraId="247C0D22" w14:textId="77777777" w:rsidR="00BE34E4" w:rsidRDefault="00BE34E4" w:rsidP="00BE34E4"/>
    <w:p w14:paraId="46108AAC" w14:textId="77777777" w:rsidR="00BE34E4" w:rsidRDefault="00BE34E4" w:rsidP="00BE3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Pr>
          <w:b/>
          <w:bCs/>
        </w:rPr>
        <w:t>2(b)</w:t>
      </w:r>
      <w:r>
        <w:rPr>
          <w:b/>
          <w:bCs/>
        </w:rPr>
        <w:tab/>
        <w:t>Practical Utility/Users of the Data</w:t>
      </w:r>
    </w:p>
    <w:p w14:paraId="03A4C09B" w14:textId="77777777" w:rsidR="00BE34E4" w:rsidRDefault="00BE34E4" w:rsidP="00BE34E4"/>
    <w:p w14:paraId="09FC6044" w14:textId="53845EB1" w:rsidR="00DE48F1" w:rsidRDefault="00DE48F1" w:rsidP="00BE34E4">
      <w:pPr>
        <w:ind w:firstLine="720"/>
      </w:pPr>
      <w:r w:rsidRPr="00F5511E">
        <w:t xml:space="preserve">TSCA </w:t>
      </w:r>
      <w:r>
        <w:t xml:space="preserve">requires EPA to review submitters’ notices and make an affirmative finding on the safety of significant new uses of chemicals (identified by EPA in rulemaking) before they are manufactured </w:t>
      </w:r>
      <w:r w:rsidR="00284C7D">
        <w:t xml:space="preserve">(including imported) </w:t>
      </w:r>
      <w:r>
        <w:t>for non-exempt commercial purposes.</w:t>
      </w:r>
      <w:r w:rsidRPr="00A074D6">
        <w:t xml:space="preserve"> </w:t>
      </w:r>
      <w:r>
        <w:t>To make a reasoned evaluation of the potential risk to human health or the environment associated with significant new uses, EPA needs information on each chemical’s structure and properties, manufacturing process, worker exposure, environmental release, production volume, potential industrial, commercial, and consumer use, and potential toxicity related to the substance. EPA needs sufficient information to enable Agency scientists to identify substances with analogous chemical structures and properties, with similar manufacturing processes</w:t>
      </w:r>
      <w:r w:rsidR="00A528F8">
        <w:t>,</w:t>
      </w:r>
      <w:r>
        <w:t xml:space="preserve"> and with similar uses. The Agency reviews available data to evaluate the toxicity of the chemical and estimate potential exposure to the substance to assess the potential risks to human health or the environment.</w:t>
      </w:r>
    </w:p>
    <w:p w14:paraId="202D4271" w14:textId="77777777" w:rsidR="00DE48F1" w:rsidRDefault="00DE48F1" w:rsidP="00BE34E4">
      <w:pPr>
        <w:ind w:firstLine="720"/>
      </w:pPr>
    </w:p>
    <w:p w14:paraId="7A4B581D" w14:textId="538986A1" w:rsidR="00DE48F1" w:rsidRDefault="00DE48F1" w:rsidP="00BE34E4">
      <w:pPr>
        <w:ind w:firstLine="720"/>
      </w:pPr>
      <w:r>
        <w:t>Users of these data are EPA employees located primarily in the Office of Pollution Prevention and Toxics (OPPT), within the Office of Chemical Safety and Pollution Prevention (OCSPP), and in the Office of Enforcement and Compliance Assurance (OECA), and Core TSCA Regional Coordinator Inspectors. EPA staff use this information to review and evaluate the health and environmental effects of significant new uses of chemicals, and to recommend and implement regulatory actions</w:t>
      </w:r>
      <w:r w:rsidR="00820278">
        <w:t>,</w:t>
      </w:r>
      <w:r>
        <w:t xml:space="preserve"> if warranted. OCSPP employees in the Regional Offices and OECA employees in Headquarters and in the Regions use TSCA section 5 data for compliance monitoring and enforcement purposes.</w:t>
      </w:r>
    </w:p>
    <w:p w14:paraId="0841E38F" w14:textId="77777777" w:rsidR="00BE34E4" w:rsidRDefault="00BE34E4" w:rsidP="00BE34E4"/>
    <w:p w14:paraId="62C3AA8E" w14:textId="31084A9C" w:rsidR="00BE34E4" w:rsidRDefault="00BE34E4" w:rsidP="00BE34E4">
      <w:pPr>
        <w:ind w:firstLine="720"/>
      </w:pPr>
      <w:r>
        <w:t xml:space="preserve">To date, </w:t>
      </w:r>
      <w:r w:rsidRPr="0057492E">
        <w:t xml:space="preserve">EPA has promulgated SNURs on </w:t>
      </w:r>
      <w:r w:rsidR="00C150A6" w:rsidRPr="0057492E">
        <w:t>591</w:t>
      </w:r>
      <w:r w:rsidRPr="0057492E">
        <w:t xml:space="preserve"> existing chemicals.</w:t>
      </w:r>
      <w:r w:rsidR="00721FE6">
        <w:t xml:space="preserve">  </w:t>
      </w:r>
    </w:p>
    <w:p w14:paraId="0772FFFA" w14:textId="77777777" w:rsidR="00BE34E4" w:rsidRDefault="00BE34E4" w:rsidP="00BE34E4">
      <w:pPr>
        <w:ind w:firstLine="720"/>
      </w:pPr>
    </w:p>
    <w:p w14:paraId="61D2CCFF" w14:textId="77777777" w:rsidR="00BE34E4" w:rsidRDefault="00BE34E4" w:rsidP="00BE34E4">
      <w:pPr>
        <w:ind w:firstLine="720"/>
      </w:pPr>
    </w:p>
    <w:p w14:paraId="6F0F2ECC" w14:textId="77777777" w:rsidR="00BE34E4" w:rsidRDefault="00BE34E4" w:rsidP="00BE34E4">
      <w:pPr>
        <w:rPr>
          <w:b/>
        </w:rPr>
      </w:pPr>
      <w:r>
        <w:rPr>
          <w:b/>
        </w:rPr>
        <w:lastRenderedPageBreak/>
        <w:t>3.</w:t>
      </w:r>
      <w:r>
        <w:rPr>
          <w:b/>
        </w:rPr>
        <w:tab/>
      </w:r>
      <w:r w:rsidRPr="008B55AB">
        <w:rPr>
          <w:b/>
        </w:rPr>
        <w:t xml:space="preserve">NON-DUPLICATION, CONSULTATIONS AND OTHER COLLECTION </w:t>
      </w:r>
    </w:p>
    <w:p w14:paraId="348331FC" w14:textId="77777777" w:rsidR="00BE34E4" w:rsidRPr="008B55AB" w:rsidRDefault="00BE34E4" w:rsidP="00BE34E4">
      <w:pPr>
        <w:rPr>
          <w:b/>
        </w:rPr>
      </w:pPr>
      <w:r>
        <w:rPr>
          <w:b/>
        </w:rPr>
        <w:tab/>
      </w:r>
      <w:r w:rsidRPr="008B55AB">
        <w:rPr>
          <w:b/>
        </w:rPr>
        <w:t>CRITERIA</w:t>
      </w:r>
    </w:p>
    <w:p w14:paraId="28215D5A" w14:textId="77777777" w:rsidR="00BE34E4" w:rsidRDefault="00BE34E4" w:rsidP="00BE34E4">
      <w:pPr>
        <w:rPr>
          <w:b/>
          <w:bCs/>
        </w:rPr>
      </w:pPr>
    </w:p>
    <w:p w14:paraId="23070024" w14:textId="77777777" w:rsidR="00BE34E4" w:rsidRDefault="00BE34E4" w:rsidP="00BE34E4">
      <w:pPr>
        <w:ind w:left="1440" w:hanging="720"/>
      </w:pPr>
      <w:r>
        <w:rPr>
          <w:b/>
          <w:bCs/>
        </w:rPr>
        <w:t>3(a)</w:t>
      </w:r>
      <w:r>
        <w:rPr>
          <w:b/>
          <w:bCs/>
        </w:rPr>
        <w:tab/>
        <w:t>Non-Duplication</w:t>
      </w:r>
    </w:p>
    <w:p w14:paraId="5E9D32A1" w14:textId="77777777" w:rsidR="00BE34E4" w:rsidRDefault="00BE34E4" w:rsidP="00BE34E4"/>
    <w:p w14:paraId="4FAC2440" w14:textId="335398F6" w:rsidR="00BE34E4" w:rsidRDefault="00BE34E4" w:rsidP="00BE34E4">
      <w:pPr>
        <w:ind w:firstLine="720"/>
      </w:pPr>
      <w:r>
        <w:t>EPA is the only federal agency that collects information on significant new uses of chemical substances.</w:t>
      </w:r>
      <w:r w:rsidR="00721FE6">
        <w:t xml:space="preserve"> </w:t>
      </w:r>
      <w:r>
        <w:t>A notification of an intent to engage in a significant new use serves two functions: as a notice, and as a document that contains information about a chemical substance and potential exposures to that substance.</w:t>
      </w:r>
      <w:r w:rsidR="00721FE6">
        <w:t xml:space="preserve"> </w:t>
      </w:r>
      <w:r>
        <w:t>The notification element is unique to SNURs and therefore not obtainable elsewhere.</w:t>
      </w:r>
      <w:r w:rsidR="00721FE6">
        <w:t xml:space="preserve">  </w:t>
      </w:r>
      <w:r>
        <w:t>The chemical information aspect will also contain unique information.</w:t>
      </w:r>
      <w:r w:rsidR="00721FE6">
        <w:t xml:space="preserve"> </w:t>
      </w:r>
      <w:r>
        <w:t xml:space="preserve">Only the person who intends to commence a significant new use of a chemical substance will know the potential for human and environmental exposures to that substance, the quantity intended to be </w:t>
      </w:r>
      <w:r w:rsidR="00CA2A19">
        <w:t xml:space="preserve">manufactured (including </w:t>
      </w:r>
      <w:r>
        <w:t>imported</w:t>
      </w:r>
      <w:r w:rsidR="00CA2A19">
        <w:t>)</w:t>
      </w:r>
      <w:r>
        <w:t xml:space="preserve"> or processed, and the manner in which the person will engage in the significant new use.</w:t>
      </w:r>
    </w:p>
    <w:p w14:paraId="19F79C52" w14:textId="77777777" w:rsidR="00BE34E4" w:rsidRDefault="00BE34E4" w:rsidP="00BE34E4"/>
    <w:p w14:paraId="4B34ACF0" w14:textId="7AE558FB" w:rsidR="00BE34E4" w:rsidRDefault="00BE34E4" w:rsidP="00BE34E4">
      <w:pPr>
        <w:ind w:firstLine="720"/>
      </w:pPr>
      <w:r>
        <w:t>A person submitting a significant new use notice is not required to develop test data.</w:t>
      </w:r>
      <w:r w:rsidR="00721FE6">
        <w:t xml:space="preserve"> </w:t>
      </w:r>
      <w:r>
        <w:t>However, the person must submit data that are known to or reasonably ascertainable by that person.</w:t>
      </w:r>
      <w:r w:rsidR="00721FE6">
        <w:t xml:space="preserve"> </w:t>
      </w:r>
      <w:r>
        <w:t>For published data the submitter need only provide a literature citation (40 CFR 720.50(d)(3)(ii)).</w:t>
      </w:r>
      <w:r w:rsidR="00721FE6">
        <w:t xml:space="preserve"> </w:t>
      </w:r>
      <w:r>
        <w:t>For existing chemicals that are related to the chemical substance that is the subject of the SNUR (e.g., impurities, byproducts), neither the published data nor a literature citation need be submitted.</w:t>
      </w:r>
      <w:r w:rsidR="00721FE6">
        <w:t xml:space="preserve"> </w:t>
      </w:r>
      <w:r>
        <w:t>Also, notices need not include information previously submitted to EPA (unless the previously submitted information was claimed confidential, in which case it must be resubmitted).</w:t>
      </w:r>
    </w:p>
    <w:p w14:paraId="3EDB410A" w14:textId="77777777" w:rsidR="00BE34E4" w:rsidRDefault="00BE34E4" w:rsidP="00BE34E4"/>
    <w:p w14:paraId="7C5AEBE7" w14:textId="77777777" w:rsidR="00BE34E4" w:rsidRDefault="00BE34E4" w:rsidP="00BE34E4">
      <w:pPr>
        <w:ind w:left="720"/>
        <w:rPr>
          <w:b/>
          <w:bCs/>
        </w:rPr>
      </w:pPr>
      <w:r>
        <w:rPr>
          <w:b/>
          <w:bCs/>
        </w:rPr>
        <w:t>3(b)</w:t>
      </w:r>
      <w:r>
        <w:rPr>
          <w:b/>
          <w:bCs/>
        </w:rPr>
        <w:tab/>
        <w:t>Public Notice Required Prior to ICR Submission to OMB</w:t>
      </w:r>
    </w:p>
    <w:p w14:paraId="471903DD" w14:textId="77777777" w:rsidR="00BE34E4" w:rsidRDefault="00BE34E4" w:rsidP="00BE34E4"/>
    <w:p w14:paraId="25B6145F" w14:textId="622D59F9" w:rsidR="00BE34E4" w:rsidRDefault="00BE34E4" w:rsidP="00BE34E4">
      <w:pPr>
        <w:ind w:firstLine="720"/>
        <w:rPr>
          <w:color w:val="000000"/>
        </w:rPr>
      </w:pPr>
      <w:r w:rsidRPr="008C232C">
        <w:rPr>
          <w:color w:val="000000"/>
        </w:rPr>
        <w:t xml:space="preserve">In proposing to renew this ICR, EPA provided a 60-day public notice and comment period that ended on </w:t>
      </w:r>
      <w:r>
        <w:rPr>
          <w:color w:val="000000"/>
        </w:rPr>
        <w:t>November 2</w:t>
      </w:r>
      <w:r w:rsidRPr="008C232C">
        <w:rPr>
          <w:color w:val="000000"/>
        </w:rPr>
        <w:t>, 2015 (</w:t>
      </w:r>
      <w:r>
        <w:rPr>
          <w:color w:val="000000"/>
        </w:rPr>
        <w:t>80</w:t>
      </w:r>
      <w:r w:rsidRPr="008C232C">
        <w:rPr>
          <w:color w:val="000000"/>
        </w:rPr>
        <w:t xml:space="preserve"> FR </w:t>
      </w:r>
      <w:r>
        <w:rPr>
          <w:color w:val="000000"/>
        </w:rPr>
        <w:t>53151</w:t>
      </w:r>
      <w:r w:rsidRPr="008C232C">
        <w:rPr>
          <w:color w:val="000000"/>
        </w:rPr>
        <w:t xml:space="preserve">, </w:t>
      </w:r>
      <w:r>
        <w:rPr>
          <w:color w:val="000000"/>
        </w:rPr>
        <w:t>September</w:t>
      </w:r>
      <w:r w:rsidRPr="008C232C">
        <w:rPr>
          <w:color w:val="000000"/>
        </w:rPr>
        <w:t xml:space="preserve"> </w:t>
      </w:r>
      <w:r>
        <w:rPr>
          <w:color w:val="000000"/>
        </w:rPr>
        <w:t>2</w:t>
      </w:r>
      <w:r w:rsidRPr="008C232C">
        <w:rPr>
          <w:color w:val="000000"/>
        </w:rPr>
        <w:t>, 2015).</w:t>
      </w:r>
      <w:r w:rsidR="00721FE6">
        <w:rPr>
          <w:color w:val="000000"/>
        </w:rPr>
        <w:t xml:space="preserve"> </w:t>
      </w:r>
      <w:r>
        <w:rPr>
          <w:color w:val="000000"/>
        </w:rPr>
        <w:t>EPA received two</w:t>
      </w:r>
      <w:r w:rsidRPr="005A240E">
        <w:rPr>
          <w:color w:val="000000"/>
        </w:rPr>
        <w:t xml:space="preserve"> comments, from </w:t>
      </w:r>
      <w:r>
        <w:rPr>
          <w:color w:val="000000"/>
        </w:rPr>
        <w:t xml:space="preserve">the American Chemistry Council and the </w:t>
      </w:r>
      <w:r w:rsidRPr="00BC3299">
        <w:rPr>
          <w:color w:val="000000"/>
        </w:rPr>
        <w:t>Soc</w:t>
      </w:r>
      <w:r>
        <w:rPr>
          <w:color w:val="000000"/>
        </w:rPr>
        <w:t>iety of Chemical Manufacturers and</w:t>
      </w:r>
      <w:r w:rsidRPr="00BC3299">
        <w:rPr>
          <w:color w:val="000000"/>
        </w:rPr>
        <w:t xml:space="preserve"> Affiliates (SOCMA)</w:t>
      </w:r>
      <w:r>
        <w:rPr>
          <w:color w:val="000000"/>
        </w:rPr>
        <w:t>, during the comment period.</w:t>
      </w:r>
      <w:r w:rsidR="00721FE6">
        <w:rPr>
          <w:color w:val="000000"/>
        </w:rPr>
        <w:t xml:space="preserve"> </w:t>
      </w:r>
      <w:r w:rsidRPr="005A240E">
        <w:rPr>
          <w:color w:val="000000"/>
        </w:rPr>
        <w:t xml:space="preserve">Copies of the comments </w:t>
      </w:r>
      <w:r w:rsidRPr="00225DB1">
        <w:rPr>
          <w:color w:val="000000"/>
        </w:rPr>
        <w:t xml:space="preserve">are included as </w:t>
      </w:r>
      <w:r w:rsidRPr="00451D0F">
        <w:rPr>
          <w:color w:val="000000"/>
        </w:rPr>
        <w:t>Attachment 4</w:t>
      </w:r>
      <w:r>
        <w:rPr>
          <w:color w:val="000000"/>
        </w:rPr>
        <w:t xml:space="preserve">, </w:t>
      </w:r>
      <w:r w:rsidRPr="005A240E">
        <w:rPr>
          <w:color w:val="000000"/>
        </w:rPr>
        <w:t>and EPA’s response to the comments</w:t>
      </w:r>
      <w:r>
        <w:rPr>
          <w:color w:val="000000"/>
        </w:rPr>
        <w:t xml:space="preserve"> is found at </w:t>
      </w:r>
      <w:r w:rsidRPr="00451D0F">
        <w:rPr>
          <w:color w:val="000000"/>
        </w:rPr>
        <w:t>Attachment 5</w:t>
      </w:r>
      <w:r>
        <w:rPr>
          <w:color w:val="000000"/>
        </w:rPr>
        <w:t>.</w:t>
      </w:r>
    </w:p>
    <w:p w14:paraId="5538473E" w14:textId="77777777" w:rsidR="00BE34E4" w:rsidRDefault="00BE34E4" w:rsidP="00BE34E4">
      <w:pPr>
        <w:ind w:firstLine="720"/>
      </w:pPr>
    </w:p>
    <w:p w14:paraId="6B120158" w14:textId="77777777" w:rsidR="00BE34E4" w:rsidRDefault="00BE34E4" w:rsidP="00BE34E4">
      <w:pPr>
        <w:ind w:left="1440" w:hanging="720"/>
        <w:rPr>
          <w:b/>
          <w:bCs/>
        </w:rPr>
      </w:pPr>
      <w:r>
        <w:rPr>
          <w:b/>
          <w:bCs/>
        </w:rPr>
        <w:t>3(c)</w:t>
      </w:r>
      <w:r>
        <w:rPr>
          <w:b/>
          <w:bCs/>
        </w:rPr>
        <w:tab/>
        <w:t>Consultations</w:t>
      </w:r>
    </w:p>
    <w:p w14:paraId="2CCA756C" w14:textId="77777777" w:rsidR="00BE34E4" w:rsidRDefault="00BE34E4" w:rsidP="00BE34E4"/>
    <w:p w14:paraId="6E076BCD" w14:textId="6966E68B" w:rsidR="00BE34E4" w:rsidRDefault="00BE34E4" w:rsidP="00BE34E4">
      <w:pPr>
        <w:ind w:firstLine="720"/>
        <w:rPr>
          <w:color w:val="000000"/>
        </w:rPr>
      </w:pPr>
      <w:r w:rsidRPr="00B050A7">
        <w:rPr>
          <w:color w:val="000000"/>
        </w:rPr>
        <w:t>Additionally, under 5 CFR 1320.8(d)(1), OMB requires agencies to consult with potential ICR respondents and data users about specific aspects of ICRs before submitting an ICR to OMB for review and approval.</w:t>
      </w:r>
      <w:r w:rsidR="00721FE6">
        <w:rPr>
          <w:color w:val="000000"/>
        </w:rPr>
        <w:t xml:space="preserve"> </w:t>
      </w:r>
      <w:r w:rsidRPr="00B050A7">
        <w:rPr>
          <w:color w:val="000000"/>
        </w:rPr>
        <w:t xml:space="preserve">In accordance with this regulation, EPA submitted questions to </w:t>
      </w:r>
      <w:r w:rsidRPr="00330B9D">
        <w:rPr>
          <w:color w:val="000000"/>
        </w:rPr>
        <w:t>nine</w:t>
      </w:r>
      <w:r w:rsidRPr="00B050A7">
        <w:rPr>
          <w:color w:val="000000"/>
        </w:rPr>
        <w:t xml:space="preserve"> parties via e-mail</w:t>
      </w:r>
      <w:r w:rsidR="00087579">
        <w:rPr>
          <w:color w:val="000000"/>
        </w:rPr>
        <w:t xml:space="preserve"> (Attachment 6)</w:t>
      </w:r>
      <w:r w:rsidRPr="00B050A7">
        <w:rPr>
          <w:color w:val="000000"/>
        </w:rPr>
        <w:t>. The individuals contacted were:</w:t>
      </w:r>
    </w:p>
    <w:p w14:paraId="2DBF80D3" w14:textId="77777777" w:rsidR="00BE34E4" w:rsidRDefault="00BE34E4" w:rsidP="00BE34E4">
      <w:pPr>
        <w:ind w:firstLine="720"/>
        <w:rPr>
          <w:color w:val="000000"/>
        </w:rPr>
      </w:pPr>
    </w:p>
    <w:p w14:paraId="26BDE11E" w14:textId="77777777" w:rsidR="00BE34E4" w:rsidRPr="00330B9D" w:rsidRDefault="00BE34E4" w:rsidP="00BE34E4">
      <w:pPr>
        <w:ind w:firstLine="720"/>
        <w:rPr>
          <w:color w:val="000000"/>
        </w:rPr>
      </w:pPr>
      <w:r w:rsidRPr="00330B9D">
        <w:rPr>
          <w:color w:val="000000"/>
        </w:rPr>
        <w:t>Mike Walls</w:t>
      </w:r>
    </w:p>
    <w:p w14:paraId="5D71F3CB" w14:textId="77777777" w:rsidR="00BE34E4" w:rsidRPr="00330B9D" w:rsidRDefault="00BE34E4" w:rsidP="00BE34E4">
      <w:pPr>
        <w:ind w:firstLine="720"/>
        <w:rPr>
          <w:color w:val="000000"/>
        </w:rPr>
      </w:pPr>
      <w:r w:rsidRPr="00330B9D">
        <w:rPr>
          <w:color w:val="000000"/>
        </w:rPr>
        <w:t>American Chemistry Council, Inc.</w:t>
      </w:r>
    </w:p>
    <w:p w14:paraId="77A29FEA" w14:textId="77777777" w:rsidR="00BE34E4" w:rsidRPr="00330B9D" w:rsidRDefault="00BE34E4" w:rsidP="00BE34E4">
      <w:pPr>
        <w:ind w:firstLine="720"/>
        <w:rPr>
          <w:color w:val="000000"/>
        </w:rPr>
      </w:pPr>
      <w:r w:rsidRPr="00330B9D">
        <w:rPr>
          <w:color w:val="000000"/>
        </w:rPr>
        <w:t xml:space="preserve">mike_walls@americanchemistry.com </w:t>
      </w:r>
    </w:p>
    <w:p w14:paraId="34DDC6CD" w14:textId="77777777" w:rsidR="00BE34E4" w:rsidRPr="00330B9D" w:rsidRDefault="00BE34E4" w:rsidP="00BE34E4">
      <w:pPr>
        <w:ind w:firstLine="720"/>
        <w:rPr>
          <w:color w:val="000000"/>
        </w:rPr>
      </w:pPr>
    </w:p>
    <w:p w14:paraId="3B206470" w14:textId="77777777" w:rsidR="00BE34E4" w:rsidRPr="00330B9D" w:rsidRDefault="00BE34E4" w:rsidP="00BE34E4">
      <w:pPr>
        <w:ind w:firstLine="720"/>
        <w:rPr>
          <w:color w:val="000000"/>
        </w:rPr>
      </w:pPr>
      <w:r w:rsidRPr="00330B9D">
        <w:rPr>
          <w:color w:val="000000"/>
        </w:rPr>
        <w:t>Jim Ford</w:t>
      </w:r>
    </w:p>
    <w:p w14:paraId="64B9FED7" w14:textId="77777777" w:rsidR="00BE34E4" w:rsidRPr="00330B9D" w:rsidRDefault="00BE34E4" w:rsidP="00BE34E4">
      <w:pPr>
        <w:ind w:firstLine="720"/>
        <w:rPr>
          <w:color w:val="000000"/>
        </w:rPr>
      </w:pPr>
      <w:r w:rsidRPr="00330B9D">
        <w:rPr>
          <w:color w:val="000000"/>
        </w:rPr>
        <w:t>American Petroleum Institute</w:t>
      </w:r>
    </w:p>
    <w:p w14:paraId="4E727C5C" w14:textId="77777777" w:rsidR="00BE34E4" w:rsidRPr="00330B9D" w:rsidRDefault="00BE34E4" w:rsidP="00BE34E4">
      <w:pPr>
        <w:ind w:firstLine="720"/>
        <w:rPr>
          <w:color w:val="000000"/>
        </w:rPr>
      </w:pPr>
      <w:r w:rsidRPr="00330B9D">
        <w:rPr>
          <w:color w:val="000000"/>
        </w:rPr>
        <w:t>fordj@api.org</w:t>
      </w:r>
    </w:p>
    <w:p w14:paraId="1919B1BC" w14:textId="77777777" w:rsidR="00BE34E4" w:rsidRPr="00330B9D" w:rsidRDefault="00BE34E4" w:rsidP="00BE34E4">
      <w:pPr>
        <w:ind w:firstLine="720"/>
        <w:rPr>
          <w:color w:val="000000"/>
        </w:rPr>
      </w:pPr>
    </w:p>
    <w:p w14:paraId="09C44ABF" w14:textId="77777777" w:rsidR="00BE34E4" w:rsidRPr="00330B9D" w:rsidRDefault="00BE34E4" w:rsidP="00BE34E4">
      <w:pPr>
        <w:ind w:firstLine="720"/>
        <w:rPr>
          <w:color w:val="000000"/>
        </w:rPr>
      </w:pPr>
      <w:r w:rsidRPr="00330B9D">
        <w:rPr>
          <w:color w:val="000000"/>
        </w:rPr>
        <w:t>Brigid Klein</w:t>
      </w:r>
    </w:p>
    <w:p w14:paraId="4A7445DF" w14:textId="77777777" w:rsidR="00BE34E4" w:rsidRPr="00330B9D" w:rsidRDefault="00BE34E4" w:rsidP="00BE34E4">
      <w:pPr>
        <w:ind w:firstLine="720"/>
        <w:rPr>
          <w:color w:val="000000"/>
        </w:rPr>
      </w:pPr>
      <w:r w:rsidRPr="00330B9D">
        <w:rPr>
          <w:color w:val="000000"/>
        </w:rPr>
        <w:t>Consumer Specialty Products Association</w:t>
      </w:r>
    </w:p>
    <w:p w14:paraId="69A95699" w14:textId="77777777" w:rsidR="00BE34E4" w:rsidRPr="00330B9D" w:rsidRDefault="00BE34E4" w:rsidP="00BE34E4">
      <w:pPr>
        <w:ind w:firstLine="720"/>
        <w:rPr>
          <w:color w:val="000000"/>
        </w:rPr>
      </w:pPr>
      <w:r w:rsidRPr="00330B9D">
        <w:rPr>
          <w:color w:val="000000"/>
        </w:rPr>
        <w:t>bklein@cspa.org</w:t>
      </w:r>
    </w:p>
    <w:p w14:paraId="206C1C93" w14:textId="77777777" w:rsidR="00BE34E4" w:rsidRPr="00330B9D" w:rsidRDefault="00BE34E4" w:rsidP="00BE34E4">
      <w:pPr>
        <w:ind w:firstLine="720"/>
        <w:rPr>
          <w:color w:val="000000"/>
        </w:rPr>
      </w:pPr>
    </w:p>
    <w:p w14:paraId="6E9109F1" w14:textId="77777777" w:rsidR="00BE34E4" w:rsidRPr="00330B9D" w:rsidRDefault="00BE34E4" w:rsidP="00BE34E4">
      <w:pPr>
        <w:ind w:firstLine="720"/>
        <w:rPr>
          <w:color w:val="000000"/>
        </w:rPr>
      </w:pPr>
      <w:r w:rsidRPr="00330B9D">
        <w:rPr>
          <w:color w:val="000000"/>
        </w:rPr>
        <w:t>John Carroll</w:t>
      </w:r>
    </w:p>
    <w:p w14:paraId="4D375AE3" w14:textId="77777777" w:rsidR="00BE34E4" w:rsidRPr="00330B9D" w:rsidRDefault="00BE34E4" w:rsidP="00BE34E4">
      <w:pPr>
        <w:ind w:firstLine="720"/>
        <w:rPr>
          <w:color w:val="000000"/>
        </w:rPr>
      </w:pPr>
      <w:r w:rsidRPr="00330B9D">
        <w:rPr>
          <w:color w:val="000000"/>
        </w:rPr>
        <w:t>Novozymes North America, Inc.</w:t>
      </w:r>
    </w:p>
    <w:p w14:paraId="5FA68583" w14:textId="77777777" w:rsidR="00BE34E4" w:rsidRPr="00330B9D" w:rsidRDefault="00BE34E4" w:rsidP="00BE34E4">
      <w:pPr>
        <w:ind w:firstLine="720"/>
        <w:rPr>
          <w:color w:val="000000"/>
        </w:rPr>
      </w:pPr>
      <w:r w:rsidRPr="00330B9D">
        <w:rPr>
          <w:color w:val="000000"/>
        </w:rPr>
        <w:t>john@novozymes.com</w:t>
      </w:r>
    </w:p>
    <w:p w14:paraId="125CE4A2" w14:textId="77777777" w:rsidR="00BE34E4" w:rsidRPr="00330B9D" w:rsidRDefault="00BE34E4" w:rsidP="00BE34E4">
      <w:pPr>
        <w:ind w:firstLine="720"/>
        <w:rPr>
          <w:color w:val="000000"/>
        </w:rPr>
      </w:pPr>
      <w:r w:rsidRPr="00330B9D">
        <w:rPr>
          <w:color w:val="000000"/>
        </w:rPr>
        <w:t>Lee O. Fuller</w:t>
      </w:r>
    </w:p>
    <w:p w14:paraId="10BBDFDD" w14:textId="77777777" w:rsidR="00BE34E4" w:rsidRPr="00330B9D" w:rsidRDefault="00BE34E4" w:rsidP="00BE34E4">
      <w:pPr>
        <w:ind w:firstLine="720"/>
        <w:rPr>
          <w:color w:val="000000"/>
        </w:rPr>
      </w:pPr>
      <w:r w:rsidRPr="00330B9D">
        <w:rPr>
          <w:color w:val="000000"/>
        </w:rPr>
        <w:t>Independent Petroleum Association of America</w:t>
      </w:r>
    </w:p>
    <w:p w14:paraId="1287DFEE" w14:textId="77777777" w:rsidR="00BE34E4" w:rsidRPr="00330B9D" w:rsidRDefault="00BE34E4" w:rsidP="00BE34E4">
      <w:pPr>
        <w:ind w:firstLine="720"/>
        <w:rPr>
          <w:color w:val="000000"/>
        </w:rPr>
      </w:pPr>
      <w:r w:rsidRPr="00330B9D">
        <w:rPr>
          <w:color w:val="000000"/>
        </w:rPr>
        <w:t>lfuller@ipaa.org</w:t>
      </w:r>
    </w:p>
    <w:p w14:paraId="01A65B3F" w14:textId="77777777" w:rsidR="00BE34E4" w:rsidRPr="00330B9D" w:rsidRDefault="00BE34E4" w:rsidP="00BE34E4">
      <w:pPr>
        <w:ind w:firstLine="720"/>
        <w:rPr>
          <w:color w:val="000000"/>
        </w:rPr>
      </w:pPr>
    </w:p>
    <w:p w14:paraId="660732B0" w14:textId="77777777" w:rsidR="00BE34E4" w:rsidRPr="00330B9D" w:rsidRDefault="00BE34E4" w:rsidP="00BE34E4">
      <w:pPr>
        <w:ind w:firstLine="720"/>
        <w:rPr>
          <w:color w:val="000000"/>
        </w:rPr>
      </w:pPr>
      <w:r w:rsidRPr="00330B9D">
        <w:rPr>
          <w:color w:val="000000"/>
        </w:rPr>
        <w:t>Stephen R. Sides</w:t>
      </w:r>
    </w:p>
    <w:p w14:paraId="3D30699F" w14:textId="77777777" w:rsidR="00BE34E4" w:rsidRPr="00330B9D" w:rsidRDefault="00BE34E4" w:rsidP="00BE34E4">
      <w:pPr>
        <w:ind w:firstLine="720"/>
        <w:rPr>
          <w:color w:val="000000"/>
        </w:rPr>
      </w:pPr>
      <w:r w:rsidRPr="00330B9D">
        <w:rPr>
          <w:color w:val="000000"/>
        </w:rPr>
        <w:t>National Paint and Coatings Association</w:t>
      </w:r>
    </w:p>
    <w:p w14:paraId="0550DC58" w14:textId="77777777" w:rsidR="00BE34E4" w:rsidRPr="00330B9D" w:rsidRDefault="00BE34E4" w:rsidP="00BE34E4">
      <w:pPr>
        <w:ind w:firstLine="720"/>
        <w:rPr>
          <w:color w:val="000000"/>
        </w:rPr>
      </w:pPr>
      <w:r w:rsidRPr="00330B9D">
        <w:rPr>
          <w:color w:val="000000"/>
        </w:rPr>
        <w:t>ssides@paint.org</w:t>
      </w:r>
    </w:p>
    <w:p w14:paraId="0A21DECF" w14:textId="77777777" w:rsidR="00BE34E4" w:rsidRPr="00330B9D" w:rsidRDefault="00BE34E4" w:rsidP="00BE34E4">
      <w:pPr>
        <w:ind w:firstLine="720"/>
        <w:rPr>
          <w:color w:val="000000"/>
        </w:rPr>
      </w:pPr>
    </w:p>
    <w:p w14:paraId="506D5F93" w14:textId="77777777" w:rsidR="00BE34E4" w:rsidRPr="00330B9D" w:rsidRDefault="00BE34E4" w:rsidP="00BE34E4">
      <w:pPr>
        <w:ind w:firstLine="720"/>
        <w:rPr>
          <w:color w:val="000000"/>
        </w:rPr>
      </w:pPr>
      <w:r w:rsidRPr="00330B9D">
        <w:rPr>
          <w:color w:val="000000"/>
        </w:rPr>
        <w:t>Jim Cooper</w:t>
      </w:r>
    </w:p>
    <w:p w14:paraId="0EF862F9" w14:textId="77777777" w:rsidR="00BE34E4" w:rsidRPr="00330B9D" w:rsidRDefault="00BE34E4" w:rsidP="00BE34E4">
      <w:pPr>
        <w:ind w:firstLine="720"/>
        <w:rPr>
          <w:color w:val="000000"/>
        </w:rPr>
      </w:pPr>
      <w:r w:rsidRPr="00330B9D">
        <w:rPr>
          <w:color w:val="000000"/>
        </w:rPr>
        <w:t>National Petrochemical &amp; Refiners Association</w:t>
      </w:r>
    </w:p>
    <w:p w14:paraId="69F99264" w14:textId="77777777" w:rsidR="00BE34E4" w:rsidRPr="00330B9D" w:rsidRDefault="00BE34E4" w:rsidP="00BE34E4">
      <w:pPr>
        <w:ind w:firstLine="720"/>
        <w:rPr>
          <w:color w:val="000000"/>
        </w:rPr>
      </w:pPr>
      <w:r w:rsidRPr="00330B9D">
        <w:rPr>
          <w:color w:val="000000"/>
        </w:rPr>
        <w:t>jcooper@npra.org</w:t>
      </w:r>
    </w:p>
    <w:p w14:paraId="2671FF6A" w14:textId="77777777" w:rsidR="00BE34E4" w:rsidRPr="00330B9D" w:rsidRDefault="00BE34E4" w:rsidP="00BE34E4">
      <w:pPr>
        <w:ind w:firstLine="720"/>
        <w:rPr>
          <w:color w:val="000000"/>
        </w:rPr>
      </w:pPr>
    </w:p>
    <w:p w14:paraId="7E604D5C" w14:textId="77777777" w:rsidR="00BE34E4" w:rsidRPr="00330B9D" w:rsidRDefault="00BE34E4" w:rsidP="00BE34E4">
      <w:pPr>
        <w:ind w:firstLine="720"/>
        <w:rPr>
          <w:color w:val="000000"/>
        </w:rPr>
      </w:pPr>
      <w:r w:rsidRPr="00330B9D">
        <w:rPr>
          <w:color w:val="000000"/>
        </w:rPr>
        <w:t>William Carteaux</w:t>
      </w:r>
    </w:p>
    <w:p w14:paraId="4F84CA0B" w14:textId="77777777" w:rsidR="00BE34E4" w:rsidRPr="00330B9D" w:rsidRDefault="00BE34E4" w:rsidP="00BE34E4">
      <w:pPr>
        <w:ind w:firstLine="720"/>
        <w:rPr>
          <w:color w:val="000000"/>
        </w:rPr>
      </w:pPr>
      <w:r w:rsidRPr="00330B9D">
        <w:rPr>
          <w:color w:val="000000"/>
        </w:rPr>
        <w:t>Society of the Plastics Industry, Inc.</w:t>
      </w:r>
    </w:p>
    <w:p w14:paraId="3447D925" w14:textId="77777777" w:rsidR="00BE34E4" w:rsidRPr="00330B9D" w:rsidRDefault="00BE34E4" w:rsidP="00BE34E4">
      <w:pPr>
        <w:ind w:firstLine="720"/>
        <w:rPr>
          <w:color w:val="000000"/>
        </w:rPr>
      </w:pPr>
      <w:r w:rsidRPr="00330B9D">
        <w:rPr>
          <w:color w:val="000000"/>
        </w:rPr>
        <w:t>wcarteaux@plasticsindustry.org</w:t>
      </w:r>
    </w:p>
    <w:p w14:paraId="43622F6A" w14:textId="77777777" w:rsidR="00BE34E4" w:rsidRPr="00330B9D" w:rsidRDefault="00BE34E4" w:rsidP="00BE34E4">
      <w:pPr>
        <w:ind w:firstLine="720"/>
        <w:rPr>
          <w:color w:val="000000"/>
        </w:rPr>
      </w:pPr>
    </w:p>
    <w:p w14:paraId="28C1E095" w14:textId="77777777" w:rsidR="00BE34E4" w:rsidRPr="00330B9D" w:rsidRDefault="00BE34E4" w:rsidP="00BE34E4">
      <w:pPr>
        <w:ind w:firstLine="720"/>
        <w:rPr>
          <w:color w:val="000000"/>
        </w:rPr>
      </w:pPr>
      <w:r w:rsidRPr="00330B9D">
        <w:rPr>
          <w:color w:val="000000"/>
        </w:rPr>
        <w:t>Bill Allmond</w:t>
      </w:r>
    </w:p>
    <w:p w14:paraId="30D17D43" w14:textId="77777777" w:rsidR="00BE34E4" w:rsidRPr="00330B9D" w:rsidRDefault="00BE34E4" w:rsidP="00BE34E4">
      <w:pPr>
        <w:ind w:firstLine="720"/>
        <w:rPr>
          <w:color w:val="000000"/>
        </w:rPr>
      </w:pPr>
      <w:r w:rsidRPr="00330B9D">
        <w:rPr>
          <w:color w:val="000000"/>
        </w:rPr>
        <w:t>Synthetic Organic Chemical Manufacturers Association</w:t>
      </w:r>
    </w:p>
    <w:p w14:paraId="6FBF319A" w14:textId="77777777" w:rsidR="00BE34E4" w:rsidRPr="00330B9D" w:rsidRDefault="00BE34E4" w:rsidP="00BE34E4">
      <w:pPr>
        <w:ind w:firstLine="720"/>
        <w:rPr>
          <w:color w:val="000000"/>
        </w:rPr>
      </w:pPr>
      <w:r w:rsidRPr="00330B9D">
        <w:rPr>
          <w:color w:val="000000"/>
        </w:rPr>
        <w:t>allmondb@socma.org</w:t>
      </w:r>
    </w:p>
    <w:p w14:paraId="14DEDEFA" w14:textId="77777777" w:rsidR="00BE34E4" w:rsidRDefault="00BE34E4" w:rsidP="00BE34E4">
      <w:pPr>
        <w:rPr>
          <w:color w:val="000000"/>
        </w:rPr>
      </w:pPr>
    </w:p>
    <w:p w14:paraId="451CE460" w14:textId="4738B934" w:rsidR="00BE34E4" w:rsidRDefault="00BE34E4" w:rsidP="00BE34E4">
      <w:pPr>
        <w:ind w:firstLine="720"/>
      </w:pPr>
      <w:r>
        <w:t xml:space="preserve">EPA received </w:t>
      </w:r>
      <w:r w:rsidR="00D74AD2">
        <w:t xml:space="preserve">two </w:t>
      </w:r>
      <w:r>
        <w:t>responses to its solicitation for consultations</w:t>
      </w:r>
      <w:r w:rsidR="00D26B41">
        <w:t xml:space="preserve">: one response from Christina Franz, representing the American Chemistry Council (ACC); and one response from Dan Newton, representing the </w:t>
      </w:r>
      <w:r w:rsidR="00D26B41" w:rsidRPr="00330B9D">
        <w:rPr>
          <w:color w:val="000000"/>
        </w:rPr>
        <w:t>Synthetic Organic Chemical Manufacturers Association</w:t>
      </w:r>
      <w:r w:rsidR="00D26B41">
        <w:rPr>
          <w:color w:val="000000"/>
        </w:rPr>
        <w:t xml:space="preserve"> (SOCMA)</w:t>
      </w:r>
      <w:r>
        <w:t>.</w:t>
      </w:r>
      <w:r w:rsidR="00721FE6">
        <w:t xml:space="preserve"> </w:t>
      </w:r>
      <w:r>
        <w:t xml:space="preserve">A copy of </w:t>
      </w:r>
      <w:r w:rsidR="00087579">
        <w:t>these ACC and SOCMA consultation</w:t>
      </w:r>
      <w:r w:rsidR="00B65172">
        <w:t>s</w:t>
      </w:r>
      <w:r w:rsidR="00087579">
        <w:t xml:space="preserve"> responses are found </w:t>
      </w:r>
      <w:r>
        <w:t xml:space="preserve">in </w:t>
      </w:r>
      <w:r w:rsidRPr="00451D0F">
        <w:t xml:space="preserve">Attachment </w:t>
      </w:r>
      <w:r w:rsidR="00087579">
        <w:t>7</w:t>
      </w:r>
      <w:r w:rsidR="00893976">
        <w:t>.</w:t>
      </w:r>
    </w:p>
    <w:p w14:paraId="007222A0" w14:textId="77777777" w:rsidR="00BE34E4" w:rsidRDefault="00BE34E4" w:rsidP="00BE34E4">
      <w:pPr>
        <w:ind w:firstLine="720"/>
      </w:pPr>
    </w:p>
    <w:p w14:paraId="35A70F3F" w14:textId="77777777" w:rsidR="00BE34E4" w:rsidRDefault="00BE34E4" w:rsidP="00BE34E4">
      <w:pPr>
        <w:ind w:left="1440" w:hanging="720"/>
      </w:pPr>
      <w:r>
        <w:rPr>
          <w:b/>
          <w:bCs/>
        </w:rPr>
        <w:t>3(d)</w:t>
      </w:r>
      <w:r>
        <w:rPr>
          <w:b/>
          <w:bCs/>
        </w:rPr>
        <w:tab/>
        <w:t>Effects of Less Frequent Collection</w:t>
      </w:r>
    </w:p>
    <w:p w14:paraId="6500A36D" w14:textId="77777777" w:rsidR="00BE34E4" w:rsidRDefault="00BE34E4" w:rsidP="00BE34E4"/>
    <w:p w14:paraId="648A7319" w14:textId="21CFF79D" w:rsidR="00BE34E4" w:rsidRDefault="00BE34E4" w:rsidP="00BE34E4">
      <w:pPr>
        <w:ind w:firstLine="720"/>
      </w:pPr>
      <w:r>
        <w:t>Whenever a person intends to engage in a significant new use, they must notify EPA.</w:t>
      </w:r>
      <w:r w:rsidR="0031387B">
        <w:t xml:space="preserve"> </w:t>
      </w:r>
      <w:r>
        <w:t>This is an explicit requirement of TSCA.</w:t>
      </w:r>
      <w:r w:rsidR="00721FE6">
        <w:t xml:space="preserve"> </w:t>
      </w:r>
      <w:r>
        <w:t>TSCA section 5(a)(1)(B) states, “... no person may ... manufacture or process any chemical substance for a use which the Administrator has determined ... is a significant new use ... unless such person submits to the Administrator ...</w:t>
      </w:r>
      <w:r w:rsidR="00721FE6">
        <w:t xml:space="preserve"> </w:t>
      </w:r>
      <w:r>
        <w:t>a notice ...”</w:t>
      </w:r>
      <w:r w:rsidR="00721FE6">
        <w:t xml:space="preserve"> </w:t>
      </w:r>
      <w:r>
        <w:t>The consequence of</w:t>
      </w:r>
      <w:r w:rsidR="00721FE6">
        <w:t xml:space="preserve"> </w:t>
      </w:r>
      <w:r>
        <w:t>less frequent collection of information (i.e., requiring only the first person who intends to engage in a significant new use to submit notice) is a violation of TSCA and would allow manufacturers</w:t>
      </w:r>
      <w:r w:rsidR="00721FE6">
        <w:t xml:space="preserve"> </w:t>
      </w:r>
      <w:r w:rsidR="00CA2A19">
        <w:t xml:space="preserve">(including </w:t>
      </w:r>
      <w:r>
        <w:t>importers</w:t>
      </w:r>
      <w:r w:rsidR="00CA2A19">
        <w:t>)</w:t>
      </w:r>
      <w:r>
        <w:t xml:space="preserve"> and processors to use a substance in a manner that EPA has determined may cause significant adverse exposures to the substance without prior notification to EPA.</w:t>
      </w:r>
    </w:p>
    <w:p w14:paraId="2E6E7281" w14:textId="77777777" w:rsidR="00BE34E4" w:rsidRDefault="00BE34E4" w:rsidP="00BE34E4">
      <w:pPr>
        <w:ind w:firstLine="720"/>
      </w:pPr>
    </w:p>
    <w:p w14:paraId="5E2B9255" w14:textId="77777777" w:rsidR="00BE34E4" w:rsidRDefault="00BE34E4" w:rsidP="00BE34E4">
      <w:pPr>
        <w:ind w:firstLine="720"/>
      </w:pPr>
      <w:r>
        <w:rPr>
          <w:b/>
          <w:bCs/>
        </w:rPr>
        <w:t>3(e)</w:t>
      </w:r>
      <w:r>
        <w:rPr>
          <w:b/>
          <w:bCs/>
        </w:rPr>
        <w:tab/>
        <w:t>General Guidelines</w:t>
      </w:r>
    </w:p>
    <w:p w14:paraId="4899AE0E" w14:textId="77777777" w:rsidR="00BE34E4" w:rsidRDefault="00BE34E4" w:rsidP="00BE34E4"/>
    <w:p w14:paraId="4AB72D7F" w14:textId="77777777" w:rsidR="00BE34E4" w:rsidRDefault="00BE34E4" w:rsidP="00BE34E4">
      <w:pPr>
        <w:ind w:firstLine="720"/>
      </w:pPr>
      <w:r>
        <w:t>This information collection activity is necessary to implement the statutory requirements of TSCA section 5(a)(2) and is consistent with the requirements of 5 CFR 1320.6.</w:t>
      </w:r>
    </w:p>
    <w:p w14:paraId="705935E1" w14:textId="77777777" w:rsidR="00BE34E4" w:rsidRDefault="00BE34E4" w:rsidP="00BE34E4">
      <w:pPr>
        <w:ind w:firstLine="720"/>
      </w:pPr>
    </w:p>
    <w:p w14:paraId="2974E34A" w14:textId="49B52E4E" w:rsidR="00BE34E4" w:rsidRPr="00800EC5" w:rsidRDefault="00BE34E4" w:rsidP="00BE34E4">
      <w:pPr>
        <w:autoSpaceDE w:val="0"/>
        <w:autoSpaceDN w:val="0"/>
        <w:ind w:firstLine="720"/>
      </w:pPr>
      <w:r w:rsidRPr="00800EC5">
        <w:t>EPA developed e-PMN software for use in preparing and submitting TSCA section 5 notices such as SNUN</w:t>
      </w:r>
      <w:r>
        <w:t>s</w:t>
      </w:r>
      <w:r w:rsidRPr="00800EC5">
        <w:t xml:space="preserve"> and support documents electronically to the Agency via CDX</w:t>
      </w:r>
      <w:r>
        <w:t>, and updated the e-PMN software in 2015 so that it</w:t>
      </w:r>
      <w:r w:rsidR="00721FE6">
        <w:t xml:space="preserve"> </w:t>
      </w:r>
      <w:r>
        <w:t xml:space="preserve">operates </w:t>
      </w:r>
      <w:r w:rsidRPr="00C042D4">
        <w:t>more efficiently as a “cloud” software system rather than as a downloadable software system.</w:t>
      </w:r>
      <w:r w:rsidR="00721FE6">
        <w:t xml:space="preserve"> </w:t>
      </w:r>
      <w:r w:rsidRPr="00800EC5">
        <w:t>EPA’s CDX is the point of entry on the Environmental Information Exchange Network (Exchange Network) for environmental data submissions to the Agency. CDX provides the capability for submitters to access their data through the use of web services.</w:t>
      </w:r>
      <w:r w:rsidR="00721FE6">
        <w:t xml:space="preserve"> </w:t>
      </w:r>
      <w:r w:rsidRPr="00800EC5">
        <w:t xml:space="preserve">CDX enables EPA and participating program offices to work with stakeholders–including State, tribal, and local governments and regulated industries–to enable streamlined electronic submission of data via the Internet. For more information about CDX, go to </w:t>
      </w:r>
      <w:hyperlink r:id="rId12" w:history="1">
        <w:r w:rsidRPr="00D963D1">
          <w:rPr>
            <w:rStyle w:val="Hyperlink"/>
          </w:rPr>
          <w:t>https://cdx.epa.gov/</w:t>
        </w:r>
      </w:hyperlink>
      <w:r w:rsidRPr="00800EC5">
        <w:t>.</w:t>
      </w:r>
      <w:r w:rsidR="00721FE6">
        <w:t xml:space="preserve"> </w:t>
      </w:r>
      <w:r w:rsidRPr="00800EC5">
        <w:t>The use of CDX for submission of TSCA section 5 notices and support documents is consistent with the Government Paperwork Elimination Act (GPEA</w:t>
      </w:r>
      <w:r w:rsidR="00FF132C">
        <w:t>, Title XVII of Public Law 105-277</w:t>
      </w:r>
      <w:r w:rsidRPr="00800EC5">
        <w:t>) that requires Federal agencies to provide electronic submission, maintenance, or disclosure of information, when practicable as a substitute for paper.</w:t>
      </w:r>
    </w:p>
    <w:p w14:paraId="04404CC0" w14:textId="77777777" w:rsidR="00BE34E4" w:rsidRDefault="00BE34E4" w:rsidP="00BE34E4"/>
    <w:p w14:paraId="31CD2470" w14:textId="77777777" w:rsidR="00BE34E4" w:rsidRDefault="00BE34E4" w:rsidP="00BE34E4">
      <w:pPr>
        <w:ind w:left="1440" w:hanging="720"/>
      </w:pPr>
      <w:r>
        <w:rPr>
          <w:b/>
          <w:bCs/>
        </w:rPr>
        <w:t>3(f)</w:t>
      </w:r>
      <w:r>
        <w:rPr>
          <w:b/>
          <w:bCs/>
        </w:rPr>
        <w:tab/>
        <w:t>Confidentiality</w:t>
      </w:r>
    </w:p>
    <w:p w14:paraId="25FBA97E" w14:textId="77777777" w:rsidR="00BE34E4" w:rsidRDefault="00BE34E4" w:rsidP="00BE34E4"/>
    <w:p w14:paraId="42A20138" w14:textId="696A7CF6" w:rsidR="00BE34E4" w:rsidRDefault="00BE34E4" w:rsidP="00BE34E4">
      <w:pPr>
        <w:ind w:firstLine="720"/>
      </w:pPr>
      <w:r>
        <w:t>Information provided in a significant new use notice may receive confidential treatment.</w:t>
      </w:r>
      <w:r w:rsidR="00721FE6">
        <w:t xml:space="preserve"> </w:t>
      </w:r>
      <w:r>
        <w:t xml:space="preserve">TSCA section 14 allows a manufacturer </w:t>
      </w:r>
      <w:r w:rsidR="00CA2A19">
        <w:t xml:space="preserve">(including </w:t>
      </w:r>
      <w:r>
        <w:t>importer</w:t>
      </w:r>
      <w:r w:rsidR="00CA2A19">
        <w:t>)</w:t>
      </w:r>
      <w:r>
        <w:t xml:space="preserve"> or processor to designate submitted information as confidential business information (CBI).</w:t>
      </w:r>
      <w:r w:rsidR="00721FE6">
        <w:t xml:space="preserve"> </w:t>
      </w:r>
      <w:r>
        <w:t>The Agency has developed a comprehensive system to prevent the unauthorized disclosure of CBI.</w:t>
      </w:r>
      <w:r w:rsidR="00721FE6">
        <w:t xml:space="preserve"> </w:t>
      </w:r>
      <w:r>
        <w:t>This system includes procedures for logging CBI in and out of designated locked file cabinets, for photocopying and transmitting CBI, and for restricting confidential information only to personnel with CBI security clearance.</w:t>
      </w:r>
      <w:r w:rsidR="00721FE6">
        <w:t xml:space="preserve"> </w:t>
      </w:r>
      <w:r>
        <w:t>No one is allowed access to CBI until they have received instructions for handling CBI.</w:t>
      </w:r>
    </w:p>
    <w:p w14:paraId="5C158EE5" w14:textId="77777777" w:rsidR="00BE34E4" w:rsidRDefault="00BE34E4" w:rsidP="00BE34E4">
      <w:pPr>
        <w:ind w:firstLine="720"/>
      </w:pPr>
    </w:p>
    <w:p w14:paraId="4217C0F5" w14:textId="1C1F1A9B" w:rsidR="00BE34E4" w:rsidRPr="00D96815" w:rsidRDefault="00BE34E4" w:rsidP="00BE34E4">
      <w:pPr>
        <w:widowControl/>
        <w:autoSpaceDE w:val="0"/>
        <w:autoSpaceDN w:val="0"/>
        <w:ind w:firstLine="720"/>
        <w:rPr>
          <w:i/>
          <w:iCs/>
        </w:rPr>
      </w:pPr>
      <w:r w:rsidRPr="00800EC5">
        <w:t xml:space="preserve">EPA will ensure secure transmission of SNUN data submitted through CDX via the Transport Layer Security (TLS) protocol. TLS is a widely used approach for securing </w:t>
      </w:r>
      <w:r>
        <w:t>I</w:t>
      </w:r>
      <w:r w:rsidRPr="00800EC5">
        <w:t>nternet transactions and is endorsed by the National Institute of Standards and Technology (NIST) for protecting data sent over the Internet. See NIST Special Publication 800–52</w:t>
      </w:r>
      <w:r>
        <w:t xml:space="preserve"> Revision 1, “</w:t>
      </w:r>
      <w:r w:rsidRPr="00800EC5">
        <w:t>Guidelines for the Selection</w:t>
      </w:r>
      <w:r>
        <w:t>, Configuration,</w:t>
      </w:r>
      <w:r w:rsidRPr="00800EC5">
        <w:t xml:space="preserve"> and Use of Transport Layer Security (TLS) Implementations,</w:t>
      </w:r>
      <w:r>
        <w:t xml:space="preserve"> (dated April 2014)” </w:t>
      </w:r>
      <w:hyperlink r:id="rId13" w:history="1">
        <w:r w:rsidRPr="00CB399A">
          <w:rPr>
            <w:rStyle w:val="Hyperlink"/>
          </w:rPr>
          <w:t>http://nvlpubs.nist.gov/nistpubs/SpecialPublications/NIST.SP.800-52r1.pdf</w:t>
        </w:r>
      </w:hyperlink>
      <w:r>
        <w:t>.</w:t>
      </w:r>
      <w:r w:rsidR="00721FE6">
        <w:t xml:space="preserve"> </w:t>
      </w:r>
      <w:r w:rsidRPr="00800EC5">
        <w:t>In addition, e-PMN software enables the SNUN submitter to electronically sign, encrypt, and submit reports which EPA subsequently provides back to the submitter as an unaltered copy of</w:t>
      </w:r>
      <w:r w:rsidRPr="00800EC5">
        <w:rPr>
          <w:i/>
          <w:iCs/>
        </w:rPr>
        <w:t xml:space="preserve"> </w:t>
      </w:r>
      <w:r w:rsidRPr="00800EC5">
        <w:t>record. This assures the submitter that the Agency has received exactly</w:t>
      </w:r>
      <w:r>
        <w:t xml:space="preserve"> what the submitter sent to EPA</w:t>
      </w:r>
      <w:r w:rsidRPr="00800EC5">
        <w:t xml:space="preserve">. </w:t>
      </w:r>
    </w:p>
    <w:p w14:paraId="245241B6" w14:textId="77777777" w:rsidR="00BE34E4" w:rsidRPr="009121B1" w:rsidRDefault="00BE34E4" w:rsidP="00BE34E4"/>
    <w:p w14:paraId="02AF9A45" w14:textId="6B70DE7B" w:rsidR="00BE34E4" w:rsidRDefault="00BE34E4" w:rsidP="00BE34E4">
      <w:pPr>
        <w:ind w:firstLine="720"/>
      </w:pPr>
      <w:r>
        <w:t>Additionally, s</w:t>
      </w:r>
      <w:r w:rsidRPr="009121B1">
        <w:t>pecial procedures also restrict access to computerized CBI.</w:t>
      </w:r>
      <w:r w:rsidR="00721FE6">
        <w:t xml:space="preserve"> </w:t>
      </w:r>
      <w:r w:rsidRPr="009121B1">
        <w:t>These security measures apply to CBI submitted by manufacturers as well as CBI generated by EPA staff in the course of their review.</w:t>
      </w:r>
      <w:r w:rsidR="00721FE6">
        <w:t xml:space="preserve">  </w:t>
      </w:r>
    </w:p>
    <w:p w14:paraId="25BDF08E" w14:textId="77777777" w:rsidR="00BE34E4" w:rsidRDefault="00BE34E4" w:rsidP="00BE34E4"/>
    <w:p w14:paraId="02C246DE" w14:textId="77777777" w:rsidR="00BE34E4" w:rsidRDefault="00BE34E4" w:rsidP="00BE34E4">
      <w:pPr>
        <w:ind w:left="1440" w:hanging="720"/>
      </w:pPr>
      <w:r>
        <w:rPr>
          <w:b/>
          <w:bCs/>
        </w:rPr>
        <w:t>3(g)</w:t>
      </w:r>
      <w:r>
        <w:rPr>
          <w:b/>
          <w:bCs/>
        </w:rPr>
        <w:tab/>
        <w:t>Sensitive Questions</w:t>
      </w:r>
    </w:p>
    <w:p w14:paraId="72255D81" w14:textId="77777777" w:rsidR="00BE34E4" w:rsidRDefault="00BE34E4" w:rsidP="00BE34E4"/>
    <w:p w14:paraId="1E811A2D" w14:textId="4C94AAB2" w:rsidR="00BE34E4" w:rsidRDefault="00BE34E4" w:rsidP="00BE34E4">
      <w:pPr>
        <w:ind w:firstLine="720"/>
      </w:pPr>
      <w:r>
        <w:t>This section is not applicable.</w:t>
      </w:r>
      <w:r w:rsidR="00721FE6">
        <w:t xml:space="preserve"> </w:t>
      </w:r>
      <w:r>
        <w:t>The information requested is not sensitive in nature.</w:t>
      </w:r>
    </w:p>
    <w:p w14:paraId="59D5E193" w14:textId="77777777" w:rsidR="00BE34E4" w:rsidRDefault="00BE34E4" w:rsidP="00BE34E4">
      <w:pPr>
        <w:rPr>
          <w:b/>
          <w:bCs/>
        </w:rPr>
      </w:pPr>
    </w:p>
    <w:p w14:paraId="7D3BAB33" w14:textId="77777777" w:rsidR="00BE34E4" w:rsidRDefault="00BE34E4" w:rsidP="00BE34E4">
      <w:pPr>
        <w:rPr>
          <w:b/>
          <w:bCs/>
        </w:rPr>
      </w:pPr>
    </w:p>
    <w:p w14:paraId="7523CBD2" w14:textId="77777777" w:rsidR="00BE34E4" w:rsidRDefault="00BE34E4" w:rsidP="00BE34E4">
      <w:pPr>
        <w:rPr>
          <w:b/>
          <w:bCs/>
        </w:rPr>
      </w:pPr>
      <w:r>
        <w:rPr>
          <w:b/>
          <w:bCs/>
        </w:rPr>
        <w:t xml:space="preserve">4. </w:t>
      </w:r>
      <w:r>
        <w:rPr>
          <w:b/>
          <w:bCs/>
        </w:rPr>
        <w:tab/>
        <w:t>THE RESPONDENTS AND THE INFORMATION REQUESTED</w:t>
      </w:r>
    </w:p>
    <w:p w14:paraId="794F20B6" w14:textId="77777777" w:rsidR="00BE34E4" w:rsidRDefault="00BE34E4" w:rsidP="00BE34E4">
      <w:pPr>
        <w:rPr>
          <w:b/>
          <w:bCs/>
        </w:rPr>
      </w:pPr>
    </w:p>
    <w:p w14:paraId="6BA6D5D5" w14:textId="77777777" w:rsidR="00BE34E4" w:rsidRDefault="00BE34E4" w:rsidP="00BE34E4">
      <w:pPr>
        <w:ind w:left="1440" w:hanging="720"/>
      </w:pPr>
      <w:r>
        <w:rPr>
          <w:b/>
          <w:bCs/>
        </w:rPr>
        <w:t>4(a)</w:t>
      </w:r>
      <w:r>
        <w:rPr>
          <w:b/>
          <w:bCs/>
        </w:rPr>
        <w:tab/>
        <w:t>Respondent NAICS Codes</w:t>
      </w:r>
    </w:p>
    <w:p w14:paraId="7A6645FC" w14:textId="77777777" w:rsidR="00BE34E4" w:rsidRDefault="00BE34E4" w:rsidP="00BE34E4"/>
    <w:p w14:paraId="4097CD42" w14:textId="77777777" w:rsidR="00BE34E4" w:rsidRDefault="00BE34E4" w:rsidP="00BE34E4">
      <w:pPr>
        <w:ind w:firstLine="720"/>
      </w:pPr>
      <w:r>
        <w:t>Respondents affected by this collection activity are mainly NAICS categories 325 - Chemicals and Allied Products Manufacturers and 32411- Petroleum Refining.</w:t>
      </w:r>
    </w:p>
    <w:p w14:paraId="1AAA286F" w14:textId="77777777" w:rsidR="00BE34E4" w:rsidRDefault="00BE34E4" w:rsidP="00BE34E4">
      <w:pPr>
        <w:ind w:firstLine="720"/>
      </w:pPr>
    </w:p>
    <w:p w14:paraId="0CDDDA6E" w14:textId="77777777" w:rsidR="00BE34E4" w:rsidRDefault="00BE34E4" w:rsidP="00BE34E4">
      <w:pPr>
        <w:ind w:left="1440" w:hanging="720"/>
      </w:pPr>
      <w:r>
        <w:rPr>
          <w:b/>
          <w:bCs/>
        </w:rPr>
        <w:t>4(b)</w:t>
      </w:r>
      <w:r>
        <w:rPr>
          <w:b/>
          <w:bCs/>
        </w:rPr>
        <w:tab/>
        <w:t>Information Requested</w:t>
      </w:r>
    </w:p>
    <w:p w14:paraId="361178F7" w14:textId="77777777" w:rsidR="00BE34E4" w:rsidRDefault="00BE34E4" w:rsidP="00BE34E4"/>
    <w:p w14:paraId="575A6EC0" w14:textId="77777777" w:rsidR="00BE34E4" w:rsidRDefault="00BE34E4" w:rsidP="00BE34E4">
      <w:pPr>
        <w:tabs>
          <w:tab w:val="left" w:pos="6390"/>
        </w:tabs>
        <w:ind w:firstLine="720"/>
      </w:pPr>
      <w:r>
        <w:t xml:space="preserve"> (i) Data items, including record keeping requirements</w:t>
      </w:r>
    </w:p>
    <w:p w14:paraId="43579F7B" w14:textId="77777777" w:rsidR="00BE34E4" w:rsidRDefault="00BE34E4" w:rsidP="00BE34E4"/>
    <w:p w14:paraId="138E0276" w14:textId="0D9E59EB" w:rsidR="00BE34E4" w:rsidRDefault="00BE34E4" w:rsidP="00BE34E4">
      <w:pPr>
        <w:ind w:firstLine="720"/>
      </w:pPr>
      <w:r>
        <w:t xml:space="preserve">Information submitted under this collection must include, insofar as it is </w:t>
      </w:r>
      <w:r>
        <w:rPr>
          <w:u w:val="single"/>
        </w:rPr>
        <w:t>known</w:t>
      </w:r>
      <w:r>
        <w:t xml:space="preserve"> to or </w:t>
      </w:r>
      <w:r>
        <w:rPr>
          <w:u w:val="single"/>
        </w:rPr>
        <w:t>reasonably ascertainable</w:t>
      </w:r>
      <w:r>
        <w:t xml:space="preserve"> by the submitter, information described in TSCA section 8(a)(2) (i.e., chemical identity, use, and exposure data), as well as test data, and descriptions of other data related to the effects on health and the environment of the manufacture, processing, use, distribution in commerce, and disposal of the chemical substance (TSCA section 5(d)).</w:t>
      </w:r>
      <w:r w:rsidR="00721FE6">
        <w:t xml:space="preserve"> </w:t>
      </w:r>
      <w:r>
        <w:t>After receipt of a notice, EPA has 90 days (extendable to 180 days) to evaluate the notice’s content.</w:t>
      </w:r>
    </w:p>
    <w:p w14:paraId="4A011500" w14:textId="77777777" w:rsidR="00BE34E4" w:rsidRDefault="00BE34E4" w:rsidP="00BE34E4">
      <w:pPr>
        <w:ind w:firstLine="720"/>
      </w:pPr>
    </w:p>
    <w:p w14:paraId="268F7A51" w14:textId="77777777" w:rsidR="00BE34E4" w:rsidRDefault="00BE34E4" w:rsidP="00BE34E4">
      <w:pPr>
        <w:ind w:firstLine="720"/>
      </w:pPr>
      <w:r>
        <w:t xml:space="preserve"> (ii) Respondent Activities</w:t>
      </w:r>
    </w:p>
    <w:p w14:paraId="69543CAE" w14:textId="77777777" w:rsidR="00BE34E4" w:rsidRDefault="00BE34E4" w:rsidP="00BE34E4"/>
    <w:p w14:paraId="5FA8D572" w14:textId="0F133254" w:rsidR="00BE34E4" w:rsidRDefault="00721FE6" w:rsidP="00BE34E4">
      <w:pPr>
        <w:contextualSpacing/>
        <w:rPr>
          <w:i/>
          <w:iCs/>
          <w:color w:val="000000"/>
        </w:rPr>
      </w:pPr>
      <w:r>
        <w:tab/>
      </w:r>
      <w:r w:rsidR="00BE34E4" w:rsidRPr="005D5F92">
        <w:t>Only those persons who intend to engage in a significant new u</w:t>
      </w:r>
      <w:r w:rsidR="00BE34E4">
        <w:t xml:space="preserve">se of a chemical substance must </w:t>
      </w:r>
      <w:r w:rsidR="00BE34E4" w:rsidRPr="005D5F92">
        <w:t>submit notice of their intentions to EPA.</w:t>
      </w:r>
      <w:r>
        <w:t xml:space="preserve"> </w:t>
      </w:r>
      <w:r w:rsidR="00BE34E4" w:rsidRPr="005D5F92">
        <w:rPr>
          <w:color w:val="000000"/>
        </w:rPr>
        <w:t xml:space="preserve">According to 40 CFR 721.1(c), persons submitting a SNUN must comply with the same notice requirements and EPA regulatory procedures as persons submitting a PMN, including submission of test data on health and environmental effects as described in 720.50. SNUNs must be on EPA Form No. 7710–25, generated using e-PMN software, and submitted to the Agency in accordance with the procedures set forth in 721.25 and 720.40. E-PMN software is available electronically at </w:t>
      </w:r>
      <w:hyperlink r:id="rId14" w:history="1">
        <w:r w:rsidR="00BE34E4" w:rsidRPr="00253934">
          <w:rPr>
            <w:rStyle w:val="Hyperlink"/>
          </w:rPr>
          <w:t>https://www.epa.gov/reviewing-new-chemicals-under-toxic-substances-control-act-tsca/how-submit-e-pmn</w:t>
        </w:r>
      </w:hyperlink>
      <w:r w:rsidR="00BE34E4">
        <w:t>.</w:t>
      </w:r>
    </w:p>
    <w:p w14:paraId="6B116861" w14:textId="77777777" w:rsidR="00BE34E4" w:rsidRDefault="00BE34E4" w:rsidP="00BE34E4">
      <w:pPr>
        <w:contextualSpacing/>
        <w:rPr>
          <w:i/>
          <w:iCs/>
          <w:color w:val="000000"/>
        </w:rPr>
      </w:pPr>
    </w:p>
    <w:p w14:paraId="15DE35A5" w14:textId="77777777" w:rsidR="00BE34E4" w:rsidRDefault="00BE34E4" w:rsidP="00BE34E4">
      <w:pPr>
        <w:contextualSpacing/>
        <w:rPr>
          <w:i/>
          <w:iCs/>
          <w:color w:val="000000"/>
        </w:rPr>
      </w:pPr>
    </w:p>
    <w:p w14:paraId="08BCBDB5" w14:textId="6E7E7111" w:rsidR="00BE34E4" w:rsidRDefault="00BE34E4" w:rsidP="00BE34E4">
      <w:pPr>
        <w:contextualSpacing/>
        <w:rPr>
          <w:b/>
          <w:bCs/>
        </w:rPr>
      </w:pPr>
      <w:r>
        <w:rPr>
          <w:b/>
          <w:bCs/>
        </w:rPr>
        <w:t xml:space="preserve">5. </w:t>
      </w:r>
      <w:r>
        <w:rPr>
          <w:b/>
          <w:bCs/>
        </w:rPr>
        <w:tab/>
        <w:t>THE INFORMATION COLLECTED - AGENCY ACTIVITIES, COLLECTION</w:t>
      </w:r>
      <w:r w:rsidR="00721FE6">
        <w:rPr>
          <w:b/>
          <w:bCs/>
        </w:rPr>
        <w:t xml:space="preserve">  </w:t>
      </w:r>
    </w:p>
    <w:p w14:paraId="4BC67629" w14:textId="77777777" w:rsidR="00BE34E4" w:rsidRDefault="00BE34E4" w:rsidP="00BE34E4">
      <w:pPr>
        <w:rPr>
          <w:b/>
          <w:bCs/>
        </w:rPr>
      </w:pPr>
      <w:r>
        <w:rPr>
          <w:b/>
          <w:bCs/>
        </w:rPr>
        <w:tab/>
        <w:t>METHODOLOGY, AND INFORMATION MANAGEMENT</w:t>
      </w:r>
    </w:p>
    <w:p w14:paraId="17AFDF95" w14:textId="77777777" w:rsidR="00BE34E4" w:rsidRDefault="00BE34E4" w:rsidP="00BE34E4">
      <w:pPr>
        <w:rPr>
          <w:b/>
          <w:bCs/>
        </w:rPr>
      </w:pPr>
    </w:p>
    <w:p w14:paraId="5121250E" w14:textId="77777777" w:rsidR="00BE34E4" w:rsidRDefault="00BE34E4" w:rsidP="00BE34E4">
      <w:pPr>
        <w:ind w:left="1440" w:hanging="720"/>
      </w:pPr>
      <w:r>
        <w:rPr>
          <w:b/>
          <w:bCs/>
        </w:rPr>
        <w:t>5(a)</w:t>
      </w:r>
      <w:r>
        <w:rPr>
          <w:b/>
          <w:bCs/>
        </w:rPr>
        <w:tab/>
        <w:t>Agency Activities</w:t>
      </w:r>
    </w:p>
    <w:p w14:paraId="7F976053" w14:textId="77777777" w:rsidR="00BE34E4" w:rsidRDefault="00BE34E4" w:rsidP="00BE34E4"/>
    <w:p w14:paraId="6D5752FA" w14:textId="268803A5" w:rsidR="00BE34E4" w:rsidRDefault="00BE34E4" w:rsidP="00BE34E4">
      <w:pPr>
        <w:ind w:firstLine="720"/>
      </w:pPr>
      <w:r>
        <w:t>A significant new use rule (SNUR) on an existing chemical substance is the product of a process that is designed to develop the appropriate information-gathering collection for a substance.</w:t>
      </w:r>
      <w:r w:rsidR="00721FE6">
        <w:t xml:space="preserve"> </w:t>
      </w:r>
      <w:r>
        <w:t>This process has three major steps: Chemical Referral, Regulatory Selection, and Regulation Development.</w:t>
      </w:r>
    </w:p>
    <w:p w14:paraId="4A17205B" w14:textId="77777777" w:rsidR="00BE34E4" w:rsidRDefault="00BE34E4" w:rsidP="00BE34E4"/>
    <w:p w14:paraId="74410D4F" w14:textId="5C3C11FE" w:rsidR="00BE34E4" w:rsidRDefault="00BE34E4" w:rsidP="00BE34E4">
      <w:pPr>
        <w:ind w:firstLine="720"/>
      </w:pPr>
      <w:r>
        <w:t>Step 1.</w:t>
      </w:r>
      <w:r w:rsidR="00721FE6">
        <w:t xml:space="preserve">  </w:t>
      </w:r>
      <w:r>
        <w:rPr>
          <w:b/>
          <w:bCs/>
        </w:rPr>
        <w:t>Chemical Referral:</w:t>
      </w:r>
      <w:r w:rsidR="00721FE6">
        <w:t xml:space="preserve"> </w:t>
      </w:r>
      <w:r>
        <w:t>EPA offices that have identified information-gathering or follow-up monitoring needs for a particular existing chemical may refer the substance to OPPT.</w:t>
      </w:r>
      <w:r w:rsidR="00721FE6">
        <w:t xml:space="preserve"> </w:t>
      </w:r>
      <w:r>
        <w:t>A systematic process has been developed for receiving and handling chemical referrals.</w:t>
      </w:r>
      <w:r w:rsidR="00721FE6">
        <w:t xml:space="preserve"> </w:t>
      </w:r>
      <w:r>
        <w:t>Offices referring substances are asked to prepare concise summaries of relevant data.</w:t>
      </w:r>
      <w:r w:rsidR="00721FE6">
        <w:t xml:space="preserve"> </w:t>
      </w:r>
      <w:r>
        <w:t>This information is used to select a regulatory approach and for rulemaking activities.</w:t>
      </w:r>
    </w:p>
    <w:p w14:paraId="7EA8901F" w14:textId="77777777" w:rsidR="00BE34E4" w:rsidRDefault="00BE34E4" w:rsidP="00BE34E4">
      <w:pPr>
        <w:ind w:firstLine="720"/>
      </w:pPr>
    </w:p>
    <w:p w14:paraId="23AE025B" w14:textId="4E651E50" w:rsidR="00BE34E4" w:rsidRDefault="00BE34E4" w:rsidP="00BE34E4">
      <w:pPr>
        <w:ind w:firstLine="720"/>
      </w:pPr>
      <w:r>
        <w:t>Step 2.</w:t>
      </w:r>
      <w:r w:rsidR="00721FE6">
        <w:t xml:space="preserve">  </w:t>
      </w:r>
      <w:r>
        <w:rPr>
          <w:b/>
          <w:bCs/>
        </w:rPr>
        <w:t>The Regulatory Selection Process - Referral and Review:</w:t>
      </w:r>
      <w:r w:rsidR="00721FE6">
        <w:t xml:space="preserve"> </w:t>
      </w:r>
      <w:r>
        <w:t>Once an office has detailed its need for information, an information collection approach is determined that best satisfies that office’s needs.</w:t>
      </w:r>
      <w:r w:rsidR="00721FE6">
        <w:t xml:space="preserve"> </w:t>
      </w:r>
      <w:r>
        <w:t>The rulemaking options are: a TSCA section 8(a) reporting rule, a TSCA section 8(c) call-in, a TSCA section 8(d) health and safety data reporting rule, a TSCA section 5(a)(2) SNUR, or any combination of the above.</w:t>
      </w:r>
      <w:r w:rsidR="00721FE6">
        <w:t xml:space="preserve"> </w:t>
      </w:r>
      <w:r>
        <w:t>It may also be determined that an alternative approach is more appropriate (e.g., use of existing data sources, no data-gathering at the present time, TSCA section 4 or 6 action, or referral to another office for information-gathering under a different statutory authority).</w:t>
      </w:r>
      <w:r w:rsidR="00FF132C">
        <w:t xml:space="preserve"> See Attachment 3 for selection criteria.</w:t>
      </w:r>
    </w:p>
    <w:p w14:paraId="659D11BB" w14:textId="77777777" w:rsidR="00BE34E4" w:rsidRDefault="00BE34E4" w:rsidP="00BE34E4"/>
    <w:p w14:paraId="55BE275F" w14:textId="0A83E78C" w:rsidR="00BE34E4" w:rsidRDefault="00BE34E4" w:rsidP="00BE34E4">
      <w:pPr>
        <w:ind w:firstLine="720"/>
      </w:pPr>
      <w:r>
        <w:t>Step 3.</w:t>
      </w:r>
      <w:r w:rsidR="00721FE6">
        <w:t xml:space="preserve">  </w:t>
      </w:r>
      <w:r>
        <w:rPr>
          <w:b/>
          <w:bCs/>
        </w:rPr>
        <w:t>Regulatory Development:</w:t>
      </w:r>
      <w:r w:rsidR="00721FE6">
        <w:t xml:space="preserve"> </w:t>
      </w:r>
      <w:r>
        <w:t>Prior to the development of a rule, the recommended rulemaking approach must be reviewed by the referring office and approved by the Office Director of OPPT.</w:t>
      </w:r>
      <w:r w:rsidR="00721FE6">
        <w:t xml:space="preserve"> </w:t>
      </w:r>
      <w:r>
        <w:t>If the recommendation is approved, then the rulemaking process begins.</w:t>
      </w:r>
    </w:p>
    <w:p w14:paraId="7AF94BB0" w14:textId="77777777" w:rsidR="00BE34E4" w:rsidRDefault="00BE34E4" w:rsidP="00BE34E4"/>
    <w:p w14:paraId="48D99985" w14:textId="5145CAC4" w:rsidR="00BE34E4" w:rsidRDefault="00BE34E4" w:rsidP="00BE34E4">
      <w:pPr>
        <w:ind w:firstLine="720"/>
      </w:pPr>
      <w:r>
        <w:t>A</w:t>
      </w:r>
      <w:r w:rsidR="00FF132C">
        <w:t>n existing chemical</w:t>
      </w:r>
      <w:r>
        <w:t xml:space="preserve"> SNUR is </w:t>
      </w:r>
      <w:r w:rsidR="00FF132C">
        <w:t xml:space="preserve">developed and, if OMB determines that the proposed and/or final rule is a significant regulatory action under Executive Order 12866, the draft rule is submitted to OMB for interagency review under Executive Order 12866 prior to proposing or promulgating the rule in the </w:t>
      </w:r>
      <w:r w:rsidR="00FF132C">
        <w:rPr>
          <w:i/>
        </w:rPr>
        <w:t xml:space="preserve">Federal Register. </w:t>
      </w:r>
    </w:p>
    <w:p w14:paraId="5EE36373" w14:textId="77777777" w:rsidR="00BE34E4" w:rsidRDefault="00BE34E4" w:rsidP="00BE34E4"/>
    <w:p w14:paraId="546B0E57" w14:textId="77777777" w:rsidR="00BE34E4" w:rsidRDefault="00BE34E4" w:rsidP="00BE34E4">
      <w:pPr>
        <w:ind w:left="1440" w:hanging="720"/>
      </w:pPr>
      <w:r>
        <w:rPr>
          <w:b/>
          <w:bCs/>
        </w:rPr>
        <w:t>5(b)</w:t>
      </w:r>
      <w:r>
        <w:rPr>
          <w:b/>
          <w:bCs/>
        </w:rPr>
        <w:tab/>
        <w:t>Collection Methodology and Management</w:t>
      </w:r>
    </w:p>
    <w:p w14:paraId="2A11F819" w14:textId="77777777" w:rsidR="00BE34E4" w:rsidRDefault="00BE34E4" w:rsidP="00BE34E4"/>
    <w:p w14:paraId="0E679E6B" w14:textId="66FABC91" w:rsidR="00BE34E4" w:rsidRPr="00800EC5" w:rsidRDefault="00BE34E4" w:rsidP="00BE34E4">
      <w:pPr>
        <w:widowControl/>
        <w:ind w:firstLine="720"/>
      </w:pPr>
      <w:r>
        <w:t>S</w:t>
      </w:r>
      <w:r w:rsidRPr="00800EC5">
        <w:t xml:space="preserve">ubmitters </w:t>
      </w:r>
      <w:r>
        <w:t>are</w:t>
      </w:r>
      <w:r w:rsidRPr="00800EC5">
        <w:t xml:space="preserve"> able to generate TSCA section 5 notices, including SNUNs, using the e-PMN </w:t>
      </w:r>
      <w:r>
        <w:t xml:space="preserve">software </w:t>
      </w:r>
      <w:r w:rsidRPr="00800EC5">
        <w:t>available at the EPA New Chemicals Program website (</w:t>
      </w:r>
      <w:hyperlink r:id="rId15" w:history="1">
        <w:r w:rsidRPr="00CB399A">
          <w:rPr>
            <w:rStyle w:val="Hyperlink"/>
          </w:rPr>
          <w:t>https://cdx.epa.gov/ssl/pmn/download.asp</w:t>
        </w:r>
      </w:hyperlink>
      <w:r w:rsidRPr="00800EC5">
        <w:t>).</w:t>
      </w:r>
      <w:r w:rsidR="00721FE6">
        <w:t xml:space="preserve"> </w:t>
      </w:r>
      <w:r w:rsidRPr="00800EC5">
        <w:t>The e-PMN software is available as a free internet download. The data being transmitted electronically via CDX is encrypted to protect CBI.</w:t>
      </w:r>
      <w:r w:rsidR="00721FE6">
        <w:t xml:space="preserve"> </w:t>
      </w:r>
      <w:r w:rsidRPr="00800EC5">
        <w:t>CDX is the mechanism for submission of section 5 notices to the Agency. An electronic signature will be required for TSCA section 5 notices submitted to the Agency via CDX.</w:t>
      </w:r>
      <w:r w:rsidR="00721FE6">
        <w:t xml:space="preserve"> </w:t>
      </w:r>
      <w:r w:rsidRPr="00800EC5">
        <w:t>Electronic signatures are granted as part of the CDX user-registration process.</w:t>
      </w:r>
      <w:r w:rsidR="00721FE6">
        <w:t xml:space="preserve">  </w:t>
      </w:r>
    </w:p>
    <w:p w14:paraId="38351F5A" w14:textId="77777777" w:rsidR="00BE34E4" w:rsidRPr="00800EC5" w:rsidRDefault="00BE34E4" w:rsidP="00BE34E4">
      <w:pPr>
        <w:widowControl/>
        <w:rPr>
          <w:b/>
          <w:bCs/>
        </w:rPr>
      </w:pPr>
      <w:r w:rsidRPr="00800EC5">
        <w:rPr>
          <w:b/>
          <w:bCs/>
        </w:rPr>
        <w:tab/>
      </w:r>
      <w:r w:rsidRPr="00800EC5">
        <w:rPr>
          <w:b/>
          <w:bCs/>
        </w:rPr>
        <w:tab/>
      </w:r>
    </w:p>
    <w:p w14:paraId="6900872D" w14:textId="359987D3" w:rsidR="00BE34E4" w:rsidRPr="00800EC5" w:rsidRDefault="00BE34E4" w:rsidP="00BE34E4">
      <w:pPr>
        <w:widowControl/>
        <w:ind w:firstLine="720"/>
      </w:pPr>
      <w:r w:rsidRPr="00800EC5">
        <w:t>Because companies will be registered with EPA to submit their data electronically to the Agency via CDX, the Agency in turn is able to communicate electronically with submitters via CDX.</w:t>
      </w:r>
      <w:r w:rsidR="00721FE6">
        <w:t xml:space="preserve"> </w:t>
      </w:r>
      <w:r w:rsidRPr="00800EC5">
        <w:t>Some examples of routine communications from EPA that could go through CDX include the Acknowledgment Letter (acknowledging receipt of a submission) and the Incomplete Letter (stating why a submission has been declared incomplete).</w:t>
      </w:r>
      <w:r w:rsidR="00721FE6">
        <w:t xml:space="preserve">  </w:t>
      </w:r>
    </w:p>
    <w:p w14:paraId="544EAE20" w14:textId="77777777" w:rsidR="00BE34E4" w:rsidRPr="00800EC5" w:rsidRDefault="00BE34E4" w:rsidP="00BE34E4">
      <w:pPr>
        <w:widowControl/>
      </w:pPr>
    </w:p>
    <w:p w14:paraId="697AE73A" w14:textId="46BE44F8" w:rsidR="00BE34E4" w:rsidRDefault="00BE34E4" w:rsidP="00BE34E4">
      <w:pPr>
        <w:ind w:firstLine="720"/>
      </w:pPr>
      <w:r w:rsidRPr="00800EC5">
        <w:t>SNUN submitters are required to use the e-PMN software to generate section 5 notices and support documents. The e-PMN software includes many useful features for section 5 notice preparers.</w:t>
      </w:r>
      <w:r w:rsidR="00721FE6">
        <w:t xml:space="preserve"> </w:t>
      </w:r>
      <w:r w:rsidRPr="00800EC5">
        <w:t>One feature is a built-in validation mechanism which will alert users that information, required by regulation, is missing or potentially incorrect.</w:t>
      </w:r>
      <w:r w:rsidR="00721FE6">
        <w:t xml:space="preserve"> </w:t>
      </w:r>
      <w:r w:rsidRPr="00800EC5">
        <w:t>This should help reduce the number of incomplete section 5 notices, saving submitter and EPA processing resources and</w:t>
      </w:r>
      <w:r>
        <w:t xml:space="preserve"> time.</w:t>
      </w:r>
      <w:r w:rsidR="00721FE6">
        <w:t xml:space="preserve"> </w:t>
      </w:r>
      <w:r>
        <w:t xml:space="preserve">Also, </w:t>
      </w:r>
      <w:r w:rsidRPr="00800EC5">
        <w:t>the new e-PMN software allows for the creation of a sanitized non-CBI version from the complete section 5 notices submission containing CBI.</w:t>
      </w:r>
      <w:r w:rsidR="00721FE6">
        <w:t xml:space="preserve"> </w:t>
      </w:r>
      <w:r w:rsidRPr="00800EC5">
        <w:t>It also allows submitters to share a draft notice within their company during the creation of a section 5 notice and to save a copy of the final file for future reference.</w:t>
      </w:r>
      <w:r w:rsidR="00721FE6">
        <w:t xml:space="preserve"> </w:t>
      </w:r>
      <w:r w:rsidRPr="00800EC5">
        <w:t>The software allows the submitter to create a profile with his/her contact information, which saves the submitter time in reentering that information on subsequent notices.</w:t>
      </w:r>
    </w:p>
    <w:p w14:paraId="0C68C7BF" w14:textId="77777777" w:rsidR="00FF132C" w:rsidRDefault="00FF132C" w:rsidP="00BE34E4">
      <w:pPr>
        <w:ind w:firstLine="720"/>
      </w:pPr>
    </w:p>
    <w:p w14:paraId="2B05819A" w14:textId="3CEBCC69" w:rsidR="00BE34E4" w:rsidRDefault="00BE34E4" w:rsidP="00BE34E4">
      <w:pPr>
        <w:ind w:firstLine="720"/>
      </w:pPr>
      <w:r w:rsidRPr="00800EC5">
        <w:t xml:space="preserve">In addition to support provided with the e-PMN software, </w:t>
      </w:r>
      <w:r>
        <w:t>OPPT has set up a TSCA Hotline that provides information regarding TSCA section 5(a)(2) reporting as well as other regulatory information.</w:t>
      </w:r>
      <w:r w:rsidR="00721FE6">
        <w:t xml:space="preserve"> </w:t>
      </w:r>
      <w:r>
        <w:t>When Hotline staff are unable to answer questions regarding TSCA section 5(a)(2), the questions are referred to the OPPT Chemical Control Division (CCD) staff for resolution.</w:t>
      </w:r>
    </w:p>
    <w:p w14:paraId="0D49A925" w14:textId="77777777" w:rsidR="00BE34E4" w:rsidRDefault="00BE34E4" w:rsidP="00BE34E4"/>
    <w:p w14:paraId="5DEAACC2" w14:textId="77777777" w:rsidR="00BE34E4" w:rsidRDefault="00BE34E4" w:rsidP="00BE34E4">
      <w:pPr>
        <w:ind w:left="1440" w:hanging="720"/>
      </w:pPr>
      <w:r>
        <w:rPr>
          <w:b/>
          <w:bCs/>
        </w:rPr>
        <w:t>5(c)</w:t>
      </w:r>
      <w:r>
        <w:rPr>
          <w:b/>
          <w:bCs/>
        </w:rPr>
        <w:tab/>
        <w:t>Small Entity Flexibility</w:t>
      </w:r>
    </w:p>
    <w:p w14:paraId="0EF270C9" w14:textId="77777777" w:rsidR="00BE34E4" w:rsidRDefault="00BE34E4" w:rsidP="00BE34E4"/>
    <w:p w14:paraId="05DD8E7D" w14:textId="4FDFDC51" w:rsidR="00BE34E4" w:rsidRDefault="00BE34E4" w:rsidP="00BE34E4">
      <w:pPr>
        <w:ind w:firstLine="720"/>
      </w:pPr>
      <w:r>
        <w:t>All business, regardless of size, must comply with the requirements of TSCA section 5.</w:t>
      </w:r>
      <w:r w:rsidR="00721FE6">
        <w:t xml:space="preserve"> </w:t>
      </w:r>
      <w:r>
        <w:t>However, OPPT has taken a number of steps intended to minimize the burden placed on small business.</w:t>
      </w:r>
      <w:r w:rsidR="00004F12">
        <w:t xml:space="preserve"> </w:t>
      </w:r>
      <w:r>
        <w:t xml:space="preserve">For instance, TSCA section 26(d) established an Assistance Office to provide technical and other nonfinancial assistance to manufacturers </w:t>
      </w:r>
      <w:r w:rsidR="00CA2A19">
        <w:t xml:space="preserve">(including </w:t>
      </w:r>
      <w:r>
        <w:t>importers</w:t>
      </w:r>
      <w:r w:rsidR="00CA2A19">
        <w:t>)</w:t>
      </w:r>
      <w:r>
        <w:t xml:space="preserve"> and processors of chemical substances and mixtures.</w:t>
      </w:r>
      <w:r w:rsidR="00721FE6">
        <w:t xml:space="preserve"> </w:t>
      </w:r>
      <w:r>
        <w:t>This office has established a toll-free hotline, performs on-site field visits and consultations, and has hired a contractor to assist small businesses, free of charge, in complying with TSCA requirements.</w:t>
      </w:r>
      <w:r w:rsidR="00721FE6">
        <w:t xml:space="preserve"> </w:t>
      </w:r>
      <w:r>
        <w:t>Small businesses also pay a lower fee for SNUN submissions.</w:t>
      </w:r>
    </w:p>
    <w:p w14:paraId="1FAFFF1E" w14:textId="77777777" w:rsidR="00BE34E4" w:rsidRDefault="00BE34E4" w:rsidP="00BE34E4"/>
    <w:p w14:paraId="3DDAF418" w14:textId="77777777" w:rsidR="00BE34E4" w:rsidRDefault="00BE34E4" w:rsidP="00BE34E4">
      <w:pPr>
        <w:ind w:left="1440" w:hanging="720"/>
      </w:pPr>
      <w:r>
        <w:rPr>
          <w:b/>
          <w:bCs/>
        </w:rPr>
        <w:t>5(d)</w:t>
      </w:r>
      <w:r>
        <w:rPr>
          <w:b/>
          <w:bCs/>
        </w:rPr>
        <w:tab/>
        <w:t>Collection Schedule</w:t>
      </w:r>
    </w:p>
    <w:p w14:paraId="13D32087" w14:textId="77777777" w:rsidR="00BE34E4" w:rsidRDefault="00BE34E4" w:rsidP="00BE34E4"/>
    <w:p w14:paraId="25938C6C" w14:textId="4972B82C" w:rsidR="00BE34E4" w:rsidRDefault="00BE34E4" w:rsidP="00BE34E4">
      <w:pPr>
        <w:ind w:firstLine="720"/>
      </w:pPr>
      <w:r>
        <w:t>Whenever any person intends to engage in a significant new use of an existing chemical substance, they are required to submit a notice of their intentions to EPA not less than 90 days before beginning to manufacture</w:t>
      </w:r>
      <w:r w:rsidR="00721FE6">
        <w:t xml:space="preserve"> </w:t>
      </w:r>
      <w:r w:rsidR="00CA2A19">
        <w:t xml:space="preserve">(including </w:t>
      </w:r>
      <w:r>
        <w:t>import</w:t>
      </w:r>
      <w:r w:rsidR="00CA2A19">
        <w:t>)</w:t>
      </w:r>
      <w:r>
        <w:t xml:space="preserve"> or process the substance for the intended use.</w:t>
      </w:r>
    </w:p>
    <w:p w14:paraId="287ED99C" w14:textId="77777777" w:rsidR="00BE34E4" w:rsidRDefault="00BE34E4" w:rsidP="00BE34E4"/>
    <w:p w14:paraId="384559AB" w14:textId="77777777" w:rsidR="00B912ED" w:rsidRDefault="00B912ED" w:rsidP="00B912ED">
      <w:pPr>
        <w:rPr>
          <w:b/>
        </w:rPr>
      </w:pPr>
    </w:p>
    <w:p w14:paraId="578DD866" w14:textId="77777777" w:rsidR="00B912ED" w:rsidRDefault="00B912ED" w:rsidP="00B912ED">
      <w:pPr>
        <w:rPr>
          <w:b/>
          <w:bCs/>
        </w:rPr>
      </w:pPr>
      <w:r w:rsidRPr="00087BC1">
        <w:rPr>
          <w:b/>
        </w:rPr>
        <w:t>6</w:t>
      </w:r>
      <w:r>
        <w:t>.</w:t>
      </w:r>
      <w:r>
        <w:tab/>
      </w:r>
      <w:r>
        <w:rPr>
          <w:b/>
          <w:bCs/>
        </w:rPr>
        <w:t xml:space="preserve">ESTIMATING THE BURDEN AND COST OF THE COLLECTION </w:t>
      </w:r>
    </w:p>
    <w:p w14:paraId="77B3B4BE" w14:textId="2C54C9AE" w:rsidR="00B912ED" w:rsidRDefault="00B912ED" w:rsidP="00B912ED">
      <w:pPr>
        <w:rPr>
          <w:b/>
          <w:bCs/>
        </w:rPr>
      </w:pPr>
    </w:p>
    <w:p w14:paraId="19CE3723" w14:textId="77777777" w:rsidR="00393AAE" w:rsidRDefault="00393AAE" w:rsidP="00393AAE">
      <w:pPr>
        <w:ind w:firstLine="720"/>
      </w:pPr>
      <w:r>
        <w:t>This section presents estimates of the cost and burden associated with the recordkeeping and reporting requirements for significant new use rules for existing chemicals under TSCA section 5(a)(2). The methodology used to estimate the recordkeeping costs, reporting costs, and burden for this ICR renewal is largely based on previous experience with SNURs, and is consistent with the analysis presented in the supporting statement prepared for the previous ICR. This ICR is updated from the previous ICR to account for the changes in burden resulting from updated assumptions and corrections to prior analyses.</w:t>
      </w:r>
    </w:p>
    <w:p w14:paraId="1725E686" w14:textId="77777777" w:rsidR="00393AAE" w:rsidRDefault="00393AAE" w:rsidP="00393AAE">
      <w:pPr>
        <w:ind w:firstLine="720"/>
      </w:pPr>
    </w:p>
    <w:p w14:paraId="24096DFC" w14:textId="77777777" w:rsidR="00393AAE" w:rsidRDefault="00393AAE" w:rsidP="00393AAE">
      <w:pPr>
        <w:ind w:firstLine="720"/>
      </w:pPr>
      <w:r>
        <w:t>To comply with the regulation, manufacturers (including importers) must complete the activities listed in Table 1. Table 1 also provides a cross-walk of the related Information Collection that corresponds to each activity.</w:t>
      </w:r>
    </w:p>
    <w:p w14:paraId="18CD2515" w14:textId="77777777" w:rsidR="00393AAE" w:rsidRDefault="00393AAE" w:rsidP="00393AAE">
      <w:pPr>
        <w:ind w:firstLine="720"/>
      </w:pPr>
    </w:p>
    <w:p w14:paraId="11144384" w14:textId="77777777" w:rsidR="00393AAE" w:rsidRPr="00F9765A" w:rsidRDefault="00393AAE" w:rsidP="00393AAE">
      <w:pPr>
        <w:widowControl/>
        <w:adjustRightInd/>
        <w:spacing w:after="200" w:line="276" w:lineRule="auto"/>
        <w:rPr>
          <w:b/>
        </w:rPr>
      </w:pPr>
      <w:bookmarkStart w:id="1" w:name="_Ref264803886"/>
      <w:r w:rsidRPr="00F9765A">
        <w:rPr>
          <w:b/>
        </w:rPr>
        <w:t xml:space="preserve">Table </w:t>
      </w:r>
      <w:r>
        <w:rPr>
          <w:b/>
        </w:rPr>
        <w:fldChar w:fldCharType="begin"/>
      </w:r>
      <w:r>
        <w:rPr>
          <w:b/>
        </w:rPr>
        <w:instrText xml:space="preserve"> SEQ Table \* ARABIC </w:instrText>
      </w:r>
      <w:r>
        <w:rPr>
          <w:b/>
        </w:rPr>
        <w:fldChar w:fldCharType="separate"/>
      </w:r>
      <w:r>
        <w:rPr>
          <w:b/>
          <w:noProof/>
        </w:rPr>
        <w:t>1</w:t>
      </w:r>
      <w:r>
        <w:rPr>
          <w:b/>
        </w:rPr>
        <w:fldChar w:fldCharType="end"/>
      </w:r>
      <w:bookmarkEnd w:id="1"/>
      <w:r w:rsidRPr="00F9765A">
        <w:rPr>
          <w:b/>
        </w:rPr>
        <w:t>: Cross-</w:t>
      </w:r>
      <w:r>
        <w:rPr>
          <w:b/>
        </w:rPr>
        <w:t>w</w:t>
      </w:r>
      <w:r w:rsidRPr="00F9765A">
        <w:rPr>
          <w:b/>
        </w:rPr>
        <w:t xml:space="preserve">alk between Industry Activities and Related Information Collections </w:t>
      </w:r>
      <w:r>
        <w:rPr>
          <w:b/>
        </w:rPr>
        <w:t>(</w:t>
      </w:r>
      <w:r w:rsidRPr="00F9765A">
        <w:rPr>
          <w:b/>
        </w:rPr>
        <w:t>ICs)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5226"/>
        <w:gridCol w:w="2922"/>
      </w:tblGrid>
      <w:tr w:rsidR="00393AAE" w14:paraId="4D4BA345" w14:textId="77777777" w:rsidTr="008D1A92">
        <w:trPr>
          <w:tblHeader/>
          <w:jc w:val="center"/>
        </w:trPr>
        <w:tc>
          <w:tcPr>
            <w:tcW w:w="1043" w:type="pct"/>
          </w:tcPr>
          <w:p w14:paraId="516ECADC" w14:textId="77777777" w:rsidR="00393AAE" w:rsidRPr="00F9765A" w:rsidRDefault="00393AAE" w:rsidP="008D1A92">
            <w:pPr>
              <w:rPr>
                <w:b/>
                <w:sz w:val="22"/>
              </w:rPr>
            </w:pPr>
            <w:r w:rsidRPr="00F9765A">
              <w:rPr>
                <w:b/>
                <w:sz w:val="22"/>
                <w:szCs w:val="22"/>
              </w:rPr>
              <w:t>Activity</w:t>
            </w:r>
          </w:p>
        </w:tc>
        <w:tc>
          <w:tcPr>
            <w:tcW w:w="2538" w:type="pct"/>
          </w:tcPr>
          <w:p w14:paraId="226944B2" w14:textId="77777777" w:rsidR="00393AAE" w:rsidRPr="00F9765A" w:rsidRDefault="00393AAE" w:rsidP="008D1A92">
            <w:pPr>
              <w:rPr>
                <w:b/>
                <w:sz w:val="22"/>
              </w:rPr>
            </w:pPr>
            <w:r w:rsidRPr="00F9765A">
              <w:rPr>
                <w:b/>
                <w:sz w:val="22"/>
                <w:szCs w:val="22"/>
              </w:rPr>
              <w:t>Description</w:t>
            </w:r>
          </w:p>
        </w:tc>
        <w:tc>
          <w:tcPr>
            <w:tcW w:w="1419" w:type="pct"/>
          </w:tcPr>
          <w:p w14:paraId="3B7D3449" w14:textId="77777777" w:rsidR="00393AAE" w:rsidRPr="00F9765A" w:rsidRDefault="00393AAE" w:rsidP="008D1A92">
            <w:pPr>
              <w:rPr>
                <w:b/>
                <w:sz w:val="22"/>
              </w:rPr>
            </w:pPr>
            <w:r w:rsidRPr="00F9765A">
              <w:rPr>
                <w:b/>
                <w:sz w:val="22"/>
                <w:szCs w:val="22"/>
              </w:rPr>
              <w:t>Related IC(s)</w:t>
            </w:r>
          </w:p>
        </w:tc>
      </w:tr>
      <w:tr w:rsidR="00393AAE" w14:paraId="03E14207" w14:textId="77777777" w:rsidTr="008D1A92">
        <w:trPr>
          <w:jc w:val="center"/>
        </w:trPr>
        <w:tc>
          <w:tcPr>
            <w:tcW w:w="1043" w:type="pct"/>
          </w:tcPr>
          <w:p w14:paraId="69C3643B" w14:textId="77777777" w:rsidR="00393AAE" w:rsidRPr="00F82A57" w:rsidRDefault="00393AAE" w:rsidP="008D1A92">
            <w:pPr>
              <w:rPr>
                <w:bCs/>
                <w:sz w:val="22"/>
              </w:rPr>
            </w:pPr>
            <w:r w:rsidRPr="0044021A">
              <w:rPr>
                <w:sz w:val="22"/>
                <w:szCs w:val="22"/>
              </w:rPr>
              <w:t xml:space="preserve">Chemical </w:t>
            </w:r>
            <w:r>
              <w:rPr>
                <w:sz w:val="22"/>
                <w:szCs w:val="22"/>
              </w:rPr>
              <w:t>v</w:t>
            </w:r>
            <w:r w:rsidRPr="0044021A">
              <w:rPr>
                <w:sz w:val="22"/>
                <w:szCs w:val="22"/>
              </w:rPr>
              <w:t>erification</w:t>
            </w:r>
            <w:r w:rsidRPr="00F82A57">
              <w:rPr>
                <w:sz w:val="22"/>
                <w:szCs w:val="22"/>
              </w:rPr>
              <w:t xml:space="preserve"> </w:t>
            </w:r>
          </w:p>
        </w:tc>
        <w:tc>
          <w:tcPr>
            <w:tcW w:w="2538" w:type="pct"/>
          </w:tcPr>
          <w:p w14:paraId="07E9274B" w14:textId="77777777" w:rsidR="00393AAE" w:rsidRPr="00672AEA" w:rsidRDefault="00393AAE" w:rsidP="008D1A92">
            <w:pPr>
              <w:rPr>
                <w:sz w:val="22"/>
              </w:rPr>
            </w:pPr>
            <w:r w:rsidRPr="00672AEA">
              <w:rPr>
                <w:sz w:val="22"/>
                <w:szCs w:val="22"/>
              </w:rPr>
              <w:t xml:space="preserve">When a SNUR is published, companies must review the rule to verify </w:t>
            </w:r>
            <w:r>
              <w:rPr>
                <w:sz w:val="22"/>
                <w:szCs w:val="22"/>
              </w:rPr>
              <w:t>whether</w:t>
            </w:r>
            <w:r w:rsidRPr="00672AEA">
              <w:rPr>
                <w:sz w:val="22"/>
                <w:szCs w:val="22"/>
              </w:rPr>
              <w:t xml:space="preserve"> </w:t>
            </w:r>
            <w:r>
              <w:rPr>
                <w:sz w:val="22"/>
                <w:szCs w:val="22"/>
              </w:rPr>
              <w:t>a</w:t>
            </w:r>
            <w:r w:rsidRPr="00672AEA">
              <w:rPr>
                <w:sz w:val="22"/>
                <w:szCs w:val="22"/>
              </w:rPr>
              <w:t xml:space="preserve"> chemical </w:t>
            </w:r>
            <w:r>
              <w:rPr>
                <w:sz w:val="22"/>
                <w:szCs w:val="22"/>
              </w:rPr>
              <w:t xml:space="preserve">they manufacture (including import) </w:t>
            </w:r>
            <w:r w:rsidRPr="00672AEA">
              <w:rPr>
                <w:sz w:val="22"/>
                <w:szCs w:val="22"/>
              </w:rPr>
              <w:t>is subject to the rule</w:t>
            </w:r>
            <w:r>
              <w:rPr>
                <w:sz w:val="22"/>
                <w:szCs w:val="22"/>
              </w:rPr>
              <w:t>.</w:t>
            </w:r>
          </w:p>
        </w:tc>
        <w:tc>
          <w:tcPr>
            <w:tcW w:w="1419" w:type="pct"/>
          </w:tcPr>
          <w:p w14:paraId="16952564" w14:textId="77777777" w:rsidR="00393AAE" w:rsidRPr="0038330C" w:rsidRDefault="00393AAE" w:rsidP="008D1A92">
            <w:pPr>
              <w:rPr>
                <w:sz w:val="22"/>
              </w:rPr>
            </w:pPr>
            <w:r w:rsidRPr="00BF29B2">
              <w:rPr>
                <w:sz w:val="22"/>
                <w:szCs w:val="22"/>
              </w:rPr>
              <w:t>Chemical Verification</w:t>
            </w:r>
          </w:p>
          <w:p w14:paraId="72C82931" w14:textId="77777777" w:rsidR="00393AAE" w:rsidRPr="00672AEA" w:rsidRDefault="00393AAE" w:rsidP="008D1A92">
            <w:pPr>
              <w:rPr>
                <w:sz w:val="22"/>
              </w:rPr>
            </w:pPr>
          </w:p>
        </w:tc>
      </w:tr>
      <w:tr w:rsidR="00393AAE" w14:paraId="66194162" w14:textId="77777777" w:rsidTr="008D1A92">
        <w:trPr>
          <w:jc w:val="center"/>
        </w:trPr>
        <w:tc>
          <w:tcPr>
            <w:tcW w:w="1043" w:type="pct"/>
          </w:tcPr>
          <w:p w14:paraId="73AEB884" w14:textId="77777777" w:rsidR="00393AAE" w:rsidRPr="00F82A57" w:rsidRDefault="00393AAE" w:rsidP="008D1A92">
            <w:pPr>
              <w:rPr>
                <w:sz w:val="22"/>
              </w:rPr>
            </w:pPr>
            <w:r w:rsidRPr="00F82A57">
              <w:rPr>
                <w:bCs/>
                <w:sz w:val="22"/>
                <w:szCs w:val="22"/>
              </w:rPr>
              <w:t xml:space="preserve">Rule </w:t>
            </w:r>
            <w:r>
              <w:rPr>
                <w:bCs/>
                <w:sz w:val="22"/>
                <w:szCs w:val="22"/>
              </w:rPr>
              <w:t>f</w:t>
            </w:r>
            <w:r w:rsidRPr="00F82A57">
              <w:rPr>
                <w:bCs/>
                <w:sz w:val="22"/>
                <w:szCs w:val="22"/>
              </w:rPr>
              <w:t>amiliarization</w:t>
            </w:r>
          </w:p>
        </w:tc>
        <w:tc>
          <w:tcPr>
            <w:tcW w:w="2538" w:type="pct"/>
          </w:tcPr>
          <w:p w14:paraId="10E9A614" w14:textId="77777777" w:rsidR="00393AAE" w:rsidRPr="00672AEA" w:rsidRDefault="00393AAE" w:rsidP="008D1A92">
            <w:pPr>
              <w:rPr>
                <w:sz w:val="22"/>
              </w:rPr>
            </w:pPr>
            <w:r w:rsidRPr="00672AEA">
              <w:rPr>
                <w:sz w:val="22"/>
                <w:szCs w:val="22"/>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1419" w:type="pct"/>
          </w:tcPr>
          <w:p w14:paraId="6E950622" w14:textId="77777777" w:rsidR="00393AAE" w:rsidRPr="00672AEA" w:rsidRDefault="00393AAE" w:rsidP="008D1A92">
            <w:pPr>
              <w:rPr>
                <w:sz w:val="22"/>
              </w:rPr>
            </w:pPr>
            <w:r w:rsidRPr="00672AEA">
              <w:rPr>
                <w:sz w:val="22"/>
                <w:szCs w:val="22"/>
              </w:rPr>
              <w:t>Rule Familiarization</w:t>
            </w:r>
          </w:p>
        </w:tc>
      </w:tr>
      <w:tr w:rsidR="00393AAE" w14:paraId="4C5E5E50" w14:textId="77777777" w:rsidTr="008D1A92">
        <w:trPr>
          <w:cantSplit/>
          <w:jc w:val="center"/>
        </w:trPr>
        <w:tc>
          <w:tcPr>
            <w:tcW w:w="1043" w:type="pct"/>
          </w:tcPr>
          <w:p w14:paraId="71EE3054" w14:textId="77777777" w:rsidR="00393AAE" w:rsidRPr="00F82A57" w:rsidRDefault="00393AAE" w:rsidP="008D1A92">
            <w:pPr>
              <w:rPr>
                <w:bCs/>
                <w:sz w:val="22"/>
              </w:rPr>
            </w:pPr>
            <w:r>
              <w:rPr>
                <w:bCs/>
                <w:sz w:val="22"/>
                <w:szCs w:val="22"/>
              </w:rPr>
              <w:t>CDX r</w:t>
            </w:r>
            <w:r w:rsidRPr="00F82A57">
              <w:rPr>
                <w:bCs/>
                <w:sz w:val="22"/>
                <w:szCs w:val="22"/>
              </w:rPr>
              <w:t>egistration</w:t>
            </w:r>
            <w:r>
              <w:rPr>
                <w:bCs/>
                <w:sz w:val="22"/>
                <w:szCs w:val="22"/>
              </w:rPr>
              <w:t>, electronic signature agreement, and Pay.gov account set up</w:t>
            </w:r>
            <w:r w:rsidRPr="00F82A57">
              <w:rPr>
                <w:bCs/>
                <w:sz w:val="22"/>
                <w:szCs w:val="22"/>
              </w:rPr>
              <w:t xml:space="preserve"> </w:t>
            </w:r>
          </w:p>
        </w:tc>
        <w:tc>
          <w:tcPr>
            <w:tcW w:w="2538" w:type="pct"/>
          </w:tcPr>
          <w:p w14:paraId="59C0FDA6" w14:textId="77777777" w:rsidR="00393AAE" w:rsidRPr="00672AEA" w:rsidRDefault="00393AAE" w:rsidP="008D1A92">
            <w:pPr>
              <w:rPr>
                <w:sz w:val="22"/>
              </w:rPr>
            </w:pPr>
            <w:r w:rsidRPr="00672AEA">
              <w:rPr>
                <w:sz w:val="22"/>
                <w:szCs w:val="22"/>
              </w:rPr>
              <w:t xml:space="preserve">Before submitting </w:t>
            </w:r>
            <w:r>
              <w:rPr>
                <w:sz w:val="22"/>
                <w:szCs w:val="22"/>
              </w:rPr>
              <w:t>a SNUN</w:t>
            </w:r>
            <w:r w:rsidRPr="00672AEA">
              <w:rPr>
                <w:sz w:val="22"/>
                <w:szCs w:val="22"/>
              </w:rPr>
              <w:t>, all respondents must register with CDX. In addition, respondents must complete an Electronic Signature Agreement form, which is signed, dated, and either submitted electronically or mailed back to EPA</w:t>
            </w:r>
            <w:r>
              <w:rPr>
                <w:sz w:val="22"/>
                <w:szCs w:val="22"/>
              </w:rPr>
              <w:t>, and register for a Pay.gov account</w:t>
            </w:r>
            <w:r w:rsidRPr="00672AEA">
              <w:rPr>
                <w:sz w:val="22"/>
                <w:szCs w:val="22"/>
              </w:rPr>
              <w:t>.</w:t>
            </w:r>
          </w:p>
        </w:tc>
        <w:tc>
          <w:tcPr>
            <w:tcW w:w="1419" w:type="pct"/>
          </w:tcPr>
          <w:p w14:paraId="5BCFC250" w14:textId="77777777" w:rsidR="00393AAE" w:rsidRPr="00672AEA" w:rsidRDefault="00393AAE" w:rsidP="008D1A92">
            <w:pPr>
              <w:rPr>
                <w:sz w:val="22"/>
              </w:rPr>
            </w:pPr>
            <w:r w:rsidRPr="00672AEA">
              <w:rPr>
                <w:sz w:val="22"/>
                <w:szCs w:val="22"/>
              </w:rPr>
              <w:t>CDX Registration Activities</w:t>
            </w:r>
          </w:p>
        </w:tc>
      </w:tr>
      <w:tr w:rsidR="00393AAE" w14:paraId="46B7E356" w14:textId="77777777" w:rsidTr="008D1A92">
        <w:trPr>
          <w:cantSplit/>
          <w:jc w:val="center"/>
        </w:trPr>
        <w:tc>
          <w:tcPr>
            <w:tcW w:w="1043" w:type="pct"/>
          </w:tcPr>
          <w:p w14:paraId="5B550870" w14:textId="77777777" w:rsidR="00393AAE" w:rsidRPr="00F82A57" w:rsidRDefault="00393AAE" w:rsidP="008D1A92">
            <w:pPr>
              <w:rPr>
                <w:sz w:val="22"/>
              </w:rPr>
            </w:pPr>
            <w:r>
              <w:rPr>
                <w:bCs/>
                <w:sz w:val="22"/>
                <w:szCs w:val="22"/>
              </w:rPr>
              <w:t>P</w:t>
            </w:r>
            <w:r w:rsidRPr="00F82A57">
              <w:rPr>
                <w:bCs/>
                <w:sz w:val="22"/>
                <w:szCs w:val="22"/>
              </w:rPr>
              <w:t>reparation of reports (form completion and form submission)</w:t>
            </w:r>
          </w:p>
        </w:tc>
        <w:tc>
          <w:tcPr>
            <w:tcW w:w="2538" w:type="pct"/>
          </w:tcPr>
          <w:p w14:paraId="6831A7AC" w14:textId="77777777" w:rsidR="00393AAE" w:rsidRPr="00672AEA" w:rsidRDefault="00393AAE" w:rsidP="008D1A92">
            <w:pPr>
              <w:rPr>
                <w:sz w:val="22"/>
              </w:rPr>
            </w:pPr>
            <w:r w:rsidRPr="00672AEA">
              <w:rPr>
                <w:sz w:val="22"/>
                <w:szCs w:val="22"/>
              </w:rPr>
              <w:t xml:space="preserve">Site staff must collect all information required for a SNUN and submit an electronic SNUN form. Firms must also keep records supporting their submissions. </w:t>
            </w:r>
          </w:p>
        </w:tc>
        <w:tc>
          <w:tcPr>
            <w:tcW w:w="1419" w:type="pct"/>
          </w:tcPr>
          <w:p w14:paraId="53FA5C68" w14:textId="77777777" w:rsidR="00393AAE" w:rsidRPr="00672AEA" w:rsidRDefault="00393AAE" w:rsidP="008D1A92">
            <w:pPr>
              <w:rPr>
                <w:sz w:val="22"/>
              </w:rPr>
            </w:pPr>
            <w:r w:rsidRPr="00672AEA">
              <w:rPr>
                <w:sz w:val="22"/>
                <w:szCs w:val="22"/>
              </w:rPr>
              <w:t>Prepare and Submit Report, and Maintain Records</w:t>
            </w:r>
          </w:p>
        </w:tc>
      </w:tr>
    </w:tbl>
    <w:p w14:paraId="1799471E" w14:textId="77777777" w:rsidR="00393AAE" w:rsidRDefault="00393AAE" w:rsidP="00393AAE">
      <w:pPr>
        <w:ind w:firstLine="510"/>
        <w:rPr>
          <w:b/>
        </w:rPr>
      </w:pPr>
    </w:p>
    <w:p w14:paraId="6E49FA73" w14:textId="77777777" w:rsidR="00393AAE" w:rsidRDefault="00393AAE" w:rsidP="00393AAE">
      <w:pPr>
        <w:ind w:firstLine="510"/>
      </w:pPr>
      <w:r w:rsidRPr="00FF4F0C">
        <w:rPr>
          <w:b/>
        </w:rPr>
        <w:t>6(a)</w:t>
      </w:r>
      <w:r>
        <w:rPr>
          <w:b/>
        </w:rPr>
        <w:t xml:space="preserve"> </w:t>
      </w:r>
      <w:r>
        <w:rPr>
          <w:b/>
        </w:rPr>
        <w:tab/>
      </w:r>
      <w:r w:rsidRPr="00FF4F0C">
        <w:rPr>
          <w:b/>
        </w:rPr>
        <w:t>Estimating Respondent Burden</w:t>
      </w:r>
    </w:p>
    <w:p w14:paraId="271A0298" w14:textId="77777777" w:rsidR="00393AAE" w:rsidRDefault="00393AAE" w:rsidP="00393AAE">
      <w:pPr>
        <w:rPr>
          <w:u w:val="single"/>
        </w:rPr>
      </w:pPr>
    </w:p>
    <w:p w14:paraId="2BE23B97" w14:textId="77777777" w:rsidR="00393AAE" w:rsidRDefault="00393AAE" w:rsidP="00393AAE">
      <w:pPr>
        <w:ind w:firstLine="510"/>
      </w:pPr>
      <w:r>
        <w:rPr>
          <w:u w:val="single"/>
        </w:rPr>
        <w:t>Number of Significant New Use Notices Projected</w:t>
      </w:r>
    </w:p>
    <w:p w14:paraId="2114D671" w14:textId="77777777" w:rsidR="00393AAE" w:rsidRDefault="00393AAE" w:rsidP="00393AAE"/>
    <w:p w14:paraId="37736493" w14:textId="77777777" w:rsidR="00393AAE" w:rsidRDefault="00393AAE" w:rsidP="00393AAE">
      <w:pPr>
        <w:pStyle w:val="NormalWeb"/>
        <w:spacing w:before="0" w:beforeAutospacing="0" w:after="0" w:afterAutospacing="0" w:line="312" w:lineRule="atLeast"/>
        <w:ind w:firstLine="510"/>
      </w:pPr>
      <w:r w:rsidRPr="00155FC0">
        <w:t xml:space="preserve">During the years </w:t>
      </w:r>
      <w:r>
        <w:t>2012</w:t>
      </w:r>
      <w:r w:rsidRPr="00155FC0">
        <w:t xml:space="preserve"> through </w:t>
      </w:r>
      <w:r>
        <w:t xml:space="preserve">May </w:t>
      </w:r>
      <w:r w:rsidRPr="00155FC0">
        <w:t>201</w:t>
      </w:r>
      <w:r>
        <w:t>5</w:t>
      </w:r>
      <w:r w:rsidRPr="00155FC0">
        <w:t xml:space="preserve">, EPA proposed </w:t>
      </w:r>
      <w:r>
        <w:t xml:space="preserve">five and finalized five </w:t>
      </w:r>
      <w:r w:rsidRPr="00155FC0">
        <w:t>existing chemical SNURs under TSCA section 5(a)(2).</w:t>
      </w:r>
      <w:r>
        <w:t xml:space="preserve"> </w:t>
      </w:r>
      <w:r>
        <w:rPr>
          <w:color w:val="000000"/>
          <w:shd w:val="clear" w:color="auto" w:fill="FFFFFF"/>
        </w:rPr>
        <w:t xml:space="preserve">EPA expects to promulgate six existing chemical SNURs between 2018 and 2020, for an average of two existing chemical SNURs per year. </w:t>
      </w:r>
      <w:r w:rsidRPr="006F3780">
        <w:t xml:space="preserve">Therefore, EPA is estimating an average </w:t>
      </w:r>
      <w:r w:rsidRPr="00A61570">
        <w:t xml:space="preserve">of </w:t>
      </w:r>
      <w:r>
        <w:t>two</w:t>
      </w:r>
      <w:r w:rsidRPr="00A61570">
        <w:t xml:space="preserve"> existing</w:t>
      </w:r>
      <w:r w:rsidRPr="006F3780">
        <w:t xml:space="preserve"> chemical SNURs per year under TSCA section 5(a)(2) during the period covered by this ICR</w:t>
      </w:r>
      <w:r w:rsidRPr="000F0CBA">
        <w:rPr>
          <w:rStyle w:val="FootnoteReference"/>
          <w:vertAlign w:val="superscript"/>
        </w:rPr>
        <w:footnoteReference w:id="1"/>
      </w:r>
      <w:r>
        <w:t>.</w:t>
      </w:r>
    </w:p>
    <w:p w14:paraId="60E625BB" w14:textId="77777777" w:rsidR="00393AAE" w:rsidRPr="00F02CBC" w:rsidRDefault="00393AAE" w:rsidP="00393AAE">
      <w:pPr>
        <w:pStyle w:val="NormalWeb"/>
        <w:spacing w:before="0" w:beforeAutospacing="0" w:after="0" w:afterAutospacing="0" w:line="312" w:lineRule="atLeast"/>
      </w:pPr>
    </w:p>
    <w:p w14:paraId="784257F6" w14:textId="77777777" w:rsidR="00393AAE" w:rsidRDefault="00393AAE" w:rsidP="00393AAE">
      <w:pPr>
        <w:pStyle w:val="NormalWeb"/>
        <w:spacing w:before="0" w:beforeAutospacing="0" w:after="0" w:afterAutospacing="0"/>
        <w:ind w:firstLine="720"/>
      </w:pPr>
      <w:r>
        <w:t>EPA may receive SNUNs as a result of SNURs. SNUNs cover SNURs that are issued for both the new chemical and existing chemical programs. EPA reviewed the number of SNUNs received between 2012 and 2015 and determined that only one of the 35 SNUNs received resulted from promulgation of an existing chemical SNUR. Therefore, this ICR conservatively estimates an average of one SNUN received per year as a result of existing chemical SNURs, with a single firm impacted per SNUN submitted.</w:t>
      </w:r>
    </w:p>
    <w:p w14:paraId="24358130" w14:textId="77777777" w:rsidR="00393AAE" w:rsidRDefault="00393AAE" w:rsidP="00393AAE">
      <w:pPr>
        <w:pStyle w:val="NormalWeb"/>
        <w:spacing w:before="0" w:beforeAutospacing="0" w:after="0" w:afterAutospacing="0"/>
        <w:ind w:firstLine="720"/>
      </w:pPr>
      <w:r>
        <w:t xml:space="preserve"> </w:t>
      </w:r>
    </w:p>
    <w:p w14:paraId="33A9DBFD" w14:textId="77777777" w:rsidR="00393AAE" w:rsidRDefault="00393AAE" w:rsidP="00393AAE">
      <w:pPr>
        <w:keepNext/>
        <w:tabs>
          <w:tab w:val="center" w:pos="4680"/>
        </w:tabs>
      </w:pPr>
      <w:r w:rsidRPr="00F9765A">
        <w:rPr>
          <w:b/>
        </w:rPr>
        <w:t xml:space="preserve">Table </w:t>
      </w:r>
      <w:r w:rsidRPr="00372FA7">
        <w:rPr>
          <w:b/>
        </w:rPr>
        <w:fldChar w:fldCharType="begin"/>
      </w:r>
      <w:r w:rsidRPr="00372FA7">
        <w:rPr>
          <w:b/>
        </w:rPr>
        <w:instrText xml:space="preserve"> SEQ Table \* ARABIC </w:instrText>
      </w:r>
      <w:r w:rsidRPr="00372FA7">
        <w:rPr>
          <w:b/>
        </w:rPr>
        <w:fldChar w:fldCharType="separate"/>
      </w:r>
      <w:r>
        <w:rPr>
          <w:b/>
          <w:noProof/>
        </w:rPr>
        <w:t>2</w:t>
      </w:r>
      <w:r w:rsidRPr="00372FA7">
        <w:rPr>
          <w:b/>
        </w:rPr>
        <w:fldChar w:fldCharType="end"/>
      </w:r>
      <w:r w:rsidRPr="00372FA7">
        <w:rPr>
          <w:b/>
        </w:rPr>
        <w:t>:</w:t>
      </w:r>
      <w:r w:rsidRPr="00F9765A">
        <w:rPr>
          <w:b/>
        </w:rPr>
        <w:t xml:space="preserve"> </w:t>
      </w:r>
      <w:r>
        <w:rPr>
          <w:b/>
          <w:bCs/>
        </w:rPr>
        <w:t>Anticipated Number of SNURs and SNUNs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2438"/>
        <w:gridCol w:w="3917"/>
        <w:gridCol w:w="3965"/>
      </w:tblGrid>
      <w:tr w:rsidR="00393AAE" w14:paraId="3FD58926" w14:textId="77777777" w:rsidTr="008D1A92">
        <w:trPr>
          <w:trHeight w:val="372"/>
          <w:jc w:val="center"/>
        </w:trPr>
        <w:tc>
          <w:tcPr>
            <w:tcW w:w="1181" w:type="pct"/>
            <w:vAlign w:val="center"/>
          </w:tcPr>
          <w:p w14:paraId="166952AD" w14:textId="77777777" w:rsidR="00393AAE" w:rsidRPr="00B8048B" w:rsidRDefault="00393AAE" w:rsidP="008D1A92">
            <w:pPr>
              <w:keepNext/>
              <w:jc w:val="center"/>
              <w:rPr>
                <w:b/>
                <w:bCs/>
                <w:sz w:val="22"/>
              </w:rPr>
            </w:pPr>
            <w:r w:rsidRPr="00B8048B">
              <w:rPr>
                <w:b/>
                <w:bCs/>
                <w:sz w:val="22"/>
                <w:szCs w:val="22"/>
              </w:rPr>
              <w:t>Year</w:t>
            </w:r>
          </w:p>
        </w:tc>
        <w:tc>
          <w:tcPr>
            <w:tcW w:w="1898" w:type="pct"/>
            <w:vAlign w:val="center"/>
          </w:tcPr>
          <w:p w14:paraId="6195818D" w14:textId="77777777" w:rsidR="00393AAE" w:rsidRPr="00B8048B" w:rsidRDefault="00393AAE" w:rsidP="008D1A92">
            <w:pPr>
              <w:keepNext/>
              <w:jc w:val="center"/>
              <w:rPr>
                <w:b/>
                <w:bCs/>
                <w:sz w:val="22"/>
              </w:rPr>
            </w:pPr>
            <w:r w:rsidRPr="00B8048B">
              <w:rPr>
                <w:b/>
                <w:bCs/>
                <w:sz w:val="22"/>
                <w:szCs w:val="22"/>
              </w:rPr>
              <w:t>Anticipated Number of SNURs</w:t>
            </w:r>
          </w:p>
        </w:tc>
        <w:tc>
          <w:tcPr>
            <w:tcW w:w="1921" w:type="pct"/>
            <w:vAlign w:val="center"/>
          </w:tcPr>
          <w:p w14:paraId="3F97DBBC" w14:textId="77777777" w:rsidR="00393AAE" w:rsidRPr="00B8048B" w:rsidRDefault="00393AAE" w:rsidP="008D1A92">
            <w:pPr>
              <w:keepNext/>
              <w:jc w:val="center"/>
              <w:rPr>
                <w:b/>
                <w:bCs/>
                <w:sz w:val="22"/>
              </w:rPr>
            </w:pPr>
            <w:r w:rsidRPr="00B8048B">
              <w:rPr>
                <w:b/>
                <w:bCs/>
                <w:sz w:val="22"/>
                <w:szCs w:val="22"/>
              </w:rPr>
              <w:t>Anticipated Number of SNUNS</w:t>
            </w:r>
          </w:p>
        </w:tc>
      </w:tr>
      <w:tr w:rsidR="00393AAE" w14:paraId="06106A1B" w14:textId="77777777" w:rsidTr="008D1A92">
        <w:trPr>
          <w:jc w:val="center"/>
        </w:trPr>
        <w:tc>
          <w:tcPr>
            <w:tcW w:w="1181" w:type="pct"/>
            <w:vAlign w:val="center"/>
          </w:tcPr>
          <w:p w14:paraId="7DFB4613" w14:textId="77777777" w:rsidR="00393AAE" w:rsidRPr="00B8048B" w:rsidRDefault="00393AAE" w:rsidP="008D1A92">
            <w:pPr>
              <w:keepNext/>
              <w:jc w:val="center"/>
              <w:rPr>
                <w:sz w:val="22"/>
              </w:rPr>
            </w:pPr>
            <w:r w:rsidRPr="00B8048B">
              <w:rPr>
                <w:sz w:val="22"/>
                <w:szCs w:val="22"/>
              </w:rPr>
              <w:t>First Year</w:t>
            </w:r>
          </w:p>
        </w:tc>
        <w:tc>
          <w:tcPr>
            <w:tcW w:w="1898" w:type="pct"/>
            <w:vAlign w:val="center"/>
          </w:tcPr>
          <w:p w14:paraId="2BBC4DDA" w14:textId="77777777" w:rsidR="00393AAE" w:rsidRPr="00B8048B" w:rsidRDefault="00393AAE" w:rsidP="008D1A92">
            <w:pPr>
              <w:keepNext/>
              <w:jc w:val="center"/>
              <w:rPr>
                <w:sz w:val="22"/>
              </w:rPr>
            </w:pPr>
            <w:r>
              <w:rPr>
                <w:color w:val="000000"/>
                <w:sz w:val="22"/>
                <w:szCs w:val="22"/>
              </w:rPr>
              <w:t>2</w:t>
            </w:r>
          </w:p>
        </w:tc>
        <w:tc>
          <w:tcPr>
            <w:tcW w:w="1921" w:type="pct"/>
            <w:vAlign w:val="center"/>
          </w:tcPr>
          <w:p w14:paraId="72035CEA" w14:textId="77777777" w:rsidR="00393AAE" w:rsidRPr="00B8048B" w:rsidRDefault="00393AAE" w:rsidP="008D1A92">
            <w:pPr>
              <w:keepNext/>
              <w:jc w:val="center"/>
              <w:rPr>
                <w:sz w:val="22"/>
              </w:rPr>
            </w:pPr>
            <w:r>
              <w:rPr>
                <w:color w:val="000000"/>
                <w:sz w:val="22"/>
                <w:szCs w:val="22"/>
              </w:rPr>
              <w:t>1</w:t>
            </w:r>
          </w:p>
        </w:tc>
      </w:tr>
      <w:tr w:rsidR="00393AAE" w14:paraId="6DB4BAB0" w14:textId="77777777" w:rsidTr="008D1A92">
        <w:trPr>
          <w:jc w:val="center"/>
        </w:trPr>
        <w:tc>
          <w:tcPr>
            <w:tcW w:w="1181" w:type="pct"/>
            <w:vAlign w:val="center"/>
          </w:tcPr>
          <w:p w14:paraId="3EC35344" w14:textId="77777777" w:rsidR="00393AAE" w:rsidRPr="00B8048B" w:rsidRDefault="00393AAE" w:rsidP="008D1A92">
            <w:pPr>
              <w:keepNext/>
              <w:jc w:val="center"/>
              <w:rPr>
                <w:sz w:val="22"/>
              </w:rPr>
            </w:pPr>
            <w:r w:rsidRPr="00B8048B">
              <w:rPr>
                <w:sz w:val="22"/>
                <w:szCs w:val="22"/>
              </w:rPr>
              <w:t>Second Year</w:t>
            </w:r>
          </w:p>
        </w:tc>
        <w:tc>
          <w:tcPr>
            <w:tcW w:w="1898" w:type="pct"/>
            <w:vAlign w:val="center"/>
          </w:tcPr>
          <w:p w14:paraId="665E4027" w14:textId="77777777" w:rsidR="00393AAE" w:rsidRPr="00B8048B" w:rsidRDefault="00393AAE" w:rsidP="008D1A92">
            <w:pPr>
              <w:keepNext/>
              <w:jc w:val="center"/>
              <w:rPr>
                <w:sz w:val="22"/>
              </w:rPr>
            </w:pPr>
            <w:r>
              <w:rPr>
                <w:color w:val="000000"/>
                <w:sz w:val="22"/>
                <w:szCs w:val="22"/>
              </w:rPr>
              <w:t>2</w:t>
            </w:r>
          </w:p>
        </w:tc>
        <w:tc>
          <w:tcPr>
            <w:tcW w:w="1921" w:type="pct"/>
            <w:vAlign w:val="center"/>
          </w:tcPr>
          <w:p w14:paraId="48CFF9F3" w14:textId="77777777" w:rsidR="00393AAE" w:rsidRPr="00B8048B" w:rsidRDefault="00393AAE" w:rsidP="008D1A92">
            <w:pPr>
              <w:keepNext/>
              <w:jc w:val="center"/>
              <w:rPr>
                <w:sz w:val="22"/>
              </w:rPr>
            </w:pPr>
            <w:r>
              <w:rPr>
                <w:color w:val="000000"/>
                <w:sz w:val="22"/>
                <w:szCs w:val="22"/>
              </w:rPr>
              <w:t>1</w:t>
            </w:r>
          </w:p>
        </w:tc>
      </w:tr>
      <w:tr w:rsidR="00393AAE" w14:paraId="639296D4" w14:textId="77777777" w:rsidTr="008D1A92">
        <w:trPr>
          <w:jc w:val="center"/>
        </w:trPr>
        <w:tc>
          <w:tcPr>
            <w:tcW w:w="1181" w:type="pct"/>
            <w:vAlign w:val="center"/>
          </w:tcPr>
          <w:p w14:paraId="496AE2DB" w14:textId="77777777" w:rsidR="00393AAE" w:rsidRPr="00B8048B" w:rsidRDefault="00393AAE" w:rsidP="008D1A92">
            <w:pPr>
              <w:keepNext/>
              <w:jc w:val="center"/>
              <w:rPr>
                <w:sz w:val="22"/>
              </w:rPr>
            </w:pPr>
            <w:r w:rsidRPr="00B8048B">
              <w:rPr>
                <w:sz w:val="22"/>
                <w:szCs w:val="22"/>
              </w:rPr>
              <w:t>Third Year</w:t>
            </w:r>
          </w:p>
        </w:tc>
        <w:tc>
          <w:tcPr>
            <w:tcW w:w="1898" w:type="pct"/>
            <w:vAlign w:val="center"/>
          </w:tcPr>
          <w:p w14:paraId="248DBB36" w14:textId="77777777" w:rsidR="00393AAE" w:rsidRPr="00B8048B" w:rsidRDefault="00393AAE" w:rsidP="008D1A92">
            <w:pPr>
              <w:keepNext/>
              <w:jc w:val="center"/>
              <w:rPr>
                <w:sz w:val="22"/>
              </w:rPr>
            </w:pPr>
            <w:r>
              <w:rPr>
                <w:color w:val="000000"/>
                <w:sz w:val="22"/>
                <w:szCs w:val="22"/>
              </w:rPr>
              <w:t>2</w:t>
            </w:r>
          </w:p>
        </w:tc>
        <w:tc>
          <w:tcPr>
            <w:tcW w:w="1921" w:type="pct"/>
            <w:vAlign w:val="center"/>
          </w:tcPr>
          <w:p w14:paraId="6C53BD50" w14:textId="77777777" w:rsidR="00393AAE" w:rsidRPr="00B8048B" w:rsidRDefault="00393AAE" w:rsidP="008D1A92">
            <w:pPr>
              <w:keepNext/>
              <w:jc w:val="center"/>
              <w:rPr>
                <w:sz w:val="22"/>
              </w:rPr>
            </w:pPr>
            <w:r>
              <w:rPr>
                <w:color w:val="000000"/>
                <w:sz w:val="22"/>
                <w:szCs w:val="22"/>
              </w:rPr>
              <w:t>1</w:t>
            </w:r>
          </w:p>
        </w:tc>
      </w:tr>
      <w:tr w:rsidR="00393AAE" w14:paraId="64526A7A" w14:textId="77777777" w:rsidTr="008D1A92">
        <w:trPr>
          <w:trHeight w:val="255"/>
          <w:jc w:val="center"/>
        </w:trPr>
        <w:tc>
          <w:tcPr>
            <w:tcW w:w="1181" w:type="pct"/>
            <w:vAlign w:val="center"/>
          </w:tcPr>
          <w:p w14:paraId="09B12B18" w14:textId="77777777" w:rsidR="00393AAE" w:rsidRPr="00B8048B" w:rsidRDefault="00393AAE" w:rsidP="008D1A92">
            <w:pPr>
              <w:keepNext/>
              <w:jc w:val="center"/>
              <w:rPr>
                <w:b/>
                <w:bCs/>
                <w:sz w:val="22"/>
              </w:rPr>
            </w:pPr>
            <w:r w:rsidRPr="00B8048B">
              <w:rPr>
                <w:b/>
                <w:bCs/>
                <w:sz w:val="22"/>
                <w:szCs w:val="22"/>
              </w:rPr>
              <w:t>Three Year Totals</w:t>
            </w:r>
          </w:p>
        </w:tc>
        <w:tc>
          <w:tcPr>
            <w:tcW w:w="1898" w:type="pct"/>
            <w:vAlign w:val="center"/>
          </w:tcPr>
          <w:p w14:paraId="6CCEF6A8" w14:textId="77777777" w:rsidR="00393AAE" w:rsidRPr="00B8048B" w:rsidRDefault="00393AAE" w:rsidP="008D1A92">
            <w:pPr>
              <w:keepNext/>
              <w:jc w:val="center"/>
              <w:rPr>
                <w:b/>
                <w:bCs/>
                <w:sz w:val="22"/>
              </w:rPr>
            </w:pPr>
            <w:r>
              <w:rPr>
                <w:b/>
                <w:bCs/>
                <w:color w:val="000000"/>
                <w:sz w:val="22"/>
                <w:szCs w:val="22"/>
              </w:rPr>
              <w:t>6</w:t>
            </w:r>
          </w:p>
        </w:tc>
        <w:tc>
          <w:tcPr>
            <w:tcW w:w="1921" w:type="pct"/>
            <w:vAlign w:val="center"/>
          </w:tcPr>
          <w:p w14:paraId="5AD97B0C" w14:textId="77777777" w:rsidR="00393AAE" w:rsidRPr="00B8048B" w:rsidRDefault="00393AAE" w:rsidP="008D1A92">
            <w:pPr>
              <w:keepNext/>
              <w:jc w:val="center"/>
              <w:rPr>
                <w:b/>
                <w:bCs/>
                <w:sz w:val="22"/>
              </w:rPr>
            </w:pPr>
            <w:r>
              <w:rPr>
                <w:b/>
                <w:bCs/>
                <w:color w:val="000000"/>
                <w:sz w:val="22"/>
                <w:szCs w:val="22"/>
              </w:rPr>
              <w:t>3</w:t>
            </w:r>
          </w:p>
        </w:tc>
      </w:tr>
    </w:tbl>
    <w:p w14:paraId="48CBB278" w14:textId="77777777" w:rsidR="00393AAE" w:rsidRDefault="00393AAE" w:rsidP="00393AAE"/>
    <w:p w14:paraId="498A91DD" w14:textId="77777777" w:rsidR="00393AAE" w:rsidRPr="0025736B" w:rsidRDefault="00393AAE" w:rsidP="00393AAE">
      <w:pPr>
        <w:numPr>
          <w:ilvl w:val="0"/>
          <w:numId w:val="20"/>
        </w:numPr>
      </w:pPr>
      <w:r w:rsidRPr="00BF29B2">
        <w:t>Alternative Responses</w:t>
      </w:r>
    </w:p>
    <w:p w14:paraId="640AB72E" w14:textId="77777777" w:rsidR="00393AAE" w:rsidRDefault="00393AAE" w:rsidP="00393AAE"/>
    <w:p w14:paraId="0A224F22" w14:textId="77777777" w:rsidR="00393AAE" w:rsidRDefault="00393AAE" w:rsidP="00393AAE">
      <w:pPr>
        <w:ind w:firstLine="720"/>
      </w:pPr>
      <w:r>
        <w:t>The burden associated with a SNUR could involve a number of possible industry responses. That is, when a SNUR is promulgated, a firm seeking to engage in a new use for a subject chemical has five options regarding possible courses of action that may generate burden:</w:t>
      </w:r>
    </w:p>
    <w:p w14:paraId="614282A6" w14:textId="77777777" w:rsidR="00393AAE" w:rsidRDefault="00393AAE" w:rsidP="00393AAE"/>
    <w:p w14:paraId="4F9AF617" w14:textId="77777777" w:rsidR="00393AAE" w:rsidRDefault="00393AAE" w:rsidP="00393AAE">
      <w:pPr>
        <w:tabs>
          <w:tab w:val="left" w:pos="-1440"/>
        </w:tabs>
        <w:ind w:left="1440" w:hanging="360"/>
      </w:pPr>
      <w:r>
        <w:t>1)</w:t>
      </w:r>
      <w:r>
        <w:tab/>
        <w:t xml:space="preserve">The company could submit a SNUN. This option would be chosen by any company not intending to abide by the provisions of the SNUR. </w:t>
      </w:r>
    </w:p>
    <w:p w14:paraId="06DFBDC1" w14:textId="77777777" w:rsidR="00393AAE" w:rsidRDefault="00393AAE" w:rsidP="00393AAE">
      <w:pPr>
        <w:ind w:firstLine="720"/>
      </w:pPr>
    </w:p>
    <w:p w14:paraId="507F5015" w14:textId="77777777" w:rsidR="00393AAE" w:rsidRDefault="00393AAE" w:rsidP="00393AAE">
      <w:pPr>
        <w:tabs>
          <w:tab w:val="left" w:pos="-1440"/>
        </w:tabs>
        <w:ind w:left="1440" w:hanging="360"/>
      </w:pPr>
      <w:r>
        <w:t>2)</w:t>
      </w:r>
      <w:r>
        <w:tab/>
        <w:t xml:space="preserve">In the event that a significant new use is described as the failure to establish and implement programs for providing for the use of specific measures to control worker exposure to or release of substances, a company can request an equivalency determination. This option would be chosen if a manufacturer (including importer) had reason to believe that there may be alternative methods not considered by EPA that provide equivalent or superior protection from worker exposure or environmental release of the subject chemical. </w:t>
      </w:r>
    </w:p>
    <w:p w14:paraId="3F300D98" w14:textId="77777777" w:rsidR="00393AAE" w:rsidRDefault="00393AAE" w:rsidP="00393AAE">
      <w:pPr>
        <w:ind w:hanging="360"/>
      </w:pPr>
    </w:p>
    <w:p w14:paraId="31866380" w14:textId="77777777" w:rsidR="00393AAE" w:rsidRDefault="00393AAE" w:rsidP="00393AAE">
      <w:pPr>
        <w:tabs>
          <w:tab w:val="left" w:pos="-1440"/>
        </w:tabs>
        <w:ind w:left="1440" w:hanging="360"/>
      </w:pPr>
      <w:r>
        <w:t>3)</w:t>
      </w:r>
      <w:r>
        <w:tab/>
        <w:t xml:space="preserve">The company can comply with the SNUR, ensuring that all provisions of the SNUR are implemented regarding the planned use of the subject chemical. </w:t>
      </w:r>
    </w:p>
    <w:p w14:paraId="0BA3F2D4" w14:textId="77777777" w:rsidR="00393AAE" w:rsidRDefault="00393AAE" w:rsidP="00393AAE">
      <w:pPr>
        <w:ind w:hanging="360"/>
      </w:pPr>
    </w:p>
    <w:p w14:paraId="2BA773E0" w14:textId="77777777" w:rsidR="00393AAE" w:rsidRDefault="00393AAE" w:rsidP="00393AAE">
      <w:pPr>
        <w:tabs>
          <w:tab w:val="left" w:pos="-1440"/>
        </w:tabs>
        <w:ind w:left="1440" w:hanging="360"/>
      </w:pPr>
      <w:r>
        <w:t>4)</w:t>
      </w:r>
      <w:r>
        <w:tab/>
        <w:t>The company can request review of the SNUR for possible modification or revocation.</w:t>
      </w:r>
    </w:p>
    <w:p w14:paraId="52152F71" w14:textId="77777777" w:rsidR="00393AAE" w:rsidRDefault="00393AAE" w:rsidP="00393AAE">
      <w:pPr>
        <w:ind w:hanging="360"/>
      </w:pPr>
    </w:p>
    <w:p w14:paraId="11C9DE71" w14:textId="77777777" w:rsidR="00393AAE" w:rsidRDefault="00393AAE" w:rsidP="00393AAE">
      <w:pPr>
        <w:widowControl/>
        <w:tabs>
          <w:tab w:val="left" w:pos="-1440"/>
        </w:tabs>
        <w:ind w:left="1440" w:hanging="360"/>
      </w:pPr>
      <w:r>
        <w:t>5)</w:t>
      </w:r>
      <w:r>
        <w:tab/>
        <w:t>The company may simply decide to forgo the new use, avoiding regulatory compliance activities altogether.</w:t>
      </w:r>
    </w:p>
    <w:p w14:paraId="0867471B" w14:textId="77777777" w:rsidR="00393AAE" w:rsidRDefault="00393AAE" w:rsidP="00393AAE">
      <w:pPr>
        <w:ind w:firstLine="720"/>
      </w:pPr>
    </w:p>
    <w:p w14:paraId="7D1F972B" w14:textId="77777777" w:rsidR="00393AAE" w:rsidRDefault="00393AAE" w:rsidP="00393AAE">
      <w:pPr>
        <w:ind w:firstLine="720"/>
      </w:pPr>
      <w:r>
        <w:t>Additionally, under current regulations at 40 CFR 721.5(a)(2), all manufacturers (including importers) and processors of chemicals subject to SNURs are subject to certain requirements regardless of whether they engage in a significant new use unless certain information can be demonstrated</w:t>
      </w:r>
      <w:r w:rsidRPr="000F0CBA">
        <w:rPr>
          <w:rStyle w:val="FootnoteReference"/>
          <w:vertAlign w:val="superscript"/>
        </w:rPr>
        <w:footnoteReference w:id="2"/>
      </w:r>
      <w:r>
        <w:t>. However, without prior knowledge of chemicals which would be the subject of future SNURs, estimating the number of potentially affected entities subject to 40 CFR 721.5(a)(2) is not possible.</w:t>
      </w:r>
    </w:p>
    <w:p w14:paraId="3FF74DF3" w14:textId="77777777" w:rsidR="00393AAE" w:rsidRDefault="00393AAE" w:rsidP="00393AAE"/>
    <w:p w14:paraId="0D762A8A" w14:textId="77777777" w:rsidR="00393AAE" w:rsidRDefault="00393AAE" w:rsidP="00393AAE">
      <w:pPr>
        <w:ind w:firstLine="720"/>
      </w:pPr>
      <w:r>
        <w:t>The following section estimates the cost and burden of submitting a SNUN (option 1) and then discusses the other options qualitatively.</w:t>
      </w:r>
    </w:p>
    <w:p w14:paraId="094A99A6" w14:textId="77777777" w:rsidR="00393AAE" w:rsidRDefault="00393AAE" w:rsidP="00393AAE"/>
    <w:p w14:paraId="0DF51A8C" w14:textId="77777777" w:rsidR="00393AAE" w:rsidRPr="0025736B" w:rsidRDefault="00393AAE" w:rsidP="00393AAE">
      <w:pPr>
        <w:numPr>
          <w:ilvl w:val="0"/>
          <w:numId w:val="20"/>
        </w:numPr>
      </w:pPr>
      <w:r w:rsidRPr="00BF29B2">
        <w:t>Burden Estimates</w:t>
      </w:r>
    </w:p>
    <w:p w14:paraId="0F082AE7" w14:textId="77777777" w:rsidR="00393AAE" w:rsidRDefault="00393AAE" w:rsidP="00393AAE"/>
    <w:p w14:paraId="4762A2AE" w14:textId="77777777" w:rsidR="00393AAE" w:rsidRDefault="00393AAE" w:rsidP="00393AAE">
      <w:pPr>
        <w:ind w:firstLine="720"/>
      </w:pPr>
      <w:r>
        <w:t>TSCA section 5(a)(2) imposes two requirements on industry. First, manufacturers (including importers) and processors of chemicals must choose among the options mentioned above. This section presents estimates of submitting SNUNs (i.e., the first option) and then briefly discusses the other four options. Second, manufacturers (including importers) and processors of chemicals covered by SNURs will incur burden and costs associated with notifying customers of the hazards posed by the covered chemical. Therefore, they must first determine if their chemical is subject to the SNUR and then must determine how to notify their customers.</w:t>
      </w:r>
    </w:p>
    <w:p w14:paraId="2E07C0FB" w14:textId="77777777" w:rsidR="00393AAE" w:rsidRDefault="00393AAE" w:rsidP="00393AAE">
      <w:pPr>
        <w:ind w:firstLine="720"/>
      </w:pPr>
    </w:p>
    <w:p w14:paraId="7A8339DE" w14:textId="77777777" w:rsidR="00393AAE" w:rsidRDefault="00393AAE" w:rsidP="00393AAE">
      <w:pPr>
        <w:ind w:firstLine="720"/>
      </w:pPr>
      <w:r>
        <w:rPr>
          <w:u w:val="single"/>
        </w:rPr>
        <w:t>Chemical Verification</w:t>
      </w:r>
    </w:p>
    <w:p w14:paraId="174FEDF1" w14:textId="77777777" w:rsidR="00393AAE" w:rsidRDefault="00393AAE" w:rsidP="00393AAE"/>
    <w:p w14:paraId="7067E66D" w14:textId="77777777" w:rsidR="00393AAE" w:rsidRDefault="00393AAE" w:rsidP="00393AAE">
      <w:pPr>
        <w:ind w:firstLine="720"/>
      </w:pPr>
      <w:r>
        <w:t>When a SNUR is published, companies must review the rule to verify whether their chemical substance is subject to the rule</w:t>
      </w:r>
      <w:r w:rsidRPr="0051653A">
        <w:t xml:space="preserve">. </w:t>
      </w:r>
      <w:r>
        <w:t xml:space="preserve">EPA distinguishes between SNURs that regulate a specific chemical and SNURs that regulate a chemical formula, understood as a set of distinct chemicals that share a common chemical structure. EPA expects to promulgate </w:t>
      </w:r>
      <w:r>
        <w:rPr>
          <w:color w:val="000000"/>
          <w:shd w:val="clear" w:color="auto" w:fill="FFFFFF"/>
        </w:rPr>
        <w:t xml:space="preserve">six existing chemical SNURs during the three-year period covered by this ICR, covering an average of 4.33 chemicals and 0.83 chemical formulas per SNUR. </w:t>
      </w:r>
      <w:r>
        <w:t>The Agency typically notifies the manufacturer(s) of a chemical or a chemical formula subject to a SNUR prior to its issuance, reducing the time required for manufacturers to review the rule and verify that their chemical is subject to the SNUR. EPA estimates that an average of 0.17 hours (10 minutes) of technical labor time per chemical is used to verify that a chemical is subject to a SNUR and 0.50 hours (30 minutes) to verify that a chemical formula is subject to a SNUR. This is equivalent to 1.14 hours ([0.17 hours/chemical x 4.33 chemicals/SNUR] + [0.50 hours/chemical x 0.83 chemical formulas/SNUR] = 1.14 hours).</w:t>
      </w:r>
    </w:p>
    <w:p w14:paraId="5CFFE66C" w14:textId="77777777" w:rsidR="00393AAE" w:rsidRDefault="00393AAE" w:rsidP="00393AAE">
      <w:pPr>
        <w:ind w:firstLine="720"/>
      </w:pPr>
    </w:p>
    <w:p w14:paraId="60379CC4" w14:textId="77777777" w:rsidR="00393AAE" w:rsidRDefault="00393AAE" w:rsidP="00393AAE">
      <w:pPr>
        <w:pStyle w:val="Heading3"/>
        <w:spacing w:before="0" w:after="0"/>
        <w:ind w:firstLine="720"/>
        <w:rPr>
          <w:rFonts w:ascii="Times New Roman" w:hAnsi="Times New Roman"/>
          <w:b w:val="0"/>
          <w:sz w:val="24"/>
          <w:szCs w:val="24"/>
          <w:u w:val="single"/>
        </w:rPr>
      </w:pPr>
      <w:bookmarkStart w:id="2" w:name="_Toc271126403"/>
      <w:bookmarkStart w:id="3" w:name="_Ref273970259"/>
      <w:bookmarkStart w:id="4" w:name="_Ref300654005"/>
      <w:bookmarkStart w:id="5" w:name="_Ref300654011"/>
      <w:bookmarkStart w:id="6" w:name="_Toc301370438"/>
      <w:bookmarkStart w:id="7" w:name="_Toc301632899"/>
      <w:r w:rsidRPr="00672AEA">
        <w:rPr>
          <w:rFonts w:ascii="Times New Roman" w:hAnsi="Times New Roman"/>
          <w:b w:val="0"/>
          <w:sz w:val="24"/>
          <w:szCs w:val="24"/>
          <w:u w:val="single"/>
        </w:rPr>
        <w:t>Rule Familiarization</w:t>
      </w:r>
      <w:bookmarkEnd w:id="2"/>
      <w:bookmarkEnd w:id="3"/>
      <w:bookmarkEnd w:id="4"/>
      <w:bookmarkEnd w:id="5"/>
      <w:bookmarkEnd w:id="6"/>
      <w:bookmarkEnd w:id="7"/>
    </w:p>
    <w:p w14:paraId="5085FBBF" w14:textId="77777777" w:rsidR="00393AAE" w:rsidRPr="00F94EEF" w:rsidRDefault="00393AAE" w:rsidP="00393AAE">
      <w:pPr>
        <w:keepNext/>
      </w:pPr>
    </w:p>
    <w:p w14:paraId="3F17A17C" w14:textId="77777777" w:rsidR="00393AAE" w:rsidRDefault="00393AAE" w:rsidP="00393AAE">
      <w:pPr>
        <w:pStyle w:val="BodyText"/>
        <w:keepNext/>
        <w:spacing w:after="0"/>
        <w:ind w:firstLine="720"/>
        <w:rPr>
          <w:szCs w:val="24"/>
        </w:rPr>
      </w:pPr>
      <w:r>
        <w:rPr>
          <w:szCs w:val="24"/>
        </w:rPr>
        <w:t>Staff at f</w:t>
      </w:r>
      <w:r w:rsidRPr="00672AEA">
        <w:rPr>
          <w:szCs w:val="24"/>
        </w:rPr>
        <w:t xml:space="preserve">irms who are subject to the SNUR </w:t>
      </w:r>
      <w:r>
        <w:rPr>
          <w:szCs w:val="24"/>
        </w:rPr>
        <w:t xml:space="preserve">must </w:t>
      </w:r>
      <w:r w:rsidRPr="00672AEA">
        <w:rPr>
          <w:szCs w:val="24"/>
        </w:rPr>
        <w:t xml:space="preserve">become familiar with the SNUR and its various requirements. </w:t>
      </w:r>
      <w:r>
        <w:rPr>
          <w:szCs w:val="24"/>
        </w:rPr>
        <w:t>In EPA’s best professional judgment, r</w:t>
      </w:r>
      <w:r w:rsidRPr="00672AEA">
        <w:rPr>
          <w:szCs w:val="24"/>
        </w:rPr>
        <w:t xml:space="preserve">ule familiarization is estimated to </w:t>
      </w:r>
      <w:r>
        <w:rPr>
          <w:szCs w:val="24"/>
        </w:rPr>
        <w:t xml:space="preserve">be equivalent to the burden for companies to become familiar with the </w:t>
      </w:r>
      <w:r w:rsidRPr="00155FC0">
        <w:rPr>
          <w:iCs/>
          <w:szCs w:val="24"/>
        </w:rPr>
        <w:t>Premanufacture Notification Electronic Reporting Rule</w:t>
      </w:r>
      <w:r>
        <w:rPr>
          <w:iCs/>
          <w:szCs w:val="24"/>
        </w:rPr>
        <w:t xml:space="preserve">, which requires the </w:t>
      </w:r>
      <w:r w:rsidRPr="00672AEA">
        <w:rPr>
          <w:iCs/>
          <w:szCs w:val="24"/>
        </w:rPr>
        <w:t xml:space="preserve">mandatory electronic reporting of </w:t>
      </w:r>
      <w:r>
        <w:rPr>
          <w:iCs/>
          <w:szCs w:val="24"/>
        </w:rPr>
        <w:t>SNUNs and other TSCA s</w:t>
      </w:r>
      <w:r w:rsidRPr="00672AEA">
        <w:rPr>
          <w:iCs/>
          <w:szCs w:val="24"/>
        </w:rPr>
        <w:t>ection 5 notices</w:t>
      </w:r>
      <w:r>
        <w:rPr>
          <w:iCs/>
          <w:szCs w:val="24"/>
        </w:rPr>
        <w:t>:</w:t>
      </w:r>
      <w:r w:rsidRPr="00672AEA" w:rsidDel="00C4747B">
        <w:rPr>
          <w:szCs w:val="24"/>
        </w:rPr>
        <w:t xml:space="preserve"> </w:t>
      </w:r>
      <w:r w:rsidRPr="00672AEA">
        <w:rPr>
          <w:szCs w:val="24"/>
        </w:rPr>
        <w:t xml:space="preserve">0.55 hours of technical labor and 0.27 hours of managerial labor, as described in the </w:t>
      </w:r>
      <w:r w:rsidRPr="00672AEA">
        <w:rPr>
          <w:i/>
          <w:iCs/>
          <w:szCs w:val="24"/>
        </w:rPr>
        <w:t>Economic Analysis of the Premanufacture Notification Electronic Reporting Final Rule</w:t>
      </w:r>
      <w:r w:rsidRPr="00672AEA">
        <w:rPr>
          <w:iCs/>
          <w:szCs w:val="24"/>
        </w:rPr>
        <w:t xml:space="preserve"> (EPA, 2009</w:t>
      </w:r>
      <w:r>
        <w:rPr>
          <w:iCs/>
          <w:szCs w:val="24"/>
        </w:rPr>
        <w:t>a</w:t>
      </w:r>
      <w:r w:rsidRPr="00672AEA">
        <w:rPr>
          <w:iCs/>
          <w:szCs w:val="24"/>
        </w:rPr>
        <w:t>)</w:t>
      </w:r>
      <w:r>
        <w:rPr>
          <w:iCs/>
          <w:szCs w:val="24"/>
        </w:rPr>
        <w:t xml:space="preserve">. </w:t>
      </w:r>
    </w:p>
    <w:p w14:paraId="089AD663" w14:textId="77777777" w:rsidR="00393AAE" w:rsidRPr="00672AEA" w:rsidRDefault="00393AAE" w:rsidP="00393AAE">
      <w:pPr>
        <w:pStyle w:val="BodyText"/>
        <w:spacing w:after="0"/>
        <w:ind w:firstLine="720"/>
        <w:rPr>
          <w:szCs w:val="24"/>
        </w:rPr>
      </w:pPr>
    </w:p>
    <w:p w14:paraId="371F3A41" w14:textId="77777777" w:rsidR="00393AAE" w:rsidRDefault="00393AAE" w:rsidP="00393AAE">
      <w:pPr>
        <w:pStyle w:val="Caption"/>
        <w:keepNext/>
        <w:spacing w:before="0" w:after="0"/>
      </w:pPr>
      <w:bookmarkStart w:id="8" w:name="_Ref260663278"/>
      <w:bookmarkStart w:id="9" w:name="_Toc301633000"/>
      <w:r w:rsidRPr="0064544D">
        <w:rPr>
          <w:color w:val="auto"/>
        </w:rPr>
        <w:t xml:space="preserve">Table </w:t>
      </w:r>
      <w:r w:rsidRPr="0064544D">
        <w:rPr>
          <w:color w:val="auto"/>
        </w:rPr>
        <w:fldChar w:fldCharType="begin"/>
      </w:r>
      <w:r w:rsidRPr="0064544D">
        <w:rPr>
          <w:color w:val="auto"/>
        </w:rPr>
        <w:instrText xml:space="preserve"> SEQ Table \* ARABIC </w:instrText>
      </w:r>
      <w:r w:rsidRPr="0064544D">
        <w:rPr>
          <w:color w:val="auto"/>
        </w:rPr>
        <w:fldChar w:fldCharType="separate"/>
      </w:r>
      <w:r>
        <w:rPr>
          <w:noProof/>
          <w:color w:val="auto"/>
        </w:rPr>
        <w:t>3</w:t>
      </w:r>
      <w:r w:rsidRPr="0064544D">
        <w:rPr>
          <w:color w:val="auto"/>
        </w:rPr>
        <w:fldChar w:fldCharType="end"/>
      </w:r>
      <w:r w:rsidRPr="0064544D">
        <w:rPr>
          <w:color w:val="auto"/>
        </w:rPr>
        <w:t>:</w:t>
      </w:r>
      <w:r w:rsidRPr="0064544D">
        <w:rPr>
          <w:b w:val="0"/>
          <w:color w:val="auto"/>
        </w:rPr>
        <w:t xml:space="preserve"> </w:t>
      </w:r>
      <w:bookmarkEnd w:id="8"/>
      <w:r w:rsidRPr="00672AEA">
        <w:rPr>
          <w:color w:val="auto"/>
          <w:szCs w:val="24"/>
        </w:rPr>
        <w:t>Rule Familiarization Burden for SNUR Submitters</w:t>
      </w:r>
      <w:bookmarkEnd w:id="9"/>
    </w:p>
    <w:tbl>
      <w:tblPr>
        <w:tblW w:w="4944" w:type="pct"/>
        <w:tblInd w:w="108" w:type="dxa"/>
        <w:tblLook w:val="04A0" w:firstRow="1" w:lastRow="0" w:firstColumn="1" w:lastColumn="0" w:noHBand="0" w:noVBand="1"/>
      </w:tblPr>
      <w:tblGrid>
        <w:gridCol w:w="2034"/>
        <w:gridCol w:w="2036"/>
        <w:gridCol w:w="2268"/>
        <w:gridCol w:w="2283"/>
        <w:gridCol w:w="1560"/>
      </w:tblGrid>
      <w:tr w:rsidR="00393AAE" w:rsidRPr="00017B85" w14:paraId="035DB71A" w14:textId="77777777" w:rsidTr="008D1A92">
        <w:trPr>
          <w:trHeight w:val="276"/>
        </w:trPr>
        <w:tc>
          <w:tcPr>
            <w:tcW w:w="999" w:type="pct"/>
            <w:vMerge w:val="restart"/>
            <w:tcBorders>
              <w:top w:val="single" w:sz="4" w:space="0" w:color="auto"/>
              <w:left w:val="single" w:sz="4" w:space="0" w:color="auto"/>
              <w:bottom w:val="single" w:sz="4" w:space="0" w:color="000000"/>
              <w:right w:val="single" w:sz="4" w:space="0" w:color="auto"/>
            </w:tcBorders>
            <w:vAlign w:val="center"/>
          </w:tcPr>
          <w:p w14:paraId="440AA27C" w14:textId="77777777" w:rsidR="00393AAE" w:rsidRPr="00672AEA" w:rsidRDefault="00393AAE" w:rsidP="008D1A92">
            <w:pPr>
              <w:keepNext/>
              <w:widowControl/>
              <w:adjustRightInd/>
              <w:ind w:left="-18" w:firstLine="18"/>
              <w:jc w:val="center"/>
              <w:rPr>
                <w:b/>
                <w:bCs/>
                <w:color w:val="000000"/>
                <w:sz w:val="22"/>
              </w:rPr>
            </w:pPr>
            <w:r w:rsidRPr="00672AEA">
              <w:rPr>
                <w:b/>
                <w:bCs/>
                <w:color w:val="000000"/>
                <w:sz w:val="22"/>
                <w:szCs w:val="22"/>
              </w:rPr>
              <w:t>Activity</w:t>
            </w:r>
          </w:p>
        </w:tc>
        <w:tc>
          <w:tcPr>
            <w:tcW w:w="1000" w:type="pct"/>
            <w:vMerge w:val="restart"/>
            <w:tcBorders>
              <w:top w:val="single" w:sz="4" w:space="0" w:color="auto"/>
              <w:left w:val="single" w:sz="4" w:space="0" w:color="auto"/>
              <w:bottom w:val="single" w:sz="4" w:space="0" w:color="000000"/>
              <w:right w:val="single" w:sz="4" w:space="0" w:color="auto"/>
            </w:tcBorders>
            <w:vAlign w:val="center"/>
          </w:tcPr>
          <w:p w14:paraId="670844D6"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Clerical Hours</w:t>
            </w:r>
          </w:p>
        </w:tc>
        <w:tc>
          <w:tcPr>
            <w:tcW w:w="1114" w:type="pct"/>
            <w:vMerge w:val="restart"/>
            <w:tcBorders>
              <w:top w:val="single" w:sz="4" w:space="0" w:color="auto"/>
              <w:left w:val="single" w:sz="4" w:space="0" w:color="auto"/>
              <w:bottom w:val="single" w:sz="4" w:space="0" w:color="000000"/>
              <w:right w:val="single" w:sz="4" w:space="0" w:color="auto"/>
            </w:tcBorders>
            <w:vAlign w:val="center"/>
          </w:tcPr>
          <w:p w14:paraId="4345C51F"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Technical Hours</w:t>
            </w:r>
          </w:p>
        </w:tc>
        <w:tc>
          <w:tcPr>
            <w:tcW w:w="1121" w:type="pct"/>
            <w:vMerge w:val="restart"/>
            <w:tcBorders>
              <w:top w:val="single" w:sz="4" w:space="0" w:color="auto"/>
              <w:left w:val="single" w:sz="4" w:space="0" w:color="auto"/>
              <w:bottom w:val="single" w:sz="4" w:space="0" w:color="000000"/>
              <w:right w:val="nil"/>
            </w:tcBorders>
            <w:vAlign w:val="center"/>
          </w:tcPr>
          <w:p w14:paraId="66A80802"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Managerial Hours</w:t>
            </w:r>
          </w:p>
        </w:tc>
        <w:tc>
          <w:tcPr>
            <w:tcW w:w="765" w:type="pct"/>
            <w:vMerge w:val="restart"/>
            <w:tcBorders>
              <w:top w:val="single" w:sz="8" w:space="0" w:color="auto"/>
              <w:left w:val="single" w:sz="8" w:space="0" w:color="auto"/>
              <w:bottom w:val="single" w:sz="4" w:space="0" w:color="000000"/>
              <w:right w:val="single" w:sz="4" w:space="0" w:color="auto"/>
            </w:tcBorders>
            <w:vAlign w:val="center"/>
          </w:tcPr>
          <w:p w14:paraId="57481515"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Total Hours</w:t>
            </w:r>
          </w:p>
        </w:tc>
      </w:tr>
      <w:tr w:rsidR="00393AAE" w:rsidRPr="00017B85" w14:paraId="432BE29C" w14:textId="77777777" w:rsidTr="008D1A92">
        <w:trPr>
          <w:trHeight w:val="253"/>
        </w:trPr>
        <w:tc>
          <w:tcPr>
            <w:tcW w:w="999" w:type="pct"/>
            <w:vMerge/>
            <w:tcBorders>
              <w:top w:val="single" w:sz="4" w:space="0" w:color="auto"/>
              <w:left w:val="single" w:sz="4" w:space="0" w:color="auto"/>
              <w:bottom w:val="single" w:sz="4" w:space="0" w:color="000000"/>
              <w:right w:val="single" w:sz="4" w:space="0" w:color="auto"/>
            </w:tcBorders>
            <w:vAlign w:val="center"/>
          </w:tcPr>
          <w:p w14:paraId="3D460636" w14:textId="77777777" w:rsidR="00393AAE" w:rsidRPr="00672AEA" w:rsidRDefault="00393AAE" w:rsidP="008D1A92">
            <w:pPr>
              <w:keepNext/>
              <w:widowControl/>
              <w:adjustRightInd/>
              <w:rPr>
                <w:b/>
                <w:bCs/>
                <w:color w:val="000000"/>
                <w:sz w:val="22"/>
              </w:rPr>
            </w:pPr>
          </w:p>
        </w:tc>
        <w:tc>
          <w:tcPr>
            <w:tcW w:w="1000" w:type="pct"/>
            <w:vMerge/>
            <w:tcBorders>
              <w:top w:val="single" w:sz="4" w:space="0" w:color="auto"/>
              <w:left w:val="single" w:sz="4" w:space="0" w:color="auto"/>
              <w:bottom w:val="single" w:sz="4" w:space="0" w:color="000000"/>
              <w:right w:val="single" w:sz="4" w:space="0" w:color="auto"/>
            </w:tcBorders>
            <w:vAlign w:val="center"/>
          </w:tcPr>
          <w:p w14:paraId="42690E13" w14:textId="77777777" w:rsidR="00393AAE" w:rsidRPr="00672AEA" w:rsidRDefault="00393AAE" w:rsidP="008D1A92">
            <w:pPr>
              <w:keepNext/>
              <w:widowControl/>
              <w:adjustRightInd/>
              <w:rPr>
                <w:b/>
                <w:bCs/>
                <w:color w:val="000000"/>
                <w:sz w:val="22"/>
              </w:rPr>
            </w:pPr>
          </w:p>
        </w:tc>
        <w:tc>
          <w:tcPr>
            <w:tcW w:w="1114" w:type="pct"/>
            <w:vMerge/>
            <w:tcBorders>
              <w:top w:val="single" w:sz="4" w:space="0" w:color="auto"/>
              <w:left w:val="single" w:sz="4" w:space="0" w:color="auto"/>
              <w:bottom w:val="single" w:sz="4" w:space="0" w:color="000000"/>
              <w:right w:val="single" w:sz="4" w:space="0" w:color="auto"/>
            </w:tcBorders>
            <w:vAlign w:val="center"/>
          </w:tcPr>
          <w:p w14:paraId="534DBB2E" w14:textId="77777777" w:rsidR="00393AAE" w:rsidRPr="00672AEA" w:rsidRDefault="00393AAE" w:rsidP="008D1A92">
            <w:pPr>
              <w:keepNext/>
              <w:widowControl/>
              <w:adjustRightInd/>
              <w:rPr>
                <w:b/>
                <w:bCs/>
                <w:color w:val="000000"/>
                <w:sz w:val="22"/>
              </w:rPr>
            </w:pPr>
          </w:p>
        </w:tc>
        <w:tc>
          <w:tcPr>
            <w:tcW w:w="1121" w:type="pct"/>
            <w:vMerge/>
            <w:tcBorders>
              <w:top w:val="single" w:sz="4" w:space="0" w:color="auto"/>
              <w:left w:val="single" w:sz="4" w:space="0" w:color="auto"/>
              <w:bottom w:val="single" w:sz="4" w:space="0" w:color="000000"/>
              <w:right w:val="nil"/>
            </w:tcBorders>
            <w:vAlign w:val="center"/>
          </w:tcPr>
          <w:p w14:paraId="6812AA1A" w14:textId="77777777" w:rsidR="00393AAE" w:rsidRPr="00672AEA" w:rsidRDefault="00393AAE" w:rsidP="008D1A92">
            <w:pPr>
              <w:keepNext/>
              <w:widowControl/>
              <w:adjustRightInd/>
              <w:rPr>
                <w:b/>
                <w:bCs/>
                <w:color w:val="000000"/>
                <w:sz w:val="22"/>
              </w:rPr>
            </w:pPr>
          </w:p>
        </w:tc>
        <w:tc>
          <w:tcPr>
            <w:tcW w:w="765" w:type="pct"/>
            <w:vMerge/>
            <w:tcBorders>
              <w:top w:val="single" w:sz="8" w:space="0" w:color="auto"/>
              <w:left w:val="single" w:sz="8" w:space="0" w:color="auto"/>
              <w:bottom w:val="single" w:sz="4" w:space="0" w:color="000000"/>
              <w:right w:val="single" w:sz="4" w:space="0" w:color="auto"/>
            </w:tcBorders>
            <w:vAlign w:val="center"/>
          </w:tcPr>
          <w:p w14:paraId="2F1491D8" w14:textId="77777777" w:rsidR="00393AAE" w:rsidRPr="00672AEA" w:rsidRDefault="00393AAE" w:rsidP="008D1A92">
            <w:pPr>
              <w:keepNext/>
              <w:widowControl/>
              <w:adjustRightInd/>
              <w:rPr>
                <w:b/>
                <w:bCs/>
                <w:color w:val="000000"/>
                <w:sz w:val="22"/>
              </w:rPr>
            </w:pPr>
          </w:p>
        </w:tc>
      </w:tr>
      <w:tr w:rsidR="00393AAE" w:rsidRPr="00EB5784" w14:paraId="2C8C978D" w14:textId="77777777" w:rsidTr="008D1A92">
        <w:trPr>
          <w:trHeight w:val="467"/>
        </w:trPr>
        <w:tc>
          <w:tcPr>
            <w:tcW w:w="999" w:type="pct"/>
            <w:tcBorders>
              <w:top w:val="nil"/>
              <w:left w:val="single" w:sz="4" w:space="0" w:color="auto"/>
              <w:bottom w:val="single" w:sz="4" w:space="0" w:color="auto"/>
              <w:right w:val="single" w:sz="4" w:space="0" w:color="auto"/>
            </w:tcBorders>
            <w:shd w:val="clear" w:color="auto" w:fill="auto"/>
            <w:vAlign w:val="center"/>
            <w:hideMark/>
          </w:tcPr>
          <w:p w14:paraId="05A15E08" w14:textId="77777777" w:rsidR="00393AAE" w:rsidRPr="00672AEA" w:rsidRDefault="00393AAE" w:rsidP="008D1A92">
            <w:pPr>
              <w:keepNext/>
              <w:widowControl/>
              <w:adjustRightInd/>
              <w:jc w:val="center"/>
              <w:rPr>
                <w:color w:val="000000"/>
                <w:sz w:val="22"/>
              </w:rPr>
            </w:pPr>
            <w:r>
              <w:rPr>
                <w:sz w:val="22"/>
                <w:szCs w:val="22"/>
              </w:rPr>
              <w:t>Rule f</w:t>
            </w:r>
            <w:r w:rsidRPr="00672AEA">
              <w:rPr>
                <w:sz w:val="22"/>
                <w:szCs w:val="22"/>
              </w:rPr>
              <w:t>amiliarization</w:t>
            </w:r>
          </w:p>
        </w:tc>
        <w:tc>
          <w:tcPr>
            <w:tcW w:w="1000" w:type="pct"/>
            <w:tcBorders>
              <w:top w:val="nil"/>
              <w:left w:val="single" w:sz="4" w:space="0" w:color="auto"/>
              <w:bottom w:val="single" w:sz="4" w:space="0" w:color="auto"/>
              <w:right w:val="single" w:sz="4" w:space="0" w:color="auto"/>
            </w:tcBorders>
            <w:shd w:val="clear" w:color="auto" w:fill="auto"/>
            <w:vAlign w:val="center"/>
          </w:tcPr>
          <w:p w14:paraId="1AA106D7" w14:textId="77777777" w:rsidR="00393AAE" w:rsidRPr="00672AEA" w:rsidRDefault="00393AAE" w:rsidP="008D1A92">
            <w:pPr>
              <w:keepNext/>
              <w:widowControl/>
              <w:adjustRightInd/>
              <w:jc w:val="center"/>
              <w:rPr>
                <w:color w:val="000000"/>
                <w:sz w:val="22"/>
              </w:rPr>
            </w:pPr>
            <w:r>
              <w:rPr>
                <w:color w:val="000000"/>
                <w:sz w:val="22"/>
                <w:szCs w:val="22"/>
              </w:rPr>
              <w:t>0.00</w:t>
            </w:r>
          </w:p>
        </w:tc>
        <w:tc>
          <w:tcPr>
            <w:tcW w:w="1114" w:type="pct"/>
            <w:tcBorders>
              <w:top w:val="nil"/>
              <w:left w:val="single" w:sz="4" w:space="0" w:color="auto"/>
              <w:bottom w:val="single" w:sz="4" w:space="0" w:color="auto"/>
              <w:right w:val="single" w:sz="4" w:space="0" w:color="auto"/>
            </w:tcBorders>
            <w:shd w:val="clear" w:color="auto" w:fill="auto"/>
            <w:vAlign w:val="center"/>
          </w:tcPr>
          <w:p w14:paraId="2E9026D8" w14:textId="77777777" w:rsidR="00393AAE" w:rsidRPr="00672AEA" w:rsidRDefault="00393AAE" w:rsidP="008D1A92">
            <w:pPr>
              <w:keepNext/>
              <w:widowControl/>
              <w:adjustRightInd/>
              <w:jc w:val="center"/>
              <w:rPr>
                <w:color w:val="000000"/>
                <w:sz w:val="22"/>
              </w:rPr>
            </w:pPr>
            <w:r w:rsidRPr="00672AEA">
              <w:rPr>
                <w:color w:val="000000"/>
                <w:sz w:val="22"/>
                <w:szCs w:val="22"/>
              </w:rPr>
              <w:t>0.55</w:t>
            </w:r>
          </w:p>
        </w:tc>
        <w:tc>
          <w:tcPr>
            <w:tcW w:w="1121" w:type="pct"/>
            <w:tcBorders>
              <w:top w:val="nil"/>
              <w:left w:val="single" w:sz="4" w:space="0" w:color="auto"/>
              <w:bottom w:val="single" w:sz="4" w:space="0" w:color="auto"/>
              <w:right w:val="single" w:sz="4" w:space="0" w:color="auto"/>
            </w:tcBorders>
            <w:shd w:val="clear" w:color="auto" w:fill="auto"/>
            <w:vAlign w:val="center"/>
          </w:tcPr>
          <w:p w14:paraId="6B2F03E8" w14:textId="77777777" w:rsidR="00393AAE" w:rsidRPr="00672AEA" w:rsidRDefault="00393AAE" w:rsidP="008D1A92">
            <w:pPr>
              <w:keepNext/>
              <w:widowControl/>
              <w:adjustRightInd/>
              <w:jc w:val="center"/>
              <w:rPr>
                <w:color w:val="000000"/>
                <w:sz w:val="22"/>
              </w:rPr>
            </w:pPr>
            <w:r w:rsidRPr="00672AEA">
              <w:rPr>
                <w:color w:val="000000"/>
                <w:sz w:val="22"/>
                <w:szCs w:val="22"/>
              </w:rPr>
              <w:t>0.27</w:t>
            </w:r>
          </w:p>
        </w:tc>
        <w:tc>
          <w:tcPr>
            <w:tcW w:w="765" w:type="pct"/>
            <w:tcBorders>
              <w:top w:val="nil"/>
              <w:left w:val="single" w:sz="4" w:space="0" w:color="auto"/>
              <w:bottom w:val="nil"/>
              <w:right w:val="single" w:sz="4" w:space="0" w:color="auto"/>
            </w:tcBorders>
            <w:shd w:val="clear" w:color="auto" w:fill="auto"/>
            <w:vAlign w:val="center"/>
          </w:tcPr>
          <w:p w14:paraId="05B5DA83" w14:textId="77777777" w:rsidR="00393AAE" w:rsidRPr="002806B5" w:rsidRDefault="00393AAE" w:rsidP="008D1A92">
            <w:pPr>
              <w:keepNext/>
              <w:jc w:val="center"/>
              <w:rPr>
                <w:b/>
                <w:color w:val="000000"/>
                <w:sz w:val="22"/>
              </w:rPr>
            </w:pPr>
            <w:r w:rsidRPr="002806B5">
              <w:rPr>
                <w:b/>
                <w:color w:val="000000"/>
                <w:sz w:val="22"/>
                <w:szCs w:val="22"/>
              </w:rPr>
              <w:t>0.8</w:t>
            </w:r>
            <w:r>
              <w:rPr>
                <w:b/>
                <w:color w:val="000000"/>
                <w:sz w:val="22"/>
                <w:szCs w:val="22"/>
              </w:rPr>
              <w:t>2</w:t>
            </w:r>
          </w:p>
        </w:tc>
      </w:tr>
      <w:tr w:rsidR="00393AAE" w:rsidRPr="00EB5784" w14:paraId="6F14262A" w14:textId="77777777" w:rsidTr="008D1A92">
        <w:trPr>
          <w:trHeight w:val="8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9ECC66" w14:textId="77777777" w:rsidR="00393AAE" w:rsidRDefault="00393AAE" w:rsidP="008D1A92">
            <w:pPr>
              <w:keepNext/>
              <w:widowControl/>
              <w:adjustRightInd/>
              <w:rPr>
                <w:sz w:val="22"/>
                <w:szCs w:val="22"/>
              </w:rPr>
            </w:pPr>
            <w:r w:rsidRPr="0083664A">
              <w:rPr>
                <w:b/>
                <w:bCs/>
                <w:color w:val="000000"/>
                <w:sz w:val="18"/>
                <w:szCs w:val="18"/>
              </w:rPr>
              <w:t xml:space="preserve">Note: </w:t>
            </w:r>
            <w:r w:rsidRPr="00942D5A">
              <w:rPr>
                <w:sz w:val="18"/>
                <w:szCs w:val="18"/>
              </w:rPr>
              <w:t>Some</w:t>
            </w:r>
            <w:r>
              <w:rPr>
                <w:sz w:val="18"/>
                <w:szCs w:val="18"/>
              </w:rPr>
              <w:t xml:space="preserve"> burden estimate totals may not calculate due to rounding of unit burden estimates</w:t>
            </w:r>
          </w:p>
        </w:tc>
      </w:tr>
    </w:tbl>
    <w:p w14:paraId="7309138A" w14:textId="77777777" w:rsidR="00393AAE" w:rsidRDefault="00393AAE" w:rsidP="00393AAE"/>
    <w:p w14:paraId="3E3F7FC2" w14:textId="77777777" w:rsidR="00393AAE" w:rsidRDefault="00393AAE" w:rsidP="00393AAE">
      <w:pPr>
        <w:pStyle w:val="Heading3"/>
        <w:widowControl/>
        <w:numPr>
          <w:ilvl w:val="2"/>
          <w:numId w:val="0"/>
        </w:numPr>
        <w:tabs>
          <w:tab w:val="num" w:pos="720"/>
        </w:tabs>
        <w:adjustRightInd/>
        <w:spacing w:before="0" w:after="0"/>
        <w:ind w:left="720" w:hanging="720"/>
        <w:rPr>
          <w:rFonts w:ascii="Times New Roman" w:hAnsi="Times New Roman"/>
          <w:b w:val="0"/>
          <w:sz w:val="24"/>
          <w:szCs w:val="24"/>
          <w:u w:val="single"/>
        </w:rPr>
      </w:pPr>
      <w:bookmarkStart w:id="10" w:name="_Toc271126404"/>
      <w:bookmarkStart w:id="11" w:name="_Ref273970249"/>
      <w:bookmarkStart w:id="12" w:name="_Ref300654049"/>
      <w:bookmarkStart w:id="13" w:name="_Toc301370439"/>
      <w:bookmarkStart w:id="14" w:name="_Toc301632901"/>
      <w:r w:rsidRPr="00BF29B2">
        <w:rPr>
          <w:rFonts w:ascii="Times New Roman" w:hAnsi="Times New Roman"/>
          <w:b w:val="0"/>
          <w:sz w:val="24"/>
          <w:szCs w:val="24"/>
        </w:rPr>
        <w:tab/>
      </w:r>
      <w:r w:rsidRPr="00672AEA">
        <w:rPr>
          <w:rFonts w:ascii="Times New Roman" w:hAnsi="Times New Roman"/>
          <w:b w:val="0"/>
          <w:sz w:val="24"/>
          <w:szCs w:val="24"/>
          <w:u w:val="single"/>
        </w:rPr>
        <w:t>CDX Registration, CDX Electronic Signature, and Pay.gov Account Setup</w:t>
      </w:r>
      <w:bookmarkEnd w:id="10"/>
      <w:bookmarkEnd w:id="11"/>
      <w:bookmarkEnd w:id="12"/>
      <w:bookmarkEnd w:id="13"/>
      <w:bookmarkEnd w:id="14"/>
    </w:p>
    <w:p w14:paraId="2514FB3D" w14:textId="77777777" w:rsidR="00393AAE" w:rsidRPr="00BF29B2" w:rsidRDefault="00393AAE" w:rsidP="00393AAE"/>
    <w:p w14:paraId="30F70AC2" w14:textId="77777777" w:rsidR="00393AAE" w:rsidRDefault="00393AAE" w:rsidP="00393AAE">
      <w:pPr>
        <w:pStyle w:val="BodyText"/>
        <w:spacing w:after="0"/>
        <w:ind w:firstLine="720"/>
        <w:rPr>
          <w:iCs/>
          <w:szCs w:val="24"/>
        </w:rPr>
      </w:pPr>
      <w:r w:rsidRPr="00672AEA">
        <w:rPr>
          <w:iCs/>
          <w:szCs w:val="24"/>
        </w:rPr>
        <w:t>First-time submitters of any section 5 notice (including Premanufacture Notices (</w:t>
      </w:r>
      <w:r w:rsidRPr="00672AEA">
        <w:rPr>
          <w:rStyle w:val="apple-style-span"/>
          <w:color w:val="000000"/>
          <w:szCs w:val="24"/>
        </w:rPr>
        <w:t>PMNs), Significant New Use Notices (SNUNs), Test Market Exemption (TME) applications, Low Volume Exemption (LVE) notices, Low Exposure/Low Release (LoREX) exemption notices, Biotechnology Notices for genetically modified microorganisms, Notices of Commencement of Manufacture or Import (N</w:t>
      </w:r>
      <w:r>
        <w:rPr>
          <w:rStyle w:val="apple-style-span"/>
          <w:color w:val="000000"/>
          <w:szCs w:val="24"/>
        </w:rPr>
        <w:t>OCs), and support documents to s</w:t>
      </w:r>
      <w:r w:rsidRPr="00672AEA">
        <w:rPr>
          <w:rStyle w:val="apple-style-span"/>
          <w:color w:val="000000"/>
          <w:szCs w:val="24"/>
        </w:rPr>
        <w:t>ection 5 notices</w:t>
      </w:r>
      <w:r w:rsidRPr="00672AEA">
        <w:rPr>
          <w:iCs/>
          <w:szCs w:val="24"/>
        </w:rPr>
        <w:t>) are required to register their company and key users with the CDX reporting tool, deliver a CDX electronic signature to EPA, and establish and use a Pay.gov E-payment account.</w:t>
      </w:r>
      <w:r>
        <w:rPr>
          <w:rStyle w:val="FootnoteReference"/>
          <w:iCs/>
          <w:szCs w:val="24"/>
        </w:rPr>
        <w:t xml:space="preserve"> </w:t>
      </w:r>
      <w:r w:rsidRPr="00672AEA">
        <w:rPr>
          <w:iCs/>
          <w:szCs w:val="24"/>
          <w:u w:val="single"/>
        </w:rPr>
        <w:t>These activities are only required o</w:t>
      </w:r>
      <w:r>
        <w:rPr>
          <w:iCs/>
          <w:szCs w:val="24"/>
          <w:u w:val="single"/>
        </w:rPr>
        <w:t>f first-time submitters of any s</w:t>
      </w:r>
      <w:r w:rsidRPr="00672AEA">
        <w:rPr>
          <w:iCs/>
          <w:szCs w:val="24"/>
          <w:u w:val="single"/>
        </w:rPr>
        <w:t>ection 5 notice</w:t>
      </w:r>
      <w:r w:rsidRPr="00672AEA">
        <w:rPr>
          <w:iCs/>
          <w:szCs w:val="24"/>
        </w:rPr>
        <w:t xml:space="preserve">. </w:t>
      </w:r>
      <w:r>
        <w:rPr>
          <w:iCs/>
          <w:szCs w:val="24"/>
        </w:rPr>
        <w:t xml:space="preserve">It is not known how many submitters of SNUNs from existing chemical SNURs will be first-time submitters of any section 5 notices; therefore, EPA conservatively assumes that all submitters will incur these costs. </w:t>
      </w:r>
      <w:r w:rsidRPr="00672AEA">
        <w:rPr>
          <w:iCs/>
          <w:szCs w:val="24"/>
        </w:rPr>
        <w:t xml:space="preserve">These activities are estimated to require the following burden, based on the estimates presented in the </w:t>
      </w:r>
      <w:r w:rsidRPr="00672AEA">
        <w:rPr>
          <w:i/>
          <w:iCs/>
          <w:szCs w:val="24"/>
        </w:rPr>
        <w:t>Economic Analysis of the Premanufacture Notification Electronic Reporting Final Rule</w:t>
      </w:r>
      <w:r w:rsidRPr="00672AEA">
        <w:rPr>
          <w:iCs/>
          <w:szCs w:val="24"/>
        </w:rPr>
        <w:t xml:space="preserve"> (EPA, 2009</w:t>
      </w:r>
      <w:r>
        <w:rPr>
          <w:iCs/>
          <w:szCs w:val="24"/>
        </w:rPr>
        <w:t>a</w:t>
      </w:r>
      <w:r w:rsidRPr="00672AEA">
        <w:rPr>
          <w:iCs/>
          <w:szCs w:val="24"/>
        </w:rPr>
        <w:t>):</w:t>
      </w:r>
    </w:p>
    <w:p w14:paraId="106485C7" w14:textId="77777777" w:rsidR="00393AAE" w:rsidRPr="00B40D93" w:rsidRDefault="00393AAE" w:rsidP="00393AAE">
      <w:pPr>
        <w:pStyle w:val="BodyText"/>
        <w:spacing w:after="0"/>
        <w:ind w:firstLine="720"/>
        <w:rPr>
          <w:iCs/>
          <w:szCs w:val="24"/>
        </w:rPr>
      </w:pPr>
    </w:p>
    <w:p w14:paraId="7B6CD9D6" w14:textId="77777777" w:rsidR="00393AAE" w:rsidRPr="00672AEA" w:rsidRDefault="00393AAE" w:rsidP="00393AAE">
      <w:pPr>
        <w:pStyle w:val="BodyText"/>
        <w:numPr>
          <w:ilvl w:val="1"/>
          <w:numId w:val="15"/>
        </w:numPr>
        <w:tabs>
          <w:tab w:val="clear" w:pos="2160"/>
          <w:tab w:val="num" w:pos="720"/>
        </w:tabs>
        <w:spacing w:after="0"/>
        <w:ind w:left="720"/>
        <w:rPr>
          <w:iCs/>
          <w:szCs w:val="24"/>
        </w:rPr>
      </w:pPr>
      <w:r w:rsidRPr="00672AEA">
        <w:rPr>
          <w:i/>
          <w:szCs w:val="24"/>
        </w:rPr>
        <w:t>CDX registration:</w:t>
      </w:r>
      <w:r w:rsidRPr="00672AEA">
        <w:rPr>
          <w:iCs/>
          <w:szCs w:val="24"/>
        </w:rPr>
        <w:t xml:space="preserve"> EPA estimates that companies will spend approximately 0.18</w:t>
      </w:r>
      <w:r>
        <w:rPr>
          <w:iCs/>
          <w:szCs w:val="24"/>
        </w:rPr>
        <w:t xml:space="preserve"> </w:t>
      </w:r>
      <w:r w:rsidRPr="00672AEA">
        <w:rPr>
          <w:iCs/>
          <w:szCs w:val="24"/>
        </w:rPr>
        <w:t>hours per employee to register with CDX, and that an average of four technical staff members and one manager will need to register for each company, totaling approximately 0.9</w:t>
      </w:r>
      <w:r>
        <w:rPr>
          <w:iCs/>
          <w:szCs w:val="24"/>
        </w:rPr>
        <w:t>2</w:t>
      </w:r>
      <w:r w:rsidRPr="00672AEA">
        <w:rPr>
          <w:iCs/>
          <w:szCs w:val="24"/>
        </w:rPr>
        <w:t xml:space="preserve"> hours of burden per company.</w:t>
      </w:r>
    </w:p>
    <w:p w14:paraId="19EDEFF0" w14:textId="77777777" w:rsidR="00393AAE" w:rsidRPr="00672AEA" w:rsidRDefault="00393AAE" w:rsidP="00393AAE">
      <w:pPr>
        <w:pStyle w:val="BodyText"/>
        <w:numPr>
          <w:ilvl w:val="1"/>
          <w:numId w:val="15"/>
        </w:numPr>
        <w:tabs>
          <w:tab w:val="clear" w:pos="2160"/>
          <w:tab w:val="num" w:pos="720"/>
          <w:tab w:val="left" w:pos="8640"/>
        </w:tabs>
        <w:spacing w:after="0"/>
        <w:ind w:left="720"/>
        <w:rPr>
          <w:iCs/>
          <w:szCs w:val="24"/>
        </w:rPr>
      </w:pPr>
      <w:r w:rsidRPr="00672AEA">
        <w:rPr>
          <w:i/>
          <w:szCs w:val="24"/>
        </w:rPr>
        <w:t>CDX electronic signature:</w:t>
      </w:r>
      <w:r w:rsidRPr="00672AEA">
        <w:rPr>
          <w:iCs/>
          <w:szCs w:val="24"/>
        </w:rPr>
        <w:t xml:space="preserve"> EPA estimates that companies will spend 0.25 hours preparing, submitting, and filing an electronic signature agreement (Authentication of Identity) form to EPA per employee. This burden will apply to four technical staff members and one manager per company, totaling 1.25 hours of burden per company. In addition, EPA estimates that a manager will spend an additional 0.50 hours accessing, preparing, and submitting verification forms (Verification of Authorization) for all authorized submitters to EPA. The total burden incurred by companies submitting and then verifying electronic signature agreements is 1.75 hours. Note that this burden does not include any additional time required to contact EPA’s CDX help desk to notify a change of submitter status, should one occur. </w:t>
      </w:r>
    </w:p>
    <w:p w14:paraId="581A9424" w14:textId="77777777" w:rsidR="00393AAE" w:rsidRDefault="00393AAE" w:rsidP="00393AAE">
      <w:pPr>
        <w:pStyle w:val="BodyText"/>
        <w:numPr>
          <w:ilvl w:val="1"/>
          <w:numId w:val="16"/>
        </w:numPr>
        <w:tabs>
          <w:tab w:val="left" w:pos="720"/>
          <w:tab w:val="left" w:pos="2160"/>
        </w:tabs>
        <w:spacing w:after="0"/>
        <w:ind w:left="720"/>
        <w:rPr>
          <w:iCs/>
          <w:szCs w:val="24"/>
        </w:rPr>
      </w:pPr>
      <w:r w:rsidRPr="00672AEA">
        <w:rPr>
          <w:i/>
          <w:szCs w:val="24"/>
        </w:rPr>
        <w:t>Payment via Pay.gov account:</w:t>
      </w:r>
      <w:r w:rsidRPr="00672AEA">
        <w:rPr>
          <w:iCs/>
          <w:szCs w:val="24"/>
        </w:rPr>
        <w:t xml:space="preserve"> EPA estimates that one manager per company will spend approximately 0.13 hours setting up a Pay.gov ID account, logging into the system, finding the appropriate form, and filling it out. This burden does not include the time required to click ‘submit’ on the form and wait for payment processing.</w:t>
      </w:r>
    </w:p>
    <w:p w14:paraId="0EB20DA3" w14:textId="77777777" w:rsidR="00393AAE" w:rsidRPr="00672AEA" w:rsidRDefault="00393AAE" w:rsidP="00393AAE">
      <w:pPr>
        <w:pStyle w:val="BodyText"/>
        <w:tabs>
          <w:tab w:val="left" w:pos="720"/>
        </w:tabs>
        <w:spacing w:after="0"/>
        <w:ind w:left="720" w:firstLine="0"/>
        <w:rPr>
          <w:iCs/>
          <w:szCs w:val="24"/>
        </w:rPr>
      </w:pPr>
    </w:p>
    <w:p w14:paraId="5FC1D08C" w14:textId="77777777" w:rsidR="00393AAE" w:rsidRPr="00672AEA" w:rsidRDefault="00393AAE" w:rsidP="00393AAE">
      <w:pPr>
        <w:pStyle w:val="Caption"/>
        <w:keepNext/>
        <w:spacing w:before="0" w:after="0"/>
        <w:rPr>
          <w:color w:val="auto"/>
          <w:szCs w:val="24"/>
        </w:rPr>
      </w:pPr>
      <w:bookmarkStart w:id="15" w:name="_Toc301633001"/>
      <w:r w:rsidRPr="0064544D">
        <w:rPr>
          <w:color w:val="auto"/>
        </w:rPr>
        <w:t xml:space="preserve">Table </w:t>
      </w:r>
      <w:r w:rsidRPr="0064544D">
        <w:rPr>
          <w:color w:val="auto"/>
        </w:rPr>
        <w:fldChar w:fldCharType="begin"/>
      </w:r>
      <w:r w:rsidRPr="0064544D">
        <w:rPr>
          <w:color w:val="auto"/>
        </w:rPr>
        <w:instrText xml:space="preserve"> SEQ Table \* ARABIC </w:instrText>
      </w:r>
      <w:r w:rsidRPr="0064544D">
        <w:rPr>
          <w:color w:val="auto"/>
        </w:rPr>
        <w:fldChar w:fldCharType="separate"/>
      </w:r>
      <w:r>
        <w:rPr>
          <w:noProof/>
          <w:color w:val="auto"/>
        </w:rPr>
        <w:t>4</w:t>
      </w:r>
      <w:r w:rsidRPr="0064544D">
        <w:rPr>
          <w:color w:val="auto"/>
        </w:rPr>
        <w:fldChar w:fldCharType="end"/>
      </w:r>
      <w:r w:rsidRPr="0064544D">
        <w:rPr>
          <w:color w:val="auto"/>
        </w:rPr>
        <w:t>:</w:t>
      </w:r>
      <w:r w:rsidRPr="0064544D">
        <w:rPr>
          <w:b w:val="0"/>
          <w:color w:val="auto"/>
        </w:rPr>
        <w:t xml:space="preserve"> </w:t>
      </w:r>
      <w:r w:rsidRPr="00672AEA">
        <w:rPr>
          <w:color w:val="auto"/>
          <w:szCs w:val="24"/>
        </w:rPr>
        <w:t>CDX Registration, CDX Electronic Signature, and Pay.gov Account Setup Burden for First-Time Submitters</w:t>
      </w:r>
      <w:bookmarkEnd w:id="15"/>
    </w:p>
    <w:tbl>
      <w:tblPr>
        <w:tblW w:w="4944" w:type="pct"/>
        <w:tblInd w:w="108" w:type="dxa"/>
        <w:tblLook w:val="04A0" w:firstRow="1" w:lastRow="0" w:firstColumn="1" w:lastColumn="0" w:noHBand="0" w:noVBand="1"/>
      </w:tblPr>
      <w:tblGrid>
        <w:gridCol w:w="2612"/>
        <w:gridCol w:w="1778"/>
        <w:gridCol w:w="2128"/>
        <w:gridCol w:w="2179"/>
        <w:gridCol w:w="1484"/>
      </w:tblGrid>
      <w:tr w:rsidR="00393AAE" w:rsidRPr="00017B85" w14:paraId="603F5B77" w14:textId="77777777" w:rsidTr="008D1A92">
        <w:trPr>
          <w:trHeight w:val="276"/>
        </w:trPr>
        <w:tc>
          <w:tcPr>
            <w:tcW w:w="1283" w:type="pct"/>
            <w:vMerge w:val="restart"/>
            <w:tcBorders>
              <w:top w:val="single" w:sz="4" w:space="0" w:color="auto"/>
              <w:left w:val="single" w:sz="4" w:space="0" w:color="auto"/>
              <w:bottom w:val="single" w:sz="4" w:space="0" w:color="000000"/>
              <w:right w:val="single" w:sz="4" w:space="0" w:color="auto"/>
            </w:tcBorders>
            <w:vAlign w:val="center"/>
          </w:tcPr>
          <w:p w14:paraId="296A7CC1" w14:textId="77777777" w:rsidR="00393AAE" w:rsidRPr="00672AEA" w:rsidRDefault="00393AAE" w:rsidP="008D1A92">
            <w:pPr>
              <w:keepNext/>
              <w:widowControl/>
              <w:adjustRightInd/>
              <w:rPr>
                <w:b/>
                <w:bCs/>
                <w:color w:val="000000"/>
                <w:sz w:val="22"/>
              </w:rPr>
            </w:pPr>
            <w:r w:rsidRPr="00672AEA">
              <w:rPr>
                <w:b/>
                <w:bCs/>
                <w:color w:val="000000"/>
                <w:sz w:val="22"/>
                <w:szCs w:val="22"/>
              </w:rPr>
              <w:t>Activity</w:t>
            </w:r>
          </w:p>
        </w:tc>
        <w:tc>
          <w:tcPr>
            <w:tcW w:w="873" w:type="pct"/>
            <w:vMerge w:val="restart"/>
            <w:tcBorders>
              <w:top w:val="single" w:sz="4" w:space="0" w:color="auto"/>
              <w:left w:val="single" w:sz="4" w:space="0" w:color="auto"/>
              <w:bottom w:val="single" w:sz="4" w:space="0" w:color="000000"/>
              <w:right w:val="single" w:sz="4" w:space="0" w:color="auto"/>
            </w:tcBorders>
            <w:vAlign w:val="center"/>
          </w:tcPr>
          <w:p w14:paraId="7540AF2F" w14:textId="77777777" w:rsidR="00393AAE" w:rsidRPr="0051653A" w:rsidRDefault="00393AAE" w:rsidP="008D1A92">
            <w:pPr>
              <w:keepNext/>
              <w:widowControl/>
              <w:adjustRightInd/>
              <w:jc w:val="center"/>
              <w:rPr>
                <w:b/>
                <w:bCs/>
                <w:color w:val="000000"/>
                <w:sz w:val="22"/>
              </w:rPr>
            </w:pPr>
            <w:r w:rsidRPr="0051653A">
              <w:rPr>
                <w:b/>
                <w:bCs/>
                <w:color w:val="000000"/>
                <w:sz w:val="22"/>
                <w:szCs w:val="22"/>
              </w:rPr>
              <w:t>Clerical Hours</w:t>
            </w:r>
          </w:p>
        </w:tc>
        <w:tc>
          <w:tcPr>
            <w:tcW w:w="1045" w:type="pct"/>
            <w:vMerge w:val="restart"/>
            <w:tcBorders>
              <w:top w:val="single" w:sz="4" w:space="0" w:color="auto"/>
              <w:left w:val="single" w:sz="4" w:space="0" w:color="auto"/>
              <w:bottom w:val="single" w:sz="4" w:space="0" w:color="000000"/>
              <w:right w:val="single" w:sz="4" w:space="0" w:color="auto"/>
            </w:tcBorders>
            <w:vAlign w:val="center"/>
          </w:tcPr>
          <w:p w14:paraId="4D8D8B52"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Technical Hours</w:t>
            </w:r>
          </w:p>
        </w:tc>
        <w:tc>
          <w:tcPr>
            <w:tcW w:w="1070" w:type="pct"/>
            <w:vMerge w:val="restart"/>
            <w:tcBorders>
              <w:top w:val="single" w:sz="4" w:space="0" w:color="auto"/>
              <w:left w:val="single" w:sz="4" w:space="0" w:color="auto"/>
              <w:bottom w:val="single" w:sz="4" w:space="0" w:color="000000"/>
              <w:right w:val="nil"/>
            </w:tcBorders>
            <w:vAlign w:val="center"/>
          </w:tcPr>
          <w:p w14:paraId="4A269C55"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Managerial Hours</w:t>
            </w:r>
          </w:p>
        </w:tc>
        <w:tc>
          <w:tcPr>
            <w:tcW w:w="729" w:type="pct"/>
            <w:vMerge w:val="restart"/>
            <w:tcBorders>
              <w:top w:val="single" w:sz="8" w:space="0" w:color="auto"/>
              <w:left w:val="single" w:sz="8" w:space="0" w:color="auto"/>
              <w:bottom w:val="single" w:sz="4" w:space="0" w:color="000000"/>
              <w:right w:val="single" w:sz="4" w:space="0" w:color="auto"/>
            </w:tcBorders>
            <w:vAlign w:val="center"/>
          </w:tcPr>
          <w:p w14:paraId="46485706" w14:textId="77777777" w:rsidR="00393AAE" w:rsidRPr="00672AEA" w:rsidRDefault="00393AAE" w:rsidP="008D1A92">
            <w:pPr>
              <w:keepNext/>
              <w:widowControl/>
              <w:adjustRightInd/>
              <w:jc w:val="center"/>
              <w:rPr>
                <w:b/>
                <w:bCs/>
                <w:color w:val="000000"/>
                <w:sz w:val="22"/>
              </w:rPr>
            </w:pPr>
            <w:r w:rsidRPr="00672AEA">
              <w:rPr>
                <w:b/>
                <w:bCs/>
                <w:color w:val="000000"/>
                <w:sz w:val="22"/>
                <w:szCs w:val="22"/>
              </w:rPr>
              <w:t>Total Hours</w:t>
            </w:r>
          </w:p>
        </w:tc>
      </w:tr>
      <w:tr w:rsidR="00393AAE" w:rsidRPr="00017B85" w14:paraId="3758CCDD" w14:textId="77777777" w:rsidTr="008D1A92">
        <w:trPr>
          <w:trHeight w:val="253"/>
        </w:trPr>
        <w:tc>
          <w:tcPr>
            <w:tcW w:w="1283" w:type="pct"/>
            <w:vMerge/>
            <w:tcBorders>
              <w:top w:val="single" w:sz="4" w:space="0" w:color="auto"/>
              <w:left w:val="single" w:sz="4" w:space="0" w:color="auto"/>
              <w:bottom w:val="single" w:sz="4" w:space="0" w:color="000000"/>
              <w:right w:val="single" w:sz="4" w:space="0" w:color="auto"/>
            </w:tcBorders>
            <w:vAlign w:val="center"/>
          </w:tcPr>
          <w:p w14:paraId="79A4DFB6" w14:textId="77777777" w:rsidR="00393AAE" w:rsidRPr="00672AEA" w:rsidRDefault="00393AAE" w:rsidP="008D1A92">
            <w:pPr>
              <w:keepNext/>
              <w:widowControl/>
              <w:adjustRightInd/>
              <w:rPr>
                <w:b/>
                <w:bCs/>
                <w:color w:val="000000"/>
                <w:sz w:val="22"/>
              </w:rPr>
            </w:pPr>
          </w:p>
        </w:tc>
        <w:tc>
          <w:tcPr>
            <w:tcW w:w="873" w:type="pct"/>
            <w:vMerge/>
            <w:tcBorders>
              <w:top w:val="single" w:sz="4" w:space="0" w:color="auto"/>
              <w:left w:val="single" w:sz="4" w:space="0" w:color="auto"/>
              <w:bottom w:val="single" w:sz="4" w:space="0" w:color="000000"/>
              <w:right w:val="single" w:sz="4" w:space="0" w:color="auto"/>
            </w:tcBorders>
            <w:vAlign w:val="center"/>
          </w:tcPr>
          <w:p w14:paraId="45273025" w14:textId="77777777" w:rsidR="00393AAE" w:rsidRPr="00672AEA" w:rsidRDefault="00393AAE" w:rsidP="008D1A92">
            <w:pPr>
              <w:keepNext/>
              <w:widowControl/>
              <w:adjustRightInd/>
              <w:rPr>
                <w:b/>
                <w:bCs/>
                <w:color w:val="000000"/>
                <w:sz w:val="22"/>
              </w:rPr>
            </w:pPr>
          </w:p>
        </w:tc>
        <w:tc>
          <w:tcPr>
            <w:tcW w:w="1045" w:type="pct"/>
            <w:vMerge/>
            <w:tcBorders>
              <w:top w:val="single" w:sz="4" w:space="0" w:color="auto"/>
              <w:left w:val="single" w:sz="4" w:space="0" w:color="auto"/>
              <w:bottom w:val="single" w:sz="4" w:space="0" w:color="000000"/>
              <w:right w:val="single" w:sz="4" w:space="0" w:color="auto"/>
            </w:tcBorders>
            <w:vAlign w:val="center"/>
          </w:tcPr>
          <w:p w14:paraId="0B6ECBFE" w14:textId="77777777" w:rsidR="00393AAE" w:rsidRPr="00672AEA" w:rsidRDefault="00393AAE" w:rsidP="008D1A92">
            <w:pPr>
              <w:keepNext/>
              <w:widowControl/>
              <w:adjustRightInd/>
              <w:rPr>
                <w:b/>
                <w:bCs/>
                <w:color w:val="000000"/>
                <w:sz w:val="22"/>
              </w:rPr>
            </w:pPr>
          </w:p>
        </w:tc>
        <w:tc>
          <w:tcPr>
            <w:tcW w:w="1070" w:type="pct"/>
            <w:vMerge/>
            <w:tcBorders>
              <w:top w:val="single" w:sz="4" w:space="0" w:color="auto"/>
              <w:left w:val="single" w:sz="4" w:space="0" w:color="auto"/>
              <w:bottom w:val="single" w:sz="4" w:space="0" w:color="000000"/>
              <w:right w:val="nil"/>
            </w:tcBorders>
            <w:vAlign w:val="center"/>
          </w:tcPr>
          <w:p w14:paraId="34948CDE" w14:textId="77777777" w:rsidR="00393AAE" w:rsidRPr="00672AEA" w:rsidRDefault="00393AAE" w:rsidP="008D1A92">
            <w:pPr>
              <w:keepNext/>
              <w:widowControl/>
              <w:adjustRightInd/>
              <w:rPr>
                <w:b/>
                <w:bCs/>
                <w:color w:val="000000"/>
                <w:sz w:val="22"/>
              </w:rPr>
            </w:pPr>
          </w:p>
        </w:tc>
        <w:tc>
          <w:tcPr>
            <w:tcW w:w="729" w:type="pct"/>
            <w:vMerge/>
            <w:tcBorders>
              <w:top w:val="single" w:sz="8" w:space="0" w:color="auto"/>
              <w:left w:val="single" w:sz="8" w:space="0" w:color="auto"/>
              <w:bottom w:val="single" w:sz="4" w:space="0" w:color="000000"/>
              <w:right w:val="single" w:sz="4" w:space="0" w:color="auto"/>
            </w:tcBorders>
            <w:vAlign w:val="center"/>
          </w:tcPr>
          <w:p w14:paraId="41ECDFF7" w14:textId="77777777" w:rsidR="00393AAE" w:rsidRPr="00672AEA" w:rsidRDefault="00393AAE" w:rsidP="008D1A92">
            <w:pPr>
              <w:keepNext/>
              <w:widowControl/>
              <w:adjustRightInd/>
              <w:rPr>
                <w:b/>
                <w:bCs/>
                <w:color w:val="000000"/>
                <w:sz w:val="22"/>
              </w:rPr>
            </w:pPr>
          </w:p>
        </w:tc>
      </w:tr>
      <w:tr w:rsidR="00393AAE" w:rsidRPr="00EB5784" w14:paraId="5B802DE1" w14:textId="77777777" w:rsidTr="008D1A92">
        <w:trPr>
          <w:trHeight w:val="276"/>
        </w:trPr>
        <w:tc>
          <w:tcPr>
            <w:tcW w:w="1283" w:type="pct"/>
            <w:tcBorders>
              <w:top w:val="nil"/>
              <w:left w:val="single" w:sz="4" w:space="0" w:color="auto"/>
              <w:bottom w:val="single" w:sz="4" w:space="0" w:color="auto"/>
              <w:right w:val="single" w:sz="4" w:space="0" w:color="auto"/>
            </w:tcBorders>
            <w:shd w:val="clear" w:color="auto" w:fill="auto"/>
            <w:vAlign w:val="bottom"/>
            <w:hideMark/>
          </w:tcPr>
          <w:p w14:paraId="64B814B9" w14:textId="77777777" w:rsidR="00393AAE" w:rsidRPr="00672AEA" w:rsidRDefault="00393AAE" w:rsidP="008D1A92">
            <w:pPr>
              <w:keepNext/>
              <w:widowControl/>
              <w:adjustRightInd/>
              <w:rPr>
                <w:color w:val="000000"/>
                <w:sz w:val="22"/>
              </w:rPr>
            </w:pPr>
            <w:r w:rsidRPr="00672AEA">
              <w:rPr>
                <w:sz w:val="22"/>
                <w:szCs w:val="22"/>
              </w:rPr>
              <w:t>CDX registration</w:t>
            </w:r>
          </w:p>
        </w:tc>
        <w:tc>
          <w:tcPr>
            <w:tcW w:w="873" w:type="pct"/>
            <w:tcBorders>
              <w:top w:val="nil"/>
              <w:left w:val="single" w:sz="4" w:space="0" w:color="auto"/>
              <w:bottom w:val="single" w:sz="4" w:space="0" w:color="auto"/>
              <w:right w:val="single" w:sz="4" w:space="0" w:color="auto"/>
            </w:tcBorders>
            <w:shd w:val="clear" w:color="auto" w:fill="auto"/>
            <w:vAlign w:val="center"/>
            <w:hideMark/>
          </w:tcPr>
          <w:p w14:paraId="04FFE044" w14:textId="77777777" w:rsidR="00393AAE" w:rsidRPr="0051653A" w:rsidRDefault="00393AAE" w:rsidP="008D1A92">
            <w:pPr>
              <w:keepNext/>
              <w:widowControl/>
              <w:adjustRightInd/>
              <w:jc w:val="center"/>
              <w:rPr>
                <w:color w:val="000000"/>
                <w:sz w:val="22"/>
              </w:rPr>
            </w:pPr>
            <w:r w:rsidRPr="0051653A">
              <w:rPr>
                <w:color w:val="000000"/>
                <w:sz w:val="22"/>
                <w:szCs w:val="22"/>
              </w:rPr>
              <w:t>0.00</w:t>
            </w:r>
          </w:p>
        </w:tc>
        <w:tc>
          <w:tcPr>
            <w:tcW w:w="1045" w:type="pct"/>
            <w:tcBorders>
              <w:top w:val="nil"/>
              <w:left w:val="single" w:sz="4" w:space="0" w:color="auto"/>
              <w:bottom w:val="single" w:sz="4" w:space="0" w:color="auto"/>
              <w:right w:val="single" w:sz="4" w:space="0" w:color="auto"/>
            </w:tcBorders>
            <w:shd w:val="clear" w:color="auto" w:fill="auto"/>
            <w:vAlign w:val="center"/>
            <w:hideMark/>
          </w:tcPr>
          <w:p w14:paraId="674B491F" w14:textId="77777777" w:rsidR="00393AAE" w:rsidRPr="0051653A" w:rsidRDefault="00393AAE" w:rsidP="008D1A92">
            <w:pPr>
              <w:keepNext/>
              <w:widowControl/>
              <w:adjustRightInd/>
              <w:jc w:val="center"/>
              <w:rPr>
                <w:color w:val="000000"/>
                <w:sz w:val="22"/>
              </w:rPr>
            </w:pPr>
            <w:r w:rsidRPr="00672AEA">
              <w:rPr>
                <w:color w:val="000000"/>
                <w:sz w:val="22"/>
                <w:szCs w:val="22"/>
              </w:rPr>
              <w:t>0.73</w:t>
            </w:r>
          </w:p>
        </w:tc>
        <w:tc>
          <w:tcPr>
            <w:tcW w:w="1070" w:type="pct"/>
            <w:tcBorders>
              <w:top w:val="nil"/>
              <w:left w:val="single" w:sz="4" w:space="0" w:color="auto"/>
              <w:bottom w:val="single" w:sz="4" w:space="0" w:color="auto"/>
              <w:right w:val="nil"/>
            </w:tcBorders>
            <w:shd w:val="clear" w:color="auto" w:fill="auto"/>
            <w:vAlign w:val="center"/>
            <w:hideMark/>
          </w:tcPr>
          <w:p w14:paraId="4E4121D9" w14:textId="77777777" w:rsidR="00393AAE" w:rsidRPr="0051653A" w:rsidRDefault="00393AAE" w:rsidP="008D1A92">
            <w:pPr>
              <w:keepNext/>
              <w:widowControl/>
              <w:adjustRightInd/>
              <w:jc w:val="center"/>
              <w:rPr>
                <w:color w:val="000000"/>
                <w:sz w:val="22"/>
              </w:rPr>
            </w:pPr>
            <w:r w:rsidRPr="00672AEA">
              <w:rPr>
                <w:color w:val="000000"/>
                <w:sz w:val="22"/>
                <w:szCs w:val="22"/>
              </w:rPr>
              <w:t>0.18</w:t>
            </w:r>
          </w:p>
        </w:tc>
        <w:tc>
          <w:tcPr>
            <w:tcW w:w="729" w:type="pct"/>
            <w:tcBorders>
              <w:top w:val="nil"/>
              <w:left w:val="single" w:sz="8" w:space="0" w:color="auto"/>
              <w:bottom w:val="single" w:sz="4" w:space="0" w:color="auto"/>
              <w:right w:val="single" w:sz="4" w:space="0" w:color="auto"/>
            </w:tcBorders>
            <w:shd w:val="clear" w:color="auto" w:fill="auto"/>
            <w:vAlign w:val="center"/>
            <w:hideMark/>
          </w:tcPr>
          <w:p w14:paraId="33BC57C7" w14:textId="77777777" w:rsidR="00393AAE" w:rsidRPr="002806B5" w:rsidRDefault="00393AAE" w:rsidP="008D1A92">
            <w:pPr>
              <w:keepNext/>
              <w:widowControl/>
              <w:adjustRightInd/>
              <w:jc w:val="center"/>
              <w:rPr>
                <w:b/>
                <w:color w:val="000000"/>
                <w:sz w:val="22"/>
              </w:rPr>
            </w:pPr>
            <w:r w:rsidRPr="002806B5">
              <w:rPr>
                <w:b/>
                <w:color w:val="000000"/>
                <w:sz w:val="22"/>
                <w:szCs w:val="22"/>
              </w:rPr>
              <w:t>0.92</w:t>
            </w:r>
          </w:p>
        </w:tc>
      </w:tr>
      <w:tr w:rsidR="00393AAE" w:rsidRPr="00EB5784" w14:paraId="49C51067" w14:textId="77777777" w:rsidTr="008D1A92">
        <w:trPr>
          <w:trHeight w:val="276"/>
        </w:trPr>
        <w:tc>
          <w:tcPr>
            <w:tcW w:w="1283" w:type="pct"/>
            <w:tcBorders>
              <w:top w:val="single" w:sz="4" w:space="0" w:color="auto"/>
              <w:left w:val="single" w:sz="4" w:space="0" w:color="auto"/>
              <w:bottom w:val="single" w:sz="4" w:space="0" w:color="auto"/>
              <w:right w:val="single" w:sz="4" w:space="0" w:color="auto"/>
            </w:tcBorders>
            <w:shd w:val="clear" w:color="auto" w:fill="auto"/>
            <w:vAlign w:val="bottom"/>
          </w:tcPr>
          <w:p w14:paraId="5F6D009B" w14:textId="77777777" w:rsidR="00393AAE" w:rsidRPr="00672AEA" w:rsidRDefault="00393AAE" w:rsidP="008D1A92">
            <w:pPr>
              <w:keepNext/>
              <w:rPr>
                <w:sz w:val="22"/>
              </w:rPr>
            </w:pPr>
            <w:r w:rsidRPr="00672AEA">
              <w:rPr>
                <w:sz w:val="22"/>
                <w:szCs w:val="22"/>
              </w:rPr>
              <w:t>CDX electronic signature</w:t>
            </w:r>
          </w:p>
        </w:tc>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3BD1B6A" w14:textId="77777777" w:rsidR="00393AAE" w:rsidRPr="0051653A" w:rsidRDefault="00393AAE" w:rsidP="008D1A92">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38D19AEF" w14:textId="77777777" w:rsidR="00393AAE" w:rsidRPr="0051653A" w:rsidRDefault="00393AAE" w:rsidP="008D1A92">
            <w:pPr>
              <w:keepNext/>
              <w:jc w:val="center"/>
              <w:rPr>
                <w:color w:val="000000"/>
                <w:sz w:val="22"/>
              </w:rPr>
            </w:pPr>
            <w:r w:rsidRPr="00672AEA">
              <w:rPr>
                <w:color w:val="000000"/>
                <w:sz w:val="22"/>
                <w:szCs w:val="22"/>
              </w:rPr>
              <w:t>1</w:t>
            </w:r>
            <w:r>
              <w:rPr>
                <w:color w:val="000000"/>
                <w:sz w:val="22"/>
                <w:szCs w:val="22"/>
              </w:rPr>
              <w:t>.00</w:t>
            </w:r>
          </w:p>
        </w:tc>
        <w:tc>
          <w:tcPr>
            <w:tcW w:w="1070" w:type="pct"/>
            <w:tcBorders>
              <w:top w:val="single" w:sz="4" w:space="0" w:color="auto"/>
              <w:left w:val="single" w:sz="4" w:space="0" w:color="auto"/>
              <w:bottom w:val="single" w:sz="4" w:space="0" w:color="auto"/>
              <w:right w:val="nil"/>
            </w:tcBorders>
            <w:shd w:val="clear" w:color="auto" w:fill="auto"/>
            <w:vAlign w:val="center"/>
          </w:tcPr>
          <w:p w14:paraId="5C318C2D" w14:textId="77777777" w:rsidR="00393AAE" w:rsidRPr="0051653A" w:rsidRDefault="00393AAE" w:rsidP="008D1A92">
            <w:pPr>
              <w:keepNext/>
              <w:jc w:val="center"/>
              <w:rPr>
                <w:color w:val="000000"/>
                <w:sz w:val="22"/>
              </w:rPr>
            </w:pPr>
            <w:r w:rsidRPr="00672AEA">
              <w:rPr>
                <w:color w:val="000000"/>
                <w:sz w:val="22"/>
                <w:szCs w:val="22"/>
              </w:rPr>
              <w:t>0.75</w:t>
            </w:r>
          </w:p>
        </w:tc>
        <w:tc>
          <w:tcPr>
            <w:tcW w:w="729" w:type="pct"/>
            <w:tcBorders>
              <w:top w:val="single" w:sz="4" w:space="0" w:color="auto"/>
              <w:left w:val="single" w:sz="8" w:space="0" w:color="auto"/>
              <w:bottom w:val="single" w:sz="4" w:space="0" w:color="auto"/>
              <w:right w:val="single" w:sz="4" w:space="0" w:color="auto"/>
            </w:tcBorders>
            <w:shd w:val="clear" w:color="auto" w:fill="auto"/>
            <w:vAlign w:val="center"/>
          </w:tcPr>
          <w:p w14:paraId="73DB93E1" w14:textId="77777777" w:rsidR="00393AAE" w:rsidRPr="002806B5" w:rsidRDefault="00393AAE" w:rsidP="008D1A92">
            <w:pPr>
              <w:keepNext/>
              <w:jc w:val="center"/>
              <w:rPr>
                <w:b/>
                <w:color w:val="000000"/>
                <w:sz w:val="22"/>
              </w:rPr>
            </w:pPr>
            <w:r w:rsidRPr="002806B5">
              <w:rPr>
                <w:b/>
                <w:color w:val="000000"/>
                <w:sz w:val="22"/>
                <w:szCs w:val="22"/>
              </w:rPr>
              <w:t>1.75</w:t>
            </w:r>
          </w:p>
        </w:tc>
      </w:tr>
      <w:tr w:rsidR="00393AAE" w:rsidRPr="00EB5784" w14:paraId="2E8ACD09" w14:textId="77777777" w:rsidTr="008D1A92">
        <w:trPr>
          <w:trHeight w:val="126"/>
        </w:trPr>
        <w:tc>
          <w:tcPr>
            <w:tcW w:w="1283" w:type="pct"/>
            <w:tcBorders>
              <w:top w:val="single" w:sz="4" w:space="0" w:color="auto"/>
              <w:left w:val="single" w:sz="4" w:space="0" w:color="auto"/>
              <w:bottom w:val="single" w:sz="4" w:space="0" w:color="auto"/>
              <w:right w:val="single" w:sz="4" w:space="0" w:color="auto"/>
            </w:tcBorders>
            <w:vAlign w:val="bottom"/>
            <w:hideMark/>
          </w:tcPr>
          <w:p w14:paraId="28132E63" w14:textId="77777777" w:rsidR="00393AAE" w:rsidRPr="00672AEA" w:rsidRDefault="00393AAE" w:rsidP="008D1A92">
            <w:pPr>
              <w:keepNext/>
              <w:rPr>
                <w:color w:val="000000"/>
                <w:sz w:val="22"/>
              </w:rPr>
            </w:pPr>
            <w:r>
              <w:rPr>
                <w:sz w:val="22"/>
                <w:szCs w:val="22"/>
              </w:rPr>
              <w:t>E-p</w:t>
            </w:r>
            <w:r w:rsidRPr="00672AEA">
              <w:rPr>
                <w:sz w:val="22"/>
                <w:szCs w:val="22"/>
              </w:rPr>
              <w:t>ayment (Pay.gov ID)</w:t>
            </w:r>
          </w:p>
        </w:tc>
        <w:tc>
          <w:tcPr>
            <w:tcW w:w="873" w:type="pct"/>
            <w:tcBorders>
              <w:top w:val="single" w:sz="4" w:space="0" w:color="auto"/>
              <w:left w:val="single" w:sz="4" w:space="0" w:color="auto"/>
              <w:bottom w:val="single" w:sz="4" w:space="0" w:color="auto"/>
              <w:right w:val="single" w:sz="4" w:space="0" w:color="auto"/>
            </w:tcBorders>
            <w:hideMark/>
          </w:tcPr>
          <w:p w14:paraId="02E7662F" w14:textId="77777777" w:rsidR="00393AAE" w:rsidRPr="0051653A" w:rsidRDefault="00393AAE" w:rsidP="008D1A92">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247C0DE" w14:textId="77777777" w:rsidR="00393AAE" w:rsidRPr="00672AEA" w:rsidRDefault="00393AAE" w:rsidP="008D1A92">
            <w:pPr>
              <w:keepNext/>
              <w:jc w:val="center"/>
              <w:rPr>
                <w:color w:val="000000"/>
                <w:sz w:val="22"/>
              </w:rPr>
            </w:pPr>
            <w:r w:rsidRPr="00672AEA">
              <w:rPr>
                <w:color w:val="000000"/>
                <w:sz w:val="22"/>
                <w:szCs w:val="22"/>
              </w:rPr>
              <w:t>0.00</w:t>
            </w:r>
          </w:p>
        </w:tc>
        <w:tc>
          <w:tcPr>
            <w:tcW w:w="1070" w:type="pct"/>
            <w:tcBorders>
              <w:top w:val="single" w:sz="4" w:space="0" w:color="auto"/>
              <w:left w:val="single" w:sz="4" w:space="0" w:color="auto"/>
              <w:bottom w:val="single" w:sz="4" w:space="0" w:color="auto"/>
              <w:right w:val="nil"/>
            </w:tcBorders>
            <w:vAlign w:val="center"/>
            <w:hideMark/>
          </w:tcPr>
          <w:p w14:paraId="15BEA313" w14:textId="77777777" w:rsidR="00393AAE" w:rsidRPr="0051653A" w:rsidRDefault="00393AAE" w:rsidP="008D1A92">
            <w:pPr>
              <w:keepNext/>
              <w:jc w:val="center"/>
              <w:rPr>
                <w:color w:val="000000"/>
                <w:sz w:val="22"/>
              </w:rPr>
            </w:pPr>
            <w:r w:rsidRPr="00672AEA">
              <w:rPr>
                <w:color w:val="000000"/>
                <w:sz w:val="22"/>
                <w:szCs w:val="22"/>
              </w:rPr>
              <w:t>0.13</w:t>
            </w:r>
          </w:p>
        </w:tc>
        <w:tc>
          <w:tcPr>
            <w:tcW w:w="729" w:type="pct"/>
            <w:tcBorders>
              <w:top w:val="single" w:sz="4" w:space="0" w:color="auto"/>
              <w:left w:val="single" w:sz="8" w:space="0" w:color="auto"/>
              <w:bottom w:val="single" w:sz="4" w:space="0" w:color="auto"/>
              <w:right w:val="single" w:sz="4" w:space="0" w:color="auto"/>
            </w:tcBorders>
            <w:vAlign w:val="center"/>
            <w:hideMark/>
          </w:tcPr>
          <w:p w14:paraId="4D82D0A3" w14:textId="77777777" w:rsidR="00393AAE" w:rsidRPr="002806B5" w:rsidRDefault="00393AAE" w:rsidP="008D1A92">
            <w:pPr>
              <w:keepNext/>
              <w:jc w:val="center"/>
              <w:rPr>
                <w:b/>
                <w:color w:val="000000"/>
                <w:sz w:val="22"/>
              </w:rPr>
            </w:pPr>
            <w:r w:rsidRPr="002806B5">
              <w:rPr>
                <w:b/>
                <w:color w:val="000000"/>
                <w:sz w:val="22"/>
                <w:szCs w:val="22"/>
              </w:rPr>
              <w:t>0.13</w:t>
            </w:r>
          </w:p>
        </w:tc>
      </w:tr>
      <w:tr w:rsidR="00393AAE" w:rsidRPr="00EB5784" w14:paraId="3678DD1E" w14:textId="77777777" w:rsidTr="008D1A92">
        <w:trPr>
          <w:trHeight w:val="135"/>
        </w:trPr>
        <w:tc>
          <w:tcPr>
            <w:tcW w:w="1283" w:type="pct"/>
            <w:tcBorders>
              <w:top w:val="single" w:sz="4" w:space="0" w:color="auto"/>
              <w:left w:val="single" w:sz="4" w:space="0" w:color="auto"/>
              <w:bottom w:val="single" w:sz="4" w:space="0" w:color="auto"/>
              <w:right w:val="single" w:sz="4" w:space="0" w:color="auto"/>
            </w:tcBorders>
            <w:vAlign w:val="center"/>
          </w:tcPr>
          <w:p w14:paraId="1DE88F0A" w14:textId="77777777" w:rsidR="00393AAE" w:rsidRPr="00672AEA" w:rsidRDefault="00393AAE" w:rsidP="008D1A92">
            <w:pPr>
              <w:keepNext/>
              <w:rPr>
                <w:color w:val="000000"/>
                <w:sz w:val="22"/>
              </w:rPr>
            </w:pPr>
            <w:r w:rsidRPr="00672AEA">
              <w:rPr>
                <w:b/>
                <w:bCs/>
                <w:sz w:val="22"/>
                <w:szCs w:val="22"/>
              </w:rPr>
              <w:t>Total</w:t>
            </w:r>
          </w:p>
        </w:tc>
        <w:tc>
          <w:tcPr>
            <w:tcW w:w="873" w:type="pct"/>
            <w:tcBorders>
              <w:top w:val="single" w:sz="4" w:space="0" w:color="auto"/>
              <w:left w:val="single" w:sz="4" w:space="0" w:color="auto"/>
              <w:bottom w:val="single" w:sz="4" w:space="0" w:color="auto"/>
              <w:right w:val="single" w:sz="4" w:space="0" w:color="auto"/>
            </w:tcBorders>
          </w:tcPr>
          <w:p w14:paraId="7DC43205" w14:textId="77777777" w:rsidR="00393AAE" w:rsidRPr="0051653A" w:rsidRDefault="00393AAE" w:rsidP="008D1A92">
            <w:pPr>
              <w:keepNext/>
              <w:jc w:val="center"/>
              <w:rPr>
                <w:color w:val="000000"/>
                <w:sz w:val="22"/>
              </w:rPr>
            </w:pPr>
            <w:r w:rsidRPr="0051653A">
              <w:rPr>
                <w:color w:val="000000"/>
                <w:sz w:val="22"/>
                <w:szCs w:val="22"/>
              </w:rPr>
              <w:t>0.00</w:t>
            </w:r>
          </w:p>
        </w:tc>
        <w:tc>
          <w:tcPr>
            <w:tcW w:w="1045" w:type="pct"/>
            <w:tcBorders>
              <w:top w:val="single" w:sz="4" w:space="0" w:color="auto"/>
              <w:left w:val="single" w:sz="4" w:space="0" w:color="auto"/>
              <w:bottom w:val="single" w:sz="4" w:space="0" w:color="auto"/>
              <w:right w:val="single" w:sz="4" w:space="0" w:color="auto"/>
            </w:tcBorders>
            <w:vAlign w:val="center"/>
          </w:tcPr>
          <w:p w14:paraId="6ABFDD47" w14:textId="77777777" w:rsidR="00393AAE" w:rsidRPr="0051653A" w:rsidRDefault="00393AAE" w:rsidP="008D1A92">
            <w:pPr>
              <w:keepNext/>
              <w:jc w:val="center"/>
              <w:rPr>
                <w:color w:val="000000"/>
                <w:sz w:val="22"/>
              </w:rPr>
            </w:pPr>
            <w:r w:rsidRPr="00672AEA">
              <w:rPr>
                <w:b/>
                <w:bCs/>
                <w:color w:val="000000"/>
                <w:sz w:val="22"/>
                <w:szCs w:val="22"/>
              </w:rPr>
              <w:t>1.73</w:t>
            </w:r>
          </w:p>
        </w:tc>
        <w:tc>
          <w:tcPr>
            <w:tcW w:w="1070" w:type="pct"/>
            <w:tcBorders>
              <w:top w:val="single" w:sz="4" w:space="0" w:color="auto"/>
              <w:left w:val="single" w:sz="4" w:space="0" w:color="auto"/>
              <w:bottom w:val="single" w:sz="4" w:space="0" w:color="auto"/>
              <w:right w:val="nil"/>
            </w:tcBorders>
            <w:vAlign w:val="center"/>
          </w:tcPr>
          <w:p w14:paraId="5D98E98C" w14:textId="77777777" w:rsidR="00393AAE" w:rsidRPr="0051653A" w:rsidRDefault="00393AAE" w:rsidP="008D1A92">
            <w:pPr>
              <w:keepNext/>
              <w:jc w:val="center"/>
              <w:rPr>
                <w:color w:val="000000"/>
                <w:sz w:val="22"/>
              </w:rPr>
            </w:pPr>
            <w:r w:rsidRPr="00672AEA">
              <w:rPr>
                <w:b/>
                <w:bCs/>
                <w:color w:val="000000"/>
                <w:sz w:val="22"/>
                <w:szCs w:val="22"/>
              </w:rPr>
              <w:t>1.07</w:t>
            </w:r>
          </w:p>
        </w:tc>
        <w:tc>
          <w:tcPr>
            <w:tcW w:w="729" w:type="pct"/>
            <w:tcBorders>
              <w:top w:val="single" w:sz="4" w:space="0" w:color="auto"/>
              <w:left w:val="single" w:sz="8" w:space="0" w:color="auto"/>
              <w:bottom w:val="single" w:sz="4" w:space="0" w:color="auto"/>
              <w:right w:val="single" w:sz="4" w:space="0" w:color="auto"/>
            </w:tcBorders>
            <w:vAlign w:val="center"/>
          </w:tcPr>
          <w:p w14:paraId="4E448A42" w14:textId="77777777" w:rsidR="00393AAE" w:rsidRPr="0051653A" w:rsidRDefault="00393AAE" w:rsidP="008D1A92">
            <w:pPr>
              <w:keepNext/>
              <w:jc w:val="center"/>
              <w:rPr>
                <w:color w:val="000000"/>
                <w:sz w:val="22"/>
              </w:rPr>
            </w:pPr>
            <w:r w:rsidRPr="00672AEA">
              <w:rPr>
                <w:b/>
                <w:bCs/>
                <w:color w:val="000000"/>
                <w:sz w:val="22"/>
                <w:szCs w:val="22"/>
              </w:rPr>
              <w:t>2.80</w:t>
            </w:r>
          </w:p>
        </w:tc>
      </w:tr>
      <w:tr w:rsidR="00393AAE" w:rsidRPr="00EB5784" w14:paraId="6801B0E8" w14:textId="77777777" w:rsidTr="008D1A92">
        <w:trPr>
          <w:trHeight w:val="135"/>
        </w:trPr>
        <w:tc>
          <w:tcPr>
            <w:tcW w:w="5000" w:type="pct"/>
            <w:gridSpan w:val="5"/>
            <w:tcBorders>
              <w:top w:val="single" w:sz="4" w:space="0" w:color="auto"/>
              <w:left w:val="single" w:sz="4" w:space="0" w:color="auto"/>
              <w:bottom w:val="single" w:sz="4" w:space="0" w:color="000000"/>
              <w:right w:val="single" w:sz="4" w:space="0" w:color="auto"/>
            </w:tcBorders>
            <w:vAlign w:val="center"/>
          </w:tcPr>
          <w:p w14:paraId="55C7AB41" w14:textId="77777777" w:rsidR="00393AAE" w:rsidRPr="00672AEA" w:rsidRDefault="00393AAE" w:rsidP="008D1A92">
            <w:pPr>
              <w:keepNext/>
              <w:keepLines/>
              <w:rPr>
                <w:b/>
                <w:bCs/>
                <w:color w:val="000000"/>
                <w:sz w:val="22"/>
                <w:szCs w:val="22"/>
              </w:rPr>
            </w:pPr>
            <w:r w:rsidRPr="001D53B5">
              <w:rPr>
                <w:b/>
                <w:bCs/>
                <w:color w:val="000000"/>
                <w:sz w:val="18"/>
                <w:szCs w:val="18"/>
              </w:rPr>
              <w:t xml:space="preserve">Note: </w:t>
            </w:r>
            <w:r w:rsidRPr="00942D5A">
              <w:rPr>
                <w:sz w:val="18"/>
                <w:szCs w:val="18"/>
              </w:rPr>
              <w:t>Some</w:t>
            </w:r>
            <w:r>
              <w:rPr>
                <w:sz w:val="18"/>
                <w:szCs w:val="18"/>
              </w:rPr>
              <w:t xml:space="preserve"> burden estimate totals may not calculate due to rounding of unit burden estimates </w:t>
            </w:r>
          </w:p>
        </w:tc>
      </w:tr>
    </w:tbl>
    <w:p w14:paraId="23EC9B62" w14:textId="77777777" w:rsidR="00393AAE" w:rsidRDefault="00393AAE" w:rsidP="00393AAE"/>
    <w:p w14:paraId="4711D60B" w14:textId="77777777" w:rsidR="00393AAE" w:rsidRDefault="00393AAE" w:rsidP="00393AAE">
      <w:pPr>
        <w:pStyle w:val="BodyText"/>
        <w:spacing w:after="0"/>
        <w:ind w:firstLine="720"/>
        <w:rPr>
          <w:u w:val="single"/>
        </w:rPr>
      </w:pPr>
      <w:r w:rsidRPr="005B45B7">
        <w:rPr>
          <w:u w:val="single"/>
        </w:rPr>
        <w:t>Submitting a SNUN</w:t>
      </w:r>
      <w:r>
        <w:rPr>
          <w:u w:val="single"/>
        </w:rPr>
        <w:t xml:space="preserve"> </w:t>
      </w:r>
    </w:p>
    <w:p w14:paraId="124D3CDD" w14:textId="77777777" w:rsidR="00393AAE" w:rsidRDefault="00393AAE" w:rsidP="00393AAE">
      <w:pPr>
        <w:pStyle w:val="BodyText"/>
        <w:spacing w:after="0"/>
        <w:ind w:firstLine="720"/>
        <w:rPr>
          <w:u w:val="single"/>
        </w:rPr>
      </w:pPr>
    </w:p>
    <w:p w14:paraId="3824AE19" w14:textId="77777777" w:rsidR="00393AAE" w:rsidRDefault="00393AAE" w:rsidP="00393AAE">
      <w:pPr>
        <w:pStyle w:val="BodyText"/>
        <w:spacing w:after="0"/>
        <w:ind w:firstLine="720"/>
        <w:rPr>
          <w:rStyle w:val="BodyTextChar"/>
          <w:spacing w:val="-2"/>
        </w:rPr>
      </w:pPr>
      <w:r>
        <w:rPr>
          <w:szCs w:val="24"/>
        </w:rPr>
        <w:t>When</w:t>
      </w:r>
      <w:r w:rsidRPr="0051653A">
        <w:rPr>
          <w:szCs w:val="24"/>
        </w:rPr>
        <w:t xml:space="preserve"> submitting a SNUN, individuals at different occupational levels must spend time on the required recordkeeping and reporting activities. SNUN submitters</w:t>
      </w:r>
      <w:r w:rsidRPr="00672AEA">
        <w:rPr>
          <w:szCs w:val="24"/>
        </w:rPr>
        <w:t xml:space="preserve"> are required to gather and submit information regarding the data elements identified in the applicable SNUN reporting form. The methodology and calculations assume that the employee responsible for collecting, filling out, and submitting the requested information has a reasonable level of familiarity with the company and knowledge of operations at the site. It is assumed that</w:t>
      </w:r>
      <w:r>
        <w:rPr>
          <w:szCs w:val="24"/>
        </w:rPr>
        <w:t>,</w:t>
      </w:r>
      <w:r w:rsidRPr="00672AEA">
        <w:rPr>
          <w:szCs w:val="24"/>
        </w:rPr>
        <w:t xml:space="preserve"> for most entities</w:t>
      </w:r>
      <w:r>
        <w:rPr>
          <w:szCs w:val="24"/>
        </w:rPr>
        <w:t>,</w:t>
      </w:r>
      <w:r w:rsidRPr="00672AEA">
        <w:rPr>
          <w:szCs w:val="24"/>
        </w:rPr>
        <w:t xml:space="preserve"> these tasks are similar to other employee duties that</w:t>
      </w:r>
      <w:r>
        <w:rPr>
          <w:szCs w:val="24"/>
        </w:rPr>
        <w:t xml:space="preserve"> require familiarity with EPA, state, and other federal</w:t>
      </w:r>
      <w:r w:rsidRPr="00672AEA">
        <w:rPr>
          <w:szCs w:val="24"/>
        </w:rPr>
        <w:t xml:space="preserve"> agency requests for chemical information and do not require additional familiarization or training beyond the basic rule f</w:t>
      </w:r>
      <w:r>
        <w:rPr>
          <w:szCs w:val="24"/>
        </w:rPr>
        <w:t>amiliarization described above.</w:t>
      </w:r>
    </w:p>
    <w:p w14:paraId="7237B751" w14:textId="77777777" w:rsidR="00393AAE" w:rsidRDefault="00393AAE" w:rsidP="00393AAE">
      <w:pPr>
        <w:ind w:firstLine="720"/>
        <w:rPr>
          <w:rStyle w:val="BodyTextChar"/>
          <w:spacing w:val="-2"/>
        </w:rPr>
      </w:pPr>
    </w:p>
    <w:p w14:paraId="5E808E24" w14:textId="77777777" w:rsidR="00393AAE" w:rsidRDefault="00393AAE" w:rsidP="00393AAE">
      <w:pPr>
        <w:rPr>
          <w:b/>
          <w:color w:val="000000"/>
          <w:sz w:val="22"/>
          <w:szCs w:val="22"/>
        </w:rPr>
      </w:pPr>
      <w:r w:rsidRPr="00672AEA">
        <w:rPr>
          <w:rStyle w:val="BodyTextChar"/>
          <w:spacing w:val="-2"/>
        </w:rPr>
        <w:t xml:space="preserve">Estimates of the </w:t>
      </w:r>
      <w:r>
        <w:rPr>
          <w:rStyle w:val="BodyTextChar"/>
          <w:spacing w:val="-2"/>
        </w:rPr>
        <w:t>burden</w:t>
      </w:r>
      <w:r w:rsidRPr="00672AEA">
        <w:rPr>
          <w:rStyle w:val="BodyTextChar"/>
          <w:spacing w:val="-2"/>
        </w:rPr>
        <w:t xml:space="preserve"> of completing a SNUN form are based on the </w:t>
      </w:r>
      <w:r>
        <w:rPr>
          <w:rStyle w:val="BodyTextChar"/>
          <w:spacing w:val="-2"/>
        </w:rPr>
        <w:t>burden</w:t>
      </w:r>
      <w:r w:rsidRPr="00672AEA">
        <w:rPr>
          <w:rStyle w:val="BodyTextChar"/>
          <w:spacing w:val="-2"/>
        </w:rPr>
        <w:t xml:space="preserve"> of completing a PMN submission, since the data requirements are the same and the same form is used for both. </w:t>
      </w:r>
      <w:r>
        <w:rPr>
          <w:rStyle w:val="BodyTextChar"/>
          <w:spacing w:val="-2"/>
        </w:rPr>
        <w:t xml:space="preserve">EPA has harmonized estimates of the reporting and recordkeeping burden related to the submission of both new and existing chemical SNUNs. The reporting and recordkeeping burden for Existing Chemical SNUNs is estimated to be </w:t>
      </w:r>
      <w:r>
        <w:t xml:space="preserve">91.68 </w:t>
      </w:r>
      <w:r>
        <w:rPr>
          <w:rStyle w:val="BodyTextChar"/>
          <w:spacing w:val="-2"/>
        </w:rPr>
        <w:t xml:space="preserve">hours and is based on </w:t>
      </w:r>
      <w:r>
        <w:t xml:space="preserve">the </w:t>
      </w:r>
      <w:r w:rsidRPr="008A2CF2">
        <w:t xml:space="preserve">1994 </w:t>
      </w:r>
      <w:r w:rsidRPr="008A2CF2">
        <w:rPr>
          <w:i/>
          <w:iCs/>
        </w:rPr>
        <w:t>Regulatory Impact Analysis of Amendments</w:t>
      </w:r>
      <w:r>
        <w:rPr>
          <w:i/>
          <w:iCs/>
        </w:rPr>
        <w:t xml:space="preserve"> </w:t>
      </w:r>
      <w:r w:rsidRPr="008A2CF2">
        <w:rPr>
          <w:i/>
          <w:iCs/>
        </w:rPr>
        <w:t xml:space="preserve">(RIA) to Regulations for TSCA Section 5 Premanufacture Notifications </w:t>
      </w:r>
      <w:r w:rsidRPr="008A2CF2">
        <w:rPr>
          <w:iCs/>
        </w:rPr>
        <w:t>(EPA, 1994</w:t>
      </w:r>
      <w:r>
        <w:rPr>
          <w:iCs/>
        </w:rPr>
        <w:t xml:space="preserve">) and has been </w:t>
      </w:r>
      <w:r w:rsidRPr="00DA6114">
        <w:rPr>
          <w:rStyle w:val="BodyTextChar"/>
        </w:rPr>
        <w:t>adjusted to reflect burden reductions resulting from the 2009 final PMN Electronic Reporting (ePMN) Rule that requires the electronic submission of all TSCA section 5 notices. Electronic submission of SNUN forms is expected to</w:t>
      </w:r>
      <w:r w:rsidRPr="004C4F8D">
        <w:rPr>
          <w:rStyle w:val="BodyTextChar"/>
        </w:rPr>
        <w:t xml:space="preserve"> remove all clerical burden and reduce the recordkeeping burden associated with preparing </w:t>
      </w:r>
      <w:r>
        <w:rPr>
          <w:rStyle w:val="BodyTextChar"/>
        </w:rPr>
        <w:t xml:space="preserve">and submitting </w:t>
      </w:r>
      <w:r w:rsidRPr="004C4F8D">
        <w:rPr>
          <w:rStyle w:val="BodyTextChar"/>
        </w:rPr>
        <w:t>a SNUN (EPA, 2009a</w:t>
      </w:r>
      <w:r>
        <w:rPr>
          <w:rStyle w:val="BodyTextChar"/>
        </w:rPr>
        <w:t xml:space="preserve">). </w:t>
      </w:r>
      <w:r w:rsidRPr="004C4F8D">
        <w:t>In addition, electronic submission is expected to generate an additional 0.18 hours of technical burden</w:t>
      </w:r>
      <w:r>
        <w:t xml:space="preserve"> associated with</w:t>
      </w:r>
      <w:r w:rsidRPr="004C4F8D">
        <w:t xml:space="preserve"> the completion of the User Fee Payment Identification Number and email address data elements on the electronic SNUN form</w:t>
      </w:r>
      <w:r>
        <w:rPr>
          <w:b/>
          <w:color w:val="000000"/>
          <w:sz w:val="22"/>
          <w:szCs w:val="22"/>
        </w:rPr>
        <w:t>.</w:t>
      </w:r>
    </w:p>
    <w:p w14:paraId="04D9F4B1" w14:textId="77777777" w:rsidR="00393AAE" w:rsidRDefault="00393AAE" w:rsidP="00393AAE">
      <w:pPr>
        <w:rPr>
          <w:u w:val="single"/>
        </w:rPr>
      </w:pPr>
      <w:r>
        <w:rPr>
          <w:b/>
          <w:color w:val="000000"/>
          <w:sz w:val="22"/>
          <w:szCs w:val="22"/>
        </w:rPr>
        <w:t xml:space="preserve"> </w:t>
      </w:r>
    </w:p>
    <w:p w14:paraId="388CD636" w14:textId="77777777" w:rsidR="00393AAE" w:rsidRDefault="00393AAE" w:rsidP="00393AAE">
      <w:pPr>
        <w:keepNext/>
        <w:ind w:firstLine="720"/>
      </w:pPr>
      <w:r>
        <w:rPr>
          <w:u w:val="single"/>
        </w:rPr>
        <w:t>Alternative Options</w:t>
      </w:r>
    </w:p>
    <w:p w14:paraId="0E029A08" w14:textId="77777777" w:rsidR="00393AAE" w:rsidRDefault="00393AAE" w:rsidP="00393AAE">
      <w:pPr>
        <w:keepNext/>
      </w:pPr>
    </w:p>
    <w:p w14:paraId="14DBD22A" w14:textId="77777777" w:rsidR="00393AAE" w:rsidRDefault="00393AAE" w:rsidP="00393AAE">
      <w:pPr>
        <w:keepNext/>
        <w:ind w:firstLine="720"/>
      </w:pPr>
      <w:r>
        <w:t>Should a company choose to request an equivalency determination (i.e., the second option), or review for modification/revocation (i.e., the fourth option), EPA estimates that a data collection and preparation effort similar to that of a SNUN would be required, and thus the burden is estimated to range up to 91.68 hours for these alternatives, the same as for submitting a SNUN.</w:t>
      </w:r>
    </w:p>
    <w:p w14:paraId="501A6402" w14:textId="77777777" w:rsidR="00393AAE" w:rsidRDefault="00393AAE" w:rsidP="00393AAE">
      <w:pPr>
        <w:ind w:left="-720" w:firstLine="720"/>
      </w:pPr>
    </w:p>
    <w:p w14:paraId="1F7B76E5" w14:textId="77777777" w:rsidR="00393AAE" w:rsidRDefault="00393AAE" w:rsidP="00393AAE">
      <w:pPr>
        <w:ind w:firstLine="720"/>
      </w:pPr>
      <w:r w:rsidRPr="00F73CD4">
        <w:t>In complying with a SNUR, a company would incur costs to ensure all provisions of the SNUR were implemented at the subject facility (i.e., the third option). Since the nature of such provisions will vary depending on the significant new uses identified in each respective SNUR, estimating burden at this time is not possible. In addition to costs of implementation</w:t>
      </w:r>
      <w:r>
        <w:t>,</w:t>
      </w:r>
      <w:r w:rsidRPr="00F73CD4">
        <w:t xml:space="preserve"> firms choosing this option will have minor costs associated with </w:t>
      </w:r>
      <w:r w:rsidRPr="00155FC0">
        <w:rPr>
          <w:spacing w:val="-2"/>
        </w:rPr>
        <w:t xml:space="preserve">keeping records that document compliance with SNUR conditions for avoiding a Significant New Use. Such recordkeeping requirements </w:t>
      </w:r>
      <w:r>
        <w:rPr>
          <w:spacing w:val="-2"/>
        </w:rPr>
        <w:t>may</w:t>
      </w:r>
      <w:r w:rsidRPr="00155FC0">
        <w:rPr>
          <w:spacing w:val="-2"/>
        </w:rPr>
        <w:t xml:space="preserve"> involve copying and filing relevant records, including those related to: category of use and marketing, and production volume. Records </w:t>
      </w:r>
      <w:r>
        <w:rPr>
          <w:spacing w:val="-2"/>
        </w:rPr>
        <w:t>would typically be required to</w:t>
      </w:r>
      <w:r w:rsidRPr="00155FC0">
        <w:rPr>
          <w:spacing w:val="-2"/>
        </w:rPr>
        <w:t xml:space="preserve"> be maintained for five years from the date of their creation. </w:t>
      </w:r>
      <w:r>
        <w:t>Previous existing chemical SNUR ICRs have estimated</w:t>
      </w:r>
      <w:r w:rsidRPr="00155FC0">
        <w:rPr>
          <w:spacing w:val="-2"/>
        </w:rPr>
        <w:t xml:space="preserve"> recordkeeping requirements </w:t>
      </w:r>
      <w:r>
        <w:rPr>
          <w:spacing w:val="-2"/>
        </w:rPr>
        <w:t xml:space="preserve">to be </w:t>
      </w:r>
      <w:r w:rsidRPr="00155FC0">
        <w:rPr>
          <w:spacing w:val="-2"/>
        </w:rPr>
        <w:t>five percent of the reporting burden for a certain activity (EPA, 200</w:t>
      </w:r>
      <w:r>
        <w:rPr>
          <w:spacing w:val="-2"/>
        </w:rPr>
        <w:t>9</w:t>
      </w:r>
      <w:r w:rsidRPr="00155FC0">
        <w:rPr>
          <w:spacing w:val="-2"/>
        </w:rPr>
        <w:t xml:space="preserve">b). </w:t>
      </w:r>
      <w:r>
        <w:rPr>
          <w:spacing w:val="-2"/>
        </w:rPr>
        <w:t>P</w:t>
      </w:r>
      <w:r w:rsidRPr="00155FC0">
        <w:rPr>
          <w:spacing w:val="-2"/>
        </w:rPr>
        <w:t>er-activity burden</w:t>
      </w:r>
      <w:r>
        <w:rPr>
          <w:spacing w:val="-2"/>
        </w:rPr>
        <w:t xml:space="preserve"> is taken from </w:t>
      </w:r>
      <w:r>
        <w:t xml:space="preserve">the midpoint estimated burden of each section of the SNUN form (EPA, 1994). </w:t>
      </w:r>
      <w:r>
        <w:rPr>
          <w:spacing w:val="-2"/>
        </w:rPr>
        <w:t xml:space="preserve">The recordkeeping burden per significant new use is estimated to range from </w:t>
      </w:r>
      <w:r>
        <w:t xml:space="preserve">0.01 hours (0.25 * 0.05) for keeping records of trade names and chemical synonyms to 0.76 hours (15.25 * 0.05) for keeping records of sites controlled by others. The total recordkeeping burden per firm will depend on the significant new use(s) identified. </w:t>
      </w:r>
    </w:p>
    <w:p w14:paraId="5E8D04AF" w14:textId="77777777" w:rsidR="00393AAE" w:rsidRDefault="00393AAE" w:rsidP="00393AAE"/>
    <w:p w14:paraId="62F99114" w14:textId="77777777" w:rsidR="00393AAE" w:rsidRDefault="00393AAE" w:rsidP="00393AAE">
      <w:pPr>
        <w:ind w:firstLine="720"/>
      </w:pPr>
      <w:r>
        <w:t>The final alternative for a company considering a significant new use of a chemical that is subject to a SNUR is to forgo the new use (i.e., the fifth option). In carrying out such a response, the company would incur no direct regulatory burden or costs.</w:t>
      </w:r>
    </w:p>
    <w:p w14:paraId="1B3F8E80" w14:textId="77777777" w:rsidR="00393AAE" w:rsidRDefault="00393AAE" w:rsidP="00393AAE">
      <w:pPr>
        <w:rPr>
          <w:u w:val="single"/>
        </w:rPr>
      </w:pPr>
    </w:p>
    <w:p w14:paraId="704A7CFE" w14:textId="77777777" w:rsidR="00393AAE" w:rsidRDefault="00393AAE" w:rsidP="00393AAE">
      <w:pPr>
        <w:ind w:firstLine="720"/>
      </w:pPr>
      <w:r>
        <w:rPr>
          <w:u w:val="single"/>
        </w:rPr>
        <w:t>Customer Notification</w:t>
      </w:r>
    </w:p>
    <w:p w14:paraId="74AA1AD3" w14:textId="77777777" w:rsidR="00393AAE" w:rsidRDefault="00393AAE" w:rsidP="00393AAE">
      <w:pPr>
        <w:ind w:firstLine="720"/>
      </w:pPr>
    </w:p>
    <w:p w14:paraId="3CD408EA" w14:textId="77777777" w:rsidR="00393AAE" w:rsidRDefault="00393AAE" w:rsidP="00393AAE">
      <w:pPr>
        <w:ind w:firstLine="720"/>
      </w:pPr>
      <w:r>
        <w:t>Manufacturers (including importers) and processors of chemical substances subject to SNURs must notify recipients of such chemicals of the SNUR or verify that knowledge of the SNUR has been otherwise acquired by recipients, or that the recipients are unable to engage in significant new uses. Since it is not expected that all such entities will have complete knowledge of all uses of any products subject to a SNUR, and because filing a SNUN could require significantly more burden, it is assumed that manufacturers (including importers) and processors will most often choose to notify their customers of SNUR regulatory activities. As this notification may be accomplished by simply annotating an MSDS, EPA estimates the associated burden to be about one hour of a technical employee's time per manufacturer or processor per chemical and three hours per manufacturer or processor per chemical formula. EPA estimates that each SNUR will cover approximately 4.33 chemicals and 0.83 chemical formulas. Furthermore, EPA assumes that there are two manufacturers (including importers) or processors per chemical.</w:t>
      </w:r>
      <w:r w:rsidRPr="00BF7E22">
        <w:rPr>
          <w:rStyle w:val="FootnoteReference"/>
          <w:vertAlign w:val="superscript"/>
        </w:rPr>
        <w:footnoteReference w:id="3"/>
      </w:r>
      <w:r>
        <w:t xml:space="preserve"> Therefore, the burden per SNUR is estimated to be 13.67 hours</w:t>
      </w:r>
      <w:r w:rsidDel="0026506F">
        <w:t xml:space="preserve"> </w:t>
      </w:r>
      <w:r>
        <w:t>per SNUR ([1.00 hours/chemical x 4.33 chemicals/SNUR x 2.00 manufacturers] + [3.00 hours/chemical x 0.83 chemical formulas/SNUR</w:t>
      </w:r>
      <w:r w:rsidRPr="0026506F">
        <w:t xml:space="preserve"> </w:t>
      </w:r>
      <w:r>
        <w:t>x 2.00 manufacturers] = 13.67 hours).</w:t>
      </w:r>
    </w:p>
    <w:p w14:paraId="2D66C104" w14:textId="77777777" w:rsidR="00393AAE" w:rsidRDefault="00393AAE" w:rsidP="00393AAE"/>
    <w:p w14:paraId="5A077F48" w14:textId="77777777" w:rsidR="00393AAE" w:rsidRPr="00BF29B2" w:rsidRDefault="00393AAE" w:rsidP="00393AAE">
      <w:pPr>
        <w:ind w:firstLine="720"/>
        <w:rPr>
          <w:u w:val="single"/>
        </w:rPr>
      </w:pPr>
      <w:r w:rsidRPr="00BF29B2">
        <w:rPr>
          <w:u w:val="single"/>
        </w:rPr>
        <w:t>Summary of Unit Burdens</w:t>
      </w:r>
    </w:p>
    <w:p w14:paraId="6CAADC46" w14:textId="77777777" w:rsidR="00393AAE" w:rsidRDefault="00393AAE" w:rsidP="00393AAE">
      <w:pPr>
        <w:ind w:firstLine="720"/>
      </w:pPr>
    </w:p>
    <w:p w14:paraId="71D15194" w14:textId="77777777" w:rsidR="00393AAE" w:rsidRDefault="00393AAE" w:rsidP="00393AAE">
      <w:pPr>
        <w:ind w:firstLine="720"/>
      </w:pPr>
      <w:r>
        <w:t xml:space="preserve">The following table summarizes the burden associated with the activities required under a SNUR, under compliance option 1. </w:t>
      </w:r>
    </w:p>
    <w:p w14:paraId="06338731" w14:textId="77777777" w:rsidR="00393AAE" w:rsidRDefault="00393AAE" w:rsidP="00393AAE">
      <w:pPr>
        <w:keepNext/>
        <w:tabs>
          <w:tab w:val="center" w:pos="4680"/>
          <w:tab w:val="left" w:pos="5040"/>
          <w:tab w:val="left" w:pos="5760"/>
          <w:tab w:val="left" w:pos="6480"/>
          <w:tab w:val="left" w:pos="7200"/>
          <w:tab w:val="left" w:pos="7920"/>
          <w:tab w:val="left" w:pos="8640"/>
          <w:tab w:val="left" w:pos="9360"/>
        </w:tabs>
      </w:pPr>
      <w:r>
        <w:rPr>
          <w:b/>
          <w:bCs/>
        </w:rPr>
        <w:t xml:space="preserve">                  </w:t>
      </w:r>
      <w:r w:rsidRPr="00F9765A">
        <w:rPr>
          <w:b/>
        </w:rPr>
        <w:t xml:space="preserve">Table </w:t>
      </w:r>
      <w:r>
        <w:rPr>
          <w:b/>
        </w:rPr>
        <w:fldChar w:fldCharType="begin"/>
      </w:r>
      <w:r>
        <w:rPr>
          <w:b/>
        </w:rPr>
        <w:instrText xml:space="preserve"> SEQ Table \* ARABIC </w:instrText>
      </w:r>
      <w:r>
        <w:rPr>
          <w:b/>
        </w:rPr>
        <w:fldChar w:fldCharType="separate"/>
      </w:r>
      <w:r>
        <w:rPr>
          <w:b/>
          <w:noProof/>
        </w:rPr>
        <w:t>5</w:t>
      </w:r>
      <w:r>
        <w:rPr>
          <w:b/>
        </w:rPr>
        <w:fldChar w:fldCharType="end"/>
      </w:r>
      <w:r w:rsidRPr="00F9765A">
        <w:rPr>
          <w:b/>
        </w:rPr>
        <w:t xml:space="preserve">: </w:t>
      </w:r>
      <w:r>
        <w:rPr>
          <w:b/>
          <w:bCs/>
        </w:rPr>
        <w:t>Summary of Unit Burdens</w:t>
      </w:r>
    </w:p>
    <w:tbl>
      <w:tblPr>
        <w:tblStyle w:val="TableGrid"/>
        <w:tblW w:w="0" w:type="auto"/>
        <w:tblInd w:w="1098" w:type="dxa"/>
        <w:tblLook w:val="04A0" w:firstRow="1" w:lastRow="0" w:firstColumn="1" w:lastColumn="0" w:noHBand="0" w:noVBand="1"/>
      </w:tblPr>
      <w:tblGrid>
        <w:gridCol w:w="4050"/>
        <w:gridCol w:w="3330"/>
      </w:tblGrid>
      <w:tr w:rsidR="00393AAE" w14:paraId="283CB6CF" w14:textId="77777777" w:rsidTr="008D1A92">
        <w:trPr>
          <w:trHeight w:val="288"/>
        </w:trPr>
        <w:tc>
          <w:tcPr>
            <w:tcW w:w="4050" w:type="dxa"/>
            <w:vAlign w:val="center"/>
          </w:tcPr>
          <w:p w14:paraId="01D60FFD" w14:textId="77777777" w:rsidR="00393AAE" w:rsidRPr="006B3DCD" w:rsidRDefault="00393AAE" w:rsidP="008D1A92">
            <w:pPr>
              <w:keepNext/>
              <w:widowControl/>
              <w:adjustRightInd/>
              <w:rPr>
                <w:b/>
                <w:bCs/>
                <w:color w:val="000000"/>
                <w:sz w:val="22"/>
                <w:szCs w:val="22"/>
              </w:rPr>
            </w:pPr>
            <w:r>
              <w:rPr>
                <w:b/>
                <w:bCs/>
                <w:color w:val="000000"/>
                <w:sz w:val="22"/>
                <w:szCs w:val="22"/>
              </w:rPr>
              <w:t>Collection Activity</w:t>
            </w:r>
          </w:p>
        </w:tc>
        <w:tc>
          <w:tcPr>
            <w:tcW w:w="3330" w:type="dxa"/>
            <w:vAlign w:val="center"/>
          </w:tcPr>
          <w:p w14:paraId="0C2FFE55" w14:textId="77777777" w:rsidR="00393AAE" w:rsidRPr="006B3DCD" w:rsidRDefault="00393AAE" w:rsidP="008D1A92">
            <w:pPr>
              <w:keepNext/>
              <w:widowControl/>
              <w:adjustRightInd/>
              <w:jc w:val="center"/>
              <w:rPr>
                <w:b/>
                <w:bCs/>
                <w:color w:val="000000"/>
                <w:sz w:val="22"/>
                <w:szCs w:val="22"/>
              </w:rPr>
            </w:pPr>
            <w:r w:rsidRPr="006B3DCD">
              <w:rPr>
                <w:b/>
                <w:bCs/>
                <w:color w:val="000000"/>
                <w:sz w:val="22"/>
                <w:szCs w:val="22"/>
              </w:rPr>
              <w:t xml:space="preserve">Estimated </w:t>
            </w:r>
            <w:r>
              <w:rPr>
                <w:b/>
                <w:bCs/>
                <w:color w:val="000000"/>
                <w:sz w:val="22"/>
                <w:szCs w:val="22"/>
              </w:rPr>
              <w:t>Burden Hours</w:t>
            </w:r>
          </w:p>
        </w:tc>
      </w:tr>
      <w:tr w:rsidR="00393AAE" w14:paraId="63474FD0" w14:textId="77777777" w:rsidTr="008D1A92">
        <w:trPr>
          <w:trHeight w:val="288"/>
        </w:trPr>
        <w:tc>
          <w:tcPr>
            <w:tcW w:w="4050" w:type="dxa"/>
            <w:vAlign w:val="center"/>
          </w:tcPr>
          <w:p w14:paraId="3C3DE8F3" w14:textId="77777777" w:rsidR="00393AAE" w:rsidRPr="006B3DCD" w:rsidRDefault="00393AAE" w:rsidP="008D1A92">
            <w:pPr>
              <w:keepNext/>
              <w:widowControl/>
              <w:adjustRightInd/>
              <w:rPr>
                <w:color w:val="000000"/>
                <w:sz w:val="22"/>
                <w:szCs w:val="22"/>
              </w:rPr>
            </w:pPr>
            <w:r w:rsidRPr="006B3DCD">
              <w:rPr>
                <w:color w:val="000000"/>
                <w:sz w:val="22"/>
                <w:szCs w:val="22"/>
              </w:rPr>
              <w:t>Chemical verification (per SNUR)</w:t>
            </w:r>
          </w:p>
        </w:tc>
        <w:tc>
          <w:tcPr>
            <w:tcW w:w="3330" w:type="dxa"/>
            <w:vAlign w:val="center"/>
          </w:tcPr>
          <w:p w14:paraId="2E1E80FE" w14:textId="77777777" w:rsidR="00393AAE" w:rsidRPr="003421AC" w:rsidRDefault="00393AAE" w:rsidP="008D1A92">
            <w:pPr>
              <w:keepNext/>
              <w:widowControl/>
              <w:adjustRightInd/>
              <w:jc w:val="center"/>
              <w:rPr>
                <w:color w:val="000000"/>
                <w:sz w:val="22"/>
                <w:szCs w:val="22"/>
              </w:rPr>
            </w:pPr>
            <w:r w:rsidRPr="003421AC">
              <w:rPr>
                <w:color w:val="000000"/>
                <w:sz w:val="22"/>
                <w:szCs w:val="22"/>
              </w:rPr>
              <w:t>1.14</w:t>
            </w:r>
          </w:p>
        </w:tc>
      </w:tr>
      <w:tr w:rsidR="00393AAE" w14:paraId="5DBDFEFE" w14:textId="77777777" w:rsidTr="008D1A92">
        <w:trPr>
          <w:trHeight w:val="288"/>
        </w:trPr>
        <w:tc>
          <w:tcPr>
            <w:tcW w:w="4050" w:type="dxa"/>
            <w:vAlign w:val="center"/>
          </w:tcPr>
          <w:p w14:paraId="41CDB99A" w14:textId="77777777" w:rsidR="00393AAE" w:rsidRPr="006B3DCD" w:rsidRDefault="00393AAE" w:rsidP="008D1A92">
            <w:pPr>
              <w:keepNext/>
              <w:widowControl/>
              <w:adjustRightInd/>
              <w:rPr>
                <w:color w:val="000000"/>
                <w:sz w:val="22"/>
                <w:szCs w:val="22"/>
              </w:rPr>
            </w:pPr>
            <w:r w:rsidRPr="006B3DCD">
              <w:rPr>
                <w:color w:val="000000"/>
                <w:sz w:val="22"/>
                <w:szCs w:val="22"/>
              </w:rPr>
              <w:t>Rule Familiarization (per company)</w:t>
            </w:r>
          </w:p>
        </w:tc>
        <w:tc>
          <w:tcPr>
            <w:tcW w:w="3330" w:type="dxa"/>
            <w:vAlign w:val="center"/>
          </w:tcPr>
          <w:p w14:paraId="0C561706" w14:textId="77777777" w:rsidR="00393AAE" w:rsidRPr="00E93392" w:rsidRDefault="00393AAE" w:rsidP="008D1A92">
            <w:pPr>
              <w:keepNext/>
              <w:widowControl/>
              <w:adjustRightInd/>
              <w:jc w:val="center"/>
              <w:rPr>
                <w:color w:val="000000"/>
                <w:sz w:val="22"/>
                <w:szCs w:val="22"/>
              </w:rPr>
            </w:pPr>
            <w:r w:rsidRPr="003421AC">
              <w:rPr>
                <w:color w:val="000000"/>
                <w:sz w:val="22"/>
                <w:szCs w:val="22"/>
              </w:rPr>
              <w:t>0.82</w:t>
            </w:r>
          </w:p>
        </w:tc>
      </w:tr>
      <w:tr w:rsidR="00393AAE" w14:paraId="5FA17EDD" w14:textId="77777777" w:rsidTr="008D1A92">
        <w:trPr>
          <w:trHeight w:val="288"/>
        </w:trPr>
        <w:tc>
          <w:tcPr>
            <w:tcW w:w="4050" w:type="dxa"/>
            <w:vAlign w:val="center"/>
          </w:tcPr>
          <w:p w14:paraId="5CEC50DB" w14:textId="77777777" w:rsidR="00393AAE" w:rsidRPr="006B3DCD" w:rsidRDefault="00393AAE" w:rsidP="008D1A92">
            <w:pPr>
              <w:keepNext/>
              <w:widowControl/>
              <w:adjustRightInd/>
              <w:rPr>
                <w:color w:val="000000"/>
                <w:sz w:val="22"/>
                <w:szCs w:val="22"/>
              </w:rPr>
            </w:pPr>
            <w:r w:rsidRPr="006B3DCD">
              <w:rPr>
                <w:color w:val="000000"/>
                <w:sz w:val="22"/>
                <w:szCs w:val="22"/>
              </w:rPr>
              <w:t>CDX registration, electronic signature, and Pay.gov account set</w:t>
            </w:r>
            <w:r>
              <w:rPr>
                <w:color w:val="000000"/>
                <w:sz w:val="22"/>
                <w:szCs w:val="22"/>
              </w:rPr>
              <w:t>-</w:t>
            </w:r>
            <w:r w:rsidRPr="006B3DCD">
              <w:rPr>
                <w:color w:val="000000"/>
                <w:sz w:val="22"/>
                <w:szCs w:val="22"/>
              </w:rPr>
              <w:t xml:space="preserve">up (per company) </w:t>
            </w:r>
          </w:p>
        </w:tc>
        <w:tc>
          <w:tcPr>
            <w:tcW w:w="3330" w:type="dxa"/>
            <w:vAlign w:val="center"/>
          </w:tcPr>
          <w:p w14:paraId="70E6C1B0" w14:textId="77777777" w:rsidR="00393AAE" w:rsidRPr="00E93392" w:rsidRDefault="00393AAE" w:rsidP="008D1A92">
            <w:pPr>
              <w:keepNext/>
              <w:widowControl/>
              <w:adjustRightInd/>
              <w:jc w:val="center"/>
              <w:rPr>
                <w:color w:val="000000"/>
                <w:sz w:val="22"/>
                <w:szCs w:val="22"/>
              </w:rPr>
            </w:pPr>
            <w:r w:rsidRPr="003421AC">
              <w:rPr>
                <w:color w:val="000000"/>
                <w:sz w:val="22"/>
                <w:szCs w:val="22"/>
              </w:rPr>
              <w:t>2.80</w:t>
            </w:r>
          </w:p>
        </w:tc>
      </w:tr>
      <w:tr w:rsidR="00393AAE" w14:paraId="5B2CD5BF" w14:textId="77777777" w:rsidTr="008D1A92">
        <w:trPr>
          <w:trHeight w:val="288"/>
        </w:trPr>
        <w:tc>
          <w:tcPr>
            <w:tcW w:w="4050" w:type="dxa"/>
            <w:vAlign w:val="center"/>
          </w:tcPr>
          <w:p w14:paraId="518CBCED" w14:textId="77777777" w:rsidR="00393AAE" w:rsidRPr="006B3DCD" w:rsidRDefault="00393AAE" w:rsidP="008D1A92">
            <w:pPr>
              <w:keepNext/>
              <w:widowControl/>
              <w:adjustRightInd/>
              <w:rPr>
                <w:color w:val="000000"/>
                <w:sz w:val="22"/>
                <w:szCs w:val="22"/>
              </w:rPr>
            </w:pPr>
            <w:r w:rsidRPr="006B3DCD">
              <w:rPr>
                <w:color w:val="000000"/>
                <w:sz w:val="22"/>
                <w:szCs w:val="22"/>
              </w:rPr>
              <w:t>SNUN</w:t>
            </w:r>
            <w:r>
              <w:rPr>
                <w:color w:val="000000"/>
                <w:sz w:val="22"/>
                <w:szCs w:val="22"/>
              </w:rPr>
              <w:t xml:space="preserve"> preparation</w:t>
            </w:r>
            <w:r w:rsidRPr="006B3DCD">
              <w:rPr>
                <w:color w:val="000000"/>
                <w:sz w:val="22"/>
                <w:szCs w:val="22"/>
              </w:rPr>
              <w:t xml:space="preserve"> </w:t>
            </w:r>
            <w:r>
              <w:rPr>
                <w:color w:val="000000"/>
                <w:sz w:val="22"/>
                <w:szCs w:val="22"/>
              </w:rPr>
              <w:t>(per report)</w:t>
            </w:r>
          </w:p>
        </w:tc>
        <w:tc>
          <w:tcPr>
            <w:tcW w:w="3330" w:type="dxa"/>
            <w:vAlign w:val="center"/>
          </w:tcPr>
          <w:p w14:paraId="1F38A55E" w14:textId="77777777" w:rsidR="00393AAE" w:rsidRPr="00E93392" w:rsidRDefault="00393AAE" w:rsidP="008D1A92">
            <w:pPr>
              <w:keepNext/>
              <w:widowControl/>
              <w:adjustRightInd/>
              <w:jc w:val="center"/>
              <w:rPr>
                <w:color w:val="000000"/>
                <w:sz w:val="22"/>
                <w:szCs w:val="22"/>
              </w:rPr>
            </w:pPr>
            <w:r w:rsidRPr="003421AC">
              <w:rPr>
                <w:color w:val="000000"/>
                <w:sz w:val="22"/>
                <w:szCs w:val="22"/>
              </w:rPr>
              <w:t>91.68</w:t>
            </w:r>
          </w:p>
        </w:tc>
      </w:tr>
      <w:tr w:rsidR="00393AAE" w14:paraId="0BA34A21" w14:textId="77777777" w:rsidTr="008D1A92">
        <w:trPr>
          <w:trHeight w:val="288"/>
        </w:trPr>
        <w:tc>
          <w:tcPr>
            <w:tcW w:w="4050" w:type="dxa"/>
            <w:vAlign w:val="center"/>
          </w:tcPr>
          <w:p w14:paraId="6210EEFB" w14:textId="77777777" w:rsidR="00393AAE" w:rsidRPr="006B3DCD" w:rsidRDefault="00393AAE" w:rsidP="008D1A92">
            <w:pPr>
              <w:keepNext/>
              <w:widowControl/>
              <w:adjustRightInd/>
              <w:rPr>
                <w:color w:val="000000"/>
                <w:sz w:val="22"/>
                <w:szCs w:val="22"/>
              </w:rPr>
            </w:pPr>
            <w:r w:rsidRPr="006B3DCD">
              <w:rPr>
                <w:color w:val="000000"/>
                <w:sz w:val="22"/>
                <w:szCs w:val="22"/>
              </w:rPr>
              <w:t>Notifying customers (</w:t>
            </w:r>
            <w:r>
              <w:rPr>
                <w:color w:val="000000"/>
                <w:sz w:val="22"/>
                <w:szCs w:val="22"/>
              </w:rPr>
              <w:t>p</w:t>
            </w:r>
            <w:r w:rsidRPr="006B3DCD">
              <w:rPr>
                <w:color w:val="000000"/>
                <w:sz w:val="22"/>
                <w:szCs w:val="22"/>
              </w:rPr>
              <w:t>er SNUR)</w:t>
            </w:r>
          </w:p>
        </w:tc>
        <w:tc>
          <w:tcPr>
            <w:tcW w:w="3330" w:type="dxa"/>
            <w:vAlign w:val="center"/>
          </w:tcPr>
          <w:p w14:paraId="3EACF0EB" w14:textId="77777777" w:rsidR="00393AAE" w:rsidRPr="008E66DB" w:rsidRDefault="00393AAE" w:rsidP="008D1A92">
            <w:pPr>
              <w:keepNext/>
              <w:widowControl/>
              <w:adjustRightInd/>
              <w:jc w:val="center"/>
              <w:rPr>
                <w:color w:val="000000"/>
                <w:sz w:val="22"/>
                <w:szCs w:val="22"/>
              </w:rPr>
            </w:pPr>
            <w:r w:rsidRPr="003421AC">
              <w:rPr>
                <w:color w:val="000000"/>
                <w:sz w:val="22"/>
                <w:szCs w:val="22"/>
              </w:rPr>
              <w:t>13.67</w:t>
            </w:r>
          </w:p>
        </w:tc>
      </w:tr>
    </w:tbl>
    <w:p w14:paraId="125F96E7"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rPr>
          <w:b/>
        </w:rPr>
      </w:pPr>
    </w:p>
    <w:p w14:paraId="782CD742"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r>
        <w:rPr>
          <w:b/>
        </w:rPr>
        <w:t>6(b</w:t>
      </w:r>
      <w:r w:rsidRPr="00FF4F0C">
        <w:rPr>
          <w:b/>
        </w:rPr>
        <w:t>)</w:t>
      </w:r>
      <w:r w:rsidRPr="00FF4F0C">
        <w:rPr>
          <w:b/>
        </w:rPr>
        <w:tab/>
        <w:t xml:space="preserve">Estimating Respondent </w:t>
      </w:r>
      <w:r>
        <w:rPr>
          <w:b/>
        </w:rPr>
        <w:t>Costs</w:t>
      </w:r>
    </w:p>
    <w:p w14:paraId="6B4AF9C8"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p>
    <w:p w14:paraId="365D62C5"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r>
        <w:t>The unit costs of filing a SNUN are estimated by monetizing the labor time spent preparing the SNUN and then adding any fixed costs associated with filing a SNUN. This section derives these unit costs.</w:t>
      </w:r>
    </w:p>
    <w:p w14:paraId="37A2F5CF"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p>
    <w:p w14:paraId="01BCE2AA"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firstLine="720"/>
      </w:pPr>
      <w:r>
        <w:t>(i)</w:t>
      </w:r>
      <w:r w:rsidRPr="0025736B">
        <w:t xml:space="preserve"> </w:t>
      </w:r>
      <w:r>
        <w:tab/>
      </w:r>
      <w:r w:rsidRPr="00BF29B2">
        <w:t>Wages</w:t>
      </w:r>
    </w:p>
    <w:p w14:paraId="46504CC7"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76"/>
      </w:pPr>
    </w:p>
    <w:p w14:paraId="119E50E7" w14:textId="77777777" w:rsidR="00393AAE" w:rsidRDefault="00393AAE" w:rsidP="00393AAE">
      <w:pPr>
        <w:ind w:firstLine="720"/>
      </w:pPr>
      <w:r>
        <w:t xml:space="preserve">EPA multiplied burden estimates by standard wage rates for managerial, technical, and clerical levels developed from information published by the Bureau of Labor Statistics (BLS) and a method outlined in the document </w:t>
      </w:r>
      <w:r>
        <w:rPr>
          <w:i/>
        </w:rPr>
        <w:t>Wage Rates for Economic Analyses of the Toxics Release Inventory Program</w:t>
      </w:r>
      <w:r>
        <w:t xml:space="preserve"> (EPA, 2002b). Wage data for the three occupational categories were gathered for manufacturing industries from </w:t>
      </w:r>
      <w:r>
        <w:rPr>
          <w:i/>
        </w:rPr>
        <w:t>Employer Costs for Employee Compensation Supplementary Tables: D</w:t>
      </w:r>
      <w:r w:rsidRPr="000A016F">
        <w:rPr>
          <w:i/>
        </w:rPr>
        <w:t>ecember 2006 – December 2017 (U.S. Bureau of Labor Statistics, 2018).</w:t>
      </w:r>
    </w:p>
    <w:p w14:paraId="019279E6" w14:textId="77777777" w:rsidR="00393AAE" w:rsidRDefault="00393AAE" w:rsidP="00393AAE">
      <w:pPr>
        <w:rPr>
          <w:i/>
          <w:iCs/>
          <w:color w:val="000000"/>
        </w:rPr>
      </w:pPr>
    </w:p>
    <w:p w14:paraId="6B5B2712" w14:textId="77777777" w:rsidR="00393AAE" w:rsidRDefault="00393AAE" w:rsidP="00393AAE">
      <w:pPr>
        <w:ind w:firstLine="720"/>
        <w:rPr>
          <w:rFonts w:ascii="Times-Roman" w:hAnsi="Times-Roman" w:cs="Times-Roman"/>
        </w:rPr>
      </w:pPr>
      <w:r>
        <w:t xml:space="preserve">The cost of fringe benefits, such as health insurance and vacation, is taken for each labor category from the same ECEC series. Following the methodology outlined in EPA 2002b, fringe benefits are calculated as a percentage of total wages for each category. EPA added 17 percent to the wages in each category to account for overhead, based on information provided by the chemical industry and chemical industry trade associations in the </w:t>
      </w:r>
      <w:r>
        <w:rPr>
          <w:i/>
        </w:rPr>
        <w:t xml:space="preserve">Revised Economic Analysis for the Amended Inventory Update Rule: Final Report </w:t>
      </w:r>
      <w:r>
        <w:t>(EPA, 2002a). The wages for each of the three categories were then multiplied by benefits and overhead factors to estimate loaded, annual salaries in year 2017 dollars</w:t>
      </w:r>
      <w:r w:rsidRPr="00611CA4">
        <w:t xml:space="preserve">. </w:t>
      </w:r>
      <w:r w:rsidRPr="00611CA4">
        <w:fldChar w:fldCharType="begin"/>
      </w:r>
      <w:r w:rsidRPr="00611CA4">
        <w:instrText xml:space="preserve"> REF _Ref424061397 \h </w:instrText>
      </w:r>
      <w:r w:rsidRPr="0064544D">
        <w:instrText xml:space="preserve"> \* MERGEFORMAT </w:instrText>
      </w:r>
      <w:r w:rsidRPr="00611CA4">
        <w:fldChar w:fldCharType="separate"/>
      </w:r>
      <w:r w:rsidRPr="0064544D">
        <w:t xml:space="preserve">Table </w:t>
      </w:r>
      <w:r>
        <w:rPr>
          <w:noProof/>
        </w:rPr>
        <w:t>6</w:t>
      </w:r>
      <w:r w:rsidRPr="00611CA4">
        <w:fldChar w:fldCharType="end"/>
      </w:r>
      <w:r>
        <w:t xml:space="preserve"> contains the loaded wage rates f</w:t>
      </w:r>
      <w:r>
        <w:rPr>
          <w:rFonts w:ascii="Times-Roman" w:hAnsi="Times-Roman" w:cs="Times-Roman"/>
        </w:rPr>
        <w:t xml:space="preserve">or the managerial, technical and clerical occupational categories. </w:t>
      </w:r>
    </w:p>
    <w:p w14:paraId="22F6D86D" w14:textId="77777777" w:rsidR="00393AAE" w:rsidRDefault="00393AAE" w:rsidP="0039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D9886A" w14:textId="77777777" w:rsidR="00393AAE" w:rsidRPr="00F9765A" w:rsidRDefault="00393AAE" w:rsidP="00393AAE">
      <w:pPr>
        <w:pStyle w:val="TableTitle"/>
        <w:spacing w:before="0" w:after="0"/>
        <w:outlineLvl w:val="0"/>
        <w:rPr>
          <w:rFonts w:ascii="Times New Roman" w:hAnsi="Times New Roman"/>
          <w:color w:val="auto"/>
          <w:szCs w:val="24"/>
        </w:rPr>
      </w:pPr>
      <w:bookmarkStart w:id="16" w:name="_Ref424061397"/>
      <w:r w:rsidRPr="0064544D">
        <w:rPr>
          <w:rFonts w:ascii="Times New Roman" w:hAnsi="Times New Roman" w:cs="Times New Roman"/>
          <w:color w:val="auto"/>
        </w:rPr>
        <w:t xml:space="preserve">Table </w:t>
      </w:r>
      <w:r w:rsidRPr="00611CA4">
        <w:rPr>
          <w:rFonts w:ascii="Times New Roman" w:hAnsi="Times New Roman" w:cs="Times New Roman"/>
          <w:color w:val="auto"/>
        </w:rPr>
        <w:fldChar w:fldCharType="begin"/>
      </w:r>
      <w:r w:rsidRPr="00611CA4">
        <w:rPr>
          <w:rFonts w:ascii="Times New Roman" w:hAnsi="Times New Roman" w:cs="Times New Roman"/>
          <w:color w:val="auto"/>
        </w:rPr>
        <w:instrText xml:space="preserve"> SEQ Table \* ARABIC </w:instrText>
      </w:r>
      <w:r w:rsidRPr="00611CA4">
        <w:rPr>
          <w:rFonts w:ascii="Times New Roman" w:hAnsi="Times New Roman" w:cs="Times New Roman"/>
          <w:color w:val="auto"/>
        </w:rPr>
        <w:fldChar w:fldCharType="separate"/>
      </w:r>
      <w:r>
        <w:rPr>
          <w:rFonts w:ascii="Times New Roman" w:hAnsi="Times New Roman" w:cs="Times New Roman"/>
          <w:noProof/>
          <w:color w:val="auto"/>
        </w:rPr>
        <w:t>6</w:t>
      </w:r>
      <w:r w:rsidRPr="00611CA4">
        <w:rPr>
          <w:rFonts w:ascii="Times New Roman" w:hAnsi="Times New Roman" w:cs="Times New Roman"/>
          <w:color w:val="auto"/>
        </w:rPr>
        <w:fldChar w:fldCharType="end"/>
      </w:r>
      <w:bookmarkEnd w:id="16"/>
      <w:r w:rsidRPr="0064544D">
        <w:rPr>
          <w:rFonts w:ascii="Times New Roman" w:hAnsi="Times New Roman" w:cs="Times New Roman"/>
          <w:color w:val="auto"/>
        </w:rPr>
        <w:t>:</w:t>
      </w:r>
      <w:r w:rsidRPr="0064544D">
        <w:rPr>
          <w:b w:val="0"/>
          <w:color w:val="auto"/>
        </w:rPr>
        <w:t xml:space="preserve"> </w:t>
      </w:r>
      <w:r w:rsidRPr="00F9765A">
        <w:rPr>
          <w:rFonts w:ascii="Times New Roman" w:hAnsi="Times New Roman"/>
          <w:color w:val="auto"/>
          <w:szCs w:val="24"/>
        </w:rPr>
        <w:t>Derivation of Loaded Wage Rates for the Private Manufacturing Sector in 201</w:t>
      </w:r>
      <w:r>
        <w:rPr>
          <w:rFonts w:ascii="Times New Roman" w:hAnsi="Times New Roman"/>
          <w:color w:val="auto"/>
          <w:szCs w:val="24"/>
        </w:rPr>
        <w:t>7$</w:t>
      </w:r>
      <w:r w:rsidRPr="00F9765A">
        <w:rPr>
          <w:rFonts w:ascii="Times New Roman" w:hAnsi="Times New Roman"/>
          <w:color w:val="auto"/>
          <w:szCs w:val="24"/>
        </w:rPr>
        <w:t xml:space="preserve"> </w:t>
      </w:r>
    </w:p>
    <w:tbl>
      <w:tblPr>
        <w:tblW w:w="496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34"/>
        <w:gridCol w:w="1150"/>
        <w:gridCol w:w="1555"/>
        <w:gridCol w:w="1340"/>
        <w:gridCol w:w="1771"/>
        <w:gridCol w:w="1524"/>
      </w:tblGrid>
      <w:tr w:rsidR="00393AAE" w14:paraId="1D77D78B" w14:textId="77777777" w:rsidTr="008D1A92">
        <w:trPr>
          <w:cantSplit/>
          <w:trHeight w:val="650"/>
        </w:trPr>
        <w:tc>
          <w:tcPr>
            <w:tcW w:w="705" w:type="pct"/>
            <w:vMerge w:val="restart"/>
            <w:tcBorders>
              <w:top w:val="single" w:sz="4" w:space="0" w:color="auto"/>
              <w:left w:val="single" w:sz="4" w:space="0" w:color="auto"/>
              <w:bottom w:val="single" w:sz="4" w:space="0" w:color="auto"/>
              <w:right w:val="single" w:sz="4" w:space="0" w:color="auto"/>
            </w:tcBorders>
            <w:vAlign w:val="center"/>
          </w:tcPr>
          <w:p w14:paraId="1E533AE7" w14:textId="77777777" w:rsidR="00393AAE" w:rsidRPr="00F9765A" w:rsidRDefault="00393AAE" w:rsidP="008D1A92">
            <w:pPr>
              <w:keepNext/>
              <w:jc w:val="center"/>
              <w:rPr>
                <w:b/>
                <w:sz w:val="22"/>
              </w:rPr>
            </w:pPr>
          </w:p>
          <w:p w14:paraId="7A077513" w14:textId="77777777" w:rsidR="00393AAE" w:rsidRPr="00F9765A" w:rsidRDefault="00393AAE" w:rsidP="008D1A92">
            <w:pPr>
              <w:keepNext/>
              <w:jc w:val="center"/>
              <w:rPr>
                <w:sz w:val="22"/>
              </w:rPr>
            </w:pPr>
          </w:p>
        </w:tc>
        <w:tc>
          <w:tcPr>
            <w:tcW w:w="702" w:type="pct"/>
            <w:tcBorders>
              <w:top w:val="single" w:sz="4" w:space="0" w:color="auto"/>
              <w:left w:val="single" w:sz="4" w:space="0" w:color="auto"/>
              <w:bottom w:val="single" w:sz="4" w:space="0" w:color="auto"/>
              <w:right w:val="single" w:sz="4" w:space="0" w:color="auto"/>
            </w:tcBorders>
            <w:vAlign w:val="center"/>
          </w:tcPr>
          <w:p w14:paraId="0B234CD9" w14:textId="77777777" w:rsidR="00393AAE" w:rsidRPr="00F9765A" w:rsidRDefault="00393AAE" w:rsidP="008D1A92">
            <w:pPr>
              <w:keepNext/>
              <w:jc w:val="center"/>
              <w:rPr>
                <w:b/>
                <w:color w:val="000000"/>
                <w:sz w:val="22"/>
              </w:rPr>
            </w:pPr>
          </w:p>
          <w:p w14:paraId="6447C685" w14:textId="77777777" w:rsidR="00393AAE" w:rsidRPr="00F9765A" w:rsidRDefault="00393AAE" w:rsidP="008D1A92">
            <w:pPr>
              <w:keepNext/>
              <w:jc w:val="center"/>
              <w:rPr>
                <w:sz w:val="22"/>
              </w:rPr>
            </w:pPr>
            <w:r w:rsidRPr="00F9765A">
              <w:rPr>
                <w:b/>
                <w:color w:val="000000"/>
                <w:sz w:val="22"/>
                <w:szCs w:val="22"/>
              </w:rPr>
              <w:t>Wage</w:t>
            </w:r>
            <w:r w:rsidRPr="00F9765A">
              <w:rPr>
                <w:b/>
                <w:color w:val="000000"/>
                <w:sz w:val="22"/>
                <w:szCs w:val="22"/>
                <w:vertAlign w:val="superscript"/>
              </w:rPr>
              <w:t>1</w:t>
            </w:r>
          </w:p>
        </w:tc>
        <w:tc>
          <w:tcPr>
            <w:tcW w:w="563" w:type="pct"/>
            <w:tcBorders>
              <w:top w:val="single" w:sz="4" w:space="0" w:color="auto"/>
              <w:left w:val="single" w:sz="4" w:space="0" w:color="auto"/>
              <w:bottom w:val="single" w:sz="4" w:space="0" w:color="auto"/>
              <w:right w:val="single" w:sz="4" w:space="0" w:color="auto"/>
            </w:tcBorders>
            <w:vAlign w:val="center"/>
            <w:hideMark/>
          </w:tcPr>
          <w:p w14:paraId="3097C42B" w14:textId="77777777" w:rsidR="00393AAE" w:rsidRPr="00F9765A" w:rsidRDefault="00393AAE" w:rsidP="008D1A92">
            <w:pPr>
              <w:keepNext/>
              <w:jc w:val="center"/>
              <w:rPr>
                <w:sz w:val="22"/>
              </w:rPr>
            </w:pPr>
            <w:r w:rsidRPr="00F9765A">
              <w:rPr>
                <w:b/>
                <w:color w:val="000000"/>
                <w:sz w:val="22"/>
                <w:szCs w:val="22"/>
              </w:rPr>
              <w:t>Fringe Benefits</w:t>
            </w:r>
            <w:r w:rsidRPr="00F9765A">
              <w:rPr>
                <w:b/>
                <w:color w:val="000000"/>
                <w:sz w:val="22"/>
                <w:szCs w:val="22"/>
                <w:vertAlign w:val="superscript"/>
              </w:rPr>
              <w:t>1</w:t>
            </w:r>
          </w:p>
        </w:tc>
        <w:tc>
          <w:tcPr>
            <w:tcW w:w="761" w:type="pct"/>
            <w:tcBorders>
              <w:top w:val="single" w:sz="4" w:space="0" w:color="auto"/>
              <w:left w:val="single" w:sz="4" w:space="0" w:color="auto"/>
              <w:bottom w:val="single" w:sz="4" w:space="0" w:color="auto"/>
              <w:right w:val="single" w:sz="4" w:space="0" w:color="auto"/>
            </w:tcBorders>
            <w:vAlign w:val="center"/>
            <w:hideMark/>
          </w:tcPr>
          <w:p w14:paraId="494D7605" w14:textId="77777777" w:rsidR="00393AAE" w:rsidRPr="00F9765A" w:rsidRDefault="00393AAE" w:rsidP="008D1A92">
            <w:pPr>
              <w:keepNext/>
              <w:jc w:val="center"/>
              <w:rPr>
                <w:sz w:val="22"/>
              </w:rPr>
            </w:pPr>
            <w:r w:rsidRPr="00F9765A">
              <w:rPr>
                <w:b/>
                <w:color w:val="000000"/>
                <w:sz w:val="22"/>
                <w:szCs w:val="22"/>
              </w:rPr>
              <w:t>Fringes as % of Wage</w:t>
            </w:r>
          </w:p>
        </w:tc>
        <w:tc>
          <w:tcPr>
            <w:tcW w:w="656" w:type="pct"/>
            <w:tcBorders>
              <w:top w:val="single" w:sz="4" w:space="0" w:color="auto"/>
              <w:left w:val="single" w:sz="4" w:space="0" w:color="auto"/>
              <w:bottom w:val="single" w:sz="4" w:space="0" w:color="auto"/>
              <w:right w:val="single" w:sz="4" w:space="0" w:color="auto"/>
            </w:tcBorders>
            <w:vAlign w:val="center"/>
            <w:hideMark/>
          </w:tcPr>
          <w:p w14:paraId="3BB573D6" w14:textId="77777777" w:rsidR="00393AAE" w:rsidRPr="00F9765A" w:rsidRDefault="00393AAE" w:rsidP="008D1A92">
            <w:pPr>
              <w:keepNext/>
              <w:jc w:val="center"/>
              <w:rPr>
                <w:sz w:val="22"/>
              </w:rPr>
            </w:pPr>
            <w:r w:rsidRPr="00F9765A">
              <w:rPr>
                <w:b/>
                <w:color w:val="000000"/>
                <w:sz w:val="22"/>
                <w:szCs w:val="22"/>
              </w:rPr>
              <w:t>Overhead % of Wage</w:t>
            </w:r>
            <w:r w:rsidRPr="00F9765A">
              <w:rPr>
                <w:b/>
                <w:color w:val="000000"/>
                <w:sz w:val="22"/>
                <w:szCs w:val="22"/>
                <w:vertAlign w:val="superscript"/>
              </w:rPr>
              <w:t>2</w:t>
            </w:r>
          </w:p>
        </w:tc>
        <w:tc>
          <w:tcPr>
            <w:tcW w:w="867" w:type="pct"/>
            <w:tcBorders>
              <w:top w:val="single" w:sz="4" w:space="0" w:color="auto"/>
              <w:left w:val="single" w:sz="4" w:space="0" w:color="auto"/>
              <w:bottom w:val="single" w:sz="4" w:space="0" w:color="auto"/>
              <w:right w:val="single" w:sz="4" w:space="0" w:color="auto"/>
            </w:tcBorders>
            <w:vAlign w:val="center"/>
            <w:hideMark/>
          </w:tcPr>
          <w:p w14:paraId="3B29A04D" w14:textId="77777777" w:rsidR="00393AAE" w:rsidRPr="00F9765A" w:rsidRDefault="00393AAE" w:rsidP="008D1A92">
            <w:pPr>
              <w:keepNext/>
              <w:jc w:val="center"/>
              <w:rPr>
                <w:sz w:val="22"/>
              </w:rPr>
            </w:pPr>
            <w:r w:rsidRPr="00F9765A">
              <w:rPr>
                <w:b/>
                <w:color w:val="000000"/>
                <w:sz w:val="22"/>
                <w:szCs w:val="22"/>
              </w:rPr>
              <w:t>Fringe + Overhead Factor</w:t>
            </w:r>
          </w:p>
        </w:tc>
        <w:tc>
          <w:tcPr>
            <w:tcW w:w="747" w:type="pct"/>
            <w:tcBorders>
              <w:top w:val="single" w:sz="4" w:space="0" w:color="auto"/>
              <w:left w:val="single" w:sz="4" w:space="0" w:color="auto"/>
              <w:bottom w:val="single" w:sz="4" w:space="0" w:color="auto"/>
              <w:right w:val="single" w:sz="4" w:space="0" w:color="auto"/>
            </w:tcBorders>
            <w:vAlign w:val="center"/>
            <w:hideMark/>
          </w:tcPr>
          <w:p w14:paraId="46F76F5B" w14:textId="77777777" w:rsidR="00393AAE" w:rsidRPr="00F9765A" w:rsidRDefault="00393AAE" w:rsidP="008D1A92">
            <w:pPr>
              <w:keepNext/>
              <w:jc w:val="center"/>
              <w:rPr>
                <w:sz w:val="22"/>
              </w:rPr>
            </w:pPr>
            <w:r w:rsidRPr="00F9765A">
              <w:rPr>
                <w:b/>
                <w:color w:val="000000"/>
                <w:sz w:val="22"/>
                <w:szCs w:val="22"/>
              </w:rPr>
              <w:t>Loaded Wages</w:t>
            </w:r>
          </w:p>
        </w:tc>
      </w:tr>
      <w:tr w:rsidR="00393AAE" w14:paraId="74562264" w14:textId="77777777" w:rsidTr="008D1A92">
        <w:trPr>
          <w:cantSplit/>
          <w:trHeight w:val="242"/>
        </w:trPr>
        <w:tc>
          <w:tcPr>
            <w:tcW w:w="705" w:type="pct"/>
            <w:vMerge/>
            <w:tcBorders>
              <w:top w:val="single" w:sz="4" w:space="0" w:color="auto"/>
              <w:left w:val="single" w:sz="4" w:space="0" w:color="auto"/>
              <w:bottom w:val="single" w:sz="4" w:space="0" w:color="auto"/>
              <w:right w:val="single" w:sz="4" w:space="0" w:color="auto"/>
            </w:tcBorders>
            <w:vAlign w:val="center"/>
            <w:hideMark/>
          </w:tcPr>
          <w:p w14:paraId="1994AF0A" w14:textId="77777777" w:rsidR="00393AAE" w:rsidRPr="00F9765A" w:rsidRDefault="00393AAE" w:rsidP="008D1A92">
            <w:pPr>
              <w:keepNext/>
              <w:rPr>
                <w:sz w:val="22"/>
              </w:rPr>
            </w:pPr>
          </w:p>
        </w:tc>
        <w:tc>
          <w:tcPr>
            <w:tcW w:w="702" w:type="pct"/>
            <w:tcBorders>
              <w:top w:val="single" w:sz="4" w:space="0" w:color="auto"/>
              <w:left w:val="single" w:sz="4" w:space="0" w:color="auto"/>
              <w:bottom w:val="single" w:sz="4" w:space="0" w:color="auto"/>
              <w:right w:val="single" w:sz="4" w:space="0" w:color="auto"/>
            </w:tcBorders>
            <w:vAlign w:val="center"/>
            <w:hideMark/>
          </w:tcPr>
          <w:p w14:paraId="780BC74E" w14:textId="77777777" w:rsidR="00393AAE" w:rsidRPr="00F9765A" w:rsidRDefault="00393AAE" w:rsidP="008D1A92">
            <w:pPr>
              <w:keepNext/>
              <w:jc w:val="center"/>
              <w:rPr>
                <w:b/>
                <w:color w:val="000000"/>
                <w:sz w:val="22"/>
              </w:rPr>
            </w:pPr>
            <w:r w:rsidRPr="00F9765A">
              <w:rPr>
                <w:b/>
                <w:color w:val="000000"/>
                <w:sz w:val="22"/>
                <w:szCs w:val="22"/>
              </w:rPr>
              <w:t>(a)</w:t>
            </w:r>
          </w:p>
        </w:tc>
        <w:tc>
          <w:tcPr>
            <w:tcW w:w="563" w:type="pct"/>
            <w:tcBorders>
              <w:top w:val="single" w:sz="4" w:space="0" w:color="auto"/>
              <w:left w:val="single" w:sz="4" w:space="0" w:color="auto"/>
              <w:bottom w:val="single" w:sz="4" w:space="0" w:color="auto"/>
              <w:right w:val="single" w:sz="4" w:space="0" w:color="auto"/>
            </w:tcBorders>
            <w:vAlign w:val="center"/>
            <w:hideMark/>
          </w:tcPr>
          <w:p w14:paraId="76E9EFC6" w14:textId="77777777" w:rsidR="00393AAE" w:rsidRPr="00F9765A" w:rsidRDefault="00393AAE" w:rsidP="008D1A92">
            <w:pPr>
              <w:keepNext/>
              <w:jc w:val="center"/>
              <w:rPr>
                <w:b/>
                <w:color w:val="000000"/>
                <w:sz w:val="22"/>
              </w:rPr>
            </w:pPr>
            <w:r w:rsidRPr="00F9765A">
              <w:rPr>
                <w:b/>
                <w:color w:val="000000"/>
                <w:sz w:val="22"/>
                <w:szCs w:val="22"/>
              </w:rPr>
              <w:t>(b)</w:t>
            </w:r>
          </w:p>
        </w:tc>
        <w:tc>
          <w:tcPr>
            <w:tcW w:w="761" w:type="pct"/>
            <w:tcBorders>
              <w:top w:val="single" w:sz="4" w:space="0" w:color="auto"/>
              <w:left w:val="single" w:sz="4" w:space="0" w:color="auto"/>
              <w:bottom w:val="single" w:sz="4" w:space="0" w:color="auto"/>
              <w:right w:val="single" w:sz="4" w:space="0" w:color="auto"/>
            </w:tcBorders>
            <w:vAlign w:val="center"/>
            <w:hideMark/>
          </w:tcPr>
          <w:p w14:paraId="07A06343" w14:textId="77777777" w:rsidR="00393AAE" w:rsidRPr="00F9765A" w:rsidRDefault="00393AAE" w:rsidP="008D1A92">
            <w:pPr>
              <w:keepNext/>
              <w:jc w:val="center"/>
              <w:rPr>
                <w:b/>
                <w:color w:val="000000"/>
                <w:sz w:val="22"/>
              </w:rPr>
            </w:pPr>
            <w:r w:rsidRPr="00F9765A">
              <w:rPr>
                <w:b/>
                <w:color w:val="000000"/>
                <w:sz w:val="22"/>
                <w:szCs w:val="22"/>
              </w:rPr>
              <w:t>(c) = (b)/(a)</w:t>
            </w:r>
          </w:p>
        </w:tc>
        <w:tc>
          <w:tcPr>
            <w:tcW w:w="656" w:type="pct"/>
            <w:tcBorders>
              <w:top w:val="single" w:sz="4" w:space="0" w:color="auto"/>
              <w:left w:val="single" w:sz="4" w:space="0" w:color="auto"/>
              <w:bottom w:val="single" w:sz="4" w:space="0" w:color="auto"/>
              <w:right w:val="single" w:sz="4" w:space="0" w:color="auto"/>
            </w:tcBorders>
            <w:vAlign w:val="center"/>
            <w:hideMark/>
          </w:tcPr>
          <w:p w14:paraId="2F0CBD35" w14:textId="77777777" w:rsidR="00393AAE" w:rsidRPr="00F9765A" w:rsidRDefault="00393AAE" w:rsidP="008D1A92">
            <w:pPr>
              <w:keepNext/>
              <w:jc w:val="center"/>
              <w:rPr>
                <w:b/>
                <w:color w:val="000000"/>
                <w:sz w:val="22"/>
              </w:rPr>
            </w:pPr>
            <w:r w:rsidRPr="00F9765A">
              <w:rPr>
                <w:b/>
                <w:color w:val="000000"/>
                <w:sz w:val="22"/>
                <w:szCs w:val="22"/>
              </w:rPr>
              <w:t>(d)</w:t>
            </w:r>
          </w:p>
        </w:tc>
        <w:tc>
          <w:tcPr>
            <w:tcW w:w="867" w:type="pct"/>
            <w:tcBorders>
              <w:top w:val="single" w:sz="4" w:space="0" w:color="auto"/>
              <w:left w:val="single" w:sz="4" w:space="0" w:color="auto"/>
              <w:bottom w:val="single" w:sz="4" w:space="0" w:color="auto"/>
              <w:right w:val="single" w:sz="4" w:space="0" w:color="auto"/>
            </w:tcBorders>
            <w:vAlign w:val="center"/>
            <w:hideMark/>
          </w:tcPr>
          <w:p w14:paraId="16C3791E" w14:textId="77777777" w:rsidR="00393AAE" w:rsidRPr="00F9765A" w:rsidRDefault="00393AAE" w:rsidP="008D1A92">
            <w:pPr>
              <w:keepNext/>
              <w:jc w:val="center"/>
              <w:rPr>
                <w:b/>
                <w:color w:val="000000"/>
                <w:sz w:val="22"/>
              </w:rPr>
            </w:pPr>
            <w:r w:rsidRPr="00F9765A">
              <w:rPr>
                <w:b/>
                <w:color w:val="000000"/>
                <w:sz w:val="22"/>
                <w:szCs w:val="22"/>
              </w:rPr>
              <w:t>(e)=(1)+(c)+(d)</w:t>
            </w:r>
          </w:p>
        </w:tc>
        <w:tc>
          <w:tcPr>
            <w:tcW w:w="747" w:type="pct"/>
            <w:tcBorders>
              <w:top w:val="single" w:sz="4" w:space="0" w:color="auto"/>
              <w:left w:val="single" w:sz="4" w:space="0" w:color="auto"/>
              <w:bottom w:val="single" w:sz="4" w:space="0" w:color="auto"/>
              <w:right w:val="single" w:sz="4" w:space="0" w:color="auto"/>
            </w:tcBorders>
            <w:vAlign w:val="center"/>
            <w:hideMark/>
          </w:tcPr>
          <w:p w14:paraId="640A25B9" w14:textId="77777777" w:rsidR="00393AAE" w:rsidRPr="00F9765A" w:rsidRDefault="00393AAE" w:rsidP="008D1A92">
            <w:pPr>
              <w:keepNext/>
              <w:jc w:val="center"/>
              <w:rPr>
                <w:b/>
                <w:color w:val="000000"/>
                <w:sz w:val="22"/>
              </w:rPr>
            </w:pPr>
            <w:r w:rsidRPr="00F9765A">
              <w:rPr>
                <w:b/>
                <w:color w:val="000000"/>
                <w:sz w:val="22"/>
                <w:szCs w:val="22"/>
              </w:rPr>
              <w:t>(f) = (a) x (e)</w:t>
            </w:r>
          </w:p>
        </w:tc>
      </w:tr>
      <w:tr w:rsidR="00393AAE" w14:paraId="11120C74" w14:textId="77777777" w:rsidTr="008D1A92">
        <w:trPr>
          <w:cantSplit/>
          <w:trHeight w:val="242"/>
        </w:trPr>
        <w:tc>
          <w:tcPr>
            <w:tcW w:w="705" w:type="pct"/>
            <w:tcBorders>
              <w:top w:val="single" w:sz="4" w:space="0" w:color="auto"/>
              <w:left w:val="single" w:sz="4" w:space="0" w:color="auto"/>
              <w:bottom w:val="single" w:sz="4" w:space="0" w:color="auto"/>
              <w:right w:val="single" w:sz="4" w:space="0" w:color="auto"/>
            </w:tcBorders>
            <w:vAlign w:val="center"/>
            <w:hideMark/>
          </w:tcPr>
          <w:p w14:paraId="27723DA8" w14:textId="77777777" w:rsidR="00393AAE" w:rsidRPr="00F9765A" w:rsidRDefault="00393AAE" w:rsidP="008D1A92">
            <w:pPr>
              <w:keepNext/>
              <w:rPr>
                <w:b/>
                <w:sz w:val="22"/>
              </w:rPr>
            </w:pPr>
            <w:r w:rsidRPr="00F9765A">
              <w:rPr>
                <w:b/>
                <w:sz w:val="22"/>
                <w:szCs w:val="22"/>
              </w:rPr>
              <w:t>Clerical</w:t>
            </w:r>
          </w:p>
        </w:tc>
        <w:tc>
          <w:tcPr>
            <w:tcW w:w="702" w:type="pct"/>
            <w:tcBorders>
              <w:top w:val="single" w:sz="4" w:space="0" w:color="auto"/>
              <w:left w:val="single" w:sz="4" w:space="0" w:color="auto"/>
              <w:bottom w:val="single" w:sz="4" w:space="0" w:color="auto"/>
              <w:right w:val="single" w:sz="4" w:space="0" w:color="auto"/>
            </w:tcBorders>
            <w:vAlign w:val="center"/>
            <w:hideMark/>
          </w:tcPr>
          <w:p w14:paraId="64B41C16" w14:textId="77777777" w:rsidR="00393AAE" w:rsidRPr="00E565E4" w:rsidRDefault="00393AAE" w:rsidP="008D1A92">
            <w:pPr>
              <w:keepNext/>
              <w:jc w:val="center"/>
              <w:rPr>
                <w:sz w:val="22"/>
                <w:szCs w:val="22"/>
              </w:rPr>
            </w:pPr>
            <w:r w:rsidRPr="002E3989">
              <w:rPr>
                <w:color w:val="000000"/>
                <w:sz w:val="22"/>
                <w:szCs w:val="22"/>
              </w:rPr>
              <w:t>$</w:t>
            </w:r>
            <w:r>
              <w:rPr>
                <w:color w:val="000000"/>
                <w:sz w:val="22"/>
                <w:szCs w:val="22"/>
              </w:rPr>
              <w:t>20.49</w:t>
            </w:r>
            <w:r w:rsidRPr="002E3989">
              <w:rPr>
                <w:color w:val="000000"/>
                <w:sz w:val="22"/>
                <w:szCs w:val="22"/>
              </w:rPr>
              <w:t xml:space="preserve"> </w:t>
            </w:r>
          </w:p>
        </w:tc>
        <w:tc>
          <w:tcPr>
            <w:tcW w:w="563" w:type="pct"/>
            <w:tcBorders>
              <w:top w:val="single" w:sz="4" w:space="0" w:color="auto"/>
              <w:left w:val="single" w:sz="4" w:space="0" w:color="auto"/>
              <w:bottom w:val="single" w:sz="4" w:space="0" w:color="auto"/>
              <w:right w:val="single" w:sz="4" w:space="0" w:color="auto"/>
            </w:tcBorders>
            <w:vAlign w:val="center"/>
            <w:hideMark/>
          </w:tcPr>
          <w:p w14:paraId="6CA671D3" w14:textId="77777777" w:rsidR="00393AAE" w:rsidRPr="00E565E4" w:rsidRDefault="00393AAE" w:rsidP="008D1A92">
            <w:pPr>
              <w:keepNext/>
              <w:jc w:val="center"/>
              <w:rPr>
                <w:sz w:val="22"/>
                <w:szCs w:val="22"/>
              </w:rPr>
            </w:pPr>
            <w:r w:rsidRPr="002E3989">
              <w:rPr>
                <w:color w:val="000000"/>
                <w:sz w:val="22"/>
                <w:szCs w:val="22"/>
              </w:rPr>
              <w:t>$</w:t>
            </w:r>
            <w:r>
              <w:rPr>
                <w:color w:val="000000"/>
                <w:sz w:val="22"/>
                <w:szCs w:val="22"/>
              </w:rPr>
              <w:t>11.02</w:t>
            </w:r>
          </w:p>
        </w:tc>
        <w:tc>
          <w:tcPr>
            <w:tcW w:w="761" w:type="pct"/>
            <w:tcBorders>
              <w:top w:val="single" w:sz="4" w:space="0" w:color="auto"/>
              <w:left w:val="single" w:sz="4" w:space="0" w:color="auto"/>
              <w:bottom w:val="single" w:sz="4" w:space="0" w:color="auto"/>
              <w:right w:val="single" w:sz="4" w:space="0" w:color="auto"/>
            </w:tcBorders>
            <w:vAlign w:val="center"/>
            <w:hideMark/>
          </w:tcPr>
          <w:p w14:paraId="486992D4" w14:textId="77777777" w:rsidR="00393AAE" w:rsidRPr="00E565E4" w:rsidRDefault="00393AAE" w:rsidP="008D1A92">
            <w:pPr>
              <w:keepNext/>
              <w:jc w:val="center"/>
              <w:rPr>
                <w:sz w:val="22"/>
                <w:szCs w:val="22"/>
              </w:rPr>
            </w:pPr>
            <w:r w:rsidRPr="002E3989">
              <w:rPr>
                <w:color w:val="000000"/>
                <w:sz w:val="22"/>
                <w:szCs w:val="22"/>
              </w:rPr>
              <w:t>5</w:t>
            </w:r>
            <w:r>
              <w:rPr>
                <w:color w:val="000000"/>
                <w:sz w:val="22"/>
                <w:szCs w:val="22"/>
              </w:rPr>
              <w:t>4%</w:t>
            </w:r>
          </w:p>
        </w:tc>
        <w:tc>
          <w:tcPr>
            <w:tcW w:w="656" w:type="pct"/>
            <w:tcBorders>
              <w:top w:val="single" w:sz="4" w:space="0" w:color="auto"/>
              <w:left w:val="single" w:sz="4" w:space="0" w:color="auto"/>
              <w:bottom w:val="single" w:sz="4" w:space="0" w:color="auto"/>
              <w:right w:val="single" w:sz="4" w:space="0" w:color="auto"/>
            </w:tcBorders>
            <w:vAlign w:val="center"/>
            <w:hideMark/>
          </w:tcPr>
          <w:p w14:paraId="1532AD81" w14:textId="77777777" w:rsidR="00393AAE" w:rsidRPr="00E565E4" w:rsidRDefault="00393AAE" w:rsidP="008D1A92">
            <w:pPr>
              <w:keepNext/>
              <w:jc w:val="center"/>
              <w:rPr>
                <w:sz w:val="22"/>
                <w:szCs w:val="22"/>
              </w:rPr>
            </w:pPr>
            <w:r w:rsidRPr="002E3989">
              <w:rPr>
                <w:color w:val="000000"/>
                <w:sz w:val="22"/>
                <w:szCs w:val="22"/>
              </w:rPr>
              <w:t>17%</w:t>
            </w:r>
          </w:p>
        </w:tc>
        <w:tc>
          <w:tcPr>
            <w:tcW w:w="867" w:type="pct"/>
            <w:tcBorders>
              <w:top w:val="single" w:sz="4" w:space="0" w:color="auto"/>
              <w:left w:val="single" w:sz="4" w:space="0" w:color="auto"/>
              <w:bottom w:val="single" w:sz="4" w:space="0" w:color="auto"/>
              <w:right w:val="single" w:sz="4" w:space="0" w:color="auto"/>
            </w:tcBorders>
            <w:vAlign w:val="center"/>
            <w:hideMark/>
          </w:tcPr>
          <w:p w14:paraId="5436E336" w14:textId="77777777" w:rsidR="00393AAE" w:rsidRPr="00E565E4" w:rsidRDefault="00393AAE" w:rsidP="008D1A92">
            <w:pPr>
              <w:keepNext/>
              <w:jc w:val="center"/>
              <w:rPr>
                <w:sz w:val="22"/>
                <w:szCs w:val="22"/>
              </w:rPr>
            </w:pPr>
            <w:r w:rsidRPr="002E3989">
              <w:rPr>
                <w:color w:val="000000"/>
                <w:sz w:val="22"/>
                <w:szCs w:val="22"/>
              </w:rPr>
              <w:t>1.</w:t>
            </w:r>
            <w:r>
              <w:rPr>
                <w:color w:val="000000"/>
                <w:sz w:val="22"/>
                <w:szCs w:val="22"/>
              </w:rPr>
              <w:t>71</w:t>
            </w:r>
          </w:p>
        </w:tc>
        <w:tc>
          <w:tcPr>
            <w:tcW w:w="747" w:type="pct"/>
            <w:tcBorders>
              <w:top w:val="single" w:sz="4" w:space="0" w:color="auto"/>
              <w:left w:val="single" w:sz="4" w:space="0" w:color="auto"/>
              <w:bottom w:val="single" w:sz="4" w:space="0" w:color="auto"/>
              <w:right w:val="single" w:sz="4" w:space="0" w:color="auto"/>
            </w:tcBorders>
            <w:vAlign w:val="center"/>
            <w:hideMark/>
          </w:tcPr>
          <w:p w14:paraId="58B7750B" w14:textId="77777777" w:rsidR="00393AAE" w:rsidRPr="00E565E4" w:rsidRDefault="00393AAE" w:rsidP="008D1A92">
            <w:pPr>
              <w:keepNext/>
              <w:jc w:val="center"/>
              <w:rPr>
                <w:b/>
                <w:sz w:val="22"/>
                <w:szCs w:val="22"/>
              </w:rPr>
            </w:pPr>
            <w:r w:rsidRPr="002E3989">
              <w:rPr>
                <w:b/>
                <w:color w:val="000000"/>
                <w:sz w:val="22"/>
                <w:szCs w:val="22"/>
              </w:rPr>
              <w:t>$</w:t>
            </w:r>
            <w:r>
              <w:rPr>
                <w:b/>
                <w:color w:val="000000"/>
                <w:sz w:val="22"/>
                <w:szCs w:val="22"/>
              </w:rPr>
              <w:t>34.99</w:t>
            </w:r>
            <w:r w:rsidRPr="002E3989">
              <w:rPr>
                <w:b/>
                <w:color w:val="000000"/>
                <w:sz w:val="22"/>
                <w:szCs w:val="22"/>
              </w:rPr>
              <w:t xml:space="preserve"> </w:t>
            </w:r>
          </w:p>
        </w:tc>
      </w:tr>
      <w:tr w:rsidR="00393AAE" w14:paraId="564F9E27" w14:textId="77777777" w:rsidTr="008D1A92">
        <w:trPr>
          <w:cantSplit/>
          <w:trHeight w:val="170"/>
        </w:trPr>
        <w:tc>
          <w:tcPr>
            <w:tcW w:w="705" w:type="pct"/>
            <w:tcBorders>
              <w:top w:val="single" w:sz="4" w:space="0" w:color="auto"/>
              <w:left w:val="single" w:sz="4" w:space="0" w:color="auto"/>
              <w:bottom w:val="single" w:sz="4" w:space="0" w:color="auto"/>
              <w:right w:val="single" w:sz="4" w:space="0" w:color="auto"/>
            </w:tcBorders>
            <w:vAlign w:val="center"/>
            <w:hideMark/>
          </w:tcPr>
          <w:p w14:paraId="7C746F5D" w14:textId="77777777" w:rsidR="00393AAE" w:rsidRPr="00F9765A" w:rsidRDefault="00393AAE" w:rsidP="008D1A92">
            <w:pPr>
              <w:keepNext/>
              <w:rPr>
                <w:b/>
                <w:sz w:val="22"/>
              </w:rPr>
            </w:pPr>
            <w:r w:rsidRPr="00F9765A">
              <w:rPr>
                <w:b/>
                <w:sz w:val="22"/>
                <w:szCs w:val="22"/>
              </w:rPr>
              <w:t>Technical</w:t>
            </w:r>
          </w:p>
        </w:tc>
        <w:tc>
          <w:tcPr>
            <w:tcW w:w="702" w:type="pct"/>
            <w:tcBorders>
              <w:top w:val="single" w:sz="4" w:space="0" w:color="auto"/>
              <w:left w:val="single" w:sz="4" w:space="0" w:color="auto"/>
              <w:bottom w:val="single" w:sz="4" w:space="0" w:color="auto"/>
              <w:right w:val="single" w:sz="4" w:space="0" w:color="auto"/>
            </w:tcBorders>
            <w:vAlign w:val="center"/>
            <w:hideMark/>
          </w:tcPr>
          <w:p w14:paraId="19E14FF4" w14:textId="77777777" w:rsidR="00393AAE" w:rsidRPr="00E565E4" w:rsidRDefault="00393AAE" w:rsidP="008D1A92">
            <w:pPr>
              <w:keepNext/>
              <w:jc w:val="center"/>
              <w:rPr>
                <w:sz w:val="22"/>
                <w:szCs w:val="22"/>
              </w:rPr>
            </w:pPr>
            <w:r>
              <w:rPr>
                <w:color w:val="000000"/>
                <w:sz w:val="22"/>
                <w:szCs w:val="22"/>
              </w:rPr>
              <w:t>$45.82</w:t>
            </w:r>
            <w:r w:rsidRPr="002E3989">
              <w:rPr>
                <w:color w:val="000000"/>
                <w:sz w:val="22"/>
                <w:szCs w:val="22"/>
              </w:rPr>
              <w:t xml:space="preserve"> </w:t>
            </w:r>
          </w:p>
        </w:tc>
        <w:tc>
          <w:tcPr>
            <w:tcW w:w="563" w:type="pct"/>
            <w:tcBorders>
              <w:top w:val="single" w:sz="4" w:space="0" w:color="auto"/>
              <w:left w:val="single" w:sz="4" w:space="0" w:color="auto"/>
              <w:bottom w:val="single" w:sz="4" w:space="0" w:color="auto"/>
              <w:right w:val="single" w:sz="4" w:space="0" w:color="auto"/>
            </w:tcBorders>
            <w:vAlign w:val="center"/>
            <w:hideMark/>
          </w:tcPr>
          <w:p w14:paraId="73C4FF35" w14:textId="77777777" w:rsidR="00393AAE" w:rsidRPr="00E565E4" w:rsidRDefault="00393AAE" w:rsidP="008D1A92">
            <w:pPr>
              <w:keepNext/>
              <w:jc w:val="center"/>
              <w:rPr>
                <w:sz w:val="22"/>
                <w:szCs w:val="22"/>
              </w:rPr>
            </w:pPr>
            <w:r>
              <w:rPr>
                <w:color w:val="000000"/>
                <w:sz w:val="22"/>
                <w:szCs w:val="22"/>
              </w:rPr>
              <w:t>$24.33</w:t>
            </w:r>
            <w:r w:rsidRPr="002E3989">
              <w:rPr>
                <w:color w:val="000000"/>
                <w:sz w:val="22"/>
                <w:szCs w:val="22"/>
              </w:rPr>
              <w:t xml:space="preserve"> </w:t>
            </w:r>
          </w:p>
        </w:tc>
        <w:tc>
          <w:tcPr>
            <w:tcW w:w="761" w:type="pct"/>
            <w:tcBorders>
              <w:top w:val="single" w:sz="4" w:space="0" w:color="auto"/>
              <w:left w:val="single" w:sz="4" w:space="0" w:color="auto"/>
              <w:bottom w:val="single" w:sz="4" w:space="0" w:color="auto"/>
              <w:right w:val="single" w:sz="4" w:space="0" w:color="auto"/>
            </w:tcBorders>
            <w:vAlign w:val="center"/>
            <w:hideMark/>
          </w:tcPr>
          <w:p w14:paraId="677F7D9A" w14:textId="77777777" w:rsidR="00393AAE" w:rsidRPr="00E565E4" w:rsidRDefault="00393AAE" w:rsidP="008D1A92">
            <w:pPr>
              <w:keepNext/>
              <w:jc w:val="center"/>
              <w:rPr>
                <w:sz w:val="22"/>
                <w:szCs w:val="22"/>
              </w:rPr>
            </w:pPr>
            <w:r>
              <w:rPr>
                <w:color w:val="000000"/>
                <w:sz w:val="22"/>
                <w:szCs w:val="22"/>
              </w:rPr>
              <w:t>53%</w:t>
            </w:r>
          </w:p>
        </w:tc>
        <w:tc>
          <w:tcPr>
            <w:tcW w:w="656" w:type="pct"/>
            <w:tcBorders>
              <w:top w:val="single" w:sz="4" w:space="0" w:color="auto"/>
              <w:left w:val="single" w:sz="4" w:space="0" w:color="auto"/>
              <w:bottom w:val="single" w:sz="4" w:space="0" w:color="auto"/>
              <w:right w:val="single" w:sz="4" w:space="0" w:color="auto"/>
            </w:tcBorders>
            <w:vAlign w:val="center"/>
            <w:hideMark/>
          </w:tcPr>
          <w:p w14:paraId="210265C6" w14:textId="77777777" w:rsidR="00393AAE" w:rsidRPr="00E565E4" w:rsidRDefault="00393AAE" w:rsidP="008D1A92">
            <w:pPr>
              <w:keepNext/>
              <w:jc w:val="center"/>
              <w:rPr>
                <w:sz w:val="22"/>
                <w:szCs w:val="22"/>
              </w:rPr>
            </w:pPr>
            <w:r w:rsidRPr="002E3989">
              <w:rPr>
                <w:color w:val="000000"/>
                <w:sz w:val="22"/>
                <w:szCs w:val="22"/>
              </w:rPr>
              <w:t>17%</w:t>
            </w:r>
          </w:p>
        </w:tc>
        <w:tc>
          <w:tcPr>
            <w:tcW w:w="867" w:type="pct"/>
            <w:tcBorders>
              <w:top w:val="single" w:sz="4" w:space="0" w:color="auto"/>
              <w:left w:val="single" w:sz="4" w:space="0" w:color="auto"/>
              <w:bottom w:val="single" w:sz="4" w:space="0" w:color="auto"/>
              <w:right w:val="single" w:sz="4" w:space="0" w:color="auto"/>
            </w:tcBorders>
            <w:vAlign w:val="center"/>
            <w:hideMark/>
          </w:tcPr>
          <w:p w14:paraId="740714D3" w14:textId="77777777" w:rsidR="00393AAE" w:rsidRPr="00E565E4" w:rsidRDefault="00393AAE" w:rsidP="008D1A92">
            <w:pPr>
              <w:keepNext/>
              <w:jc w:val="center"/>
              <w:rPr>
                <w:sz w:val="22"/>
                <w:szCs w:val="22"/>
              </w:rPr>
            </w:pPr>
            <w:r w:rsidRPr="002E3989">
              <w:rPr>
                <w:color w:val="000000"/>
                <w:sz w:val="22"/>
                <w:szCs w:val="22"/>
              </w:rPr>
              <w:t>1.7</w:t>
            </w:r>
            <w:r>
              <w:rPr>
                <w:color w:val="000000"/>
                <w:sz w:val="22"/>
                <w:szCs w:val="22"/>
              </w:rPr>
              <w:t>0</w:t>
            </w:r>
          </w:p>
        </w:tc>
        <w:tc>
          <w:tcPr>
            <w:tcW w:w="747" w:type="pct"/>
            <w:tcBorders>
              <w:top w:val="single" w:sz="4" w:space="0" w:color="auto"/>
              <w:left w:val="single" w:sz="4" w:space="0" w:color="auto"/>
              <w:bottom w:val="single" w:sz="4" w:space="0" w:color="auto"/>
              <w:right w:val="single" w:sz="4" w:space="0" w:color="auto"/>
            </w:tcBorders>
            <w:vAlign w:val="center"/>
            <w:hideMark/>
          </w:tcPr>
          <w:p w14:paraId="4EB6CFD3" w14:textId="77777777" w:rsidR="00393AAE" w:rsidRPr="00E565E4" w:rsidRDefault="00393AAE" w:rsidP="008D1A92">
            <w:pPr>
              <w:keepNext/>
              <w:jc w:val="center"/>
              <w:rPr>
                <w:b/>
                <w:sz w:val="22"/>
                <w:szCs w:val="22"/>
              </w:rPr>
            </w:pPr>
            <w:r w:rsidRPr="002E3989">
              <w:rPr>
                <w:b/>
                <w:color w:val="000000"/>
                <w:sz w:val="22"/>
                <w:szCs w:val="22"/>
              </w:rPr>
              <w:t>$7</w:t>
            </w:r>
            <w:r>
              <w:rPr>
                <w:b/>
                <w:color w:val="000000"/>
                <w:sz w:val="22"/>
                <w:szCs w:val="22"/>
              </w:rPr>
              <w:t>7.94</w:t>
            </w:r>
          </w:p>
        </w:tc>
      </w:tr>
      <w:tr w:rsidR="00393AAE" w14:paraId="5F110686" w14:textId="77777777" w:rsidTr="008D1A92">
        <w:trPr>
          <w:cantSplit/>
          <w:trHeight w:val="230"/>
        </w:trPr>
        <w:tc>
          <w:tcPr>
            <w:tcW w:w="705" w:type="pct"/>
            <w:tcBorders>
              <w:top w:val="single" w:sz="4" w:space="0" w:color="auto"/>
              <w:left w:val="single" w:sz="4" w:space="0" w:color="auto"/>
              <w:bottom w:val="single" w:sz="4" w:space="0" w:color="auto"/>
              <w:right w:val="single" w:sz="4" w:space="0" w:color="auto"/>
            </w:tcBorders>
            <w:vAlign w:val="center"/>
            <w:hideMark/>
          </w:tcPr>
          <w:p w14:paraId="47732977" w14:textId="77777777" w:rsidR="00393AAE" w:rsidRPr="00F9765A" w:rsidRDefault="00393AAE" w:rsidP="008D1A92">
            <w:pPr>
              <w:keepNext/>
              <w:rPr>
                <w:b/>
                <w:sz w:val="22"/>
              </w:rPr>
            </w:pPr>
            <w:r w:rsidRPr="00F9765A">
              <w:rPr>
                <w:b/>
                <w:sz w:val="22"/>
                <w:szCs w:val="22"/>
              </w:rPr>
              <w:t>Managerial</w:t>
            </w:r>
          </w:p>
        </w:tc>
        <w:tc>
          <w:tcPr>
            <w:tcW w:w="702" w:type="pct"/>
            <w:tcBorders>
              <w:top w:val="single" w:sz="4" w:space="0" w:color="auto"/>
              <w:left w:val="single" w:sz="4" w:space="0" w:color="auto"/>
              <w:bottom w:val="single" w:sz="4" w:space="0" w:color="auto"/>
              <w:right w:val="single" w:sz="4" w:space="0" w:color="auto"/>
            </w:tcBorders>
            <w:vAlign w:val="center"/>
            <w:hideMark/>
          </w:tcPr>
          <w:p w14:paraId="280A9844" w14:textId="77777777" w:rsidR="00393AAE" w:rsidRPr="00E565E4" w:rsidRDefault="00393AAE" w:rsidP="008D1A92">
            <w:pPr>
              <w:keepNext/>
              <w:jc w:val="center"/>
              <w:rPr>
                <w:sz w:val="22"/>
                <w:szCs w:val="22"/>
              </w:rPr>
            </w:pPr>
            <w:r w:rsidRPr="002E3989">
              <w:rPr>
                <w:color w:val="000000"/>
                <w:sz w:val="22"/>
                <w:szCs w:val="22"/>
              </w:rPr>
              <w:t>$</w:t>
            </w:r>
            <w:r>
              <w:rPr>
                <w:color w:val="000000"/>
                <w:sz w:val="22"/>
                <w:szCs w:val="22"/>
              </w:rPr>
              <w:t>46.59</w:t>
            </w:r>
            <w:r w:rsidRPr="002E3989">
              <w:rPr>
                <w:color w:val="000000"/>
                <w:sz w:val="22"/>
                <w:szCs w:val="22"/>
              </w:rPr>
              <w:t xml:space="preserve"> </w:t>
            </w:r>
          </w:p>
        </w:tc>
        <w:tc>
          <w:tcPr>
            <w:tcW w:w="563" w:type="pct"/>
            <w:tcBorders>
              <w:top w:val="single" w:sz="4" w:space="0" w:color="auto"/>
              <w:left w:val="single" w:sz="4" w:space="0" w:color="auto"/>
              <w:bottom w:val="single" w:sz="4" w:space="0" w:color="auto"/>
              <w:right w:val="single" w:sz="4" w:space="0" w:color="auto"/>
            </w:tcBorders>
            <w:vAlign w:val="center"/>
            <w:hideMark/>
          </w:tcPr>
          <w:p w14:paraId="398040F8" w14:textId="77777777" w:rsidR="00393AAE" w:rsidRPr="00E565E4" w:rsidRDefault="00393AAE" w:rsidP="008D1A92">
            <w:pPr>
              <w:keepNext/>
              <w:jc w:val="center"/>
              <w:rPr>
                <w:sz w:val="22"/>
                <w:szCs w:val="22"/>
              </w:rPr>
            </w:pPr>
            <w:r w:rsidRPr="002E3989">
              <w:rPr>
                <w:color w:val="000000"/>
                <w:sz w:val="22"/>
                <w:szCs w:val="22"/>
              </w:rPr>
              <w:t>$</w:t>
            </w:r>
            <w:r>
              <w:rPr>
                <w:color w:val="000000"/>
                <w:sz w:val="22"/>
                <w:szCs w:val="22"/>
              </w:rPr>
              <w:t>22.16</w:t>
            </w:r>
            <w:r w:rsidRPr="002E3989">
              <w:rPr>
                <w:color w:val="000000"/>
                <w:sz w:val="22"/>
                <w:szCs w:val="22"/>
              </w:rPr>
              <w:t xml:space="preserve"> </w:t>
            </w:r>
          </w:p>
        </w:tc>
        <w:tc>
          <w:tcPr>
            <w:tcW w:w="761" w:type="pct"/>
            <w:tcBorders>
              <w:top w:val="single" w:sz="4" w:space="0" w:color="auto"/>
              <w:left w:val="single" w:sz="4" w:space="0" w:color="auto"/>
              <w:bottom w:val="single" w:sz="4" w:space="0" w:color="auto"/>
              <w:right w:val="single" w:sz="4" w:space="0" w:color="auto"/>
            </w:tcBorders>
            <w:vAlign w:val="center"/>
            <w:hideMark/>
          </w:tcPr>
          <w:p w14:paraId="084942E3" w14:textId="77777777" w:rsidR="00393AAE" w:rsidRPr="00E565E4" w:rsidRDefault="00393AAE" w:rsidP="008D1A92">
            <w:pPr>
              <w:keepNext/>
              <w:jc w:val="center"/>
              <w:rPr>
                <w:sz w:val="22"/>
                <w:szCs w:val="22"/>
              </w:rPr>
            </w:pPr>
            <w:r>
              <w:rPr>
                <w:color w:val="000000"/>
                <w:sz w:val="22"/>
                <w:szCs w:val="22"/>
              </w:rPr>
              <w:t>48%</w:t>
            </w:r>
          </w:p>
        </w:tc>
        <w:tc>
          <w:tcPr>
            <w:tcW w:w="656" w:type="pct"/>
            <w:tcBorders>
              <w:top w:val="single" w:sz="4" w:space="0" w:color="auto"/>
              <w:left w:val="single" w:sz="4" w:space="0" w:color="auto"/>
              <w:bottom w:val="single" w:sz="4" w:space="0" w:color="auto"/>
              <w:right w:val="single" w:sz="4" w:space="0" w:color="auto"/>
            </w:tcBorders>
            <w:vAlign w:val="center"/>
            <w:hideMark/>
          </w:tcPr>
          <w:p w14:paraId="7D97BB4E" w14:textId="77777777" w:rsidR="00393AAE" w:rsidRPr="00E565E4" w:rsidRDefault="00393AAE" w:rsidP="008D1A92">
            <w:pPr>
              <w:keepNext/>
              <w:jc w:val="center"/>
              <w:rPr>
                <w:sz w:val="22"/>
                <w:szCs w:val="22"/>
              </w:rPr>
            </w:pPr>
            <w:r w:rsidRPr="002E3989">
              <w:rPr>
                <w:color w:val="000000"/>
                <w:sz w:val="22"/>
                <w:szCs w:val="22"/>
              </w:rPr>
              <w:t>17%</w:t>
            </w:r>
          </w:p>
        </w:tc>
        <w:tc>
          <w:tcPr>
            <w:tcW w:w="867" w:type="pct"/>
            <w:tcBorders>
              <w:top w:val="single" w:sz="4" w:space="0" w:color="auto"/>
              <w:left w:val="single" w:sz="4" w:space="0" w:color="auto"/>
              <w:bottom w:val="single" w:sz="4" w:space="0" w:color="auto"/>
              <w:right w:val="single" w:sz="4" w:space="0" w:color="auto"/>
            </w:tcBorders>
            <w:vAlign w:val="center"/>
            <w:hideMark/>
          </w:tcPr>
          <w:p w14:paraId="40F98C0F" w14:textId="77777777" w:rsidR="00393AAE" w:rsidRPr="00E565E4" w:rsidRDefault="00393AAE" w:rsidP="008D1A92">
            <w:pPr>
              <w:keepNext/>
              <w:jc w:val="center"/>
              <w:rPr>
                <w:sz w:val="22"/>
                <w:szCs w:val="22"/>
              </w:rPr>
            </w:pPr>
            <w:r w:rsidRPr="002E3989">
              <w:rPr>
                <w:color w:val="000000"/>
                <w:sz w:val="22"/>
                <w:szCs w:val="22"/>
              </w:rPr>
              <w:t>1.6</w:t>
            </w:r>
            <w:r>
              <w:rPr>
                <w:color w:val="000000"/>
                <w:sz w:val="22"/>
                <w:szCs w:val="22"/>
              </w:rPr>
              <w:t>5</w:t>
            </w:r>
          </w:p>
        </w:tc>
        <w:tc>
          <w:tcPr>
            <w:tcW w:w="747" w:type="pct"/>
            <w:tcBorders>
              <w:top w:val="single" w:sz="4" w:space="0" w:color="auto"/>
              <w:left w:val="single" w:sz="4" w:space="0" w:color="auto"/>
              <w:bottom w:val="single" w:sz="4" w:space="0" w:color="auto"/>
              <w:right w:val="single" w:sz="4" w:space="0" w:color="auto"/>
            </w:tcBorders>
            <w:vAlign w:val="center"/>
            <w:hideMark/>
          </w:tcPr>
          <w:p w14:paraId="407EE481" w14:textId="77777777" w:rsidR="00393AAE" w:rsidRPr="00E565E4" w:rsidRDefault="00393AAE" w:rsidP="008D1A92">
            <w:pPr>
              <w:keepNext/>
              <w:jc w:val="center"/>
              <w:rPr>
                <w:b/>
                <w:sz w:val="22"/>
                <w:szCs w:val="22"/>
              </w:rPr>
            </w:pPr>
            <w:r w:rsidRPr="002E3989">
              <w:rPr>
                <w:b/>
                <w:color w:val="000000"/>
                <w:sz w:val="22"/>
                <w:szCs w:val="22"/>
              </w:rPr>
              <w:t>$</w:t>
            </w:r>
            <w:r>
              <w:rPr>
                <w:b/>
                <w:color w:val="000000"/>
                <w:sz w:val="22"/>
                <w:szCs w:val="22"/>
              </w:rPr>
              <w:t>76.67</w:t>
            </w:r>
          </w:p>
        </w:tc>
      </w:tr>
      <w:tr w:rsidR="00393AAE" w14:paraId="4E2EE375" w14:textId="77777777" w:rsidTr="008D1A92">
        <w:trPr>
          <w:cantSplit/>
          <w:trHeight w:val="908"/>
        </w:trPr>
        <w:tc>
          <w:tcPr>
            <w:tcW w:w="5000" w:type="pct"/>
            <w:gridSpan w:val="7"/>
            <w:tcBorders>
              <w:top w:val="single" w:sz="4" w:space="0" w:color="auto"/>
              <w:left w:val="nil"/>
              <w:bottom w:val="nil"/>
              <w:right w:val="nil"/>
            </w:tcBorders>
            <w:hideMark/>
          </w:tcPr>
          <w:p w14:paraId="2B341E78" w14:textId="77777777" w:rsidR="00393AAE" w:rsidRDefault="00393AAE" w:rsidP="008D1A92">
            <w:pPr>
              <w:keepNext/>
              <w:autoSpaceDE w:val="0"/>
              <w:autoSpaceDN w:val="0"/>
              <w:rPr>
                <w:i/>
                <w:iCs/>
                <w:color w:val="000000"/>
                <w:sz w:val="20"/>
              </w:rPr>
            </w:pPr>
            <w:r>
              <w:rPr>
                <w:sz w:val="20"/>
                <w:vertAlign w:val="superscript"/>
              </w:rPr>
              <w:t>1</w:t>
            </w:r>
            <w:r>
              <w:rPr>
                <w:sz w:val="20"/>
              </w:rPr>
              <w:t xml:space="preserve"> </w:t>
            </w:r>
            <w:r>
              <w:rPr>
                <w:i/>
                <w:sz w:val="20"/>
              </w:rPr>
              <w:t>Employer Costs for Employee Compensation Supplementary Tables: D</w:t>
            </w:r>
            <w:r w:rsidRPr="000A016F">
              <w:rPr>
                <w:i/>
                <w:iCs/>
                <w:color w:val="000000"/>
                <w:sz w:val="20"/>
              </w:rPr>
              <w:t>ecember 2006 – December 2017 (U.S. Bureau of Labor Statistics, 2018).</w:t>
            </w:r>
          </w:p>
          <w:p w14:paraId="0981A8A1" w14:textId="77777777" w:rsidR="00393AAE" w:rsidRDefault="00393AAE" w:rsidP="008D1A92">
            <w:pPr>
              <w:keepNext/>
              <w:rPr>
                <w:sz w:val="20"/>
              </w:rPr>
            </w:pPr>
            <w:r>
              <w:rPr>
                <w:sz w:val="20"/>
                <w:vertAlign w:val="superscript"/>
              </w:rPr>
              <w:t>2</w:t>
            </w:r>
            <w:r>
              <w:rPr>
                <w:sz w:val="20"/>
              </w:rPr>
              <w:t xml:space="preserve"> An overhead rate of 17 percent was estimated based on industry data gathered for the </w:t>
            </w:r>
            <w:r>
              <w:rPr>
                <w:i/>
                <w:sz w:val="20"/>
              </w:rPr>
              <w:t xml:space="preserve">Revised Economic Analysis for the Amended Inventory Update Rule: Final Report </w:t>
            </w:r>
            <w:r>
              <w:rPr>
                <w:sz w:val="20"/>
              </w:rPr>
              <w:t>(EPA, 2002a).</w:t>
            </w:r>
          </w:p>
        </w:tc>
      </w:tr>
    </w:tbl>
    <w:p w14:paraId="77D8D777"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576"/>
        <w:rPr>
          <w:sz w:val="20"/>
          <w:szCs w:val="20"/>
        </w:rPr>
      </w:pPr>
    </w:p>
    <w:p w14:paraId="54CEF9DF"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(ii) </w:t>
      </w:r>
      <w:r w:rsidRPr="0025736B">
        <w:tab/>
      </w:r>
      <w:r w:rsidRPr="00BF29B2">
        <w:t>Summary of Unit Costs</w:t>
      </w:r>
    </w:p>
    <w:p w14:paraId="2354D3C7"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4D4520"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29B2">
        <w:tab/>
      </w:r>
      <w:r>
        <w:rPr>
          <w:u w:val="single"/>
        </w:rPr>
        <w:t>Costs for Chemical Verification</w:t>
      </w:r>
    </w:p>
    <w:p w14:paraId="17618936"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D99305" w14:textId="77777777" w:rsidR="00393AAE" w:rsidRDefault="00393AAE" w:rsidP="00393AAE">
      <w:pPr>
        <w:ind w:firstLine="720"/>
      </w:pPr>
      <w:r>
        <w:t xml:space="preserve">The Agency estimates that chemical verification will require 0.19 technical hours per SNUR. The total estimated cost per SNUR is estimated to be </w:t>
      </w:r>
      <w:r w:rsidRPr="004315D0">
        <w:t>$</w:t>
      </w:r>
      <w:r>
        <w:t xml:space="preserve">88.77 (1.14 hours per SNUR x </w:t>
      </w:r>
      <w:r w:rsidRPr="004315D0">
        <w:t>$</w:t>
      </w:r>
      <w:r>
        <w:t>77.94).</w:t>
      </w:r>
    </w:p>
    <w:p w14:paraId="1CE9D559" w14:textId="77777777" w:rsidR="00393AAE" w:rsidRDefault="00393AAE" w:rsidP="00393AAE"/>
    <w:p w14:paraId="51AA8974" w14:textId="77777777" w:rsidR="00393AAE" w:rsidRDefault="00393AAE" w:rsidP="00393AAE">
      <w:pPr>
        <w:pStyle w:val="Heading3"/>
        <w:spacing w:before="0" w:after="0"/>
        <w:ind w:firstLine="720"/>
        <w:rPr>
          <w:rFonts w:ascii="Times New Roman" w:hAnsi="Times New Roman"/>
          <w:b w:val="0"/>
          <w:sz w:val="24"/>
          <w:szCs w:val="24"/>
          <w:u w:val="single"/>
        </w:rPr>
      </w:pPr>
      <w:r>
        <w:rPr>
          <w:rFonts w:ascii="Times New Roman" w:hAnsi="Times New Roman"/>
          <w:b w:val="0"/>
          <w:sz w:val="24"/>
          <w:szCs w:val="24"/>
          <w:u w:val="single"/>
        </w:rPr>
        <w:t xml:space="preserve">Costs for </w:t>
      </w:r>
      <w:r w:rsidRPr="00F9765A">
        <w:rPr>
          <w:rFonts w:ascii="Times New Roman" w:hAnsi="Times New Roman"/>
          <w:b w:val="0"/>
          <w:sz w:val="24"/>
          <w:szCs w:val="24"/>
          <w:u w:val="single"/>
        </w:rPr>
        <w:t>Rule Familiarization</w:t>
      </w:r>
    </w:p>
    <w:p w14:paraId="166803FB" w14:textId="77777777" w:rsidR="00393AAE" w:rsidRPr="00BF29B2" w:rsidRDefault="00393AAE" w:rsidP="00393AAE"/>
    <w:p w14:paraId="2F6D69AF" w14:textId="77777777" w:rsidR="00393AAE" w:rsidRDefault="00393AAE" w:rsidP="00393AAE">
      <w:pPr>
        <w:pStyle w:val="BodyText"/>
        <w:spacing w:after="0"/>
        <w:ind w:firstLine="720"/>
        <w:rPr>
          <w:szCs w:val="24"/>
        </w:rPr>
      </w:pPr>
      <w:r w:rsidRPr="00F9765A">
        <w:rPr>
          <w:szCs w:val="24"/>
        </w:rPr>
        <w:t>EPA estimates rule familiarization costs will require 0.8</w:t>
      </w:r>
      <w:r>
        <w:rPr>
          <w:szCs w:val="24"/>
        </w:rPr>
        <w:t>2</w:t>
      </w:r>
      <w:r w:rsidRPr="00F9765A">
        <w:rPr>
          <w:szCs w:val="24"/>
        </w:rPr>
        <w:t xml:space="preserve"> hours per firm and total cost </w:t>
      </w:r>
      <w:r>
        <w:rPr>
          <w:szCs w:val="24"/>
        </w:rPr>
        <w:t>per firm is</w:t>
      </w:r>
      <w:r w:rsidRPr="00F9765A">
        <w:rPr>
          <w:szCs w:val="24"/>
        </w:rPr>
        <w:t xml:space="preserve"> expected to be $</w:t>
      </w:r>
      <w:r>
        <w:rPr>
          <w:szCs w:val="24"/>
        </w:rPr>
        <w:t>63.31</w:t>
      </w:r>
      <w:r w:rsidRPr="00F9765A">
        <w:rPr>
          <w:szCs w:val="24"/>
        </w:rPr>
        <w:t xml:space="preserve">. </w:t>
      </w:r>
    </w:p>
    <w:p w14:paraId="137C2C94" w14:textId="77777777" w:rsidR="00393AAE" w:rsidRDefault="00393AAE" w:rsidP="00393AAE">
      <w:pPr>
        <w:pStyle w:val="BodyText"/>
        <w:spacing w:after="0"/>
        <w:ind w:firstLine="720"/>
        <w:rPr>
          <w:szCs w:val="24"/>
        </w:rPr>
      </w:pPr>
    </w:p>
    <w:p w14:paraId="1DC6E09E" w14:textId="77777777" w:rsidR="00393AAE" w:rsidRDefault="00393AAE" w:rsidP="00393AAE">
      <w:pPr>
        <w:pStyle w:val="BodyText"/>
        <w:spacing w:after="0"/>
        <w:ind w:firstLine="720"/>
        <w:rPr>
          <w:b/>
          <w:szCs w:val="24"/>
          <w:u w:val="single"/>
        </w:rPr>
      </w:pPr>
      <w:r>
        <w:rPr>
          <w:szCs w:val="24"/>
          <w:u w:val="single"/>
        </w:rPr>
        <w:t xml:space="preserve">Costs for </w:t>
      </w:r>
      <w:r w:rsidRPr="00F9765A">
        <w:rPr>
          <w:szCs w:val="24"/>
          <w:u w:val="single"/>
        </w:rPr>
        <w:t>CDX Registration, CDX Electronic Signature, and Pay.gov Account Setup</w:t>
      </w:r>
    </w:p>
    <w:p w14:paraId="71A3BF5F" w14:textId="77777777" w:rsidR="00393AAE" w:rsidRPr="00BF29B2" w:rsidRDefault="00393AAE" w:rsidP="00393AAE"/>
    <w:p w14:paraId="31F1A5A2" w14:textId="77777777" w:rsidR="00393AAE" w:rsidRDefault="00393AAE" w:rsidP="00393AAE">
      <w:pPr>
        <w:pStyle w:val="BodyText"/>
        <w:spacing w:after="0"/>
        <w:ind w:firstLine="720"/>
        <w:rPr>
          <w:iCs/>
          <w:szCs w:val="24"/>
        </w:rPr>
      </w:pPr>
      <w:r w:rsidRPr="00F9765A">
        <w:rPr>
          <w:iCs/>
          <w:szCs w:val="24"/>
        </w:rPr>
        <w:t>First-ti</w:t>
      </w:r>
      <w:r>
        <w:rPr>
          <w:iCs/>
          <w:szCs w:val="24"/>
        </w:rPr>
        <w:t>me submitters of any TSCA section 5 n</w:t>
      </w:r>
      <w:r w:rsidRPr="00F9765A">
        <w:rPr>
          <w:iCs/>
          <w:szCs w:val="24"/>
        </w:rPr>
        <w:t>otice are required to register their company and key users with the CDX reporting tool, deliver a CDX electronic signature to EPA, and establish and use a Pay.gov E-payment account. EPA estimates that companies will spend approximately $</w:t>
      </w:r>
      <w:r w:rsidRPr="00E93392">
        <w:rPr>
          <w:iCs/>
          <w:szCs w:val="24"/>
        </w:rPr>
        <w:t xml:space="preserve">71.21 </w:t>
      </w:r>
      <w:r w:rsidRPr="00F9765A">
        <w:rPr>
          <w:iCs/>
          <w:szCs w:val="24"/>
        </w:rPr>
        <w:t>on CDX registration, $</w:t>
      </w:r>
      <w:r>
        <w:rPr>
          <w:iCs/>
          <w:szCs w:val="24"/>
        </w:rPr>
        <w:t>135</w:t>
      </w:r>
      <w:r w:rsidRPr="00F9765A">
        <w:rPr>
          <w:iCs/>
          <w:szCs w:val="24"/>
        </w:rPr>
        <w:t xml:space="preserve"> on completing the Electronic Signature Agreements, $2.</w:t>
      </w:r>
      <w:r>
        <w:rPr>
          <w:iCs/>
          <w:szCs w:val="24"/>
        </w:rPr>
        <w:t>79</w:t>
      </w:r>
      <w:r w:rsidRPr="00F9765A">
        <w:rPr>
          <w:iCs/>
          <w:szCs w:val="24"/>
        </w:rPr>
        <w:t xml:space="preserve"> mailing electronic signature agreements, and $</w:t>
      </w:r>
      <w:r w:rsidRPr="00E93392">
        <w:rPr>
          <w:iCs/>
          <w:szCs w:val="24"/>
        </w:rPr>
        <w:t xml:space="preserve">10.22 </w:t>
      </w:r>
      <w:r w:rsidRPr="00F9765A">
        <w:rPr>
          <w:iCs/>
          <w:szCs w:val="24"/>
        </w:rPr>
        <w:t>setting up a Pay.gov account. Therefore</w:t>
      </w:r>
      <w:r>
        <w:rPr>
          <w:iCs/>
          <w:szCs w:val="24"/>
        </w:rPr>
        <w:t>,</w:t>
      </w:r>
      <w:r w:rsidRPr="00F9765A">
        <w:rPr>
          <w:iCs/>
          <w:szCs w:val="24"/>
        </w:rPr>
        <w:t xml:space="preserve"> the total expected costs associated with CDX registration, completing and mailing an electronic signature agreement and setting up a Pay.gov account is</w:t>
      </w:r>
      <w:r>
        <w:rPr>
          <w:iCs/>
          <w:szCs w:val="24"/>
        </w:rPr>
        <w:t xml:space="preserve"> approximately</w:t>
      </w:r>
      <w:r w:rsidRPr="00F9765A">
        <w:rPr>
          <w:iCs/>
          <w:szCs w:val="24"/>
        </w:rPr>
        <w:t xml:space="preserve"> $</w:t>
      </w:r>
      <w:r>
        <w:rPr>
          <w:iCs/>
          <w:szCs w:val="24"/>
        </w:rPr>
        <w:t>220</w:t>
      </w:r>
      <w:r w:rsidRPr="00F9765A">
        <w:rPr>
          <w:iCs/>
          <w:szCs w:val="24"/>
        </w:rPr>
        <w:t xml:space="preserve">. </w:t>
      </w:r>
    </w:p>
    <w:p w14:paraId="1E6C1716" w14:textId="77777777" w:rsidR="00393AAE" w:rsidRPr="00F9765A" w:rsidRDefault="00393AAE" w:rsidP="00393AAE">
      <w:pPr>
        <w:pStyle w:val="BodyText"/>
        <w:spacing w:after="0"/>
        <w:ind w:firstLine="720"/>
        <w:rPr>
          <w:iCs/>
          <w:szCs w:val="24"/>
        </w:rPr>
      </w:pPr>
      <w:r w:rsidRPr="00F9765A">
        <w:rPr>
          <w:iCs/>
          <w:szCs w:val="24"/>
        </w:rPr>
        <w:t xml:space="preserve"> </w:t>
      </w:r>
    </w:p>
    <w:p w14:paraId="33BE7BAA" w14:textId="77777777" w:rsidR="00393AAE" w:rsidRPr="00F9765A" w:rsidRDefault="00393AAE" w:rsidP="00393AAE">
      <w:pPr>
        <w:pStyle w:val="Caption"/>
        <w:keepNext/>
        <w:spacing w:before="0" w:after="0"/>
        <w:rPr>
          <w:color w:val="auto"/>
          <w:szCs w:val="24"/>
        </w:rPr>
      </w:pPr>
      <w:r w:rsidRPr="0064544D">
        <w:rPr>
          <w:color w:val="auto"/>
        </w:rPr>
        <w:t xml:space="preserve">Table </w:t>
      </w:r>
      <w:r w:rsidRPr="00611CA4">
        <w:rPr>
          <w:color w:val="auto"/>
        </w:rPr>
        <w:fldChar w:fldCharType="begin"/>
      </w:r>
      <w:r w:rsidRPr="00611CA4">
        <w:rPr>
          <w:color w:val="auto"/>
        </w:rPr>
        <w:instrText xml:space="preserve"> SEQ Table \* ARABIC </w:instrText>
      </w:r>
      <w:r w:rsidRPr="00611CA4">
        <w:rPr>
          <w:color w:val="auto"/>
        </w:rPr>
        <w:fldChar w:fldCharType="separate"/>
      </w:r>
      <w:r>
        <w:rPr>
          <w:noProof/>
          <w:color w:val="auto"/>
        </w:rPr>
        <w:t>7</w:t>
      </w:r>
      <w:r w:rsidRPr="00611CA4">
        <w:rPr>
          <w:color w:val="auto"/>
        </w:rPr>
        <w:fldChar w:fldCharType="end"/>
      </w:r>
      <w:r w:rsidRPr="0064544D">
        <w:rPr>
          <w:color w:val="auto"/>
        </w:rPr>
        <w:t>:</w:t>
      </w:r>
      <w:r w:rsidRPr="0064544D">
        <w:rPr>
          <w:b w:val="0"/>
          <w:color w:val="auto"/>
        </w:rPr>
        <w:t xml:space="preserve"> </w:t>
      </w:r>
      <w:r w:rsidRPr="00F9765A">
        <w:rPr>
          <w:color w:val="auto"/>
          <w:szCs w:val="24"/>
        </w:rPr>
        <w:t>CDX Registration, CDX Electronic Signature, and Pay.gov Account Setup Cost for First-Time Submitters</w:t>
      </w:r>
    </w:p>
    <w:tbl>
      <w:tblPr>
        <w:tblW w:w="4944" w:type="pct"/>
        <w:tblInd w:w="108" w:type="dxa"/>
        <w:tblLook w:val="04A0" w:firstRow="1" w:lastRow="0" w:firstColumn="1" w:lastColumn="0" w:noHBand="0" w:noVBand="1"/>
      </w:tblPr>
      <w:tblGrid>
        <w:gridCol w:w="2257"/>
        <w:gridCol w:w="2095"/>
        <w:gridCol w:w="2095"/>
        <w:gridCol w:w="2097"/>
        <w:gridCol w:w="1637"/>
      </w:tblGrid>
      <w:tr w:rsidR="00393AAE" w:rsidRPr="00017B85" w14:paraId="0B25B1F8" w14:textId="77777777" w:rsidTr="008D1A92">
        <w:trPr>
          <w:trHeight w:val="276"/>
        </w:trPr>
        <w:tc>
          <w:tcPr>
            <w:tcW w:w="1108" w:type="pct"/>
            <w:vMerge w:val="restart"/>
            <w:tcBorders>
              <w:top w:val="single" w:sz="4" w:space="0" w:color="auto"/>
              <w:left w:val="single" w:sz="4" w:space="0" w:color="auto"/>
              <w:bottom w:val="single" w:sz="4" w:space="0" w:color="000000"/>
              <w:right w:val="single" w:sz="4" w:space="0" w:color="auto"/>
            </w:tcBorders>
            <w:vAlign w:val="center"/>
          </w:tcPr>
          <w:p w14:paraId="2D9AE5FA" w14:textId="77777777" w:rsidR="00393AAE" w:rsidRPr="00F9765A" w:rsidRDefault="00393AAE" w:rsidP="008D1A92">
            <w:pPr>
              <w:keepNext/>
              <w:widowControl/>
              <w:adjustRightInd/>
              <w:rPr>
                <w:b/>
                <w:bCs/>
                <w:color w:val="000000"/>
                <w:sz w:val="22"/>
              </w:rPr>
            </w:pPr>
            <w:r w:rsidRPr="00F9765A">
              <w:rPr>
                <w:b/>
                <w:bCs/>
                <w:color w:val="000000"/>
                <w:sz w:val="22"/>
                <w:szCs w:val="22"/>
              </w:rPr>
              <w:t>Activity</w:t>
            </w:r>
          </w:p>
        </w:tc>
        <w:tc>
          <w:tcPr>
            <w:tcW w:w="1029" w:type="pct"/>
            <w:vMerge w:val="restart"/>
            <w:tcBorders>
              <w:top w:val="single" w:sz="4" w:space="0" w:color="auto"/>
              <w:left w:val="single" w:sz="4" w:space="0" w:color="auto"/>
              <w:bottom w:val="single" w:sz="4" w:space="0" w:color="000000"/>
              <w:right w:val="single" w:sz="4" w:space="0" w:color="auto"/>
            </w:tcBorders>
            <w:vAlign w:val="center"/>
          </w:tcPr>
          <w:p w14:paraId="2A756AA8" w14:textId="77777777" w:rsidR="00393AAE" w:rsidRPr="00F9765A" w:rsidRDefault="00393AAE" w:rsidP="008D1A92">
            <w:pPr>
              <w:keepNext/>
              <w:widowControl/>
              <w:adjustRightInd/>
              <w:jc w:val="center"/>
              <w:rPr>
                <w:b/>
                <w:bCs/>
                <w:color w:val="000000"/>
                <w:sz w:val="22"/>
              </w:rPr>
            </w:pPr>
            <w:r w:rsidRPr="00F9765A">
              <w:rPr>
                <w:b/>
                <w:sz w:val="22"/>
                <w:szCs w:val="22"/>
              </w:rPr>
              <w:t>Clerical Labor ($</w:t>
            </w:r>
            <w:r>
              <w:rPr>
                <w:b/>
                <w:sz w:val="22"/>
                <w:szCs w:val="22"/>
              </w:rPr>
              <w:t>34.99</w:t>
            </w:r>
            <w:r w:rsidRPr="00F9765A">
              <w:rPr>
                <w:b/>
                <w:sz w:val="22"/>
                <w:szCs w:val="22"/>
              </w:rPr>
              <w:t>/hour)</w:t>
            </w:r>
          </w:p>
        </w:tc>
        <w:tc>
          <w:tcPr>
            <w:tcW w:w="1029" w:type="pct"/>
            <w:vMerge w:val="restart"/>
            <w:tcBorders>
              <w:top w:val="single" w:sz="4" w:space="0" w:color="auto"/>
              <w:left w:val="single" w:sz="4" w:space="0" w:color="auto"/>
              <w:bottom w:val="single" w:sz="4" w:space="0" w:color="000000"/>
              <w:right w:val="single" w:sz="4" w:space="0" w:color="auto"/>
            </w:tcBorders>
            <w:vAlign w:val="center"/>
          </w:tcPr>
          <w:p w14:paraId="758989C4" w14:textId="77777777" w:rsidR="00393AAE" w:rsidRPr="00F9765A" w:rsidRDefault="00393AAE" w:rsidP="008D1A92">
            <w:pPr>
              <w:keepNext/>
              <w:widowControl/>
              <w:adjustRightInd/>
              <w:jc w:val="center"/>
              <w:rPr>
                <w:b/>
                <w:bCs/>
                <w:color w:val="000000"/>
                <w:sz w:val="22"/>
              </w:rPr>
            </w:pPr>
            <w:r w:rsidRPr="00F9765A">
              <w:rPr>
                <w:b/>
                <w:sz w:val="22"/>
                <w:szCs w:val="22"/>
              </w:rPr>
              <w:t>Technical Labor ($</w:t>
            </w:r>
            <w:r>
              <w:rPr>
                <w:b/>
                <w:sz w:val="22"/>
                <w:szCs w:val="22"/>
              </w:rPr>
              <w:t>77.94</w:t>
            </w:r>
            <w:r w:rsidRPr="00F9765A">
              <w:rPr>
                <w:b/>
                <w:sz w:val="22"/>
                <w:szCs w:val="22"/>
              </w:rPr>
              <w:t>/hour)</w:t>
            </w:r>
          </w:p>
        </w:tc>
        <w:tc>
          <w:tcPr>
            <w:tcW w:w="1030" w:type="pct"/>
            <w:vMerge w:val="restart"/>
            <w:tcBorders>
              <w:top w:val="single" w:sz="4" w:space="0" w:color="auto"/>
              <w:left w:val="single" w:sz="4" w:space="0" w:color="auto"/>
              <w:bottom w:val="single" w:sz="4" w:space="0" w:color="000000"/>
              <w:right w:val="nil"/>
            </w:tcBorders>
            <w:vAlign w:val="center"/>
          </w:tcPr>
          <w:p w14:paraId="38772322" w14:textId="77777777" w:rsidR="00393AAE" w:rsidRPr="00F9765A" w:rsidRDefault="00393AAE" w:rsidP="008D1A92">
            <w:pPr>
              <w:keepNext/>
              <w:widowControl/>
              <w:adjustRightInd/>
              <w:jc w:val="center"/>
              <w:rPr>
                <w:b/>
                <w:bCs/>
                <w:color w:val="000000"/>
                <w:sz w:val="22"/>
              </w:rPr>
            </w:pPr>
            <w:r w:rsidRPr="00F9765A">
              <w:rPr>
                <w:b/>
                <w:sz w:val="22"/>
                <w:szCs w:val="22"/>
              </w:rPr>
              <w:t>Managerial Labor ($</w:t>
            </w:r>
            <w:r>
              <w:rPr>
                <w:b/>
                <w:sz w:val="22"/>
                <w:szCs w:val="22"/>
              </w:rPr>
              <w:t>76.67</w:t>
            </w:r>
            <w:r w:rsidRPr="00F9765A">
              <w:rPr>
                <w:b/>
                <w:sz w:val="22"/>
                <w:szCs w:val="22"/>
              </w:rPr>
              <w:t>/hour)</w:t>
            </w:r>
          </w:p>
        </w:tc>
        <w:tc>
          <w:tcPr>
            <w:tcW w:w="804" w:type="pct"/>
            <w:vMerge w:val="restart"/>
            <w:tcBorders>
              <w:top w:val="single" w:sz="8" w:space="0" w:color="auto"/>
              <w:left w:val="single" w:sz="8" w:space="0" w:color="auto"/>
              <w:bottom w:val="single" w:sz="4" w:space="0" w:color="000000"/>
              <w:right w:val="single" w:sz="4" w:space="0" w:color="auto"/>
            </w:tcBorders>
            <w:vAlign w:val="center"/>
          </w:tcPr>
          <w:p w14:paraId="4D8B9DCD" w14:textId="77777777" w:rsidR="00393AAE" w:rsidRDefault="00393AAE" w:rsidP="008D1A92">
            <w:pPr>
              <w:keepNext/>
              <w:widowControl/>
              <w:adjustRightInd/>
              <w:jc w:val="center"/>
              <w:rPr>
                <w:b/>
                <w:sz w:val="22"/>
                <w:szCs w:val="22"/>
              </w:rPr>
            </w:pPr>
            <w:r w:rsidRPr="00F9765A">
              <w:rPr>
                <w:b/>
                <w:sz w:val="22"/>
                <w:szCs w:val="22"/>
              </w:rPr>
              <w:t xml:space="preserve">Total Labor Cost </w:t>
            </w:r>
          </w:p>
          <w:p w14:paraId="0031A222" w14:textId="77777777" w:rsidR="00393AAE" w:rsidRPr="00F9765A" w:rsidRDefault="00393AAE" w:rsidP="008D1A92">
            <w:pPr>
              <w:keepNext/>
              <w:widowControl/>
              <w:adjustRightInd/>
              <w:jc w:val="center"/>
              <w:rPr>
                <w:b/>
                <w:bCs/>
                <w:color w:val="000000"/>
                <w:sz w:val="22"/>
              </w:rPr>
            </w:pPr>
            <w:r w:rsidRPr="00F9765A">
              <w:rPr>
                <w:b/>
                <w:sz w:val="22"/>
                <w:szCs w:val="22"/>
              </w:rPr>
              <w:t>(</w:t>
            </w:r>
            <w:r>
              <w:rPr>
                <w:b/>
                <w:sz w:val="22"/>
                <w:szCs w:val="22"/>
              </w:rPr>
              <w:t>2017$</w:t>
            </w:r>
            <w:r w:rsidRPr="00F9765A">
              <w:rPr>
                <w:b/>
                <w:sz w:val="22"/>
                <w:szCs w:val="22"/>
              </w:rPr>
              <w:t>)</w:t>
            </w:r>
          </w:p>
        </w:tc>
      </w:tr>
      <w:tr w:rsidR="00393AAE" w:rsidRPr="00017B85" w14:paraId="7A12E0D1" w14:textId="77777777" w:rsidTr="008D1A92">
        <w:trPr>
          <w:trHeight w:val="276"/>
        </w:trPr>
        <w:tc>
          <w:tcPr>
            <w:tcW w:w="1108" w:type="pct"/>
            <w:vMerge/>
            <w:tcBorders>
              <w:top w:val="single" w:sz="4" w:space="0" w:color="auto"/>
              <w:left w:val="single" w:sz="4" w:space="0" w:color="auto"/>
              <w:bottom w:val="single" w:sz="4" w:space="0" w:color="000000"/>
              <w:right w:val="single" w:sz="4" w:space="0" w:color="auto"/>
            </w:tcBorders>
            <w:vAlign w:val="center"/>
          </w:tcPr>
          <w:p w14:paraId="402932BD" w14:textId="77777777" w:rsidR="00393AAE" w:rsidRPr="00F9765A" w:rsidRDefault="00393AAE" w:rsidP="008D1A92">
            <w:pPr>
              <w:keepNext/>
              <w:widowControl/>
              <w:adjustRightInd/>
              <w:rPr>
                <w:b/>
                <w:bCs/>
                <w:color w:val="000000"/>
                <w:sz w:val="22"/>
              </w:rPr>
            </w:pPr>
          </w:p>
        </w:tc>
        <w:tc>
          <w:tcPr>
            <w:tcW w:w="1029" w:type="pct"/>
            <w:vMerge/>
            <w:tcBorders>
              <w:top w:val="single" w:sz="4" w:space="0" w:color="auto"/>
              <w:left w:val="single" w:sz="4" w:space="0" w:color="auto"/>
              <w:bottom w:val="single" w:sz="4" w:space="0" w:color="000000"/>
              <w:right w:val="single" w:sz="4" w:space="0" w:color="auto"/>
            </w:tcBorders>
            <w:vAlign w:val="center"/>
          </w:tcPr>
          <w:p w14:paraId="078C54FF" w14:textId="77777777" w:rsidR="00393AAE" w:rsidRPr="00F9765A" w:rsidRDefault="00393AAE" w:rsidP="008D1A92">
            <w:pPr>
              <w:keepNext/>
              <w:widowControl/>
              <w:adjustRightInd/>
              <w:rPr>
                <w:b/>
                <w:bCs/>
                <w:color w:val="000000"/>
                <w:sz w:val="22"/>
              </w:rPr>
            </w:pPr>
          </w:p>
        </w:tc>
        <w:tc>
          <w:tcPr>
            <w:tcW w:w="1029" w:type="pct"/>
            <w:vMerge/>
            <w:tcBorders>
              <w:top w:val="single" w:sz="4" w:space="0" w:color="auto"/>
              <w:left w:val="single" w:sz="4" w:space="0" w:color="auto"/>
              <w:bottom w:val="single" w:sz="4" w:space="0" w:color="000000"/>
              <w:right w:val="single" w:sz="4" w:space="0" w:color="auto"/>
            </w:tcBorders>
            <w:vAlign w:val="center"/>
          </w:tcPr>
          <w:p w14:paraId="2DA564BF" w14:textId="77777777" w:rsidR="00393AAE" w:rsidRPr="00F9765A" w:rsidRDefault="00393AAE" w:rsidP="008D1A92">
            <w:pPr>
              <w:keepNext/>
              <w:widowControl/>
              <w:adjustRightInd/>
              <w:rPr>
                <w:b/>
                <w:bCs/>
                <w:color w:val="000000"/>
                <w:sz w:val="22"/>
              </w:rPr>
            </w:pPr>
          </w:p>
        </w:tc>
        <w:tc>
          <w:tcPr>
            <w:tcW w:w="1030" w:type="pct"/>
            <w:vMerge/>
            <w:tcBorders>
              <w:top w:val="single" w:sz="4" w:space="0" w:color="auto"/>
              <w:left w:val="single" w:sz="4" w:space="0" w:color="auto"/>
              <w:bottom w:val="single" w:sz="4" w:space="0" w:color="000000"/>
              <w:right w:val="nil"/>
            </w:tcBorders>
            <w:vAlign w:val="center"/>
          </w:tcPr>
          <w:p w14:paraId="3D16D060" w14:textId="77777777" w:rsidR="00393AAE" w:rsidRPr="00F9765A" w:rsidRDefault="00393AAE" w:rsidP="008D1A92">
            <w:pPr>
              <w:keepNext/>
              <w:widowControl/>
              <w:adjustRightInd/>
              <w:rPr>
                <w:b/>
                <w:bCs/>
                <w:color w:val="000000"/>
                <w:sz w:val="22"/>
              </w:rPr>
            </w:pPr>
          </w:p>
        </w:tc>
        <w:tc>
          <w:tcPr>
            <w:tcW w:w="804" w:type="pct"/>
            <w:vMerge/>
            <w:tcBorders>
              <w:top w:val="single" w:sz="8" w:space="0" w:color="auto"/>
              <w:left w:val="single" w:sz="8" w:space="0" w:color="auto"/>
              <w:bottom w:val="single" w:sz="4" w:space="0" w:color="000000"/>
              <w:right w:val="single" w:sz="4" w:space="0" w:color="auto"/>
            </w:tcBorders>
            <w:vAlign w:val="center"/>
          </w:tcPr>
          <w:p w14:paraId="2F44B650" w14:textId="77777777" w:rsidR="00393AAE" w:rsidRPr="00F9765A" w:rsidRDefault="00393AAE" w:rsidP="008D1A92">
            <w:pPr>
              <w:keepNext/>
              <w:widowControl/>
              <w:adjustRightInd/>
              <w:rPr>
                <w:b/>
                <w:bCs/>
                <w:color w:val="000000"/>
                <w:sz w:val="22"/>
              </w:rPr>
            </w:pPr>
          </w:p>
        </w:tc>
      </w:tr>
      <w:tr w:rsidR="00393AAE" w:rsidRPr="00EB5784" w14:paraId="5EC0FBED" w14:textId="77777777" w:rsidTr="008D1A92">
        <w:trPr>
          <w:trHeight w:val="276"/>
        </w:trPr>
        <w:tc>
          <w:tcPr>
            <w:tcW w:w="1108" w:type="pct"/>
            <w:tcBorders>
              <w:top w:val="nil"/>
              <w:left w:val="single" w:sz="4" w:space="0" w:color="auto"/>
              <w:bottom w:val="single" w:sz="4" w:space="0" w:color="auto"/>
              <w:right w:val="single" w:sz="4" w:space="0" w:color="auto"/>
            </w:tcBorders>
            <w:shd w:val="clear" w:color="auto" w:fill="auto"/>
            <w:vAlign w:val="bottom"/>
            <w:hideMark/>
          </w:tcPr>
          <w:p w14:paraId="4147B640" w14:textId="77777777" w:rsidR="00393AAE" w:rsidRPr="00F9765A" w:rsidRDefault="00393AAE" w:rsidP="008D1A92">
            <w:pPr>
              <w:keepNext/>
              <w:widowControl/>
              <w:adjustRightInd/>
              <w:rPr>
                <w:color w:val="000000"/>
                <w:sz w:val="22"/>
              </w:rPr>
            </w:pPr>
            <w:r w:rsidRPr="00F9765A">
              <w:rPr>
                <w:sz w:val="22"/>
                <w:szCs w:val="22"/>
              </w:rPr>
              <w:t>CDX registration</w:t>
            </w:r>
          </w:p>
        </w:tc>
        <w:tc>
          <w:tcPr>
            <w:tcW w:w="1029" w:type="pct"/>
            <w:tcBorders>
              <w:top w:val="nil"/>
              <w:left w:val="single" w:sz="4" w:space="0" w:color="auto"/>
              <w:bottom w:val="single" w:sz="4" w:space="0" w:color="auto"/>
              <w:right w:val="single" w:sz="4" w:space="0" w:color="auto"/>
            </w:tcBorders>
            <w:shd w:val="clear" w:color="auto" w:fill="auto"/>
            <w:vAlign w:val="center"/>
            <w:hideMark/>
          </w:tcPr>
          <w:p w14:paraId="772786B2" w14:textId="77777777" w:rsidR="00393AAE" w:rsidRPr="00F9765A" w:rsidRDefault="00393AAE" w:rsidP="008D1A92">
            <w:pPr>
              <w:keepNext/>
              <w:widowControl/>
              <w:adjustRightInd/>
              <w:jc w:val="center"/>
              <w:rPr>
                <w:color w:val="000000"/>
                <w:sz w:val="22"/>
              </w:rPr>
            </w:pPr>
            <w:r>
              <w:rPr>
                <w:color w:val="000000"/>
                <w:sz w:val="22"/>
                <w:szCs w:val="22"/>
              </w:rPr>
              <w:t xml:space="preserve">$0.00 </w:t>
            </w:r>
          </w:p>
        </w:tc>
        <w:tc>
          <w:tcPr>
            <w:tcW w:w="1029" w:type="pct"/>
            <w:tcBorders>
              <w:top w:val="nil"/>
              <w:left w:val="single" w:sz="4" w:space="0" w:color="auto"/>
              <w:bottom w:val="single" w:sz="4" w:space="0" w:color="auto"/>
              <w:right w:val="single" w:sz="4" w:space="0" w:color="auto"/>
            </w:tcBorders>
            <w:shd w:val="clear" w:color="auto" w:fill="auto"/>
            <w:vAlign w:val="center"/>
            <w:hideMark/>
          </w:tcPr>
          <w:p w14:paraId="42674583" w14:textId="77777777" w:rsidR="00393AAE" w:rsidRPr="00E103B5" w:rsidRDefault="00393AAE" w:rsidP="008D1A92">
            <w:pPr>
              <w:keepNext/>
              <w:widowControl/>
              <w:adjustRightInd/>
              <w:jc w:val="center"/>
              <w:rPr>
                <w:color w:val="000000"/>
                <w:sz w:val="22"/>
                <w:szCs w:val="22"/>
              </w:rPr>
            </w:pPr>
            <w:r>
              <w:rPr>
                <w:color w:val="000000"/>
                <w:sz w:val="22"/>
                <w:szCs w:val="22"/>
              </w:rPr>
              <w:t xml:space="preserve">$57.16 </w:t>
            </w:r>
          </w:p>
        </w:tc>
        <w:tc>
          <w:tcPr>
            <w:tcW w:w="1030" w:type="pct"/>
            <w:tcBorders>
              <w:top w:val="nil"/>
              <w:left w:val="single" w:sz="4" w:space="0" w:color="auto"/>
              <w:bottom w:val="single" w:sz="4" w:space="0" w:color="auto"/>
              <w:right w:val="nil"/>
            </w:tcBorders>
            <w:shd w:val="clear" w:color="auto" w:fill="auto"/>
            <w:vAlign w:val="center"/>
            <w:hideMark/>
          </w:tcPr>
          <w:p w14:paraId="0EE28D55" w14:textId="77777777" w:rsidR="00393AAE" w:rsidRPr="00F9765A" w:rsidRDefault="00393AAE" w:rsidP="008D1A92">
            <w:pPr>
              <w:keepNext/>
              <w:widowControl/>
              <w:adjustRightInd/>
              <w:jc w:val="center"/>
              <w:rPr>
                <w:color w:val="000000"/>
                <w:sz w:val="22"/>
              </w:rPr>
            </w:pPr>
            <w:r>
              <w:rPr>
                <w:color w:val="000000"/>
                <w:sz w:val="22"/>
                <w:szCs w:val="22"/>
              </w:rPr>
              <w:t xml:space="preserve">$14.06 </w:t>
            </w:r>
          </w:p>
        </w:tc>
        <w:tc>
          <w:tcPr>
            <w:tcW w:w="804" w:type="pct"/>
            <w:tcBorders>
              <w:top w:val="nil"/>
              <w:left w:val="single" w:sz="8" w:space="0" w:color="auto"/>
              <w:bottom w:val="single" w:sz="4" w:space="0" w:color="auto"/>
              <w:right w:val="single" w:sz="4" w:space="0" w:color="auto"/>
            </w:tcBorders>
            <w:shd w:val="clear" w:color="auto" w:fill="auto"/>
            <w:vAlign w:val="center"/>
            <w:hideMark/>
          </w:tcPr>
          <w:p w14:paraId="2454A815" w14:textId="77777777" w:rsidR="00393AAE" w:rsidRPr="002806B5" w:rsidRDefault="00393AAE" w:rsidP="008D1A92">
            <w:pPr>
              <w:keepNext/>
              <w:widowControl/>
              <w:adjustRightInd/>
              <w:jc w:val="center"/>
              <w:rPr>
                <w:b/>
                <w:color w:val="000000"/>
                <w:sz w:val="22"/>
              </w:rPr>
            </w:pPr>
            <w:r>
              <w:rPr>
                <w:b/>
                <w:bCs/>
                <w:color w:val="000000"/>
                <w:sz w:val="22"/>
                <w:szCs w:val="22"/>
              </w:rPr>
              <w:t xml:space="preserve">$71.21 </w:t>
            </w:r>
          </w:p>
        </w:tc>
      </w:tr>
      <w:tr w:rsidR="00393AAE" w:rsidRPr="00EB5784" w14:paraId="399AAB2E" w14:textId="77777777" w:rsidTr="008D1A92">
        <w:trPr>
          <w:trHeight w:val="276"/>
        </w:trPr>
        <w:tc>
          <w:tcPr>
            <w:tcW w:w="1108" w:type="pct"/>
            <w:tcBorders>
              <w:top w:val="single" w:sz="4" w:space="0" w:color="auto"/>
              <w:left w:val="single" w:sz="4" w:space="0" w:color="auto"/>
              <w:bottom w:val="single" w:sz="4" w:space="0" w:color="auto"/>
              <w:right w:val="single" w:sz="4" w:space="0" w:color="auto"/>
            </w:tcBorders>
            <w:shd w:val="clear" w:color="auto" w:fill="auto"/>
            <w:vAlign w:val="bottom"/>
          </w:tcPr>
          <w:p w14:paraId="2C8DAC2F" w14:textId="77777777" w:rsidR="00393AAE" w:rsidRPr="00F9765A" w:rsidRDefault="00393AAE" w:rsidP="008D1A92">
            <w:pPr>
              <w:keepNext/>
              <w:rPr>
                <w:sz w:val="22"/>
              </w:rPr>
            </w:pPr>
            <w:r w:rsidRPr="00F9765A">
              <w:rPr>
                <w:sz w:val="22"/>
                <w:szCs w:val="22"/>
              </w:rPr>
              <w:t>CDX electronic signature</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52134EEE" w14:textId="77777777" w:rsidR="00393AAE" w:rsidRPr="00F9765A" w:rsidRDefault="00393AAE" w:rsidP="008D1A92">
            <w:pPr>
              <w:keepNext/>
              <w:jc w:val="center"/>
              <w:rPr>
                <w:color w:val="000000"/>
                <w:sz w:val="22"/>
              </w:rPr>
            </w:pPr>
            <w:r>
              <w:rPr>
                <w:color w:val="000000"/>
                <w:sz w:val="22"/>
                <w:szCs w:val="22"/>
              </w:rPr>
              <w:t xml:space="preserve">$0.00 </w:t>
            </w:r>
          </w:p>
        </w:tc>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14:paraId="49C7E1B8" w14:textId="77777777" w:rsidR="00393AAE" w:rsidRPr="00F9765A" w:rsidRDefault="00393AAE" w:rsidP="008D1A92">
            <w:pPr>
              <w:keepNext/>
              <w:jc w:val="center"/>
              <w:rPr>
                <w:color w:val="000000"/>
                <w:sz w:val="22"/>
              </w:rPr>
            </w:pPr>
            <w:r>
              <w:rPr>
                <w:color w:val="000000"/>
                <w:sz w:val="22"/>
                <w:szCs w:val="22"/>
              </w:rPr>
              <w:t xml:space="preserve">$77.94 </w:t>
            </w:r>
          </w:p>
        </w:tc>
        <w:tc>
          <w:tcPr>
            <w:tcW w:w="1030" w:type="pct"/>
            <w:tcBorders>
              <w:top w:val="single" w:sz="4" w:space="0" w:color="auto"/>
              <w:left w:val="single" w:sz="4" w:space="0" w:color="auto"/>
              <w:bottom w:val="single" w:sz="4" w:space="0" w:color="auto"/>
              <w:right w:val="nil"/>
            </w:tcBorders>
            <w:shd w:val="clear" w:color="auto" w:fill="auto"/>
            <w:vAlign w:val="center"/>
          </w:tcPr>
          <w:p w14:paraId="142B20D8" w14:textId="77777777" w:rsidR="00393AAE" w:rsidRPr="00F9765A" w:rsidRDefault="00393AAE" w:rsidP="008D1A92">
            <w:pPr>
              <w:keepNext/>
              <w:jc w:val="center"/>
              <w:rPr>
                <w:color w:val="000000"/>
                <w:sz w:val="22"/>
              </w:rPr>
            </w:pPr>
            <w:r>
              <w:rPr>
                <w:color w:val="000000"/>
                <w:sz w:val="22"/>
                <w:szCs w:val="22"/>
              </w:rPr>
              <w:t xml:space="preserve">$57.50 </w:t>
            </w:r>
          </w:p>
        </w:tc>
        <w:tc>
          <w:tcPr>
            <w:tcW w:w="804" w:type="pct"/>
            <w:tcBorders>
              <w:top w:val="single" w:sz="4" w:space="0" w:color="auto"/>
              <w:left w:val="single" w:sz="8" w:space="0" w:color="auto"/>
              <w:bottom w:val="single" w:sz="4" w:space="0" w:color="auto"/>
              <w:right w:val="single" w:sz="4" w:space="0" w:color="auto"/>
            </w:tcBorders>
            <w:shd w:val="clear" w:color="auto" w:fill="auto"/>
            <w:vAlign w:val="center"/>
          </w:tcPr>
          <w:p w14:paraId="5597BF81" w14:textId="77777777" w:rsidR="00393AAE" w:rsidRPr="002806B5" w:rsidRDefault="00393AAE" w:rsidP="008D1A92">
            <w:pPr>
              <w:keepNext/>
              <w:jc w:val="center"/>
              <w:rPr>
                <w:b/>
                <w:color w:val="000000"/>
                <w:sz w:val="22"/>
              </w:rPr>
            </w:pPr>
            <w:r>
              <w:rPr>
                <w:b/>
                <w:bCs/>
                <w:color w:val="000000"/>
                <w:sz w:val="22"/>
                <w:szCs w:val="22"/>
              </w:rPr>
              <w:t xml:space="preserve">$135 </w:t>
            </w:r>
          </w:p>
        </w:tc>
      </w:tr>
      <w:tr w:rsidR="00393AAE" w:rsidRPr="00EB5784" w14:paraId="164597FC" w14:textId="77777777" w:rsidTr="008D1A92">
        <w:trPr>
          <w:trHeight w:val="126"/>
        </w:trPr>
        <w:tc>
          <w:tcPr>
            <w:tcW w:w="1108" w:type="pct"/>
            <w:tcBorders>
              <w:top w:val="single" w:sz="4" w:space="0" w:color="auto"/>
              <w:left w:val="single" w:sz="4" w:space="0" w:color="auto"/>
              <w:bottom w:val="single" w:sz="4" w:space="0" w:color="auto"/>
              <w:right w:val="single" w:sz="4" w:space="0" w:color="auto"/>
            </w:tcBorders>
            <w:vAlign w:val="bottom"/>
          </w:tcPr>
          <w:p w14:paraId="7DA5CC17" w14:textId="77777777" w:rsidR="00393AAE" w:rsidRPr="00F9765A" w:rsidRDefault="00393AAE" w:rsidP="008D1A92">
            <w:pPr>
              <w:keepNext/>
              <w:rPr>
                <w:sz w:val="22"/>
              </w:rPr>
            </w:pPr>
            <w:r w:rsidRPr="00F9765A">
              <w:rPr>
                <w:sz w:val="22"/>
                <w:szCs w:val="22"/>
              </w:rPr>
              <w:t>Mailing cost</w:t>
            </w:r>
          </w:p>
        </w:tc>
        <w:tc>
          <w:tcPr>
            <w:tcW w:w="3088" w:type="pct"/>
            <w:gridSpan w:val="3"/>
            <w:tcBorders>
              <w:top w:val="single" w:sz="4" w:space="0" w:color="auto"/>
              <w:left w:val="single" w:sz="4" w:space="0" w:color="auto"/>
              <w:bottom w:val="single" w:sz="4" w:space="0" w:color="auto"/>
              <w:right w:val="single" w:sz="4" w:space="0" w:color="auto"/>
            </w:tcBorders>
          </w:tcPr>
          <w:p w14:paraId="5C937A07" w14:textId="77777777" w:rsidR="00393AAE" w:rsidRPr="00F9765A" w:rsidRDefault="00393AAE" w:rsidP="008D1A92">
            <w:pPr>
              <w:keepNext/>
              <w:jc w:val="center"/>
              <w:rPr>
                <w:color w:val="000000"/>
                <w:sz w:val="22"/>
              </w:rPr>
            </w:pPr>
          </w:p>
        </w:tc>
        <w:tc>
          <w:tcPr>
            <w:tcW w:w="804" w:type="pct"/>
            <w:tcBorders>
              <w:top w:val="single" w:sz="4" w:space="0" w:color="auto"/>
              <w:left w:val="single" w:sz="8" w:space="0" w:color="auto"/>
              <w:bottom w:val="single" w:sz="4" w:space="0" w:color="auto"/>
              <w:right w:val="single" w:sz="4" w:space="0" w:color="auto"/>
            </w:tcBorders>
            <w:vAlign w:val="center"/>
          </w:tcPr>
          <w:p w14:paraId="20BD3922" w14:textId="77777777" w:rsidR="00393AAE" w:rsidRPr="002806B5" w:rsidRDefault="00393AAE" w:rsidP="008D1A92">
            <w:pPr>
              <w:keepNext/>
              <w:jc w:val="center"/>
              <w:rPr>
                <w:b/>
                <w:color w:val="000000"/>
                <w:sz w:val="22"/>
              </w:rPr>
            </w:pPr>
            <w:r w:rsidRPr="002806B5">
              <w:rPr>
                <w:b/>
                <w:color w:val="000000"/>
                <w:sz w:val="22"/>
                <w:szCs w:val="22"/>
              </w:rPr>
              <w:t>$</w:t>
            </w:r>
            <w:r>
              <w:rPr>
                <w:b/>
                <w:color w:val="000000"/>
                <w:sz w:val="22"/>
                <w:szCs w:val="22"/>
              </w:rPr>
              <w:t>2.79</w:t>
            </w:r>
          </w:p>
        </w:tc>
      </w:tr>
      <w:tr w:rsidR="00393AAE" w:rsidRPr="00EB5784" w14:paraId="2DBF3691" w14:textId="77777777" w:rsidTr="008D1A92">
        <w:trPr>
          <w:trHeight w:val="126"/>
        </w:trPr>
        <w:tc>
          <w:tcPr>
            <w:tcW w:w="1108" w:type="pct"/>
            <w:tcBorders>
              <w:top w:val="single" w:sz="4" w:space="0" w:color="auto"/>
              <w:left w:val="single" w:sz="4" w:space="0" w:color="auto"/>
              <w:bottom w:val="single" w:sz="4" w:space="0" w:color="auto"/>
              <w:right w:val="single" w:sz="4" w:space="0" w:color="auto"/>
            </w:tcBorders>
            <w:vAlign w:val="bottom"/>
            <w:hideMark/>
          </w:tcPr>
          <w:p w14:paraId="06E44EBB" w14:textId="77777777" w:rsidR="00393AAE" w:rsidRPr="00F9765A" w:rsidRDefault="00393AAE" w:rsidP="008D1A92">
            <w:pPr>
              <w:keepNext/>
              <w:rPr>
                <w:color w:val="000000"/>
                <w:sz w:val="22"/>
              </w:rPr>
            </w:pPr>
            <w:r>
              <w:rPr>
                <w:sz w:val="22"/>
                <w:szCs w:val="22"/>
              </w:rPr>
              <w:t>E-p</w:t>
            </w:r>
            <w:r w:rsidRPr="00F9765A">
              <w:rPr>
                <w:sz w:val="22"/>
                <w:szCs w:val="22"/>
              </w:rPr>
              <w:t>ayment (Pay.gov ID)</w:t>
            </w:r>
          </w:p>
        </w:tc>
        <w:tc>
          <w:tcPr>
            <w:tcW w:w="1029" w:type="pct"/>
            <w:tcBorders>
              <w:top w:val="single" w:sz="4" w:space="0" w:color="auto"/>
              <w:left w:val="single" w:sz="4" w:space="0" w:color="auto"/>
              <w:bottom w:val="single" w:sz="4" w:space="0" w:color="auto"/>
              <w:right w:val="single" w:sz="4" w:space="0" w:color="auto"/>
            </w:tcBorders>
            <w:vAlign w:val="center"/>
            <w:hideMark/>
          </w:tcPr>
          <w:p w14:paraId="7FAD078A" w14:textId="77777777" w:rsidR="00393AAE" w:rsidRPr="00F9765A" w:rsidRDefault="00393AAE" w:rsidP="008D1A92">
            <w:pPr>
              <w:keepNext/>
              <w:jc w:val="center"/>
              <w:rPr>
                <w:color w:val="000000"/>
                <w:sz w:val="22"/>
              </w:rPr>
            </w:pPr>
            <w:r>
              <w:rPr>
                <w:color w:val="000000"/>
                <w:sz w:val="22"/>
                <w:szCs w:val="22"/>
              </w:rPr>
              <w:t xml:space="preserve">$0.00 </w:t>
            </w:r>
          </w:p>
        </w:tc>
        <w:tc>
          <w:tcPr>
            <w:tcW w:w="1029" w:type="pct"/>
            <w:tcBorders>
              <w:top w:val="single" w:sz="4" w:space="0" w:color="auto"/>
              <w:left w:val="single" w:sz="4" w:space="0" w:color="auto"/>
              <w:bottom w:val="single" w:sz="4" w:space="0" w:color="auto"/>
              <w:right w:val="single" w:sz="4" w:space="0" w:color="auto"/>
            </w:tcBorders>
            <w:vAlign w:val="center"/>
            <w:hideMark/>
          </w:tcPr>
          <w:p w14:paraId="2C072E66" w14:textId="77777777" w:rsidR="00393AAE" w:rsidRPr="00F9765A" w:rsidRDefault="00393AAE" w:rsidP="008D1A92">
            <w:pPr>
              <w:keepNext/>
              <w:jc w:val="center"/>
              <w:rPr>
                <w:color w:val="000000"/>
                <w:sz w:val="22"/>
              </w:rPr>
            </w:pPr>
            <w:r>
              <w:rPr>
                <w:color w:val="000000"/>
                <w:sz w:val="22"/>
                <w:szCs w:val="22"/>
              </w:rPr>
              <w:t xml:space="preserve">$0.00 </w:t>
            </w:r>
          </w:p>
        </w:tc>
        <w:tc>
          <w:tcPr>
            <w:tcW w:w="1030" w:type="pct"/>
            <w:tcBorders>
              <w:top w:val="single" w:sz="4" w:space="0" w:color="auto"/>
              <w:left w:val="single" w:sz="4" w:space="0" w:color="auto"/>
              <w:bottom w:val="single" w:sz="4" w:space="0" w:color="auto"/>
              <w:right w:val="nil"/>
            </w:tcBorders>
            <w:vAlign w:val="center"/>
            <w:hideMark/>
          </w:tcPr>
          <w:p w14:paraId="2A8BBCDF" w14:textId="77777777" w:rsidR="00393AAE" w:rsidRPr="00F9765A" w:rsidRDefault="00393AAE" w:rsidP="008D1A92">
            <w:pPr>
              <w:keepNext/>
              <w:jc w:val="center"/>
              <w:rPr>
                <w:color w:val="000000"/>
                <w:sz w:val="22"/>
              </w:rPr>
            </w:pPr>
            <w:r>
              <w:rPr>
                <w:color w:val="000000"/>
                <w:sz w:val="22"/>
                <w:szCs w:val="22"/>
              </w:rPr>
              <w:t xml:space="preserve">$10.22 </w:t>
            </w:r>
          </w:p>
        </w:tc>
        <w:tc>
          <w:tcPr>
            <w:tcW w:w="804" w:type="pct"/>
            <w:tcBorders>
              <w:top w:val="single" w:sz="4" w:space="0" w:color="auto"/>
              <w:left w:val="single" w:sz="8" w:space="0" w:color="auto"/>
              <w:bottom w:val="single" w:sz="4" w:space="0" w:color="auto"/>
              <w:right w:val="single" w:sz="4" w:space="0" w:color="auto"/>
            </w:tcBorders>
            <w:vAlign w:val="center"/>
            <w:hideMark/>
          </w:tcPr>
          <w:p w14:paraId="4DD98B3B" w14:textId="77777777" w:rsidR="00393AAE" w:rsidRPr="002806B5" w:rsidRDefault="00393AAE" w:rsidP="008D1A92">
            <w:pPr>
              <w:keepNext/>
              <w:jc w:val="center"/>
              <w:rPr>
                <w:b/>
                <w:color w:val="000000"/>
                <w:sz w:val="22"/>
              </w:rPr>
            </w:pPr>
            <w:r>
              <w:rPr>
                <w:b/>
                <w:bCs/>
                <w:color w:val="000000"/>
                <w:sz w:val="22"/>
                <w:szCs w:val="22"/>
              </w:rPr>
              <w:t xml:space="preserve">$10.22 </w:t>
            </w:r>
          </w:p>
        </w:tc>
      </w:tr>
      <w:tr w:rsidR="00393AAE" w:rsidRPr="00EB5784" w14:paraId="39E4AC0E" w14:textId="77777777" w:rsidTr="008D1A92">
        <w:trPr>
          <w:trHeight w:val="135"/>
        </w:trPr>
        <w:tc>
          <w:tcPr>
            <w:tcW w:w="1108" w:type="pct"/>
            <w:tcBorders>
              <w:top w:val="single" w:sz="4" w:space="0" w:color="auto"/>
              <w:left w:val="single" w:sz="4" w:space="0" w:color="auto"/>
              <w:bottom w:val="single" w:sz="4" w:space="0" w:color="000000"/>
              <w:right w:val="single" w:sz="4" w:space="0" w:color="auto"/>
            </w:tcBorders>
            <w:vAlign w:val="center"/>
          </w:tcPr>
          <w:p w14:paraId="1B9D343E" w14:textId="77777777" w:rsidR="00393AAE" w:rsidRPr="00F9765A" w:rsidRDefault="00393AAE" w:rsidP="008D1A92">
            <w:pPr>
              <w:keepNext/>
              <w:rPr>
                <w:color w:val="000000"/>
                <w:sz w:val="22"/>
              </w:rPr>
            </w:pPr>
            <w:r w:rsidRPr="00F9765A">
              <w:rPr>
                <w:b/>
                <w:bCs/>
                <w:sz w:val="22"/>
                <w:szCs w:val="22"/>
              </w:rPr>
              <w:t>Total</w:t>
            </w:r>
          </w:p>
        </w:tc>
        <w:tc>
          <w:tcPr>
            <w:tcW w:w="1029" w:type="pct"/>
            <w:tcBorders>
              <w:top w:val="single" w:sz="4" w:space="0" w:color="auto"/>
              <w:left w:val="single" w:sz="4" w:space="0" w:color="auto"/>
              <w:bottom w:val="single" w:sz="4" w:space="0" w:color="000000"/>
              <w:right w:val="single" w:sz="4" w:space="0" w:color="auto"/>
            </w:tcBorders>
            <w:vAlign w:val="center"/>
          </w:tcPr>
          <w:p w14:paraId="78E9E0A6" w14:textId="77777777" w:rsidR="00393AAE" w:rsidRPr="00F9765A" w:rsidRDefault="00393AAE" w:rsidP="008D1A92">
            <w:pPr>
              <w:keepNext/>
              <w:jc w:val="center"/>
              <w:rPr>
                <w:color w:val="000000"/>
                <w:sz w:val="22"/>
              </w:rPr>
            </w:pPr>
            <w:r>
              <w:rPr>
                <w:b/>
                <w:bCs/>
                <w:color w:val="000000"/>
                <w:sz w:val="22"/>
                <w:szCs w:val="22"/>
              </w:rPr>
              <w:t xml:space="preserve">$0.00 </w:t>
            </w:r>
          </w:p>
        </w:tc>
        <w:tc>
          <w:tcPr>
            <w:tcW w:w="1029" w:type="pct"/>
            <w:tcBorders>
              <w:top w:val="single" w:sz="4" w:space="0" w:color="auto"/>
              <w:left w:val="single" w:sz="4" w:space="0" w:color="auto"/>
              <w:bottom w:val="single" w:sz="4" w:space="0" w:color="000000"/>
              <w:right w:val="single" w:sz="4" w:space="0" w:color="auto"/>
            </w:tcBorders>
            <w:vAlign w:val="center"/>
          </w:tcPr>
          <w:p w14:paraId="3F5C2E00" w14:textId="77777777" w:rsidR="00393AAE" w:rsidRPr="00F9765A" w:rsidRDefault="00393AAE" w:rsidP="008D1A92">
            <w:pPr>
              <w:keepNext/>
              <w:jc w:val="center"/>
              <w:rPr>
                <w:color w:val="000000"/>
                <w:sz w:val="22"/>
              </w:rPr>
            </w:pPr>
            <w:r>
              <w:rPr>
                <w:b/>
                <w:bCs/>
                <w:color w:val="000000"/>
                <w:sz w:val="22"/>
                <w:szCs w:val="22"/>
              </w:rPr>
              <w:t xml:space="preserve">$135.10 </w:t>
            </w:r>
          </w:p>
        </w:tc>
        <w:tc>
          <w:tcPr>
            <w:tcW w:w="1030" w:type="pct"/>
            <w:tcBorders>
              <w:top w:val="single" w:sz="4" w:space="0" w:color="auto"/>
              <w:left w:val="single" w:sz="4" w:space="0" w:color="auto"/>
              <w:bottom w:val="single" w:sz="4" w:space="0" w:color="000000"/>
              <w:right w:val="nil"/>
            </w:tcBorders>
            <w:vAlign w:val="center"/>
          </w:tcPr>
          <w:p w14:paraId="4E5D8CD7" w14:textId="77777777" w:rsidR="00393AAE" w:rsidRPr="00F9765A" w:rsidRDefault="00393AAE" w:rsidP="008D1A92">
            <w:pPr>
              <w:keepNext/>
              <w:jc w:val="center"/>
              <w:rPr>
                <w:color w:val="000000"/>
                <w:sz w:val="22"/>
              </w:rPr>
            </w:pPr>
            <w:r>
              <w:rPr>
                <w:b/>
                <w:bCs/>
                <w:color w:val="000000"/>
                <w:sz w:val="22"/>
                <w:szCs w:val="22"/>
              </w:rPr>
              <w:t xml:space="preserve">$81.78 </w:t>
            </w:r>
          </w:p>
        </w:tc>
        <w:tc>
          <w:tcPr>
            <w:tcW w:w="804" w:type="pct"/>
            <w:tcBorders>
              <w:top w:val="single" w:sz="4" w:space="0" w:color="auto"/>
              <w:left w:val="single" w:sz="8" w:space="0" w:color="auto"/>
              <w:bottom w:val="single" w:sz="4" w:space="0" w:color="000000"/>
              <w:right w:val="single" w:sz="4" w:space="0" w:color="auto"/>
            </w:tcBorders>
            <w:vAlign w:val="center"/>
          </w:tcPr>
          <w:p w14:paraId="75F101F3" w14:textId="77777777" w:rsidR="00393AAE" w:rsidRPr="00F9765A" w:rsidRDefault="00393AAE" w:rsidP="008D1A92">
            <w:pPr>
              <w:keepNext/>
              <w:jc w:val="center"/>
              <w:rPr>
                <w:color w:val="000000"/>
                <w:sz w:val="22"/>
              </w:rPr>
            </w:pPr>
            <w:r>
              <w:rPr>
                <w:b/>
                <w:bCs/>
                <w:color w:val="000000"/>
                <w:sz w:val="22"/>
                <w:szCs w:val="22"/>
              </w:rPr>
              <w:t xml:space="preserve">$220 </w:t>
            </w:r>
          </w:p>
        </w:tc>
      </w:tr>
    </w:tbl>
    <w:p w14:paraId="14A97AC4" w14:textId="77777777" w:rsidR="00393AAE" w:rsidRDefault="00393AAE" w:rsidP="00393AAE"/>
    <w:p w14:paraId="44D77756" w14:textId="77777777" w:rsidR="00393AAE" w:rsidRDefault="00393AAE" w:rsidP="00393AAE">
      <w:pPr>
        <w:keepNext/>
        <w:ind w:firstLine="720"/>
      </w:pPr>
      <w:r>
        <w:rPr>
          <w:u w:val="single"/>
        </w:rPr>
        <w:t>Costs for Submitting a SNUN</w:t>
      </w:r>
    </w:p>
    <w:p w14:paraId="1909F8AF" w14:textId="77777777" w:rsidR="00393AAE" w:rsidRDefault="00393AAE" w:rsidP="00393AA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E960E44" w14:textId="77777777" w:rsidR="00393AAE" w:rsidRDefault="00393AAE" w:rsidP="00393AAE">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Using these labor wage rates and midpoint burden estimates presented above, EPA estimates that the labor cost associated with filing a SNUN is $7,123. In addition, SNUN filers must pay a $16,000 user fee to EPA. Thus, the total cost of filing a SNUN is approximately $</w:t>
      </w:r>
      <w:r>
        <w:rPr>
          <w:color w:val="000000"/>
        </w:rPr>
        <w:t>23,123</w:t>
      </w:r>
      <w:r>
        <w:t xml:space="preserve">. </w:t>
      </w:r>
    </w:p>
    <w:p w14:paraId="4DAE257D"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CE0FDA2" w14:textId="77777777" w:rsidR="00393AAE" w:rsidRDefault="00393AAE" w:rsidP="00393AAE">
      <w:pPr>
        <w:tabs>
          <w:tab w:val="center" w:pos="4680"/>
          <w:tab w:val="left" w:pos="5040"/>
          <w:tab w:val="left" w:pos="5760"/>
          <w:tab w:val="left" w:pos="6480"/>
          <w:tab w:val="left" w:pos="7200"/>
          <w:tab w:val="left" w:pos="7920"/>
          <w:tab w:val="left" w:pos="8640"/>
          <w:tab w:val="left" w:pos="9360"/>
        </w:tabs>
      </w:pPr>
      <w:r w:rsidRPr="00F9765A">
        <w:rPr>
          <w:b/>
        </w:rPr>
        <w:t xml:space="preserve">Table </w:t>
      </w:r>
      <w:r>
        <w:rPr>
          <w:b/>
        </w:rPr>
        <w:fldChar w:fldCharType="begin"/>
      </w:r>
      <w:r>
        <w:rPr>
          <w:b/>
        </w:rPr>
        <w:instrText xml:space="preserve"> SEQ Table \* ARABIC </w:instrText>
      </w:r>
      <w:r>
        <w:rPr>
          <w:b/>
        </w:rPr>
        <w:fldChar w:fldCharType="separate"/>
      </w:r>
      <w:r>
        <w:rPr>
          <w:b/>
          <w:noProof/>
        </w:rPr>
        <w:t>8</w:t>
      </w:r>
      <w:r>
        <w:rPr>
          <w:b/>
        </w:rPr>
        <w:fldChar w:fldCharType="end"/>
      </w:r>
      <w:r w:rsidRPr="00F9765A">
        <w:rPr>
          <w:b/>
        </w:rPr>
        <w:t xml:space="preserve">: </w:t>
      </w:r>
      <w:r>
        <w:rPr>
          <w:b/>
          <w:bCs/>
        </w:rPr>
        <w:t xml:space="preserve">Unit Reporting Cost Estimates, Associated with Filing a SNUN by Labor Category </w:t>
      </w:r>
    </w:p>
    <w:tbl>
      <w:tblPr>
        <w:tblW w:w="5255" w:type="pct"/>
        <w:tblInd w:w="108" w:type="dxa"/>
        <w:tblLook w:val="04A0" w:firstRow="1" w:lastRow="0" w:firstColumn="1" w:lastColumn="0" w:noHBand="0" w:noVBand="1"/>
      </w:tblPr>
      <w:tblGrid>
        <w:gridCol w:w="1342"/>
        <w:gridCol w:w="2452"/>
        <w:gridCol w:w="2640"/>
        <w:gridCol w:w="2831"/>
        <w:gridCol w:w="1556"/>
      </w:tblGrid>
      <w:tr w:rsidR="00393AAE" w:rsidRPr="00F9765A" w14:paraId="2148C280" w14:textId="77777777" w:rsidTr="008D1A92">
        <w:trPr>
          <w:trHeight w:val="276"/>
        </w:trPr>
        <w:tc>
          <w:tcPr>
            <w:tcW w:w="620" w:type="pct"/>
            <w:vMerge w:val="restart"/>
            <w:tcBorders>
              <w:top w:val="single" w:sz="4" w:space="0" w:color="auto"/>
              <w:left w:val="single" w:sz="4" w:space="0" w:color="auto"/>
              <w:bottom w:val="single" w:sz="4" w:space="0" w:color="000000"/>
              <w:right w:val="single" w:sz="4" w:space="0" w:color="auto"/>
            </w:tcBorders>
            <w:vAlign w:val="center"/>
          </w:tcPr>
          <w:p w14:paraId="4E6F05CB" w14:textId="77777777" w:rsidR="00393AAE" w:rsidRPr="00A30419" w:rsidRDefault="00393AAE" w:rsidP="008D1A92">
            <w:pPr>
              <w:widowControl/>
              <w:adjustRightInd/>
              <w:jc w:val="center"/>
              <w:rPr>
                <w:b/>
                <w:bCs/>
                <w:color w:val="000000"/>
                <w:sz w:val="22"/>
              </w:rPr>
            </w:pPr>
            <w:r w:rsidRPr="00A30419">
              <w:rPr>
                <w:b/>
                <w:bCs/>
                <w:color w:val="000000"/>
                <w:sz w:val="22"/>
                <w:szCs w:val="22"/>
              </w:rPr>
              <w:t>Activity</w:t>
            </w:r>
          </w:p>
        </w:tc>
        <w:tc>
          <w:tcPr>
            <w:tcW w:w="1133" w:type="pct"/>
            <w:vMerge w:val="restart"/>
            <w:tcBorders>
              <w:top w:val="single" w:sz="4" w:space="0" w:color="auto"/>
              <w:left w:val="single" w:sz="4" w:space="0" w:color="auto"/>
              <w:bottom w:val="single" w:sz="4" w:space="0" w:color="000000"/>
              <w:right w:val="single" w:sz="4" w:space="0" w:color="auto"/>
            </w:tcBorders>
            <w:vAlign w:val="center"/>
          </w:tcPr>
          <w:p w14:paraId="143E23B3" w14:textId="77777777" w:rsidR="00393AAE" w:rsidRPr="006B3DCD" w:rsidRDefault="00393AAE" w:rsidP="008D1A92">
            <w:pPr>
              <w:widowControl/>
              <w:adjustRightInd/>
              <w:jc w:val="center"/>
              <w:rPr>
                <w:b/>
                <w:bCs/>
                <w:color w:val="000000"/>
                <w:sz w:val="22"/>
              </w:rPr>
            </w:pPr>
            <w:r w:rsidRPr="00F9765A">
              <w:rPr>
                <w:b/>
                <w:sz w:val="22"/>
                <w:szCs w:val="22"/>
              </w:rPr>
              <w:t>Clerical Labor ($</w:t>
            </w:r>
            <w:r>
              <w:rPr>
                <w:b/>
                <w:sz w:val="22"/>
                <w:szCs w:val="22"/>
              </w:rPr>
              <w:t>34.99</w:t>
            </w:r>
            <w:r w:rsidRPr="00F9765A">
              <w:rPr>
                <w:b/>
                <w:sz w:val="22"/>
                <w:szCs w:val="22"/>
              </w:rPr>
              <w:t>/hour)</w:t>
            </w:r>
          </w:p>
        </w:tc>
        <w:tc>
          <w:tcPr>
            <w:tcW w:w="1220" w:type="pct"/>
            <w:vMerge w:val="restart"/>
            <w:tcBorders>
              <w:top w:val="single" w:sz="4" w:space="0" w:color="auto"/>
              <w:left w:val="single" w:sz="4" w:space="0" w:color="auto"/>
              <w:bottom w:val="single" w:sz="4" w:space="0" w:color="000000"/>
              <w:right w:val="single" w:sz="4" w:space="0" w:color="auto"/>
            </w:tcBorders>
            <w:vAlign w:val="center"/>
          </w:tcPr>
          <w:p w14:paraId="2EEC5389" w14:textId="77777777" w:rsidR="00393AAE" w:rsidRPr="006B3DCD" w:rsidRDefault="00393AAE" w:rsidP="008D1A92">
            <w:pPr>
              <w:widowControl/>
              <w:adjustRightInd/>
              <w:jc w:val="center"/>
              <w:rPr>
                <w:b/>
                <w:bCs/>
                <w:color w:val="000000"/>
                <w:sz w:val="22"/>
              </w:rPr>
            </w:pPr>
            <w:r w:rsidRPr="00F9765A">
              <w:rPr>
                <w:b/>
                <w:sz w:val="22"/>
                <w:szCs w:val="22"/>
              </w:rPr>
              <w:t>Technical Labor ($</w:t>
            </w:r>
            <w:r>
              <w:rPr>
                <w:b/>
                <w:sz w:val="22"/>
                <w:szCs w:val="22"/>
              </w:rPr>
              <w:t>77.94</w:t>
            </w:r>
            <w:r w:rsidRPr="00F9765A">
              <w:rPr>
                <w:b/>
                <w:sz w:val="22"/>
                <w:szCs w:val="22"/>
              </w:rPr>
              <w:t>/hour)</w:t>
            </w:r>
          </w:p>
        </w:tc>
        <w:tc>
          <w:tcPr>
            <w:tcW w:w="1308" w:type="pct"/>
            <w:vMerge w:val="restart"/>
            <w:tcBorders>
              <w:top w:val="single" w:sz="4" w:space="0" w:color="auto"/>
              <w:left w:val="single" w:sz="4" w:space="0" w:color="auto"/>
              <w:bottom w:val="single" w:sz="4" w:space="0" w:color="000000"/>
              <w:right w:val="nil"/>
            </w:tcBorders>
            <w:vAlign w:val="center"/>
          </w:tcPr>
          <w:p w14:paraId="3B4D6984" w14:textId="77777777" w:rsidR="00393AAE" w:rsidRPr="006B3DCD" w:rsidRDefault="00393AAE" w:rsidP="008D1A92">
            <w:pPr>
              <w:widowControl/>
              <w:adjustRightInd/>
              <w:jc w:val="center"/>
              <w:rPr>
                <w:b/>
                <w:bCs/>
                <w:color w:val="000000"/>
                <w:sz w:val="22"/>
              </w:rPr>
            </w:pPr>
            <w:r w:rsidRPr="00F9765A">
              <w:rPr>
                <w:b/>
                <w:sz w:val="22"/>
                <w:szCs w:val="22"/>
              </w:rPr>
              <w:t>Managerial Labor ($</w:t>
            </w:r>
            <w:r>
              <w:rPr>
                <w:b/>
                <w:sz w:val="22"/>
                <w:szCs w:val="22"/>
              </w:rPr>
              <w:t>76.67</w:t>
            </w:r>
            <w:r w:rsidRPr="00F9765A">
              <w:rPr>
                <w:b/>
                <w:sz w:val="22"/>
                <w:szCs w:val="22"/>
              </w:rPr>
              <w:t>/hour)</w:t>
            </w:r>
          </w:p>
        </w:tc>
        <w:tc>
          <w:tcPr>
            <w:tcW w:w="719" w:type="pct"/>
            <w:vMerge w:val="restart"/>
            <w:tcBorders>
              <w:top w:val="single" w:sz="8" w:space="0" w:color="auto"/>
              <w:left w:val="single" w:sz="8" w:space="0" w:color="auto"/>
              <w:bottom w:val="single" w:sz="4" w:space="0" w:color="000000"/>
              <w:right w:val="single" w:sz="4" w:space="0" w:color="auto"/>
            </w:tcBorders>
            <w:vAlign w:val="center"/>
          </w:tcPr>
          <w:p w14:paraId="23D5B004" w14:textId="77777777" w:rsidR="00393AAE" w:rsidRDefault="00393AAE" w:rsidP="008D1A92">
            <w:pPr>
              <w:keepNext/>
              <w:widowControl/>
              <w:adjustRightInd/>
              <w:jc w:val="center"/>
              <w:rPr>
                <w:b/>
                <w:sz w:val="22"/>
                <w:szCs w:val="22"/>
              </w:rPr>
            </w:pPr>
            <w:r w:rsidRPr="00F9765A">
              <w:rPr>
                <w:b/>
                <w:sz w:val="22"/>
                <w:szCs w:val="22"/>
              </w:rPr>
              <w:t xml:space="preserve">Total Labor Cost </w:t>
            </w:r>
          </w:p>
          <w:p w14:paraId="57CE52BB" w14:textId="77777777" w:rsidR="00393AAE" w:rsidRPr="006B3DCD" w:rsidRDefault="00393AAE" w:rsidP="008D1A92">
            <w:pPr>
              <w:widowControl/>
              <w:adjustRightInd/>
              <w:jc w:val="center"/>
              <w:rPr>
                <w:b/>
                <w:bCs/>
                <w:color w:val="000000"/>
                <w:sz w:val="22"/>
              </w:rPr>
            </w:pPr>
            <w:r w:rsidRPr="00F9765A">
              <w:rPr>
                <w:b/>
                <w:sz w:val="22"/>
                <w:szCs w:val="22"/>
              </w:rPr>
              <w:t>(</w:t>
            </w:r>
            <w:r>
              <w:rPr>
                <w:b/>
                <w:sz w:val="22"/>
                <w:szCs w:val="22"/>
              </w:rPr>
              <w:t>2017$</w:t>
            </w:r>
            <w:r w:rsidRPr="00F9765A">
              <w:rPr>
                <w:b/>
                <w:sz w:val="22"/>
                <w:szCs w:val="22"/>
              </w:rPr>
              <w:t>)</w:t>
            </w:r>
          </w:p>
        </w:tc>
      </w:tr>
      <w:tr w:rsidR="00393AAE" w:rsidRPr="00F9765A" w14:paraId="1DC67FC2" w14:textId="77777777" w:rsidTr="008D1A92">
        <w:trPr>
          <w:trHeight w:val="276"/>
        </w:trPr>
        <w:tc>
          <w:tcPr>
            <w:tcW w:w="620" w:type="pct"/>
            <w:vMerge/>
            <w:tcBorders>
              <w:top w:val="single" w:sz="4" w:space="0" w:color="auto"/>
              <w:left w:val="single" w:sz="4" w:space="0" w:color="auto"/>
              <w:bottom w:val="single" w:sz="4" w:space="0" w:color="000000"/>
              <w:right w:val="single" w:sz="4" w:space="0" w:color="auto"/>
            </w:tcBorders>
            <w:vAlign w:val="center"/>
          </w:tcPr>
          <w:p w14:paraId="7F5A77EC" w14:textId="77777777" w:rsidR="00393AAE" w:rsidRPr="006B3DCD" w:rsidRDefault="00393AAE" w:rsidP="008D1A92">
            <w:pPr>
              <w:widowControl/>
              <w:adjustRightInd/>
              <w:rPr>
                <w:b/>
                <w:bCs/>
                <w:color w:val="000000"/>
                <w:sz w:val="22"/>
              </w:rPr>
            </w:pPr>
          </w:p>
        </w:tc>
        <w:tc>
          <w:tcPr>
            <w:tcW w:w="1133" w:type="pct"/>
            <w:vMerge/>
            <w:tcBorders>
              <w:top w:val="single" w:sz="4" w:space="0" w:color="auto"/>
              <w:left w:val="single" w:sz="4" w:space="0" w:color="auto"/>
              <w:bottom w:val="single" w:sz="4" w:space="0" w:color="000000"/>
              <w:right w:val="single" w:sz="4" w:space="0" w:color="auto"/>
            </w:tcBorders>
            <w:vAlign w:val="center"/>
          </w:tcPr>
          <w:p w14:paraId="4CB78741" w14:textId="77777777" w:rsidR="00393AAE" w:rsidRPr="006B3DCD" w:rsidRDefault="00393AAE" w:rsidP="008D1A92">
            <w:pPr>
              <w:widowControl/>
              <w:adjustRightInd/>
              <w:rPr>
                <w:b/>
                <w:bCs/>
                <w:color w:val="000000"/>
                <w:sz w:val="22"/>
              </w:rPr>
            </w:pPr>
          </w:p>
        </w:tc>
        <w:tc>
          <w:tcPr>
            <w:tcW w:w="1220" w:type="pct"/>
            <w:vMerge/>
            <w:tcBorders>
              <w:top w:val="single" w:sz="4" w:space="0" w:color="auto"/>
              <w:left w:val="single" w:sz="4" w:space="0" w:color="auto"/>
              <w:bottom w:val="single" w:sz="4" w:space="0" w:color="000000"/>
              <w:right w:val="single" w:sz="4" w:space="0" w:color="auto"/>
            </w:tcBorders>
            <w:vAlign w:val="center"/>
          </w:tcPr>
          <w:p w14:paraId="37CC9F75" w14:textId="77777777" w:rsidR="00393AAE" w:rsidRPr="006B3DCD" w:rsidRDefault="00393AAE" w:rsidP="008D1A92">
            <w:pPr>
              <w:widowControl/>
              <w:adjustRightInd/>
              <w:rPr>
                <w:b/>
                <w:bCs/>
                <w:color w:val="000000"/>
                <w:sz w:val="22"/>
              </w:rPr>
            </w:pPr>
          </w:p>
        </w:tc>
        <w:tc>
          <w:tcPr>
            <w:tcW w:w="1308" w:type="pct"/>
            <w:vMerge/>
            <w:tcBorders>
              <w:top w:val="single" w:sz="4" w:space="0" w:color="auto"/>
              <w:left w:val="single" w:sz="4" w:space="0" w:color="auto"/>
              <w:bottom w:val="single" w:sz="4" w:space="0" w:color="000000"/>
              <w:right w:val="nil"/>
            </w:tcBorders>
            <w:vAlign w:val="center"/>
          </w:tcPr>
          <w:p w14:paraId="400E12FC" w14:textId="77777777" w:rsidR="00393AAE" w:rsidRPr="006B3DCD" w:rsidRDefault="00393AAE" w:rsidP="008D1A92">
            <w:pPr>
              <w:widowControl/>
              <w:adjustRightInd/>
              <w:rPr>
                <w:b/>
                <w:bCs/>
                <w:color w:val="000000"/>
                <w:sz w:val="22"/>
              </w:rPr>
            </w:pPr>
          </w:p>
        </w:tc>
        <w:tc>
          <w:tcPr>
            <w:tcW w:w="719" w:type="pct"/>
            <w:vMerge/>
            <w:tcBorders>
              <w:top w:val="single" w:sz="8" w:space="0" w:color="auto"/>
              <w:left w:val="single" w:sz="8" w:space="0" w:color="auto"/>
              <w:bottom w:val="single" w:sz="4" w:space="0" w:color="000000"/>
              <w:right w:val="single" w:sz="4" w:space="0" w:color="auto"/>
            </w:tcBorders>
            <w:vAlign w:val="center"/>
          </w:tcPr>
          <w:p w14:paraId="76FB3253" w14:textId="77777777" w:rsidR="00393AAE" w:rsidRPr="006B3DCD" w:rsidRDefault="00393AAE" w:rsidP="008D1A92">
            <w:pPr>
              <w:widowControl/>
              <w:adjustRightInd/>
              <w:rPr>
                <w:b/>
                <w:bCs/>
                <w:color w:val="000000"/>
                <w:sz w:val="22"/>
              </w:rPr>
            </w:pPr>
          </w:p>
        </w:tc>
      </w:tr>
      <w:tr w:rsidR="00393AAE" w:rsidRPr="00F9765A" w14:paraId="7922944C" w14:textId="77777777" w:rsidTr="008D1A92">
        <w:trPr>
          <w:trHeight w:val="276"/>
        </w:trPr>
        <w:tc>
          <w:tcPr>
            <w:tcW w:w="620" w:type="pct"/>
            <w:tcBorders>
              <w:top w:val="nil"/>
              <w:left w:val="single" w:sz="4" w:space="0" w:color="auto"/>
              <w:bottom w:val="single" w:sz="4" w:space="0" w:color="auto"/>
              <w:right w:val="single" w:sz="4" w:space="0" w:color="auto"/>
            </w:tcBorders>
            <w:shd w:val="clear" w:color="auto" w:fill="auto"/>
            <w:vAlign w:val="bottom"/>
            <w:hideMark/>
          </w:tcPr>
          <w:p w14:paraId="631FF4A4" w14:textId="77777777" w:rsidR="00393AAE" w:rsidRPr="00A30419" w:rsidRDefault="00393AAE" w:rsidP="008D1A92">
            <w:pPr>
              <w:widowControl/>
              <w:adjustRightInd/>
              <w:rPr>
                <w:color w:val="000000"/>
                <w:sz w:val="22"/>
              </w:rPr>
            </w:pPr>
            <w:r>
              <w:rPr>
                <w:sz w:val="22"/>
                <w:szCs w:val="22"/>
              </w:rPr>
              <w:t>SNUN preparation</w:t>
            </w:r>
          </w:p>
        </w:tc>
        <w:tc>
          <w:tcPr>
            <w:tcW w:w="1133" w:type="pct"/>
            <w:tcBorders>
              <w:top w:val="nil"/>
              <w:left w:val="single" w:sz="4" w:space="0" w:color="auto"/>
              <w:bottom w:val="single" w:sz="4" w:space="0" w:color="auto"/>
              <w:right w:val="single" w:sz="4" w:space="0" w:color="auto"/>
            </w:tcBorders>
            <w:shd w:val="clear" w:color="auto" w:fill="auto"/>
            <w:vAlign w:val="center"/>
            <w:hideMark/>
          </w:tcPr>
          <w:p w14:paraId="5BF91623" w14:textId="77777777" w:rsidR="00393AAE" w:rsidRPr="00A30419" w:rsidRDefault="00393AAE" w:rsidP="008D1A92">
            <w:pPr>
              <w:widowControl/>
              <w:adjustRightInd/>
              <w:jc w:val="center"/>
              <w:rPr>
                <w:color w:val="000000"/>
                <w:sz w:val="22"/>
              </w:rPr>
            </w:pPr>
            <w:r>
              <w:rPr>
                <w:color w:val="000000"/>
                <w:sz w:val="22"/>
                <w:szCs w:val="22"/>
              </w:rPr>
              <w:t xml:space="preserve">$0.00 </w:t>
            </w:r>
          </w:p>
        </w:tc>
        <w:tc>
          <w:tcPr>
            <w:tcW w:w="1220" w:type="pct"/>
            <w:tcBorders>
              <w:top w:val="nil"/>
              <w:left w:val="single" w:sz="4" w:space="0" w:color="auto"/>
              <w:bottom w:val="single" w:sz="4" w:space="0" w:color="auto"/>
              <w:right w:val="single" w:sz="4" w:space="0" w:color="auto"/>
            </w:tcBorders>
            <w:shd w:val="clear" w:color="auto" w:fill="auto"/>
            <w:vAlign w:val="center"/>
            <w:hideMark/>
          </w:tcPr>
          <w:p w14:paraId="7DD31F64" w14:textId="77777777" w:rsidR="00393AAE" w:rsidRPr="00A30419" w:rsidRDefault="00393AAE" w:rsidP="008D1A92">
            <w:pPr>
              <w:widowControl/>
              <w:adjustRightInd/>
              <w:jc w:val="center"/>
              <w:rPr>
                <w:color w:val="000000"/>
                <w:sz w:val="22"/>
              </w:rPr>
            </w:pPr>
            <w:r>
              <w:rPr>
                <w:color w:val="000000"/>
                <w:sz w:val="22"/>
                <w:szCs w:val="22"/>
              </w:rPr>
              <w:t xml:space="preserve">$5,743 </w:t>
            </w:r>
          </w:p>
        </w:tc>
        <w:tc>
          <w:tcPr>
            <w:tcW w:w="1308" w:type="pct"/>
            <w:tcBorders>
              <w:top w:val="nil"/>
              <w:left w:val="single" w:sz="4" w:space="0" w:color="auto"/>
              <w:bottom w:val="single" w:sz="4" w:space="0" w:color="auto"/>
              <w:right w:val="nil"/>
            </w:tcBorders>
            <w:shd w:val="clear" w:color="auto" w:fill="auto"/>
            <w:vAlign w:val="center"/>
            <w:hideMark/>
          </w:tcPr>
          <w:p w14:paraId="27684800" w14:textId="77777777" w:rsidR="00393AAE" w:rsidRPr="00A30419" w:rsidRDefault="00393AAE" w:rsidP="008D1A92">
            <w:pPr>
              <w:widowControl/>
              <w:adjustRightInd/>
              <w:jc w:val="center"/>
              <w:rPr>
                <w:color w:val="000000"/>
                <w:sz w:val="22"/>
              </w:rPr>
            </w:pPr>
            <w:r>
              <w:rPr>
                <w:color w:val="000000"/>
                <w:sz w:val="22"/>
                <w:szCs w:val="22"/>
              </w:rPr>
              <w:t xml:space="preserve">$1,380 </w:t>
            </w:r>
          </w:p>
        </w:tc>
        <w:tc>
          <w:tcPr>
            <w:tcW w:w="719" w:type="pct"/>
            <w:tcBorders>
              <w:top w:val="nil"/>
              <w:left w:val="single" w:sz="8" w:space="0" w:color="auto"/>
              <w:bottom w:val="single" w:sz="4" w:space="0" w:color="auto"/>
              <w:right w:val="single" w:sz="4" w:space="0" w:color="auto"/>
            </w:tcBorders>
            <w:shd w:val="clear" w:color="auto" w:fill="auto"/>
            <w:vAlign w:val="center"/>
            <w:hideMark/>
          </w:tcPr>
          <w:p w14:paraId="669EE776" w14:textId="77777777" w:rsidR="00393AAE" w:rsidRPr="002806B5" w:rsidRDefault="00393AAE" w:rsidP="008D1A92">
            <w:pPr>
              <w:widowControl/>
              <w:adjustRightInd/>
              <w:jc w:val="center"/>
              <w:rPr>
                <w:b/>
                <w:color w:val="000000"/>
                <w:sz w:val="22"/>
              </w:rPr>
            </w:pPr>
            <w:r>
              <w:rPr>
                <w:b/>
                <w:bCs/>
                <w:color w:val="000000"/>
                <w:sz w:val="22"/>
                <w:szCs w:val="22"/>
              </w:rPr>
              <w:t xml:space="preserve">$7,123 </w:t>
            </w:r>
          </w:p>
        </w:tc>
      </w:tr>
      <w:tr w:rsidR="00393AAE" w:rsidRPr="00F9765A" w14:paraId="5CB6F7DF" w14:textId="77777777" w:rsidTr="008D1A92">
        <w:trPr>
          <w:trHeight w:val="126"/>
        </w:trPr>
        <w:tc>
          <w:tcPr>
            <w:tcW w:w="620" w:type="pct"/>
            <w:tcBorders>
              <w:top w:val="single" w:sz="4" w:space="0" w:color="auto"/>
              <w:left w:val="single" w:sz="4" w:space="0" w:color="auto"/>
              <w:bottom w:val="single" w:sz="4" w:space="0" w:color="auto"/>
              <w:right w:val="single" w:sz="4" w:space="0" w:color="auto"/>
            </w:tcBorders>
            <w:vAlign w:val="bottom"/>
          </w:tcPr>
          <w:p w14:paraId="3EA0202B" w14:textId="77777777" w:rsidR="00393AAE" w:rsidRPr="00A30419" w:rsidRDefault="00393AAE" w:rsidP="008D1A92">
            <w:pPr>
              <w:rPr>
                <w:sz w:val="22"/>
              </w:rPr>
            </w:pPr>
            <w:r w:rsidRPr="00A30419">
              <w:rPr>
                <w:sz w:val="22"/>
                <w:szCs w:val="22"/>
              </w:rPr>
              <w:t xml:space="preserve">User </w:t>
            </w:r>
            <w:r>
              <w:rPr>
                <w:sz w:val="22"/>
                <w:szCs w:val="22"/>
              </w:rPr>
              <w:t>f</w:t>
            </w:r>
            <w:r w:rsidRPr="00A30419">
              <w:rPr>
                <w:sz w:val="22"/>
                <w:szCs w:val="22"/>
              </w:rPr>
              <w:t>ee</w:t>
            </w:r>
          </w:p>
        </w:tc>
        <w:tc>
          <w:tcPr>
            <w:tcW w:w="3661" w:type="pct"/>
            <w:gridSpan w:val="3"/>
            <w:tcBorders>
              <w:top w:val="single" w:sz="4" w:space="0" w:color="auto"/>
              <w:left w:val="single" w:sz="4" w:space="0" w:color="auto"/>
              <w:bottom w:val="single" w:sz="4" w:space="0" w:color="auto"/>
              <w:right w:val="single" w:sz="4" w:space="0" w:color="auto"/>
            </w:tcBorders>
          </w:tcPr>
          <w:p w14:paraId="1FFEF581" w14:textId="77777777" w:rsidR="00393AAE" w:rsidRPr="00CD3FB6" w:rsidRDefault="00393AAE" w:rsidP="008D1A92">
            <w:pPr>
              <w:jc w:val="center"/>
              <w:rPr>
                <w:color w:val="000000"/>
                <w:sz w:val="22"/>
              </w:rPr>
            </w:pPr>
          </w:p>
        </w:tc>
        <w:tc>
          <w:tcPr>
            <w:tcW w:w="719" w:type="pct"/>
            <w:tcBorders>
              <w:top w:val="single" w:sz="4" w:space="0" w:color="auto"/>
              <w:left w:val="single" w:sz="8" w:space="0" w:color="auto"/>
              <w:bottom w:val="single" w:sz="4" w:space="0" w:color="auto"/>
              <w:right w:val="single" w:sz="4" w:space="0" w:color="auto"/>
            </w:tcBorders>
            <w:vAlign w:val="center"/>
          </w:tcPr>
          <w:p w14:paraId="131D0E36" w14:textId="77777777" w:rsidR="00393AAE" w:rsidRPr="002806B5" w:rsidRDefault="00393AAE" w:rsidP="008D1A92">
            <w:pPr>
              <w:jc w:val="center"/>
              <w:rPr>
                <w:b/>
                <w:color w:val="000000"/>
                <w:sz w:val="22"/>
              </w:rPr>
            </w:pPr>
            <w:r w:rsidRPr="002806B5">
              <w:rPr>
                <w:b/>
                <w:color w:val="000000"/>
                <w:sz w:val="22"/>
                <w:szCs w:val="22"/>
              </w:rPr>
              <w:t>$</w:t>
            </w:r>
            <w:r>
              <w:rPr>
                <w:b/>
                <w:color w:val="000000"/>
                <w:sz w:val="22"/>
                <w:szCs w:val="22"/>
              </w:rPr>
              <w:t>16,000</w:t>
            </w:r>
          </w:p>
        </w:tc>
      </w:tr>
      <w:tr w:rsidR="00393AAE" w:rsidRPr="00F9765A" w14:paraId="116D7B0C" w14:textId="77777777" w:rsidTr="008D1A92">
        <w:trPr>
          <w:trHeight w:val="170"/>
        </w:trPr>
        <w:tc>
          <w:tcPr>
            <w:tcW w:w="620" w:type="pct"/>
            <w:tcBorders>
              <w:top w:val="single" w:sz="4" w:space="0" w:color="auto"/>
              <w:left w:val="single" w:sz="4" w:space="0" w:color="auto"/>
              <w:bottom w:val="single" w:sz="4" w:space="0" w:color="000000"/>
              <w:right w:val="single" w:sz="4" w:space="0" w:color="auto"/>
            </w:tcBorders>
            <w:vAlign w:val="center"/>
          </w:tcPr>
          <w:p w14:paraId="72500013" w14:textId="77777777" w:rsidR="00393AAE" w:rsidRPr="006B3DCD" w:rsidRDefault="00393AAE" w:rsidP="008D1A92">
            <w:pPr>
              <w:rPr>
                <w:b/>
                <w:color w:val="000000"/>
                <w:sz w:val="22"/>
              </w:rPr>
            </w:pPr>
            <w:r w:rsidRPr="00A30419">
              <w:rPr>
                <w:b/>
                <w:bCs/>
                <w:sz w:val="22"/>
                <w:szCs w:val="22"/>
              </w:rPr>
              <w:t>Total</w:t>
            </w:r>
          </w:p>
        </w:tc>
        <w:tc>
          <w:tcPr>
            <w:tcW w:w="1133" w:type="pct"/>
            <w:tcBorders>
              <w:top w:val="single" w:sz="4" w:space="0" w:color="auto"/>
              <w:left w:val="single" w:sz="4" w:space="0" w:color="auto"/>
              <w:bottom w:val="single" w:sz="4" w:space="0" w:color="000000"/>
              <w:right w:val="single" w:sz="4" w:space="0" w:color="auto"/>
            </w:tcBorders>
            <w:vAlign w:val="center"/>
          </w:tcPr>
          <w:p w14:paraId="021FBF7C" w14:textId="77777777" w:rsidR="00393AAE" w:rsidRPr="006B3DCD" w:rsidRDefault="00393AAE" w:rsidP="008D1A92">
            <w:pPr>
              <w:jc w:val="center"/>
              <w:rPr>
                <w:b/>
                <w:color w:val="000000"/>
                <w:sz w:val="22"/>
              </w:rPr>
            </w:pPr>
            <w:r>
              <w:rPr>
                <w:b/>
                <w:bCs/>
                <w:color w:val="000000"/>
                <w:sz w:val="22"/>
                <w:szCs w:val="22"/>
              </w:rPr>
              <w:t xml:space="preserve">$0.00 </w:t>
            </w:r>
          </w:p>
        </w:tc>
        <w:tc>
          <w:tcPr>
            <w:tcW w:w="1220" w:type="pct"/>
            <w:tcBorders>
              <w:top w:val="single" w:sz="4" w:space="0" w:color="auto"/>
              <w:left w:val="single" w:sz="4" w:space="0" w:color="auto"/>
              <w:bottom w:val="single" w:sz="4" w:space="0" w:color="000000"/>
              <w:right w:val="single" w:sz="4" w:space="0" w:color="auto"/>
            </w:tcBorders>
            <w:vAlign w:val="center"/>
          </w:tcPr>
          <w:p w14:paraId="17019ECA" w14:textId="77777777" w:rsidR="00393AAE" w:rsidRPr="006B3DCD" w:rsidRDefault="00393AAE" w:rsidP="008D1A92">
            <w:pPr>
              <w:jc w:val="center"/>
              <w:rPr>
                <w:b/>
                <w:color w:val="000000"/>
                <w:sz w:val="22"/>
              </w:rPr>
            </w:pPr>
            <w:r>
              <w:rPr>
                <w:b/>
                <w:bCs/>
                <w:color w:val="000000"/>
                <w:sz w:val="22"/>
                <w:szCs w:val="22"/>
              </w:rPr>
              <w:t>$5,743</w:t>
            </w:r>
          </w:p>
        </w:tc>
        <w:tc>
          <w:tcPr>
            <w:tcW w:w="1308" w:type="pct"/>
            <w:tcBorders>
              <w:top w:val="single" w:sz="4" w:space="0" w:color="auto"/>
              <w:left w:val="single" w:sz="4" w:space="0" w:color="auto"/>
              <w:bottom w:val="single" w:sz="4" w:space="0" w:color="000000"/>
              <w:right w:val="nil"/>
            </w:tcBorders>
            <w:vAlign w:val="center"/>
          </w:tcPr>
          <w:p w14:paraId="34355B57" w14:textId="77777777" w:rsidR="00393AAE" w:rsidRPr="006B3DCD" w:rsidRDefault="00393AAE" w:rsidP="008D1A92">
            <w:pPr>
              <w:jc w:val="center"/>
              <w:rPr>
                <w:b/>
                <w:color w:val="000000"/>
                <w:sz w:val="22"/>
              </w:rPr>
            </w:pPr>
            <w:r>
              <w:rPr>
                <w:b/>
                <w:bCs/>
                <w:color w:val="000000"/>
                <w:sz w:val="22"/>
                <w:szCs w:val="22"/>
              </w:rPr>
              <w:t>$1,380</w:t>
            </w:r>
          </w:p>
        </w:tc>
        <w:tc>
          <w:tcPr>
            <w:tcW w:w="719" w:type="pct"/>
            <w:tcBorders>
              <w:top w:val="single" w:sz="4" w:space="0" w:color="auto"/>
              <w:left w:val="single" w:sz="8" w:space="0" w:color="auto"/>
              <w:bottom w:val="single" w:sz="4" w:space="0" w:color="000000"/>
              <w:right w:val="single" w:sz="4" w:space="0" w:color="auto"/>
            </w:tcBorders>
            <w:vAlign w:val="center"/>
          </w:tcPr>
          <w:p w14:paraId="7DFDECAC" w14:textId="77777777" w:rsidR="00393AAE" w:rsidRPr="006B3DCD" w:rsidRDefault="00393AAE" w:rsidP="008D1A92">
            <w:pPr>
              <w:jc w:val="center"/>
              <w:rPr>
                <w:b/>
                <w:color w:val="000000"/>
                <w:sz w:val="22"/>
              </w:rPr>
            </w:pPr>
            <w:r>
              <w:rPr>
                <w:b/>
                <w:bCs/>
                <w:color w:val="000000"/>
                <w:sz w:val="22"/>
                <w:szCs w:val="22"/>
              </w:rPr>
              <w:t xml:space="preserve">$23,123 </w:t>
            </w:r>
          </w:p>
        </w:tc>
      </w:tr>
    </w:tbl>
    <w:p w14:paraId="301638E0" w14:textId="77777777" w:rsidR="00393AAE" w:rsidRPr="0025736B"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F90C815" w14:textId="77777777" w:rsidR="00393AAE" w:rsidRPr="00BF29B2"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Alternative Responses</w:t>
      </w:r>
    </w:p>
    <w:p w14:paraId="5058BE3F" w14:textId="77777777" w:rsidR="00393AAE" w:rsidRPr="0025736B" w:rsidRDefault="00393AAE" w:rsidP="00393AAE">
      <w:pPr>
        <w:tabs>
          <w:tab w:val="left" w:pos="-720"/>
          <w:tab w:val="left" w:pos="0"/>
          <w:tab w:val="left" w:pos="2880"/>
        </w:tabs>
      </w:pPr>
      <w:r w:rsidRPr="0025736B">
        <w:tab/>
      </w:r>
    </w:p>
    <w:p w14:paraId="778750F3"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As noted in section 4, five alternative responses to any particular SNUR could be chosen by firms planning to engage in significant new uses of subject chemicals. Although EPA has not projected or quantified how frequently these alternatives might be selected, the unit costs associated with each option are discussed briefly below.</w:t>
      </w:r>
    </w:p>
    <w:p w14:paraId="1D3960DB"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D457EA9"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The estimated burden of requesting an equivalency determination (the second option) or review for modification/revocation (the fourth option) was judged to be similar to filing the SNUN; thus, total costs including the EPA user fee were estimated to be </w:t>
      </w:r>
      <w:r w:rsidRPr="00657A2C">
        <w:t>$</w:t>
      </w:r>
      <w:r>
        <w:t>23,123. However, the firm may incur additional costs in developing the data necessary to justify the alternative. This option will be preferable to compliance with the SNUR if the total cost of obtaining EPA approval of a request is less than the costs of SNUR compliance.</w:t>
      </w:r>
    </w:p>
    <w:p w14:paraId="2E18EFB7"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14:paraId="0DB0FC8D" w14:textId="77777777" w:rsidR="00393AAE" w:rsidRDefault="00393AAE" w:rsidP="00393AAE">
      <w:pPr>
        <w:ind w:firstLine="720"/>
      </w:pPr>
      <w:r>
        <w:t xml:space="preserve">Firms choosing to </w:t>
      </w:r>
      <w:r w:rsidRPr="00F73CD4">
        <w:t>comply with a SNUR</w:t>
      </w:r>
      <w:r>
        <w:t xml:space="preserve"> (the third option)</w:t>
      </w:r>
      <w:r w:rsidRPr="00F73CD4">
        <w:t xml:space="preserve">, </w:t>
      </w:r>
      <w:r>
        <w:t xml:space="preserve">will </w:t>
      </w:r>
      <w:r w:rsidRPr="00F73CD4">
        <w:t xml:space="preserve">incur costs to ensure all provisions of the SNUR were implemented at the subject facility </w:t>
      </w:r>
      <w:r>
        <w:t xml:space="preserve">and to implement recordkeeping. The costs of implementing provisions at a facility were not quantified for this ICR. Recordkeeping is expected to range from 0.01 hours to 0.76 hours for each significant new use. All recordkeeping activities are expected to be conducted by clerical staff; therefore, recordkeeping costs range from $0.35 to $26.59 per significant new use. The total recordkeeping burden per firm will depend on the significant new use(s) identified. </w:t>
      </w:r>
    </w:p>
    <w:p w14:paraId="59D5621F"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14:paraId="6A22223D" w14:textId="77777777" w:rsidR="00393AAE" w:rsidRPr="00BF29B2" w:rsidRDefault="00393AAE" w:rsidP="00393AA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Customer Notification</w:t>
      </w:r>
    </w:p>
    <w:p w14:paraId="3A887C57" w14:textId="77777777" w:rsidR="00393AAE" w:rsidRDefault="00393AAE" w:rsidP="00393AAE">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116EAF3" w14:textId="77777777" w:rsidR="00393AAE" w:rsidRDefault="00393AAE" w:rsidP="00393AAE">
      <w:pPr>
        <w:keepNext/>
        <w:ind w:firstLine="720"/>
      </w:pPr>
      <w:r>
        <w:t>EPA assumes that the customer notification requirement will be handled by technical labor. Section 5 of this analysis assumes a total burden of 13.67 hours of technical labor, supposing that there are two manufacturers (including importers) or processors per chemical</w:t>
      </w:r>
      <w:r w:rsidRPr="000F0CBA">
        <w:rPr>
          <w:rStyle w:val="FootnoteReference"/>
          <w:vertAlign w:val="superscript"/>
        </w:rPr>
        <w:footnoteReference w:id="4"/>
      </w:r>
      <w:r>
        <w:t xml:space="preserve">. Given the loaded wage of technical laborers is </w:t>
      </w:r>
      <w:r w:rsidRPr="003421AC">
        <w:t>$77.94</w:t>
      </w:r>
      <w:r>
        <w:t>, the cost per SNUR is $1,065 [($77.94 per hour)*(13.67 hours per SNUR)].</w:t>
      </w:r>
    </w:p>
    <w:p w14:paraId="074041D9" w14:textId="77777777" w:rsidR="00393AAE" w:rsidRDefault="00393AAE" w:rsidP="00393AAE">
      <w:pPr>
        <w:keepNext/>
        <w:ind w:firstLine="720"/>
      </w:pPr>
    </w:p>
    <w:p w14:paraId="472AE5F1" w14:textId="77777777" w:rsidR="00393AAE" w:rsidRPr="00BF29B2" w:rsidRDefault="00393AAE" w:rsidP="00393AAE">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ab/>
      </w:r>
      <w:r w:rsidRPr="006A118B">
        <w:rPr>
          <w:u w:val="single"/>
        </w:rPr>
        <w:t>Summary</w:t>
      </w:r>
    </w:p>
    <w:p w14:paraId="53C42CA9" w14:textId="77777777" w:rsidR="00393AAE" w:rsidRDefault="00393AAE" w:rsidP="00393AAE">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7F22EA1" w14:textId="77777777" w:rsidR="00393AAE" w:rsidRDefault="00393AAE" w:rsidP="00393AAE">
      <w:pPr>
        <w:keepNext/>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A4">
        <w:fldChar w:fldCharType="begin"/>
      </w:r>
      <w:r w:rsidRPr="00611CA4">
        <w:instrText xml:space="preserve"> REF _Ref424061458 \h </w:instrText>
      </w:r>
      <w:r w:rsidRPr="0064544D">
        <w:instrText xml:space="preserve"> \* MERGEFORMAT </w:instrText>
      </w:r>
      <w:r w:rsidRPr="00611CA4">
        <w:fldChar w:fldCharType="separate"/>
      </w:r>
      <w:r w:rsidRPr="00101B98">
        <w:t xml:space="preserve">Table </w:t>
      </w:r>
      <w:r w:rsidRPr="00101B98">
        <w:rPr>
          <w:noProof/>
        </w:rPr>
        <w:t>9</w:t>
      </w:r>
      <w:r w:rsidRPr="00611CA4">
        <w:fldChar w:fldCharType="end"/>
      </w:r>
      <w:r>
        <w:t xml:space="preserve"> summarizes the unit costs estimated in this section. Reviewing a SNUR to verify that a chemical is included is estimated to cost $</w:t>
      </w:r>
      <w:r w:rsidRPr="00E93392">
        <w:t>88.7</w:t>
      </w:r>
      <w:r>
        <w:t>7</w:t>
      </w:r>
      <w:r w:rsidRPr="00E93392">
        <w:t xml:space="preserve"> </w:t>
      </w:r>
      <w:r>
        <w:t>per SNUR and notifying customers is $</w:t>
      </w:r>
      <w:r w:rsidRPr="00E93392">
        <w:t xml:space="preserve">1,065 </w:t>
      </w:r>
      <w:r>
        <w:t>per SNUR. The cost of completing and submitting a SNUN is approximately $</w:t>
      </w:r>
      <w:r w:rsidRPr="00E93392">
        <w:t>23,123</w:t>
      </w:r>
      <w:r>
        <w:t>. EPA estimates the costs associated with rule familiarization to be $63.31 per company, and CDX registration activities to be $220 per company.</w:t>
      </w:r>
    </w:p>
    <w:p w14:paraId="10F3AB29"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EFA011C" w14:textId="77777777" w:rsidR="00393AAE" w:rsidRDefault="00393AAE" w:rsidP="00393AAE">
      <w:pPr>
        <w:keepNext/>
        <w:tabs>
          <w:tab w:val="center" w:pos="4680"/>
          <w:tab w:val="left" w:pos="5040"/>
          <w:tab w:val="left" w:pos="5760"/>
          <w:tab w:val="left" w:pos="6480"/>
          <w:tab w:val="left" w:pos="7200"/>
          <w:tab w:val="left" w:pos="7920"/>
          <w:tab w:val="left" w:pos="8640"/>
          <w:tab w:val="left" w:pos="9360"/>
        </w:tabs>
      </w:pPr>
      <w:r>
        <w:rPr>
          <w:b/>
          <w:bCs/>
        </w:rPr>
        <w:t xml:space="preserve">                  </w:t>
      </w:r>
      <w:bookmarkStart w:id="17" w:name="_Ref424061458"/>
      <w:r>
        <w:rPr>
          <w:b/>
          <w:bCs/>
        </w:rPr>
        <w:t xml:space="preserve">    </w:t>
      </w:r>
      <w:r w:rsidRPr="00F9765A">
        <w:rPr>
          <w:b/>
        </w:rPr>
        <w:t xml:space="preserve">Table </w:t>
      </w:r>
      <w:r>
        <w:rPr>
          <w:b/>
        </w:rPr>
        <w:fldChar w:fldCharType="begin"/>
      </w:r>
      <w:r>
        <w:rPr>
          <w:b/>
        </w:rPr>
        <w:instrText xml:space="preserve"> SEQ Table \* ARABIC </w:instrText>
      </w:r>
      <w:r>
        <w:rPr>
          <w:b/>
        </w:rPr>
        <w:fldChar w:fldCharType="separate"/>
      </w:r>
      <w:r>
        <w:rPr>
          <w:b/>
          <w:noProof/>
        </w:rPr>
        <w:t>9</w:t>
      </w:r>
      <w:r>
        <w:rPr>
          <w:b/>
        </w:rPr>
        <w:fldChar w:fldCharType="end"/>
      </w:r>
      <w:bookmarkEnd w:id="17"/>
      <w:r w:rsidRPr="00F9765A">
        <w:rPr>
          <w:b/>
        </w:rPr>
        <w:t xml:space="preserve">: </w:t>
      </w:r>
      <w:r>
        <w:rPr>
          <w:b/>
          <w:bCs/>
        </w:rPr>
        <w:t>Summary of Unit Costs</w:t>
      </w:r>
    </w:p>
    <w:tbl>
      <w:tblPr>
        <w:tblW w:w="7380" w:type="dxa"/>
        <w:jc w:val="center"/>
        <w:tblLook w:val="04A0" w:firstRow="1" w:lastRow="0" w:firstColumn="1" w:lastColumn="0" w:noHBand="0" w:noVBand="1"/>
      </w:tblPr>
      <w:tblGrid>
        <w:gridCol w:w="4590"/>
        <w:gridCol w:w="2790"/>
      </w:tblGrid>
      <w:tr w:rsidR="00393AAE" w:rsidRPr="000E2A99" w14:paraId="4E5F02D1" w14:textId="77777777" w:rsidTr="008D1A92">
        <w:trPr>
          <w:trHeight w:hRule="exact" w:val="288"/>
          <w:jc w:val="center"/>
        </w:trPr>
        <w:tc>
          <w:tcPr>
            <w:tcW w:w="4590" w:type="dxa"/>
            <w:tcBorders>
              <w:top w:val="single" w:sz="8" w:space="0" w:color="auto"/>
              <w:left w:val="single" w:sz="8" w:space="0" w:color="auto"/>
              <w:bottom w:val="single" w:sz="8" w:space="0" w:color="000000"/>
              <w:right w:val="single" w:sz="8" w:space="0" w:color="auto"/>
            </w:tcBorders>
            <w:vAlign w:val="center"/>
            <w:hideMark/>
          </w:tcPr>
          <w:p w14:paraId="08097860" w14:textId="77777777" w:rsidR="00393AAE" w:rsidRPr="00581B7E" w:rsidRDefault="00393AAE" w:rsidP="008D1A92">
            <w:pPr>
              <w:keepNext/>
              <w:widowControl/>
              <w:adjustRightInd/>
              <w:jc w:val="center"/>
              <w:rPr>
                <w:b/>
                <w:bCs/>
                <w:color w:val="000000"/>
                <w:sz w:val="22"/>
              </w:rPr>
            </w:pPr>
            <w:r w:rsidRPr="00581B7E">
              <w:rPr>
                <w:b/>
                <w:bCs/>
                <w:color w:val="000000"/>
                <w:sz w:val="22"/>
                <w:szCs w:val="22"/>
              </w:rPr>
              <w:t>Collection Activity</w:t>
            </w:r>
          </w:p>
        </w:tc>
        <w:tc>
          <w:tcPr>
            <w:tcW w:w="2790" w:type="dxa"/>
            <w:tcBorders>
              <w:top w:val="single" w:sz="8" w:space="0" w:color="auto"/>
              <w:left w:val="single" w:sz="8" w:space="0" w:color="auto"/>
              <w:bottom w:val="single" w:sz="8" w:space="0" w:color="000000"/>
              <w:right w:val="single" w:sz="8" w:space="0" w:color="auto"/>
            </w:tcBorders>
            <w:vAlign w:val="center"/>
            <w:hideMark/>
          </w:tcPr>
          <w:p w14:paraId="6E5BAF3F" w14:textId="77777777" w:rsidR="00393AAE" w:rsidRPr="00581B7E" w:rsidRDefault="00393AAE" w:rsidP="008D1A92">
            <w:pPr>
              <w:keepNext/>
              <w:widowControl/>
              <w:adjustRightInd/>
              <w:jc w:val="center"/>
              <w:rPr>
                <w:b/>
                <w:bCs/>
                <w:color w:val="000000"/>
                <w:sz w:val="22"/>
              </w:rPr>
            </w:pPr>
            <w:r w:rsidRPr="00581B7E">
              <w:rPr>
                <w:b/>
                <w:bCs/>
                <w:color w:val="000000"/>
                <w:sz w:val="22"/>
                <w:szCs w:val="22"/>
              </w:rPr>
              <w:t>Estimated Cost</w:t>
            </w:r>
          </w:p>
        </w:tc>
      </w:tr>
      <w:tr w:rsidR="00393AAE" w:rsidRPr="000E2A99" w14:paraId="30AAC863" w14:textId="77777777" w:rsidTr="008D1A92">
        <w:trPr>
          <w:trHeight w:hRule="exact" w:val="288"/>
          <w:jc w:val="center"/>
        </w:trPr>
        <w:tc>
          <w:tcPr>
            <w:tcW w:w="4590" w:type="dxa"/>
            <w:vMerge w:val="restart"/>
            <w:tcBorders>
              <w:top w:val="nil"/>
              <w:left w:val="single" w:sz="8" w:space="0" w:color="auto"/>
              <w:bottom w:val="single" w:sz="8" w:space="0" w:color="000000"/>
              <w:right w:val="single" w:sz="8" w:space="0" w:color="auto"/>
            </w:tcBorders>
            <w:shd w:val="clear" w:color="auto" w:fill="auto"/>
            <w:vAlign w:val="center"/>
            <w:hideMark/>
          </w:tcPr>
          <w:p w14:paraId="2DFBDA61" w14:textId="77777777" w:rsidR="00393AAE" w:rsidRPr="00AB34AC" w:rsidRDefault="00393AAE" w:rsidP="008D1A92">
            <w:pPr>
              <w:keepNext/>
              <w:widowControl/>
              <w:adjustRightInd/>
            </w:pPr>
            <w:r w:rsidRPr="00AB34AC">
              <w:t>Chemical verification (per SNUR)</w:t>
            </w:r>
          </w:p>
        </w:tc>
        <w:tc>
          <w:tcPr>
            <w:tcW w:w="2790" w:type="dxa"/>
            <w:vMerge w:val="restart"/>
            <w:tcBorders>
              <w:top w:val="nil"/>
              <w:left w:val="single" w:sz="8" w:space="0" w:color="auto"/>
              <w:bottom w:val="single" w:sz="8" w:space="0" w:color="000000"/>
              <w:right w:val="single" w:sz="8" w:space="0" w:color="auto"/>
            </w:tcBorders>
            <w:shd w:val="clear" w:color="auto" w:fill="auto"/>
            <w:vAlign w:val="center"/>
            <w:hideMark/>
          </w:tcPr>
          <w:p w14:paraId="31F57589" w14:textId="77777777" w:rsidR="00393AAE" w:rsidRPr="00B61BA0" w:rsidRDefault="00393AAE" w:rsidP="008D1A92">
            <w:pPr>
              <w:widowControl/>
              <w:adjustRightInd/>
              <w:jc w:val="center"/>
              <w:rPr>
                <w:sz w:val="22"/>
                <w:szCs w:val="22"/>
              </w:rPr>
            </w:pPr>
            <w:r w:rsidRPr="00B61BA0">
              <w:rPr>
                <w:color w:val="000000"/>
                <w:sz w:val="22"/>
                <w:szCs w:val="22"/>
              </w:rPr>
              <w:t>$88.7</w:t>
            </w:r>
            <w:r>
              <w:rPr>
                <w:color w:val="000000"/>
                <w:sz w:val="22"/>
                <w:szCs w:val="22"/>
              </w:rPr>
              <w:t>7</w:t>
            </w:r>
            <w:r w:rsidRPr="00B61BA0">
              <w:rPr>
                <w:color w:val="000000"/>
                <w:sz w:val="22"/>
                <w:szCs w:val="22"/>
              </w:rPr>
              <w:t xml:space="preserve"> </w:t>
            </w:r>
          </w:p>
        </w:tc>
      </w:tr>
      <w:tr w:rsidR="00393AAE" w:rsidRPr="000E2A99" w14:paraId="5ECBE1AD" w14:textId="77777777" w:rsidTr="008D1A92">
        <w:trPr>
          <w:trHeight w:hRule="exact" w:val="100"/>
          <w:jc w:val="center"/>
        </w:trPr>
        <w:tc>
          <w:tcPr>
            <w:tcW w:w="4590" w:type="dxa"/>
            <w:vMerge/>
            <w:tcBorders>
              <w:top w:val="nil"/>
              <w:left w:val="single" w:sz="8" w:space="0" w:color="auto"/>
              <w:bottom w:val="single" w:sz="8" w:space="0" w:color="000000"/>
              <w:right w:val="single" w:sz="8" w:space="0" w:color="auto"/>
            </w:tcBorders>
            <w:vAlign w:val="center"/>
            <w:hideMark/>
          </w:tcPr>
          <w:p w14:paraId="22D6399C" w14:textId="77777777" w:rsidR="00393AAE" w:rsidRPr="00AB34AC" w:rsidRDefault="00393AAE" w:rsidP="008D1A92">
            <w:pPr>
              <w:keepNext/>
              <w:widowControl/>
              <w:adjustRightInd/>
            </w:pPr>
          </w:p>
        </w:tc>
        <w:tc>
          <w:tcPr>
            <w:tcW w:w="2790" w:type="dxa"/>
            <w:vMerge/>
            <w:tcBorders>
              <w:top w:val="nil"/>
              <w:left w:val="single" w:sz="8" w:space="0" w:color="auto"/>
              <w:bottom w:val="single" w:sz="8" w:space="0" w:color="000000"/>
              <w:right w:val="single" w:sz="8" w:space="0" w:color="auto"/>
            </w:tcBorders>
            <w:vAlign w:val="center"/>
            <w:hideMark/>
          </w:tcPr>
          <w:p w14:paraId="0F6CDFA1" w14:textId="77777777" w:rsidR="00393AAE" w:rsidRPr="00B61BA0" w:rsidRDefault="00393AAE" w:rsidP="008D1A92">
            <w:pPr>
              <w:keepNext/>
              <w:widowControl/>
              <w:adjustRightInd/>
              <w:jc w:val="center"/>
              <w:rPr>
                <w:sz w:val="22"/>
                <w:szCs w:val="22"/>
              </w:rPr>
            </w:pPr>
          </w:p>
        </w:tc>
      </w:tr>
      <w:tr w:rsidR="00393AAE" w:rsidRPr="000E2A99" w14:paraId="094F336C" w14:textId="77777777" w:rsidTr="008D1A92">
        <w:trPr>
          <w:trHeight w:hRule="exact" w:val="288"/>
          <w:jc w:val="center"/>
        </w:trPr>
        <w:tc>
          <w:tcPr>
            <w:tcW w:w="4590" w:type="dxa"/>
            <w:tcBorders>
              <w:top w:val="nil"/>
              <w:left w:val="single" w:sz="8" w:space="0" w:color="auto"/>
              <w:bottom w:val="single" w:sz="8" w:space="0" w:color="000000"/>
              <w:right w:val="single" w:sz="8" w:space="0" w:color="auto"/>
            </w:tcBorders>
            <w:shd w:val="clear" w:color="auto" w:fill="auto"/>
            <w:vAlign w:val="center"/>
          </w:tcPr>
          <w:p w14:paraId="4E9DA0E8" w14:textId="77777777" w:rsidR="00393AAE" w:rsidRPr="00AB34AC" w:rsidRDefault="00393AAE" w:rsidP="008D1A92">
            <w:pPr>
              <w:keepNext/>
              <w:widowControl/>
              <w:adjustRightInd/>
            </w:pPr>
            <w:r w:rsidRPr="00AB34AC">
              <w:t>Rule familiarization (per company)</w:t>
            </w:r>
          </w:p>
        </w:tc>
        <w:tc>
          <w:tcPr>
            <w:tcW w:w="2790" w:type="dxa"/>
            <w:tcBorders>
              <w:top w:val="nil"/>
              <w:left w:val="single" w:sz="8" w:space="0" w:color="auto"/>
              <w:bottom w:val="single" w:sz="8" w:space="0" w:color="000000"/>
              <w:right w:val="single" w:sz="8" w:space="0" w:color="auto"/>
            </w:tcBorders>
            <w:shd w:val="clear" w:color="000000" w:fill="FFFFFF"/>
            <w:noWrap/>
            <w:vAlign w:val="center"/>
          </w:tcPr>
          <w:p w14:paraId="1032D62D" w14:textId="77777777" w:rsidR="00393AAE" w:rsidRPr="00B61BA0" w:rsidRDefault="00393AAE" w:rsidP="008D1A92">
            <w:pPr>
              <w:keepNext/>
              <w:widowControl/>
              <w:adjustRightInd/>
              <w:jc w:val="center"/>
              <w:rPr>
                <w:sz w:val="22"/>
                <w:szCs w:val="22"/>
              </w:rPr>
            </w:pPr>
            <w:r w:rsidRPr="00B61BA0">
              <w:rPr>
                <w:color w:val="000000"/>
                <w:sz w:val="22"/>
                <w:szCs w:val="22"/>
              </w:rPr>
              <w:t>$63.</w:t>
            </w:r>
            <w:r>
              <w:rPr>
                <w:color w:val="000000"/>
                <w:sz w:val="22"/>
                <w:szCs w:val="22"/>
              </w:rPr>
              <w:t>31</w:t>
            </w:r>
            <w:r w:rsidRPr="00B61BA0">
              <w:rPr>
                <w:color w:val="000000"/>
                <w:sz w:val="22"/>
                <w:szCs w:val="22"/>
              </w:rPr>
              <w:t xml:space="preserve"> </w:t>
            </w:r>
          </w:p>
        </w:tc>
      </w:tr>
      <w:tr w:rsidR="00393AAE" w:rsidRPr="000E2A99" w14:paraId="4F4E0C74" w14:textId="77777777" w:rsidTr="008D1A92">
        <w:trPr>
          <w:trHeight w:hRule="exact" w:val="560"/>
          <w:jc w:val="center"/>
        </w:trPr>
        <w:tc>
          <w:tcPr>
            <w:tcW w:w="4590" w:type="dxa"/>
            <w:tcBorders>
              <w:top w:val="nil"/>
              <w:left w:val="single" w:sz="8" w:space="0" w:color="auto"/>
              <w:bottom w:val="single" w:sz="8" w:space="0" w:color="000000"/>
              <w:right w:val="single" w:sz="8" w:space="0" w:color="auto"/>
            </w:tcBorders>
            <w:shd w:val="clear" w:color="auto" w:fill="auto"/>
            <w:vAlign w:val="center"/>
          </w:tcPr>
          <w:p w14:paraId="3E747D1E" w14:textId="77777777" w:rsidR="00393AAE" w:rsidRPr="00AB34AC" w:rsidRDefault="00393AAE" w:rsidP="008D1A92">
            <w:pPr>
              <w:keepNext/>
              <w:widowControl/>
              <w:adjustRightInd/>
            </w:pPr>
            <w:r w:rsidRPr="00AB34AC">
              <w:t>CDX registration, electronic signature, and Pay.gov account set</w:t>
            </w:r>
            <w:r>
              <w:t>-</w:t>
            </w:r>
            <w:r w:rsidRPr="00AB34AC">
              <w:t xml:space="preserve">up (per company) </w:t>
            </w:r>
          </w:p>
        </w:tc>
        <w:tc>
          <w:tcPr>
            <w:tcW w:w="2790" w:type="dxa"/>
            <w:tcBorders>
              <w:top w:val="nil"/>
              <w:left w:val="single" w:sz="8" w:space="0" w:color="auto"/>
              <w:bottom w:val="single" w:sz="8" w:space="0" w:color="000000"/>
              <w:right w:val="single" w:sz="8" w:space="0" w:color="auto"/>
            </w:tcBorders>
            <w:shd w:val="clear" w:color="000000" w:fill="FFFFFF"/>
            <w:noWrap/>
            <w:vAlign w:val="center"/>
          </w:tcPr>
          <w:p w14:paraId="15F0BB4C" w14:textId="77777777" w:rsidR="00393AAE" w:rsidRPr="00B61BA0" w:rsidRDefault="00393AAE" w:rsidP="008D1A92">
            <w:pPr>
              <w:keepNext/>
              <w:widowControl/>
              <w:adjustRightInd/>
              <w:jc w:val="center"/>
              <w:rPr>
                <w:sz w:val="22"/>
                <w:szCs w:val="22"/>
              </w:rPr>
            </w:pPr>
            <w:r w:rsidRPr="00B61BA0">
              <w:rPr>
                <w:color w:val="000000"/>
                <w:sz w:val="22"/>
                <w:szCs w:val="22"/>
              </w:rPr>
              <w:t xml:space="preserve">$220 </w:t>
            </w:r>
          </w:p>
        </w:tc>
      </w:tr>
      <w:tr w:rsidR="00393AAE" w:rsidRPr="000E2A99" w14:paraId="7BED2B43" w14:textId="77777777" w:rsidTr="008D1A92">
        <w:trPr>
          <w:trHeight w:hRule="exact" w:val="288"/>
          <w:jc w:val="center"/>
        </w:trPr>
        <w:tc>
          <w:tcPr>
            <w:tcW w:w="4590" w:type="dxa"/>
            <w:tcBorders>
              <w:top w:val="nil"/>
              <w:left w:val="single" w:sz="8" w:space="0" w:color="auto"/>
              <w:bottom w:val="single" w:sz="4" w:space="0" w:color="auto"/>
              <w:right w:val="single" w:sz="8" w:space="0" w:color="auto"/>
            </w:tcBorders>
            <w:shd w:val="clear" w:color="auto" w:fill="auto"/>
            <w:vAlign w:val="center"/>
            <w:hideMark/>
          </w:tcPr>
          <w:p w14:paraId="0040A0AD" w14:textId="77777777" w:rsidR="00393AAE" w:rsidRPr="00AB34AC" w:rsidRDefault="00393AAE" w:rsidP="008D1A92">
            <w:pPr>
              <w:keepNext/>
              <w:widowControl/>
              <w:adjustRightInd/>
            </w:pPr>
            <w:r w:rsidRPr="00AB34AC">
              <w:t>SNUN preparation</w:t>
            </w:r>
            <w:r>
              <w:t>*</w:t>
            </w:r>
            <w:r w:rsidRPr="00AB34AC">
              <w:t xml:space="preserve"> </w:t>
            </w:r>
          </w:p>
        </w:tc>
        <w:tc>
          <w:tcPr>
            <w:tcW w:w="2790" w:type="dxa"/>
            <w:tcBorders>
              <w:top w:val="nil"/>
              <w:left w:val="single" w:sz="8" w:space="0" w:color="auto"/>
              <w:bottom w:val="single" w:sz="4" w:space="0" w:color="auto"/>
              <w:right w:val="single" w:sz="8" w:space="0" w:color="auto"/>
            </w:tcBorders>
            <w:shd w:val="clear" w:color="000000" w:fill="FFFFFF"/>
            <w:noWrap/>
            <w:vAlign w:val="center"/>
            <w:hideMark/>
          </w:tcPr>
          <w:p w14:paraId="4A60BADA" w14:textId="77777777" w:rsidR="00393AAE" w:rsidRPr="00B61BA0" w:rsidRDefault="00393AAE" w:rsidP="008D1A92">
            <w:pPr>
              <w:keepNext/>
              <w:widowControl/>
              <w:adjustRightInd/>
              <w:jc w:val="center"/>
              <w:rPr>
                <w:sz w:val="22"/>
                <w:szCs w:val="22"/>
              </w:rPr>
            </w:pPr>
            <w:r w:rsidRPr="00B61BA0">
              <w:rPr>
                <w:color w:val="000000"/>
                <w:sz w:val="22"/>
                <w:szCs w:val="22"/>
              </w:rPr>
              <w:t xml:space="preserve">$23,123 </w:t>
            </w:r>
          </w:p>
        </w:tc>
      </w:tr>
      <w:tr w:rsidR="00393AAE" w:rsidRPr="000E2A99" w14:paraId="1384B889" w14:textId="77777777" w:rsidTr="008D1A92">
        <w:trPr>
          <w:trHeight w:hRule="exact" w:val="288"/>
          <w:jc w:val="center"/>
        </w:trPr>
        <w:tc>
          <w:tcPr>
            <w:tcW w:w="4590" w:type="dxa"/>
            <w:vMerge w:val="restart"/>
            <w:tcBorders>
              <w:top w:val="single" w:sz="4" w:space="0" w:color="auto"/>
              <w:left w:val="single" w:sz="8" w:space="0" w:color="auto"/>
              <w:bottom w:val="single" w:sz="8" w:space="0" w:color="000000"/>
              <w:right w:val="single" w:sz="8" w:space="0" w:color="auto"/>
            </w:tcBorders>
            <w:shd w:val="clear" w:color="auto" w:fill="auto"/>
            <w:vAlign w:val="center"/>
          </w:tcPr>
          <w:p w14:paraId="54A1B169" w14:textId="77777777" w:rsidR="00393AAE" w:rsidRPr="00AB34AC" w:rsidRDefault="00393AAE" w:rsidP="008D1A92">
            <w:pPr>
              <w:keepNext/>
            </w:pPr>
            <w:r>
              <w:rPr>
                <w:color w:val="000000"/>
                <w:sz w:val="22"/>
                <w:szCs w:val="22"/>
              </w:rPr>
              <w:t>Notifying c</w:t>
            </w:r>
            <w:r w:rsidRPr="006B3DCD">
              <w:rPr>
                <w:color w:val="000000"/>
                <w:sz w:val="22"/>
                <w:szCs w:val="22"/>
              </w:rPr>
              <w:t>ustomers (</w:t>
            </w:r>
            <w:r>
              <w:rPr>
                <w:color w:val="000000"/>
                <w:sz w:val="22"/>
                <w:szCs w:val="22"/>
              </w:rPr>
              <w:t>p</w:t>
            </w:r>
            <w:r w:rsidRPr="006B3DCD">
              <w:rPr>
                <w:color w:val="000000"/>
                <w:sz w:val="22"/>
                <w:szCs w:val="22"/>
              </w:rPr>
              <w:t>er SNUR)</w:t>
            </w:r>
          </w:p>
        </w:tc>
        <w:tc>
          <w:tcPr>
            <w:tcW w:w="2790"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tcPr>
          <w:p w14:paraId="5A1FDD96" w14:textId="77777777" w:rsidR="00393AAE" w:rsidRPr="00B61BA0" w:rsidRDefault="00393AAE" w:rsidP="008D1A92">
            <w:pPr>
              <w:keepNext/>
              <w:jc w:val="center"/>
              <w:rPr>
                <w:sz w:val="22"/>
                <w:szCs w:val="22"/>
              </w:rPr>
            </w:pPr>
            <w:r w:rsidRPr="00B61BA0">
              <w:rPr>
                <w:color w:val="000000"/>
                <w:sz w:val="22"/>
                <w:szCs w:val="22"/>
              </w:rPr>
              <w:t xml:space="preserve">$1,065 </w:t>
            </w:r>
          </w:p>
        </w:tc>
      </w:tr>
      <w:tr w:rsidR="00393AAE" w:rsidRPr="000E2A99" w14:paraId="28F36FDE" w14:textId="77777777" w:rsidTr="008D1A92">
        <w:trPr>
          <w:trHeight w:hRule="exact" w:val="100"/>
          <w:jc w:val="center"/>
        </w:trPr>
        <w:tc>
          <w:tcPr>
            <w:tcW w:w="4590" w:type="dxa"/>
            <w:vMerge/>
            <w:tcBorders>
              <w:top w:val="nil"/>
              <w:left w:val="single" w:sz="8" w:space="0" w:color="auto"/>
              <w:bottom w:val="single" w:sz="8" w:space="0" w:color="000000"/>
              <w:right w:val="single" w:sz="8" w:space="0" w:color="auto"/>
            </w:tcBorders>
            <w:vAlign w:val="center"/>
            <w:hideMark/>
          </w:tcPr>
          <w:p w14:paraId="65A8089A" w14:textId="77777777" w:rsidR="00393AAE" w:rsidRPr="00AB34AC" w:rsidRDefault="00393AAE" w:rsidP="008D1A92">
            <w:pPr>
              <w:widowControl/>
              <w:adjustRightInd/>
            </w:pPr>
          </w:p>
        </w:tc>
        <w:tc>
          <w:tcPr>
            <w:tcW w:w="2790" w:type="dxa"/>
            <w:vMerge/>
            <w:tcBorders>
              <w:top w:val="nil"/>
              <w:left w:val="single" w:sz="8" w:space="0" w:color="auto"/>
              <w:bottom w:val="single" w:sz="8" w:space="0" w:color="000000"/>
              <w:right w:val="single" w:sz="8" w:space="0" w:color="auto"/>
            </w:tcBorders>
            <w:vAlign w:val="center"/>
            <w:hideMark/>
          </w:tcPr>
          <w:p w14:paraId="7A5EFBEB" w14:textId="77777777" w:rsidR="00393AAE" w:rsidRPr="00AB34AC" w:rsidRDefault="00393AAE" w:rsidP="008D1A92">
            <w:pPr>
              <w:widowControl/>
              <w:adjustRightInd/>
            </w:pPr>
          </w:p>
        </w:tc>
      </w:tr>
    </w:tbl>
    <w:p w14:paraId="1E17571D"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Pr>
          <w:sz w:val="22"/>
          <w:szCs w:val="22"/>
        </w:rPr>
        <w:tab/>
      </w:r>
      <w:r w:rsidRPr="00F753E1">
        <w:rPr>
          <w:sz w:val="22"/>
          <w:szCs w:val="22"/>
        </w:rPr>
        <w:t>* Includes $</w:t>
      </w:r>
      <w:r>
        <w:rPr>
          <w:sz w:val="22"/>
          <w:szCs w:val="22"/>
        </w:rPr>
        <w:t>16,0</w:t>
      </w:r>
      <w:r w:rsidRPr="00F753E1">
        <w:rPr>
          <w:sz w:val="22"/>
          <w:szCs w:val="22"/>
        </w:rPr>
        <w:t>00 user fee per SNUN.</w:t>
      </w:r>
    </w:p>
    <w:p w14:paraId="0075C79C" w14:textId="77777777" w:rsidR="00393AAE" w:rsidRPr="00F753E1"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1775781" w14:textId="77777777" w:rsidR="00393AAE" w:rsidRDefault="00393AAE" w:rsidP="00393AAE">
      <w:pPr>
        <w:numPr>
          <w:ilvl w:val="0"/>
          <w:numId w:val="2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u w:val="single"/>
        </w:rPr>
        <w:t>Total Burden and Costs to Industry</w:t>
      </w:r>
      <w:r>
        <w:t xml:space="preserve"> </w:t>
      </w:r>
    </w:p>
    <w:p w14:paraId="1A64D3AC"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192A54"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This section provides estimates of the total burden and costs imposed by the TSCA section 5(a) requirements. These estimates can be divided into five categories: chemical verification, rule familiarization, completing and submitting SNUNs, CDX registration activities, and notifying customers.</w:t>
      </w:r>
    </w:p>
    <w:p w14:paraId="45799EE0"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5D0C05A"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total cost and burden imposed on industry by TSCA section 5(a)(2) requirements can be calculated by multiplying the unit burden and cost estimates by the expected number of SNURs, SNUNs, and firms. As noted above, this analysis assumes that EPA will promulgate 2 SNURs and receive 1 SNUN per year.</w:t>
      </w:r>
      <w:r w:rsidRPr="0044021A">
        <w:t xml:space="preserve"> </w:t>
      </w:r>
      <w:r w:rsidRPr="00611CA4">
        <w:fldChar w:fldCharType="begin"/>
      </w:r>
      <w:r w:rsidRPr="00611CA4">
        <w:instrText xml:space="preserve"> REF _Ref424061487 \h </w:instrText>
      </w:r>
      <w:r w:rsidRPr="0064544D">
        <w:instrText xml:space="preserve"> \* MERGEFORMAT </w:instrText>
      </w:r>
      <w:r w:rsidRPr="00611CA4">
        <w:fldChar w:fldCharType="separate"/>
      </w:r>
      <w:r w:rsidRPr="00101B98">
        <w:t xml:space="preserve">Table </w:t>
      </w:r>
      <w:r w:rsidRPr="00101B98">
        <w:rPr>
          <w:noProof/>
        </w:rPr>
        <w:t>10</w:t>
      </w:r>
      <w:r w:rsidRPr="00611CA4">
        <w:fldChar w:fldCharType="end"/>
      </w:r>
      <w:r>
        <w:t xml:space="preserve"> presents the annual burden and cost to industry. EPA estimates the total annual industry burden of existing chemical SNUR action is 138 hours and $</w:t>
      </w:r>
      <w:r w:rsidRPr="00E93392">
        <w:t>26,75</w:t>
      </w:r>
      <w:r>
        <w:t xml:space="preserve">2. </w:t>
      </w:r>
    </w:p>
    <w:p w14:paraId="147039C1" w14:textId="77777777" w:rsidR="00393AAE" w:rsidRPr="002806B5"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30645AA9" w14:textId="77777777" w:rsidR="00393AAE" w:rsidRPr="002806B5" w:rsidRDefault="00393AAE" w:rsidP="00393AAE">
      <w:pPr>
        <w:keepNext/>
        <w:keepLines/>
        <w:outlineLvl w:val="0"/>
        <w:rPr>
          <w:b/>
        </w:rPr>
      </w:pPr>
      <w:bookmarkStart w:id="18" w:name="_Ref424061487"/>
      <w:r w:rsidRPr="00F9765A">
        <w:rPr>
          <w:b/>
        </w:rPr>
        <w:t xml:space="preserve">Table </w:t>
      </w:r>
      <w:r>
        <w:rPr>
          <w:b/>
        </w:rPr>
        <w:fldChar w:fldCharType="begin"/>
      </w:r>
      <w:r>
        <w:rPr>
          <w:b/>
        </w:rPr>
        <w:instrText xml:space="preserve"> SEQ Table \* ARABIC </w:instrText>
      </w:r>
      <w:r>
        <w:rPr>
          <w:b/>
        </w:rPr>
        <w:fldChar w:fldCharType="separate"/>
      </w:r>
      <w:r>
        <w:rPr>
          <w:b/>
          <w:noProof/>
        </w:rPr>
        <w:t>10</w:t>
      </w:r>
      <w:r>
        <w:rPr>
          <w:b/>
        </w:rPr>
        <w:fldChar w:fldCharType="end"/>
      </w:r>
      <w:bookmarkEnd w:id="18"/>
      <w:r w:rsidRPr="002806B5">
        <w:rPr>
          <w:b/>
        </w:rPr>
        <w:t>: Estimated Annual Respondent Burden and Cost</w:t>
      </w:r>
    </w:p>
    <w:tbl>
      <w:tblPr>
        <w:tblW w:w="4944" w:type="pct"/>
        <w:jc w:val="center"/>
        <w:tblLook w:val="04A0" w:firstRow="1" w:lastRow="0" w:firstColumn="1" w:lastColumn="0" w:noHBand="0" w:noVBand="1"/>
      </w:tblPr>
      <w:tblGrid>
        <w:gridCol w:w="1857"/>
        <w:gridCol w:w="1401"/>
        <w:gridCol w:w="1458"/>
        <w:gridCol w:w="1537"/>
        <w:gridCol w:w="1515"/>
        <w:gridCol w:w="2413"/>
      </w:tblGrid>
      <w:tr w:rsidR="00393AAE" w:rsidRPr="0044021A" w14:paraId="29D81173" w14:textId="77777777" w:rsidTr="008D1A92">
        <w:trPr>
          <w:trHeight w:val="1150"/>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14F6CC0E" w14:textId="77777777" w:rsidR="00393AAE" w:rsidRPr="0044021A" w:rsidRDefault="00393AAE" w:rsidP="008D1A92">
            <w:pPr>
              <w:keepNext/>
              <w:keepLines/>
              <w:jc w:val="center"/>
              <w:rPr>
                <w:b/>
                <w:bCs/>
                <w:sz w:val="22"/>
              </w:rPr>
            </w:pPr>
            <w:r>
              <w:rPr>
                <w:b/>
                <w:bCs/>
                <w:sz w:val="22"/>
                <w:szCs w:val="22"/>
              </w:rPr>
              <w:t xml:space="preserve">Information Collection </w:t>
            </w:r>
            <w:r w:rsidRPr="0044021A">
              <w:rPr>
                <w:b/>
                <w:bCs/>
                <w:sz w:val="22"/>
                <w:szCs w:val="22"/>
              </w:rPr>
              <w:t>Activity</w:t>
            </w:r>
          </w:p>
        </w:tc>
        <w:tc>
          <w:tcPr>
            <w:tcW w:w="688" w:type="pct"/>
            <w:tcBorders>
              <w:top w:val="single" w:sz="4" w:space="0" w:color="auto"/>
              <w:left w:val="single" w:sz="4" w:space="0" w:color="auto"/>
              <w:bottom w:val="single" w:sz="4" w:space="0" w:color="auto"/>
              <w:right w:val="single" w:sz="4" w:space="0" w:color="auto"/>
            </w:tcBorders>
            <w:vAlign w:val="center"/>
            <w:hideMark/>
          </w:tcPr>
          <w:p w14:paraId="5AFEF393" w14:textId="77777777" w:rsidR="00393AAE" w:rsidRPr="0044021A" w:rsidRDefault="00393AAE" w:rsidP="008D1A92">
            <w:pPr>
              <w:keepNext/>
              <w:keepLines/>
              <w:jc w:val="center"/>
              <w:rPr>
                <w:b/>
                <w:bCs/>
                <w:sz w:val="22"/>
              </w:rPr>
            </w:pPr>
            <w:r w:rsidRPr="0044021A">
              <w:rPr>
                <w:b/>
                <w:bCs/>
                <w:sz w:val="22"/>
                <w:szCs w:val="22"/>
              </w:rPr>
              <w:t>Total Burden per Activity (hours)</w:t>
            </w:r>
          </w:p>
        </w:tc>
        <w:tc>
          <w:tcPr>
            <w:tcW w:w="716" w:type="pct"/>
            <w:tcBorders>
              <w:top w:val="single" w:sz="4" w:space="0" w:color="auto"/>
              <w:left w:val="single" w:sz="4" w:space="0" w:color="auto"/>
              <w:bottom w:val="single" w:sz="4" w:space="0" w:color="auto"/>
              <w:right w:val="single" w:sz="4" w:space="0" w:color="auto"/>
            </w:tcBorders>
            <w:vAlign w:val="center"/>
            <w:hideMark/>
          </w:tcPr>
          <w:p w14:paraId="01D33AFA" w14:textId="77777777" w:rsidR="00393AAE" w:rsidRPr="0044021A" w:rsidRDefault="00393AAE" w:rsidP="008D1A92">
            <w:pPr>
              <w:keepNext/>
              <w:keepLines/>
              <w:jc w:val="center"/>
              <w:rPr>
                <w:b/>
                <w:bCs/>
                <w:sz w:val="22"/>
              </w:rPr>
            </w:pPr>
            <w:r w:rsidRPr="0044021A">
              <w:rPr>
                <w:b/>
                <w:bCs/>
                <w:sz w:val="22"/>
                <w:szCs w:val="22"/>
              </w:rPr>
              <w:t>Total Cost per Activity</w:t>
            </w:r>
          </w:p>
          <w:p w14:paraId="1F8A43DE" w14:textId="77777777" w:rsidR="00393AAE" w:rsidRPr="0044021A" w:rsidRDefault="00393AAE" w:rsidP="008D1A92">
            <w:pPr>
              <w:keepNext/>
              <w:keepLines/>
              <w:jc w:val="center"/>
              <w:rPr>
                <w:b/>
                <w:bCs/>
                <w:sz w:val="22"/>
              </w:rPr>
            </w:pPr>
            <w:r w:rsidRPr="0044021A">
              <w:rPr>
                <w:b/>
                <w:bCs/>
                <w:sz w:val="22"/>
                <w:szCs w:val="22"/>
              </w:rPr>
              <w:t>(201</w:t>
            </w:r>
            <w:r>
              <w:rPr>
                <w:b/>
                <w:bCs/>
                <w:sz w:val="22"/>
                <w:szCs w:val="22"/>
              </w:rPr>
              <w:t>7</w:t>
            </w:r>
            <w:r w:rsidRPr="0044021A">
              <w:rPr>
                <w:b/>
                <w:bCs/>
                <w:sz w:val="22"/>
                <w:szCs w:val="22"/>
              </w:rPr>
              <w:t>$)</w:t>
            </w:r>
          </w:p>
        </w:tc>
        <w:tc>
          <w:tcPr>
            <w:tcW w:w="754" w:type="pct"/>
            <w:tcBorders>
              <w:top w:val="single" w:sz="4" w:space="0" w:color="auto"/>
              <w:left w:val="single" w:sz="4" w:space="0" w:color="auto"/>
              <w:bottom w:val="single" w:sz="4" w:space="0" w:color="auto"/>
              <w:right w:val="single" w:sz="4" w:space="0" w:color="auto"/>
            </w:tcBorders>
            <w:vAlign w:val="center"/>
          </w:tcPr>
          <w:p w14:paraId="165A5439" w14:textId="77777777" w:rsidR="00393AAE" w:rsidRPr="0044021A" w:rsidRDefault="00393AAE" w:rsidP="008D1A92">
            <w:pPr>
              <w:keepNext/>
              <w:keepLines/>
              <w:jc w:val="center"/>
              <w:rPr>
                <w:b/>
                <w:bCs/>
                <w:sz w:val="22"/>
              </w:rPr>
            </w:pPr>
            <w:r w:rsidRPr="0044021A">
              <w:rPr>
                <w:b/>
                <w:bCs/>
                <w:sz w:val="22"/>
                <w:szCs w:val="22"/>
              </w:rPr>
              <w:t>Total Number of Units</w:t>
            </w:r>
            <w:r>
              <w:rPr>
                <w:b/>
                <w:bCs/>
                <w:sz w:val="22"/>
                <w:szCs w:val="22"/>
              </w:rPr>
              <w:t xml:space="preserve"> Annually</w:t>
            </w:r>
          </w:p>
        </w:tc>
        <w:tc>
          <w:tcPr>
            <w:tcW w:w="744" w:type="pct"/>
            <w:tcBorders>
              <w:top w:val="single" w:sz="4" w:space="0" w:color="auto"/>
              <w:left w:val="single" w:sz="4" w:space="0" w:color="auto"/>
              <w:bottom w:val="single" w:sz="4" w:space="0" w:color="auto"/>
              <w:right w:val="single" w:sz="4" w:space="0" w:color="auto"/>
            </w:tcBorders>
            <w:vAlign w:val="center"/>
            <w:hideMark/>
          </w:tcPr>
          <w:p w14:paraId="225DDE82" w14:textId="77777777" w:rsidR="00393AAE" w:rsidRPr="0044021A" w:rsidRDefault="00393AAE" w:rsidP="008D1A92">
            <w:pPr>
              <w:keepNext/>
              <w:keepLines/>
              <w:jc w:val="center"/>
              <w:rPr>
                <w:b/>
                <w:bCs/>
                <w:sz w:val="22"/>
              </w:rPr>
            </w:pPr>
            <w:r w:rsidRPr="0044021A">
              <w:rPr>
                <w:b/>
                <w:bCs/>
                <w:sz w:val="22"/>
                <w:szCs w:val="22"/>
              </w:rPr>
              <w:t xml:space="preserve">Total </w:t>
            </w:r>
            <w:r>
              <w:rPr>
                <w:b/>
                <w:bCs/>
                <w:sz w:val="22"/>
                <w:szCs w:val="22"/>
              </w:rPr>
              <w:t xml:space="preserve">Annual </w:t>
            </w:r>
            <w:r w:rsidRPr="0044021A">
              <w:rPr>
                <w:b/>
                <w:bCs/>
                <w:sz w:val="22"/>
                <w:szCs w:val="22"/>
              </w:rPr>
              <w:t>Burden (hours)</w:t>
            </w:r>
          </w:p>
        </w:tc>
        <w:tc>
          <w:tcPr>
            <w:tcW w:w="1186" w:type="pct"/>
            <w:tcBorders>
              <w:top w:val="single" w:sz="4" w:space="0" w:color="auto"/>
              <w:left w:val="single" w:sz="4" w:space="0" w:color="auto"/>
              <w:bottom w:val="single" w:sz="4" w:space="0" w:color="auto"/>
              <w:right w:val="single" w:sz="4" w:space="0" w:color="auto"/>
            </w:tcBorders>
            <w:vAlign w:val="center"/>
            <w:hideMark/>
          </w:tcPr>
          <w:p w14:paraId="062DE5DD" w14:textId="77777777" w:rsidR="00393AAE" w:rsidRPr="0044021A" w:rsidRDefault="00393AAE" w:rsidP="008D1A92">
            <w:pPr>
              <w:keepNext/>
              <w:keepLines/>
              <w:jc w:val="center"/>
              <w:rPr>
                <w:b/>
                <w:bCs/>
                <w:sz w:val="22"/>
              </w:rPr>
            </w:pPr>
            <w:r w:rsidRPr="00487717">
              <w:rPr>
                <w:b/>
                <w:bCs/>
                <w:sz w:val="22"/>
                <w:szCs w:val="22"/>
              </w:rPr>
              <w:t xml:space="preserve">Total </w:t>
            </w:r>
            <w:r>
              <w:rPr>
                <w:b/>
                <w:bCs/>
                <w:sz w:val="22"/>
                <w:szCs w:val="22"/>
              </w:rPr>
              <w:t xml:space="preserve">Annual Cost </w:t>
            </w:r>
            <w:r w:rsidRPr="0044021A">
              <w:rPr>
                <w:b/>
                <w:bCs/>
                <w:sz w:val="22"/>
                <w:szCs w:val="22"/>
              </w:rPr>
              <w:t>(201</w:t>
            </w:r>
            <w:r>
              <w:rPr>
                <w:b/>
                <w:bCs/>
                <w:sz w:val="22"/>
                <w:szCs w:val="22"/>
              </w:rPr>
              <w:t>7</w:t>
            </w:r>
            <w:r w:rsidRPr="0044021A">
              <w:rPr>
                <w:b/>
                <w:bCs/>
                <w:sz w:val="22"/>
                <w:szCs w:val="22"/>
              </w:rPr>
              <w:t>$)</w:t>
            </w:r>
          </w:p>
        </w:tc>
      </w:tr>
      <w:tr w:rsidR="00393AAE" w:rsidRPr="0044021A" w14:paraId="0602F956" w14:textId="77777777" w:rsidTr="008D1A92">
        <w:trPr>
          <w:trHeight w:val="476"/>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61222B2A" w14:textId="77777777" w:rsidR="00393AAE" w:rsidRPr="0044021A" w:rsidRDefault="00393AAE" w:rsidP="008D1A92">
            <w:pPr>
              <w:keepNext/>
              <w:keepLines/>
              <w:rPr>
                <w:sz w:val="22"/>
              </w:rPr>
            </w:pPr>
            <w:r w:rsidRPr="0044021A">
              <w:rPr>
                <w:sz w:val="22"/>
                <w:szCs w:val="22"/>
              </w:rPr>
              <w:t xml:space="preserve">Rule </w:t>
            </w:r>
            <w:r>
              <w:rPr>
                <w:sz w:val="22"/>
                <w:szCs w:val="22"/>
              </w:rPr>
              <w:t>f</w:t>
            </w:r>
            <w:r w:rsidRPr="0044021A">
              <w:rPr>
                <w:sz w:val="22"/>
                <w:szCs w:val="22"/>
              </w:rPr>
              <w:t xml:space="preserve">amiliarization (per </w:t>
            </w:r>
            <w:r>
              <w:rPr>
                <w:sz w:val="22"/>
                <w:szCs w:val="22"/>
              </w:rPr>
              <w:t>f</w:t>
            </w:r>
            <w:r w:rsidRPr="0044021A">
              <w:rPr>
                <w:sz w:val="22"/>
                <w:szCs w:val="22"/>
              </w:rPr>
              <w:t>irm)</w:t>
            </w:r>
          </w:p>
        </w:tc>
        <w:tc>
          <w:tcPr>
            <w:tcW w:w="688" w:type="pct"/>
            <w:tcBorders>
              <w:top w:val="single" w:sz="4" w:space="0" w:color="auto"/>
              <w:left w:val="nil"/>
              <w:bottom w:val="single" w:sz="4" w:space="0" w:color="auto"/>
              <w:right w:val="single" w:sz="4" w:space="0" w:color="auto"/>
            </w:tcBorders>
            <w:vAlign w:val="center"/>
            <w:hideMark/>
          </w:tcPr>
          <w:p w14:paraId="76DEC18C" w14:textId="77777777" w:rsidR="00393AAE" w:rsidRPr="0044021A" w:rsidRDefault="00393AAE" w:rsidP="008D1A92">
            <w:pPr>
              <w:keepNext/>
              <w:keepLines/>
              <w:jc w:val="center"/>
              <w:rPr>
                <w:sz w:val="22"/>
              </w:rPr>
            </w:pPr>
            <w:r>
              <w:rPr>
                <w:color w:val="000000"/>
                <w:sz w:val="22"/>
                <w:szCs w:val="22"/>
              </w:rPr>
              <w:t>0.82</w:t>
            </w:r>
          </w:p>
        </w:tc>
        <w:tc>
          <w:tcPr>
            <w:tcW w:w="716" w:type="pct"/>
            <w:tcBorders>
              <w:top w:val="single" w:sz="4" w:space="0" w:color="auto"/>
              <w:left w:val="nil"/>
              <w:bottom w:val="single" w:sz="4" w:space="0" w:color="auto"/>
              <w:right w:val="single" w:sz="4" w:space="0" w:color="auto"/>
            </w:tcBorders>
            <w:vAlign w:val="center"/>
            <w:hideMark/>
          </w:tcPr>
          <w:p w14:paraId="5AB40926" w14:textId="77777777" w:rsidR="00393AAE" w:rsidRPr="0044021A" w:rsidRDefault="00393AAE" w:rsidP="008D1A92">
            <w:pPr>
              <w:keepNext/>
              <w:keepLines/>
              <w:jc w:val="center"/>
              <w:rPr>
                <w:sz w:val="22"/>
              </w:rPr>
            </w:pPr>
            <w:r>
              <w:rPr>
                <w:color w:val="000000"/>
                <w:sz w:val="22"/>
                <w:szCs w:val="22"/>
              </w:rPr>
              <w:t xml:space="preserve">$63.31 </w:t>
            </w:r>
          </w:p>
        </w:tc>
        <w:tc>
          <w:tcPr>
            <w:tcW w:w="754" w:type="pct"/>
            <w:tcBorders>
              <w:top w:val="single" w:sz="4" w:space="0" w:color="auto"/>
              <w:left w:val="nil"/>
              <w:bottom w:val="single" w:sz="4" w:space="0" w:color="auto"/>
              <w:right w:val="single" w:sz="4" w:space="0" w:color="auto"/>
            </w:tcBorders>
            <w:vAlign w:val="center"/>
          </w:tcPr>
          <w:p w14:paraId="47CFE938" w14:textId="77777777" w:rsidR="00393AAE" w:rsidRPr="0044021A" w:rsidRDefault="00393AAE" w:rsidP="008D1A92">
            <w:pPr>
              <w:keepNext/>
              <w:keepLines/>
              <w:jc w:val="center"/>
              <w:rPr>
                <w:sz w:val="22"/>
              </w:rPr>
            </w:pPr>
            <w:r>
              <w:rPr>
                <w:color w:val="000000"/>
                <w:sz w:val="22"/>
                <w:szCs w:val="22"/>
              </w:rPr>
              <w:t>4.67 Firms</w:t>
            </w:r>
          </w:p>
        </w:tc>
        <w:tc>
          <w:tcPr>
            <w:tcW w:w="744" w:type="pct"/>
            <w:tcBorders>
              <w:top w:val="single" w:sz="4" w:space="0" w:color="auto"/>
              <w:left w:val="single" w:sz="4" w:space="0" w:color="auto"/>
              <w:bottom w:val="single" w:sz="4" w:space="0" w:color="auto"/>
              <w:right w:val="single" w:sz="4" w:space="0" w:color="auto"/>
            </w:tcBorders>
            <w:noWrap/>
            <w:vAlign w:val="center"/>
            <w:hideMark/>
          </w:tcPr>
          <w:p w14:paraId="0E32F133" w14:textId="77777777" w:rsidR="00393AAE" w:rsidRPr="00F169A9" w:rsidRDefault="00393AAE" w:rsidP="008D1A92">
            <w:pPr>
              <w:keepNext/>
              <w:keepLines/>
              <w:jc w:val="center"/>
              <w:rPr>
                <w:b/>
                <w:sz w:val="22"/>
              </w:rPr>
            </w:pPr>
            <w:r>
              <w:rPr>
                <w:color w:val="000000"/>
                <w:sz w:val="22"/>
                <w:szCs w:val="22"/>
              </w:rPr>
              <w:t>3.81</w:t>
            </w:r>
          </w:p>
        </w:tc>
        <w:tc>
          <w:tcPr>
            <w:tcW w:w="1186" w:type="pct"/>
            <w:tcBorders>
              <w:top w:val="single" w:sz="4" w:space="0" w:color="auto"/>
              <w:left w:val="single" w:sz="4" w:space="0" w:color="auto"/>
              <w:bottom w:val="single" w:sz="4" w:space="0" w:color="auto"/>
              <w:right w:val="single" w:sz="4" w:space="0" w:color="auto"/>
            </w:tcBorders>
            <w:vAlign w:val="center"/>
            <w:hideMark/>
          </w:tcPr>
          <w:p w14:paraId="535BDB90" w14:textId="77777777" w:rsidR="00393AAE" w:rsidRPr="00F169A9" w:rsidRDefault="00393AAE" w:rsidP="008D1A92">
            <w:pPr>
              <w:keepNext/>
              <w:keepLines/>
              <w:jc w:val="center"/>
              <w:rPr>
                <w:b/>
                <w:sz w:val="22"/>
              </w:rPr>
            </w:pPr>
            <w:r>
              <w:rPr>
                <w:color w:val="000000"/>
                <w:sz w:val="22"/>
                <w:szCs w:val="22"/>
              </w:rPr>
              <w:t xml:space="preserve">$296 </w:t>
            </w:r>
          </w:p>
        </w:tc>
      </w:tr>
      <w:tr w:rsidR="00393AAE" w:rsidRPr="0044021A" w14:paraId="25FAD7BB" w14:textId="77777777" w:rsidTr="008D1A92">
        <w:trPr>
          <w:trHeight w:val="476"/>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3B23F970" w14:textId="77777777" w:rsidR="00393AAE" w:rsidRPr="0044021A" w:rsidRDefault="00393AAE" w:rsidP="008D1A92">
            <w:pPr>
              <w:keepNext/>
              <w:keepLines/>
              <w:rPr>
                <w:sz w:val="22"/>
              </w:rPr>
            </w:pPr>
            <w:r w:rsidRPr="0044021A">
              <w:rPr>
                <w:sz w:val="22"/>
                <w:szCs w:val="22"/>
              </w:rPr>
              <w:t xml:space="preserve">Preparation, </w:t>
            </w:r>
            <w:r>
              <w:rPr>
                <w:sz w:val="22"/>
                <w:szCs w:val="22"/>
              </w:rPr>
              <w:t>s</w:t>
            </w:r>
            <w:r w:rsidRPr="0044021A">
              <w:rPr>
                <w:sz w:val="22"/>
                <w:szCs w:val="22"/>
              </w:rPr>
              <w:t xml:space="preserve">ubmission, and </w:t>
            </w:r>
            <w:r>
              <w:rPr>
                <w:sz w:val="22"/>
                <w:szCs w:val="22"/>
              </w:rPr>
              <w:t>r</w:t>
            </w:r>
            <w:r w:rsidRPr="0044021A">
              <w:rPr>
                <w:sz w:val="22"/>
                <w:szCs w:val="22"/>
              </w:rPr>
              <w:t xml:space="preserve">ecordkeeping for SNUN (per </w:t>
            </w:r>
            <w:r>
              <w:rPr>
                <w:sz w:val="22"/>
                <w:szCs w:val="22"/>
              </w:rPr>
              <w:t>r</w:t>
            </w:r>
            <w:r w:rsidRPr="0044021A">
              <w:rPr>
                <w:sz w:val="22"/>
                <w:szCs w:val="22"/>
              </w:rPr>
              <w:t>eport)</w:t>
            </w:r>
          </w:p>
        </w:tc>
        <w:tc>
          <w:tcPr>
            <w:tcW w:w="688" w:type="pct"/>
            <w:tcBorders>
              <w:top w:val="single" w:sz="4" w:space="0" w:color="auto"/>
              <w:left w:val="nil"/>
              <w:bottom w:val="single" w:sz="4" w:space="0" w:color="auto"/>
              <w:right w:val="single" w:sz="4" w:space="0" w:color="auto"/>
            </w:tcBorders>
            <w:vAlign w:val="center"/>
            <w:hideMark/>
          </w:tcPr>
          <w:p w14:paraId="6E250312" w14:textId="77777777" w:rsidR="00393AAE" w:rsidRPr="0044021A" w:rsidRDefault="00393AAE" w:rsidP="008D1A92">
            <w:pPr>
              <w:keepNext/>
              <w:keepLines/>
              <w:jc w:val="center"/>
              <w:rPr>
                <w:sz w:val="22"/>
              </w:rPr>
            </w:pPr>
            <w:r>
              <w:rPr>
                <w:color w:val="000000"/>
                <w:sz w:val="22"/>
                <w:szCs w:val="22"/>
              </w:rPr>
              <w:t>91.68</w:t>
            </w:r>
          </w:p>
        </w:tc>
        <w:tc>
          <w:tcPr>
            <w:tcW w:w="716" w:type="pct"/>
            <w:tcBorders>
              <w:top w:val="single" w:sz="4" w:space="0" w:color="auto"/>
              <w:left w:val="nil"/>
              <w:bottom w:val="single" w:sz="4" w:space="0" w:color="auto"/>
              <w:right w:val="single" w:sz="4" w:space="0" w:color="auto"/>
            </w:tcBorders>
            <w:vAlign w:val="center"/>
            <w:hideMark/>
          </w:tcPr>
          <w:p w14:paraId="1CF3AB06" w14:textId="77777777" w:rsidR="00393AAE" w:rsidRPr="0044021A" w:rsidRDefault="00393AAE" w:rsidP="008D1A92">
            <w:pPr>
              <w:keepNext/>
              <w:keepLines/>
              <w:jc w:val="center"/>
              <w:rPr>
                <w:sz w:val="22"/>
              </w:rPr>
            </w:pPr>
            <w:r>
              <w:rPr>
                <w:color w:val="000000"/>
                <w:sz w:val="22"/>
                <w:szCs w:val="22"/>
              </w:rPr>
              <w:t xml:space="preserve">$23,123 </w:t>
            </w:r>
          </w:p>
        </w:tc>
        <w:tc>
          <w:tcPr>
            <w:tcW w:w="754" w:type="pct"/>
            <w:tcBorders>
              <w:top w:val="single" w:sz="4" w:space="0" w:color="auto"/>
              <w:left w:val="nil"/>
              <w:bottom w:val="single" w:sz="4" w:space="0" w:color="auto"/>
              <w:right w:val="single" w:sz="4" w:space="0" w:color="auto"/>
            </w:tcBorders>
            <w:vAlign w:val="center"/>
          </w:tcPr>
          <w:p w14:paraId="4AF4C4CB" w14:textId="77777777" w:rsidR="00393AAE" w:rsidRPr="00AB34AC" w:rsidRDefault="00393AAE" w:rsidP="008D1A92">
            <w:pPr>
              <w:keepNext/>
              <w:keepLines/>
              <w:jc w:val="center"/>
              <w:rPr>
                <w:sz w:val="22"/>
              </w:rPr>
            </w:pPr>
            <w:r>
              <w:rPr>
                <w:color w:val="000000"/>
                <w:sz w:val="22"/>
                <w:szCs w:val="22"/>
              </w:rPr>
              <w:t>1 SNUN</w:t>
            </w:r>
          </w:p>
        </w:tc>
        <w:tc>
          <w:tcPr>
            <w:tcW w:w="744" w:type="pct"/>
            <w:tcBorders>
              <w:top w:val="single" w:sz="4" w:space="0" w:color="auto"/>
              <w:left w:val="single" w:sz="4" w:space="0" w:color="auto"/>
              <w:bottom w:val="single" w:sz="4" w:space="0" w:color="auto"/>
              <w:right w:val="single" w:sz="4" w:space="0" w:color="auto"/>
            </w:tcBorders>
            <w:noWrap/>
            <w:vAlign w:val="center"/>
            <w:hideMark/>
          </w:tcPr>
          <w:p w14:paraId="2B2E81C1" w14:textId="77777777" w:rsidR="00393AAE" w:rsidRPr="00CE4140" w:rsidRDefault="00393AAE" w:rsidP="008D1A92">
            <w:pPr>
              <w:keepNext/>
              <w:keepLines/>
              <w:jc w:val="center"/>
              <w:rPr>
                <w:b/>
                <w:sz w:val="22"/>
              </w:rPr>
            </w:pPr>
            <w:r>
              <w:rPr>
                <w:color w:val="000000"/>
                <w:sz w:val="22"/>
                <w:szCs w:val="22"/>
              </w:rPr>
              <w:t>91.68</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2349312" w14:textId="77777777" w:rsidR="00393AAE" w:rsidRPr="00CE4140" w:rsidRDefault="00393AAE" w:rsidP="008D1A92">
            <w:pPr>
              <w:keepNext/>
              <w:keepLines/>
              <w:jc w:val="center"/>
              <w:rPr>
                <w:b/>
                <w:sz w:val="22"/>
              </w:rPr>
            </w:pPr>
            <w:r>
              <w:rPr>
                <w:color w:val="000000"/>
                <w:sz w:val="22"/>
                <w:szCs w:val="22"/>
              </w:rPr>
              <w:t xml:space="preserve">$23,123 </w:t>
            </w:r>
          </w:p>
        </w:tc>
      </w:tr>
      <w:tr w:rsidR="00393AAE" w:rsidRPr="0044021A" w14:paraId="73D522F1" w14:textId="77777777" w:rsidTr="008D1A92">
        <w:trPr>
          <w:trHeight w:val="476"/>
          <w:jc w:val="center"/>
        </w:trPr>
        <w:tc>
          <w:tcPr>
            <w:tcW w:w="912" w:type="pct"/>
            <w:tcBorders>
              <w:top w:val="single" w:sz="4" w:space="0" w:color="auto"/>
              <w:left w:val="single" w:sz="4" w:space="0" w:color="auto"/>
              <w:bottom w:val="single" w:sz="4" w:space="0" w:color="auto"/>
              <w:right w:val="single" w:sz="4" w:space="0" w:color="auto"/>
            </w:tcBorders>
            <w:vAlign w:val="center"/>
          </w:tcPr>
          <w:p w14:paraId="2332F1A2" w14:textId="77777777" w:rsidR="00393AAE" w:rsidRPr="00E740FA" w:rsidRDefault="00393AAE" w:rsidP="008D1A92">
            <w:pPr>
              <w:keepNext/>
              <w:keepLines/>
              <w:rPr>
                <w:sz w:val="22"/>
              </w:rPr>
            </w:pPr>
            <w:r>
              <w:rPr>
                <w:sz w:val="22"/>
                <w:szCs w:val="22"/>
              </w:rPr>
              <w:t>CDX registration, electronic signature, Pay.gov set-up (per firm)</w:t>
            </w:r>
          </w:p>
        </w:tc>
        <w:tc>
          <w:tcPr>
            <w:tcW w:w="688" w:type="pct"/>
            <w:tcBorders>
              <w:top w:val="single" w:sz="4" w:space="0" w:color="auto"/>
              <w:left w:val="nil"/>
              <w:bottom w:val="single" w:sz="4" w:space="0" w:color="auto"/>
              <w:right w:val="single" w:sz="4" w:space="0" w:color="auto"/>
            </w:tcBorders>
            <w:vAlign w:val="center"/>
          </w:tcPr>
          <w:p w14:paraId="746C9F60" w14:textId="77777777" w:rsidR="00393AAE" w:rsidRPr="0044021A" w:rsidRDefault="00393AAE" w:rsidP="008D1A92">
            <w:pPr>
              <w:keepNext/>
              <w:keepLines/>
              <w:jc w:val="center"/>
              <w:rPr>
                <w:color w:val="000000"/>
                <w:sz w:val="22"/>
              </w:rPr>
            </w:pPr>
            <w:r>
              <w:rPr>
                <w:color w:val="000000"/>
                <w:sz w:val="22"/>
                <w:szCs w:val="22"/>
              </w:rPr>
              <w:t>2.80</w:t>
            </w:r>
          </w:p>
        </w:tc>
        <w:tc>
          <w:tcPr>
            <w:tcW w:w="716" w:type="pct"/>
            <w:tcBorders>
              <w:top w:val="single" w:sz="4" w:space="0" w:color="auto"/>
              <w:left w:val="nil"/>
              <w:bottom w:val="single" w:sz="4" w:space="0" w:color="auto"/>
              <w:right w:val="single" w:sz="4" w:space="0" w:color="auto"/>
            </w:tcBorders>
            <w:vAlign w:val="center"/>
          </w:tcPr>
          <w:p w14:paraId="062B29AD" w14:textId="77777777" w:rsidR="00393AAE" w:rsidRPr="0044021A" w:rsidRDefault="00393AAE" w:rsidP="008D1A92">
            <w:pPr>
              <w:keepNext/>
              <w:keepLines/>
              <w:jc w:val="center"/>
              <w:rPr>
                <w:color w:val="000000"/>
                <w:sz w:val="22"/>
              </w:rPr>
            </w:pPr>
            <w:r>
              <w:rPr>
                <w:color w:val="000000"/>
                <w:sz w:val="22"/>
                <w:szCs w:val="22"/>
              </w:rPr>
              <w:t xml:space="preserve">$220 </w:t>
            </w:r>
          </w:p>
        </w:tc>
        <w:tc>
          <w:tcPr>
            <w:tcW w:w="754" w:type="pct"/>
            <w:tcBorders>
              <w:top w:val="single" w:sz="4" w:space="0" w:color="auto"/>
              <w:left w:val="nil"/>
              <w:bottom w:val="single" w:sz="4" w:space="0" w:color="auto"/>
              <w:right w:val="single" w:sz="4" w:space="0" w:color="auto"/>
            </w:tcBorders>
            <w:vAlign w:val="center"/>
          </w:tcPr>
          <w:p w14:paraId="40EA98CE" w14:textId="77777777" w:rsidR="00393AAE" w:rsidRPr="0044021A" w:rsidRDefault="00393AAE" w:rsidP="008D1A92">
            <w:pPr>
              <w:keepNext/>
              <w:keepLines/>
              <w:jc w:val="center"/>
              <w:rPr>
                <w:sz w:val="22"/>
              </w:rPr>
            </w:pPr>
            <w:r>
              <w:rPr>
                <w:color w:val="000000"/>
                <w:sz w:val="22"/>
                <w:szCs w:val="22"/>
              </w:rPr>
              <w:t>4.67 Firms</w:t>
            </w:r>
          </w:p>
        </w:tc>
        <w:tc>
          <w:tcPr>
            <w:tcW w:w="744" w:type="pct"/>
            <w:tcBorders>
              <w:top w:val="single" w:sz="4" w:space="0" w:color="auto"/>
              <w:left w:val="single" w:sz="4" w:space="0" w:color="auto"/>
              <w:bottom w:val="single" w:sz="4" w:space="0" w:color="auto"/>
              <w:right w:val="single" w:sz="4" w:space="0" w:color="auto"/>
            </w:tcBorders>
            <w:noWrap/>
            <w:vAlign w:val="center"/>
          </w:tcPr>
          <w:p w14:paraId="02F4F134" w14:textId="77777777" w:rsidR="00393AAE" w:rsidRPr="00F169A9" w:rsidRDefault="00393AAE" w:rsidP="008D1A92">
            <w:pPr>
              <w:keepNext/>
              <w:keepLines/>
              <w:jc w:val="center"/>
              <w:rPr>
                <w:b/>
                <w:sz w:val="22"/>
              </w:rPr>
            </w:pPr>
            <w:r>
              <w:rPr>
                <w:color w:val="000000"/>
                <w:sz w:val="22"/>
                <w:szCs w:val="22"/>
              </w:rPr>
              <w:t>13.08</w:t>
            </w:r>
          </w:p>
        </w:tc>
        <w:tc>
          <w:tcPr>
            <w:tcW w:w="1186" w:type="pct"/>
            <w:tcBorders>
              <w:top w:val="single" w:sz="4" w:space="0" w:color="auto"/>
              <w:left w:val="single" w:sz="4" w:space="0" w:color="auto"/>
              <w:bottom w:val="single" w:sz="4" w:space="0" w:color="auto"/>
              <w:right w:val="single" w:sz="4" w:space="0" w:color="auto"/>
            </w:tcBorders>
            <w:vAlign w:val="center"/>
          </w:tcPr>
          <w:p w14:paraId="09D60D9E" w14:textId="77777777" w:rsidR="00393AAE" w:rsidRPr="00F169A9" w:rsidRDefault="00393AAE" w:rsidP="008D1A92">
            <w:pPr>
              <w:keepNext/>
              <w:keepLines/>
              <w:jc w:val="center"/>
              <w:rPr>
                <w:b/>
                <w:sz w:val="22"/>
              </w:rPr>
            </w:pPr>
            <w:r>
              <w:rPr>
                <w:color w:val="000000"/>
                <w:sz w:val="22"/>
                <w:szCs w:val="22"/>
              </w:rPr>
              <w:t xml:space="preserve">$1,026 </w:t>
            </w:r>
          </w:p>
        </w:tc>
      </w:tr>
      <w:tr w:rsidR="00393AAE" w:rsidRPr="0044021A" w14:paraId="4E8ECD14" w14:textId="77777777" w:rsidTr="008D1A92">
        <w:trPr>
          <w:trHeight w:val="1013"/>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52AA5F64" w14:textId="77777777" w:rsidR="00393AAE" w:rsidRPr="0044021A" w:rsidRDefault="00393AAE" w:rsidP="008D1A92">
            <w:pPr>
              <w:keepNext/>
              <w:keepLines/>
              <w:rPr>
                <w:sz w:val="22"/>
              </w:rPr>
            </w:pPr>
            <w:r w:rsidRPr="0044021A">
              <w:rPr>
                <w:color w:val="000000"/>
                <w:sz w:val="22"/>
                <w:szCs w:val="22"/>
              </w:rPr>
              <w:t xml:space="preserve">Chemical </w:t>
            </w:r>
            <w:r>
              <w:rPr>
                <w:color w:val="000000"/>
                <w:sz w:val="22"/>
                <w:szCs w:val="22"/>
              </w:rPr>
              <w:t>v</w:t>
            </w:r>
            <w:r w:rsidRPr="0044021A">
              <w:rPr>
                <w:color w:val="000000"/>
                <w:sz w:val="22"/>
                <w:szCs w:val="22"/>
              </w:rPr>
              <w:t>erification (per SNUR)</w:t>
            </w:r>
          </w:p>
        </w:tc>
        <w:tc>
          <w:tcPr>
            <w:tcW w:w="688" w:type="pct"/>
            <w:tcBorders>
              <w:top w:val="single" w:sz="4" w:space="0" w:color="auto"/>
              <w:left w:val="nil"/>
              <w:bottom w:val="single" w:sz="4" w:space="0" w:color="auto"/>
              <w:right w:val="single" w:sz="4" w:space="0" w:color="auto"/>
            </w:tcBorders>
            <w:vAlign w:val="center"/>
            <w:hideMark/>
          </w:tcPr>
          <w:p w14:paraId="6D1A66F4" w14:textId="77777777" w:rsidR="00393AAE" w:rsidRPr="0044021A" w:rsidRDefault="00393AAE" w:rsidP="008D1A92">
            <w:pPr>
              <w:keepNext/>
              <w:keepLines/>
              <w:jc w:val="center"/>
              <w:rPr>
                <w:sz w:val="22"/>
              </w:rPr>
            </w:pPr>
            <w:r>
              <w:rPr>
                <w:color w:val="000000"/>
                <w:sz w:val="22"/>
                <w:szCs w:val="22"/>
              </w:rPr>
              <w:t>1.14</w:t>
            </w:r>
          </w:p>
        </w:tc>
        <w:tc>
          <w:tcPr>
            <w:tcW w:w="716" w:type="pct"/>
            <w:tcBorders>
              <w:top w:val="single" w:sz="4" w:space="0" w:color="auto"/>
              <w:left w:val="nil"/>
              <w:bottom w:val="single" w:sz="4" w:space="0" w:color="auto"/>
              <w:right w:val="single" w:sz="4" w:space="0" w:color="auto"/>
            </w:tcBorders>
            <w:vAlign w:val="center"/>
            <w:hideMark/>
          </w:tcPr>
          <w:p w14:paraId="28EC8080" w14:textId="77777777" w:rsidR="00393AAE" w:rsidRPr="0044021A" w:rsidRDefault="00393AAE" w:rsidP="008D1A92">
            <w:pPr>
              <w:keepNext/>
              <w:keepLines/>
              <w:jc w:val="center"/>
              <w:rPr>
                <w:sz w:val="22"/>
              </w:rPr>
            </w:pPr>
            <w:r>
              <w:rPr>
                <w:color w:val="000000"/>
                <w:sz w:val="22"/>
                <w:szCs w:val="22"/>
              </w:rPr>
              <w:t xml:space="preserve">$88.77 </w:t>
            </w:r>
          </w:p>
        </w:tc>
        <w:tc>
          <w:tcPr>
            <w:tcW w:w="754" w:type="pct"/>
            <w:tcBorders>
              <w:top w:val="single" w:sz="4" w:space="0" w:color="auto"/>
              <w:left w:val="nil"/>
              <w:bottom w:val="single" w:sz="4" w:space="0" w:color="auto"/>
              <w:right w:val="single" w:sz="4" w:space="0" w:color="auto"/>
            </w:tcBorders>
            <w:vAlign w:val="center"/>
          </w:tcPr>
          <w:p w14:paraId="140A6AAC" w14:textId="77777777" w:rsidR="00393AAE" w:rsidRPr="0044021A" w:rsidRDefault="00393AAE" w:rsidP="008D1A92">
            <w:pPr>
              <w:keepNext/>
              <w:keepLines/>
              <w:jc w:val="center"/>
              <w:rPr>
                <w:sz w:val="22"/>
              </w:rPr>
            </w:pPr>
            <w:r>
              <w:rPr>
                <w:color w:val="000000"/>
                <w:sz w:val="22"/>
                <w:szCs w:val="22"/>
              </w:rPr>
              <w:t>2 SNURs</w:t>
            </w:r>
          </w:p>
        </w:tc>
        <w:tc>
          <w:tcPr>
            <w:tcW w:w="744" w:type="pct"/>
            <w:tcBorders>
              <w:top w:val="single" w:sz="4" w:space="0" w:color="auto"/>
              <w:left w:val="single" w:sz="4" w:space="0" w:color="auto"/>
              <w:bottom w:val="single" w:sz="4" w:space="0" w:color="auto"/>
              <w:right w:val="single" w:sz="4" w:space="0" w:color="auto"/>
            </w:tcBorders>
            <w:noWrap/>
            <w:vAlign w:val="center"/>
            <w:hideMark/>
          </w:tcPr>
          <w:p w14:paraId="6EAAF67D" w14:textId="77777777" w:rsidR="00393AAE" w:rsidRPr="00F169A9" w:rsidRDefault="00393AAE" w:rsidP="008D1A92">
            <w:pPr>
              <w:keepNext/>
              <w:keepLines/>
              <w:jc w:val="center"/>
              <w:rPr>
                <w:b/>
                <w:sz w:val="22"/>
              </w:rPr>
            </w:pPr>
            <w:r>
              <w:rPr>
                <w:color w:val="000000"/>
                <w:sz w:val="22"/>
                <w:szCs w:val="22"/>
              </w:rPr>
              <w:t>2.28</w:t>
            </w:r>
          </w:p>
        </w:tc>
        <w:tc>
          <w:tcPr>
            <w:tcW w:w="1186" w:type="pct"/>
            <w:tcBorders>
              <w:top w:val="single" w:sz="4" w:space="0" w:color="auto"/>
              <w:left w:val="single" w:sz="4" w:space="0" w:color="auto"/>
              <w:right w:val="single" w:sz="4" w:space="0" w:color="auto"/>
            </w:tcBorders>
            <w:vAlign w:val="center"/>
            <w:hideMark/>
          </w:tcPr>
          <w:p w14:paraId="2FBF077B" w14:textId="77777777" w:rsidR="00393AAE" w:rsidRPr="00F169A9" w:rsidRDefault="00393AAE" w:rsidP="008D1A92">
            <w:pPr>
              <w:keepNext/>
              <w:keepLines/>
              <w:jc w:val="center"/>
              <w:rPr>
                <w:b/>
                <w:sz w:val="22"/>
              </w:rPr>
            </w:pPr>
            <w:r>
              <w:rPr>
                <w:color w:val="000000"/>
                <w:sz w:val="22"/>
                <w:szCs w:val="22"/>
              </w:rPr>
              <w:t xml:space="preserve">$178 </w:t>
            </w:r>
          </w:p>
        </w:tc>
      </w:tr>
      <w:tr w:rsidR="00393AAE" w:rsidRPr="0044021A" w14:paraId="4EF033E7" w14:textId="77777777" w:rsidTr="008D1A92">
        <w:trPr>
          <w:trHeight w:val="510"/>
          <w:jc w:val="center"/>
        </w:trPr>
        <w:tc>
          <w:tcPr>
            <w:tcW w:w="912" w:type="pct"/>
            <w:tcBorders>
              <w:top w:val="single" w:sz="4" w:space="0" w:color="auto"/>
              <w:left w:val="single" w:sz="4" w:space="0" w:color="auto"/>
              <w:bottom w:val="single" w:sz="4" w:space="0" w:color="auto"/>
              <w:right w:val="single" w:sz="4" w:space="0" w:color="auto"/>
            </w:tcBorders>
            <w:vAlign w:val="center"/>
            <w:hideMark/>
          </w:tcPr>
          <w:p w14:paraId="575E5879" w14:textId="77777777" w:rsidR="00393AAE" w:rsidRPr="0044021A" w:rsidRDefault="00393AAE" w:rsidP="008D1A92">
            <w:pPr>
              <w:keepNext/>
              <w:keepLines/>
              <w:rPr>
                <w:sz w:val="22"/>
              </w:rPr>
            </w:pPr>
            <w:r>
              <w:rPr>
                <w:color w:val="000000"/>
                <w:sz w:val="22"/>
                <w:szCs w:val="22"/>
              </w:rPr>
              <w:t>Notifying c</w:t>
            </w:r>
            <w:r w:rsidRPr="0044021A">
              <w:rPr>
                <w:color w:val="000000"/>
                <w:sz w:val="22"/>
                <w:szCs w:val="22"/>
              </w:rPr>
              <w:t>ustomers (</w:t>
            </w:r>
            <w:r>
              <w:rPr>
                <w:color w:val="000000"/>
                <w:sz w:val="22"/>
                <w:szCs w:val="22"/>
              </w:rPr>
              <w:t>p</w:t>
            </w:r>
            <w:r w:rsidRPr="0044021A">
              <w:rPr>
                <w:color w:val="000000"/>
                <w:sz w:val="22"/>
                <w:szCs w:val="22"/>
              </w:rPr>
              <w:t>er SNUR)</w:t>
            </w:r>
          </w:p>
        </w:tc>
        <w:tc>
          <w:tcPr>
            <w:tcW w:w="688" w:type="pct"/>
            <w:tcBorders>
              <w:top w:val="single" w:sz="4" w:space="0" w:color="auto"/>
              <w:left w:val="nil"/>
              <w:bottom w:val="single" w:sz="4" w:space="0" w:color="auto"/>
              <w:right w:val="single" w:sz="4" w:space="0" w:color="auto"/>
            </w:tcBorders>
            <w:vAlign w:val="center"/>
            <w:hideMark/>
          </w:tcPr>
          <w:p w14:paraId="5974FC7D" w14:textId="77777777" w:rsidR="00393AAE" w:rsidRPr="0044021A" w:rsidRDefault="00393AAE" w:rsidP="008D1A92">
            <w:pPr>
              <w:keepNext/>
              <w:keepLines/>
              <w:jc w:val="center"/>
              <w:rPr>
                <w:sz w:val="22"/>
              </w:rPr>
            </w:pPr>
            <w:r>
              <w:rPr>
                <w:color w:val="000000"/>
                <w:sz w:val="22"/>
                <w:szCs w:val="22"/>
              </w:rPr>
              <w:t>13.67</w:t>
            </w:r>
          </w:p>
        </w:tc>
        <w:tc>
          <w:tcPr>
            <w:tcW w:w="716" w:type="pct"/>
            <w:tcBorders>
              <w:top w:val="single" w:sz="4" w:space="0" w:color="auto"/>
              <w:left w:val="nil"/>
              <w:bottom w:val="single" w:sz="4" w:space="0" w:color="auto"/>
              <w:right w:val="single" w:sz="4" w:space="0" w:color="auto"/>
            </w:tcBorders>
            <w:vAlign w:val="center"/>
            <w:hideMark/>
          </w:tcPr>
          <w:p w14:paraId="78071BC7" w14:textId="77777777" w:rsidR="00393AAE" w:rsidRPr="0044021A" w:rsidRDefault="00393AAE" w:rsidP="008D1A92">
            <w:pPr>
              <w:keepNext/>
              <w:keepLines/>
              <w:jc w:val="center"/>
              <w:rPr>
                <w:sz w:val="22"/>
              </w:rPr>
            </w:pPr>
            <w:r>
              <w:rPr>
                <w:color w:val="000000"/>
                <w:sz w:val="22"/>
                <w:szCs w:val="22"/>
              </w:rPr>
              <w:t xml:space="preserve">$1,065 </w:t>
            </w:r>
          </w:p>
        </w:tc>
        <w:tc>
          <w:tcPr>
            <w:tcW w:w="754" w:type="pct"/>
            <w:tcBorders>
              <w:top w:val="single" w:sz="4" w:space="0" w:color="auto"/>
              <w:left w:val="nil"/>
              <w:bottom w:val="single" w:sz="4" w:space="0" w:color="auto"/>
              <w:right w:val="single" w:sz="4" w:space="0" w:color="auto"/>
            </w:tcBorders>
            <w:vAlign w:val="center"/>
          </w:tcPr>
          <w:p w14:paraId="43C18F5D" w14:textId="77777777" w:rsidR="00393AAE" w:rsidRPr="0044021A" w:rsidRDefault="00393AAE" w:rsidP="008D1A92">
            <w:pPr>
              <w:keepNext/>
              <w:keepLines/>
              <w:jc w:val="center"/>
              <w:rPr>
                <w:sz w:val="22"/>
              </w:rPr>
            </w:pPr>
            <w:r>
              <w:rPr>
                <w:color w:val="000000"/>
                <w:sz w:val="22"/>
                <w:szCs w:val="22"/>
              </w:rPr>
              <w:t>2 SNURs</w:t>
            </w:r>
          </w:p>
        </w:tc>
        <w:tc>
          <w:tcPr>
            <w:tcW w:w="744" w:type="pct"/>
            <w:tcBorders>
              <w:top w:val="single" w:sz="4" w:space="0" w:color="auto"/>
              <w:left w:val="single" w:sz="4" w:space="0" w:color="auto"/>
              <w:bottom w:val="single" w:sz="4" w:space="0" w:color="auto"/>
              <w:right w:val="single" w:sz="4" w:space="0" w:color="auto"/>
            </w:tcBorders>
            <w:noWrap/>
            <w:vAlign w:val="center"/>
            <w:hideMark/>
          </w:tcPr>
          <w:p w14:paraId="73A5B62D" w14:textId="77777777" w:rsidR="00393AAE" w:rsidRPr="00F169A9" w:rsidRDefault="00393AAE" w:rsidP="008D1A92">
            <w:pPr>
              <w:keepNext/>
              <w:keepLines/>
              <w:jc w:val="center"/>
              <w:rPr>
                <w:b/>
                <w:sz w:val="22"/>
              </w:rPr>
            </w:pPr>
            <w:r>
              <w:rPr>
                <w:color w:val="000000"/>
                <w:sz w:val="22"/>
                <w:szCs w:val="22"/>
              </w:rPr>
              <w:t>27.33</w:t>
            </w:r>
          </w:p>
        </w:tc>
        <w:tc>
          <w:tcPr>
            <w:tcW w:w="1186" w:type="pct"/>
            <w:tcBorders>
              <w:top w:val="single" w:sz="4" w:space="0" w:color="auto"/>
              <w:left w:val="single" w:sz="4" w:space="0" w:color="auto"/>
              <w:bottom w:val="single" w:sz="4" w:space="0" w:color="auto"/>
              <w:right w:val="single" w:sz="4" w:space="0" w:color="auto"/>
            </w:tcBorders>
            <w:vAlign w:val="center"/>
            <w:hideMark/>
          </w:tcPr>
          <w:p w14:paraId="374AE2EB" w14:textId="77777777" w:rsidR="00393AAE" w:rsidRPr="00F169A9" w:rsidRDefault="00393AAE" w:rsidP="008D1A92">
            <w:pPr>
              <w:keepNext/>
              <w:keepLines/>
              <w:jc w:val="center"/>
              <w:rPr>
                <w:b/>
                <w:sz w:val="22"/>
              </w:rPr>
            </w:pPr>
            <w:r>
              <w:rPr>
                <w:color w:val="000000"/>
                <w:sz w:val="22"/>
                <w:szCs w:val="22"/>
              </w:rPr>
              <w:t xml:space="preserve">$2,130 </w:t>
            </w:r>
          </w:p>
        </w:tc>
      </w:tr>
      <w:tr w:rsidR="00393AAE" w:rsidRPr="0044021A" w14:paraId="466EC675" w14:textId="77777777" w:rsidTr="008D1A92">
        <w:trPr>
          <w:trHeight w:val="242"/>
          <w:jc w:val="center"/>
        </w:trPr>
        <w:tc>
          <w:tcPr>
            <w:tcW w:w="3071" w:type="pct"/>
            <w:gridSpan w:val="4"/>
            <w:tcBorders>
              <w:top w:val="single" w:sz="4" w:space="0" w:color="auto"/>
              <w:left w:val="single" w:sz="4" w:space="0" w:color="auto"/>
              <w:bottom w:val="single" w:sz="4" w:space="0" w:color="auto"/>
              <w:right w:val="single" w:sz="4" w:space="0" w:color="auto"/>
            </w:tcBorders>
          </w:tcPr>
          <w:p w14:paraId="7003F949" w14:textId="77777777" w:rsidR="00393AAE" w:rsidRPr="0044021A"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rPr>
            </w:pPr>
            <w:r w:rsidRPr="0044021A">
              <w:rPr>
                <w:b/>
                <w:sz w:val="22"/>
                <w:szCs w:val="22"/>
              </w:rPr>
              <w:t xml:space="preserve">Total Industry Burden and Cost </w:t>
            </w:r>
          </w:p>
        </w:tc>
        <w:tc>
          <w:tcPr>
            <w:tcW w:w="744" w:type="pct"/>
            <w:tcBorders>
              <w:top w:val="single" w:sz="4" w:space="0" w:color="auto"/>
              <w:left w:val="single" w:sz="4" w:space="0" w:color="auto"/>
              <w:bottom w:val="single" w:sz="4" w:space="0" w:color="auto"/>
              <w:right w:val="single" w:sz="4" w:space="0" w:color="auto"/>
            </w:tcBorders>
            <w:vAlign w:val="center"/>
            <w:hideMark/>
          </w:tcPr>
          <w:p w14:paraId="637F5396" w14:textId="77777777" w:rsidR="00393AAE" w:rsidRPr="005D3FA0"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color w:val="000000"/>
                <w:sz w:val="22"/>
                <w:szCs w:val="22"/>
              </w:rPr>
            </w:pPr>
            <w:r>
              <w:rPr>
                <w:b/>
                <w:bCs/>
                <w:color w:val="000000"/>
                <w:sz w:val="22"/>
                <w:szCs w:val="22"/>
              </w:rPr>
              <w:t>138</w:t>
            </w:r>
          </w:p>
        </w:tc>
        <w:tc>
          <w:tcPr>
            <w:tcW w:w="1186" w:type="pct"/>
            <w:tcBorders>
              <w:top w:val="single" w:sz="4" w:space="0" w:color="auto"/>
              <w:left w:val="single" w:sz="4" w:space="0" w:color="auto"/>
              <w:bottom w:val="single" w:sz="4" w:space="0" w:color="auto"/>
              <w:right w:val="single" w:sz="4" w:space="0" w:color="auto"/>
            </w:tcBorders>
            <w:vAlign w:val="center"/>
            <w:hideMark/>
          </w:tcPr>
          <w:p w14:paraId="26B69B41" w14:textId="77777777" w:rsidR="00393AAE" w:rsidRPr="004E616F"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$26,752</w:t>
            </w:r>
          </w:p>
        </w:tc>
      </w:tr>
    </w:tbl>
    <w:p w14:paraId="22C05909" w14:textId="77777777" w:rsidR="00393AAE" w:rsidRDefault="00393AAE" w:rsidP="00393AAE">
      <w:pPr>
        <w:keepNext/>
        <w:keepLines/>
        <w:rPr>
          <w:sz w:val="18"/>
          <w:szCs w:val="18"/>
        </w:rPr>
      </w:pPr>
      <w:r>
        <w:rPr>
          <w:sz w:val="18"/>
          <w:szCs w:val="18"/>
        </w:rPr>
        <w:t xml:space="preserve">Some burden estimate totals may not calculate due to rounding of unit burden estimates </w:t>
      </w:r>
    </w:p>
    <w:p w14:paraId="482482A3" w14:textId="77777777" w:rsidR="00393AAE" w:rsidRPr="00BE7A7A"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BB49549"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A4">
        <w:fldChar w:fldCharType="begin"/>
      </w:r>
      <w:r w:rsidRPr="00611CA4">
        <w:instrText xml:space="preserve"> REF _Ref424061505 \h </w:instrText>
      </w:r>
      <w:r w:rsidRPr="0064544D">
        <w:instrText xml:space="preserve"> \* MERGEFORMAT </w:instrText>
      </w:r>
      <w:r w:rsidRPr="00611CA4">
        <w:fldChar w:fldCharType="separate"/>
      </w:r>
      <w:r w:rsidRPr="00101B98">
        <w:t xml:space="preserve">Table </w:t>
      </w:r>
      <w:r w:rsidRPr="00101B98">
        <w:rPr>
          <w:noProof/>
        </w:rPr>
        <w:t>11</w:t>
      </w:r>
      <w:r w:rsidRPr="00611CA4">
        <w:fldChar w:fldCharType="end"/>
      </w:r>
      <w:r w:rsidRPr="00611CA4">
        <w:t xml:space="preserve"> </w:t>
      </w:r>
      <w:r>
        <w:t>presents the total burden and cost to industry over the three-year ICR period. EPA estimates the total annual industry burden of existing chemical SNUR action to be 415 hours and $80,257.</w:t>
      </w:r>
    </w:p>
    <w:p w14:paraId="19CFE4D8"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578AE558" w14:textId="77777777" w:rsidR="00393AAE" w:rsidRPr="002806B5" w:rsidRDefault="00393AAE" w:rsidP="00393AAE">
      <w:pPr>
        <w:keepNext/>
        <w:keepLines/>
        <w:outlineLvl w:val="0"/>
        <w:rPr>
          <w:b/>
        </w:rPr>
      </w:pPr>
      <w:bookmarkStart w:id="19" w:name="_Ref424061505"/>
      <w:r w:rsidRPr="00F9765A">
        <w:rPr>
          <w:b/>
        </w:rPr>
        <w:t xml:space="preserve">Table </w:t>
      </w:r>
      <w:r>
        <w:rPr>
          <w:b/>
        </w:rPr>
        <w:fldChar w:fldCharType="begin"/>
      </w:r>
      <w:r>
        <w:rPr>
          <w:b/>
        </w:rPr>
        <w:instrText xml:space="preserve"> SEQ Table \* ARABIC </w:instrText>
      </w:r>
      <w:r>
        <w:rPr>
          <w:b/>
        </w:rPr>
        <w:fldChar w:fldCharType="separate"/>
      </w:r>
      <w:r>
        <w:rPr>
          <w:b/>
          <w:noProof/>
        </w:rPr>
        <w:t>11</w:t>
      </w:r>
      <w:r>
        <w:rPr>
          <w:b/>
        </w:rPr>
        <w:fldChar w:fldCharType="end"/>
      </w:r>
      <w:bookmarkEnd w:id="19"/>
      <w:r w:rsidRPr="002806B5">
        <w:rPr>
          <w:b/>
        </w:rPr>
        <w:t>: Estimated Total Respondent Burden and Cost</w:t>
      </w:r>
      <w:r>
        <w:rPr>
          <w:b/>
        </w:rPr>
        <w:t>, Three Year Totals</w:t>
      </w:r>
    </w:p>
    <w:tbl>
      <w:tblPr>
        <w:tblW w:w="5132" w:type="pct"/>
        <w:jc w:val="center"/>
        <w:tblLook w:val="04A0" w:firstRow="1" w:lastRow="0" w:firstColumn="1" w:lastColumn="0" w:noHBand="0" w:noVBand="1"/>
      </w:tblPr>
      <w:tblGrid>
        <w:gridCol w:w="2111"/>
        <w:gridCol w:w="1401"/>
        <w:gridCol w:w="1594"/>
        <w:gridCol w:w="1852"/>
        <w:gridCol w:w="1682"/>
        <w:gridCol w:w="1928"/>
      </w:tblGrid>
      <w:tr w:rsidR="00393AAE" w:rsidRPr="0044021A" w14:paraId="2AA4633D" w14:textId="77777777" w:rsidTr="008D1A92">
        <w:trPr>
          <w:trHeight w:val="1150"/>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068D47A0" w14:textId="77777777" w:rsidR="00393AAE" w:rsidRPr="008241E9" w:rsidRDefault="00393AAE" w:rsidP="008D1A92">
            <w:pPr>
              <w:keepNext/>
              <w:keepLines/>
              <w:jc w:val="center"/>
              <w:rPr>
                <w:b/>
                <w:bCs/>
                <w:sz w:val="22"/>
              </w:rPr>
            </w:pPr>
            <w:r w:rsidRPr="008241E9">
              <w:rPr>
                <w:b/>
                <w:bCs/>
                <w:sz w:val="22"/>
                <w:szCs w:val="22"/>
              </w:rPr>
              <w:t>Information Collection Activity</w:t>
            </w:r>
          </w:p>
        </w:tc>
        <w:tc>
          <w:tcPr>
            <w:tcW w:w="663" w:type="pct"/>
            <w:tcBorders>
              <w:top w:val="single" w:sz="4" w:space="0" w:color="auto"/>
              <w:left w:val="single" w:sz="4" w:space="0" w:color="auto"/>
              <w:bottom w:val="single" w:sz="4" w:space="0" w:color="auto"/>
              <w:right w:val="single" w:sz="4" w:space="0" w:color="auto"/>
            </w:tcBorders>
            <w:vAlign w:val="center"/>
            <w:hideMark/>
          </w:tcPr>
          <w:p w14:paraId="750172C1" w14:textId="77777777" w:rsidR="00393AAE" w:rsidRPr="008241E9" w:rsidRDefault="00393AAE" w:rsidP="008D1A92">
            <w:pPr>
              <w:keepNext/>
              <w:keepLines/>
              <w:jc w:val="center"/>
              <w:rPr>
                <w:b/>
                <w:bCs/>
                <w:sz w:val="22"/>
              </w:rPr>
            </w:pPr>
            <w:r w:rsidRPr="008241E9">
              <w:rPr>
                <w:b/>
                <w:bCs/>
                <w:sz w:val="22"/>
                <w:szCs w:val="22"/>
              </w:rPr>
              <w:t>Total Burden per Activity (hours)</w:t>
            </w:r>
          </w:p>
        </w:tc>
        <w:tc>
          <w:tcPr>
            <w:tcW w:w="754" w:type="pct"/>
            <w:tcBorders>
              <w:top w:val="single" w:sz="4" w:space="0" w:color="auto"/>
              <w:left w:val="single" w:sz="4" w:space="0" w:color="auto"/>
              <w:bottom w:val="single" w:sz="4" w:space="0" w:color="auto"/>
              <w:right w:val="single" w:sz="4" w:space="0" w:color="auto"/>
            </w:tcBorders>
            <w:vAlign w:val="center"/>
            <w:hideMark/>
          </w:tcPr>
          <w:p w14:paraId="539C47B4" w14:textId="77777777" w:rsidR="00393AAE" w:rsidRPr="008241E9" w:rsidRDefault="00393AAE" w:rsidP="008D1A92">
            <w:pPr>
              <w:keepNext/>
              <w:keepLines/>
              <w:jc w:val="center"/>
              <w:rPr>
                <w:b/>
                <w:bCs/>
                <w:sz w:val="22"/>
              </w:rPr>
            </w:pPr>
            <w:r w:rsidRPr="008241E9">
              <w:rPr>
                <w:b/>
                <w:bCs/>
                <w:sz w:val="22"/>
                <w:szCs w:val="22"/>
              </w:rPr>
              <w:t>Total Cost per Activity</w:t>
            </w:r>
          </w:p>
          <w:p w14:paraId="2D77AC51" w14:textId="77777777" w:rsidR="00393AAE" w:rsidRPr="008241E9" w:rsidRDefault="00393AAE" w:rsidP="008D1A92">
            <w:pPr>
              <w:keepNext/>
              <w:keepLines/>
              <w:jc w:val="center"/>
              <w:rPr>
                <w:b/>
                <w:bCs/>
                <w:sz w:val="22"/>
              </w:rPr>
            </w:pPr>
            <w:r w:rsidRPr="008241E9">
              <w:rPr>
                <w:b/>
                <w:bCs/>
                <w:sz w:val="22"/>
                <w:szCs w:val="22"/>
              </w:rPr>
              <w:t>(201</w:t>
            </w:r>
            <w:r>
              <w:rPr>
                <w:b/>
                <w:bCs/>
                <w:sz w:val="22"/>
                <w:szCs w:val="22"/>
              </w:rPr>
              <w:t>7</w:t>
            </w:r>
            <w:r w:rsidRPr="008241E9">
              <w:rPr>
                <w:b/>
                <w:bCs/>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631A76CA" w14:textId="77777777" w:rsidR="00393AAE" w:rsidRPr="008241E9" w:rsidRDefault="00393AAE" w:rsidP="008D1A92">
            <w:pPr>
              <w:keepNext/>
              <w:keepLines/>
              <w:jc w:val="center"/>
              <w:rPr>
                <w:b/>
                <w:bCs/>
                <w:sz w:val="22"/>
              </w:rPr>
            </w:pPr>
            <w:r w:rsidRPr="008241E9">
              <w:rPr>
                <w:b/>
                <w:bCs/>
                <w:sz w:val="22"/>
                <w:szCs w:val="22"/>
              </w:rPr>
              <w:t xml:space="preserve">Total Number of Units </w:t>
            </w:r>
          </w:p>
        </w:tc>
        <w:tc>
          <w:tcPr>
            <w:tcW w:w="796" w:type="pct"/>
            <w:tcBorders>
              <w:top w:val="single" w:sz="4" w:space="0" w:color="auto"/>
              <w:left w:val="single" w:sz="4" w:space="0" w:color="auto"/>
              <w:bottom w:val="single" w:sz="4" w:space="0" w:color="auto"/>
              <w:right w:val="single" w:sz="4" w:space="0" w:color="auto"/>
            </w:tcBorders>
            <w:vAlign w:val="center"/>
            <w:hideMark/>
          </w:tcPr>
          <w:p w14:paraId="094C1BA5" w14:textId="77777777" w:rsidR="00393AAE" w:rsidRPr="008241E9" w:rsidRDefault="00393AAE" w:rsidP="008D1A92">
            <w:pPr>
              <w:keepNext/>
              <w:keepLines/>
              <w:jc w:val="center"/>
              <w:rPr>
                <w:b/>
                <w:bCs/>
                <w:sz w:val="22"/>
              </w:rPr>
            </w:pPr>
            <w:r w:rsidRPr="008241E9">
              <w:rPr>
                <w:b/>
                <w:bCs/>
                <w:sz w:val="22"/>
                <w:szCs w:val="22"/>
              </w:rPr>
              <w:t>Total Burden (hours)</w:t>
            </w:r>
          </w:p>
        </w:tc>
        <w:tc>
          <w:tcPr>
            <w:tcW w:w="912" w:type="pct"/>
            <w:tcBorders>
              <w:top w:val="single" w:sz="4" w:space="0" w:color="auto"/>
              <w:left w:val="single" w:sz="4" w:space="0" w:color="auto"/>
              <w:bottom w:val="single" w:sz="4" w:space="0" w:color="auto"/>
              <w:right w:val="single" w:sz="4" w:space="0" w:color="auto"/>
            </w:tcBorders>
            <w:vAlign w:val="center"/>
            <w:hideMark/>
          </w:tcPr>
          <w:p w14:paraId="47CD50DF" w14:textId="77777777" w:rsidR="00393AAE" w:rsidRPr="008241E9" w:rsidRDefault="00393AAE" w:rsidP="008D1A92">
            <w:pPr>
              <w:keepNext/>
              <w:keepLines/>
              <w:jc w:val="center"/>
              <w:rPr>
                <w:b/>
                <w:bCs/>
                <w:sz w:val="22"/>
              </w:rPr>
            </w:pPr>
            <w:r w:rsidRPr="008241E9">
              <w:rPr>
                <w:b/>
                <w:bCs/>
                <w:sz w:val="22"/>
                <w:szCs w:val="22"/>
              </w:rPr>
              <w:t>Total Cost (201</w:t>
            </w:r>
            <w:r>
              <w:rPr>
                <w:b/>
                <w:bCs/>
                <w:sz w:val="22"/>
                <w:szCs w:val="22"/>
              </w:rPr>
              <w:t>7</w:t>
            </w:r>
            <w:r w:rsidRPr="008241E9">
              <w:rPr>
                <w:b/>
                <w:bCs/>
                <w:sz w:val="22"/>
                <w:szCs w:val="22"/>
              </w:rPr>
              <w:t>$)</w:t>
            </w:r>
          </w:p>
        </w:tc>
      </w:tr>
      <w:tr w:rsidR="00393AAE" w:rsidRPr="002806B5" w14:paraId="38FFD1C4" w14:textId="77777777" w:rsidTr="008D1A92">
        <w:trPr>
          <w:trHeight w:val="476"/>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7F7FE808" w14:textId="77777777" w:rsidR="00393AAE" w:rsidRPr="008241E9" w:rsidRDefault="00393AAE" w:rsidP="008D1A92">
            <w:pPr>
              <w:keepNext/>
              <w:keepLines/>
              <w:rPr>
                <w:sz w:val="22"/>
              </w:rPr>
            </w:pPr>
            <w:r w:rsidRPr="008241E9">
              <w:rPr>
                <w:sz w:val="22"/>
                <w:szCs w:val="22"/>
              </w:rPr>
              <w:t>Rule familiarization (per firm)</w:t>
            </w:r>
          </w:p>
        </w:tc>
        <w:tc>
          <w:tcPr>
            <w:tcW w:w="663" w:type="pct"/>
            <w:tcBorders>
              <w:top w:val="single" w:sz="4" w:space="0" w:color="auto"/>
              <w:left w:val="nil"/>
              <w:bottom w:val="single" w:sz="4" w:space="0" w:color="auto"/>
              <w:right w:val="single" w:sz="4" w:space="0" w:color="auto"/>
            </w:tcBorders>
            <w:vAlign w:val="center"/>
            <w:hideMark/>
          </w:tcPr>
          <w:p w14:paraId="68F5890B" w14:textId="77777777" w:rsidR="00393AAE" w:rsidRPr="008241E9" w:rsidRDefault="00393AAE" w:rsidP="008D1A92">
            <w:pPr>
              <w:keepNext/>
              <w:keepLines/>
              <w:jc w:val="center"/>
              <w:rPr>
                <w:sz w:val="22"/>
              </w:rPr>
            </w:pPr>
            <w:r>
              <w:rPr>
                <w:color w:val="000000"/>
                <w:sz w:val="22"/>
                <w:szCs w:val="22"/>
              </w:rPr>
              <w:t>0.82</w:t>
            </w:r>
          </w:p>
        </w:tc>
        <w:tc>
          <w:tcPr>
            <w:tcW w:w="754" w:type="pct"/>
            <w:tcBorders>
              <w:top w:val="single" w:sz="4" w:space="0" w:color="auto"/>
              <w:left w:val="nil"/>
              <w:bottom w:val="single" w:sz="4" w:space="0" w:color="auto"/>
              <w:right w:val="single" w:sz="4" w:space="0" w:color="auto"/>
            </w:tcBorders>
            <w:vAlign w:val="center"/>
            <w:hideMark/>
          </w:tcPr>
          <w:p w14:paraId="2E975ADE" w14:textId="77777777" w:rsidR="00393AAE" w:rsidRPr="008241E9" w:rsidRDefault="00393AAE" w:rsidP="008D1A92">
            <w:pPr>
              <w:keepNext/>
              <w:keepLines/>
              <w:jc w:val="center"/>
              <w:rPr>
                <w:sz w:val="22"/>
              </w:rPr>
            </w:pPr>
            <w:r>
              <w:rPr>
                <w:color w:val="000000"/>
                <w:sz w:val="22"/>
                <w:szCs w:val="22"/>
              </w:rPr>
              <w:t xml:space="preserve">$63 </w:t>
            </w:r>
          </w:p>
        </w:tc>
        <w:tc>
          <w:tcPr>
            <w:tcW w:w="875" w:type="pct"/>
            <w:tcBorders>
              <w:top w:val="single" w:sz="4" w:space="0" w:color="auto"/>
              <w:left w:val="nil"/>
              <w:bottom w:val="single" w:sz="4" w:space="0" w:color="auto"/>
              <w:right w:val="single" w:sz="4" w:space="0" w:color="auto"/>
            </w:tcBorders>
            <w:vAlign w:val="center"/>
          </w:tcPr>
          <w:p w14:paraId="7F85B163" w14:textId="77777777" w:rsidR="00393AAE" w:rsidRPr="008241E9" w:rsidRDefault="00393AAE" w:rsidP="008D1A92">
            <w:pPr>
              <w:keepNext/>
              <w:keepLines/>
              <w:jc w:val="center"/>
              <w:rPr>
                <w:sz w:val="22"/>
              </w:rPr>
            </w:pPr>
            <w:r>
              <w:rPr>
                <w:color w:val="000000"/>
                <w:sz w:val="22"/>
                <w:szCs w:val="22"/>
              </w:rPr>
              <w:t>14.01 Firms</w:t>
            </w:r>
          </w:p>
        </w:tc>
        <w:tc>
          <w:tcPr>
            <w:tcW w:w="796" w:type="pct"/>
            <w:tcBorders>
              <w:top w:val="single" w:sz="4" w:space="0" w:color="auto"/>
              <w:left w:val="single" w:sz="4" w:space="0" w:color="auto"/>
              <w:bottom w:val="single" w:sz="4" w:space="0" w:color="auto"/>
              <w:right w:val="single" w:sz="4" w:space="0" w:color="auto"/>
            </w:tcBorders>
            <w:noWrap/>
            <w:vAlign w:val="center"/>
            <w:hideMark/>
          </w:tcPr>
          <w:p w14:paraId="46F332C1" w14:textId="77777777" w:rsidR="00393AAE" w:rsidRPr="008241E9" w:rsidRDefault="00393AAE" w:rsidP="008D1A92">
            <w:pPr>
              <w:keepNext/>
              <w:keepLines/>
              <w:jc w:val="center"/>
              <w:rPr>
                <w:sz w:val="22"/>
              </w:rPr>
            </w:pPr>
            <w:r>
              <w:rPr>
                <w:color w:val="000000"/>
                <w:sz w:val="22"/>
                <w:szCs w:val="22"/>
              </w:rPr>
              <w:t>11.44</w:t>
            </w:r>
          </w:p>
        </w:tc>
        <w:tc>
          <w:tcPr>
            <w:tcW w:w="912" w:type="pct"/>
            <w:tcBorders>
              <w:top w:val="single" w:sz="4" w:space="0" w:color="auto"/>
              <w:left w:val="single" w:sz="4" w:space="0" w:color="auto"/>
              <w:bottom w:val="single" w:sz="4" w:space="0" w:color="auto"/>
              <w:right w:val="single" w:sz="4" w:space="0" w:color="auto"/>
            </w:tcBorders>
            <w:vAlign w:val="center"/>
            <w:hideMark/>
          </w:tcPr>
          <w:p w14:paraId="7AEEDF77" w14:textId="77777777" w:rsidR="00393AAE" w:rsidRPr="008241E9" w:rsidRDefault="00393AAE" w:rsidP="008D1A92">
            <w:pPr>
              <w:keepNext/>
              <w:keepLines/>
              <w:jc w:val="center"/>
              <w:rPr>
                <w:b/>
                <w:sz w:val="22"/>
              </w:rPr>
            </w:pPr>
            <w:r>
              <w:rPr>
                <w:color w:val="000000"/>
                <w:sz w:val="22"/>
                <w:szCs w:val="22"/>
              </w:rPr>
              <w:t xml:space="preserve">$887 </w:t>
            </w:r>
          </w:p>
        </w:tc>
      </w:tr>
      <w:tr w:rsidR="00393AAE" w:rsidRPr="002806B5" w14:paraId="56F07189" w14:textId="77777777" w:rsidTr="008D1A92">
        <w:trPr>
          <w:trHeight w:val="476"/>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491F17A8" w14:textId="77777777" w:rsidR="00393AAE" w:rsidRPr="008241E9" w:rsidRDefault="00393AAE" w:rsidP="008D1A92">
            <w:pPr>
              <w:keepNext/>
              <w:keepLines/>
              <w:rPr>
                <w:sz w:val="22"/>
              </w:rPr>
            </w:pPr>
            <w:r w:rsidRPr="008241E9">
              <w:rPr>
                <w:sz w:val="22"/>
                <w:szCs w:val="22"/>
              </w:rPr>
              <w:t>Preparation, submission, and recordkeeping for SNUN (per report)</w:t>
            </w:r>
          </w:p>
        </w:tc>
        <w:tc>
          <w:tcPr>
            <w:tcW w:w="663" w:type="pct"/>
            <w:tcBorders>
              <w:top w:val="single" w:sz="4" w:space="0" w:color="auto"/>
              <w:left w:val="nil"/>
              <w:bottom w:val="single" w:sz="4" w:space="0" w:color="auto"/>
              <w:right w:val="single" w:sz="4" w:space="0" w:color="auto"/>
            </w:tcBorders>
            <w:vAlign w:val="center"/>
            <w:hideMark/>
          </w:tcPr>
          <w:p w14:paraId="48DB5E80" w14:textId="77777777" w:rsidR="00393AAE" w:rsidRPr="008241E9" w:rsidRDefault="00393AAE" w:rsidP="008D1A92">
            <w:pPr>
              <w:keepNext/>
              <w:keepLines/>
              <w:jc w:val="center"/>
              <w:rPr>
                <w:sz w:val="22"/>
              </w:rPr>
            </w:pPr>
            <w:r>
              <w:rPr>
                <w:color w:val="000000"/>
                <w:sz w:val="22"/>
                <w:szCs w:val="22"/>
              </w:rPr>
              <w:t>91.68</w:t>
            </w:r>
          </w:p>
        </w:tc>
        <w:tc>
          <w:tcPr>
            <w:tcW w:w="754" w:type="pct"/>
            <w:tcBorders>
              <w:top w:val="single" w:sz="4" w:space="0" w:color="auto"/>
              <w:left w:val="nil"/>
              <w:bottom w:val="single" w:sz="4" w:space="0" w:color="auto"/>
              <w:right w:val="single" w:sz="4" w:space="0" w:color="auto"/>
            </w:tcBorders>
            <w:vAlign w:val="center"/>
            <w:hideMark/>
          </w:tcPr>
          <w:p w14:paraId="22C51F81" w14:textId="77777777" w:rsidR="00393AAE" w:rsidRPr="008241E9" w:rsidRDefault="00393AAE" w:rsidP="008D1A92">
            <w:pPr>
              <w:keepNext/>
              <w:keepLines/>
              <w:jc w:val="center"/>
              <w:rPr>
                <w:sz w:val="22"/>
              </w:rPr>
            </w:pPr>
            <w:r>
              <w:rPr>
                <w:color w:val="000000"/>
                <w:sz w:val="22"/>
                <w:szCs w:val="22"/>
              </w:rPr>
              <w:t xml:space="preserve">$23,123 </w:t>
            </w:r>
          </w:p>
        </w:tc>
        <w:tc>
          <w:tcPr>
            <w:tcW w:w="875" w:type="pct"/>
            <w:tcBorders>
              <w:top w:val="single" w:sz="4" w:space="0" w:color="auto"/>
              <w:left w:val="nil"/>
              <w:bottom w:val="single" w:sz="4" w:space="0" w:color="auto"/>
              <w:right w:val="single" w:sz="4" w:space="0" w:color="auto"/>
            </w:tcBorders>
            <w:vAlign w:val="center"/>
          </w:tcPr>
          <w:p w14:paraId="7F566AE1" w14:textId="77777777" w:rsidR="00393AAE" w:rsidRPr="008241E9" w:rsidRDefault="00393AAE" w:rsidP="008D1A92">
            <w:pPr>
              <w:keepNext/>
              <w:keepLines/>
              <w:jc w:val="center"/>
              <w:rPr>
                <w:sz w:val="22"/>
              </w:rPr>
            </w:pPr>
            <w:r>
              <w:rPr>
                <w:color w:val="000000"/>
                <w:sz w:val="22"/>
                <w:szCs w:val="22"/>
              </w:rPr>
              <w:t>3 SNUNs</w:t>
            </w:r>
          </w:p>
        </w:tc>
        <w:tc>
          <w:tcPr>
            <w:tcW w:w="796" w:type="pct"/>
            <w:tcBorders>
              <w:top w:val="single" w:sz="4" w:space="0" w:color="auto"/>
              <w:left w:val="single" w:sz="4" w:space="0" w:color="auto"/>
              <w:bottom w:val="single" w:sz="4" w:space="0" w:color="auto"/>
              <w:right w:val="single" w:sz="4" w:space="0" w:color="auto"/>
            </w:tcBorders>
            <w:noWrap/>
            <w:vAlign w:val="center"/>
            <w:hideMark/>
          </w:tcPr>
          <w:p w14:paraId="314F43D5" w14:textId="77777777" w:rsidR="00393AAE" w:rsidRPr="008241E9" w:rsidRDefault="00393AAE" w:rsidP="008D1A92">
            <w:pPr>
              <w:keepNext/>
              <w:keepLines/>
              <w:jc w:val="center"/>
              <w:rPr>
                <w:sz w:val="22"/>
              </w:rPr>
            </w:pPr>
            <w:r>
              <w:rPr>
                <w:color w:val="000000"/>
                <w:sz w:val="22"/>
                <w:szCs w:val="22"/>
              </w:rPr>
              <w:t>275.05</w:t>
            </w:r>
          </w:p>
        </w:tc>
        <w:tc>
          <w:tcPr>
            <w:tcW w:w="912" w:type="pct"/>
            <w:tcBorders>
              <w:top w:val="single" w:sz="4" w:space="0" w:color="auto"/>
              <w:left w:val="single" w:sz="4" w:space="0" w:color="auto"/>
              <w:bottom w:val="single" w:sz="4" w:space="0" w:color="auto"/>
              <w:right w:val="single" w:sz="4" w:space="0" w:color="auto"/>
            </w:tcBorders>
            <w:vAlign w:val="center"/>
            <w:hideMark/>
          </w:tcPr>
          <w:p w14:paraId="48EA133A" w14:textId="77777777" w:rsidR="00393AAE" w:rsidRPr="008241E9" w:rsidRDefault="00393AAE" w:rsidP="008D1A92">
            <w:pPr>
              <w:keepNext/>
              <w:keepLines/>
              <w:jc w:val="center"/>
              <w:rPr>
                <w:b/>
                <w:sz w:val="22"/>
              </w:rPr>
            </w:pPr>
            <w:r>
              <w:rPr>
                <w:color w:val="000000"/>
                <w:sz w:val="22"/>
                <w:szCs w:val="22"/>
              </w:rPr>
              <w:t xml:space="preserve">$69,369 </w:t>
            </w:r>
          </w:p>
        </w:tc>
      </w:tr>
      <w:tr w:rsidR="00393AAE" w:rsidRPr="002806B5" w14:paraId="004E5C1C" w14:textId="77777777" w:rsidTr="008D1A92">
        <w:trPr>
          <w:trHeight w:val="476"/>
          <w:jc w:val="center"/>
        </w:trPr>
        <w:tc>
          <w:tcPr>
            <w:tcW w:w="999" w:type="pct"/>
            <w:tcBorders>
              <w:top w:val="single" w:sz="4" w:space="0" w:color="auto"/>
              <w:left w:val="single" w:sz="4" w:space="0" w:color="auto"/>
              <w:bottom w:val="single" w:sz="4" w:space="0" w:color="auto"/>
              <w:right w:val="single" w:sz="4" w:space="0" w:color="auto"/>
            </w:tcBorders>
            <w:vAlign w:val="center"/>
          </w:tcPr>
          <w:p w14:paraId="614069F6" w14:textId="77777777" w:rsidR="00393AAE" w:rsidRPr="008241E9" w:rsidRDefault="00393AAE" w:rsidP="008D1A92">
            <w:pPr>
              <w:keepNext/>
              <w:keepLines/>
              <w:rPr>
                <w:sz w:val="22"/>
              </w:rPr>
            </w:pPr>
            <w:r>
              <w:rPr>
                <w:sz w:val="22"/>
                <w:szCs w:val="22"/>
              </w:rPr>
              <w:t>CDX registration,</w:t>
            </w:r>
            <w:r w:rsidRPr="008241E9">
              <w:rPr>
                <w:sz w:val="22"/>
                <w:szCs w:val="22"/>
              </w:rPr>
              <w:t xml:space="preserve"> electronic signature, Pay.gov set-up (per firm)</w:t>
            </w:r>
          </w:p>
        </w:tc>
        <w:tc>
          <w:tcPr>
            <w:tcW w:w="663" w:type="pct"/>
            <w:tcBorders>
              <w:top w:val="single" w:sz="4" w:space="0" w:color="auto"/>
              <w:left w:val="nil"/>
              <w:bottom w:val="single" w:sz="4" w:space="0" w:color="auto"/>
              <w:right w:val="single" w:sz="4" w:space="0" w:color="auto"/>
            </w:tcBorders>
            <w:vAlign w:val="center"/>
          </w:tcPr>
          <w:p w14:paraId="7F2DF05C" w14:textId="77777777" w:rsidR="00393AAE" w:rsidRPr="008241E9" w:rsidRDefault="00393AAE" w:rsidP="008D1A92">
            <w:pPr>
              <w:keepNext/>
              <w:keepLines/>
              <w:jc w:val="center"/>
              <w:rPr>
                <w:color w:val="000000"/>
                <w:sz w:val="22"/>
              </w:rPr>
            </w:pPr>
            <w:r>
              <w:rPr>
                <w:color w:val="000000"/>
                <w:sz w:val="22"/>
                <w:szCs w:val="22"/>
              </w:rPr>
              <w:t>2.80</w:t>
            </w:r>
          </w:p>
        </w:tc>
        <w:tc>
          <w:tcPr>
            <w:tcW w:w="754" w:type="pct"/>
            <w:tcBorders>
              <w:top w:val="single" w:sz="4" w:space="0" w:color="auto"/>
              <w:left w:val="nil"/>
              <w:bottom w:val="single" w:sz="4" w:space="0" w:color="auto"/>
              <w:right w:val="single" w:sz="4" w:space="0" w:color="auto"/>
            </w:tcBorders>
            <w:vAlign w:val="center"/>
          </w:tcPr>
          <w:p w14:paraId="206AEC24" w14:textId="77777777" w:rsidR="00393AAE" w:rsidRPr="008241E9" w:rsidRDefault="00393AAE" w:rsidP="008D1A92">
            <w:pPr>
              <w:keepNext/>
              <w:keepLines/>
              <w:jc w:val="center"/>
              <w:rPr>
                <w:color w:val="000000"/>
                <w:sz w:val="22"/>
              </w:rPr>
            </w:pPr>
            <w:r>
              <w:rPr>
                <w:color w:val="000000"/>
                <w:sz w:val="22"/>
                <w:szCs w:val="22"/>
              </w:rPr>
              <w:t xml:space="preserve">$220 </w:t>
            </w:r>
          </w:p>
        </w:tc>
        <w:tc>
          <w:tcPr>
            <w:tcW w:w="875" w:type="pct"/>
            <w:tcBorders>
              <w:top w:val="single" w:sz="4" w:space="0" w:color="auto"/>
              <w:left w:val="nil"/>
              <w:bottom w:val="single" w:sz="4" w:space="0" w:color="auto"/>
              <w:right w:val="single" w:sz="4" w:space="0" w:color="auto"/>
            </w:tcBorders>
            <w:vAlign w:val="center"/>
          </w:tcPr>
          <w:p w14:paraId="40F1D827" w14:textId="77777777" w:rsidR="00393AAE" w:rsidRPr="008241E9" w:rsidRDefault="00393AAE" w:rsidP="008D1A92">
            <w:pPr>
              <w:keepNext/>
              <w:keepLines/>
              <w:jc w:val="center"/>
              <w:rPr>
                <w:sz w:val="22"/>
              </w:rPr>
            </w:pPr>
            <w:r>
              <w:rPr>
                <w:color w:val="000000"/>
                <w:sz w:val="22"/>
                <w:szCs w:val="22"/>
              </w:rPr>
              <w:t>14.01 Firms</w:t>
            </w:r>
          </w:p>
        </w:tc>
        <w:tc>
          <w:tcPr>
            <w:tcW w:w="796" w:type="pct"/>
            <w:tcBorders>
              <w:top w:val="single" w:sz="4" w:space="0" w:color="auto"/>
              <w:left w:val="single" w:sz="4" w:space="0" w:color="auto"/>
              <w:bottom w:val="single" w:sz="4" w:space="0" w:color="auto"/>
              <w:right w:val="single" w:sz="4" w:space="0" w:color="auto"/>
            </w:tcBorders>
            <w:noWrap/>
            <w:vAlign w:val="center"/>
          </w:tcPr>
          <w:p w14:paraId="18FE170E" w14:textId="77777777" w:rsidR="00393AAE" w:rsidRPr="008241E9" w:rsidRDefault="00393AAE" w:rsidP="008D1A92">
            <w:pPr>
              <w:keepNext/>
              <w:keepLines/>
              <w:jc w:val="center"/>
              <w:rPr>
                <w:sz w:val="22"/>
              </w:rPr>
            </w:pPr>
            <w:r>
              <w:rPr>
                <w:color w:val="000000"/>
                <w:sz w:val="22"/>
                <w:szCs w:val="22"/>
              </w:rPr>
              <w:t>39.23</w:t>
            </w:r>
          </w:p>
        </w:tc>
        <w:tc>
          <w:tcPr>
            <w:tcW w:w="912" w:type="pct"/>
            <w:tcBorders>
              <w:top w:val="single" w:sz="4" w:space="0" w:color="auto"/>
              <w:left w:val="single" w:sz="4" w:space="0" w:color="auto"/>
              <w:bottom w:val="single" w:sz="4" w:space="0" w:color="auto"/>
              <w:right w:val="single" w:sz="4" w:space="0" w:color="auto"/>
            </w:tcBorders>
            <w:vAlign w:val="center"/>
          </w:tcPr>
          <w:p w14:paraId="66C7211E" w14:textId="77777777" w:rsidR="00393AAE" w:rsidRPr="008241E9" w:rsidRDefault="00393AAE" w:rsidP="008D1A92">
            <w:pPr>
              <w:keepNext/>
              <w:keepLines/>
              <w:jc w:val="center"/>
              <w:rPr>
                <w:b/>
                <w:sz w:val="22"/>
              </w:rPr>
            </w:pPr>
            <w:r>
              <w:rPr>
                <w:color w:val="000000"/>
                <w:sz w:val="22"/>
                <w:szCs w:val="22"/>
              </w:rPr>
              <w:t xml:space="preserve">$3,078 </w:t>
            </w:r>
          </w:p>
        </w:tc>
      </w:tr>
      <w:tr w:rsidR="00393AAE" w:rsidRPr="002806B5" w14:paraId="15287A39" w14:textId="77777777" w:rsidTr="008D1A92">
        <w:trPr>
          <w:trHeight w:val="548"/>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59305A57" w14:textId="77777777" w:rsidR="00393AAE" w:rsidRPr="008241E9" w:rsidRDefault="00393AAE" w:rsidP="008D1A92">
            <w:pPr>
              <w:keepNext/>
              <w:keepLines/>
              <w:rPr>
                <w:sz w:val="22"/>
              </w:rPr>
            </w:pPr>
            <w:r w:rsidRPr="008241E9">
              <w:rPr>
                <w:color w:val="000000"/>
                <w:sz w:val="22"/>
                <w:szCs w:val="22"/>
              </w:rPr>
              <w:t>Chemical verification (per SNUR)</w:t>
            </w:r>
          </w:p>
        </w:tc>
        <w:tc>
          <w:tcPr>
            <w:tcW w:w="663" w:type="pct"/>
            <w:tcBorders>
              <w:top w:val="single" w:sz="4" w:space="0" w:color="auto"/>
              <w:left w:val="nil"/>
              <w:bottom w:val="single" w:sz="4" w:space="0" w:color="auto"/>
              <w:right w:val="single" w:sz="4" w:space="0" w:color="auto"/>
            </w:tcBorders>
            <w:vAlign w:val="center"/>
            <w:hideMark/>
          </w:tcPr>
          <w:p w14:paraId="2F068FFA" w14:textId="77777777" w:rsidR="00393AAE" w:rsidRPr="008241E9" w:rsidRDefault="00393AAE" w:rsidP="008D1A92">
            <w:pPr>
              <w:keepNext/>
              <w:keepLines/>
              <w:jc w:val="center"/>
              <w:rPr>
                <w:sz w:val="22"/>
              </w:rPr>
            </w:pPr>
            <w:r>
              <w:rPr>
                <w:color w:val="000000"/>
                <w:sz w:val="22"/>
                <w:szCs w:val="22"/>
              </w:rPr>
              <w:t>1.14</w:t>
            </w:r>
          </w:p>
        </w:tc>
        <w:tc>
          <w:tcPr>
            <w:tcW w:w="754" w:type="pct"/>
            <w:tcBorders>
              <w:top w:val="single" w:sz="4" w:space="0" w:color="auto"/>
              <w:left w:val="nil"/>
              <w:bottom w:val="single" w:sz="4" w:space="0" w:color="auto"/>
              <w:right w:val="single" w:sz="4" w:space="0" w:color="auto"/>
            </w:tcBorders>
            <w:vAlign w:val="center"/>
            <w:hideMark/>
          </w:tcPr>
          <w:p w14:paraId="29CE3FEA" w14:textId="77777777" w:rsidR="00393AAE" w:rsidRPr="008241E9" w:rsidRDefault="00393AAE" w:rsidP="008D1A92">
            <w:pPr>
              <w:keepNext/>
              <w:keepLines/>
              <w:jc w:val="center"/>
              <w:rPr>
                <w:sz w:val="22"/>
              </w:rPr>
            </w:pPr>
            <w:r>
              <w:rPr>
                <w:color w:val="000000"/>
                <w:sz w:val="22"/>
                <w:szCs w:val="22"/>
              </w:rPr>
              <w:t xml:space="preserve">$89 </w:t>
            </w:r>
          </w:p>
        </w:tc>
        <w:tc>
          <w:tcPr>
            <w:tcW w:w="875" w:type="pct"/>
            <w:tcBorders>
              <w:top w:val="single" w:sz="4" w:space="0" w:color="auto"/>
              <w:left w:val="nil"/>
              <w:bottom w:val="single" w:sz="4" w:space="0" w:color="auto"/>
              <w:right w:val="single" w:sz="4" w:space="0" w:color="auto"/>
            </w:tcBorders>
            <w:vAlign w:val="center"/>
          </w:tcPr>
          <w:p w14:paraId="6876C288" w14:textId="77777777" w:rsidR="00393AAE" w:rsidRPr="008241E9" w:rsidRDefault="00393AAE" w:rsidP="008D1A92">
            <w:pPr>
              <w:keepNext/>
              <w:keepLines/>
              <w:jc w:val="center"/>
              <w:rPr>
                <w:sz w:val="22"/>
              </w:rPr>
            </w:pPr>
            <w:r>
              <w:rPr>
                <w:color w:val="000000"/>
                <w:sz w:val="22"/>
                <w:szCs w:val="22"/>
              </w:rPr>
              <w:t>6 SNURs</w:t>
            </w:r>
          </w:p>
        </w:tc>
        <w:tc>
          <w:tcPr>
            <w:tcW w:w="796" w:type="pct"/>
            <w:tcBorders>
              <w:top w:val="single" w:sz="4" w:space="0" w:color="auto"/>
              <w:left w:val="single" w:sz="4" w:space="0" w:color="auto"/>
              <w:bottom w:val="single" w:sz="4" w:space="0" w:color="auto"/>
              <w:right w:val="single" w:sz="4" w:space="0" w:color="auto"/>
            </w:tcBorders>
            <w:noWrap/>
            <w:vAlign w:val="center"/>
            <w:hideMark/>
          </w:tcPr>
          <w:p w14:paraId="2F11C309" w14:textId="77777777" w:rsidR="00393AAE" w:rsidRPr="008241E9" w:rsidRDefault="00393AAE" w:rsidP="008D1A92">
            <w:pPr>
              <w:keepNext/>
              <w:keepLines/>
              <w:jc w:val="center"/>
              <w:rPr>
                <w:sz w:val="22"/>
              </w:rPr>
            </w:pPr>
            <w:r>
              <w:rPr>
                <w:color w:val="000000"/>
                <w:sz w:val="22"/>
                <w:szCs w:val="22"/>
              </w:rPr>
              <w:t>6.83</w:t>
            </w:r>
          </w:p>
        </w:tc>
        <w:tc>
          <w:tcPr>
            <w:tcW w:w="912" w:type="pct"/>
            <w:tcBorders>
              <w:top w:val="single" w:sz="4" w:space="0" w:color="auto"/>
              <w:left w:val="single" w:sz="4" w:space="0" w:color="auto"/>
              <w:right w:val="single" w:sz="4" w:space="0" w:color="auto"/>
            </w:tcBorders>
            <w:vAlign w:val="center"/>
            <w:hideMark/>
          </w:tcPr>
          <w:p w14:paraId="5773EBC3" w14:textId="77777777" w:rsidR="00393AAE" w:rsidRPr="008241E9" w:rsidRDefault="00393AAE" w:rsidP="008D1A92">
            <w:pPr>
              <w:keepNext/>
              <w:keepLines/>
              <w:jc w:val="center"/>
              <w:rPr>
                <w:b/>
                <w:sz w:val="22"/>
              </w:rPr>
            </w:pPr>
            <w:r>
              <w:rPr>
                <w:color w:val="000000"/>
                <w:sz w:val="22"/>
                <w:szCs w:val="22"/>
              </w:rPr>
              <w:t xml:space="preserve">$533 </w:t>
            </w:r>
          </w:p>
        </w:tc>
      </w:tr>
      <w:tr w:rsidR="00393AAE" w:rsidRPr="002806B5" w14:paraId="335133EA" w14:textId="77777777" w:rsidTr="008D1A92">
        <w:trPr>
          <w:trHeight w:val="510"/>
          <w:jc w:val="center"/>
        </w:trPr>
        <w:tc>
          <w:tcPr>
            <w:tcW w:w="999" w:type="pct"/>
            <w:tcBorders>
              <w:top w:val="single" w:sz="4" w:space="0" w:color="auto"/>
              <w:left w:val="single" w:sz="4" w:space="0" w:color="auto"/>
              <w:bottom w:val="single" w:sz="4" w:space="0" w:color="auto"/>
              <w:right w:val="single" w:sz="4" w:space="0" w:color="auto"/>
            </w:tcBorders>
            <w:vAlign w:val="center"/>
            <w:hideMark/>
          </w:tcPr>
          <w:p w14:paraId="4CE5A324" w14:textId="77777777" w:rsidR="00393AAE" w:rsidRPr="008241E9" w:rsidRDefault="00393AAE" w:rsidP="008D1A92">
            <w:pPr>
              <w:keepNext/>
              <w:keepLines/>
              <w:rPr>
                <w:sz w:val="22"/>
              </w:rPr>
            </w:pPr>
            <w:r w:rsidRPr="008241E9">
              <w:rPr>
                <w:color w:val="000000"/>
                <w:sz w:val="22"/>
                <w:szCs w:val="22"/>
              </w:rPr>
              <w:t>Notifying customers (</w:t>
            </w:r>
            <w:r w:rsidRPr="004F7DAF">
              <w:rPr>
                <w:color w:val="000000"/>
                <w:sz w:val="22"/>
                <w:szCs w:val="22"/>
              </w:rPr>
              <w:t>per SNUR)</w:t>
            </w:r>
          </w:p>
        </w:tc>
        <w:tc>
          <w:tcPr>
            <w:tcW w:w="663" w:type="pct"/>
            <w:tcBorders>
              <w:top w:val="single" w:sz="4" w:space="0" w:color="auto"/>
              <w:left w:val="nil"/>
              <w:bottom w:val="single" w:sz="4" w:space="0" w:color="auto"/>
              <w:right w:val="single" w:sz="4" w:space="0" w:color="auto"/>
            </w:tcBorders>
            <w:vAlign w:val="center"/>
            <w:hideMark/>
          </w:tcPr>
          <w:p w14:paraId="20B06C07" w14:textId="77777777" w:rsidR="00393AAE" w:rsidRPr="008241E9" w:rsidRDefault="00393AAE" w:rsidP="008D1A92">
            <w:pPr>
              <w:keepNext/>
              <w:keepLines/>
              <w:jc w:val="center"/>
              <w:rPr>
                <w:sz w:val="22"/>
              </w:rPr>
            </w:pPr>
            <w:r>
              <w:rPr>
                <w:color w:val="000000"/>
                <w:sz w:val="22"/>
                <w:szCs w:val="22"/>
              </w:rPr>
              <w:t>13.67</w:t>
            </w:r>
          </w:p>
        </w:tc>
        <w:tc>
          <w:tcPr>
            <w:tcW w:w="754" w:type="pct"/>
            <w:tcBorders>
              <w:top w:val="single" w:sz="4" w:space="0" w:color="auto"/>
              <w:left w:val="nil"/>
              <w:bottom w:val="single" w:sz="4" w:space="0" w:color="auto"/>
              <w:right w:val="single" w:sz="4" w:space="0" w:color="auto"/>
            </w:tcBorders>
            <w:vAlign w:val="center"/>
            <w:hideMark/>
          </w:tcPr>
          <w:p w14:paraId="2B2D1B1E" w14:textId="77777777" w:rsidR="00393AAE" w:rsidRPr="008241E9" w:rsidRDefault="00393AAE" w:rsidP="008D1A92">
            <w:pPr>
              <w:keepNext/>
              <w:keepLines/>
              <w:jc w:val="center"/>
              <w:rPr>
                <w:sz w:val="22"/>
              </w:rPr>
            </w:pPr>
            <w:r>
              <w:rPr>
                <w:color w:val="000000"/>
                <w:sz w:val="22"/>
                <w:szCs w:val="22"/>
              </w:rPr>
              <w:t xml:space="preserve">$1,065 </w:t>
            </w:r>
          </w:p>
        </w:tc>
        <w:tc>
          <w:tcPr>
            <w:tcW w:w="875" w:type="pct"/>
            <w:tcBorders>
              <w:top w:val="single" w:sz="4" w:space="0" w:color="auto"/>
              <w:left w:val="nil"/>
              <w:bottom w:val="single" w:sz="4" w:space="0" w:color="auto"/>
              <w:right w:val="single" w:sz="4" w:space="0" w:color="auto"/>
            </w:tcBorders>
            <w:vAlign w:val="center"/>
          </w:tcPr>
          <w:p w14:paraId="7C7607D1" w14:textId="77777777" w:rsidR="00393AAE" w:rsidRPr="008241E9" w:rsidRDefault="00393AAE" w:rsidP="008D1A92">
            <w:pPr>
              <w:keepNext/>
              <w:keepLines/>
              <w:jc w:val="center"/>
              <w:rPr>
                <w:sz w:val="22"/>
              </w:rPr>
            </w:pPr>
            <w:r>
              <w:rPr>
                <w:color w:val="000000"/>
                <w:sz w:val="22"/>
                <w:szCs w:val="22"/>
              </w:rPr>
              <w:t>6 SNURs</w:t>
            </w:r>
          </w:p>
        </w:tc>
        <w:tc>
          <w:tcPr>
            <w:tcW w:w="796" w:type="pct"/>
            <w:tcBorders>
              <w:top w:val="single" w:sz="4" w:space="0" w:color="auto"/>
              <w:left w:val="single" w:sz="4" w:space="0" w:color="auto"/>
              <w:bottom w:val="single" w:sz="4" w:space="0" w:color="auto"/>
              <w:right w:val="single" w:sz="4" w:space="0" w:color="auto"/>
            </w:tcBorders>
            <w:noWrap/>
            <w:vAlign w:val="center"/>
            <w:hideMark/>
          </w:tcPr>
          <w:p w14:paraId="5716C66C" w14:textId="77777777" w:rsidR="00393AAE" w:rsidRPr="008241E9" w:rsidRDefault="00393AAE" w:rsidP="008D1A92">
            <w:pPr>
              <w:keepNext/>
              <w:keepLines/>
              <w:jc w:val="center"/>
              <w:rPr>
                <w:sz w:val="22"/>
              </w:rPr>
            </w:pPr>
            <w:r>
              <w:rPr>
                <w:color w:val="000000"/>
                <w:sz w:val="22"/>
                <w:szCs w:val="22"/>
              </w:rPr>
              <w:t>82.00</w:t>
            </w:r>
          </w:p>
        </w:tc>
        <w:tc>
          <w:tcPr>
            <w:tcW w:w="912" w:type="pct"/>
            <w:tcBorders>
              <w:top w:val="single" w:sz="4" w:space="0" w:color="auto"/>
              <w:left w:val="single" w:sz="4" w:space="0" w:color="auto"/>
              <w:bottom w:val="single" w:sz="4" w:space="0" w:color="auto"/>
              <w:right w:val="single" w:sz="4" w:space="0" w:color="auto"/>
            </w:tcBorders>
            <w:vAlign w:val="center"/>
            <w:hideMark/>
          </w:tcPr>
          <w:p w14:paraId="1FC713D9" w14:textId="77777777" w:rsidR="00393AAE" w:rsidRPr="008241E9" w:rsidRDefault="00393AAE" w:rsidP="008D1A92">
            <w:pPr>
              <w:keepNext/>
              <w:keepLines/>
              <w:jc w:val="center"/>
              <w:rPr>
                <w:b/>
                <w:sz w:val="22"/>
              </w:rPr>
            </w:pPr>
            <w:r>
              <w:rPr>
                <w:color w:val="000000"/>
                <w:sz w:val="22"/>
                <w:szCs w:val="22"/>
              </w:rPr>
              <w:t xml:space="preserve">$6,391 </w:t>
            </w:r>
          </w:p>
        </w:tc>
      </w:tr>
      <w:tr w:rsidR="00393AAE" w:rsidRPr="0044021A" w14:paraId="414F01AB" w14:textId="77777777" w:rsidTr="008D1A92">
        <w:trPr>
          <w:trHeight w:val="242"/>
          <w:jc w:val="center"/>
        </w:trPr>
        <w:tc>
          <w:tcPr>
            <w:tcW w:w="3292" w:type="pct"/>
            <w:gridSpan w:val="4"/>
            <w:tcBorders>
              <w:top w:val="single" w:sz="4" w:space="0" w:color="auto"/>
              <w:left w:val="single" w:sz="4" w:space="0" w:color="auto"/>
              <w:bottom w:val="single" w:sz="4" w:space="0" w:color="auto"/>
              <w:right w:val="single" w:sz="4" w:space="0" w:color="auto"/>
            </w:tcBorders>
          </w:tcPr>
          <w:p w14:paraId="4D4167CE" w14:textId="77777777" w:rsidR="00393AAE" w:rsidRPr="008241E9"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rPr>
            </w:pPr>
            <w:r w:rsidRPr="008241E9">
              <w:rPr>
                <w:b/>
                <w:sz w:val="22"/>
                <w:szCs w:val="22"/>
              </w:rPr>
              <w:t xml:space="preserve">Total Industry Burden and Cost </w:t>
            </w:r>
          </w:p>
        </w:tc>
        <w:tc>
          <w:tcPr>
            <w:tcW w:w="796" w:type="pct"/>
            <w:tcBorders>
              <w:top w:val="single" w:sz="4" w:space="0" w:color="auto"/>
              <w:left w:val="single" w:sz="4" w:space="0" w:color="auto"/>
              <w:bottom w:val="single" w:sz="4" w:space="0" w:color="auto"/>
              <w:right w:val="single" w:sz="4" w:space="0" w:color="auto"/>
            </w:tcBorders>
            <w:vAlign w:val="center"/>
            <w:hideMark/>
          </w:tcPr>
          <w:p w14:paraId="613834D5" w14:textId="77777777" w:rsidR="00393AAE" w:rsidRPr="008241E9"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415</w:t>
            </w:r>
          </w:p>
        </w:tc>
        <w:tc>
          <w:tcPr>
            <w:tcW w:w="912" w:type="pct"/>
            <w:tcBorders>
              <w:top w:val="single" w:sz="4" w:space="0" w:color="auto"/>
              <w:left w:val="single" w:sz="4" w:space="0" w:color="auto"/>
              <w:bottom w:val="single" w:sz="4" w:space="0" w:color="auto"/>
              <w:right w:val="single" w:sz="4" w:space="0" w:color="auto"/>
            </w:tcBorders>
            <w:vAlign w:val="center"/>
            <w:hideMark/>
          </w:tcPr>
          <w:p w14:paraId="444FB7E7" w14:textId="77777777" w:rsidR="00393AAE" w:rsidRPr="008241E9"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 xml:space="preserve">$80,257 </w:t>
            </w:r>
          </w:p>
        </w:tc>
      </w:tr>
    </w:tbl>
    <w:p w14:paraId="0EFFD46A" w14:textId="77777777" w:rsidR="00393AAE" w:rsidRDefault="00393AAE" w:rsidP="00393AAE">
      <w:pPr>
        <w:keepNext/>
        <w:keepLines/>
        <w:rPr>
          <w:sz w:val="18"/>
          <w:szCs w:val="18"/>
        </w:rPr>
      </w:pPr>
      <w:r>
        <w:rPr>
          <w:sz w:val="18"/>
          <w:szCs w:val="18"/>
        </w:rPr>
        <w:t xml:space="preserve">Some burden estimate totals may not calculate due to rounding of unit burden estimates </w:t>
      </w:r>
    </w:p>
    <w:p w14:paraId="0784B171"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897E1BE" w14:textId="77777777" w:rsidR="00393AAE" w:rsidRDefault="00393AAE" w:rsidP="00393AAE">
      <w:pPr>
        <w:ind w:firstLine="720"/>
      </w:pPr>
      <w:r w:rsidRPr="00611CA4">
        <w:fldChar w:fldCharType="begin"/>
      </w:r>
      <w:r w:rsidRPr="00611CA4">
        <w:instrText xml:space="preserve"> REF _Ref424061522 \h </w:instrText>
      </w:r>
      <w:r w:rsidRPr="0064544D">
        <w:instrText xml:space="preserve"> \* MERGEFORMAT </w:instrText>
      </w:r>
      <w:r w:rsidRPr="00611CA4">
        <w:fldChar w:fldCharType="separate"/>
      </w:r>
      <w:r w:rsidRPr="00101B98">
        <w:t xml:space="preserve">Table </w:t>
      </w:r>
      <w:r w:rsidRPr="00101B98">
        <w:rPr>
          <w:noProof/>
        </w:rPr>
        <w:t>12</w:t>
      </w:r>
      <w:r w:rsidRPr="00611CA4">
        <w:fldChar w:fldCharType="end"/>
      </w:r>
      <w:r w:rsidRPr="00611CA4">
        <w:t xml:space="preserve"> </w:t>
      </w:r>
      <w:r>
        <w:t xml:space="preserve">presents the annual burden by collection activity. Chemical verification is expected to have a total burden of 2.28 hours annually. Notifying consumers is expected to have a total burden of </w:t>
      </w:r>
      <w:r w:rsidRPr="00DD32DB">
        <w:t>127.</w:t>
      </w:r>
      <w:r>
        <w:t>65 hours annually. Companies are expected to incur a total burden of 3.81 hours for rule familiarization, 13.08 hours for CDX registration activities and a total of 89.91 hours for SNUN completion, each year.</w:t>
      </w:r>
    </w:p>
    <w:p w14:paraId="45BBF783" w14:textId="77777777" w:rsidR="00393AAE" w:rsidRDefault="00393AAE" w:rsidP="00393AAE">
      <w:pPr>
        <w:ind w:firstLine="720"/>
      </w:pPr>
    </w:p>
    <w:p w14:paraId="57132CFD" w14:textId="77777777" w:rsidR="00393AAE" w:rsidRPr="006B3DCD" w:rsidRDefault="00393AAE" w:rsidP="00393AAE">
      <w:pPr>
        <w:keepNext/>
        <w:keepLines/>
        <w:rPr>
          <w:b/>
        </w:rPr>
      </w:pPr>
      <w:bookmarkStart w:id="20" w:name="_Ref424061522"/>
      <w:r w:rsidRPr="00F9765A">
        <w:rPr>
          <w:b/>
        </w:rPr>
        <w:t xml:space="preserve">Table </w:t>
      </w:r>
      <w:r>
        <w:rPr>
          <w:b/>
        </w:rPr>
        <w:fldChar w:fldCharType="begin"/>
      </w:r>
      <w:r>
        <w:rPr>
          <w:b/>
        </w:rPr>
        <w:instrText xml:space="preserve"> SEQ Table \* ARABIC </w:instrText>
      </w:r>
      <w:r>
        <w:rPr>
          <w:b/>
        </w:rPr>
        <w:fldChar w:fldCharType="separate"/>
      </w:r>
      <w:r>
        <w:rPr>
          <w:b/>
          <w:noProof/>
        </w:rPr>
        <w:t>12</w:t>
      </w:r>
      <w:r>
        <w:rPr>
          <w:b/>
        </w:rPr>
        <w:fldChar w:fldCharType="end"/>
      </w:r>
      <w:bookmarkEnd w:id="20"/>
      <w:r w:rsidRPr="00F9765A">
        <w:rPr>
          <w:b/>
        </w:rPr>
        <w:t xml:space="preserve">: </w:t>
      </w:r>
      <w:r w:rsidRPr="006B3DCD">
        <w:rPr>
          <w:b/>
        </w:rPr>
        <w:t xml:space="preserve">Annual Information Collection Tally for ICR Reporting Period </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518"/>
        <w:gridCol w:w="1394"/>
        <w:gridCol w:w="1264"/>
        <w:gridCol w:w="1556"/>
        <w:gridCol w:w="1965"/>
      </w:tblGrid>
      <w:tr w:rsidR="00393AAE" w14:paraId="2ADE0548" w14:textId="77777777" w:rsidTr="008D1A92">
        <w:trPr>
          <w:tblHeader/>
        </w:trPr>
        <w:tc>
          <w:tcPr>
            <w:tcW w:w="1102" w:type="pct"/>
            <w:tcBorders>
              <w:top w:val="single" w:sz="4" w:space="0" w:color="auto"/>
              <w:left w:val="single" w:sz="4" w:space="0" w:color="auto"/>
              <w:bottom w:val="single" w:sz="4" w:space="0" w:color="auto"/>
              <w:right w:val="single" w:sz="4" w:space="0" w:color="auto"/>
            </w:tcBorders>
            <w:vAlign w:val="center"/>
            <w:hideMark/>
          </w:tcPr>
          <w:p w14:paraId="15B1BBE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Information Collection</w:t>
            </w:r>
          </w:p>
        </w:tc>
        <w:tc>
          <w:tcPr>
            <w:tcW w:w="769" w:type="pct"/>
            <w:tcBorders>
              <w:top w:val="single" w:sz="4" w:space="0" w:color="auto"/>
              <w:left w:val="single" w:sz="4" w:space="0" w:color="auto"/>
              <w:bottom w:val="single" w:sz="4" w:space="0" w:color="auto"/>
              <w:right w:val="single" w:sz="4" w:space="0" w:color="auto"/>
            </w:tcBorders>
            <w:vAlign w:val="center"/>
            <w:hideMark/>
          </w:tcPr>
          <w:p w14:paraId="5E83610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No. of </w:t>
            </w:r>
          </w:p>
          <w:p w14:paraId="712DC23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Respondents</w:t>
            </w:r>
          </w:p>
        </w:tc>
        <w:tc>
          <w:tcPr>
            <w:tcW w:w="706" w:type="pct"/>
            <w:tcBorders>
              <w:top w:val="single" w:sz="4" w:space="0" w:color="auto"/>
              <w:left w:val="single" w:sz="4" w:space="0" w:color="auto"/>
              <w:bottom w:val="single" w:sz="4" w:space="0" w:color="auto"/>
              <w:right w:val="single" w:sz="4" w:space="0" w:color="auto"/>
            </w:tcBorders>
            <w:vAlign w:val="center"/>
            <w:hideMark/>
          </w:tcPr>
          <w:p w14:paraId="0380000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No. of Responses / Respondent</w:t>
            </w:r>
          </w:p>
        </w:tc>
        <w:tc>
          <w:tcPr>
            <w:tcW w:w="640" w:type="pct"/>
            <w:tcBorders>
              <w:top w:val="single" w:sz="4" w:space="0" w:color="auto"/>
              <w:left w:val="single" w:sz="4" w:space="0" w:color="auto"/>
              <w:bottom w:val="single" w:sz="4" w:space="0" w:color="auto"/>
              <w:right w:val="single" w:sz="4" w:space="0" w:color="auto"/>
            </w:tcBorders>
            <w:vAlign w:val="center"/>
            <w:hideMark/>
          </w:tcPr>
          <w:p w14:paraId="608D32B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Responses Subtotal</w:t>
            </w:r>
          </w:p>
        </w:tc>
        <w:tc>
          <w:tcPr>
            <w:tcW w:w="788" w:type="pct"/>
            <w:tcBorders>
              <w:top w:val="single" w:sz="4" w:space="0" w:color="auto"/>
              <w:left w:val="single" w:sz="4" w:space="0" w:color="auto"/>
              <w:bottom w:val="single" w:sz="4" w:space="0" w:color="auto"/>
              <w:right w:val="single" w:sz="4" w:space="0" w:color="auto"/>
            </w:tcBorders>
            <w:vAlign w:val="center"/>
            <w:hideMark/>
          </w:tcPr>
          <w:p w14:paraId="23DF056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szCs w:val="22"/>
              </w:rPr>
              <w:t>Annual</w:t>
            </w:r>
            <w:r w:rsidRPr="002806B5">
              <w:rPr>
                <w:b/>
                <w:sz w:val="22"/>
                <w:szCs w:val="22"/>
              </w:rPr>
              <w:t xml:space="preserve"> Burden Hours per Response</w:t>
            </w:r>
          </w:p>
        </w:tc>
        <w:tc>
          <w:tcPr>
            <w:tcW w:w="995" w:type="pct"/>
            <w:tcBorders>
              <w:top w:val="single" w:sz="4" w:space="0" w:color="auto"/>
              <w:left w:val="single" w:sz="4" w:space="0" w:color="auto"/>
              <w:bottom w:val="single" w:sz="4" w:space="0" w:color="auto"/>
              <w:right w:val="single" w:sz="4" w:space="0" w:color="auto"/>
            </w:tcBorders>
            <w:vAlign w:val="center"/>
            <w:hideMark/>
          </w:tcPr>
          <w:p w14:paraId="3DDEE402"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sz w:val="22"/>
                <w:szCs w:val="22"/>
              </w:rPr>
              <w:t>Annual</w:t>
            </w:r>
            <w:r w:rsidRPr="002806B5">
              <w:rPr>
                <w:b/>
                <w:sz w:val="22"/>
                <w:szCs w:val="22"/>
              </w:rPr>
              <w:t xml:space="preserve"> Burden Hours </w:t>
            </w:r>
            <w:r>
              <w:rPr>
                <w:b/>
                <w:sz w:val="22"/>
                <w:szCs w:val="22"/>
              </w:rPr>
              <w:t>per Activity</w:t>
            </w:r>
          </w:p>
        </w:tc>
      </w:tr>
      <w:tr w:rsidR="00393AAE" w14:paraId="409F7C16" w14:textId="77777777" w:rsidTr="008D1A92">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7D6BD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2806B5">
              <w:rPr>
                <w:b/>
                <w:i/>
                <w:color w:val="000000"/>
                <w:sz w:val="22"/>
                <w:szCs w:val="22"/>
              </w:rPr>
              <w:t>Per Firm Activities</w:t>
            </w:r>
          </w:p>
        </w:tc>
      </w:tr>
      <w:tr w:rsidR="00393AAE" w14:paraId="6B09FD75" w14:textId="77777777" w:rsidTr="008D1A92">
        <w:tc>
          <w:tcPr>
            <w:tcW w:w="1102" w:type="pct"/>
            <w:tcBorders>
              <w:top w:val="single" w:sz="4" w:space="0" w:color="auto"/>
              <w:left w:val="single" w:sz="4" w:space="0" w:color="auto"/>
              <w:bottom w:val="single" w:sz="4" w:space="0" w:color="auto"/>
              <w:right w:val="single" w:sz="4" w:space="0" w:color="auto"/>
            </w:tcBorders>
            <w:vAlign w:val="center"/>
            <w:hideMark/>
          </w:tcPr>
          <w:p w14:paraId="4168356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 xml:space="preserve">Rule </w:t>
            </w:r>
            <w:r>
              <w:rPr>
                <w:sz w:val="22"/>
                <w:szCs w:val="22"/>
              </w:rPr>
              <w:t>f</w:t>
            </w:r>
            <w:r w:rsidRPr="002806B5">
              <w:rPr>
                <w:sz w:val="22"/>
                <w:szCs w:val="22"/>
              </w:rPr>
              <w:t>amiliarization</w:t>
            </w:r>
          </w:p>
        </w:tc>
        <w:tc>
          <w:tcPr>
            <w:tcW w:w="769" w:type="pct"/>
            <w:tcBorders>
              <w:top w:val="single" w:sz="4" w:space="0" w:color="auto"/>
              <w:left w:val="single" w:sz="4" w:space="0" w:color="auto"/>
              <w:bottom w:val="single" w:sz="4" w:space="0" w:color="auto"/>
              <w:right w:val="single" w:sz="4" w:space="0" w:color="auto"/>
            </w:tcBorders>
            <w:vAlign w:val="center"/>
          </w:tcPr>
          <w:p w14:paraId="55D683D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4.67</w:t>
            </w:r>
          </w:p>
        </w:tc>
        <w:tc>
          <w:tcPr>
            <w:tcW w:w="706" w:type="pct"/>
            <w:tcBorders>
              <w:top w:val="single" w:sz="4" w:space="0" w:color="auto"/>
              <w:left w:val="single" w:sz="4" w:space="0" w:color="auto"/>
              <w:bottom w:val="single" w:sz="4" w:space="0" w:color="auto"/>
              <w:right w:val="single" w:sz="4" w:space="0" w:color="auto"/>
            </w:tcBorders>
            <w:vAlign w:val="center"/>
            <w:hideMark/>
          </w:tcPr>
          <w:p w14:paraId="218CC8D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1</w:t>
            </w:r>
          </w:p>
        </w:tc>
        <w:tc>
          <w:tcPr>
            <w:tcW w:w="640" w:type="pct"/>
            <w:tcBorders>
              <w:top w:val="single" w:sz="4" w:space="0" w:color="auto"/>
              <w:left w:val="single" w:sz="4" w:space="0" w:color="auto"/>
              <w:bottom w:val="single" w:sz="4" w:space="0" w:color="auto"/>
              <w:right w:val="single" w:sz="4" w:space="0" w:color="auto"/>
            </w:tcBorders>
            <w:vAlign w:val="center"/>
          </w:tcPr>
          <w:p w14:paraId="3102A67F"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4.67</w:t>
            </w:r>
          </w:p>
        </w:tc>
        <w:tc>
          <w:tcPr>
            <w:tcW w:w="788" w:type="pct"/>
            <w:tcBorders>
              <w:top w:val="single" w:sz="4" w:space="0" w:color="auto"/>
              <w:left w:val="single" w:sz="4" w:space="0" w:color="auto"/>
              <w:bottom w:val="single" w:sz="4" w:space="0" w:color="auto"/>
              <w:right w:val="single" w:sz="4" w:space="0" w:color="auto"/>
            </w:tcBorders>
            <w:vAlign w:val="center"/>
            <w:hideMark/>
          </w:tcPr>
          <w:p w14:paraId="4DBA124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0.82</w:t>
            </w:r>
          </w:p>
        </w:tc>
        <w:tc>
          <w:tcPr>
            <w:tcW w:w="995" w:type="pct"/>
            <w:tcBorders>
              <w:top w:val="single" w:sz="4" w:space="0" w:color="auto"/>
              <w:left w:val="single" w:sz="4" w:space="0" w:color="auto"/>
              <w:bottom w:val="single" w:sz="4" w:space="0" w:color="auto"/>
              <w:right w:val="single" w:sz="4" w:space="0" w:color="auto"/>
            </w:tcBorders>
            <w:vAlign w:val="center"/>
            <w:hideMark/>
          </w:tcPr>
          <w:p w14:paraId="765D0EB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3.81</w:t>
            </w:r>
          </w:p>
        </w:tc>
      </w:tr>
      <w:tr w:rsidR="00393AAE" w14:paraId="35DDBFEA" w14:textId="77777777" w:rsidTr="008D1A92">
        <w:tc>
          <w:tcPr>
            <w:tcW w:w="1102" w:type="pct"/>
            <w:tcBorders>
              <w:top w:val="single" w:sz="4" w:space="0" w:color="auto"/>
              <w:left w:val="single" w:sz="4" w:space="0" w:color="auto"/>
              <w:bottom w:val="dotted" w:sz="4" w:space="0" w:color="auto"/>
              <w:right w:val="single" w:sz="4" w:space="0" w:color="auto"/>
            </w:tcBorders>
            <w:vAlign w:val="center"/>
            <w:hideMark/>
          </w:tcPr>
          <w:p w14:paraId="794D6B42"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CDX registration activities</w:t>
            </w:r>
          </w:p>
        </w:tc>
        <w:tc>
          <w:tcPr>
            <w:tcW w:w="769" w:type="pct"/>
            <w:tcBorders>
              <w:top w:val="single" w:sz="4" w:space="0" w:color="auto"/>
              <w:left w:val="single" w:sz="4" w:space="0" w:color="auto"/>
              <w:bottom w:val="dotted" w:sz="4" w:space="0" w:color="auto"/>
              <w:right w:val="single" w:sz="4" w:space="0" w:color="auto"/>
            </w:tcBorders>
            <w:vAlign w:val="center"/>
          </w:tcPr>
          <w:p w14:paraId="2A18C9A0"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4.67</w:t>
            </w:r>
          </w:p>
        </w:tc>
        <w:tc>
          <w:tcPr>
            <w:tcW w:w="706" w:type="pct"/>
            <w:tcBorders>
              <w:top w:val="single" w:sz="4" w:space="0" w:color="auto"/>
              <w:left w:val="single" w:sz="4" w:space="0" w:color="auto"/>
              <w:bottom w:val="dotted" w:sz="4" w:space="0" w:color="auto"/>
              <w:right w:val="single" w:sz="4" w:space="0" w:color="auto"/>
            </w:tcBorders>
            <w:vAlign w:val="center"/>
            <w:hideMark/>
          </w:tcPr>
          <w:p w14:paraId="13FBC25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w:t>
            </w:r>
          </w:p>
        </w:tc>
        <w:tc>
          <w:tcPr>
            <w:tcW w:w="640" w:type="pct"/>
            <w:tcBorders>
              <w:top w:val="single" w:sz="4" w:space="0" w:color="auto"/>
              <w:left w:val="single" w:sz="4" w:space="0" w:color="auto"/>
              <w:bottom w:val="dotted" w:sz="4" w:space="0" w:color="auto"/>
              <w:right w:val="single" w:sz="4" w:space="0" w:color="auto"/>
            </w:tcBorders>
            <w:vAlign w:val="center"/>
          </w:tcPr>
          <w:p w14:paraId="3C5B347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4.67</w:t>
            </w:r>
          </w:p>
        </w:tc>
        <w:tc>
          <w:tcPr>
            <w:tcW w:w="788" w:type="pct"/>
            <w:tcBorders>
              <w:top w:val="single" w:sz="4" w:space="0" w:color="auto"/>
              <w:left w:val="single" w:sz="4" w:space="0" w:color="auto"/>
              <w:bottom w:val="dotted" w:sz="4" w:space="0" w:color="auto"/>
              <w:right w:val="single" w:sz="4" w:space="0" w:color="auto"/>
            </w:tcBorders>
            <w:vAlign w:val="center"/>
            <w:hideMark/>
          </w:tcPr>
          <w:p w14:paraId="11F856D5"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2.80</w:t>
            </w:r>
          </w:p>
        </w:tc>
        <w:tc>
          <w:tcPr>
            <w:tcW w:w="995" w:type="pct"/>
            <w:tcBorders>
              <w:top w:val="single" w:sz="4" w:space="0" w:color="auto"/>
              <w:left w:val="single" w:sz="4" w:space="0" w:color="auto"/>
              <w:bottom w:val="dotted" w:sz="4" w:space="0" w:color="auto"/>
              <w:right w:val="single" w:sz="4" w:space="0" w:color="auto"/>
            </w:tcBorders>
            <w:vAlign w:val="center"/>
            <w:hideMark/>
          </w:tcPr>
          <w:p w14:paraId="7F27D32F"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13.08</w:t>
            </w:r>
          </w:p>
        </w:tc>
      </w:tr>
      <w:tr w:rsidR="00393AAE" w14:paraId="09DD6665" w14:textId="77777777" w:rsidTr="008D1A92">
        <w:tc>
          <w:tcPr>
            <w:tcW w:w="1102" w:type="pct"/>
            <w:tcBorders>
              <w:top w:val="dotted" w:sz="4" w:space="0" w:color="auto"/>
              <w:left w:val="single" w:sz="4" w:space="0" w:color="auto"/>
              <w:bottom w:val="dotted" w:sz="4" w:space="0" w:color="auto"/>
              <w:right w:val="single" w:sz="4" w:space="0" w:color="auto"/>
            </w:tcBorders>
            <w:vAlign w:val="center"/>
            <w:hideMark/>
          </w:tcPr>
          <w:p w14:paraId="17184801"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CDX r</w:t>
            </w:r>
            <w:r w:rsidRPr="002806B5">
              <w:rPr>
                <w:i/>
                <w:sz w:val="22"/>
                <w:szCs w:val="22"/>
              </w:rPr>
              <w:t>egistration</w:t>
            </w:r>
          </w:p>
        </w:tc>
        <w:tc>
          <w:tcPr>
            <w:tcW w:w="769" w:type="pct"/>
            <w:tcBorders>
              <w:top w:val="dotted" w:sz="4" w:space="0" w:color="auto"/>
              <w:left w:val="single" w:sz="4" w:space="0" w:color="auto"/>
              <w:bottom w:val="dotted" w:sz="4" w:space="0" w:color="auto"/>
              <w:right w:val="single" w:sz="4" w:space="0" w:color="auto"/>
            </w:tcBorders>
            <w:vAlign w:val="center"/>
          </w:tcPr>
          <w:p w14:paraId="198F1998"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4.67</w:t>
            </w:r>
          </w:p>
        </w:tc>
        <w:tc>
          <w:tcPr>
            <w:tcW w:w="706" w:type="pct"/>
            <w:tcBorders>
              <w:top w:val="dotted" w:sz="4" w:space="0" w:color="auto"/>
              <w:left w:val="single" w:sz="4" w:space="0" w:color="auto"/>
              <w:bottom w:val="dotted" w:sz="4" w:space="0" w:color="auto"/>
              <w:right w:val="single" w:sz="4" w:space="0" w:color="auto"/>
            </w:tcBorders>
            <w:vAlign w:val="center"/>
            <w:hideMark/>
          </w:tcPr>
          <w:p w14:paraId="21D59DC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w:t>
            </w:r>
          </w:p>
        </w:tc>
        <w:tc>
          <w:tcPr>
            <w:tcW w:w="640" w:type="pct"/>
            <w:tcBorders>
              <w:top w:val="dotted" w:sz="4" w:space="0" w:color="auto"/>
              <w:left w:val="single" w:sz="4" w:space="0" w:color="auto"/>
              <w:bottom w:val="dotted" w:sz="4" w:space="0" w:color="auto"/>
              <w:right w:val="single" w:sz="4" w:space="0" w:color="auto"/>
            </w:tcBorders>
            <w:vAlign w:val="center"/>
          </w:tcPr>
          <w:p w14:paraId="1B12D906"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4.67</w:t>
            </w:r>
          </w:p>
        </w:tc>
        <w:tc>
          <w:tcPr>
            <w:tcW w:w="788" w:type="pct"/>
            <w:tcBorders>
              <w:top w:val="dotted" w:sz="4" w:space="0" w:color="auto"/>
              <w:left w:val="single" w:sz="4" w:space="0" w:color="auto"/>
              <w:bottom w:val="dotted" w:sz="4" w:space="0" w:color="auto"/>
              <w:right w:val="single" w:sz="4" w:space="0" w:color="auto"/>
            </w:tcBorders>
            <w:vAlign w:val="center"/>
            <w:hideMark/>
          </w:tcPr>
          <w:p w14:paraId="3D1C8D1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0.92</w:t>
            </w:r>
          </w:p>
        </w:tc>
        <w:tc>
          <w:tcPr>
            <w:tcW w:w="995" w:type="pct"/>
            <w:tcBorders>
              <w:top w:val="dotted" w:sz="4" w:space="0" w:color="auto"/>
              <w:left w:val="single" w:sz="4" w:space="0" w:color="auto"/>
              <w:bottom w:val="dotted" w:sz="4" w:space="0" w:color="auto"/>
              <w:right w:val="single" w:sz="4" w:space="0" w:color="auto"/>
            </w:tcBorders>
            <w:vAlign w:val="center"/>
            <w:hideMark/>
          </w:tcPr>
          <w:p w14:paraId="0B5D0033" w14:textId="77777777" w:rsidR="00393AAE" w:rsidRPr="00A72DE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4.28</w:t>
            </w:r>
          </w:p>
        </w:tc>
      </w:tr>
      <w:tr w:rsidR="00393AAE" w14:paraId="6FF4DE05" w14:textId="77777777" w:rsidTr="008D1A92">
        <w:tc>
          <w:tcPr>
            <w:tcW w:w="1102" w:type="pct"/>
            <w:tcBorders>
              <w:top w:val="dotted" w:sz="4" w:space="0" w:color="auto"/>
              <w:left w:val="single" w:sz="4" w:space="0" w:color="auto"/>
              <w:bottom w:val="dotted" w:sz="4" w:space="0" w:color="auto"/>
              <w:right w:val="single" w:sz="4" w:space="0" w:color="auto"/>
            </w:tcBorders>
            <w:vAlign w:val="center"/>
            <w:hideMark/>
          </w:tcPr>
          <w:p w14:paraId="0DADD735"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sidRPr="002806B5">
              <w:rPr>
                <w:i/>
                <w:sz w:val="22"/>
                <w:szCs w:val="22"/>
              </w:rPr>
              <w:t>ESA</w:t>
            </w:r>
          </w:p>
        </w:tc>
        <w:tc>
          <w:tcPr>
            <w:tcW w:w="769" w:type="pct"/>
            <w:tcBorders>
              <w:top w:val="dotted" w:sz="4" w:space="0" w:color="auto"/>
              <w:left w:val="single" w:sz="4" w:space="0" w:color="auto"/>
              <w:bottom w:val="dotted" w:sz="4" w:space="0" w:color="auto"/>
              <w:right w:val="single" w:sz="4" w:space="0" w:color="auto"/>
            </w:tcBorders>
            <w:vAlign w:val="center"/>
          </w:tcPr>
          <w:p w14:paraId="6125CDAA"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4.67</w:t>
            </w:r>
          </w:p>
        </w:tc>
        <w:tc>
          <w:tcPr>
            <w:tcW w:w="706" w:type="pct"/>
            <w:tcBorders>
              <w:top w:val="dotted" w:sz="4" w:space="0" w:color="auto"/>
              <w:left w:val="single" w:sz="4" w:space="0" w:color="auto"/>
              <w:bottom w:val="dotted" w:sz="4" w:space="0" w:color="auto"/>
              <w:right w:val="single" w:sz="4" w:space="0" w:color="auto"/>
            </w:tcBorders>
            <w:vAlign w:val="center"/>
            <w:hideMark/>
          </w:tcPr>
          <w:p w14:paraId="024FE28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w:t>
            </w:r>
          </w:p>
        </w:tc>
        <w:tc>
          <w:tcPr>
            <w:tcW w:w="640" w:type="pct"/>
            <w:tcBorders>
              <w:top w:val="dotted" w:sz="4" w:space="0" w:color="auto"/>
              <w:left w:val="single" w:sz="4" w:space="0" w:color="auto"/>
              <w:bottom w:val="dotted" w:sz="4" w:space="0" w:color="auto"/>
              <w:right w:val="single" w:sz="4" w:space="0" w:color="auto"/>
            </w:tcBorders>
            <w:vAlign w:val="center"/>
          </w:tcPr>
          <w:p w14:paraId="4DB3155C"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4.67</w:t>
            </w:r>
          </w:p>
        </w:tc>
        <w:tc>
          <w:tcPr>
            <w:tcW w:w="788" w:type="pct"/>
            <w:tcBorders>
              <w:top w:val="dotted" w:sz="4" w:space="0" w:color="auto"/>
              <w:left w:val="single" w:sz="4" w:space="0" w:color="auto"/>
              <w:bottom w:val="dotted" w:sz="4" w:space="0" w:color="auto"/>
              <w:right w:val="single" w:sz="4" w:space="0" w:color="auto"/>
            </w:tcBorders>
            <w:vAlign w:val="center"/>
            <w:hideMark/>
          </w:tcPr>
          <w:p w14:paraId="6A4757F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1.75</w:t>
            </w:r>
          </w:p>
        </w:tc>
        <w:tc>
          <w:tcPr>
            <w:tcW w:w="995" w:type="pct"/>
            <w:tcBorders>
              <w:top w:val="dotted" w:sz="4" w:space="0" w:color="auto"/>
              <w:left w:val="single" w:sz="4" w:space="0" w:color="auto"/>
              <w:bottom w:val="dotted" w:sz="4" w:space="0" w:color="auto"/>
              <w:right w:val="single" w:sz="4" w:space="0" w:color="auto"/>
            </w:tcBorders>
            <w:vAlign w:val="center"/>
            <w:hideMark/>
          </w:tcPr>
          <w:p w14:paraId="4E06A500" w14:textId="77777777" w:rsidR="00393AAE" w:rsidRPr="00A72DE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8.17</w:t>
            </w:r>
          </w:p>
        </w:tc>
      </w:tr>
      <w:tr w:rsidR="00393AAE" w14:paraId="0E969C2C" w14:textId="77777777" w:rsidTr="008D1A92">
        <w:tc>
          <w:tcPr>
            <w:tcW w:w="1102" w:type="pct"/>
            <w:tcBorders>
              <w:top w:val="dotted" w:sz="4" w:space="0" w:color="auto"/>
              <w:left w:val="single" w:sz="4" w:space="0" w:color="auto"/>
              <w:bottom w:val="single" w:sz="4" w:space="0" w:color="auto"/>
              <w:right w:val="single" w:sz="4" w:space="0" w:color="auto"/>
            </w:tcBorders>
            <w:vAlign w:val="center"/>
          </w:tcPr>
          <w:p w14:paraId="1FF64AAC"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Pay.gov a</w:t>
            </w:r>
            <w:r w:rsidRPr="002806B5">
              <w:rPr>
                <w:i/>
                <w:sz w:val="22"/>
                <w:szCs w:val="22"/>
              </w:rPr>
              <w:t xml:space="preserve">ccount </w:t>
            </w:r>
          </w:p>
        </w:tc>
        <w:tc>
          <w:tcPr>
            <w:tcW w:w="769" w:type="pct"/>
            <w:tcBorders>
              <w:top w:val="dotted" w:sz="4" w:space="0" w:color="auto"/>
              <w:left w:val="single" w:sz="4" w:space="0" w:color="auto"/>
              <w:bottom w:val="single" w:sz="4" w:space="0" w:color="auto"/>
              <w:right w:val="single" w:sz="4" w:space="0" w:color="auto"/>
            </w:tcBorders>
            <w:vAlign w:val="center"/>
          </w:tcPr>
          <w:p w14:paraId="469B6ED8"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4.67</w:t>
            </w:r>
          </w:p>
        </w:tc>
        <w:tc>
          <w:tcPr>
            <w:tcW w:w="706" w:type="pct"/>
            <w:tcBorders>
              <w:top w:val="dotted" w:sz="4" w:space="0" w:color="auto"/>
              <w:left w:val="single" w:sz="4" w:space="0" w:color="auto"/>
              <w:bottom w:val="single" w:sz="4" w:space="0" w:color="auto"/>
              <w:right w:val="single" w:sz="4" w:space="0" w:color="auto"/>
            </w:tcBorders>
            <w:vAlign w:val="center"/>
          </w:tcPr>
          <w:p w14:paraId="53F81D7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2"/>
              </w:rPr>
            </w:pPr>
            <w:r>
              <w:rPr>
                <w:i/>
                <w:iCs/>
                <w:color w:val="000000"/>
                <w:sz w:val="22"/>
                <w:szCs w:val="22"/>
              </w:rPr>
              <w:t>1</w:t>
            </w:r>
          </w:p>
        </w:tc>
        <w:tc>
          <w:tcPr>
            <w:tcW w:w="640" w:type="pct"/>
            <w:tcBorders>
              <w:top w:val="dotted" w:sz="4" w:space="0" w:color="auto"/>
              <w:left w:val="single" w:sz="4" w:space="0" w:color="auto"/>
              <w:bottom w:val="single" w:sz="4" w:space="0" w:color="auto"/>
              <w:right w:val="single" w:sz="4" w:space="0" w:color="auto"/>
            </w:tcBorders>
            <w:vAlign w:val="center"/>
          </w:tcPr>
          <w:p w14:paraId="708E9B77" w14:textId="77777777" w:rsidR="00393AAE" w:rsidRPr="00160391"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color w:val="000000"/>
                <w:sz w:val="22"/>
              </w:rPr>
            </w:pPr>
            <w:r>
              <w:rPr>
                <w:color w:val="000000"/>
                <w:sz w:val="22"/>
                <w:szCs w:val="22"/>
              </w:rPr>
              <w:t>4.67</w:t>
            </w:r>
          </w:p>
        </w:tc>
        <w:tc>
          <w:tcPr>
            <w:tcW w:w="788" w:type="pct"/>
            <w:tcBorders>
              <w:top w:val="dotted" w:sz="4" w:space="0" w:color="auto"/>
              <w:left w:val="single" w:sz="4" w:space="0" w:color="auto"/>
              <w:bottom w:val="single" w:sz="4" w:space="0" w:color="auto"/>
              <w:right w:val="single" w:sz="4" w:space="0" w:color="auto"/>
            </w:tcBorders>
            <w:vAlign w:val="center"/>
          </w:tcPr>
          <w:p w14:paraId="29EF2A8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0.13</w:t>
            </w:r>
          </w:p>
        </w:tc>
        <w:tc>
          <w:tcPr>
            <w:tcW w:w="995" w:type="pct"/>
            <w:tcBorders>
              <w:top w:val="dotted" w:sz="4" w:space="0" w:color="auto"/>
              <w:left w:val="single" w:sz="4" w:space="0" w:color="auto"/>
              <w:bottom w:val="single" w:sz="4" w:space="0" w:color="auto"/>
              <w:right w:val="single" w:sz="4" w:space="0" w:color="auto"/>
            </w:tcBorders>
            <w:vAlign w:val="center"/>
          </w:tcPr>
          <w:p w14:paraId="573E5D85" w14:textId="77777777" w:rsidR="00393AAE" w:rsidRPr="00A72DE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0.62</w:t>
            </w:r>
          </w:p>
        </w:tc>
      </w:tr>
      <w:tr w:rsidR="00393AAE" w14:paraId="1915B963" w14:textId="77777777" w:rsidTr="008D1A92">
        <w:tc>
          <w:tcPr>
            <w:tcW w:w="1102" w:type="pct"/>
            <w:tcBorders>
              <w:top w:val="single" w:sz="4" w:space="0" w:color="auto"/>
              <w:left w:val="single" w:sz="4" w:space="0" w:color="auto"/>
              <w:bottom w:val="single" w:sz="4" w:space="0" w:color="auto"/>
              <w:right w:val="single" w:sz="4" w:space="0" w:color="auto"/>
            </w:tcBorders>
            <w:vAlign w:val="center"/>
            <w:hideMark/>
          </w:tcPr>
          <w:p w14:paraId="42F20A3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sz w:val="22"/>
                <w:szCs w:val="22"/>
              </w:rPr>
              <w:t>Preparation, submission, and recordkeeping for SNUN</w:t>
            </w:r>
          </w:p>
        </w:tc>
        <w:tc>
          <w:tcPr>
            <w:tcW w:w="769" w:type="pct"/>
            <w:tcBorders>
              <w:top w:val="single" w:sz="4" w:space="0" w:color="auto"/>
              <w:left w:val="single" w:sz="4" w:space="0" w:color="auto"/>
              <w:bottom w:val="single" w:sz="4" w:space="0" w:color="auto"/>
              <w:right w:val="single" w:sz="4" w:space="0" w:color="auto"/>
            </w:tcBorders>
            <w:vAlign w:val="center"/>
          </w:tcPr>
          <w:p w14:paraId="5A7DDB35"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4.67</w:t>
            </w:r>
          </w:p>
        </w:tc>
        <w:tc>
          <w:tcPr>
            <w:tcW w:w="706" w:type="pct"/>
            <w:tcBorders>
              <w:top w:val="single" w:sz="4" w:space="0" w:color="auto"/>
              <w:left w:val="single" w:sz="4" w:space="0" w:color="auto"/>
              <w:bottom w:val="single" w:sz="4" w:space="0" w:color="auto"/>
              <w:right w:val="single" w:sz="4" w:space="0" w:color="auto"/>
            </w:tcBorders>
            <w:vAlign w:val="center"/>
            <w:hideMark/>
          </w:tcPr>
          <w:p w14:paraId="294F5F3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0.21</w:t>
            </w:r>
          </w:p>
        </w:tc>
        <w:tc>
          <w:tcPr>
            <w:tcW w:w="640" w:type="pct"/>
            <w:tcBorders>
              <w:top w:val="single" w:sz="4" w:space="0" w:color="auto"/>
              <w:left w:val="single" w:sz="4" w:space="0" w:color="auto"/>
              <w:bottom w:val="single" w:sz="4" w:space="0" w:color="auto"/>
              <w:right w:val="single" w:sz="4" w:space="0" w:color="auto"/>
            </w:tcBorders>
            <w:vAlign w:val="center"/>
          </w:tcPr>
          <w:p w14:paraId="6503939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0.98</w:t>
            </w:r>
          </w:p>
        </w:tc>
        <w:tc>
          <w:tcPr>
            <w:tcW w:w="788" w:type="pct"/>
            <w:tcBorders>
              <w:top w:val="single" w:sz="4" w:space="0" w:color="auto"/>
              <w:left w:val="single" w:sz="4" w:space="0" w:color="auto"/>
              <w:bottom w:val="single" w:sz="4" w:space="0" w:color="auto"/>
              <w:right w:val="single" w:sz="4" w:space="0" w:color="auto"/>
            </w:tcBorders>
            <w:vAlign w:val="center"/>
            <w:hideMark/>
          </w:tcPr>
          <w:p w14:paraId="5542224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91.68</w:t>
            </w:r>
          </w:p>
        </w:tc>
        <w:tc>
          <w:tcPr>
            <w:tcW w:w="995" w:type="pct"/>
            <w:tcBorders>
              <w:top w:val="single" w:sz="4" w:space="0" w:color="auto"/>
              <w:left w:val="single" w:sz="4" w:space="0" w:color="auto"/>
              <w:bottom w:val="single" w:sz="4" w:space="0" w:color="auto"/>
              <w:right w:val="single" w:sz="4" w:space="0" w:color="auto"/>
            </w:tcBorders>
            <w:vAlign w:val="center"/>
            <w:hideMark/>
          </w:tcPr>
          <w:p w14:paraId="652A0BD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89.91</w:t>
            </w:r>
          </w:p>
        </w:tc>
      </w:tr>
      <w:tr w:rsidR="00393AAE" w14:paraId="4DC15F18" w14:textId="77777777" w:rsidTr="008D1A92">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75C2DC"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i/>
                <w:color w:val="000000"/>
                <w:sz w:val="22"/>
                <w:szCs w:val="22"/>
              </w:rPr>
              <w:t>Per SNUR Activities</w:t>
            </w:r>
          </w:p>
        </w:tc>
      </w:tr>
      <w:tr w:rsidR="00393AAE" w14:paraId="1E8D97B8" w14:textId="77777777" w:rsidTr="008D1A92">
        <w:tc>
          <w:tcPr>
            <w:tcW w:w="1102" w:type="pct"/>
            <w:tcBorders>
              <w:top w:val="single" w:sz="4" w:space="0" w:color="auto"/>
              <w:left w:val="single" w:sz="4" w:space="0" w:color="auto"/>
              <w:bottom w:val="single" w:sz="4" w:space="0" w:color="auto"/>
              <w:right w:val="single" w:sz="4" w:space="0" w:color="auto"/>
            </w:tcBorders>
            <w:vAlign w:val="center"/>
          </w:tcPr>
          <w:p w14:paraId="0E69E83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color w:val="000000"/>
                <w:sz w:val="22"/>
              </w:rPr>
            </w:pPr>
            <w:r w:rsidRPr="002806B5">
              <w:rPr>
                <w:color w:val="000000"/>
                <w:sz w:val="22"/>
                <w:szCs w:val="22"/>
              </w:rPr>
              <w:t xml:space="preserve">Chemical </w:t>
            </w:r>
            <w:r>
              <w:rPr>
                <w:color w:val="000000"/>
                <w:sz w:val="22"/>
                <w:szCs w:val="22"/>
              </w:rPr>
              <w:t>v</w:t>
            </w:r>
            <w:r w:rsidRPr="002806B5">
              <w:rPr>
                <w:color w:val="000000"/>
                <w:sz w:val="22"/>
                <w:szCs w:val="22"/>
              </w:rPr>
              <w:t>erification</w:t>
            </w:r>
          </w:p>
        </w:tc>
        <w:tc>
          <w:tcPr>
            <w:tcW w:w="769" w:type="pct"/>
            <w:tcBorders>
              <w:top w:val="single" w:sz="4" w:space="0" w:color="auto"/>
              <w:left w:val="single" w:sz="4" w:space="0" w:color="auto"/>
              <w:bottom w:val="single" w:sz="4" w:space="0" w:color="auto"/>
              <w:right w:val="single" w:sz="4" w:space="0" w:color="auto"/>
            </w:tcBorders>
            <w:vAlign w:val="center"/>
          </w:tcPr>
          <w:p w14:paraId="0FFE97A5"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w:t>
            </w:r>
          </w:p>
        </w:tc>
        <w:tc>
          <w:tcPr>
            <w:tcW w:w="706" w:type="pct"/>
            <w:tcBorders>
              <w:top w:val="single" w:sz="4" w:space="0" w:color="auto"/>
              <w:left w:val="single" w:sz="4" w:space="0" w:color="auto"/>
              <w:bottom w:val="single" w:sz="4" w:space="0" w:color="auto"/>
              <w:right w:val="single" w:sz="4" w:space="0" w:color="auto"/>
            </w:tcBorders>
            <w:vAlign w:val="center"/>
          </w:tcPr>
          <w:p w14:paraId="350C4C9D"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w:t>
            </w:r>
          </w:p>
        </w:tc>
        <w:tc>
          <w:tcPr>
            <w:tcW w:w="640" w:type="pct"/>
            <w:tcBorders>
              <w:top w:val="single" w:sz="4" w:space="0" w:color="auto"/>
              <w:left w:val="single" w:sz="4" w:space="0" w:color="auto"/>
              <w:bottom w:val="single" w:sz="4" w:space="0" w:color="auto"/>
              <w:right w:val="single" w:sz="4" w:space="0" w:color="auto"/>
            </w:tcBorders>
            <w:vAlign w:val="center"/>
          </w:tcPr>
          <w:p w14:paraId="33E3FB4D"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w:t>
            </w:r>
          </w:p>
        </w:tc>
        <w:tc>
          <w:tcPr>
            <w:tcW w:w="788" w:type="pct"/>
            <w:tcBorders>
              <w:top w:val="single" w:sz="4" w:space="0" w:color="auto"/>
              <w:left w:val="single" w:sz="4" w:space="0" w:color="auto"/>
              <w:bottom w:val="single" w:sz="4" w:space="0" w:color="auto"/>
              <w:right w:val="single" w:sz="4" w:space="0" w:color="auto"/>
            </w:tcBorders>
            <w:vAlign w:val="center"/>
          </w:tcPr>
          <w:p w14:paraId="4C2C91C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1.14</w:t>
            </w:r>
          </w:p>
        </w:tc>
        <w:tc>
          <w:tcPr>
            <w:tcW w:w="995" w:type="pct"/>
            <w:tcBorders>
              <w:top w:val="single" w:sz="4" w:space="0" w:color="auto"/>
              <w:left w:val="single" w:sz="4" w:space="0" w:color="auto"/>
              <w:bottom w:val="single" w:sz="4" w:space="0" w:color="auto"/>
              <w:right w:val="single" w:sz="4" w:space="0" w:color="auto"/>
            </w:tcBorders>
            <w:vAlign w:val="center"/>
          </w:tcPr>
          <w:p w14:paraId="64E0C90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2.28</w:t>
            </w:r>
          </w:p>
        </w:tc>
      </w:tr>
      <w:tr w:rsidR="00393AAE" w14:paraId="1BF855A9" w14:textId="77777777" w:rsidTr="008D1A92">
        <w:tc>
          <w:tcPr>
            <w:tcW w:w="1102" w:type="pct"/>
            <w:tcBorders>
              <w:top w:val="single" w:sz="4" w:space="0" w:color="auto"/>
              <w:left w:val="single" w:sz="4" w:space="0" w:color="auto"/>
              <w:bottom w:val="single" w:sz="4" w:space="0" w:color="auto"/>
              <w:right w:val="single" w:sz="4" w:space="0" w:color="auto"/>
            </w:tcBorders>
            <w:vAlign w:val="center"/>
          </w:tcPr>
          <w:p w14:paraId="390236D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color w:val="000000"/>
                <w:sz w:val="22"/>
                <w:szCs w:val="22"/>
              </w:rPr>
              <w:t xml:space="preserve">Notifying </w:t>
            </w:r>
            <w:r>
              <w:rPr>
                <w:color w:val="000000"/>
                <w:sz w:val="22"/>
                <w:szCs w:val="22"/>
              </w:rPr>
              <w:t>c</w:t>
            </w:r>
            <w:r w:rsidRPr="002806B5">
              <w:rPr>
                <w:color w:val="000000"/>
                <w:sz w:val="22"/>
                <w:szCs w:val="22"/>
              </w:rPr>
              <w:t>ustomers (</w:t>
            </w:r>
            <w:r>
              <w:rPr>
                <w:color w:val="000000"/>
                <w:sz w:val="22"/>
                <w:szCs w:val="22"/>
              </w:rPr>
              <w:t>p</w:t>
            </w:r>
            <w:r w:rsidRPr="002806B5">
              <w:rPr>
                <w:color w:val="000000"/>
                <w:sz w:val="22"/>
                <w:szCs w:val="22"/>
              </w:rPr>
              <w:t>er SNUR)</w:t>
            </w:r>
          </w:p>
        </w:tc>
        <w:tc>
          <w:tcPr>
            <w:tcW w:w="769" w:type="pct"/>
            <w:tcBorders>
              <w:top w:val="single" w:sz="4" w:space="0" w:color="auto"/>
              <w:left w:val="single" w:sz="4" w:space="0" w:color="auto"/>
              <w:bottom w:val="single" w:sz="4" w:space="0" w:color="auto"/>
              <w:right w:val="single" w:sz="4" w:space="0" w:color="auto"/>
            </w:tcBorders>
            <w:vAlign w:val="center"/>
          </w:tcPr>
          <w:p w14:paraId="24FE135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4.67</w:t>
            </w:r>
          </w:p>
        </w:tc>
        <w:tc>
          <w:tcPr>
            <w:tcW w:w="706" w:type="pct"/>
            <w:tcBorders>
              <w:top w:val="single" w:sz="4" w:space="0" w:color="auto"/>
              <w:left w:val="single" w:sz="4" w:space="0" w:color="auto"/>
              <w:bottom w:val="single" w:sz="4" w:space="0" w:color="auto"/>
              <w:right w:val="single" w:sz="4" w:space="0" w:color="auto"/>
            </w:tcBorders>
            <w:vAlign w:val="center"/>
          </w:tcPr>
          <w:p w14:paraId="4238F6E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w:t>
            </w:r>
          </w:p>
        </w:tc>
        <w:tc>
          <w:tcPr>
            <w:tcW w:w="640" w:type="pct"/>
            <w:tcBorders>
              <w:top w:val="single" w:sz="4" w:space="0" w:color="auto"/>
              <w:left w:val="single" w:sz="4" w:space="0" w:color="auto"/>
              <w:bottom w:val="single" w:sz="4" w:space="0" w:color="auto"/>
              <w:right w:val="single" w:sz="4" w:space="0" w:color="auto"/>
            </w:tcBorders>
            <w:vAlign w:val="center"/>
          </w:tcPr>
          <w:p w14:paraId="1E63DC6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9.34</w:t>
            </w:r>
          </w:p>
        </w:tc>
        <w:tc>
          <w:tcPr>
            <w:tcW w:w="788" w:type="pct"/>
            <w:tcBorders>
              <w:top w:val="single" w:sz="4" w:space="0" w:color="auto"/>
              <w:left w:val="single" w:sz="4" w:space="0" w:color="auto"/>
              <w:bottom w:val="single" w:sz="4" w:space="0" w:color="auto"/>
              <w:right w:val="single" w:sz="4" w:space="0" w:color="auto"/>
            </w:tcBorders>
            <w:vAlign w:val="center"/>
          </w:tcPr>
          <w:p w14:paraId="780AF38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13.67</w:t>
            </w:r>
          </w:p>
        </w:tc>
        <w:tc>
          <w:tcPr>
            <w:tcW w:w="995" w:type="pct"/>
            <w:tcBorders>
              <w:top w:val="single" w:sz="4" w:space="0" w:color="auto"/>
              <w:left w:val="single" w:sz="4" w:space="0" w:color="auto"/>
              <w:bottom w:val="single" w:sz="4" w:space="0" w:color="auto"/>
              <w:right w:val="single" w:sz="4" w:space="0" w:color="auto"/>
            </w:tcBorders>
            <w:vAlign w:val="center"/>
          </w:tcPr>
          <w:p w14:paraId="572E081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127.65</w:t>
            </w:r>
          </w:p>
        </w:tc>
      </w:tr>
      <w:tr w:rsidR="00393AAE" w14:paraId="2CADD65D" w14:textId="77777777" w:rsidTr="008D1A92">
        <w:tc>
          <w:tcPr>
            <w:tcW w:w="4005" w:type="pct"/>
            <w:gridSpan w:val="5"/>
            <w:tcBorders>
              <w:top w:val="single" w:sz="4" w:space="0" w:color="auto"/>
              <w:left w:val="single" w:sz="4" w:space="0" w:color="auto"/>
              <w:bottom w:val="single" w:sz="4" w:space="0" w:color="auto"/>
              <w:right w:val="single" w:sz="4" w:space="0" w:color="auto"/>
            </w:tcBorders>
            <w:vAlign w:val="center"/>
          </w:tcPr>
          <w:p w14:paraId="20FAF3F0"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b/>
                <w:i/>
                <w:color w:val="000000"/>
                <w:sz w:val="22"/>
                <w:szCs w:val="22"/>
              </w:rPr>
              <w:t>Total</w:t>
            </w:r>
          </w:p>
        </w:tc>
        <w:tc>
          <w:tcPr>
            <w:tcW w:w="995" w:type="pct"/>
            <w:tcBorders>
              <w:top w:val="single" w:sz="4" w:space="0" w:color="auto"/>
              <w:left w:val="single" w:sz="4" w:space="0" w:color="auto"/>
              <w:bottom w:val="single" w:sz="4" w:space="0" w:color="auto"/>
              <w:right w:val="single" w:sz="4" w:space="0" w:color="auto"/>
            </w:tcBorders>
            <w:vAlign w:val="center"/>
          </w:tcPr>
          <w:p w14:paraId="566CF2DC" w14:textId="77777777" w:rsidR="00393AAE" w:rsidRPr="002806B5" w:rsidRDefault="00393AAE" w:rsidP="008D1A92">
            <w:pPr>
              <w:widowControl/>
              <w:adjustRightInd/>
              <w:jc w:val="center"/>
              <w:rPr>
                <w:b/>
                <w:color w:val="000000"/>
                <w:sz w:val="22"/>
              </w:rPr>
            </w:pPr>
            <w:r>
              <w:rPr>
                <w:b/>
                <w:bCs/>
                <w:color w:val="000000"/>
                <w:sz w:val="22"/>
                <w:szCs w:val="22"/>
              </w:rPr>
              <w:t>249.80</w:t>
            </w:r>
          </w:p>
        </w:tc>
      </w:tr>
    </w:tbl>
    <w:p w14:paraId="24056B9A" w14:textId="77777777" w:rsidR="00393AAE" w:rsidRDefault="00393AAE" w:rsidP="00393AAE">
      <w:pPr>
        <w:keepNext/>
        <w:keepLines/>
        <w:rPr>
          <w:sz w:val="18"/>
          <w:szCs w:val="18"/>
        </w:rPr>
      </w:pPr>
      <w:r>
        <w:rPr>
          <w:sz w:val="18"/>
          <w:szCs w:val="18"/>
        </w:rPr>
        <w:t xml:space="preserve"> Some burden estimate subtotals may not calculate due to rounding of unit burden estimates</w:t>
      </w:r>
    </w:p>
    <w:p w14:paraId="7EFDC729" w14:textId="77777777" w:rsidR="00393AAE" w:rsidRDefault="00393AAE" w:rsidP="00393AAE">
      <w:pPr>
        <w:outlineLvl w:val="0"/>
      </w:pPr>
    </w:p>
    <w:p w14:paraId="68CE7663" w14:textId="77777777" w:rsidR="00393AAE" w:rsidRDefault="00393AAE" w:rsidP="00393AAE">
      <w:pPr>
        <w:keepNext/>
        <w:ind w:firstLine="720"/>
      </w:pPr>
      <w:r w:rsidRPr="00611CA4">
        <w:fldChar w:fldCharType="begin"/>
      </w:r>
      <w:r w:rsidRPr="00611CA4">
        <w:instrText xml:space="preserve"> REF _Ref424061539 \h </w:instrText>
      </w:r>
      <w:r w:rsidRPr="0064544D">
        <w:instrText xml:space="preserve"> \* MERGEFORMAT </w:instrText>
      </w:r>
      <w:r w:rsidRPr="00611CA4">
        <w:fldChar w:fldCharType="separate"/>
      </w:r>
      <w:r w:rsidRPr="00101B98">
        <w:t xml:space="preserve">Table </w:t>
      </w:r>
      <w:r w:rsidRPr="00101B98">
        <w:rPr>
          <w:noProof/>
        </w:rPr>
        <w:t>13</w:t>
      </w:r>
      <w:r w:rsidRPr="00611CA4">
        <w:fldChar w:fldCharType="end"/>
      </w:r>
      <w:r>
        <w:t xml:space="preserve"> presents the total burden hours for the ICR period, organized by information collection. Chemical verification is expected to result in a total burden of 6.83 hours over the three-year ICR period. Notifying consumers is expected to result in a total burden of 382.94 hours over the three-year ICR period. Companies are expected to incur at total of 11.44 hours in burden for rule familiarization, 39.23 hours for CDX registration activities and a total of 269.74 hours for SNUN completion, submission and recordkeeping over the three-year ICR period.</w:t>
      </w:r>
    </w:p>
    <w:p w14:paraId="53A0B5F7" w14:textId="77777777" w:rsidR="00393AAE" w:rsidRDefault="00393AAE" w:rsidP="00393AAE">
      <w:pPr>
        <w:outlineLvl w:val="0"/>
      </w:pPr>
    </w:p>
    <w:p w14:paraId="5771A430" w14:textId="77777777" w:rsidR="00393AAE" w:rsidRPr="002806B5" w:rsidRDefault="00393AAE" w:rsidP="00393AAE">
      <w:pPr>
        <w:keepNext/>
        <w:keepLines/>
        <w:rPr>
          <w:b/>
        </w:rPr>
      </w:pPr>
      <w:bookmarkStart w:id="21" w:name="_Ref424061539"/>
      <w:r w:rsidRPr="00F9765A">
        <w:rPr>
          <w:b/>
        </w:rPr>
        <w:t xml:space="preserve">Table </w:t>
      </w:r>
      <w:r>
        <w:rPr>
          <w:b/>
        </w:rPr>
        <w:fldChar w:fldCharType="begin"/>
      </w:r>
      <w:r>
        <w:rPr>
          <w:b/>
        </w:rPr>
        <w:instrText xml:space="preserve"> SEQ Table \* ARABIC </w:instrText>
      </w:r>
      <w:r>
        <w:rPr>
          <w:b/>
        </w:rPr>
        <w:fldChar w:fldCharType="separate"/>
      </w:r>
      <w:r>
        <w:rPr>
          <w:b/>
          <w:noProof/>
        </w:rPr>
        <w:t>13</w:t>
      </w:r>
      <w:r>
        <w:rPr>
          <w:b/>
        </w:rPr>
        <w:fldChar w:fldCharType="end"/>
      </w:r>
      <w:bookmarkEnd w:id="21"/>
      <w:r w:rsidRPr="00F9765A">
        <w:rPr>
          <w:b/>
        </w:rPr>
        <w:t xml:space="preserve">: </w:t>
      </w:r>
      <w:r w:rsidRPr="002806B5">
        <w:rPr>
          <w:b/>
        </w:rPr>
        <w:t>Total Information Collection Tally for ICR Reporting Period</w:t>
      </w:r>
    </w:p>
    <w:tbl>
      <w:tblPr>
        <w:tblW w:w="47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1576"/>
        <w:gridCol w:w="1358"/>
        <w:gridCol w:w="39"/>
        <w:gridCol w:w="1686"/>
        <w:gridCol w:w="53"/>
        <w:gridCol w:w="1372"/>
        <w:gridCol w:w="30"/>
        <w:gridCol w:w="1961"/>
      </w:tblGrid>
      <w:tr w:rsidR="00393AAE" w14:paraId="2A8A6AF9" w14:textId="77777777" w:rsidTr="008D1A92">
        <w:trPr>
          <w:tblHeader/>
        </w:trPr>
        <w:tc>
          <w:tcPr>
            <w:tcW w:w="910" w:type="pct"/>
            <w:tcBorders>
              <w:top w:val="single" w:sz="4" w:space="0" w:color="auto"/>
              <w:left w:val="single" w:sz="4" w:space="0" w:color="auto"/>
              <w:bottom w:val="single" w:sz="4" w:space="0" w:color="auto"/>
              <w:right w:val="single" w:sz="4" w:space="0" w:color="auto"/>
            </w:tcBorders>
            <w:vAlign w:val="center"/>
            <w:hideMark/>
          </w:tcPr>
          <w:p w14:paraId="3DB4AF0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Information </w:t>
            </w:r>
            <w:r>
              <w:rPr>
                <w:b/>
                <w:sz w:val="22"/>
                <w:szCs w:val="22"/>
              </w:rPr>
              <w:t>C</w:t>
            </w:r>
            <w:r w:rsidRPr="002806B5">
              <w:rPr>
                <w:b/>
                <w:sz w:val="22"/>
                <w:szCs w:val="22"/>
              </w:rPr>
              <w:t>ollection</w:t>
            </w:r>
          </w:p>
        </w:tc>
        <w:tc>
          <w:tcPr>
            <w:tcW w:w="798" w:type="pct"/>
            <w:tcBorders>
              <w:top w:val="single" w:sz="4" w:space="0" w:color="auto"/>
              <w:left w:val="single" w:sz="4" w:space="0" w:color="auto"/>
              <w:bottom w:val="single" w:sz="4" w:space="0" w:color="auto"/>
              <w:right w:val="single" w:sz="4" w:space="0" w:color="auto"/>
            </w:tcBorders>
            <w:vAlign w:val="center"/>
            <w:hideMark/>
          </w:tcPr>
          <w:p w14:paraId="57AADD4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 xml:space="preserve">No. of </w:t>
            </w:r>
          </w:p>
          <w:p w14:paraId="50F8E3A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Respondents</w:t>
            </w:r>
          </w:p>
        </w:tc>
        <w:tc>
          <w:tcPr>
            <w:tcW w:w="688" w:type="pct"/>
            <w:tcBorders>
              <w:top w:val="single" w:sz="4" w:space="0" w:color="auto"/>
              <w:left w:val="single" w:sz="4" w:space="0" w:color="auto"/>
              <w:bottom w:val="single" w:sz="4" w:space="0" w:color="auto"/>
              <w:right w:val="single" w:sz="4" w:space="0" w:color="auto"/>
            </w:tcBorders>
            <w:vAlign w:val="center"/>
            <w:hideMark/>
          </w:tcPr>
          <w:p w14:paraId="77429A9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No. of Responses / Respondent</w:t>
            </w:r>
          </w:p>
        </w:tc>
        <w:tc>
          <w:tcPr>
            <w:tcW w:w="874" w:type="pct"/>
            <w:gridSpan w:val="2"/>
            <w:tcBorders>
              <w:top w:val="single" w:sz="4" w:space="0" w:color="auto"/>
              <w:left w:val="single" w:sz="4" w:space="0" w:color="auto"/>
              <w:bottom w:val="single" w:sz="4" w:space="0" w:color="auto"/>
              <w:right w:val="single" w:sz="4" w:space="0" w:color="auto"/>
            </w:tcBorders>
            <w:vAlign w:val="center"/>
            <w:hideMark/>
          </w:tcPr>
          <w:p w14:paraId="5130942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Responses Subtotal</w:t>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14:paraId="4FB0702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Total Burden Hours per Response</w:t>
            </w:r>
          </w:p>
        </w:tc>
        <w:tc>
          <w:tcPr>
            <w:tcW w:w="1007" w:type="pct"/>
            <w:gridSpan w:val="2"/>
            <w:tcBorders>
              <w:top w:val="single" w:sz="4" w:space="0" w:color="auto"/>
              <w:left w:val="single" w:sz="4" w:space="0" w:color="auto"/>
              <w:bottom w:val="single" w:sz="4" w:space="0" w:color="auto"/>
              <w:right w:val="single" w:sz="4" w:space="0" w:color="auto"/>
            </w:tcBorders>
            <w:vAlign w:val="center"/>
            <w:hideMark/>
          </w:tcPr>
          <w:p w14:paraId="3ECBC67C"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sz w:val="22"/>
                <w:szCs w:val="22"/>
              </w:rPr>
              <w:t>Total Burden Hours Subtotal</w:t>
            </w:r>
          </w:p>
        </w:tc>
      </w:tr>
      <w:tr w:rsidR="00393AAE" w14:paraId="1B1DD58D" w14:textId="77777777" w:rsidTr="008D1A9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1B36A9D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sidRPr="002806B5">
              <w:rPr>
                <w:b/>
                <w:i/>
                <w:color w:val="000000"/>
                <w:sz w:val="22"/>
                <w:szCs w:val="22"/>
              </w:rPr>
              <w:t>Per Firm Activities</w:t>
            </w:r>
          </w:p>
        </w:tc>
      </w:tr>
      <w:tr w:rsidR="00393AAE" w14:paraId="233FA0F8" w14:textId="77777777" w:rsidTr="008D1A92">
        <w:tc>
          <w:tcPr>
            <w:tcW w:w="910" w:type="pct"/>
            <w:tcBorders>
              <w:top w:val="single" w:sz="4" w:space="0" w:color="auto"/>
              <w:left w:val="single" w:sz="4" w:space="0" w:color="auto"/>
              <w:bottom w:val="single" w:sz="4" w:space="0" w:color="auto"/>
              <w:right w:val="single" w:sz="4" w:space="0" w:color="auto"/>
            </w:tcBorders>
            <w:vAlign w:val="center"/>
            <w:hideMark/>
          </w:tcPr>
          <w:p w14:paraId="62964A2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 xml:space="preserve">Rule </w:t>
            </w:r>
            <w:r>
              <w:rPr>
                <w:sz w:val="22"/>
                <w:szCs w:val="22"/>
              </w:rPr>
              <w:t>f</w:t>
            </w:r>
            <w:r w:rsidRPr="002806B5">
              <w:rPr>
                <w:sz w:val="22"/>
                <w:szCs w:val="22"/>
              </w:rPr>
              <w:t>amiliarization</w:t>
            </w:r>
          </w:p>
        </w:tc>
        <w:tc>
          <w:tcPr>
            <w:tcW w:w="795" w:type="pct"/>
            <w:tcBorders>
              <w:top w:val="single" w:sz="4" w:space="0" w:color="auto"/>
              <w:left w:val="single" w:sz="4" w:space="0" w:color="auto"/>
              <w:bottom w:val="single" w:sz="4" w:space="0" w:color="auto"/>
              <w:right w:val="single" w:sz="4" w:space="0" w:color="auto"/>
            </w:tcBorders>
            <w:vAlign w:val="center"/>
          </w:tcPr>
          <w:p w14:paraId="3AA7A265"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14.01</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4C0DC99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1</w:t>
            </w: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47FAA77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14.01</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75F6D69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0.82</w:t>
            </w:r>
          </w:p>
        </w:tc>
        <w:tc>
          <w:tcPr>
            <w:tcW w:w="995" w:type="pct"/>
            <w:tcBorders>
              <w:top w:val="single" w:sz="4" w:space="0" w:color="auto"/>
              <w:left w:val="single" w:sz="4" w:space="0" w:color="auto"/>
              <w:bottom w:val="single" w:sz="4" w:space="0" w:color="auto"/>
              <w:right w:val="single" w:sz="4" w:space="0" w:color="auto"/>
            </w:tcBorders>
            <w:vAlign w:val="center"/>
            <w:hideMark/>
          </w:tcPr>
          <w:p w14:paraId="1992792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11.44</w:t>
            </w:r>
          </w:p>
        </w:tc>
      </w:tr>
      <w:tr w:rsidR="00393AAE" w14:paraId="0AE2E61F" w14:textId="77777777" w:rsidTr="008D1A92">
        <w:tc>
          <w:tcPr>
            <w:tcW w:w="910" w:type="pct"/>
            <w:tcBorders>
              <w:top w:val="single" w:sz="4" w:space="0" w:color="auto"/>
              <w:left w:val="single" w:sz="4" w:space="0" w:color="auto"/>
              <w:bottom w:val="dotted" w:sz="4" w:space="0" w:color="auto"/>
              <w:right w:val="single" w:sz="4" w:space="0" w:color="auto"/>
            </w:tcBorders>
            <w:vAlign w:val="center"/>
            <w:hideMark/>
          </w:tcPr>
          <w:p w14:paraId="5B0F19F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sidRPr="002806B5">
              <w:rPr>
                <w:sz w:val="22"/>
                <w:szCs w:val="22"/>
              </w:rPr>
              <w:t>CDX registration activities</w:t>
            </w:r>
          </w:p>
        </w:tc>
        <w:tc>
          <w:tcPr>
            <w:tcW w:w="795" w:type="pct"/>
            <w:tcBorders>
              <w:top w:val="single" w:sz="4" w:space="0" w:color="auto"/>
              <w:left w:val="single" w:sz="4" w:space="0" w:color="auto"/>
              <w:bottom w:val="dotted" w:sz="4" w:space="0" w:color="auto"/>
              <w:right w:val="single" w:sz="4" w:space="0" w:color="auto"/>
            </w:tcBorders>
            <w:vAlign w:val="center"/>
          </w:tcPr>
          <w:p w14:paraId="6D640AB2"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14.01</w:t>
            </w:r>
          </w:p>
        </w:tc>
        <w:tc>
          <w:tcPr>
            <w:tcW w:w="708" w:type="pct"/>
            <w:gridSpan w:val="2"/>
            <w:tcBorders>
              <w:top w:val="single" w:sz="4" w:space="0" w:color="auto"/>
              <w:left w:val="single" w:sz="4" w:space="0" w:color="auto"/>
              <w:bottom w:val="dotted" w:sz="4" w:space="0" w:color="auto"/>
              <w:right w:val="single" w:sz="4" w:space="0" w:color="auto"/>
            </w:tcBorders>
            <w:vAlign w:val="center"/>
            <w:hideMark/>
          </w:tcPr>
          <w:p w14:paraId="31FB3312"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w:t>
            </w:r>
          </w:p>
        </w:tc>
        <w:tc>
          <w:tcPr>
            <w:tcW w:w="881" w:type="pct"/>
            <w:gridSpan w:val="2"/>
            <w:tcBorders>
              <w:top w:val="single" w:sz="4" w:space="0" w:color="auto"/>
              <w:left w:val="single" w:sz="4" w:space="0" w:color="auto"/>
              <w:bottom w:val="dotted" w:sz="4" w:space="0" w:color="auto"/>
              <w:right w:val="single" w:sz="4" w:space="0" w:color="auto"/>
            </w:tcBorders>
            <w:vAlign w:val="center"/>
          </w:tcPr>
          <w:p w14:paraId="0CE2FC4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14.01</w:t>
            </w:r>
          </w:p>
        </w:tc>
        <w:tc>
          <w:tcPr>
            <w:tcW w:w="710" w:type="pct"/>
            <w:gridSpan w:val="2"/>
            <w:tcBorders>
              <w:top w:val="single" w:sz="4" w:space="0" w:color="auto"/>
              <w:left w:val="single" w:sz="4" w:space="0" w:color="auto"/>
              <w:bottom w:val="dotted" w:sz="4" w:space="0" w:color="auto"/>
              <w:right w:val="single" w:sz="4" w:space="0" w:color="auto"/>
            </w:tcBorders>
            <w:vAlign w:val="center"/>
            <w:hideMark/>
          </w:tcPr>
          <w:p w14:paraId="7AF5E9BD"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2.80</w:t>
            </w:r>
          </w:p>
        </w:tc>
        <w:tc>
          <w:tcPr>
            <w:tcW w:w="995" w:type="pct"/>
            <w:tcBorders>
              <w:top w:val="single" w:sz="4" w:space="0" w:color="auto"/>
              <w:left w:val="single" w:sz="4" w:space="0" w:color="auto"/>
              <w:bottom w:val="dotted" w:sz="4" w:space="0" w:color="auto"/>
              <w:right w:val="single" w:sz="4" w:space="0" w:color="auto"/>
            </w:tcBorders>
            <w:vAlign w:val="center"/>
            <w:hideMark/>
          </w:tcPr>
          <w:p w14:paraId="4714FAB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39.23</w:t>
            </w:r>
          </w:p>
        </w:tc>
      </w:tr>
      <w:tr w:rsidR="00393AAE" w14:paraId="2B0BE7A8" w14:textId="77777777" w:rsidTr="008D1A92">
        <w:tc>
          <w:tcPr>
            <w:tcW w:w="910" w:type="pct"/>
            <w:tcBorders>
              <w:top w:val="dotted" w:sz="4" w:space="0" w:color="auto"/>
              <w:left w:val="single" w:sz="4" w:space="0" w:color="auto"/>
              <w:bottom w:val="dotted" w:sz="4" w:space="0" w:color="auto"/>
              <w:right w:val="single" w:sz="4" w:space="0" w:color="auto"/>
            </w:tcBorders>
            <w:vAlign w:val="center"/>
            <w:hideMark/>
          </w:tcPr>
          <w:p w14:paraId="3DA2EA1C"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CDX r</w:t>
            </w:r>
            <w:r w:rsidRPr="002806B5">
              <w:rPr>
                <w:i/>
                <w:sz w:val="22"/>
                <w:szCs w:val="22"/>
              </w:rPr>
              <w:t>egistration</w:t>
            </w:r>
          </w:p>
        </w:tc>
        <w:tc>
          <w:tcPr>
            <w:tcW w:w="795" w:type="pct"/>
            <w:tcBorders>
              <w:top w:val="dotted" w:sz="4" w:space="0" w:color="auto"/>
              <w:left w:val="single" w:sz="4" w:space="0" w:color="auto"/>
              <w:bottom w:val="dotted" w:sz="4" w:space="0" w:color="auto"/>
              <w:right w:val="single" w:sz="4" w:space="0" w:color="auto"/>
            </w:tcBorders>
            <w:vAlign w:val="center"/>
          </w:tcPr>
          <w:p w14:paraId="2DFC0C8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14.01</w:t>
            </w:r>
          </w:p>
        </w:tc>
        <w:tc>
          <w:tcPr>
            <w:tcW w:w="708" w:type="pct"/>
            <w:gridSpan w:val="2"/>
            <w:tcBorders>
              <w:top w:val="dotted" w:sz="4" w:space="0" w:color="auto"/>
              <w:left w:val="single" w:sz="4" w:space="0" w:color="auto"/>
              <w:bottom w:val="dotted" w:sz="4" w:space="0" w:color="auto"/>
              <w:right w:val="single" w:sz="4" w:space="0" w:color="auto"/>
            </w:tcBorders>
            <w:vAlign w:val="center"/>
            <w:hideMark/>
          </w:tcPr>
          <w:p w14:paraId="3978DD5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w:t>
            </w:r>
          </w:p>
        </w:tc>
        <w:tc>
          <w:tcPr>
            <w:tcW w:w="881" w:type="pct"/>
            <w:gridSpan w:val="2"/>
            <w:tcBorders>
              <w:top w:val="dotted" w:sz="4" w:space="0" w:color="auto"/>
              <w:left w:val="single" w:sz="4" w:space="0" w:color="auto"/>
              <w:bottom w:val="dotted" w:sz="4" w:space="0" w:color="auto"/>
              <w:right w:val="single" w:sz="4" w:space="0" w:color="auto"/>
            </w:tcBorders>
            <w:vAlign w:val="center"/>
          </w:tcPr>
          <w:p w14:paraId="6CD07E6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14.01</w:t>
            </w:r>
          </w:p>
        </w:tc>
        <w:tc>
          <w:tcPr>
            <w:tcW w:w="710" w:type="pct"/>
            <w:gridSpan w:val="2"/>
            <w:tcBorders>
              <w:top w:val="dotted" w:sz="4" w:space="0" w:color="auto"/>
              <w:left w:val="single" w:sz="4" w:space="0" w:color="auto"/>
              <w:bottom w:val="dotted" w:sz="4" w:space="0" w:color="auto"/>
              <w:right w:val="single" w:sz="4" w:space="0" w:color="auto"/>
            </w:tcBorders>
            <w:vAlign w:val="center"/>
            <w:hideMark/>
          </w:tcPr>
          <w:p w14:paraId="158E959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0.92</w:t>
            </w:r>
          </w:p>
        </w:tc>
        <w:tc>
          <w:tcPr>
            <w:tcW w:w="995" w:type="pct"/>
            <w:tcBorders>
              <w:top w:val="dotted" w:sz="4" w:space="0" w:color="auto"/>
              <w:left w:val="single" w:sz="4" w:space="0" w:color="auto"/>
              <w:bottom w:val="dotted" w:sz="4" w:space="0" w:color="auto"/>
              <w:right w:val="single" w:sz="4" w:space="0" w:color="auto"/>
            </w:tcBorders>
            <w:vAlign w:val="center"/>
            <w:hideMark/>
          </w:tcPr>
          <w:p w14:paraId="1A0E20C5" w14:textId="77777777" w:rsidR="00393AAE" w:rsidRPr="008A2CF2"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12.84</w:t>
            </w:r>
          </w:p>
        </w:tc>
      </w:tr>
      <w:tr w:rsidR="00393AAE" w14:paraId="7A1454D3" w14:textId="77777777" w:rsidTr="008D1A92">
        <w:tc>
          <w:tcPr>
            <w:tcW w:w="910" w:type="pct"/>
            <w:tcBorders>
              <w:top w:val="dotted" w:sz="4" w:space="0" w:color="auto"/>
              <w:left w:val="single" w:sz="4" w:space="0" w:color="auto"/>
              <w:bottom w:val="dotted" w:sz="4" w:space="0" w:color="auto"/>
              <w:right w:val="single" w:sz="4" w:space="0" w:color="auto"/>
            </w:tcBorders>
            <w:vAlign w:val="center"/>
            <w:hideMark/>
          </w:tcPr>
          <w:p w14:paraId="02C2D374"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sidRPr="002806B5">
              <w:rPr>
                <w:i/>
                <w:sz w:val="22"/>
                <w:szCs w:val="22"/>
              </w:rPr>
              <w:t>ESA</w:t>
            </w:r>
          </w:p>
        </w:tc>
        <w:tc>
          <w:tcPr>
            <w:tcW w:w="795" w:type="pct"/>
            <w:tcBorders>
              <w:top w:val="dotted" w:sz="4" w:space="0" w:color="auto"/>
              <w:left w:val="single" w:sz="4" w:space="0" w:color="auto"/>
              <w:bottom w:val="dotted" w:sz="4" w:space="0" w:color="auto"/>
              <w:right w:val="single" w:sz="4" w:space="0" w:color="auto"/>
            </w:tcBorders>
            <w:vAlign w:val="center"/>
          </w:tcPr>
          <w:p w14:paraId="0736BE32"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14.01</w:t>
            </w:r>
          </w:p>
        </w:tc>
        <w:tc>
          <w:tcPr>
            <w:tcW w:w="708" w:type="pct"/>
            <w:gridSpan w:val="2"/>
            <w:tcBorders>
              <w:top w:val="dotted" w:sz="4" w:space="0" w:color="auto"/>
              <w:left w:val="single" w:sz="4" w:space="0" w:color="auto"/>
              <w:bottom w:val="dotted" w:sz="4" w:space="0" w:color="auto"/>
              <w:right w:val="single" w:sz="4" w:space="0" w:color="auto"/>
            </w:tcBorders>
            <w:vAlign w:val="center"/>
            <w:hideMark/>
          </w:tcPr>
          <w:p w14:paraId="5A2B285B"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i/>
                <w:iCs/>
                <w:color w:val="000000"/>
                <w:sz w:val="22"/>
                <w:szCs w:val="22"/>
              </w:rPr>
              <w:t>1</w:t>
            </w:r>
          </w:p>
        </w:tc>
        <w:tc>
          <w:tcPr>
            <w:tcW w:w="881" w:type="pct"/>
            <w:gridSpan w:val="2"/>
            <w:tcBorders>
              <w:top w:val="dotted" w:sz="4" w:space="0" w:color="auto"/>
              <w:left w:val="single" w:sz="4" w:space="0" w:color="auto"/>
              <w:bottom w:val="dotted" w:sz="4" w:space="0" w:color="auto"/>
              <w:right w:val="single" w:sz="4" w:space="0" w:color="auto"/>
            </w:tcBorders>
            <w:vAlign w:val="center"/>
          </w:tcPr>
          <w:p w14:paraId="44B811A0"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14.01</w:t>
            </w:r>
          </w:p>
        </w:tc>
        <w:tc>
          <w:tcPr>
            <w:tcW w:w="710" w:type="pct"/>
            <w:gridSpan w:val="2"/>
            <w:tcBorders>
              <w:top w:val="dotted" w:sz="4" w:space="0" w:color="auto"/>
              <w:left w:val="single" w:sz="4" w:space="0" w:color="auto"/>
              <w:bottom w:val="dotted" w:sz="4" w:space="0" w:color="auto"/>
              <w:right w:val="single" w:sz="4" w:space="0" w:color="auto"/>
            </w:tcBorders>
            <w:vAlign w:val="center"/>
            <w:hideMark/>
          </w:tcPr>
          <w:p w14:paraId="64890B3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1.75</w:t>
            </w:r>
          </w:p>
        </w:tc>
        <w:tc>
          <w:tcPr>
            <w:tcW w:w="995" w:type="pct"/>
            <w:tcBorders>
              <w:top w:val="dotted" w:sz="4" w:space="0" w:color="auto"/>
              <w:left w:val="single" w:sz="4" w:space="0" w:color="auto"/>
              <w:bottom w:val="dotted" w:sz="4" w:space="0" w:color="auto"/>
              <w:right w:val="single" w:sz="4" w:space="0" w:color="auto"/>
            </w:tcBorders>
            <w:vAlign w:val="center"/>
            <w:hideMark/>
          </w:tcPr>
          <w:p w14:paraId="7880A3AE" w14:textId="77777777" w:rsidR="00393AAE" w:rsidRPr="008A2CF2"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24.52</w:t>
            </w:r>
          </w:p>
        </w:tc>
      </w:tr>
      <w:tr w:rsidR="00393AAE" w14:paraId="56475CDE" w14:textId="77777777" w:rsidTr="008D1A92">
        <w:tc>
          <w:tcPr>
            <w:tcW w:w="910" w:type="pct"/>
            <w:tcBorders>
              <w:top w:val="dotted" w:sz="4" w:space="0" w:color="auto"/>
              <w:left w:val="single" w:sz="4" w:space="0" w:color="auto"/>
              <w:bottom w:val="single" w:sz="4" w:space="0" w:color="auto"/>
              <w:right w:val="single" w:sz="4" w:space="0" w:color="auto"/>
            </w:tcBorders>
            <w:vAlign w:val="center"/>
          </w:tcPr>
          <w:p w14:paraId="7907245A" w14:textId="77777777" w:rsidR="00393AAE" w:rsidRPr="002806B5" w:rsidRDefault="00393AAE" w:rsidP="008D1A92">
            <w:pPr>
              <w:keepNext/>
              <w:keepLines/>
              <w:widowControl/>
              <w:numPr>
                <w:ilvl w:val="0"/>
                <w:numId w:val="17"/>
              </w:numPr>
              <w:tabs>
                <w:tab w:val="clear"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s>
              <w:adjustRightInd/>
              <w:ind w:left="360" w:right="-108" w:hanging="180"/>
              <w:rPr>
                <w:i/>
                <w:sz w:val="22"/>
              </w:rPr>
            </w:pPr>
            <w:r>
              <w:rPr>
                <w:i/>
                <w:sz w:val="22"/>
                <w:szCs w:val="22"/>
              </w:rPr>
              <w:t>Pay.gov a</w:t>
            </w:r>
            <w:r w:rsidRPr="002806B5">
              <w:rPr>
                <w:i/>
                <w:sz w:val="22"/>
                <w:szCs w:val="22"/>
              </w:rPr>
              <w:t xml:space="preserve">ccount </w:t>
            </w:r>
          </w:p>
        </w:tc>
        <w:tc>
          <w:tcPr>
            <w:tcW w:w="795" w:type="pct"/>
            <w:tcBorders>
              <w:top w:val="dotted" w:sz="4" w:space="0" w:color="auto"/>
              <w:left w:val="single" w:sz="4" w:space="0" w:color="auto"/>
              <w:bottom w:val="single" w:sz="4" w:space="0" w:color="auto"/>
              <w:right w:val="single" w:sz="4" w:space="0" w:color="auto"/>
            </w:tcBorders>
            <w:vAlign w:val="center"/>
          </w:tcPr>
          <w:p w14:paraId="220A7AB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14.01</w:t>
            </w:r>
          </w:p>
        </w:tc>
        <w:tc>
          <w:tcPr>
            <w:tcW w:w="708" w:type="pct"/>
            <w:gridSpan w:val="2"/>
            <w:tcBorders>
              <w:top w:val="dotted" w:sz="4" w:space="0" w:color="auto"/>
              <w:left w:val="single" w:sz="4" w:space="0" w:color="auto"/>
              <w:bottom w:val="single" w:sz="4" w:space="0" w:color="auto"/>
              <w:right w:val="single" w:sz="4" w:space="0" w:color="auto"/>
            </w:tcBorders>
            <w:vAlign w:val="center"/>
          </w:tcPr>
          <w:p w14:paraId="0712BF9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iCs/>
                <w:sz w:val="22"/>
              </w:rPr>
            </w:pPr>
            <w:r>
              <w:rPr>
                <w:i/>
                <w:iCs/>
                <w:color w:val="000000"/>
                <w:sz w:val="22"/>
                <w:szCs w:val="22"/>
              </w:rPr>
              <w:t>1</w:t>
            </w:r>
          </w:p>
        </w:tc>
        <w:tc>
          <w:tcPr>
            <w:tcW w:w="881" w:type="pct"/>
            <w:gridSpan w:val="2"/>
            <w:tcBorders>
              <w:top w:val="dotted" w:sz="4" w:space="0" w:color="auto"/>
              <w:left w:val="single" w:sz="4" w:space="0" w:color="auto"/>
              <w:bottom w:val="single" w:sz="4" w:space="0" w:color="auto"/>
              <w:right w:val="single" w:sz="4" w:space="0" w:color="auto"/>
            </w:tcBorders>
            <w:vAlign w:val="center"/>
          </w:tcPr>
          <w:p w14:paraId="754C8FB1"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14.01</w:t>
            </w:r>
          </w:p>
        </w:tc>
        <w:tc>
          <w:tcPr>
            <w:tcW w:w="710" w:type="pct"/>
            <w:gridSpan w:val="2"/>
            <w:tcBorders>
              <w:top w:val="dotted" w:sz="4" w:space="0" w:color="auto"/>
              <w:left w:val="single" w:sz="4" w:space="0" w:color="auto"/>
              <w:bottom w:val="single" w:sz="4" w:space="0" w:color="auto"/>
              <w:right w:val="single" w:sz="4" w:space="0" w:color="auto"/>
            </w:tcBorders>
            <w:vAlign w:val="center"/>
          </w:tcPr>
          <w:p w14:paraId="15316DF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
                <w:sz w:val="22"/>
              </w:rPr>
            </w:pPr>
            <w:r>
              <w:rPr>
                <w:color w:val="000000"/>
                <w:sz w:val="22"/>
                <w:szCs w:val="22"/>
              </w:rPr>
              <w:t>0.13</w:t>
            </w:r>
          </w:p>
        </w:tc>
        <w:tc>
          <w:tcPr>
            <w:tcW w:w="995" w:type="pct"/>
            <w:tcBorders>
              <w:top w:val="dotted" w:sz="4" w:space="0" w:color="auto"/>
              <w:left w:val="single" w:sz="4" w:space="0" w:color="auto"/>
              <w:bottom w:val="single" w:sz="4" w:space="0" w:color="auto"/>
              <w:right w:val="single" w:sz="4" w:space="0" w:color="auto"/>
            </w:tcBorders>
            <w:vAlign w:val="center"/>
          </w:tcPr>
          <w:p w14:paraId="24546F87" w14:textId="77777777" w:rsidR="00393AAE" w:rsidRPr="008A2CF2"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sz w:val="22"/>
              </w:rPr>
            </w:pPr>
            <w:r>
              <w:rPr>
                <w:b/>
                <w:bCs/>
                <w:color w:val="000000"/>
                <w:sz w:val="22"/>
                <w:szCs w:val="22"/>
              </w:rPr>
              <w:t>1.87</w:t>
            </w:r>
          </w:p>
        </w:tc>
      </w:tr>
      <w:tr w:rsidR="00393AAE" w14:paraId="7FDA253F" w14:textId="77777777" w:rsidTr="008D1A92">
        <w:tc>
          <w:tcPr>
            <w:tcW w:w="910" w:type="pct"/>
            <w:tcBorders>
              <w:top w:val="single" w:sz="4" w:space="0" w:color="auto"/>
              <w:left w:val="single" w:sz="4" w:space="0" w:color="auto"/>
              <w:bottom w:val="single" w:sz="4" w:space="0" w:color="auto"/>
              <w:right w:val="single" w:sz="4" w:space="0" w:color="auto"/>
            </w:tcBorders>
            <w:vAlign w:val="center"/>
            <w:hideMark/>
          </w:tcPr>
          <w:p w14:paraId="0AC28DC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sz w:val="22"/>
                <w:szCs w:val="22"/>
              </w:rPr>
              <w:t xml:space="preserve">Preparation, </w:t>
            </w:r>
            <w:r>
              <w:rPr>
                <w:sz w:val="22"/>
                <w:szCs w:val="22"/>
              </w:rPr>
              <w:t>s</w:t>
            </w:r>
            <w:r w:rsidRPr="002806B5">
              <w:rPr>
                <w:sz w:val="22"/>
                <w:szCs w:val="22"/>
              </w:rPr>
              <w:t xml:space="preserve">ubmission, and </w:t>
            </w:r>
            <w:r>
              <w:rPr>
                <w:sz w:val="22"/>
                <w:szCs w:val="22"/>
              </w:rPr>
              <w:t>r</w:t>
            </w:r>
            <w:r w:rsidRPr="002806B5">
              <w:rPr>
                <w:sz w:val="22"/>
                <w:szCs w:val="22"/>
              </w:rPr>
              <w:t>ecordkeeping for SNUN</w:t>
            </w:r>
          </w:p>
        </w:tc>
        <w:tc>
          <w:tcPr>
            <w:tcW w:w="795" w:type="pct"/>
            <w:tcBorders>
              <w:top w:val="single" w:sz="4" w:space="0" w:color="auto"/>
              <w:left w:val="single" w:sz="4" w:space="0" w:color="auto"/>
              <w:bottom w:val="single" w:sz="4" w:space="0" w:color="auto"/>
              <w:right w:val="single" w:sz="4" w:space="0" w:color="auto"/>
            </w:tcBorders>
            <w:vAlign w:val="center"/>
          </w:tcPr>
          <w:p w14:paraId="64C62964"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14.01</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14:paraId="212EC53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0.21</w:t>
            </w: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1A5060F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2.94</w:t>
            </w:r>
          </w:p>
        </w:tc>
        <w:tc>
          <w:tcPr>
            <w:tcW w:w="710" w:type="pct"/>
            <w:gridSpan w:val="2"/>
            <w:tcBorders>
              <w:top w:val="single" w:sz="4" w:space="0" w:color="auto"/>
              <w:left w:val="single" w:sz="4" w:space="0" w:color="auto"/>
              <w:bottom w:val="single" w:sz="4" w:space="0" w:color="auto"/>
              <w:right w:val="single" w:sz="4" w:space="0" w:color="auto"/>
            </w:tcBorders>
            <w:vAlign w:val="center"/>
            <w:hideMark/>
          </w:tcPr>
          <w:p w14:paraId="18A4ADFD"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rPr>
            </w:pPr>
            <w:r>
              <w:rPr>
                <w:color w:val="000000"/>
                <w:sz w:val="22"/>
                <w:szCs w:val="22"/>
              </w:rPr>
              <w:t>91.68</w:t>
            </w:r>
          </w:p>
        </w:tc>
        <w:tc>
          <w:tcPr>
            <w:tcW w:w="995" w:type="pct"/>
            <w:tcBorders>
              <w:top w:val="single" w:sz="4" w:space="0" w:color="auto"/>
              <w:left w:val="single" w:sz="4" w:space="0" w:color="auto"/>
              <w:bottom w:val="single" w:sz="4" w:space="0" w:color="auto"/>
              <w:right w:val="single" w:sz="4" w:space="0" w:color="auto"/>
            </w:tcBorders>
            <w:vAlign w:val="center"/>
            <w:hideMark/>
          </w:tcPr>
          <w:p w14:paraId="00B3769D"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Pr>
                <w:b/>
                <w:bCs/>
                <w:color w:val="000000"/>
                <w:sz w:val="22"/>
                <w:szCs w:val="22"/>
              </w:rPr>
              <w:t>269.74</w:t>
            </w:r>
          </w:p>
        </w:tc>
      </w:tr>
      <w:tr w:rsidR="00393AAE" w14:paraId="4FA9DFAE" w14:textId="77777777" w:rsidTr="008D1A92">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6ED3D546"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rPr>
            </w:pPr>
            <w:r w:rsidRPr="002806B5">
              <w:rPr>
                <w:b/>
                <w:i/>
                <w:color w:val="000000"/>
                <w:sz w:val="22"/>
                <w:szCs w:val="22"/>
              </w:rPr>
              <w:t xml:space="preserve"> Per SNUR Activities</w:t>
            </w:r>
          </w:p>
        </w:tc>
      </w:tr>
      <w:tr w:rsidR="00393AAE" w14:paraId="2783A3C6" w14:textId="77777777" w:rsidTr="008D1A92">
        <w:tc>
          <w:tcPr>
            <w:tcW w:w="910" w:type="pct"/>
            <w:tcBorders>
              <w:top w:val="single" w:sz="4" w:space="0" w:color="auto"/>
              <w:left w:val="single" w:sz="4" w:space="0" w:color="auto"/>
              <w:bottom w:val="single" w:sz="4" w:space="0" w:color="auto"/>
              <w:right w:val="single" w:sz="4" w:space="0" w:color="auto"/>
            </w:tcBorders>
            <w:vAlign w:val="center"/>
          </w:tcPr>
          <w:p w14:paraId="42F6FCC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color w:val="000000"/>
                <w:sz w:val="22"/>
              </w:rPr>
            </w:pPr>
            <w:r w:rsidRPr="002806B5">
              <w:rPr>
                <w:color w:val="000000"/>
                <w:sz w:val="22"/>
                <w:szCs w:val="22"/>
              </w:rPr>
              <w:t xml:space="preserve">Chemical </w:t>
            </w:r>
            <w:r>
              <w:rPr>
                <w:color w:val="000000"/>
                <w:sz w:val="22"/>
                <w:szCs w:val="22"/>
              </w:rPr>
              <w:t>v</w:t>
            </w:r>
            <w:r w:rsidRPr="002806B5">
              <w:rPr>
                <w:color w:val="000000"/>
                <w:sz w:val="22"/>
                <w:szCs w:val="22"/>
              </w:rPr>
              <w:t>erification</w:t>
            </w:r>
          </w:p>
        </w:tc>
        <w:tc>
          <w:tcPr>
            <w:tcW w:w="795" w:type="pct"/>
            <w:tcBorders>
              <w:top w:val="single" w:sz="4" w:space="0" w:color="auto"/>
              <w:left w:val="single" w:sz="4" w:space="0" w:color="auto"/>
              <w:bottom w:val="single" w:sz="4" w:space="0" w:color="auto"/>
              <w:right w:val="single" w:sz="4" w:space="0" w:color="auto"/>
            </w:tcBorders>
            <w:vAlign w:val="center"/>
          </w:tcPr>
          <w:p w14:paraId="184C9E6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6</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E65F17E"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w:t>
            </w: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37EE565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6</w:t>
            </w: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4D72890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1.14</w:t>
            </w:r>
          </w:p>
        </w:tc>
        <w:tc>
          <w:tcPr>
            <w:tcW w:w="995" w:type="pct"/>
            <w:tcBorders>
              <w:top w:val="single" w:sz="4" w:space="0" w:color="auto"/>
              <w:left w:val="single" w:sz="4" w:space="0" w:color="auto"/>
              <w:bottom w:val="single" w:sz="4" w:space="0" w:color="auto"/>
              <w:right w:val="single" w:sz="4" w:space="0" w:color="auto"/>
            </w:tcBorders>
            <w:vAlign w:val="center"/>
          </w:tcPr>
          <w:p w14:paraId="3E002B23"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6.83</w:t>
            </w:r>
          </w:p>
        </w:tc>
      </w:tr>
      <w:tr w:rsidR="00393AAE" w14:paraId="5374E149" w14:textId="77777777" w:rsidTr="008D1A92">
        <w:trPr>
          <w:trHeight w:val="557"/>
        </w:trPr>
        <w:tc>
          <w:tcPr>
            <w:tcW w:w="910" w:type="pct"/>
            <w:tcBorders>
              <w:top w:val="single" w:sz="4" w:space="0" w:color="auto"/>
              <w:left w:val="single" w:sz="4" w:space="0" w:color="auto"/>
              <w:bottom w:val="single" w:sz="4" w:space="0" w:color="auto"/>
              <w:right w:val="single" w:sz="4" w:space="0" w:color="auto"/>
            </w:tcBorders>
            <w:vAlign w:val="center"/>
          </w:tcPr>
          <w:p w14:paraId="002EB667"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08"/>
              <w:rPr>
                <w:sz w:val="22"/>
              </w:rPr>
            </w:pPr>
            <w:r w:rsidRPr="002806B5">
              <w:rPr>
                <w:color w:val="000000"/>
                <w:sz w:val="22"/>
                <w:szCs w:val="22"/>
              </w:rPr>
              <w:t xml:space="preserve">Notifying </w:t>
            </w:r>
            <w:r>
              <w:rPr>
                <w:color w:val="000000"/>
                <w:sz w:val="22"/>
                <w:szCs w:val="22"/>
              </w:rPr>
              <w:t>c</w:t>
            </w:r>
            <w:r w:rsidRPr="002806B5">
              <w:rPr>
                <w:color w:val="000000"/>
                <w:sz w:val="22"/>
                <w:szCs w:val="22"/>
              </w:rPr>
              <w:t>ustomers (</w:t>
            </w:r>
            <w:r>
              <w:rPr>
                <w:color w:val="000000"/>
                <w:sz w:val="22"/>
                <w:szCs w:val="22"/>
              </w:rPr>
              <w:t>p</w:t>
            </w:r>
            <w:r w:rsidRPr="002806B5">
              <w:rPr>
                <w:color w:val="000000"/>
                <w:sz w:val="22"/>
                <w:szCs w:val="22"/>
              </w:rPr>
              <w:t>er SNUR)</w:t>
            </w:r>
          </w:p>
        </w:tc>
        <w:tc>
          <w:tcPr>
            <w:tcW w:w="795" w:type="pct"/>
            <w:tcBorders>
              <w:top w:val="single" w:sz="4" w:space="0" w:color="auto"/>
              <w:left w:val="single" w:sz="4" w:space="0" w:color="auto"/>
              <w:bottom w:val="single" w:sz="4" w:space="0" w:color="auto"/>
              <w:right w:val="single" w:sz="4" w:space="0" w:color="auto"/>
            </w:tcBorders>
            <w:vAlign w:val="center"/>
          </w:tcPr>
          <w:p w14:paraId="1B184E3C"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14.01</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E7E0BD9"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w:t>
            </w: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1499409A"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28.02</w:t>
            </w: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6501355"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sz w:val="22"/>
              </w:rPr>
            </w:pPr>
            <w:r>
              <w:rPr>
                <w:color w:val="000000"/>
                <w:sz w:val="22"/>
                <w:szCs w:val="22"/>
              </w:rPr>
              <w:t>13.67</w:t>
            </w:r>
          </w:p>
        </w:tc>
        <w:tc>
          <w:tcPr>
            <w:tcW w:w="995" w:type="pct"/>
            <w:tcBorders>
              <w:top w:val="single" w:sz="4" w:space="0" w:color="auto"/>
              <w:left w:val="single" w:sz="4" w:space="0" w:color="auto"/>
              <w:bottom w:val="single" w:sz="4" w:space="0" w:color="auto"/>
              <w:right w:val="single" w:sz="4" w:space="0" w:color="auto"/>
            </w:tcBorders>
            <w:vAlign w:val="center"/>
          </w:tcPr>
          <w:p w14:paraId="59029758" w14:textId="77777777" w:rsidR="00393AAE" w:rsidRPr="002806B5"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olor w:val="000000"/>
                <w:sz w:val="22"/>
              </w:rPr>
            </w:pPr>
            <w:r>
              <w:rPr>
                <w:b/>
                <w:bCs/>
                <w:color w:val="000000"/>
                <w:sz w:val="22"/>
                <w:szCs w:val="22"/>
              </w:rPr>
              <w:t>382.94</w:t>
            </w:r>
          </w:p>
        </w:tc>
      </w:tr>
      <w:tr w:rsidR="00393AAE" w14:paraId="79D1B21C" w14:textId="77777777" w:rsidTr="008D1A92">
        <w:trPr>
          <w:trHeight w:val="80"/>
        </w:trPr>
        <w:tc>
          <w:tcPr>
            <w:tcW w:w="4005" w:type="pct"/>
            <w:gridSpan w:val="8"/>
            <w:tcBorders>
              <w:top w:val="single" w:sz="4" w:space="0" w:color="auto"/>
              <w:left w:val="single" w:sz="4" w:space="0" w:color="auto"/>
              <w:bottom w:val="single" w:sz="4" w:space="0" w:color="auto"/>
              <w:right w:val="single" w:sz="4" w:space="0" w:color="auto"/>
            </w:tcBorders>
            <w:vAlign w:val="center"/>
          </w:tcPr>
          <w:p w14:paraId="45F390F3" w14:textId="77777777" w:rsidR="00393AAE" w:rsidRPr="00010DC2" w:rsidRDefault="00393AAE" w:rsidP="008D1A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i/>
                <w:color w:val="000000"/>
                <w:sz w:val="22"/>
                <w:szCs w:val="22"/>
              </w:rPr>
            </w:pPr>
            <w:r w:rsidRPr="00010DC2">
              <w:rPr>
                <w:b/>
                <w:i/>
                <w:color w:val="000000"/>
                <w:sz w:val="22"/>
                <w:szCs w:val="22"/>
              </w:rPr>
              <w:t>Total</w:t>
            </w:r>
          </w:p>
        </w:tc>
        <w:tc>
          <w:tcPr>
            <w:tcW w:w="995" w:type="pct"/>
            <w:tcBorders>
              <w:top w:val="single" w:sz="4" w:space="0" w:color="auto"/>
              <w:left w:val="single" w:sz="4" w:space="0" w:color="auto"/>
              <w:bottom w:val="single" w:sz="4" w:space="0" w:color="auto"/>
              <w:right w:val="single" w:sz="4" w:space="0" w:color="auto"/>
            </w:tcBorders>
            <w:vAlign w:val="center"/>
          </w:tcPr>
          <w:p w14:paraId="2C0C958B" w14:textId="77777777" w:rsidR="00393AAE" w:rsidRDefault="00393AAE" w:rsidP="008D1A92">
            <w:pPr>
              <w:widowControl/>
              <w:adjustRightInd/>
              <w:jc w:val="center"/>
              <w:rPr>
                <w:b/>
                <w:bCs/>
                <w:color w:val="000000"/>
                <w:sz w:val="22"/>
                <w:szCs w:val="22"/>
              </w:rPr>
            </w:pPr>
            <w:r>
              <w:rPr>
                <w:b/>
                <w:bCs/>
                <w:color w:val="000000"/>
                <w:sz w:val="22"/>
                <w:szCs w:val="22"/>
              </w:rPr>
              <w:t>749.41</w:t>
            </w:r>
          </w:p>
        </w:tc>
      </w:tr>
    </w:tbl>
    <w:p w14:paraId="7CAADA59" w14:textId="77777777" w:rsidR="00393AAE" w:rsidRDefault="00393AAE" w:rsidP="00393AAE">
      <w:pPr>
        <w:keepNext/>
        <w:keepLines/>
        <w:rPr>
          <w:sz w:val="18"/>
          <w:szCs w:val="18"/>
        </w:rPr>
      </w:pPr>
      <w:r>
        <w:rPr>
          <w:sz w:val="18"/>
          <w:szCs w:val="18"/>
        </w:rPr>
        <w:t xml:space="preserve"> Some burden estimate subtotals may not calculate due to rounding of unit burden estimates </w:t>
      </w:r>
    </w:p>
    <w:p w14:paraId="4187840A"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6E14948"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t>6(c)</w:t>
      </w:r>
      <w:r>
        <w:rPr>
          <w:b/>
          <w:bCs/>
        </w:rPr>
        <w:tab/>
        <w:t>Estimating Agency Burden and Cost</w:t>
      </w:r>
      <w:r>
        <w:t xml:space="preserve"> </w:t>
      </w:r>
    </w:p>
    <w:p w14:paraId="0BC4F3E0" w14:textId="77777777" w:rsidR="00393AAE" w:rsidRDefault="00393AAE" w:rsidP="00393AAE">
      <w:pPr>
        <w:keepNext/>
      </w:pPr>
    </w:p>
    <w:p w14:paraId="1DCC8C01" w14:textId="77777777" w:rsidR="00393AAE" w:rsidRPr="00BF29B2" w:rsidRDefault="00393AAE" w:rsidP="00393AAE">
      <w:pPr>
        <w:keepNext/>
        <w:numPr>
          <w:ilvl w:val="0"/>
          <w:numId w:val="2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BF29B2">
        <w:rPr>
          <w:u w:val="single"/>
        </w:rPr>
        <w:t>SNUN Processing</w:t>
      </w:r>
    </w:p>
    <w:p w14:paraId="4B23BB9C" w14:textId="77777777" w:rsidR="00393AAE" w:rsidRDefault="00393AAE" w:rsidP="00393AAE">
      <w:pPr>
        <w:keepNext/>
      </w:pPr>
    </w:p>
    <w:p w14:paraId="34E120D2" w14:textId="77777777" w:rsidR="00393AAE" w:rsidRDefault="00393AAE" w:rsidP="00393AAE">
      <w:pPr>
        <w:pStyle w:val="BodyText"/>
      </w:pPr>
      <w:r>
        <w:t xml:space="preserve">EPA’s cost to review and process SNUN submissions is assumed to be represented by its costs for a larger category of similar TSCA section 5 notices that includes SNUNs. </w:t>
      </w:r>
      <w:r w:rsidRPr="001D0C7A">
        <w:t xml:space="preserve">On September 27, 2018, EPA finalized a fees rule under the Toxic Substances Control Act (TSCA), as amended in 2016 by the Frank R. Lautenberg Act Chemical Safety for the 21st Century Act. The final rule establishes new fees for actions under TSCA sections 4, 5, and 6 (83 FR 8212) to defray a portion of TSCA implementation costs. </w:t>
      </w:r>
      <w:r>
        <w:t>In developing the fees, EPA estimated its total annual costs for processing, reviewing, and making determinations under TSCA section 5 between fiscal years 2019 and 2021. EPA estimated its direct and indirect costs for reviewing PMNs, SNUNs, and Microbial Commercial Activity Notices (MCANs) to be $18,934,659 per year during this period, and assumed that an average of 462 PMNs, SNUNs, and MCANs will be submitted per year.</w:t>
      </w:r>
      <w:r w:rsidRPr="005D3FA0">
        <w:rPr>
          <w:rStyle w:val="FootnoteReference"/>
          <w:vertAlign w:val="superscript"/>
        </w:rPr>
        <w:footnoteReference w:id="5"/>
      </w:r>
      <w:r>
        <w:t xml:space="preserve"> This yields an average Agency cost of approximately $41,000 apiece for reviewing and processing PMNs, SNUNs, and MCANs.</w:t>
      </w:r>
      <w:r w:rsidRPr="005D3FA0">
        <w:rPr>
          <w:rStyle w:val="FootnoteReference"/>
          <w:vertAlign w:val="superscript"/>
        </w:rPr>
        <w:footnoteReference w:id="6"/>
      </w:r>
      <w:r>
        <w:t xml:space="preserve"> Thus, processing and reviewing any SNUNs submitted due to this SNUR is also expected to cost EPA approximately $41,000.</w:t>
      </w:r>
    </w:p>
    <w:p w14:paraId="3BB4E744" w14:textId="77777777" w:rsidR="00393AAE" w:rsidRDefault="00393AAE" w:rsidP="00393AAE">
      <w:pPr>
        <w:pStyle w:val="BodyText"/>
        <w:spacing w:after="0"/>
      </w:pPr>
    </w:p>
    <w:p w14:paraId="2618E06A" w14:textId="77777777" w:rsidR="00393AAE" w:rsidRDefault="00393AAE" w:rsidP="00393AAE">
      <w:pPr>
        <w:pStyle w:val="BodyText"/>
        <w:spacing w:after="0"/>
      </w:pPr>
      <w:r>
        <w:t xml:space="preserve">     </w:t>
      </w:r>
      <w:r>
        <w:rPr>
          <w:b/>
          <w:bCs/>
        </w:rPr>
        <w:t>6(d)</w:t>
      </w:r>
      <w:r>
        <w:rPr>
          <w:b/>
          <w:bCs/>
        </w:rPr>
        <w:tab/>
        <w:t>Reasons for Change in Burden</w:t>
      </w:r>
    </w:p>
    <w:p w14:paraId="23660BA4" w14:textId="77777777" w:rsidR="00393AAE" w:rsidRDefault="00393AAE" w:rsidP="00393AAE">
      <w:pPr>
        <w:ind w:firstLine="720"/>
      </w:pPr>
      <w:r w:rsidRPr="00606425">
        <w:t xml:space="preserve">There is </w:t>
      </w:r>
      <w:r>
        <w:t>a decrease</w:t>
      </w:r>
      <w:r w:rsidRPr="00606425">
        <w:t xml:space="preserve"> of </w:t>
      </w:r>
      <w:r>
        <w:t>approximately 598</w:t>
      </w:r>
      <w:r w:rsidRPr="00606425">
        <w:t xml:space="preserve"> hours (from </w:t>
      </w:r>
      <w:r>
        <w:t>736</w:t>
      </w:r>
      <w:r w:rsidRPr="00606425">
        <w:t xml:space="preserve"> hours to </w:t>
      </w:r>
      <w:r>
        <w:t>approximately 138</w:t>
      </w:r>
      <w:r w:rsidRPr="00606425">
        <w:t xml:space="preserve"> hours) in the total estimated respondent burden compared with that identified in the ICR currently approved by OMB</w:t>
      </w:r>
      <w:r>
        <w:t xml:space="preserve"> (</w:t>
      </w:r>
      <w:r w:rsidRPr="00712BD2">
        <w:t>Request for a Non-Substantive Change</w:t>
      </w:r>
      <w:r>
        <w:t xml:space="preserve"> </w:t>
      </w:r>
      <w:r w:rsidRPr="00712BD2">
        <w:t>to an Existing Approved Information Collection</w:t>
      </w:r>
      <w:r>
        <w:t xml:space="preserve"> submitted September 2012). </w:t>
      </w:r>
      <w:r w:rsidRPr="00542AF8">
        <w:t>Th</w:t>
      </w:r>
      <w:r>
        <w:t>is</w:t>
      </w:r>
      <w:r w:rsidRPr="00542AF8">
        <w:t xml:space="preserve"> change result</w:t>
      </w:r>
      <w:r>
        <w:t>s</w:t>
      </w:r>
      <w:r w:rsidRPr="00542AF8">
        <w:t xml:space="preserve"> from </w:t>
      </w:r>
      <w:r>
        <w:t xml:space="preserve">adjustment changes that updated the estimated average number of SNURs promulgated annually, the estimated average number of SNUNs submitted annually (from 7 SNUNs to 1 SNUN per year), the estimated </w:t>
      </w:r>
      <w:r w:rsidRPr="00542AF8">
        <w:t>number of affected sites</w:t>
      </w:r>
      <w:r>
        <w:t xml:space="preserve"> (from 4.24 to 4.67 per year), from recalculating the average number of chemicals per SNUR to account for SNURs based on distinct chemicals and those based on chemical formulas (7 chemicals to 4.33 chemicals and 0.83 chemical formulas, respectively), and correcting rounding errors in the burden estimate for completing a SNUN (92.2 hours to 91.68 hours) and for rule familiarization (0.83 hours to 0.82 hours). </w:t>
      </w:r>
    </w:p>
    <w:p w14:paraId="1CD950D9" w14:textId="77777777" w:rsidR="00393AAE" w:rsidRDefault="00393AAE" w:rsidP="00393AAE">
      <w:pPr>
        <w:ind w:firstLine="720"/>
      </w:pPr>
    </w:p>
    <w:p w14:paraId="57FF4622" w14:textId="77777777" w:rsidR="00393AAE" w:rsidRDefault="00393AAE" w:rsidP="00393A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rPr>
      </w:pPr>
      <w:r w:rsidRPr="00F9765A">
        <w:rPr>
          <w:b/>
        </w:rPr>
        <w:t xml:space="preserve">Table </w:t>
      </w:r>
      <w:r>
        <w:rPr>
          <w:b/>
        </w:rPr>
        <w:fldChar w:fldCharType="begin"/>
      </w:r>
      <w:r>
        <w:rPr>
          <w:b/>
        </w:rPr>
        <w:instrText xml:space="preserve"> SEQ Table \* ARABIC </w:instrText>
      </w:r>
      <w:r>
        <w:rPr>
          <w:b/>
        </w:rPr>
        <w:fldChar w:fldCharType="separate"/>
      </w:r>
      <w:r>
        <w:rPr>
          <w:b/>
          <w:noProof/>
        </w:rPr>
        <w:t>14</w:t>
      </w:r>
      <w:r>
        <w:rPr>
          <w:b/>
        </w:rPr>
        <w:fldChar w:fldCharType="end"/>
      </w:r>
      <w:r w:rsidRPr="002806B5">
        <w:rPr>
          <w:b/>
        </w:rPr>
        <w:t xml:space="preserve">: Estimate of </w:t>
      </w:r>
      <w:r>
        <w:rPr>
          <w:b/>
        </w:rPr>
        <w:t xml:space="preserve">Changes in </w:t>
      </w:r>
      <w:r w:rsidRPr="002806B5">
        <w:rPr>
          <w:b/>
        </w:rPr>
        <w:t xml:space="preserve">Annual Burden Hours </w:t>
      </w:r>
      <w:r>
        <w:rPr>
          <w:b/>
        </w:rPr>
        <w:t>from Previous ICR by Activity</w:t>
      </w:r>
    </w:p>
    <w:tbl>
      <w:tblPr>
        <w:tblW w:w="7700" w:type="dxa"/>
        <w:tblLook w:val="04A0" w:firstRow="1" w:lastRow="0" w:firstColumn="1" w:lastColumn="0" w:noHBand="0" w:noVBand="1"/>
      </w:tblPr>
      <w:tblGrid>
        <w:gridCol w:w="4240"/>
        <w:gridCol w:w="3460"/>
      </w:tblGrid>
      <w:tr w:rsidR="00393AAE" w:rsidRPr="00343881" w14:paraId="6C1F4743" w14:textId="77777777" w:rsidTr="008D1A92">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2741E" w14:textId="77777777" w:rsidR="00393AAE" w:rsidRPr="00343881" w:rsidRDefault="00393AAE" w:rsidP="008D1A92">
            <w:pPr>
              <w:keepNext/>
              <w:keepLines/>
              <w:widowControl/>
              <w:adjustRightInd/>
              <w:jc w:val="center"/>
              <w:rPr>
                <w:b/>
                <w:bCs/>
                <w:color w:val="000000"/>
                <w:sz w:val="22"/>
                <w:szCs w:val="22"/>
              </w:rPr>
            </w:pPr>
            <w:r w:rsidRPr="00343881">
              <w:rPr>
                <w:b/>
                <w:bCs/>
                <w:color w:val="000000"/>
                <w:sz w:val="22"/>
                <w:szCs w:val="22"/>
              </w:rPr>
              <w:t> </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14:paraId="659DA712" w14:textId="77777777" w:rsidR="00393AAE" w:rsidRPr="00343881" w:rsidRDefault="00393AAE" w:rsidP="008D1A92">
            <w:pPr>
              <w:keepNext/>
              <w:keepLines/>
              <w:widowControl/>
              <w:adjustRightInd/>
              <w:jc w:val="center"/>
              <w:rPr>
                <w:b/>
                <w:bCs/>
                <w:color w:val="000000"/>
                <w:sz w:val="22"/>
                <w:szCs w:val="22"/>
              </w:rPr>
            </w:pPr>
            <w:r w:rsidRPr="00343881">
              <w:rPr>
                <w:b/>
                <w:bCs/>
                <w:color w:val="000000"/>
                <w:sz w:val="22"/>
                <w:szCs w:val="22"/>
              </w:rPr>
              <w:t>Annual Burden Hours</w:t>
            </w:r>
          </w:p>
        </w:tc>
      </w:tr>
      <w:tr w:rsidR="00393AAE" w:rsidRPr="00343881" w14:paraId="42384339" w14:textId="77777777" w:rsidTr="008D1A92">
        <w:trPr>
          <w:trHeight w:val="30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06FDBA7F" w14:textId="77777777" w:rsidR="00393AAE" w:rsidRPr="00343881" w:rsidRDefault="00393AAE" w:rsidP="008D1A92">
            <w:pPr>
              <w:keepNext/>
              <w:keepLines/>
              <w:widowControl/>
              <w:adjustRightInd/>
              <w:rPr>
                <w:color w:val="000000"/>
                <w:sz w:val="22"/>
                <w:szCs w:val="22"/>
              </w:rPr>
            </w:pPr>
            <w:r w:rsidRPr="00343881">
              <w:rPr>
                <w:color w:val="000000"/>
                <w:sz w:val="22"/>
                <w:szCs w:val="22"/>
              </w:rPr>
              <w:t>Current OMB Inventory</w:t>
            </w:r>
          </w:p>
        </w:tc>
        <w:tc>
          <w:tcPr>
            <w:tcW w:w="3460" w:type="dxa"/>
            <w:tcBorders>
              <w:top w:val="nil"/>
              <w:left w:val="nil"/>
              <w:bottom w:val="single" w:sz="4" w:space="0" w:color="auto"/>
              <w:right w:val="single" w:sz="4" w:space="0" w:color="auto"/>
            </w:tcBorders>
            <w:shd w:val="clear" w:color="auto" w:fill="auto"/>
            <w:noWrap/>
            <w:vAlign w:val="center"/>
            <w:hideMark/>
          </w:tcPr>
          <w:p w14:paraId="4EE85601" w14:textId="77777777" w:rsidR="00393AAE" w:rsidRPr="00343881" w:rsidRDefault="00393AAE" w:rsidP="008D1A92">
            <w:pPr>
              <w:keepNext/>
              <w:keepLines/>
              <w:widowControl/>
              <w:adjustRightInd/>
              <w:jc w:val="center"/>
              <w:rPr>
                <w:color w:val="000000"/>
                <w:sz w:val="22"/>
                <w:szCs w:val="22"/>
              </w:rPr>
            </w:pPr>
            <w:r w:rsidRPr="00343881">
              <w:rPr>
                <w:color w:val="000000"/>
                <w:sz w:val="22"/>
                <w:szCs w:val="22"/>
              </w:rPr>
              <w:t>736</w:t>
            </w:r>
          </w:p>
        </w:tc>
      </w:tr>
      <w:tr w:rsidR="00393AAE" w:rsidRPr="00343881" w14:paraId="23B41034" w14:textId="77777777" w:rsidTr="008D1A92">
        <w:trPr>
          <w:trHeight w:val="30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0377B9E7" w14:textId="77777777" w:rsidR="00393AAE" w:rsidRPr="00343881" w:rsidRDefault="00393AAE" w:rsidP="008D1A92">
            <w:pPr>
              <w:keepNext/>
              <w:keepLines/>
              <w:widowControl/>
              <w:adjustRightInd/>
              <w:rPr>
                <w:color w:val="000000"/>
                <w:sz w:val="22"/>
                <w:szCs w:val="22"/>
              </w:rPr>
            </w:pPr>
            <w:r w:rsidRPr="00343881">
              <w:rPr>
                <w:color w:val="000000"/>
                <w:sz w:val="22"/>
                <w:szCs w:val="22"/>
              </w:rPr>
              <w:t>Change in Burden due to Adjustments</w:t>
            </w:r>
          </w:p>
        </w:tc>
        <w:tc>
          <w:tcPr>
            <w:tcW w:w="3460" w:type="dxa"/>
            <w:tcBorders>
              <w:top w:val="nil"/>
              <w:left w:val="nil"/>
              <w:bottom w:val="single" w:sz="4" w:space="0" w:color="auto"/>
              <w:right w:val="single" w:sz="4" w:space="0" w:color="auto"/>
            </w:tcBorders>
            <w:shd w:val="clear" w:color="auto" w:fill="auto"/>
            <w:noWrap/>
            <w:vAlign w:val="center"/>
            <w:hideMark/>
          </w:tcPr>
          <w:p w14:paraId="23237E61" w14:textId="77777777" w:rsidR="00393AAE" w:rsidRPr="00343881" w:rsidRDefault="00393AAE" w:rsidP="008D1A92">
            <w:pPr>
              <w:keepNext/>
              <w:keepLines/>
              <w:widowControl/>
              <w:adjustRightInd/>
              <w:jc w:val="center"/>
              <w:rPr>
                <w:color w:val="000000"/>
                <w:sz w:val="22"/>
                <w:szCs w:val="22"/>
              </w:rPr>
            </w:pPr>
            <w:r w:rsidRPr="00343881">
              <w:rPr>
                <w:color w:val="000000"/>
                <w:sz w:val="22"/>
                <w:szCs w:val="22"/>
              </w:rPr>
              <w:t>-598</w:t>
            </w:r>
          </w:p>
        </w:tc>
      </w:tr>
      <w:tr w:rsidR="00393AAE" w:rsidRPr="00343881" w14:paraId="4D4DA5AC"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DDE60E0"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Updated estimated average number of SNURs promulgated annually</w:t>
            </w:r>
          </w:p>
        </w:tc>
        <w:tc>
          <w:tcPr>
            <w:tcW w:w="3460" w:type="dxa"/>
            <w:tcBorders>
              <w:top w:val="nil"/>
              <w:left w:val="nil"/>
              <w:bottom w:val="single" w:sz="4" w:space="0" w:color="auto"/>
              <w:right w:val="single" w:sz="4" w:space="0" w:color="auto"/>
            </w:tcBorders>
            <w:shd w:val="clear" w:color="auto" w:fill="auto"/>
            <w:noWrap/>
            <w:vAlign w:val="center"/>
            <w:hideMark/>
          </w:tcPr>
          <w:p w14:paraId="67373DE0"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-72</w:t>
            </w:r>
          </w:p>
        </w:tc>
      </w:tr>
      <w:tr w:rsidR="00393AAE" w:rsidRPr="00343881" w14:paraId="324617EC"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36D99585"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Updated estimated average number of SNUNs submitted annually</w:t>
            </w:r>
          </w:p>
        </w:tc>
        <w:tc>
          <w:tcPr>
            <w:tcW w:w="3460" w:type="dxa"/>
            <w:tcBorders>
              <w:top w:val="nil"/>
              <w:left w:val="nil"/>
              <w:bottom w:val="single" w:sz="4" w:space="0" w:color="auto"/>
              <w:right w:val="single" w:sz="4" w:space="0" w:color="auto"/>
            </w:tcBorders>
            <w:shd w:val="clear" w:color="auto" w:fill="auto"/>
            <w:noWrap/>
            <w:vAlign w:val="center"/>
            <w:hideMark/>
          </w:tcPr>
          <w:p w14:paraId="5449E795"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-553</w:t>
            </w:r>
          </w:p>
        </w:tc>
      </w:tr>
      <w:tr w:rsidR="00393AAE" w:rsidRPr="00343881" w14:paraId="1B49159C"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46107593"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 xml:space="preserve">Updated estimated number of affected sites </w:t>
            </w:r>
          </w:p>
        </w:tc>
        <w:tc>
          <w:tcPr>
            <w:tcW w:w="3460" w:type="dxa"/>
            <w:tcBorders>
              <w:top w:val="nil"/>
              <w:left w:val="nil"/>
              <w:bottom w:val="single" w:sz="4" w:space="0" w:color="auto"/>
              <w:right w:val="single" w:sz="4" w:space="0" w:color="auto"/>
            </w:tcBorders>
            <w:shd w:val="clear" w:color="auto" w:fill="auto"/>
            <w:noWrap/>
            <w:vAlign w:val="center"/>
            <w:hideMark/>
          </w:tcPr>
          <w:p w14:paraId="007B7521"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2</w:t>
            </w:r>
          </w:p>
        </w:tc>
      </w:tr>
      <w:tr w:rsidR="00393AAE" w:rsidRPr="00343881" w14:paraId="6863B269"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DCEB200"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 xml:space="preserve">Updated estimated average number of chemicals and chemical formulas </w:t>
            </w:r>
          </w:p>
        </w:tc>
        <w:tc>
          <w:tcPr>
            <w:tcW w:w="3460" w:type="dxa"/>
            <w:tcBorders>
              <w:top w:val="nil"/>
              <w:left w:val="nil"/>
              <w:bottom w:val="single" w:sz="4" w:space="0" w:color="auto"/>
              <w:right w:val="single" w:sz="4" w:space="0" w:color="auto"/>
            </w:tcBorders>
            <w:shd w:val="clear" w:color="auto" w:fill="auto"/>
            <w:noWrap/>
            <w:vAlign w:val="center"/>
            <w:hideMark/>
          </w:tcPr>
          <w:p w14:paraId="5D8F9569"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25</w:t>
            </w:r>
          </w:p>
        </w:tc>
      </w:tr>
      <w:tr w:rsidR="00393AAE" w:rsidRPr="00343881" w14:paraId="1F999228"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3C05B1B"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 xml:space="preserve">Updated estimated burden estimate for completing a SNUN </w:t>
            </w:r>
          </w:p>
        </w:tc>
        <w:tc>
          <w:tcPr>
            <w:tcW w:w="3460" w:type="dxa"/>
            <w:tcBorders>
              <w:top w:val="nil"/>
              <w:left w:val="nil"/>
              <w:bottom w:val="single" w:sz="4" w:space="0" w:color="auto"/>
              <w:right w:val="single" w:sz="4" w:space="0" w:color="auto"/>
            </w:tcBorders>
            <w:shd w:val="clear" w:color="auto" w:fill="auto"/>
            <w:noWrap/>
            <w:vAlign w:val="center"/>
            <w:hideMark/>
          </w:tcPr>
          <w:p w14:paraId="15740968"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-0.5</w:t>
            </w:r>
          </w:p>
        </w:tc>
      </w:tr>
      <w:tr w:rsidR="00393AAE" w:rsidRPr="00343881" w14:paraId="6F36DD6E" w14:textId="77777777" w:rsidTr="008D1A92">
        <w:trPr>
          <w:trHeight w:val="6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6188C4EC" w14:textId="77777777" w:rsidR="00393AAE" w:rsidRPr="00343881" w:rsidRDefault="00393AAE" w:rsidP="008D1A92">
            <w:pPr>
              <w:keepNext/>
              <w:keepLines/>
              <w:widowControl/>
              <w:adjustRightInd/>
              <w:rPr>
                <w:i/>
                <w:iCs/>
                <w:color w:val="000000"/>
                <w:sz w:val="22"/>
                <w:szCs w:val="22"/>
              </w:rPr>
            </w:pPr>
            <w:r w:rsidRPr="00343881">
              <w:rPr>
                <w:i/>
                <w:iCs/>
                <w:color w:val="000000"/>
                <w:sz w:val="22"/>
                <w:szCs w:val="22"/>
              </w:rPr>
              <w:t>Updated estimated burden estimate for rule familiarization</w:t>
            </w:r>
          </w:p>
        </w:tc>
        <w:tc>
          <w:tcPr>
            <w:tcW w:w="3460" w:type="dxa"/>
            <w:tcBorders>
              <w:top w:val="nil"/>
              <w:left w:val="nil"/>
              <w:bottom w:val="single" w:sz="4" w:space="0" w:color="auto"/>
              <w:right w:val="single" w:sz="4" w:space="0" w:color="auto"/>
            </w:tcBorders>
            <w:shd w:val="clear" w:color="auto" w:fill="auto"/>
            <w:noWrap/>
            <w:vAlign w:val="center"/>
            <w:hideMark/>
          </w:tcPr>
          <w:p w14:paraId="56F77B02" w14:textId="77777777" w:rsidR="00393AAE" w:rsidRPr="00481777" w:rsidRDefault="00393AAE" w:rsidP="008D1A92">
            <w:pPr>
              <w:keepNext/>
              <w:keepLines/>
              <w:widowControl/>
              <w:adjustRightInd/>
              <w:jc w:val="center"/>
              <w:rPr>
                <w:i/>
                <w:color w:val="000000"/>
                <w:sz w:val="22"/>
                <w:szCs w:val="22"/>
              </w:rPr>
            </w:pPr>
            <w:r w:rsidRPr="00481777">
              <w:rPr>
                <w:i/>
                <w:color w:val="000000"/>
                <w:sz w:val="22"/>
                <w:szCs w:val="22"/>
              </w:rPr>
              <w:t>-0.1</w:t>
            </w:r>
          </w:p>
        </w:tc>
      </w:tr>
      <w:tr w:rsidR="00393AAE" w:rsidRPr="00343881" w14:paraId="05EB7499" w14:textId="77777777" w:rsidTr="008D1A92">
        <w:trPr>
          <w:trHeight w:val="30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26D9BFC5" w14:textId="77777777" w:rsidR="00393AAE" w:rsidRPr="00343881" w:rsidRDefault="00393AAE" w:rsidP="008D1A92">
            <w:pPr>
              <w:keepNext/>
              <w:keepLines/>
              <w:widowControl/>
              <w:adjustRightInd/>
              <w:rPr>
                <w:color w:val="000000"/>
                <w:sz w:val="22"/>
                <w:szCs w:val="22"/>
              </w:rPr>
            </w:pPr>
            <w:r w:rsidRPr="00343881">
              <w:rPr>
                <w:color w:val="000000"/>
                <w:sz w:val="22"/>
                <w:szCs w:val="22"/>
              </w:rPr>
              <w:t>Change in Burden due to Program Changes</w:t>
            </w:r>
          </w:p>
        </w:tc>
        <w:tc>
          <w:tcPr>
            <w:tcW w:w="3460" w:type="dxa"/>
            <w:tcBorders>
              <w:top w:val="nil"/>
              <w:left w:val="nil"/>
              <w:bottom w:val="single" w:sz="4" w:space="0" w:color="auto"/>
              <w:right w:val="single" w:sz="4" w:space="0" w:color="auto"/>
            </w:tcBorders>
            <w:shd w:val="clear" w:color="auto" w:fill="auto"/>
            <w:noWrap/>
            <w:vAlign w:val="center"/>
            <w:hideMark/>
          </w:tcPr>
          <w:p w14:paraId="0A9EB752" w14:textId="77777777" w:rsidR="00393AAE" w:rsidRPr="00343881" w:rsidRDefault="00393AAE" w:rsidP="008D1A92">
            <w:pPr>
              <w:keepNext/>
              <w:keepLines/>
              <w:widowControl/>
              <w:adjustRightInd/>
              <w:jc w:val="center"/>
              <w:rPr>
                <w:color w:val="000000"/>
                <w:sz w:val="22"/>
                <w:szCs w:val="22"/>
              </w:rPr>
            </w:pPr>
            <w:r w:rsidRPr="00343881">
              <w:rPr>
                <w:color w:val="000000"/>
                <w:sz w:val="22"/>
                <w:szCs w:val="22"/>
              </w:rPr>
              <w:t>0.0</w:t>
            </w:r>
          </w:p>
        </w:tc>
      </w:tr>
      <w:tr w:rsidR="00393AAE" w:rsidRPr="00343881" w14:paraId="182C5AFF" w14:textId="77777777" w:rsidTr="008D1A92">
        <w:trPr>
          <w:trHeight w:val="30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34E4C0B7" w14:textId="77777777" w:rsidR="00393AAE" w:rsidRPr="00343881" w:rsidRDefault="00393AAE" w:rsidP="008D1A92">
            <w:pPr>
              <w:keepNext/>
              <w:keepLines/>
              <w:widowControl/>
              <w:adjustRightInd/>
              <w:rPr>
                <w:b/>
                <w:bCs/>
                <w:i/>
                <w:iCs/>
                <w:color w:val="000000"/>
                <w:sz w:val="22"/>
                <w:szCs w:val="22"/>
              </w:rPr>
            </w:pPr>
            <w:r w:rsidRPr="00343881">
              <w:rPr>
                <w:b/>
                <w:bCs/>
                <w:i/>
                <w:iCs/>
                <w:color w:val="000000"/>
                <w:sz w:val="22"/>
                <w:szCs w:val="22"/>
              </w:rPr>
              <w:t>Total Change in Burden</w:t>
            </w:r>
          </w:p>
        </w:tc>
        <w:tc>
          <w:tcPr>
            <w:tcW w:w="3460" w:type="dxa"/>
            <w:tcBorders>
              <w:top w:val="nil"/>
              <w:left w:val="nil"/>
              <w:bottom w:val="single" w:sz="4" w:space="0" w:color="auto"/>
              <w:right w:val="single" w:sz="4" w:space="0" w:color="auto"/>
            </w:tcBorders>
            <w:shd w:val="clear" w:color="auto" w:fill="auto"/>
            <w:noWrap/>
            <w:vAlign w:val="center"/>
            <w:hideMark/>
          </w:tcPr>
          <w:p w14:paraId="46C1E99F" w14:textId="77777777" w:rsidR="00393AAE" w:rsidRPr="00343881" w:rsidRDefault="00393AAE" w:rsidP="008D1A92">
            <w:pPr>
              <w:keepNext/>
              <w:keepLines/>
              <w:widowControl/>
              <w:adjustRightInd/>
              <w:jc w:val="center"/>
              <w:rPr>
                <w:b/>
                <w:bCs/>
                <w:i/>
                <w:iCs/>
                <w:color w:val="000000"/>
                <w:sz w:val="22"/>
                <w:szCs w:val="22"/>
              </w:rPr>
            </w:pPr>
            <w:r w:rsidRPr="00343881">
              <w:rPr>
                <w:b/>
                <w:bCs/>
                <w:i/>
                <w:iCs/>
                <w:color w:val="000000"/>
                <w:sz w:val="22"/>
                <w:szCs w:val="22"/>
              </w:rPr>
              <w:t>-598</w:t>
            </w:r>
          </w:p>
        </w:tc>
      </w:tr>
      <w:tr w:rsidR="00393AAE" w:rsidRPr="00343881" w14:paraId="2DE43F65" w14:textId="77777777" w:rsidTr="008D1A92">
        <w:trPr>
          <w:trHeight w:val="300"/>
        </w:trPr>
        <w:tc>
          <w:tcPr>
            <w:tcW w:w="4240" w:type="dxa"/>
            <w:tcBorders>
              <w:top w:val="nil"/>
              <w:left w:val="single" w:sz="4" w:space="0" w:color="auto"/>
              <w:bottom w:val="single" w:sz="4" w:space="0" w:color="auto"/>
              <w:right w:val="single" w:sz="4" w:space="0" w:color="auto"/>
            </w:tcBorders>
            <w:shd w:val="clear" w:color="auto" w:fill="auto"/>
            <w:noWrap/>
            <w:vAlign w:val="center"/>
            <w:hideMark/>
          </w:tcPr>
          <w:p w14:paraId="78ABA121" w14:textId="77777777" w:rsidR="00393AAE" w:rsidRPr="00343881" w:rsidRDefault="00393AAE" w:rsidP="008D1A92">
            <w:pPr>
              <w:keepNext/>
              <w:keepLines/>
              <w:widowControl/>
              <w:adjustRightInd/>
              <w:rPr>
                <w:b/>
                <w:bCs/>
                <w:color w:val="000000"/>
                <w:sz w:val="22"/>
                <w:szCs w:val="22"/>
              </w:rPr>
            </w:pPr>
            <w:r w:rsidRPr="00343881">
              <w:rPr>
                <w:b/>
                <w:bCs/>
                <w:color w:val="000000"/>
                <w:sz w:val="22"/>
                <w:szCs w:val="22"/>
              </w:rPr>
              <w:t>Total Burden</w:t>
            </w:r>
          </w:p>
        </w:tc>
        <w:tc>
          <w:tcPr>
            <w:tcW w:w="3460" w:type="dxa"/>
            <w:tcBorders>
              <w:top w:val="nil"/>
              <w:left w:val="nil"/>
              <w:bottom w:val="single" w:sz="4" w:space="0" w:color="auto"/>
              <w:right w:val="single" w:sz="4" w:space="0" w:color="auto"/>
            </w:tcBorders>
            <w:shd w:val="clear" w:color="auto" w:fill="auto"/>
            <w:noWrap/>
            <w:vAlign w:val="center"/>
            <w:hideMark/>
          </w:tcPr>
          <w:p w14:paraId="6B516D8A" w14:textId="77777777" w:rsidR="00393AAE" w:rsidRPr="00343881" w:rsidRDefault="00393AAE" w:rsidP="008D1A92">
            <w:pPr>
              <w:keepNext/>
              <w:keepLines/>
              <w:widowControl/>
              <w:adjustRightInd/>
              <w:jc w:val="center"/>
              <w:rPr>
                <w:b/>
                <w:bCs/>
                <w:color w:val="000000"/>
                <w:sz w:val="22"/>
                <w:szCs w:val="22"/>
              </w:rPr>
            </w:pPr>
            <w:r w:rsidRPr="00343881">
              <w:rPr>
                <w:b/>
                <w:bCs/>
                <w:color w:val="000000"/>
                <w:sz w:val="22"/>
                <w:szCs w:val="22"/>
              </w:rPr>
              <w:t>138</w:t>
            </w:r>
          </w:p>
        </w:tc>
      </w:tr>
    </w:tbl>
    <w:p w14:paraId="2860CDB3" w14:textId="77777777" w:rsidR="00393AAE" w:rsidRDefault="00393AAE" w:rsidP="00393A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b/>
        </w:rPr>
      </w:pPr>
    </w:p>
    <w:p w14:paraId="24C014DC" w14:textId="77777777" w:rsidR="00393AAE" w:rsidRDefault="00393AAE" w:rsidP="00393A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ED04AD"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6(e)</w:t>
      </w:r>
      <w:r>
        <w:rPr>
          <w:b/>
          <w:bCs/>
        </w:rPr>
        <w:tab/>
        <w:t>Burden Statement</w:t>
      </w:r>
    </w:p>
    <w:p w14:paraId="5AD948FF" w14:textId="77777777" w:rsidR="00393AAE" w:rsidRDefault="00393AAE" w:rsidP="00393AAE">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D24B0E" w14:textId="77777777" w:rsidR="00393AAE" w:rsidRDefault="00393AAE" w:rsidP="00393AAE">
      <w:pPr>
        <w:ind w:firstLine="720"/>
      </w:pPr>
      <w:r>
        <w:t xml:space="preserve">The annual public burden for this collection of information, which is approved under OMB Control No. 2070-0038, is estimated to average approximately 30 hours per response. Burden is defined in 5 CFR 1320.3(b). An agency may not conduct or sponsor, and a person is not required to respond to a collection of information unless it displays a current and valid OMB control number. The OMB control numbers for EPA’s regulations in title 40 of the CFR, after appearing in the </w:t>
      </w:r>
      <w:r w:rsidRPr="00C26BA4">
        <w:rPr>
          <w:u w:val="single"/>
        </w:rPr>
        <w:t>Federal Register</w:t>
      </w:r>
      <w:r>
        <w:t>, are listed in 40 CFR part 9 and included on the related collection instrument or form, if applicable.</w:t>
      </w:r>
    </w:p>
    <w:p w14:paraId="0A9651EC" w14:textId="77777777" w:rsidR="00393AAE" w:rsidRDefault="00393AAE" w:rsidP="00393AAE"/>
    <w:p w14:paraId="43D18B8C" w14:textId="77777777" w:rsidR="00393AAE" w:rsidRDefault="00393AAE" w:rsidP="00393AAE">
      <w:pPr>
        <w:tabs>
          <w:tab w:val="left" w:pos="-1080"/>
          <w:tab w:val="left" w:pos="-720"/>
        </w:tabs>
      </w:pPr>
      <w:r>
        <w:rPr>
          <w:lang w:val="en-CA"/>
        </w:rPr>
        <w:tab/>
      </w:r>
      <w:r w:rsidRPr="00BF29B2">
        <w:t>The Agency has established a public docket for this ICR under Docket</w:t>
      </w:r>
      <w:r w:rsidRPr="00CF70B2">
        <w:t xml:space="preserve"> ID</w:t>
      </w:r>
      <w:r w:rsidRPr="005A3906">
        <w:t xml:space="preserve"> No.</w:t>
      </w:r>
      <w:r w:rsidRPr="00427211">
        <w:rPr>
          <w:highlight w:val="white"/>
        </w:rPr>
        <w:t xml:space="preserve"> </w:t>
      </w:r>
      <w:r w:rsidRPr="004E5ABB">
        <w:t>EPA-HQ-OPPT-</w:t>
      </w:r>
      <w:r w:rsidRPr="009D1D06">
        <w:t>2015-0273</w:t>
      </w:r>
      <w:r w:rsidRPr="004E5ABB">
        <w:t>, which is available for online viewing at www.regulations.gov, or in person viewing at</w:t>
      </w:r>
      <w:r w:rsidRPr="009841C2">
        <w:t xml:space="preserve"> </w:t>
      </w:r>
      <w:r>
        <w:t>the Pollution Prevention and Toxics Docket in the EPA Docket Center (EPA/DC). The EPA/DC Public Reading Room is located in the EPA West Building,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58E35845" w14:textId="77777777" w:rsidR="00393AAE" w:rsidRDefault="00393AAE" w:rsidP="00393AAE">
      <w:pPr>
        <w:tabs>
          <w:tab w:val="left" w:pos="-1080"/>
          <w:tab w:val="left" w:pos="-720"/>
        </w:tabs>
      </w:pPr>
    </w:p>
    <w:p w14:paraId="24BE23D0" w14:textId="77777777" w:rsidR="00393AAE" w:rsidRDefault="00393AAE" w:rsidP="00393AAE">
      <w:pPr>
        <w:tabs>
          <w:tab w:val="left" w:pos="-1080"/>
          <w:tab w:val="left" w:pos="-720"/>
        </w:tabs>
      </w:pPr>
      <w:r>
        <w:tab/>
        <w:t>You may submit comments regarding the Agency's need for this information, the accuracy of the provided burden estimates and any suggested methods for minimizing respondent burden, including the use of automated collection techniques. Submit your comments, referencing Docket ID No. EPA-HQ-OPPT-</w:t>
      </w:r>
      <w:r w:rsidRPr="009D1D06">
        <w:t>2015-0273</w:t>
      </w:r>
      <w:r>
        <w:t xml:space="preserve"> and OMB Control No. 2070-0038, to both EPA and OMB as follows: </w:t>
      </w:r>
    </w:p>
    <w:p w14:paraId="2D70A6C0" w14:textId="77777777" w:rsidR="00393AAE" w:rsidRDefault="00393AAE" w:rsidP="00393AAE">
      <w:pPr>
        <w:pStyle w:val="ListParagraph"/>
        <w:numPr>
          <w:ilvl w:val="0"/>
          <w:numId w:val="32"/>
        </w:numPr>
        <w:tabs>
          <w:tab w:val="left" w:pos="-1080"/>
          <w:tab w:val="left" w:pos="-720"/>
        </w:tabs>
      </w:pPr>
      <w:r>
        <w:t xml:space="preserve">To EPA online using http://www.regulations.gov (our preferred method) or by mail to: EPA Docket Center, Environmental Protection Agency, Mail Code 28221T, 1200 Pennsylvania Ave., NW, Washington, DC 20460, and </w:t>
      </w:r>
    </w:p>
    <w:p w14:paraId="55B9D277" w14:textId="77777777" w:rsidR="00393AAE" w:rsidRDefault="00393AAE" w:rsidP="00393AAE">
      <w:pPr>
        <w:pStyle w:val="ListParagraph"/>
        <w:numPr>
          <w:ilvl w:val="0"/>
          <w:numId w:val="32"/>
        </w:numPr>
        <w:tabs>
          <w:tab w:val="left" w:pos="-1080"/>
          <w:tab w:val="left" w:pos="-720"/>
        </w:tabs>
      </w:pPr>
      <w:r>
        <w:t xml:space="preserve">To OMB via email to oira_submission@omb.eop.gov. Address comments to </w:t>
      </w:r>
      <w:r w:rsidRPr="001049C0">
        <w:rPr>
          <w:i/>
        </w:rPr>
        <w:t>OMB Desk Officer for EPA</w:t>
      </w:r>
      <w:r>
        <w:t>.</w:t>
      </w:r>
    </w:p>
    <w:p w14:paraId="54CBFA58" w14:textId="77777777" w:rsidR="00393AAE" w:rsidRDefault="00393AAE" w:rsidP="00393AAE">
      <w:pPr>
        <w:tabs>
          <w:tab w:val="left" w:pos="-1080"/>
          <w:tab w:val="left" w:pos="-720"/>
        </w:tabs>
      </w:pPr>
    </w:p>
    <w:p w14:paraId="304FD703" w14:textId="77777777" w:rsidR="00393AAE" w:rsidRDefault="00393AAE" w:rsidP="00393AAE">
      <w:pPr>
        <w:widowControl/>
        <w:adjustRightInd/>
        <w:spacing w:after="200" w:line="276" w:lineRule="auto"/>
        <w:rPr>
          <w:b/>
          <w:u w:val="single"/>
        </w:rPr>
      </w:pPr>
      <w:r>
        <w:rPr>
          <w:b/>
          <w:u w:val="single"/>
        </w:rPr>
        <w:br w:type="page"/>
      </w:r>
    </w:p>
    <w:p w14:paraId="01F86E27" w14:textId="77777777" w:rsidR="00393AAE" w:rsidRPr="00847923" w:rsidRDefault="00393AAE" w:rsidP="00393AAE">
      <w:pPr>
        <w:tabs>
          <w:tab w:val="center" w:pos="4725"/>
          <w:tab w:val="left" w:pos="5040"/>
          <w:tab w:val="left" w:pos="5760"/>
          <w:tab w:val="left" w:pos="6480"/>
          <w:tab w:val="left" w:pos="6999"/>
          <w:tab w:val="left" w:pos="7179"/>
          <w:tab w:val="left" w:pos="7920"/>
          <w:tab w:val="left" w:pos="8640"/>
        </w:tabs>
        <w:jc w:val="center"/>
      </w:pPr>
      <w:r w:rsidRPr="003C1627">
        <w:rPr>
          <w:b/>
          <w:u w:val="single"/>
        </w:rPr>
        <w:t>REFERENCES</w:t>
      </w:r>
    </w:p>
    <w:p w14:paraId="32A67C66" w14:textId="77777777" w:rsidR="00393AAE" w:rsidRPr="00EB5D7A" w:rsidRDefault="00393AAE" w:rsidP="00393AAE">
      <w:pPr>
        <w:spacing w:before="288" w:after="240"/>
        <w:ind w:left="648" w:right="936" w:hanging="648"/>
      </w:pPr>
      <w:r w:rsidRPr="00EB5D7A">
        <w:rPr>
          <w:spacing w:val="-2"/>
        </w:rPr>
        <w:t>BLS, 2006. U.S. Bureau of Labor Statistics,</w:t>
      </w:r>
      <w:r w:rsidRPr="00EB5D7A">
        <w:t xml:space="preserve"> </w:t>
      </w:r>
      <w:r w:rsidRPr="00EB5D7A">
        <w:rPr>
          <w:i/>
          <w:spacing w:val="-2"/>
        </w:rPr>
        <w:t xml:space="preserve">Employment Cost Index News Release Text: </w:t>
      </w:r>
      <w:r w:rsidRPr="00EB5D7A">
        <w:rPr>
          <w:i/>
        </w:rPr>
        <w:t xml:space="preserve">Employment Cost Index, March 2006 </w:t>
      </w:r>
      <w:r w:rsidRPr="00EB5D7A">
        <w:t xml:space="preserve">(April 28, 2006), at </w:t>
      </w:r>
      <w:hyperlink r:id="rId16" w:history="1">
        <w:r w:rsidRPr="002115FA">
          <w:rPr>
            <w:i/>
            <w:color w:val="0000FF"/>
            <w:u w:val="single"/>
          </w:rPr>
          <w:t>http://www.bls.gov</w:t>
        </w:r>
      </w:hyperlink>
      <w:r w:rsidRPr="00EB5D7A">
        <w:rPr>
          <w:u w:val="single"/>
        </w:rPr>
        <w:t>.</w:t>
      </w:r>
    </w:p>
    <w:p w14:paraId="37FF31AB" w14:textId="77777777" w:rsidR="00393AAE" w:rsidRDefault="00393AAE" w:rsidP="00393AAE">
      <w:pPr>
        <w:widowControl/>
        <w:autoSpaceDE w:val="0"/>
        <w:autoSpaceDN w:val="0"/>
        <w:ind w:left="360" w:hanging="360"/>
        <w:rPr>
          <w:bCs/>
        </w:rPr>
      </w:pPr>
      <w:r w:rsidRPr="00EB5D7A">
        <w:rPr>
          <w:bCs/>
        </w:rPr>
        <w:t>BLS, 201</w:t>
      </w:r>
      <w:r>
        <w:rPr>
          <w:bCs/>
        </w:rPr>
        <w:t>8</w:t>
      </w:r>
      <w:r w:rsidRPr="00EB5D7A">
        <w:rPr>
          <w:bCs/>
        </w:rPr>
        <w:t>. U.S. Bureau of Labor Statistics. “Employer Costs for Employee Compensation Supplementary Tables</w:t>
      </w:r>
      <w:r>
        <w:rPr>
          <w:bCs/>
        </w:rPr>
        <w:t>: December 2006 – December 2017</w:t>
      </w:r>
      <w:r w:rsidRPr="00EB5D7A">
        <w:rPr>
          <w:bCs/>
        </w:rPr>
        <w:t xml:space="preserve">” Accessed </w:t>
      </w:r>
      <w:r>
        <w:t>March 26, 2018</w:t>
      </w:r>
      <w:r w:rsidRPr="00EB5D7A">
        <w:rPr>
          <w:bCs/>
        </w:rPr>
        <w:t xml:space="preserve">. </w:t>
      </w:r>
      <w:hyperlink r:id="rId17" w:history="1">
        <w:r w:rsidRPr="00751343">
          <w:rPr>
            <w:rStyle w:val="Hyperlink"/>
          </w:rPr>
          <w:t>https://www.bls.gov/web/ecec/ecsuphst.pdf</w:t>
        </w:r>
      </w:hyperlink>
      <w:r>
        <w:t xml:space="preserve"> </w:t>
      </w:r>
    </w:p>
    <w:p w14:paraId="54214B15" w14:textId="77777777" w:rsidR="00393AAE" w:rsidRPr="00EB5D7A" w:rsidRDefault="00393AAE" w:rsidP="00393AAE">
      <w:pPr>
        <w:widowControl/>
        <w:autoSpaceDE w:val="0"/>
        <w:autoSpaceDN w:val="0"/>
        <w:rPr>
          <w:bCs/>
        </w:rPr>
      </w:pPr>
    </w:p>
    <w:p w14:paraId="1C4A35EE" w14:textId="77777777" w:rsidR="00393AAE" w:rsidRPr="00EB5D7A" w:rsidRDefault="00393AAE" w:rsidP="00393AAE">
      <w:pPr>
        <w:tabs>
          <w:tab w:val="left" w:pos="-4700"/>
          <w:tab w:val="left" w:pos="0"/>
          <w:tab w:val="left" w:pos="339"/>
          <w:tab w:val="left" w:pos="720"/>
          <w:tab w:val="left" w:pos="1440"/>
          <w:tab w:val="left" w:pos="2160"/>
          <w:tab w:val="left" w:pos="2880"/>
          <w:tab w:val="left" w:pos="3600"/>
          <w:tab w:val="left" w:pos="4320"/>
          <w:tab w:val="left" w:pos="5040"/>
          <w:tab w:val="left" w:pos="5760"/>
          <w:tab w:val="left" w:pos="6480"/>
          <w:tab w:val="left" w:pos="6999"/>
          <w:tab w:val="left" w:pos="7179"/>
          <w:tab w:val="left" w:pos="7920"/>
          <w:tab w:val="left" w:pos="8640"/>
        </w:tabs>
        <w:spacing w:after="240"/>
        <w:ind w:left="339" w:hanging="339"/>
      </w:pPr>
      <w:r w:rsidRPr="00EB5D7A">
        <w:t>EPA, 1994. U.S. EPA, Office of Pollution Prevention and Toxics</w:t>
      </w:r>
      <w:r>
        <w:t xml:space="preserve"> </w:t>
      </w:r>
      <w:r w:rsidRPr="00EB5D7A">
        <w:t>Regulatory Impacts Branch.</w:t>
      </w:r>
      <w:r>
        <w:t xml:space="preserve"> </w:t>
      </w:r>
      <w:r w:rsidRPr="00EB5D7A">
        <w:rPr>
          <w:i/>
          <w:iCs/>
        </w:rPr>
        <w:t>Regulatory Impact Analysis of Amendments to Regulations for TSCA Section 5 Premanufacture Notifications</w:t>
      </w:r>
      <w:r w:rsidRPr="00EB5D7A">
        <w:t>.</w:t>
      </w:r>
      <w:r>
        <w:t xml:space="preserve"> </w:t>
      </w:r>
      <w:r w:rsidRPr="00EB5D7A">
        <w:t>Washington, DC: U.S. EPA/OPPT/EETD/RIB, September 9, 1994.</w:t>
      </w:r>
    </w:p>
    <w:p w14:paraId="6603A202" w14:textId="77777777" w:rsidR="00393AAE" w:rsidRPr="00EB5D7A" w:rsidRDefault="00393AAE" w:rsidP="00393AAE">
      <w:pPr>
        <w:pStyle w:val="Reference"/>
        <w:spacing w:after="240"/>
        <w:rPr>
          <w:color w:val="auto"/>
          <w:sz w:val="24"/>
        </w:rPr>
      </w:pPr>
      <w:r w:rsidRPr="00EB5D7A">
        <w:rPr>
          <w:color w:val="auto"/>
          <w:spacing w:val="-2"/>
          <w:sz w:val="24"/>
        </w:rPr>
        <w:t>EPA, 2002a. U.S. EPA, Office of Pollution Prevention and Toxics, Economic and Policy Analysis</w:t>
      </w:r>
      <w:r w:rsidRPr="00EB5D7A">
        <w:rPr>
          <w:color w:val="auto"/>
          <w:sz w:val="24"/>
        </w:rPr>
        <w:t xml:space="preserve"> Branch. </w:t>
      </w:r>
      <w:r w:rsidRPr="00EB5D7A">
        <w:rPr>
          <w:i/>
          <w:color w:val="auto"/>
          <w:sz w:val="24"/>
        </w:rPr>
        <w:t xml:space="preserve">Revised Economic Analysis for the Amended Inventory Update Rule: Final Report. </w:t>
      </w:r>
      <w:r w:rsidRPr="00EB5D7A">
        <w:rPr>
          <w:color w:val="auto"/>
          <w:sz w:val="24"/>
        </w:rPr>
        <w:t>Washington, DC. August 2002.</w:t>
      </w:r>
    </w:p>
    <w:p w14:paraId="346B098F" w14:textId="77777777" w:rsidR="00393AAE" w:rsidRPr="00EB5D7A" w:rsidRDefault="00393AAE" w:rsidP="00393AAE">
      <w:pPr>
        <w:pStyle w:val="Reference"/>
        <w:spacing w:after="240"/>
        <w:rPr>
          <w:color w:val="auto"/>
          <w:sz w:val="24"/>
        </w:rPr>
      </w:pPr>
      <w:r w:rsidRPr="00EB5D7A">
        <w:rPr>
          <w:color w:val="auto"/>
          <w:spacing w:val="-2"/>
          <w:sz w:val="24"/>
        </w:rPr>
        <w:t xml:space="preserve">EPA, 2002b. </w:t>
      </w:r>
      <w:r w:rsidRPr="00EB5D7A">
        <w:rPr>
          <w:color w:val="auto"/>
          <w:sz w:val="24"/>
        </w:rPr>
        <w:t xml:space="preserve">U.S. EPA, Office of Pollution Prevention and Toxics, Economic and Policy Analysis Branch, </w:t>
      </w:r>
      <w:r w:rsidRPr="00EB5D7A">
        <w:rPr>
          <w:i/>
          <w:color w:val="auto"/>
          <w:spacing w:val="-2"/>
          <w:sz w:val="24"/>
        </w:rPr>
        <w:t xml:space="preserve">Wage Rates for Economic Analysis of the Toxics Release Inventory Program. </w:t>
      </w:r>
      <w:r w:rsidRPr="00EB5D7A">
        <w:rPr>
          <w:color w:val="auto"/>
          <w:sz w:val="24"/>
        </w:rPr>
        <w:t>Washington, DC: June 10, 2002.</w:t>
      </w:r>
    </w:p>
    <w:p w14:paraId="095A7CD5" w14:textId="77777777" w:rsidR="00393AAE" w:rsidRPr="00EB5D7A" w:rsidRDefault="00393AAE" w:rsidP="00393AAE">
      <w:pPr>
        <w:pStyle w:val="Reference"/>
        <w:spacing w:after="240"/>
        <w:rPr>
          <w:color w:val="auto"/>
          <w:sz w:val="24"/>
        </w:rPr>
      </w:pPr>
      <w:r w:rsidRPr="00EB5D7A">
        <w:rPr>
          <w:color w:val="auto"/>
          <w:sz w:val="24"/>
        </w:rPr>
        <w:t xml:space="preserve">EPA, 2007. U.S. EPA Office of Pollution Prevention and Toxics, </w:t>
      </w:r>
      <w:r w:rsidRPr="00EB5D7A">
        <w:rPr>
          <w:i/>
          <w:color w:val="auto"/>
          <w:sz w:val="24"/>
        </w:rPr>
        <w:t>Supporting Statement for</w:t>
      </w:r>
      <w:r w:rsidRPr="00EB5D7A">
        <w:rPr>
          <w:color w:val="auto"/>
          <w:sz w:val="24"/>
        </w:rPr>
        <w:t xml:space="preserve"> </w:t>
      </w:r>
      <w:r w:rsidRPr="00EB5D7A">
        <w:rPr>
          <w:i/>
          <w:color w:val="auto"/>
          <w:sz w:val="24"/>
        </w:rPr>
        <w:t xml:space="preserve">Information Collection Request: Pre-Manufacture Review Reporting and Exemption Requirements for New Chemical Substances and Significant New Use Reporting Requirements for Chemical Substances. </w:t>
      </w:r>
      <w:r w:rsidRPr="00EB5D7A">
        <w:rPr>
          <w:color w:val="auto"/>
          <w:sz w:val="24"/>
        </w:rPr>
        <w:t>OMB Control Number 2070-0012, EPA Tracking Number 0574.13, December 11, 2007.</w:t>
      </w:r>
    </w:p>
    <w:p w14:paraId="6F73AE99" w14:textId="77777777" w:rsidR="00393AAE" w:rsidRPr="00EB5D7A" w:rsidRDefault="00393AAE" w:rsidP="00393AAE">
      <w:pPr>
        <w:pStyle w:val="Reference"/>
        <w:spacing w:after="240"/>
        <w:rPr>
          <w:color w:val="auto"/>
          <w:sz w:val="24"/>
        </w:rPr>
      </w:pPr>
      <w:r w:rsidRPr="00EB5D7A">
        <w:rPr>
          <w:color w:val="auto"/>
          <w:sz w:val="24"/>
        </w:rPr>
        <w:t>EPA, 2009a. U.S. EPA, Office of Pollution Prevention and Toxics, Economic and Policy Analysis Branch</w:t>
      </w:r>
      <w:r w:rsidRPr="00EB5D7A">
        <w:rPr>
          <w:i/>
          <w:color w:val="auto"/>
          <w:sz w:val="24"/>
        </w:rPr>
        <w:t>. Economic Analysis of the Premanufacture Notification Electronic Reporting Final Rule</w:t>
      </w:r>
      <w:r w:rsidRPr="00EB5D7A">
        <w:rPr>
          <w:color w:val="auto"/>
          <w:sz w:val="24"/>
        </w:rPr>
        <w:t xml:space="preserve">. </w:t>
      </w:r>
      <w:r w:rsidRPr="00EB5D7A">
        <w:rPr>
          <w:bCs/>
          <w:color w:val="auto"/>
          <w:sz w:val="24"/>
        </w:rPr>
        <w:t>(EPA-HQ-OPPT-2008-0296)</w:t>
      </w:r>
      <w:r w:rsidRPr="00EB5D7A">
        <w:rPr>
          <w:color w:val="auto"/>
          <w:sz w:val="24"/>
        </w:rPr>
        <w:t>. July 13, 2009</w:t>
      </w:r>
    </w:p>
    <w:p w14:paraId="43FE1EC4" w14:textId="77777777" w:rsidR="00393AAE" w:rsidRPr="00EB5D7A" w:rsidRDefault="00393AAE" w:rsidP="00393AAE">
      <w:pPr>
        <w:pStyle w:val="Reference"/>
        <w:spacing w:after="240"/>
        <w:rPr>
          <w:color w:val="auto"/>
          <w:sz w:val="24"/>
        </w:rPr>
      </w:pPr>
      <w:r w:rsidRPr="00EB5D7A">
        <w:rPr>
          <w:color w:val="auto"/>
          <w:spacing w:val="-2"/>
          <w:sz w:val="24"/>
        </w:rPr>
        <w:t>EPA, 2009b. U.S. EPA, Office of Pollution Prevention and Toxics</w:t>
      </w:r>
      <w:r w:rsidRPr="00EB5D7A">
        <w:rPr>
          <w:i/>
          <w:color w:val="auto"/>
          <w:sz w:val="24"/>
        </w:rPr>
        <w:t xml:space="preserve"> ICR No. 118.09.</w:t>
      </w:r>
      <w:r w:rsidRPr="00EB5D7A">
        <w:rPr>
          <w:color w:val="auto"/>
          <w:sz w:val="24"/>
        </w:rPr>
        <w:t xml:space="preserve"> </w:t>
      </w:r>
      <w:r w:rsidRPr="00EB5D7A">
        <w:rPr>
          <w:i/>
          <w:color w:val="auto"/>
          <w:sz w:val="24"/>
        </w:rPr>
        <w:t>[Information Collection Request for] TSCA Section 5(a)(2) Significant New Use Rules for Existing Chemicals (Renewal). Supporting Statement for a Request for OMB Review under the Paperwork Reduction Act</w:t>
      </w:r>
      <w:r w:rsidRPr="00EB5D7A">
        <w:rPr>
          <w:color w:val="auto"/>
          <w:sz w:val="24"/>
        </w:rPr>
        <w:t>, February 6, 2009.</w:t>
      </w:r>
    </w:p>
    <w:p w14:paraId="06EF105C" w14:textId="77777777" w:rsidR="00393AAE" w:rsidRDefault="00393AAE" w:rsidP="00393AAE">
      <w:pPr>
        <w:widowControl/>
        <w:adjustRightInd/>
        <w:spacing w:after="200" w:line="276" w:lineRule="auto"/>
        <w:rPr>
          <w:rStyle w:val="Hyperlink"/>
        </w:rPr>
      </w:pPr>
      <w:r>
        <w:rPr>
          <w:rStyle w:val="Hyperlink"/>
        </w:rPr>
        <w:br w:type="page"/>
      </w:r>
    </w:p>
    <w:p w14:paraId="1C535405" w14:textId="77777777" w:rsidR="00393AAE" w:rsidRPr="006E0EE1" w:rsidRDefault="00393AAE" w:rsidP="00393AA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r w:rsidRPr="006E0EE1">
        <w:rPr>
          <w:b/>
          <w:color w:val="000000"/>
        </w:rPr>
        <w:t>ATTACHMENTS TO THE SUPPORTING STATEMENT</w:t>
      </w:r>
    </w:p>
    <w:p w14:paraId="43CAF8F1" w14:textId="77777777" w:rsidR="00393AAE" w:rsidRPr="006E0EE1" w:rsidRDefault="00393AAE" w:rsidP="00393AAE">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5CBD0712" w14:textId="77777777" w:rsidR="00393AAE" w:rsidRPr="006E0EE1" w:rsidRDefault="00393AAE" w:rsidP="0039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6E0EE1">
        <w:rPr>
          <w:color w:val="000000"/>
        </w:rPr>
        <w:tab/>
        <w:t xml:space="preserve">Attachments to the supporting statement are available in the public docket established for this ICR under docket identification number </w:t>
      </w:r>
      <w:r w:rsidRPr="006E0EE1">
        <w:rPr>
          <w:b/>
          <w:color w:val="000000"/>
        </w:rPr>
        <w:t>EPA-HQ-OPPT-201</w:t>
      </w:r>
      <w:r>
        <w:rPr>
          <w:b/>
          <w:color w:val="000000"/>
        </w:rPr>
        <w:t>5</w:t>
      </w:r>
      <w:r w:rsidRPr="006E0EE1">
        <w:rPr>
          <w:b/>
          <w:color w:val="000000"/>
        </w:rPr>
        <w:t>-0</w:t>
      </w:r>
      <w:r>
        <w:rPr>
          <w:b/>
          <w:color w:val="000000"/>
        </w:rPr>
        <w:t>2</w:t>
      </w:r>
      <w:r w:rsidRPr="006E0EE1">
        <w:rPr>
          <w:b/>
          <w:color w:val="000000"/>
        </w:rPr>
        <w:t>73</w:t>
      </w:r>
      <w:r w:rsidRPr="006E0EE1">
        <w:rPr>
          <w:color w:val="000000"/>
        </w:rPr>
        <w:t xml:space="preserve">. These attachments are available for online viewing at </w:t>
      </w:r>
      <w:hyperlink r:id="rId18" w:history="1">
        <w:r w:rsidRPr="006E0EE1">
          <w:rPr>
            <w:color w:val="0000FF"/>
            <w:u w:val="single"/>
          </w:rPr>
          <w:t>www.regulations.gov</w:t>
        </w:r>
      </w:hyperlink>
      <w:r w:rsidRPr="006E0EE1">
        <w:rPr>
          <w:color w:val="000000"/>
        </w:rPr>
        <w:t xml:space="preserve"> or otherwise accessed as described in section 6(f) of the supporting statement.</w:t>
      </w:r>
    </w:p>
    <w:p w14:paraId="5AC52F5B" w14:textId="77777777" w:rsidR="00393AAE" w:rsidRPr="006E0EE1" w:rsidRDefault="00393AAE" w:rsidP="0039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9B68C86" w14:textId="77777777" w:rsidR="00393AAE" w:rsidRPr="00FA5E2F" w:rsidRDefault="00393AAE" w:rsidP="0039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sidRPr="00FA5E2F">
        <w:rPr>
          <w:color w:val="000000"/>
        </w:rPr>
        <w:t>Attachment 1:</w:t>
      </w:r>
      <w:r w:rsidRPr="00FA5E2F">
        <w:rPr>
          <w:color w:val="000000"/>
        </w:rPr>
        <w:tab/>
      </w:r>
      <w:r>
        <w:rPr>
          <w:color w:val="000000"/>
        </w:rPr>
        <w:tab/>
      </w:r>
      <w:r w:rsidRPr="00FA5E2F">
        <w:rPr>
          <w:color w:val="000000"/>
        </w:rPr>
        <w:t>Toxic Substances Control Act Section 5 - 15 U.S.C. 2604</w:t>
      </w:r>
    </w:p>
    <w:p w14:paraId="4B39E20C" w14:textId="77777777" w:rsidR="00393AAE" w:rsidRPr="00FA5E2F" w:rsidRDefault="00393AAE" w:rsidP="00393A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A1B962" w14:textId="77777777" w:rsidR="00393AAE" w:rsidRPr="00FA5E2F" w:rsidRDefault="00393AAE" w:rsidP="00393AAE">
      <w:pPr>
        <w:ind w:left="2160" w:hanging="2160"/>
      </w:pPr>
      <w:r w:rsidRPr="00FA5E2F">
        <w:t>Attachment 2:</w:t>
      </w:r>
      <w:r w:rsidRPr="00FA5E2F">
        <w:tab/>
      </w:r>
      <w:r w:rsidRPr="00FA5E2F">
        <w:rPr>
          <w:color w:val="000000"/>
        </w:rPr>
        <w:t xml:space="preserve">40 CFR Part 721 (Subpart A through Subpart D) </w:t>
      </w:r>
      <w:r w:rsidRPr="00FA5E2F">
        <w:rPr>
          <w:i/>
        </w:rPr>
        <w:t xml:space="preserve">- </w:t>
      </w:r>
      <w:r w:rsidRPr="00FA5E2F">
        <w:t>Significant New Uses of Chemical Substances</w:t>
      </w:r>
    </w:p>
    <w:p w14:paraId="0551A1F9" w14:textId="77777777" w:rsidR="00393AAE" w:rsidRPr="00FA5E2F" w:rsidRDefault="00393AAE" w:rsidP="00393AAE">
      <w:pPr>
        <w:ind w:left="2160" w:hanging="2160"/>
      </w:pPr>
    </w:p>
    <w:p w14:paraId="27BF77DE" w14:textId="77777777" w:rsidR="00393AAE" w:rsidRDefault="00393AAE" w:rsidP="00393AAE">
      <w:pPr>
        <w:ind w:left="2160" w:hanging="2160"/>
      </w:pPr>
      <w:r w:rsidRPr="00FA5E2F">
        <w:t>Attachment 3:</w:t>
      </w:r>
      <w:r w:rsidRPr="00FA5E2F">
        <w:tab/>
        <w:t>Selection Criteria -- TSCA section 8(a) Rule vs.</w:t>
      </w:r>
      <w:r>
        <w:t xml:space="preserve"> </w:t>
      </w:r>
      <w:r w:rsidRPr="00FA5E2F">
        <w:t>SNUR</w:t>
      </w:r>
    </w:p>
    <w:p w14:paraId="77665224" w14:textId="77777777" w:rsidR="00393AAE" w:rsidRDefault="00393AAE" w:rsidP="00393AAE">
      <w:pPr>
        <w:ind w:left="2160" w:hanging="2160"/>
      </w:pPr>
    </w:p>
    <w:p w14:paraId="2B6A2EC2" w14:textId="45581235" w:rsidR="00393AAE" w:rsidRDefault="00393AAE" w:rsidP="00393AAE">
      <w:pPr>
        <w:ind w:left="2160" w:hanging="2160"/>
      </w:pPr>
      <w:r>
        <w:t>Attachment 4:</w:t>
      </w:r>
      <w:r>
        <w:tab/>
        <w:t>Public Comments Received</w:t>
      </w:r>
    </w:p>
    <w:p w14:paraId="23908FBC" w14:textId="77777777" w:rsidR="00393AAE" w:rsidRDefault="00393AAE" w:rsidP="00393AAE">
      <w:pPr>
        <w:ind w:left="2160" w:hanging="2160"/>
      </w:pPr>
    </w:p>
    <w:p w14:paraId="7BE6EF2B" w14:textId="77777777" w:rsidR="00393AAE" w:rsidRPr="00FA5E2F" w:rsidRDefault="00393AAE" w:rsidP="00393AAE">
      <w:pPr>
        <w:ind w:left="2160" w:hanging="2160"/>
      </w:pPr>
      <w:r>
        <w:t xml:space="preserve">Attachment 5: </w:t>
      </w:r>
      <w:r>
        <w:tab/>
        <w:t>EPA’s Response to Public Comments</w:t>
      </w:r>
    </w:p>
    <w:p w14:paraId="65723696" w14:textId="77777777" w:rsidR="00393AAE" w:rsidRPr="00FA5E2F" w:rsidRDefault="00393AAE" w:rsidP="00393AAE">
      <w:pPr>
        <w:ind w:left="2160" w:hanging="2160"/>
      </w:pPr>
    </w:p>
    <w:p w14:paraId="69A4FCF8" w14:textId="77777777" w:rsidR="00393AAE" w:rsidRDefault="00393AAE" w:rsidP="00393AAE">
      <w:pPr>
        <w:ind w:left="2160" w:hanging="2160"/>
      </w:pPr>
      <w:r w:rsidRPr="00FA5E2F">
        <w:t xml:space="preserve">Attachment </w:t>
      </w:r>
      <w:r>
        <w:t>6</w:t>
      </w:r>
      <w:r w:rsidRPr="00FA5E2F">
        <w:t>:</w:t>
      </w:r>
      <w:r w:rsidRPr="00FA5E2F">
        <w:tab/>
        <w:t>Consultations Message Sent by EPA to Potential Respondents</w:t>
      </w:r>
    </w:p>
    <w:p w14:paraId="7989A62F" w14:textId="77777777" w:rsidR="00393AAE" w:rsidRDefault="00393AAE" w:rsidP="00393AAE">
      <w:pPr>
        <w:ind w:left="2160" w:hanging="2160"/>
      </w:pPr>
    </w:p>
    <w:p w14:paraId="30B94F16" w14:textId="77777777" w:rsidR="00393AAE" w:rsidRPr="00FA5E2F" w:rsidRDefault="00393AAE" w:rsidP="00393AAE">
      <w:pPr>
        <w:ind w:left="2160" w:hanging="2160"/>
        <w:rPr>
          <w:color w:val="0000FF"/>
          <w:u w:val="single"/>
        </w:rPr>
      </w:pPr>
      <w:r>
        <w:t>Attachment 7:</w:t>
      </w:r>
      <w:r>
        <w:tab/>
        <w:t>Consultations Responses from ACC and SOCMA</w:t>
      </w:r>
    </w:p>
    <w:p w14:paraId="501BDC21" w14:textId="77777777" w:rsidR="00393AAE" w:rsidRPr="00FA5E2F" w:rsidRDefault="00393AAE" w:rsidP="00393AAE">
      <w:pPr>
        <w:tabs>
          <w:tab w:val="center" w:pos="4725"/>
          <w:tab w:val="left" w:pos="5040"/>
          <w:tab w:val="left" w:pos="5760"/>
          <w:tab w:val="left" w:pos="6480"/>
          <w:tab w:val="left" w:pos="6999"/>
          <w:tab w:val="left" w:pos="7179"/>
          <w:tab w:val="left" w:pos="7920"/>
          <w:tab w:val="left" w:pos="8640"/>
        </w:tabs>
        <w:ind w:left="360" w:hanging="360"/>
        <w:rPr>
          <w:rStyle w:val="Hyperlink"/>
        </w:rPr>
      </w:pPr>
    </w:p>
    <w:p w14:paraId="57D8AF5C" w14:textId="77777777" w:rsidR="00393AAE" w:rsidRDefault="00393AAE" w:rsidP="00393AAE">
      <w:pPr>
        <w:tabs>
          <w:tab w:val="center" w:pos="4725"/>
          <w:tab w:val="left" w:pos="5040"/>
          <w:tab w:val="left" w:pos="5760"/>
          <w:tab w:val="left" w:pos="6480"/>
          <w:tab w:val="left" w:pos="6999"/>
          <w:tab w:val="left" w:pos="7179"/>
          <w:tab w:val="left" w:pos="7920"/>
          <w:tab w:val="left" w:pos="8640"/>
        </w:tabs>
        <w:ind w:left="360" w:hanging="360"/>
        <w:rPr>
          <w:rStyle w:val="Hyperlink"/>
        </w:rPr>
      </w:pPr>
    </w:p>
    <w:p w14:paraId="2ECC404D" w14:textId="77777777" w:rsidR="00393AAE" w:rsidRDefault="00393AAE" w:rsidP="00393AAE">
      <w:pPr>
        <w:tabs>
          <w:tab w:val="center" w:pos="4725"/>
          <w:tab w:val="left" w:pos="5040"/>
          <w:tab w:val="left" w:pos="5760"/>
          <w:tab w:val="left" w:pos="6480"/>
          <w:tab w:val="left" w:pos="6999"/>
          <w:tab w:val="left" w:pos="7179"/>
          <w:tab w:val="left" w:pos="7920"/>
          <w:tab w:val="left" w:pos="8640"/>
        </w:tabs>
        <w:ind w:left="360" w:hanging="360"/>
      </w:pPr>
    </w:p>
    <w:p w14:paraId="4BC9DA72" w14:textId="77777777" w:rsidR="00393AAE" w:rsidRDefault="00393AAE" w:rsidP="00B912ED">
      <w:pPr>
        <w:rPr>
          <w:b/>
          <w:bCs/>
        </w:rPr>
      </w:pPr>
    </w:p>
    <w:sectPr w:rsidR="00393AAE" w:rsidSect="00393AAE">
      <w:footerReference w:type="default" r:id="rId19"/>
      <w:headerReference w:type="first" r:id="rId20"/>
      <w:footerReference w:type="first" r:id="rId21"/>
      <w:pgSz w:w="12240" w:h="15840" w:code="1"/>
      <w:pgMar w:top="1080" w:right="1080" w:bottom="1080" w:left="1080" w:header="630" w:footer="2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D6B45" w14:textId="77777777" w:rsidR="008D1A92" w:rsidRDefault="008D1A92" w:rsidP="00B912ED">
      <w:r>
        <w:separator/>
      </w:r>
    </w:p>
  </w:endnote>
  <w:endnote w:type="continuationSeparator" w:id="0">
    <w:p w14:paraId="508A137D" w14:textId="77777777" w:rsidR="008D1A92" w:rsidRDefault="008D1A92" w:rsidP="00B9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65272"/>
      <w:docPartObj>
        <w:docPartGallery w:val="Page Numbers (Bottom of Page)"/>
        <w:docPartUnique/>
      </w:docPartObj>
    </w:sdtPr>
    <w:sdtEndPr/>
    <w:sdtContent>
      <w:sdt>
        <w:sdtPr>
          <w:id w:val="-587773934"/>
          <w:docPartObj>
            <w:docPartGallery w:val="Page Numbers (Top of Page)"/>
            <w:docPartUnique/>
          </w:docPartObj>
        </w:sdtPr>
        <w:sdtEndPr/>
        <w:sdtContent>
          <w:p w14:paraId="1074F288" w14:textId="2E1D277E" w:rsidR="006215F2" w:rsidRDefault="006215F2">
            <w:pPr>
              <w:pStyle w:val="Footer"/>
              <w:jc w:val="center"/>
            </w:pPr>
            <w:r>
              <w:t xml:space="preserve">Page </w:t>
            </w:r>
            <w:r>
              <w:rPr>
                <w:b/>
                <w:bCs/>
              </w:rPr>
              <w:fldChar w:fldCharType="begin"/>
            </w:r>
            <w:r>
              <w:rPr>
                <w:b/>
                <w:bCs/>
              </w:rPr>
              <w:instrText xml:space="preserve"> PAGE </w:instrText>
            </w:r>
            <w:r>
              <w:rPr>
                <w:b/>
                <w:bCs/>
              </w:rPr>
              <w:fldChar w:fldCharType="separate"/>
            </w:r>
            <w:r w:rsidR="00370D9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70D95">
              <w:rPr>
                <w:b/>
                <w:bCs/>
                <w:noProof/>
              </w:rPr>
              <w:t>2</w:t>
            </w:r>
            <w:r>
              <w:rPr>
                <w:b/>
                <w:bCs/>
              </w:rPr>
              <w:fldChar w:fldCharType="end"/>
            </w:r>
          </w:p>
        </w:sdtContent>
      </w:sdt>
    </w:sdtContent>
  </w:sdt>
  <w:p w14:paraId="48187CE3" w14:textId="77777777" w:rsidR="006215F2" w:rsidRDefault="00621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6416635"/>
      <w:docPartObj>
        <w:docPartGallery w:val="Page Numbers (Bottom of Page)"/>
        <w:docPartUnique/>
      </w:docPartObj>
    </w:sdtPr>
    <w:sdtEndPr/>
    <w:sdtContent>
      <w:sdt>
        <w:sdtPr>
          <w:id w:val="1728636285"/>
          <w:docPartObj>
            <w:docPartGallery w:val="Page Numbers (Top of Page)"/>
            <w:docPartUnique/>
          </w:docPartObj>
        </w:sdtPr>
        <w:sdtEndPr/>
        <w:sdtContent>
          <w:p w14:paraId="337BC42D" w14:textId="5F7B37F0" w:rsidR="006215F2" w:rsidRDefault="006215F2">
            <w:pPr>
              <w:pStyle w:val="Footer"/>
              <w:jc w:val="center"/>
            </w:pPr>
            <w:r>
              <w:t xml:space="preserve">Page </w:t>
            </w:r>
            <w:r>
              <w:rPr>
                <w:b/>
                <w:bCs/>
              </w:rPr>
              <w:fldChar w:fldCharType="begin"/>
            </w:r>
            <w:r>
              <w:rPr>
                <w:b/>
                <w:bCs/>
              </w:rPr>
              <w:instrText xml:space="preserve"> PAGE </w:instrText>
            </w:r>
            <w:r>
              <w:rPr>
                <w:b/>
                <w:bCs/>
              </w:rPr>
              <w:fldChar w:fldCharType="separate"/>
            </w:r>
            <w:r w:rsidR="00370D9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370D95">
              <w:rPr>
                <w:b/>
                <w:bCs/>
                <w:noProof/>
              </w:rPr>
              <w:t>1</w:t>
            </w:r>
            <w:r>
              <w:rPr>
                <w:b/>
                <w:bCs/>
              </w:rPr>
              <w:fldChar w:fldCharType="end"/>
            </w:r>
          </w:p>
        </w:sdtContent>
      </w:sdt>
    </w:sdtContent>
  </w:sdt>
  <w:p w14:paraId="4DC30FED" w14:textId="77777777" w:rsidR="006215F2" w:rsidRDefault="00621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0B6E" w14:textId="77777777" w:rsidR="008D1A92" w:rsidRDefault="008D1A92" w:rsidP="00B912ED">
      <w:r>
        <w:separator/>
      </w:r>
    </w:p>
  </w:footnote>
  <w:footnote w:type="continuationSeparator" w:id="0">
    <w:p w14:paraId="0F0DA58A" w14:textId="77777777" w:rsidR="008D1A92" w:rsidRDefault="008D1A92" w:rsidP="00B912ED">
      <w:r>
        <w:continuationSeparator/>
      </w:r>
    </w:p>
  </w:footnote>
  <w:footnote w:id="1">
    <w:p w14:paraId="6CCBA8AE" w14:textId="77777777" w:rsidR="008D1A92" w:rsidRDefault="008D1A92" w:rsidP="00393AAE">
      <w:pPr>
        <w:pStyle w:val="FootnoteText"/>
      </w:pPr>
      <w:r w:rsidRPr="00006E8A">
        <w:rPr>
          <w:rStyle w:val="FootnoteReference"/>
          <w:vertAlign w:val="superscript"/>
        </w:rPr>
        <w:footnoteRef/>
      </w:r>
      <w:r>
        <w:t xml:space="preserve"> </w:t>
      </w:r>
      <w:r w:rsidRPr="00203606">
        <w:rPr>
          <w:sz w:val="18"/>
          <w:szCs w:val="18"/>
        </w:rPr>
        <w:t xml:space="preserve">EPA develops SNURs for a number of reasons, some based on findings from its </w:t>
      </w:r>
      <w:r w:rsidRPr="00203606">
        <w:rPr>
          <w:i/>
          <w:sz w:val="18"/>
          <w:szCs w:val="18"/>
        </w:rPr>
        <w:t>new</w:t>
      </w:r>
      <w:r w:rsidRPr="00203606">
        <w:rPr>
          <w:sz w:val="18"/>
          <w:szCs w:val="18"/>
        </w:rPr>
        <w:t xml:space="preserve"> chemicals program in order to bind manufacturers and processors of chemicals reviewed under its Premanufacture Notice (PMN) review process to certain </w:t>
      </w:r>
      <w:r w:rsidRPr="000A1D63">
        <w:rPr>
          <w:sz w:val="18"/>
          <w:szCs w:val="18"/>
        </w:rPr>
        <w:t>requirements (OMB Control No. 2070-0012).</w:t>
      </w:r>
      <w:r w:rsidRPr="00203606">
        <w:rPr>
          <w:sz w:val="18"/>
          <w:szCs w:val="18"/>
        </w:rPr>
        <w:t xml:space="preserve"> However, this ICR covers only SNURs that are developed by EPA’s </w:t>
      </w:r>
      <w:r w:rsidRPr="00203606">
        <w:rPr>
          <w:i/>
          <w:sz w:val="18"/>
          <w:szCs w:val="18"/>
        </w:rPr>
        <w:t>existing</w:t>
      </w:r>
      <w:r w:rsidRPr="00203606">
        <w:rPr>
          <w:sz w:val="18"/>
          <w:szCs w:val="18"/>
        </w:rPr>
        <w:t xml:space="preserve"> chemical program under TSCA section 5(a)(2) and</w:t>
      </w:r>
      <w:r>
        <w:rPr>
          <w:sz w:val="18"/>
          <w:szCs w:val="18"/>
        </w:rPr>
        <w:t>,</w:t>
      </w:r>
      <w:r w:rsidRPr="00203606">
        <w:rPr>
          <w:sz w:val="18"/>
          <w:szCs w:val="18"/>
        </w:rPr>
        <w:t xml:space="preserve"> therefore, only the SNUNs received based on those SNURs are estimated here.</w:t>
      </w:r>
    </w:p>
    <w:p w14:paraId="5C130BD4" w14:textId="77777777" w:rsidR="008D1A92" w:rsidRDefault="008D1A92" w:rsidP="00393AAE">
      <w:pPr>
        <w:pStyle w:val="FootnoteText"/>
      </w:pPr>
    </w:p>
  </w:footnote>
  <w:footnote w:id="2">
    <w:p w14:paraId="61B99E27" w14:textId="77777777" w:rsidR="008D1A92" w:rsidRPr="00DF31A8" w:rsidRDefault="008D1A92" w:rsidP="00393AAE">
      <w:pPr>
        <w:pStyle w:val="FootnoteText"/>
      </w:pPr>
      <w:r w:rsidRPr="00F06131">
        <w:rPr>
          <w:rStyle w:val="FootnoteReference"/>
          <w:vertAlign w:val="superscript"/>
        </w:rPr>
        <w:footnoteRef/>
      </w:r>
      <w:r>
        <w:t xml:space="preserve"> </w:t>
      </w:r>
      <w:r w:rsidRPr="00B40D93">
        <w:rPr>
          <w:sz w:val="18"/>
          <w:szCs w:val="18"/>
        </w:rPr>
        <w:t>Unless manufacturers</w:t>
      </w:r>
      <w:r>
        <w:rPr>
          <w:sz w:val="18"/>
          <w:szCs w:val="18"/>
        </w:rPr>
        <w:t xml:space="preserve"> (including importers) and</w:t>
      </w:r>
      <w:r w:rsidRPr="00B40D93">
        <w:rPr>
          <w:sz w:val="18"/>
          <w:szCs w:val="18"/>
        </w:rPr>
        <w:t xml:space="preserve"> processors of chemicals subject to SNURs have either notified recipients of such chemicals and all significant new uses, verified that knowledge of the SNUR has been otherwise acquired by recipients, or verified that recipients are unable to engage in sign</w:t>
      </w:r>
      <w:r>
        <w:rPr>
          <w:sz w:val="18"/>
          <w:szCs w:val="18"/>
        </w:rPr>
        <w:t>ificant new uses, manufacturers (including importers) and</w:t>
      </w:r>
      <w:r w:rsidRPr="00B40D93">
        <w:rPr>
          <w:sz w:val="18"/>
          <w:szCs w:val="18"/>
        </w:rPr>
        <w:t xml:space="preserve"> processors must file a SNUN.</w:t>
      </w:r>
    </w:p>
  </w:footnote>
  <w:footnote w:id="3">
    <w:p w14:paraId="28F52BB7" w14:textId="77777777" w:rsidR="008D1A92" w:rsidRPr="00206D8A" w:rsidRDefault="008D1A92" w:rsidP="00393AAE">
      <w:pPr>
        <w:pStyle w:val="FootnoteText"/>
        <w:rPr>
          <w:sz w:val="18"/>
          <w:szCs w:val="18"/>
        </w:rPr>
      </w:pPr>
      <w:r w:rsidRPr="00206D8A">
        <w:rPr>
          <w:rStyle w:val="FootnoteReference"/>
          <w:sz w:val="18"/>
          <w:szCs w:val="18"/>
          <w:vertAlign w:val="superscript"/>
        </w:rPr>
        <w:footnoteRef/>
      </w:r>
      <w:r w:rsidRPr="00206D8A">
        <w:rPr>
          <w:sz w:val="18"/>
          <w:szCs w:val="18"/>
        </w:rPr>
        <w:t xml:space="preserve"> The assumption that there are two manufacturers</w:t>
      </w:r>
      <w:r>
        <w:rPr>
          <w:sz w:val="18"/>
          <w:szCs w:val="18"/>
        </w:rPr>
        <w:t xml:space="preserve"> (including importers) or </w:t>
      </w:r>
      <w:r w:rsidRPr="00206D8A">
        <w:rPr>
          <w:sz w:val="18"/>
          <w:szCs w:val="18"/>
        </w:rPr>
        <w:t>processors per chemical follows from previous ICRs for these requirements.</w:t>
      </w:r>
    </w:p>
  </w:footnote>
  <w:footnote w:id="4">
    <w:p w14:paraId="609AD462" w14:textId="77777777" w:rsidR="008D1A92" w:rsidRPr="00DF31A8" w:rsidRDefault="008D1A92" w:rsidP="00393AAE">
      <w:pPr>
        <w:pStyle w:val="FootnoteText"/>
      </w:pPr>
      <w:r w:rsidRPr="00420AE5">
        <w:rPr>
          <w:rStyle w:val="FootnoteReference"/>
          <w:vertAlign w:val="superscript"/>
        </w:rPr>
        <w:footnoteRef/>
      </w:r>
      <w:r>
        <w:t xml:space="preserve"> </w:t>
      </w:r>
      <w:r w:rsidRPr="00206D8A">
        <w:rPr>
          <w:sz w:val="18"/>
          <w:szCs w:val="18"/>
        </w:rPr>
        <w:t>The assumption that there are two manufacturers</w:t>
      </w:r>
      <w:r>
        <w:rPr>
          <w:sz w:val="18"/>
          <w:szCs w:val="18"/>
        </w:rPr>
        <w:t xml:space="preserve"> (including importers) or</w:t>
      </w:r>
      <w:r w:rsidRPr="00206D8A">
        <w:rPr>
          <w:sz w:val="18"/>
          <w:szCs w:val="18"/>
        </w:rPr>
        <w:t xml:space="preserve"> processors per chemical follows from previous ICRs for these requirements.</w:t>
      </w:r>
    </w:p>
  </w:footnote>
  <w:footnote w:id="5">
    <w:p w14:paraId="2ED2A9B1" w14:textId="77777777" w:rsidR="008D1A92" w:rsidRDefault="008D1A92" w:rsidP="00393AAE">
      <w:pPr>
        <w:pStyle w:val="FootnoteText"/>
      </w:pPr>
      <w:r w:rsidRPr="005D3FA0">
        <w:rPr>
          <w:rStyle w:val="FootnoteReference"/>
          <w:vertAlign w:val="superscript"/>
        </w:rPr>
        <w:footnoteRef/>
      </w:r>
      <w:r w:rsidRPr="005D3FA0">
        <w:rPr>
          <w:vertAlign w:val="superscript"/>
        </w:rPr>
        <w:t xml:space="preserve"> </w:t>
      </w:r>
      <w:r>
        <w:t xml:space="preserve">Table 9 - Annual Section 5 PMN/SNUN/MCAN Cost Estimates. </w:t>
      </w:r>
      <w:r>
        <w:rPr>
          <w:i/>
        </w:rPr>
        <w:t>EO 12866 Documentation; Draft Submitted to OMB – Technical Background Document (RIN 2070-AK27; Final Rule</w:t>
      </w:r>
      <w:r>
        <w:t xml:space="preserve">. EPA-HQ-OPPT-2016-0401-0020. </w:t>
      </w:r>
      <w:hyperlink r:id="rId1" w:history="1">
        <w:r>
          <w:rPr>
            <w:rStyle w:val="Hyperlink"/>
          </w:rPr>
          <w:t>https://www.regulations.gov/document?D=EPA-HQ-OPPT-2016-0401-0020</w:t>
        </w:r>
      </w:hyperlink>
      <w:r>
        <w:t xml:space="preserve">.   </w:t>
      </w:r>
    </w:p>
  </w:footnote>
  <w:footnote w:id="6">
    <w:p w14:paraId="62C4A8F7" w14:textId="77777777" w:rsidR="008D1A92" w:rsidRDefault="008D1A92" w:rsidP="00393AAE">
      <w:pPr>
        <w:pStyle w:val="FootnoteText"/>
      </w:pPr>
      <w:r w:rsidRPr="005D3FA0">
        <w:rPr>
          <w:rStyle w:val="FootnoteReference"/>
          <w:vertAlign w:val="superscript"/>
        </w:rPr>
        <w:footnoteRef/>
      </w:r>
      <w:r w:rsidRPr="005D3FA0">
        <w:rPr>
          <w:vertAlign w:val="superscript"/>
        </w:rPr>
        <w:t xml:space="preserve"> </w:t>
      </w:r>
      <w:r>
        <w:t xml:space="preserve">This $41,000 review cost is lower than the overall average cost of $55,200 for TSCA section 5 activities that EPA calculated for the 2018 TSCA Fees rule because the $55,200 value includes costs for activities (such as issuing SNURs following a PMN review, and reviewing Notices of Commencement) that are not relevant to SNUNs.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66205" w14:textId="334FBA0D" w:rsidR="007C1667" w:rsidRDefault="006215F2" w:rsidP="007C1667">
    <w:pPr>
      <w:pStyle w:val="Header"/>
      <w:jc w:val="right"/>
    </w:pPr>
    <w:r>
      <w:t>July 19</w:t>
    </w:r>
    <w:r w:rsidR="007C1667">
      <w:t>, 2019</w:t>
    </w:r>
  </w:p>
  <w:p w14:paraId="61415B12" w14:textId="77777777" w:rsidR="007C1667" w:rsidRDefault="007C16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6164DEE"/>
    <w:lvl w:ilvl="0">
      <w:start w:val="1"/>
      <w:numFmt w:val="bullet"/>
      <w:lvlText w:val=""/>
      <w:lvlJc w:val="left"/>
      <w:pPr>
        <w:tabs>
          <w:tab w:val="num" w:pos="1080"/>
        </w:tabs>
        <w:ind w:left="1080" w:hanging="360"/>
      </w:pPr>
      <w:rPr>
        <w:rFonts w:ascii="Symbol" w:hAnsi="Symbol" w:hint="default"/>
      </w:rPr>
    </w:lvl>
  </w:abstractNum>
  <w:abstractNum w:abstractNumId="1">
    <w:nsid w:val="FFFFFFFE"/>
    <w:multiLevelType w:val="singleLevel"/>
    <w:tmpl w:val="F476D654"/>
    <w:lvl w:ilvl="0">
      <w:numFmt w:val="bullet"/>
      <w:lvlText w:val="*"/>
      <w:lvlJc w:val="left"/>
    </w:lvl>
  </w:abstractNum>
  <w:abstractNum w:abstractNumId="2">
    <w:nsid w:val="00000001"/>
    <w:multiLevelType w:val="multilevel"/>
    <w:tmpl w:val="CE44BBE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3BB895A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42AE688A"/>
    <w:lvl w:ilvl="0">
      <w:start w:val="3"/>
      <w:numFmt w:val="upperRoman"/>
      <w:pStyle w:val="Level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5">
    <w:nsid w:val="00000038"/>
    <w:multiLevelType w:val="multilevel"/>
    <w:tmpl w:val="A26EF29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2707FA"/>
    <w:multiLevelType w:val="hybridMultilevel"/>
    <w:tmpl w:val="1C66C61A"/>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6C50A5"/>
    <w:multiLevelType w:val="hybridMultilevel"/>
    <w:tmpl w:val="F5C6672E"/>
    <w:lvl w:ilvl="0" w:tplc="C5A86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707A6A"/>
    <w:multiLevelType w:val="hybridMultilevel"/>
    <w:tmpl w:val="5A04D4B4"/>
    <w:lvl w:ilvl="0" w:tplc="AB403438">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104429D5"/>
    <w:multiLevelType w:val="multilevel"/>
    <w:tmpl w:val="D7708EDC"/>
    <w:lvl w:ilvl="0">
      <w:start w:val="3"/>
      <w:numFmt w:val="decimal"/>
      <w:lvlRestart w:val="0"/>
      <w:pStyle w:val="Heading1"/>
      <w:lvlText w:val="%1"/>
      <w:lvlJc w:val="left"/>
      <w:pPr>
        <w:ind w:left="720" w:hanging="144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1">
    <w:nsid w:val="1BE30920"/>
    <w:multiLevelType w:val="hybridMultilevel"/>
    <w:tmpl w:val="8B32A3C2"/>
    <w:lvl w:ilvl="0" w:tplc="91144528">
      <w:start w:val="1"/>
      <w:numFmt w:val="bullet"/>
      <w:lvlText w:val=""/>
      <w:lvlJc w:val="left"/>
      <w:pPr>
        <w:tabs>
          <w:tab w:val="num" w:pos="2160"/>
        </w:tabs>
        <w:ind w:left="2160" w:hanging="360"/>
      </w:pPr>
      <w:rPr>
        <w:rFonts w:ascii="Symbol" w:hAnsi="Symbol" w:hint="default"/>
      </w:rPr>
    </w:lvl>
    <w:lvl w:ilvl="1" w:tplc="FB72E8B8">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2263A06"/>
    <w:multiLevelType w:val="hybridMultilevel"/>
    <w:tmpl w:val="3C5878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3A662B7"/>
    <w:multiLevelType w:val="multilevel"/>
    <w:tmpl w:val="870A17E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4">
    <w:nsid w:val="245F0F3A"/>
    <w:multiLevelType w:val="hybridMultilevel"/>
    <w:tmpl w:val="8E1E8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9857CC"/>
    <w:multiLevelType w:val="hybridMultilevel"/>
    <w:tmpl w:val="38403FC6"/>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053416"/>
    <w:multiLevelType w:val="hybridMultilevel"/>
    <w:tmpl w:val="3A38DE14"/>
    <w:lvl w:ilvl="0" w:tplc="7AC0B7F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72014CA"/>
    <w:multiLevelType w:val="hybridMultilevel"/>
    <w:tmpl w:val="A1E6694E"/>
    <w:lvl w:ilvl="0" w:tplc="7294383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2A7ED0"/>
    <w:multiLevelType w:val="multilevel"/>
    <w:tmpl w:val="90C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15BAB"/>
    <w:multiLevelType w:val="hybridMultilevel"/>
    <w:tmpl w:val="DE921B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2C5401"/>
    <w:multiLevelType w:val="hybridMultilevel"/>
    <w:tmpl w:val="EE9C860C"/>
    <w:lvl w:ilvl="0" w:tplc="3F1A3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266F72"/>
    <w:multiLevelType w:val="hybridMultilevel"/>
    <w:tmpl w:val="5E64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90B39"/>
    <w:multiLevelType w:val="hybridMultilevel"/>
    <w:tmpl w:val="017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F2F06"/>
    <w:multiLevelType w:val="hybridMultilevel"/>
    <w:tmpl w:val="82E065B6"/>
    <w:lvl w:ilvl="0" w:tplc="10C4A82E">
      <w:start w:val="1"/>
      <w:numFmt w:val="bullet"/>
      <w:lvlText w:val=""/>
      <w:lvlJc w:val="left"/>
      <w:pPr>
        <w:tabs>
          <w:tab w:val="num" w:pos="2160"/>
        </w:tabs>
        <w:ind w:left="2160" w:hanging="360"/>
      </w:pPr>
      <w:rPr>
        <w:rFonts w:ascii="Symbol" w:hAnsi="Symbol" w:hint="default"/>
      </w:rPr>
    </w:lvl>
    <w:lvl w:ilvl="1" w:tplc="EFF4188C">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5C654B3"/>
    <w:multiLevelType w:val="hybridMultilevel"/>
    <w:tmpl w:val="027CC564"/>
    <w:lvl w:ilvl="0" w:tplc="40B820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9D638AA"/>
    <w:multiLevelType w:val="hybridMultilevel"/>
    <w:tmpl w:val="D832A81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F781063"/>
    <w:multiLevelType w:val="hybridMultilevel"/>
    <w:tmpl w:val="43B00450"/>
    <w:lvl w:ilvl="0" w:tplc="DA06904C">
      <w:start w:val="1"/>
      <w:numFmt w:val="decimal"/>
      <w:lvlText w:val="%1)"/>
      <w:lvlJc w:val="left"/>
      <w:pPr>
        <w:ind w:left="720" w:hanging="360"/>
      </w:pPr>
      <w:rPr>
        <w:rFonts w:ascii="Verdana" w:hAnsi="Verdana"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0F0D39"/>
    <w:multiLevelType w:val="hybridMultilevel"/>
    <w:tmpl w:val="EFBCBE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61F4F37"/>
    <w:multiLevelType w:val="hybridMultilevel"/>
    <w:tmpl w:val="80FE0532"/>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BA663ED"/>
    <w:multiLevelType w:val="hybridMultilevel"/>
    <w:tmpl w:val="BE8ED474"/>
    <w:lvl w:ilvl="0" w:tplc="66F8CE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5">
    <w:abstractNumId w:val="4"/>
  </w:num>
  <w:num w:numId="6">
    <w:abstractNumId w:val="5"/>
  </w:num>
  <w:num w:numId="7">
    <w:abstractNumId w:val="10"/>
  </w:num>
  <w:num w:numId="8">
    <w:abstractNumId w:val="12"/>
  </w:num>
  <w:num w:numId="9">
    <w:abstractNumId w:val="17"/>
  </w:num>
  <w:num w:numId="10">
    <w:abstractNumId w:val="16"/>
  </w:num>
  <w:num w:numId="11">
    <w:abstractNumId w:val="19"/>
  </w:num>
  <w:num w:numId="12">
    <w:abstractNumId w:val="25"/>
  </w:num>
  <w:num w:numId="13">
    <w:abstractNumId w:val="13"/>
  </w:num>
  <w:num w:numId="14">
    <w:abstractNumId w:val="18"/>
  </w:num>
  <w:num w:numId="15">
    <w:abstractNumId w:val="11"/>
  </w:num>
  <w:num w:numId="16">
    <w:abstractNumId w:val="23"/>
  </w:num>
  <w:num w:numId="17">
    <w:abstractNumId w:val="9"/>
    <w:lvlOverride w:ilvl="0"/>
    <w:lvlOverride w:ilvl="1">
      <w:startOverride w:val="1"/>
    </w:lvlOverride>
    <w:lvlOverride w:ilvl="2"/>
    <w:lvlOverride w:ilvl="3"/>
    <w:lvlOverride w:ilvl="4"/>
    <w:lvlOverride w:ilvl="5"/>
    <w:lvlOverride w:ilvl="6"/>
    <w:lvlOverride w:ilvl="7"/>
    <w:lvlOverride w:ilvl="8"/>
  </w:num>
  <w:num w:numId="18">
    <w:abstractNumId w:val="6"/>
  </w:num>
  <w:num w:numId="19">
    <w:abstractNumId w:val="6"/>
  </w:num>
  <w:num w:numId="20">
    <w:abstractNumId w:val="7"/>
  </w:num>
  <w:num w:numId="21">
    <w:abstractNumId w:val="28"/>
  </w:num>
  <w:num w:numId="22">
    <w:abstractNumId w:val="29"/>
  </w:num>
  <w:num w:numId="23">
    <w:abstractNumId w:val="15"/>
  </w:num>
  <w:num w:numId="24">
    <w:abstractNumId w:val="21"/>
  </w:num>
  <w:num w:numId="25">
    <w:abstractNumId w:val="0"/>
  </w:num>
  <w:num w:numId="26">
    <w:abstractNumId w:val="27"/>
  </w:num>
  <w:num w:numId="27">
    <w:abstractNumId w:val="24"/>
  </w:num>
  <w:num w:numId="28">
    <w:abstractNumId w:val="20"/>
  </w:num>
  <w:num w:numId="29">
    <w:abstractNumId w:val="8"/>
  </w:num>
  <w:num w:numId="30">
    <w:abstractNumId w:val="14"/>
  </w:num>
  <w:num w:numId="31">
    <w:abstractNumId w:val="2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ED"/>
    <w:rsid w:val="00004F12"/>
    <w:rsid w:val="000074D2"/>
    <w:rsid w:val="00010DC2"/>
    <w:rsid w:val="00011D13"/>
    <w:rsid w:val="00013A98"/>
    <w:rsid w:val="00031CDB"/>
    <w:rsid w:val="00033611"/>
    <w:rsid w:val="000343C2"/>
    <w:rsid w:val="0005401F"/>
    <w:rsid w:val="00056CF5"/>
    <w:rsid w:val="00066FCD"/>
    <w:rsid w:val="000710A8"/>
    <w:rsid w:val="000830D8"/>
    <w:rsid w:val="00087579"/>
    <w:rsid w:val="00090E92"/>
    <w:rsid w:val="000940F0"/>
    <w:rsid w:val="000A016F"/>
    <w:rsid w:val="000A1D63"/>
    <w:rsid w:val="000A42DC"/>
    <w:rsid w:val="000A5D27"/>
    <w:rsid w:val="000B223A"/>
    <w:rsid w:val="000B63B8"/>
    <w:rsid w:val="000F61F0"/>
    <w:rsid w:val="00101B98"/>
    <w:rsid w:val="001049C0"/>
    <w:rsid w:val="00111D2B"/>
    <w:rsid w:val="001224E9"/>
    <w:rsid w:val="00133E7D"/>
    <w:rsid w:val="00155697"/>
    <w:rsid w:val="001557C3"/>
    <w:rsid w:val="00160391"/>
    <w:rsid w:val="001773DF"/>
    <w:rsid w:val="00177D20"/>
    <w:rsid w:val="0018025E"/>
    <w:rsid w:val="00184AF5"/>
    <w:rsid w:val="001939AE"/>
    <w:rsid w:val="00195E29"/>
    <w:rsid w:val="001A4562"/>
    <w:rsid w:val="001B1069"/>
    <w:rsid w:val="001B208B"/>
    <w:rsid w:val="001C2209"/>
    <w:rsid w:val="001D53B5"/>
    <w:rsid w:val="001D5A8B"/>
    <w:rsid w:val="001E11FE"/>
    <w:rsid w:val="001E25FE"/>
    <w:rsid w:val="001F0809"/>
    <w:rsid w:val="001F1ADC"/>
    <w:rsid w:val="001F6FEF"/>
    <w:rsid w:val="001F71E2"/>
    <w:rsid w:val="0020466A"/>
    <w:rsid w:val="00204FCB"/>
    <w:rsid w:val="002058EA"/>
    <w:rsid w:val="002115FA"/>
    <w:rsid w:val="00225DB1"/>
    <w:rsid w:val="00232D69"/>
    <w:rsid w:val="00234B9E"/>
    <w:rsid w:val="0025216A"/>
    <w:rsid w:val="00254CBB"/>
    <w:rsid w:val="002624CF"/>
    <w:rsid w:val="00262BD9"/>
    <w:rsid w:val="00263671"/>
    <w:rsid w:val="0026506F"/>
    <w:rsid w:val="0027394F"/>
    <w:rsid w:val="00283FB9"/>
    <w:rsid w:val="00284C7D"/>
    <w:rsid w:val="002916B6"/>
    <w:rsid w:val="00291DE1"/>
    <w:rsid w:val="002950C3"/>
    <w:rsid w:val="002A22CC"/>
    <w:rsid w:val="002B4F25"/>
    <w:rsid w:val="002B6D58"/>
    <w:rsid w:val="002D778E"/>
    <w:rsid w:val="002E3989"/>
    <w:rsid w:val="002E668E"/>
    <w:rsid w:val="002E6820"/>
    <w:rsid w:val="002F6A76"/>
    <w:rsid w:val="00307E81"/>
    <w:rsid w:val="0031387B"/>
    <w:rsid w:val="00314C08"/>
    <w:rsid w:val="00330B9D"/>
    <w:rsid w:val="00337D77"/>
    <w:rsid w:val="003421AC"/>
    <w:rsid w:val="00343881"/>
    <w:rsid w:val="003446D3"/>
    <w:rsid w:val="003477D9"/>
    <w:rsid w:val="00370D95"/>
    <w:rsid w:val="00372FA7"/>
    <w:rsid w:val="00375758"/>
    <w:rsid w:val="003827CD"/>
    <w:rsid w:val="00384271"/>
    <w:rsid w:val="00384BA9"/>
    <w:rsid w:val="00393AAE"/>
    <w:rsid w:val="00397EB0"/>
    <w:rsid w:val="003A15FF"/>
    <w:rsid w:val="003A7430"/>
    <w:rsid w:val="003B6094"/>
    <w:rsid w:val="003E72CC"/>
    <w:rsid w:val="003F3AEB"/>
    <w:rsid w:val="003F782C"/>
    <w:rsid w:val="00412B7F"/>
    <w:rsid w:val="00416F66"/>
    <w:rsid w:val="004341CA"/>
    <w:rsid w:val="004368D9"/>
    <w:rsid w:val="00441B3C"/>
    <w:rsid w:val="004421FF"/>
    <w:rsid w:val="00451D0F"/>
    <w:rsid w:val="0045698D"/>
    <w:rsid w:val="00457E3D"/>
    <w:rsid w:val="00475F93"/>
    <w:rsid w:val="00475F9B"/>
    <w:rsid w:val="004A3EBB"/>
    <w:rsid w:val="004D7BE2"/>
    <w:rsid w:val="004E77FA"/>
    <w:rsid w:val="004F17D6"/>
    <w:rsid w:val="004F7DAF"/>
    <w:rsid w:val="00504799"/>
    <w:rsid w:val="005054B9"/>
    <w:rsid w:val="005369D0"/>
    <w:rsid w:val="0053742F"/>
    <w:rsid w:val="00550507"/>
    <w:rsid w:val="00557E62"/>
    <w:rsid w:val="00565F43"/>
    <w:rsid w:val="00573B07"/>
    <w:rsid w:val="0057492E"/>
    <w:rsid w:val="00593FA0"/>
    <w:rsid w:val="005957E2"/>
    <w:rsid w:val="0059690E"/>
    <w:rsid w:val="005976CD"/>
    <w:rsid w:val="005A15AE"/>
    <w:rsid w:val="005A240E"/>
    <w:rsid w:val="005A3C34"/>
    <w:rsid w:val="005A63FD"/>
    <w:rsid w:val="005A7C01"/>
    <w:rsid w:val="005B034B"/>
    <w:rsid w:val="005B43B7"/>
    <w:rsid w:val="005C1538"/>
    <w:rsid w:val="005C45E4"/>
    <w:rsid w:val="005D3B08"/>
    <w:rsid w:val="005D3FA0"/>
    <w:rsid w:val="005E39C0"/>
    <w:rsid w:val="005F1996"/>
    <w:rsid w:val="00611CA4"/>
    <w:rsid w:val="006215F2"/>
    <w:rsid w:val="0064544D"/>
    <w:rsid w:val="00653E13"/>
    <w:rsid w:val="006A50F2"/>
    <w:rsid w:val="006A5DC4"/>
    <w:rsid w:val="006C2D2A"/>
    <w:rsid w:val="006C707E"/>
    <w:rsid w:val="006C7AEA"/>
    <w:rsid w:val="006C7EA9"/>
    <w:rsid w:val="006D0913"/>
    <w:rsid w:val="006E5161"/>
    <w:rsid w:val="006F2684"/>
    <w:rsid w:val="006F59AD"/>
    <w:rsid w:val="00701BB8"/>
    <w:rsid w:val="00707F46"/>
    <w:rsid w:val="00721FE6"/>
    <w:rsid w:val="00724187"/>
    <w:rsid w:val="00733003"/>
    <w:rsid w:val="00733262"/>
    <w:rsid w:val="00736D70"/>
    <w:rsid w:val="007440CB"/>
    <w:rsid w:val="007757CB"/>
    <w:rsid w:val="0078596E"/>
    <w:rsid w:val="007A5189"/>
    <w:rsid w:val="007B09E3"/>
    <w:rsid w:val="007B1B89"/>
    <w:rsid w:val="007B5F90"/>
    <w:rsid w:val="007C03FD"/>
    <w:rsid w:val="007C1667"/>
    <w:rsid w:val="007D5D21"/>
    <w:rsid w:val="007E43D7"/>
    <w:rsid w:val="007E73EC"/>
    <w:rsid w:val="007F2FB9"/>
    <w:rsid w:val="0080060F"/>
    <w:rsid w:val="00810628"/>
    <w:rsid w:val="00814B44"/>
    <w:rsid w:val="00820278"/>
    <w:rsid w:val="008241E9"/>
    <w:rsid w:val="00844D1D"/>
    <w:rsid w:val="00845216"/>
    <w:rsid w:val="00845E40"/>
    <w:rsid w:val="0086244E"/>
    <w:rsid w:val="008653E4"/>
    <w:rsid w:val="00872141"/>
    <w:rsid w:val="00873EF2"/>
    <w:rsid w:val="0088170C"/>
    <w:rsid w:val="00893976"/>
    <w:rsid w:val="008941DC"/>
    <w:rsid w:val="00895020"/>
    <w:rsid w:val="008A3B4A"/>
    <w:rsid w:val="008A3F54"/>
    <w:rsid w:val="008B03D9"/>
    <w:rsid w:val="008B1887"/>
    <w:rsid w:val="008B4F7E"/>
    <w:rsid w:val="008C232C"/>
    <w:rsid w:val="008D1A92"/>
    <w:rsid w:val="008D638D"/>
    <w:rsid w:val="008E66DB"/>
    <w:rsid w:val="008F1F55"/>
    <w:rsid w:val="008F39E7"/>
    <w:rsid w:val="008F4045"/>
    <w:rsid w:val="00926B92"/>
    <w:rsid w:val="00934965"/>
    <w:rsid w:val="00935013"/>
    <w:rsid w:val="00935B5B"/>
    <w:rsid w:val="00936430"/>
    <w:rsid w:val="00942D5A"/>
    <w:rsid w:val="009505ED"/>
    <w:rsid w:val="00951027"/>
    <w:rsid w:val="0096068C"/>
    <w:rsid w:val="00962376"/>
    <w:rsid w:val="0096716F"/>
    <w:rsid w:val="00975C36"/>
    <w:rsid w:val="00992919"/>
    <w:rsid w:val="009A0132"/>
    <w:rsid w:val="009A477F"/>
    <w:rsid w:val="009B009B"/>
    <w:rsid w:val="009B6319"/>
    <w:rsid w:val="009C2C75"/>
    <w:rsid w:val="009C32A0"/>
    <w:rsid w:val="009C593A"/>
    <w:rsid w:val="009C7225"/>
    <w:rsid w:val="009D064B"/>
    <w:rsid w:val="009D1D06"/>
    <w:rsid w:val="009D58E5"/>
    <w:rsid w:val="009E13D1"/>
    <w:rsid w:val="009E2C7A"/>
    <w:rsid w:val="009E3AC0"/>
    <w:rsid w:val="009E69D5"/>
    <w:rsid w:val="009F7579"/>
    <w:rsid w:val="00A00747"/>
    <w:rsid w:val="00A03219"/>
    <w:rsid w:val="00A0384E"/>
    <w:rsid w:val="00A13940"/>
    <w:rsid w:val="00A24E3C"/>
    <w:rsid w:val="00A30FA0"/>
    <w:rsid w:val="00A524C9"/>
    <w:rsid w:val="00A528F8"/>
    <w:rsid w:val="00A54BEB"/>
    <w:rsid w:val="00A563F1"/>
    <w:rsid w:val="00A601EF"/>
    <w:rsid w:val="00A61570"/>
    <w:rsid w:val="00A75A87"/>
    <w:rsid w:val="00A768E0"/>
    <w:rsid w:val="00A80983"/>
    <w:rsid w:val="00A813D1"/>
    <w:rsid w:val="00A84F2E"/>
    <w:rsid w:val="00A860A3"/>
    <w:rsid w:val="00A92F23"/>
    <w:rsid w:val="00A953B6"/>
    <w:rsid w:val="00AB1955"/>
    <w:rsid w:val="00AD6593"/>
    <w:rsid w:val="00B0407D"/>
    <w:rsid w:val="00B050A7"/>
    <w:rsid w:val="00B05E19"/>
    <w:rsid w:val="00B07D63"/>
    <w:rsid w:val="00B12955"/>
    <w:rsid w:val="00B15E53"/>
    <w:rsid w:val="00B32C42"/>
    <w:rsid w:val="00B33082"/>
    <w:rsid w:val="00B50238"/>
    <w:rsid w:val="00B519DE"/>
    <w:rsid w:val="00B611A9"/>
    <w:rsid w:val="00B65172"/>
    <w:rsid w:val="00B858CC"/>
    <w:rsid w:val="00B87B88"/>
    <w:rsid w:val="00B912ED"/>
    <w:rsid w:val="00BA3EA7"/>
    <w:rsid w:val="00BA526F"/>
    <w:rsid w:val="00BA63DA"/>
    <w:rsid w:val="00BC07EF"/>
    <w:rsid w:val="00BC1422"/>
    <w:rsid w:val="00BC3299"/>
    <w:rsid w:val="00BD27FC"/>
    <w:rsid w:val="00BE34E4"/>
    <w:rsid w:val="00BF17E6"/>
    <w:rsid w:val="00C042D4"/>
    <w:rsid w:val="00C10D54"/>
    <w:rsid w:val="00C13D71"/>
    <w:rsid w:val="00C14B0A"/>
    <w:rsid w:val="00C150A6"/>
    <w:rsid w:val="00C17587"/>
    <w:rsid w:val="00C243F6"/>
    <w:rsid w:val="00C24E72"/>
    <w:rsid w:val="00C26B33"/>
    <w:rsid w:val="00C26BA4"/>
    <w:rsid w:val="00C3075B"/>
    <w:rsid w:val="00C4168F"/>
    <w:rsid w:val="00C455BB"/>
    <w:rsid w:val="00C6669B"/>
    <w:rsid w:val="00C73474"/>
    <w:rsid w:val="00C84D7C"/>
    <w:rsid w:val="00C92440"/>
    <w:rsid w:val="00CA2595"/>
    <w:rsid w:val="00CA2774"/>
    <w:rsid w:val="00CA2A19"/>
    <w:rsid w:val="00CB399A"/>
    <w:rsid w:val="00CB6A00"/>
    <w:rsid w:val="00CC0296"/>
    <w:rsid w:val="00CD30C9"/>
    <w:rsid w:val="00CD5A6A"/>
    <w:rsid w:val="00CE08F5"/>
    <w:rsid w:val="00CE149F"/>
    <w:rsid w:val="00CE2DFD"/>
    <w:rsid w:val="00CE4140"/>
    <w:rsid w:val="00CE5DF7"/>
    <w:rsid w:val="00D0060E"/>
    <w:rsid w:val="00D05F8B"/>
    <w:rsid w:val="00D2608E"/>
    <w:rsid w:val="00D260F8"/>
    <w:rsid w:val="00D26B41"/>
    <w:rsid w:val="00D3176F"/>
    <w:rsid w:val="00D31C20"/>
    <w:rsid w:val="00D573D7"/>
    <w:rsid w:val="00D60CBF"/>
    <w:rsid w:val="00D703D6"/>
    <w:rsid w:val="00D72A55"/>
    <w:rsid w:val="00D73421"/>
    <w:rsid w:val="00D74AD2"/>
    <w:rsid w:val="00D76798"/>
    <w:rsid w:val="00D8348B"/>
    <w:rsid w:val="00D91B15"/>
    <w:rsid w:val="00D963D1"/>
    <w:rsid w:val="00DC25CF"/>
    <w:rsid w:val="00DD32DB"/>
    <w:rsid w:val="00DE48F1"/>
    <w:rsid w:val="00DF168F"/>
    <w:rsid w:val="00DF42AD"/>
    <w:rsid w:val="00E103B5"/>
    <w:rsid w:val="00E27D3F"/>
    <w:rsid w:val="00E455BB"/>
    <w:rsid w:val="00E46181"/>
    <w:rsid w:val="00E46C84"/>
    <w:rsid w:val="00E55825"/>
    <w:rsid w:val="00E565E4"/>
    <w:rsid w:val="00E61E8A"/>
    <w:rsid w:val="00E67824"/>
    <w:rsid w:val="00E848E3"/>
    <w:rsid w:val="00E922F3"/>
    <w:rsid w:val="00E93392"/>
    <w:rsid w:val="00E9623A"/>
    <w:rsid w:val="00EA4D7C"/>
    <w:rsid w:val="00ED6214"/>
    <w:rsid w:val="00EE5C97"/>
    <w:rsid w:val="00EF6B18"/>
    <w:rsid w:val="00F068A5"/>
    <w:rsid w:val="00F110D5"/>
    <w:rsid w:val="00F169A9"/>
    <w:rsid w:val="00F17EA9"/>
    <w:rsid w:val="00F6038E"/>
    <w:rsid w:val="00F66C80"/>
    <w:rsid w:val="00F67C49"/>
    <w:rsid w:val="00F76614"/>
    <w:rsid w:val="00F936ED"/>
    <w:rsid w:val="00F95641"/>
    <w:rsid w:val="00FA273C"/>
    <w:rsid w:val="00FA5E2F"/>
    <w:rsid w:val="00FA7B6C"/>
    <w:rsid w:val="00FD10AF"/>
    <w:rsid w:val="00FD1975"/>
    <w:rsid w:val="00FD22E2"/>
    <w:rsid w:val="00FE103E"/>
    <w:rsid w:val="00FF02B4"/>
    <w:rsid w:val="00FF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69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ED"/>
    <w:pPr>
      <w:widowControl w:val="0"/>
      <w:adjustRightInd w:val="0"/>
      <w:spacing w:after="0" w:line="240" w:lineRule="auto"/>
    </w:pPr>
    <w:rPr>
      <w:rFonts w:eastAsia="Times New Roman" w:cs="Times New Roman"/>
      <w:szCs w:val="24"/>
    </w:rPr>
  </w:style>
  <w:style w:type="paragraph" w:styleId="Heading1">
    <w:name w:val="heading 1"/>
    <w:basedOn w:val="Normal"/>
    <w:link w:val="Heading1Char"/>
    <w:qFormat/>
    <w:rsid w:val="00B912ED"/>
    <w:pPr>
      <w:numPr>
        <w:numId w:val="7"/>
      </w:numPr>
      <w:outlineLvl w:val="0"/>
    </w:pPr>
  </w:style>
  <w:style w:type="paragraph" w:styleId="Heading2">
    <w:name w:val="heading 2"/>
    <w:basedOn w:val="Normal"/>
    <w:next w:val="Normal"/>
    <w:link w:val="Heading2Char"/>
    <w:qFormat/>
    <w:rsid w:val="00B912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12ED"/>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B912ED"/>
    <w:pPr>
      <w:keepNext/>
      <w:spacing w:before="240" w:after="60"/>
      <w:outlineLvl w:val="3"/>
    </w:pPr>
    <w:rPr>
      <w:b/>
      <w:bCs/>
      <w:sz w:val="28"/>
      <w:szCs w:val="28"/>
    </w:rPr>
  </w:style>
  <w:style w:type="paragraph" w:styleId="Heading5">
    <w:name w:val="heading 5"/>
    <w:basedOn w:val="Normal"/>
    <w:next w:val="Normal"/>
    <w:link w:val="Heading5Char"/>
    <w:qFormat/>
    <w:rsid w:val="00B912ED"/>
    <w:pPr>
      <w:spacing w:before="240" w:after="60"/>
      <w:outlineLvl w:val="4"/>
    </w:pPr>
    <w:rPr>
      <w:b/>
      <w:bCs/>
      <w:i/>
      <w:iCs/>
      <w:sz w:val="26"/>
      <w:szCs w:val="26"/>
    </w:rPr>
  </w:style>
  <w:style w:type="paragraph" w:styleId="Heading6">
    <w:name w:val="heading 6"/>
    <w:basedOn w:val="Normal"/>
    <w:next w:val="Normal"/>
    <w:link w:val="Heading6Char"/>
    <w:qFormat/>
    <w:rsid w:val="00B912ED"/>
    <w:pPr>
      <w:spacing w:before="240" w:after="60"/>
      <w:outlineLvl w:val="5"/>
    </w:pPr>
    <w:rPr>
      <w:b/>
      <w:bCs/>
      <w:sz w:val="22"/>
      <w:szCs w:val="22"/>
    </w:rPr>
  </w:style>
  <w:style w:type="paragraph" w:styleId="Heading7">
    <w:name w:val="heading 7"/>
    <w:basedOn w:val="Normal"/>
    <w:next w:val="Normal"/>
    <w:link w:val="Heading7Char"/>
    <w:qFormat/>
    <w:rsid w:val="00B912ED"/>
    <w:pPr>
      <w:spacing w:before="240" w:after="60"/>
      <w:outlineLvl w:val="6"/>
    </w:pPr>
  </w:style>
  <w:style w:type="paragraph" w:styleId="Heading8">
    <w:name w:val="heading 8"/>
    <w:basedOn w:val="Normal"/>
    <w:next w:val="Normal"/>
    <w:link w:val="Heading8Char"/>
    <w:qFormat/>
    <w:rsid w:val="00B912E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2ED"/>
    <w:rPr>
      <w:rFonts w:eastAsia="Times New Roman" w:cs="Times New Roman"/>
      <w:szCs w:val="24"/>
    </w:rPr>
  </w:style>
  <w:style w:type="character" w:customStyle="1" w:styleId="Heading2Char">
    <w:name w:val="Heading 2 Char"/>
    <w:basedOn w:val="DefaultParagraphFont"/>
    <w:link w:val="Heading2"/>
    <w:rsid w:val="00B912ED"/>
    <w:rPr>
      <w:rFonts w:ascii="Arial" w:eastAsia="Times New Roman" w:hAnsi="Arial" w:cs="Arial"/>
      <w:b/>
      <w:bCs/>
      <w:i/>
      <w:iCs/>
      <w:sz w:val="28"/>
      <w:szCs w:val="28"/>
    </w:rPr>
  </w:style>
  <w:style w:type="character" w:customStyle="1" w:styleId="Heading3Char">
    <w:name w:val="Heading 3 Char"/>
    <w:basedOn w:val="DefaultParagraphFont"/>
    <w:link w:val="Heading3"/>
    <w:rsid w:val="00B912ED"/>
    <w:rPr>
      <w:rFonts w:ascii="Arial" w:eastAsia="Times New Roman" w:hAnsi="Arial" w:cs="Times New Roman"/>
      <w:b/>
      <w:bCs/>
      <w:sz w:val="26"/>
      <w:szCs w:val="26"/>
    </w:rPr>
  </w:style>
  <w:style w:type="character" w:customStyle="1" w:styleId="Heading4Char">
    <w:name w:val="Heading 4 Char"/>
    <w:basedOn w:val="DefaultParagraphFont"/>
    <w:link w:val="Heading4"/>
    <w:rsid w:val="00B912ED"/>
    <w:rPr>
      <w:rFonts w:eastAsia="Times New Roman" w:cs="Times New Roman"/>
      <w:b/>
      <w:bCs/>
      <w:sz w:val="28"/>
      <w:szCs w:val="28"/>
    </w:rPr>
  </w:style>
  <w:style w:type="character" w:customStyle="1" w:styleId="Heading5Char">
    <w:name w:val="Heading 5 Char"/>
    <w:basedOn w:val="DefaultParagraphFont"/>
    <w:link w:val="Heading5"/>
    <w:rsid w:val="00B912ED"/>
    <w:rPr>
      <w:rFonts w:eastAsia="Times New Roman" w:cs="Times New Roman"/>
      <w:b/>
      <w:bCs/>
      <w:i/>
      <w:iCs/>
      <w:sz w:val="26"/>
      <w:szCs w:val="26"/>
    </w:rPr>
  </w:style>
  <w:style w:type="character" w:customStyle="1" w:styleId="Heading6Char">
    <w:name w:val="Heading 6 Char"/>
    <w:basedOn w:val="DefaultParagraphFont"/>
    <w:link w:val="Heading6"/>
    <w:rsid w:val="00B912ED"/>
    <w:rPr>
      <w:rFonts w:eastAsia="Times New Roman" w:cs="Times New Roman"/>
      <w:b/>
      <w:bCs/>
      <w:sz w:val="22"/>
    </w:rPr>
  </w:style>
  <w:style w:type="character" w:customStyle="1" w:styleId="Heading7Char">
    <w:name w:val="Heading 7 Char"/>
    <w:basedOn w:val="DefaultParagraphFont"/>
    <w:link w:val="Heading7"/>
    <w:rsid w:val="00B912ED"/>
    <w:rPr>
      <w:rFonts w:eastAsia="Times New Roman" w:cs="Times New Roman"/>
      <w:szCs w:val="24"/>
    </w:rPr>
  </w:style>
  <w:style w:type="character" w:customStyle="1" w:styleId="Heading8Char">
    <w:name w:val="Heading 8 Char"/>
    <w:basedOn w:val="DefaultParagraphFont"/>
    <w:link w:val="Heading8"/>
    <w:rsid w:val="00B912ED"/>
    <w:rPr>
      <w:rFonts w:eastAsia="Times New Roman" w:cs="Times New Roman"/>
      <w:i/>
      <w:iCs/>
      <w:szCs w:val="24"/>
    </w:rPr>
  </w:style>
  <w:style w:type="character" w:styleId="FootnoteReference">
    <w:name w:val="footnote reference"/>
    <w:uiPriority w:val="99"/>
    <w:qFormat/>
    <w:rsid w:val="00B912ED"/>
  </w:style>
  <w:style w:type="paragraph" w:customStyle="1" w:styleId="Level1">
    <w:name w:val="Level 1"/>
    <w:basedOn w:val="Normal"/>
    <w:rsid w:val="00B912ED"/>
    <w:pPr>
      <w:numPr>
        <w:numId w:val="2"/>
      </w:numPr>
      <w:tabs>
        <w:tab w:val="num" w:pos="720"/>
      </w:tabs>
      <w:ind w:left="720" w:hanging="720"/>
      <w:outlineLvl w:val="0"/>
    </w:pPr>
  </w:style>
  <w:style w:type="character" w:customStyle="1" w:styleId="Hypertext">
    <w:name w:val="Hypertext"/>
    <w:rsid w:val="00B912ED"/>
    <w:rPr>
      <w:color w:val="0000FF"/>
      <w:u w:val="single"/>
    </w:rPr>
  </w:style>
  <w:style w:type="paragraph" w:customStyle="1" w:styleId="Level2">
    <w:name w:val="Level 2"/>
    <w:basedOn w:val="Normal"/>
    <w:rsid w:val="00B912ED"/>
    <w:pPr>
      <w:ind w:left="1440" w:hanging="720"/>
    </w:pPr>
  </w:style>
  <w:style w:type="character" w:styleId="Hyperlink">
    <w:name w:val="Hyperlink"/>
    <w:basedOn w:val="DefaultParagraphFont"/>
    <w:uiPriority w:val="99"/>
    <w:rsid w:val="00B912ED"/>
    <w:rPr>
      <w:color w:val="0000FF"/>
      <w:u w:val="single"/>
    </w:rPr>
  </w:style>
  <w:style w:type="paragraph" w:styleId="Header">
    <w:name w:val="header"/>
    <w:basedOn w:val="Normal"/>
    <w:link w:val="HeaderChar"/>
    <w:uiPriority w:val="99"/>
    <w:rsid w:val="00B912ED"/>
    <w:pPr>
      <w:tabs>
        <w:tab w:val="center" w:pos="4680"/>
        <w:tab w:val="right" w:pos="9360"/>
      </w:tabs>
    </w:pPr>
  </w:style>
  <w:style w:type="character" w:customStyle="1" w:styleId="HeaderChar">
    <w:name w:val="Header Char"/>
    <w:basedOn w:val="DefaultParagraphFont"/>
    <w:link w:val="Header"/>
    <w:uiPriority w:val="99"/>
    <w:rsid w:val="00B912ED"/>
    <w:rPr>
      <w:rFonts w:eastAsia="Times New Roman" w:cs="Times New Roman"/>
      <w:szCs w:val="24"/>
    </w:rPr>
  </w:style>
  <w:style w:type="paragraph" w:styleId="Footer">
    <w:name w:val="footer"/>
    <w:basedOn w:val="Normal"/>
    <w:link w:val="FooterChar"/>
    <w:uiPriority w:val="99"/>
    <w:rsid w:val="00B912ED"/>
    <w:pPr>
      <w:tabs>
        <w:tab w:val="center" w:pos="4680"/>
        <w:tab w:val="right" w:pos="9360"/>
      </w:tabs>
    </w:pPr>
  </w:style>
  <w:style w:type="character" w:customStyle="1" w:styleId="FooterChar">
    <w:name w:val="Footer Char"/>
    <w:basedOn w:val="DefaultParagraphFont"/>
    <w:link w:val="Footer"/>
    <w:uiPriority w:val="99"/>
    <w:rsid w:val="00B912ED"/>
    <w:rPr>
      <w:rFonts w:eastAsia="Times New Roman" w:cs="Times New Roman"/>
      <w:szCs w:val="24"/>
    </w:rPr>
  </w:style>
  <w:style w:type="paragraph" w:styleId="MacroText">
    <w:name w:val="macro"/>
    <w:link w:val="MacroTextChar"/>
    <w:semiHidden/>
    <w:rsid w:val="00B912E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912ED"/>
    <w:rPr>
      <w:rFonts w:ascii="Courier New" w:eastAsia="Times New Roman" w:hAnsi="Courier New" w:cs="Courier New"/>
      <w:sz w:val="20"/>
      <w:szCs w:val="20"/>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w:basedOn w:val="Normal"/>
    <w:link w:val="FootnoteTextChar1"/>
    <w:uiPriority w:val="99"/>
    <w:qFormat/>
    <w:rsid w:val="00B912ED"/>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uiPriority w:val="99"/>
    <w:rsid w:val="00B912ED"/>
    <w:rPr>
      <w:rFonts w:eastAsia="Times New Roman" w:cs="Times New Roman"/>
      <w:sz w:val="20"/>
      <w:szCs w:val="20"/>
    </w:r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link w:val="FootnoteText"/>
    <w:semiHidden/>
    <w:rsid w:val="00B912ED"/>
    <w:rPr>
      <w:rFonts w:eastAsia="Times New Roman" w:cs="Times New Roman"/>
      <w:sz w:val="20"/>
      <w:szCs w:val="20"/>
    </w:rPr>
  </w:style>
  <w:style w:type="paragraph" w:styleId="BalloonText">
    <w:name w:val="Balloon Text"/>
    <w:basedOn w:val="Normal"/>
    <w:link w:val="BalloonTextChar"/>
    <w:rsid w:val="00B912ED"/>
    <w:rPr>
      <w:rFonts w:ascii="Tahoma" w:hAnsi="Tahoma"/>
      <w:sz w:val="16"/>
      <w:szCs w:val="16"/>
    </w:rPr>
  </w:style>
  <w:style w:type="character" w:customStyle="1" w:styleId="BalloonTextChar">
    <w:name w:val="Balloon Text Char"/>
    <w:basedOn w:val="DefaultParagraphFont"/>
    <w:link w:val="BalloonText"/>
    <w:rsid w:val="00B912ED"/>
    <w:rPr>
      <w:rFonts w:ascii="Tahoma" w:eastAsia="Times New Roman" w:hAnsi="Tahoma" w:cs="Times New Roman"/>
      <w:sz w:val="16"/>
      <w:szCs w:val="16"/>
    </w:rPr>
  </w:style>
  <w:style w:type="paragraph" w:styleId="PlainText">
    <w:name w:val="Plain Text"/>
    <w:basedOn w:val="Normal"/>
    <w:link w:val="PlainTextChar"/>
    <w:rsid w:val="00B912ED"/>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B912ED"/>
    <w:rPr>
      <w:rFonts w:ascii="Courier New" w:eastAsia="Times New Roman" w:hAnsi="Courier New" w:cs="Courier New"/>
      <w:sz w:val="20"/>
      <w:szCs w:val="20"/>
    </w:rPr>
  </w:style>
  <w:style w:type="paragraph" w:styleId="NormalWeb">
    <w:name w:val="Normal (Web)"/>
    <w:basedOn w:val="Normal"/>
    <w:uiPriority w:val="99"/>
    <w:rsid w:val="00B912ED"/>
    <w:pPr>
      <w:widowControl/>
      <w:adjustRightInd/>
      <w:spacing w:before="100" w:beforeAutospacing="1" w:after="100" w:afterAutospacing="1"/>
    </w:pPr>
  </w:style>
  <w:style w:type="paragraph" w:customStyle="1" w:styleId="Default">
    <w:name w:val="Default"/>
    <w:rsid w:val="00B912ED"/>
    <w:pPr>
      <w:autoSpaceDE w:val="0"/>
      <w:autoSpaceDN w:val="0"/>
      <w:adjustRightInd w:val="0"/>
      <w:spacing w:after="0" w:line="240" w:lineRule="auto"/>
    </w:pPr>
    <w:rPr>
      <w:rFonts w:eastAsia="Times New Roman" w:cs="Times New Roman"/>
      <w:color w:val="000000"/>
      <w:szCs w:val="24"/>
    </w:rPr>
  </w:style>
  <w:style w:type="character" w:styleId="CommentReference">
    <w:name w:val="annotation reference"/>
    <w:rsid w:val="00B912ED"/>
    <w:rPr>
      <w:sz w:val="16"/>
      <w:szCs w:val="16"/>
    </w:rPr>
  </w:style>
  <w:style w:type="paragraph" w:styleId="CommentText">
    <w:name w:val="annotation text"/>
    <w:basedOn w:val="Normal"/>
    <w:link w:val="CommentTextChar"/>
    <w:rsid w:val="00B912ED"/>
    <w:rPr>
      <w:sz w:val="20"/>
      <w:szCs w:val="20"/>
    </w:rPr>
  </w:style>
  <w:style w:type="character" w:customStyle="1" w:styleId="CommentTextChar">
    <w:name w:val="Comment Text Char"/>
    <w:basedOn w:val="DefaultParagraphFont"/>
    <w:link w:val="CommentText"/>
    <w:rsid w:val="00B912ED"/>
    <w:rPr>
      <w:rFonts w:eastAsia="Times New Roman" w:cs="Times New Roman"/>
      <w:sz w:val="20"/>
      <w:szCs w:val="20"/>
    </w:rPr>
  </w:style>
  <w:style w:type="paragraph" w:styleId="CommentSubject">
    <w:name w:val="annotation subject"/>
    <w:basedOn w:val="CommentText"/>
    <w:next w:val="CommentText"/>
    <w:link w:val="CommentSubjectChar"/>
    <w:rsid w:val="00B912ED"/>
    <w:rPr>
      <w:b/>
      <w:bCs/>
    </w:rPr>
  </w:style>
  <w:style w:type="character" w:customStyle="1" w:styleId="CommentSubjectChar">
    <w:name w:val="Comment Subject Char"/>
    <w:basedOn w:val="CommentTextChar"/>
    <w:link w:val="CommentSubject"/>
    <w:rsid w:val="00B912ED"/>
    <w:rPr>
      <w:rFonts w:eastAsia="Times New Roman" w:cs="Times New Roman"/>
      <w:b/>
      <w:bCs/>
      <w:sz w:val="20"/>
      <w:szCs w:val="20"/>
    </w:rPr>
  </w:style>
  <w:style w:type="character" w:styleId="Emphasis">
    <w:name w:val="Emphasis"/>
    <w:qFormat/>
    <w:rsid w:val="00B912ED"/>
    <w:rPr>
      <w:i/>
      <w:iCs/>
    </w:rPr>
  </w:style>
  <w:style w:type="character" w:customStyle="1" w:styleId="apple-style-span">
    <w:name w:val="apple-style-span"/>
    <w:rsid w:val="00B912ED"/>
  </w:style>
  <w:style w:type="character" w:customStyle="1" w:styleId="apple-converted-space">
    <w:name w:val="apple-converted-space"/>
    <w:rsid w:val="00B912ED"/>
  </w:style>
  <w:style w:type="paragraph" w:styleId="Caption">
    <w:name w:val="caption"/>
    <w:basedOn w:val="Normal"/>
    <w:next w:val="Normal"/>
    <w:qFormat/>
    <w:rsid w:val="00B912ED"/>
    <w:pPr>
      <w:widowControl/>
      <w:adjustRightInd/>
      <w:spacing w:before="120" w:after="120"/>
    </w:pPr>
    <w:rPr>
      <w:b/>
      <w:bCs/>
      <w:color w:val="003366"/>
      <w:szCs w:val="20"/>
    </w:rPr>
  </w:style>
  <w:style w:type="paragraph" w:styleId="BodyText">
    <w:name w:val="Body Text"/>
    <w:basedOn w:val="Normal"/>
    <w:link w:val="BodyTextChar"/>
    <w:rsid w:val="00B912ED"/>
    <w:pPr>
      <w:widowControl/>
      <w:adjustRightInd/>
      <w:spacing w:after="180"/>
      <w:ind w:firstLine="432"/>
    </w:pPr>
    <w:rPr>
      <w:szCs w:val="20"/>
    </w:rPr>
  </w:style>
  <w:style w:type="character" w:customStyle="1" w:styleId="BodyTextChar">
    <w:name w:val="Body Text Char"/>
    <w:basedOn w:val="DefaultParagraphFont"/>
    <w:link w:val="BodyText"/>
    <w:rsid w:val="00B912ED"/>
    <w:rPr>
      <w:rFonts w:eastAsia="Times New Roman" w:cs="Times New Roman"/>
      <w:szCs w:val="20"/>
    </w:rPr>
  </w:style>
  <w:style w:type="paragraph" w:customStyle="1" w:styleId="TableText">
    <w:name w:val="Table Text"/>
    <w:basedOn w:val="Normal"/>
    <w:link w:val="TableTextChar"/>
    <w:rsid w:val="00B912ED"/>
    <w:pPr>
      <w:widowControl/>
      <w:adjustRightInd/>
    </w:pPr>
    <w:rPr>
      <w:rFonts w:ascii="Arial" w:hAnsi="Arial"/>
      <w:bCs/>
      <w:sz w:val="16"/>
      <w:szCs w:val="20"/>
    </w:rPr>
  </w:style>
  <w:style w:type="character" w:customStyle="1" w:styleId="TableTextChar">
    <w:name w:val="Table Text Char"/>
    <w:link w:val="TableText"/>
    <w:rsid w:val="00B912ED"/>
    <w:rPr>
      <w:rFonts w:ascii="Arial" w:eastAsia="Times New Roman" w:hAnsi="Arial" w:cs="Times New Roman"/>
      <w:bCs/>
      <w:sz w:val="16"/>
      <w:szCs w:val="20"/>
    </w:rPr>
  </w:style>
  <w:style w:type="character" w:customStyle="1" w:styleId="TableTitleChar">
    <w:name w:val="Table Title Char"/>
    <w:link w:val="TableTitle"/>
    <w:locked/>
    <w:rsid w:val="00B912ED"/>
    <w:rPr>
      <w:rFonts w:ascii="Arial" w:hAnsi="Arial" w:cs="Arial"/>
      <w:b/>
      <w:color w:val="003366"/>
    </w:rPr>
  </w:style>
  <w:style w:type="paragraph" w:customStyle="1" w:styleId="TableTitle">
    <w:name w:val="Table Title"/>
    <w:basedOn w:val="Normal"/>
    <w:link w:val="TableTitleChar"/>
    <w:rsid w:val="00B912ED"/>
    <w:pPr>
      <w:keepNext/>
      <w:keepLines/>
      <w:widowControl/>
      <w:adjustRightInd/>
      <w:spacing w:before="240" w:after="40"/>
    </w:pPr>
    <w:rPr>
      <w:rFonts w:ascii="Arial" w:eastAsiaTheme="minorHAnsi" w:hAnsi="Arial" w:cs="Arial"/>
      <w:b/>
      <w:color w:val="003366"/>
      <w:szCs w:val="22"/>
    </w:rPr>
  </w:style>
  <w:style w:type="paragraph" w:customStyle="1" w:styleId="TableSubtitle">
    <w:name w:val="Table Subtitle"/>
    <w:basedOn w:val="Normal"/>
    <w:rsid w:val="00B912ED"/>
    <w:pPr>
      <w:keepNext/>
      <w:widowControl/>
      <w:adjustRightInd/>
      <w:jc w:val="center"/>
    </w:pPr>
    <w:rPr>
      <w:rFonts w:ascii="Arial" w:hAnsi="Arial" w:cs="Arial"/>
      <w:b/>
      <w:bCs/>
      <w:sz w:val="16"/>
      <w:szCs w:val="20"/>
    </w:rPr>
  </w:style>
  <w:style w:type="character" w:styleId="PageNumber">
    <w:name w:val="page number"/>
    <w:rsid w:val="00B912ED"/>
  </w:style>
  <w:style w:type="paragraph" w:customStyle="1" w:styleId="Bullet">
    <w:name w:val="Bullet"/>
    <w:basedOn w:val="Normal"/>
    <w:link w:val="BulletChar"/>
    <w:rsid w:val="00B912ED"/>
    <w:pPr>
      <w:widowControl/>
      <w:numPr>
        <w:numId w:val="18"/>
      </w:numPr>
      <w:adjustRightInd/>
    </w:pPr>
    <w:rPr>
      <w:sz w:val="22"/>
    </w:rPr>
  </w:style>
  <w:style w:type="character" w:customStyle="1" w:styleId="BulletChar">
    <w:name w:val="Bullet Char"/>
    <w:link w:val="Bullet"/>
    <w:rsid w:val="00B912ED"/>
    <w:rPr>
      <w:rFonts w:eastAsia="Times New Roman" w:cs="Times New Roman"/>
      <w:sz w:val="22"/>
      <w:szCs w:val="24"/>
    </w:rPr>
  </w:style>
  <w:style w:type="paragraph" w:customStyle="1" w:styleId="Reference">
    <w:name w:val="Reference"/>
    <w:basedOn w:val="Normal"/>
    <w:rsid w:val="00B912ED"/>
    <w:pPr>
      <w:widowControl/>
      <w:autoSpaceDE w:val="0"/>
      <w:autoSpaceDN w:val="0"/>
      <w:spacing w:after="120"/>
      <w:ind w:left="360" w:hanging="360"/>
    </w:pPr>
    <w:rPr>
      <w:color w:val="000000"/>
      <w:sz w:val="22"/>
    </w:rPr>
  </w:style>
  <w:style w:type="paragraph" w:styleId="BlockText">
    <w:name w:val="Block Text"/>
    <w:basedOn w:val="Normal"/>
    <w:rsid w:val="00B912ED"/>
    <w:pPr>
      <w:widowControl/>
      <w:autoSpaceDE w:val="0"/>
      <w:autoSpaceDN w:val="0"/>
      <w:ind w:left="144" w:right="144"/>
    </w:pPr>
    <w:rPr>
      <w:color w:val="000000"/>
      <w:sz w:val="20"/>
      <w:szCs w:val="20"/>
    </w:rPr>
  </w:style>
  <w:style w:type="paragraph" w:styleId="BodyTextFirstIndent">
    <w:name w:val="Body Text First Indent"/>
    <w:basedOn w:val="BodyText"/>
    <w:link w:val="BodyTextFirstIndentChar"/>
    <w:rsid w:val="00B912ED"/>
    <w:pPr>
      <w:spacing w:after="120"/>
      <w:ind w:firstLine="210"/>
    </w:pPr>
    <w:rPr>
      <w:szCs w:val="24"/>
    </w:rPr>
  </w:style>
  <w:style w:type="character" w:customStyle="1" w:styleId="BodyTextFirstIndentChar">
    <w:name w:val="Body Text First Indent Char"/>
    <w:basedOn w:val="BodyTextChar"/>
    <w:link w:val="BodyTextFirstIndent"/>
    <w:rsid w:val="00B912ED"/>
    <w:rPr>
      <w:rFonts w:eastAsia="Times New Roman" w:cs="Times New Roman"/>
      <w:szCs w:val="24"/>
    </w:rPr>
  </w:style>
  <w:style w:type="table" w:styleId="TableGrid">
    <w:name w:val="Table Grid"/>
    <w:basedOn w:val="TableNormal"/>
    <w:rsid w:val="00B912E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B912ED"/>
    <w:rPr>
      <w:sz w:val="20"/>
      <w:szCs w:val="20"/>
    </w:rPr>
  </w:style>
  <w:style w:type="character" w:customStyle="1" w:styleId="EndnoteTextChar">
    <w:name w:val="Endnote Text Char"/>
    <w:basedOn w:val="DefaultParagraphFont"/>
    <w:link w:val="EndnoteText"/>
    <w:rsid w:val="00B912ED"/>
    <w:rPr>
      <w:rFonts w:eastAsia="Times New Roman" w:cs="Times New Roman"/>
      <w:sz w:val="20"/>
      <w:szCs w:val="20"/>
    </w:rPr>
  </w:style>
  <w:style w:type="character" w:styleId="EndnoteReference">
    <w:name w:val="endnote reference"/>
    <w:basedOn w:val="DefaultParagraphFont"/>
    <w:rsid w:val="00B912ED"/>
    <w:rPr>
      <w:vertAlign w:val="superscript"/>
    </w:rPr>
  </w:style>
  <w:style w:type="character" w:styleId="FollowedHyperlink">
    <w:name w:val="FollowedHyperlink"/>
    <w:basedOn w:val="DefaultParagraphFont"/>
    <w:uiPriority w:val="99"/>
    <w:semiHidden/>
    <w:unhideWhenUsed/>
    <w:rsid w:val="006C7EA9"/>
    <w:rPr>
      <w:color w:val="800080" w:themeColor="followedHyperlink"/>
      <w:u w:val="single"/>
    </w:rPr>
  </w:style>
  <w:style w:type="paragraph" w:styleId="Revision">
    <w:name w:val="Revision"/>
    <w:hidden/>
    <w:uiPriority w:val="99"/>
    <w:semiHidden/>
    <w:rsid w:val="00F936ED"/>
    <w:pPr>
      <w:spacing w:after="0" w:line="240" w:lineRule="auto"/>
    </w:pPr>
    <w:rPr>
      <w:rFonts w:eastAsia="Times New Roman" w:cs="Times New Roman"/>
      <w:szCs w:val="24"/>
    </w:rPr>
  </w:style>
  <w:style w:type="paragraph" w:styleId="NoSpacing">
    <w:name w:val="No Spacing"/>
    <w:uiPriority w:val="1"/>
    <w:qFormat/>
    <w:rsid w:val="00D963D1"/>
    <w:pPr>
      <w:spacing w:after="0" w:line="240" w:lineRule="auto"/>
    </w:pPr>
    <w:rPr>
      <w:rFonts w:asciiTheme="minorHAnsi" w:hAnsiTheme="minorHAnsi"/>
      <w:sz w:val="22"/>
    </w:rPr>
  </w:style>
  <w:style w:type="character" w:styleId="PlaceholderText">
    <w:name w:val="Placeholder Text"/>
    <w:basedOn w:val="DefaultParagraphFont"/>
    <w:uiPriority w:val="99"/>
    <w:semiHidden/>
    <w:rsid w:val="001049C0"/>
    <w:rPr>
      <w:color w:val="808080"/>
    </w:rPr>
  </w:style>
  <w:style w:type="paragraph" w:styleId="ListParagraph">
    <w:name w:val="List Paragraph"/>
    <w:basedOn w:val="Normal"/>
    <w:uiPriority w:val="34"/>
    <w:qFormat/>
    <w:rsid w:val="001049C0"/>
    <w:pPr>
      <w:ind w:left="720"/>
      <w:contextualSpacing/>
    </w:pPr>
  </w:style>
  <w:style w:type="character" w:customStyle="1" w:styleId="UnresolvedMention1">
    <w:name w:val="Unresolved Mention1"/>
    <w:basedOn w:val="DefaultParagraphFont"/>
    <w:uiPriority w:val="99"/>
    <w:semiHidden/>
    <w:unhideWhenUsed/>
    <w:rsid w:val="004341C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2ED"/>
    <w:pPr>
      <w:widowControl w:val="0"/>
      <w:adjustRightInd w:val="0"/>
      <w:spacing w:after="0" w:line="240" w:lineRule="auto"/>
    </w:pPr>
    <w:rPr>
      <w:rFonts w:eastAsia="Times New Roman" w:cs="Times New Roman"/>
      <w:szCs w:val="24"/>
    </w:rPr>
  </w:style>
  <w:style w:type="paragraph" w:styleId="Heading1">
    <w:name w:val="heading 1"/>
    <w:basedOn w:val="Normal"/>
    <w:link w:val="Heading1Char"/>
    <w:qFormat/>
    <w:rsid w:val="00B912ED"/>
    <w:pPr>
      <w:numPr>
        <w:numId w:val="7"/>
      </w:numPr>
      <w:outlineLvl w:val="0"/>
    </w:pPr>
  </w:style>
  <w:style w:type="paragraph" w:styleId="Heading2">
    <w:name w:val="heading 2"/>
    <w:basedOn w:val="Normal"/>
    <w:next w:val="Normal"/>
    <w:link w:val="Heading2Char"/>
    <w:qFormat/>
    <w:rsid w:val="00B912E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912ED"/>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B912ED"/>
    <w:pPr>
      <w:keepNext/>
      <w:spacing w:before="240" w:after="60"/>
      <w:outlineLvl w:val="3"/>
    </w:pPr>
    <w:rPr>
      <w:b/>
      <w:bCs/>
      <w:sz w:val="28"/>
      <w:szCs w:val="28"/>
    </w:rPr>
  </w:style>
  <w:style w:type="paragraph" w:styleId="Heading5">
    <w:name w:val="heading 5"/>
    <w:basedOn w:val="Normal"/>
    <w:next w:val="Normal"/>
    <w:link w:val="Heading5Char"/>
    <w:qFormat/>
    <w:rsid w:val="00B912ED"/>
    <w:pPr>
      <w:spacing w:before="240" w:after="60"/>
      <w:outlineLvl w:val="4"/>
    </w:pPr>
    <w:rPr>
      <w:b/>
      <w:bCs/>
      <w:i/>
      <w:iCs/>
      <w:sz w:val="26"/>
      <w:szCs w:val="26"/>
    </w:rPr>
  </w:style>
  <w:style w:type="paragraph" w:styleId="Heading6">
    <w:name w:val="heading 6"/>
    <w:basedOn w:val="Normal"/>
    <w:next w:val="Normal"/>
    <w:link w:val="Heading6Char"/>
    <w:qFormat/>
    <w:rsid w:val="00B912ED"/>
    <w:pPr>
      <w:spacing w:before="240" w:after="60"/>
      <w:outlineLvl w:val="5"/>
    </w:pPr>
    <w:rPr>
      <w:b/>
      <w:bCs/>
      <w:sz w:val="22"/>
      <w:szCs w:val="22"/>
    </w:rPr>
  </w:style>
  <w:style w:type="paragraph" w:styleId="Heading7">
    <w:name w:val="heading 7"/>
    <w:basedOn w:val="Normal"/>
    <w:next w:val="Normal"/>
    <w:link w:val="Heading7Char"/>
    <w:qFormat/>
    <w:rsid w:val="00B912ED"/>
    <w:pPr>
      <w:spacing w:before="240" w:after="60"/>
      <w:outlineLvl w:val="6"/>
    </w:pPr>
  </w:style>
  <w:style w:type="paragraph" w:styleId="Heading8">
    <w:name w:val="heading 8"/>
    <w:basedOn w:val="Normal"/>
    <w:next w:val="Normal"/>
    <w:link w:val="Heading8Char"/>
    <w:qFormat/>
    <w:rsid w:val="00B912E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2ED"/>
    <w:rPr>
      <w:rFonts w:eastAsia="Times New Roman" w:cs="Times New Roman"/>
      <w:szCs w:val="24"/>
    </w:rPr>
  </w:style>
  <w:style w:type="character" w:customStyle="1" w:styleId="Heading2Char">
    <w:name w:val="Heading 2 Char"/>
    <w:basedOn w:val="DefaultParagraphFont"/>
    <w:link w:val="Heading2"/>
    <w:rsid w:val="00B912ED"/>
    <w:rPr>
      <w:rFonts w:ascii="Arial" w:eastAsia="Times New Roman" w:hAnsi="Arial" w:cs="Arial"/>
      <w:b/>
      <w:bCs/>
      <w:i/>
      <w:iCs/>
      <w:sz w:val="28"/>
      <w:szCs w:val="28"/>
    </w:rPr>
  </w:style>
  <w:style w:type="character" w:customStyle="1" w:styleId="Heading3Char">
    <w:name w:val="Heading 3 Char"/>
    <w:basedOn w:val="DefaultParagraphFont"/>
    <w:link w:val="Heading3"/>
    <w:rsid w:val="00B912ED"/>
    <w:rPr>
      <w:rFonts w:ascii="Arial" w:eastAsia="Times New Roman" w:hAnsi="Arial" w:cs="Times New Roman"/>
      <w:b/>
      <w:bCs/>
      <w:sz w:val="26"/>
      <w:szCs w:val="26"/>
    </w:rPr>
  </w:style>
  <w:style w:type="character" w:customStyle="1" w:styleId="Heading4Char">
    <w:name w:val="Heading 4 Char"/>
    <w:basedOn w:val="DefaultParagraphFont"/>
    <w:link w:val="Heading4"/>
    <w:rsid w:val="00B912ED"/>
    <w:rPr>
      <w:rFonts w:eastAsia="Times New Roman" w:cs="Times New Roman"/>
      <w:b/>
      <w:bCs/>
      <w:sz w:val="28"/>
      <w:szCs w:val="28"/>
    </w:rPr>
  </w:style>
  <w:style w:type="character" w:customStyle="1" w:styleId="Heading5Char">
    <w:name w:val="Heading 5 Char"/>
    <w:basedOn w:val="DefaultParagraphFont"/>
    <w:link w:val="Heading5"/>
    <w:rsid w:val="00B912ED"/>
    <w:rPr>
      <w:rFonts w:eastAsia="Times New Roman" w:cs="Times New Roman"/>
      <w:b/>
      <w:bCs/>
      <w:i/>
      <w:iCs/>
      <w:sz w:val="26"/>
      <w:szCs w:val="26"/>
    </w:rPr>
  </w:style>
  <w:style w:type="character" w:customStyle="1" w:styleId="Heading6Char">
    <w:name w:val="Heading 6 Char"/>
    <w:basedOn w:val="DefaultParagraphFont"/>
    <w:link w:val="Heading6"/>
    <w:rsid w:val="00B912ED"/>
    <w:rPr>
      <w:rFonts w:eastAsia="Times New Roman" w:cs="Times New Roman"/>
      <w:b/>
      <w:bCs/>
      <w:sz w:val="22"/>
    </w:rPr>
  </w:style>
  <w:style w:type="character" w:customStyle="1" w:styleId="Heading7Char">
    <w:name w:val="Heading 7 Char"/>
    <w:basedOn w:val="DefaultParagraphFont"/>
    <w:link w:val="Heading7"/>
    <w:rsid w:val="00B912ED"/>
    <w:rPr>
      <w:rFonts w:eastAsia="Times New Roman" w:cs="Times New Roman"/>
      <w:szCs w:val="24"/>
    </w:rPr>
  </w:style>
  <w:style w:type="character" w:customStyle="1" w:styleId="Heading8Char">
    <w:name w:val="Heading 8 Char"/>
    <w:basedOn w:val="DefaultParagraphFont"/>
    <w:link w:val="Heading8"/>
    <w:rsid w:val="00B912ED"/>
    <w:rPr>
      <w:rFonts w:eastAsia="Times New Roman" w:cs="Times New Roman"/>
      <w:i/>
      <w:iCs/>
      <w:szCs w:val="24"/>
    </w:rPr>
  </w:style>
  <w:style w:type="character" w:styleId="FootnoteReference">
    <w:name w:val="footnote reference"/>
    <w:uiPriority w:val="99"/>
    <w:qFormat/>
    <w:rsid w:val="00B912ED"/>
  </w:style>
  <w:style w:type="paragraph" w:customStyle="1" w:styleId="Level1">
    <w:name w:val="Level 1"/>
    <w:basedOn w:val="Normal"/>
    <w:rsid w:val="00B912ED"/>
    <w:pPr>
      <w:numPr>
        <w:numId w:val="2"/>
      </w:numPr>
      <w:tabs>
        <w:tab w:val="num" w:pos="720"/>
      </w:tabs>
      <w:ind w:left="720" w:hanging="720"/>
      <w:outlineLvl w:val="0"/>
    </w:pPr>
  </w:style>
  <w:style w:type="character" w:customStyle="1" w:styleId="Hypertext">
    <w:name w:val="Hypertext"/>
    <w:rsid w:val="00B912ED"/>
    <w:rPr>
      <w:color w:val="0000FF"/>
      <w:u w:val="single"/>
    </w:rPr>
  </w:style>
  <w:style w:type="paragraph" w:customStyle="1" w:styleId="Level2">
    <w:name w:val="Level 2"/>
    <w:basedOn w:val="Normal"/>
    <w:rsid w:val="00B912ED"/>
    <w:pPr>
      <w:ind w:left="1440" w:hanging="720"/>
    </w:pPr>
  </w:style>
  <w:style w:type="character" w:styleId="Hyperlink">
    <w:name w:val="Hyperlink"/>
    <w:basedOn w:val="DefaultParagraphFont"/>
    <w:uiPriority w:val="99"/>
    <w:rsid w:val="00B912ED"/>
    <w:rPr>
      <w:color w:val="0000FF"/>
      <w:u w:val="single"/>
    </w:rPr>
  </w:style>
  <w:style w:type="paragraph" w:styleId="Header">
    <w:name w:val="header"/>
    <w:basedOn w:val="Normal"/>
    <w:link w:val="HeaderChar"/>
    <w:uiPriority w:val="99"/>
    <w:rsid w:val="00B912ED"/>
    <w:pPr>
      <w:tabs>
        <w:tab w:val="center" w:pos="4680"/>
        <w:tab w:val="right" w:pos="9360"/>
      </w:tabs>
    </w:pPr>
  </w:style>
  <w:style w:type="character" w:customStyle="1" w:styleId="HeaderChar">
    <w:name w:val="Header Char"/>
    <w:basedOn w:val="DefaultParagraphFont"/>
    <w:link w:val="Header"/>
    <w:uiPriority w:val="99"/>
    <w:rsid w:val="00B912ED"/>
    <w:rPr>
      <w:rFonts w:eastAsia="Times New Roman" w:cs="Times New Roman"/>
      <w:szCs w:val="24"/>
    </w:rPr>
  </w:style>
  <w:style w:type="paragraph" w:styleId="Footer">
    <w:name w:val="footer"/>
    <w:basedOn w:val="Normal"/>
    <w:link w:val="FooterChar"/>
    <w:uiPriority w:val="99"/>
    <w:rsid w:val="00B912ED"/>
    <w:pPr>
      <w:tabs>
        <w:tab w:val="center" w:pos="4680"/>
        <w:tab w:val="right" w:pos="9360"/>
      </w:tabs>
    </w:pPr>
  </w:style>
  <w:style w:type="character" w:customStyle="1" w:styleId="FooterChar">
    <w:name w:val="Footer Char"/>
    <w:basedOn w:val="DefaultParagraphFont"/>
    <w:link w:val="Footer"/>
    <w:uiPriority w:val="99"/>
    <w:rsid w:val="00B912ED"/>
    <w:rPr>
      <w:rFonts w:eastAsia="Times New Roman" w:cs="Times New Roman"/>
      <w:szCs w:val="24"/>
    </w:rPr>
  </w:style>
  <w:style w:type="paragraph" w:styleId="MacroText">
    <w:name w:val="macro"/>
    <w:link w:val="MacroTextChar"/>
    <w:semiHidden/>
    <w:rsid w:val="00B912ED"/>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912ED"/>
    <w:rPr>
      <w:rFonts w:ascii="Courier New" w:eastAsia="Times New Roman" w:hAnsi="Courier New" w:cs="Courier New"/>
      <w:sz w:val="20"/>
      <w:szCs w:val="20"/>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w:basedOn w:val="Normal"/>
    <w:link w:val="FootnoteTextChar1"/>
    <w:uiPriority w:val="99"/>
    <w:qFormat/>
    <w:rsid w:val="00B912ED"/>
    <w:rPr>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uiPriority w:val="99"/>
    <w:rsid w:val="00B912ED"/>
    <w:rPr>
      <w:rFonts w:eastAsia="Times New Roman" w:cs="Times New Roman"/>
      <w:sz w:val="20"/>
      <w:szCs w:val="20"/>
    </w:r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link w:val="FootnoteText"/>
    <w:semiHidden/>
    <w:rsid w:val="00B912ED"/>
    <w:rPr>
      <w:rFonts w:eastAsia="Times New Roman" w:cs="Times New Roman"/>
      <w:sz w:val="20"/>
      <w:szCs w:val="20"/>
    </w:rPr>
  </w:style>
  <w:style w:type="paragraph" w:styleId="BalloonText">
    <w:name w:val="Balloon Text"/>
    <w:basedOn w:val="Normal"/>
    <w:link w:val="BalloonTextChar"/>
    <w:rsid w:val="00B912ED"/>
    <w:rPr>
      <w:rFonts w:ascii="Tahoma" w:hAnsi="Tahoma"/>
      <w:sz w:val="16"/>
      <w:szCs w:val="16"/>
    </w:rPr>
  </w:style>
  <w:style w:type="character" w:customStyle="1" w:styleId="BalloonTextChar">
    <w:name w:val="Balloon Text Char"/>
    <w:basedOn w:val="DefaultParagraphFont"/>
    <w:link w:val="BalloonText"/>
    <w:rsid w:val="00B912ED"/>
    <w:rPr>
      <w:rFonts w:ascii="Tahoma" w:eastAsia="Times New Roman" w:hAnsi="Tahoma" w:cs="Times New Roman"/>
      <w:sz w:val="16"/>
      <w:szCs w:val="16"/>
    </w:rPr>
  </w:style>
  <w:style w:type="paragraph" w:styleId="PlainText">
    <w:name w:val="Plain Text"/>
    <w:basedOn w:val="Normal"/>
    <w:link w:val="PlainTextChar"/>
    <w:rsid w:val="00B912ED"/>
    <w:pPr>
      <w:widowControl/>
      <w:adjustRightInd/>
    </w:pPr>
    <w:rPr>
      <w:rFonts w:ascii="Courier New" w:hAnsi="Courier New" w:cs="Courier New"/>
      <w:sz w:val="20"/>
      <w:szCs w:val="20"/>
    </w:rPr>
  </w:style>
  <w:style w:type="character" w:customStyle="1" w:styleId="PlainTextChar">
    <w:name w:val="Plain Text Char"/>
    <w:basedOn w:val="DefaultParagraphFont"/>
    <w:link w:val="PlainText"/>
    <w:rsid w:val="00B912ED"/>
    <w:rPr>
      <w:rFonts w:ascii="Courier New" w:eastAsia="Times New Roman" w:hAnsi="Courier New" w:cs="Courier New"/>
      <w:sz w:val="20"/>
      <w:szCs w:val="20"/>
    </w:rPr>
  </w:style>
  <w:style w:type="paragraph" w:styleId="NormalWeb">
    <w:name w:val="Normal (Web)"/>
    <w:basedOn w:val="Normal"/>
    <w:uiPriority w:val="99"/>
    <w:rsid w:val="00B912ED"/>
    <w:pPr>
      <w:widowControl/>
      <w:adjustRightInd/>
      <w:spacing w:before="100" w:beforeAutospacing="1" w:after="100" w:afterAutospacing="1"/>
    </w:pPr>
  </w:style>
  <w:style w:type="paragraph" w:customStyle="1" w:styleId="Default">
    <w:name w:val="Default"/>
    <w:rsid w:val="00B912ED"/>
    <w:pPr>
      <w:autoSpaceDE w:val="0"/>
      <w:autoSpaceDN w:val="0"/>
      <w:adjustRightInd w:val="0"/>
      <w:spacing w:after="0" w:line="240" w:lineRule="auto"/>
    </w:pPr>
    <w:rPr>
      <w:rFonts w:eastAsia="Times New Roman" w:cs="Times New Roman"/>
      <w:color w:val="000000"/>
      <w:szCs w:val="24"/>
    </w:rPr>
  </w:style>
  <w:style w:type="character" w:styleId="CommentReference">
    <w:name w:val="annotation reference"/>
    <w:rsid w:val="00B912ED"/>
    <w:rPr>
      <w:sz w:val="16"/>
      <w:szCs w:val="16"/>
    </w:rPr>
  </w:style>
  <w:style w:type="paragraph" w:styleId="CommentText">
    <w:name w:val="annotation text"/>
    <w:basedOn w:val="Normal"/>
    <w:link w:val="CommentTextChar"/>
    <w:rsid w:val="00B912ED"/>
    <w:rPr>
      <w:sz w:val="20"/>
      <w:szCs w:val="20"/>
    </w:rPr>
  </w:style>
  <w:style w:type="character" w:customStyle="1" w:styleId="CommentTextChar">
    <w:name w:val="Comment Text Char"/>
    <w:basedOn w:val="DefaultParagraphFont"/>
    <w:link w:val="CommentText"/>
    <w:rsid w:val="00B912ED"/>
    <w:rPr>
      <w:rFonts w:eastAsia="Times New Roman" w:cs="Times New Roman"/>
      <w:sz w:val="20"/>
      <w:szCs w:val="20"/>
    </w:rPr>
  </w:style>
  <w:style w:type="paragraph" w:styleId="CommentSubject">
    <w:name w:val="annotation subject"/>
    <w:basedOn w:val="CommentText"/>
    <w:next w:val="CommentText"/>
    <w:link w:val="CommentSubjectChar"/>
    <w:rsid w:val="00B912ED"/>
    <w:rPr>
      <w:b/>
      <w:bCs/>
    </w:rPr>
  </w:style>
  <w:style w:type="character" w:customStyle="1" w:styleId="CommentSubjectChar">
    <w:name w:val="Comment Subject Char"/>
    <w:basedOn w:val="CommentTextChar"/>
    <w:link w:val="CommentSubject"/>
    <w:rsid w:val="00B912ED"/>
    <w:rPr>
      <w:rFonts w:eastAsia="Times New Roman" w:cs="Times New Roman"/>
      <w:b/>
      <w:bCs/>
      <w:sz w:val="20"/>
      <w:szCs w:val="20"/>
    </w:rPr>
  </w:style>
  <w:style w:type="character" w:styleId="Emphasis">
    <w:name w:val="Emphasis"/>
    <w:qFormat/>
    <w:rsid w:val="00B912ED"/>
    <w:rPr>
      <w:i/>
      <w:iCs/>
    </w:rPr>
  </w:style>
  <w:style w:type="character" w:customStyle="1" w:styleId="apple-style-span">
    <w:name w:val="apple-style-span"/>
    <w:rsid w:val="00B912ED"/>
  </w:style>
  <w:style w:type="character" w:customStyle="1" w:styleId="apple-converted-space">
    <w:name w:val="apple-converted-space"/>
    <w:rsid w:val="00B912ED"/>
  </w:style>
  <w:style w:type="paragraph" w:styleId="Caption">
    <w:name w:val="caption"/>
    <w:basedOn w:val="Normal"/>
    <w:next w:val="Normal"/>
    <w:qFormat/>
    <w:rsid w:val="00B912ED"/>
    <w:pPr>
      <w:widowControl/>
      <w:adjustRightInd/>
      <w:spacing w:before="120" w:after="120"/>
    </w:pPr>
    <w:rPr>
      <w:b/>
      <w:bCs/>
      <w:color w:val="003366"/>
      <w:szCs w:val="20"/>
    </w:rPr>
  </w:style>
  <w:style w:type="paragraph" w:styleId="BodyText">
    <w:name w:val="Body Text"/>
    <w:basedOn w:val="Normal"/>
    <w:link w:val="BodyTextChar"/>
    <w:rsid w:val="00B912ED"/>
    <w:pPr>
      <w:widowControl/>
      <w:adjustRightInd/>
      <w:spacing w:after="180"/>
      <w:ind w:firstLine="432"/>
    </w:pPr>
    <w:rPr>
      <w:szCs w:val="20"/>
    </w:rPr>
  </w:style>
  <w:style w:type="character" w:customStyle="1" w:styleId="BodyTextChar">
    <w:name w:val="Body Text Char"/>
    <w:basedOn w:val="DefaultParagraphFont"/>
    <w:link w:val="BodyText"/>
    <w:rsid w:val="00B912ED"/>
    <w:rPr>
      <w:rFonts w:eastAsia="Times New Roman" w:cs="Times New Roman"/>
      <w:szCs w:val="20"/>
    </w:rPr>
  </w:style>
  <w:style w:type="paragraph" w:customStyle="1" w:styleId="TableText">
    <w:name w:val="Table Text"/>
    <w:basedOn w:val="Normal"/>
    <w:link w:val="TableTextChar"/>
    <w:rsid w:val="00B912ED"/>
    <w:pPr>
      <w:widowControl/>
      <w:adjustRightInd/>
    </w:pPr>
    <w:rPr>
      <w:rFonts w:ascii="Arial" w:hAnsi="Arial"/>
      <w:bCs/>
      <w:sz w:val="16"/>
      <w:szCs w:val="20"/>
    </w:rPr>
  </w:style>
  <w:style w:type="character" w:customStyle="1" w:styleId="TableTextChar">
    <w:name w:val="Table Text Char"/>
    <w:link w:val="TableText"/>
    <w:rsid w:val="00B912ED"/>
    <w:rPr>
      <w:rFonts w:ascii="Arial" w:eastAsia="Times New Roman" w:hAnsi="Arial" w:cs="Times New Roman"/>
      <w:bCs/>
      <w:sz w:val="16"/>
      <w:szCs w:val="20"/>
    </w:rPr>
  </w:style>
  <w:style w:type="character" w:customStyle="1" w:styleId="TableTitleChar">
    <w:name w:val="Table Title Char"/>
    <w:link w:val="TableTitle"/>
    <w:locked/>
    <w:rsid w:val="00B912ED"/>
    <w:rPr>
      <w:rFonts w:ascii="Arial" w:hAnsi="Arial" w:cs="Arial"/>
      <w:b/>
      <w:color w:val="003366"/>
    </w:rPr>
  </w:style>
  <w:style w:type="paragraph" w:customStyle="1" w:styleId="TableTitle">
    <w:name w:val="Table Title"/>
    <w:basedOn w:val="Normal"/>
    <w:link w:val="TableTitleChar"/>
    <w:rsid w:val="00B912ED"/>
    <w:pPr>
      <w:keepNext/>
      <w:keepLines/>
      <w:widowControl/>
      <w:adjustRightInd/>
      <w:spacing w:before="240" w:after="40"/>
    </w:pPr>
    <w:rPr>
      <w:rFonts w:ascii="Arial" w:eastAsiaTheme="minorHAnsi" w:hAnsi="Arial" w:cs="Arial"/>
      <w:b/>
      <w:color w:val="003366"/>
      <w:szCs w:val="22"/>
    </w:rPr>
  </w:style>
  <w:style w:type="paragraph" w:customStyle="1" w:styleId="TableSubtitle">
    <w:name w:val="Table Subtitle"/>
    <w:basedOn w:val="Normal"/>
    <w:rsid w:val="00B912ED"/>
    <w:pPr>
      <w:keepNext/>
      <w:widowControl/>
      <w:adjustRightInd/>
      <w:jc w:val="center"/>
    </w:pPr>
    <w:rPr>
      <w:rFonts w:ascii="Arial" w:hAnsi="Arial" w:cs="Arial"/>
      <w:b/>
      <w:bCs/>
      <w:sz w:val="16"/>
      <w:szCs w:val="20"/>
    </w:rPr>
  </w:style>
  <w:style w:type="character" w:styleId="PageNumber">
    <w:name w:val="page number"/>
    <w:rsid w:val="00B912ED"/>
  </w:style>
  <w:style w:type="paragraph" w:customStyle="1" w:styleId="Bullet">
    <w:name w:val="Bullet"/>
    <w:basedOn w:val="Normal"/>
    <w:link w:val="BulletChar"/>
    <w:rsid w:val="00B912ED"/>
    <w:pPr>
      <w:widowControl/>
      <w:numPr>
        <w:numId w:val="18"/>
      </w:numPr>
      <w:adjustRightInd/>
    </w:pPr>
    <w:rPr>
      <w:sz w:val="22"/>
    </w:rPr>
  </w:style>
  <w:style w:type="character" w:customStyle="1" w:styleId="BulletChar">
    <w:name w:val="Bullet Char"/>
    <w:link w:val="Bullet"/>
    <w:rsid w:val="00B912ED"/>
    <w:rPr>
      <w:rFonts w:eastAsia="Times New Roman" w:cs="Times New Roman"/>
      <w:sz w:val="22"/>
      <w:szCs w:val="24"/>
    </w:rPr>
  </w:style>
  <w:style w:type="paragraph" w:customStyle="1" w:styleId="Reference">
    <w:name w:val="Reference"/>
    <w:basedOn w:val="Normal"/>
    <w:rsid w:val="00B912ED"/>
    <w:pPr>
      <w:widowControl/>
      <w:autoSpaceDE w:val="0"/>
      <w:autoSpaceDN w:val="0"/>
      <w:spacing w:after="120"/>
      <w:ind w:left="360" w:hanging="360"/>
    </w:pPr>
    <w:rPr>
      <w:color w:val="000000"/>
      <w:sz w:val="22"/>
    </w:rPr>
  </w:style>
  <w:style w:type="paragraph" w:styleId="BlockText">
    <w:name w:val="Block Text"/>
    <w:basedOn w:val="Normal"/>
    <w:rsid w:val="00B912ED"/>
    <w:pPr>
      <w:widowControl/>
      <w:autoSpaceDE w:val="0"/>
      <w:autoSpaceDN w:val="0"/>
      <w:ind w:left="144" w:right="144"/>
    </w:pPr>
    <w:rPr>
      <w:color w:val="000000"/>
      <w:sz w:val="20"/>
      <w:szCs w:val="20"/>
    </w:rPr>
  </w:style>
  <w:style w:type="paragraph" w:styleId="BodyTextFirstIndent">
    <w:name w:val="Body Text First Indent"/>
    <w:basedOn w:val="BodyText"/>
    <w:link w:val="BodyTextFirstIndentChar"/>
    <w:rsid w:val="00B912ED"/>
    <w:pPr>
      <w:spacing w:after="120"/>
      <w:ind w:firstLine="210"/>
    </w:pPr>
    <w:rPr>
      <w:szCs w:val="24"/>
    </w:rPr>
  </w:style>
  <w:style w:type="character" w:customStyle="1" w:styleId="BodyTextFirstIndentChar">
    <w:name w:val="Body Text First Indent Char"/>
    <w:basedOn w:val="BodyTextChar"/>
    <w:link w:val="BodyTextFirstIndent"/>
    <w:rsid w:val="00B912ED"/>
    <w:rPr>
      <w:rFonts w:eastAsia="Times New Roman" w:cs="Times New Roman"/>
      <w:szCs w:val="24"/>
    </w:rPr>
  </w:style>
  <w:style w:type="table" w:styleId="TableGrid">
    <w:name w:val="Table Grid"/>
    <w:basedOn w:val="TableNormal"/>
    <w:rsid w:val="00B912E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rsid w:val="00B912ED"/>
    <w:rPr>
      <w:sz w:val="20"/>
      <w:szCs w:val="20"/>
    </w:rPr>
  </w:style>
  <w:style w:type="character" w:customStyle="1" w:styleId="EndnoteTextChar">
    <w:name w:val="Endnote Text Char"/>
    <w:basedOn w:val="DefaultParagraphFont"/>
    <w:link w:val="EndnoteText"/>
    <w:rsid w:val="00B912ED"/>
    <w:rPr>
      <w:rFonts w:eastAsia="Times New Roman" w:cs="Times New Roman"/>
      <w:sz w:val="20"/>
      <w:szCs w:val="20"/>
    </w:rPr>
  </w:style>
  <w:style w:type="character" w:styleId="EndnoteReference">
    <w:name w:val="endnote reference"/>
    <w:basedOn w:val="DefaultParagraphFont"/>
    <w:rsid w:val="00B912ED"/>
    <w:rPr>
      <w:vertAlign w:val="superscript"/>
    </w:rPr>
  </w:style>
  <w:style w:type="character" w:styleId="FollowedHyperlink">
    <w:name w:val="FollowedHyperlink"/>
    <w:basedOn w:val="DefaultParagraphFont"/>
    <w:uiPriority w:val="99"/>
    <w:semiHidden/>
    <w:unhideWhenUsed/>
    <w:rsid w:val="006C7EA9"/>
    <w:rPr>
      <w:color w:val="800080" w:themeColor="followedHyperlink"/>
      <w:u w:val="single"/>
    </w:rPr>
  </w:style>
  <w:style w:type="paragraph" w:styleId="Revision">
    <w:name w:val="Revision"/>
    <w:hidden/>
    <w:uiPriority w:val="99"/>
    <w:semiHidden/>
    <w:rsid w:val="00F936ED"/>
    <w:pPr>
      <w:spacing w:after="0" w:line="240" w:lineRule="auto"/>
    </w:pPr>
    <w:rPr>
      <w:rFonts w:eastAsia="Times New Roman" w:cs="Times New Roman"/>
      <w:szCs w:val="24"/>
    </w:rPr>
  </w:style>
  <w:style w:type="paragraph" w:styleId="NoSpacing">
    <w:name w:val="No Spacing"/>
    <w:uiPriority w:val="1"/>
    <w:qFormat/>
    <w:rsid w:val="00D963D1"/>
    <w:pPr>
      <w:spacing w:after="0" w:line="240" w:lineRule="auto"/>
    </w:pPr>
    <w:rPr>
      <w:rFonts w:asciiTheme="minorHAnsi" w:hAnsiTheme="minorHAnsi"/>
      <w:sz w:val="22"/>
    </w:rPr>
  </w:style>
  <w:style w:type="character" w:styleId="PlaceholderText">
    <w:name w:val="Placeholder Text"/>
    <w:basedOn w:val="DefaultParagraphFont"/>
    <w:uiPriority w:val="99"/>
    <w:semiHidden/>
    <w:rsid w:val="001049C0"/>
    <w:rPr>
      <w:color w:val="808080"/>
    </w:rPr>
  </w:style>
  <w:style w:type="paragraph" w:styleId="ListParagraph">
    <w:name w:val="List Paragraph"/>
    <w:basedOn w:val="Normal"/>
    <w:uiPriority w:val="34"/>
    <w:qFormat/>
    <w:rsid w:val="001049C0"/>
    <w:pPr>
      <w:ind w:left="720"/>
      <w:contextualSpacing/>
    </w:pPr>
  </w:style>
  <w:style w:type="character" w:customStyle="1" w:styleId="UnresolvedMention1">
    <w:name w:val="Unresolved Mention1"/>
    <w:basedOn w:val="DefaultParagraphFont"/>
    <w:uiPriority w:val="99"/>
    <w:semiHidden/>
    <w:unhideWhenUsed/>
    <w:rsid w:val="004341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7784">
      <w:bodyDiv w:val="1"/>
      <w:marLeft w:val="0"/>
      <w:marRight w:val="0"/>
      <w:marTop w:val="0"/>
      <w:marBottom w:val="0"/>
      <w:divBdr>
        <w:top w:val="none" w:sz="0" w:space="0" w:color="auto"/>
        <w:left w:val="none" w:sz="0" w:space="0" w:color="auto"/>
        <w:bottom w:val="none" w:sz="0" w:space="0" w:color="auto"/>
        <w:right w:val="none" w:sz="0" w:space="0" w:color="auto"/>
      </w:divBdr>
    </w:div>
    <w:div w:id="291638955">
      <w:bodyDiv w:val="1"/>
      <w:marLeft w:val="0"/>
      <w:marRight w:val="0"/>
      <w:marTop w:val="0"/>
      <w:marBottom w:val="0"/>
      <w:divBdr>
        <w:top w:val="none" w:sz="0" w:space="0" w:color="auto"/>
        <w:left w:val="none" w:sz="0" w:space="0" w:color="auto"/>
        <w:bottom w:val="none" w:sz="0" w:space="0" w:color="auto"/>
        <w:right w:val="none" w:sz="0" w:space="0" w:color="auto"/>
      </w:divBdr>
    </w:div>
    <w:div w:id="319626778">
      <w:bodyDiv w:val="1"/>
      <w:marLeft w:val="0"/>
      <w:marRight w:val="0"/>
      <w:marTop w:val="0"/>
      <w:marBottom w:val="0"/>
      <w:divBdr>
        <w:top w:val="none" w:sz="0" w:space="0" w:color="auto"/>
        <w:left w:val="none" w:sz="0" w:space="0" w:color="auto"/>
        <w:bottom w:val="none" w:sz="0" w:space="0" w:color="auto"/>
        <w:right w:val="none" w:sz="0" w:space="0" w:color="auto"/>
      </w:divBdr>
    </w:div>
    <w:div w:id="603154052">
      <w:bodyDiv w:val="1"/>
      <w:marLeft w:val="0"/>
      <w:marRight w:val="0"/>
      <w:marTop w:val="0"/>
      <w:marBottom w:val="0"/>
      <w:divBdr>
        <w:top w:val="none" w:sz="0" w:space="0" w:color="auto"/>
        <w:left w:val="none" w:sz="0" w:space="0" w:color="auto"/>
        <w:bottom w:val="none" w:sz="0" w:space="0" w:color="auto"/>
        <w:right w:val="none" w:sz="0" w:space="0" w:color="auto"/>
      </w:divBdr>
    </w:div>
    <w:div w:id="825780554">
      <w:bodyDiv w:val="1"/>
      <w:marLeft w:val="0"/>
      <w:marRight w:val="0"/>
      <w:marTop w:val="0"/>
      <w:marBottom w:val="0"/>
      <w:divBdr>
        <w:top w:val="none" w:sz="0" w:space="0" w:color="auto"/>
        <w:left w:val="none" w:sz="0" w:space="0" w:color="auto"/>
        <w:bottom w:val="none" w:sz="0" w:space="0" w:color="auto"/>
        <w:right w:val="none" w:sz="0" w:space="0" w:color="auto"/>
      </w:divBdr>
    </w:div>
    <w:div w:id="975530534">
      <w:bodyDiv w:val="1"/>
      <w:marLeft w:val="0"/>
      <w:marRight w:val="0"/>
      <w:marTop w:val="0"/>
      <w:marBottom w:val="0"/>
      <w:divBdr>
        <w:top w:val="none" w:sz="0" w:space="0" w:color="auto"/>
        <w:left w:val="none" w:sz="0" w:space="0" w:color="auto"/>
        <w:bottom w:val="none" w:sz="0" w:space="0" w:color="auto"/>
        <w:right w:val="none" w:sz="0" w:space="0" w:color="auto"/>
      </w:divBdr>
    </w:div>
    <w:div w:id="982734672">
      <w:bodyDiv w:val="1"/>
      <w:marLeft w:val="0"/>
      <w:marRight w:val="0"/>
      <w:marTop w:val="0"/>
      <w:marBottom w:val="0"/>
      <w:divBdr>
        <w:top w:val="none" w:sz="0" w:space="0" w:color="auto"/>
        <w:left w:val="none" w:sz="0" w:space="0" w:color="auto"/>
        <w:bottom w:val="none" w:sz="0" w:space="0" w:color="auto"/>
        <w:right w:val="none" w:sz="0" w:space="0" w:color="auto"/>
      </w:divBdr>
    </w:div>
    <w:div w:id="1065253236">
      <w:bodyDiv w:val="1"/>
      <w:marLeft w:val="0"/>
      <w:marRight w:val="0"/>
      <w:marTop w:val="0"/>
      <w:marBottom w:val="0"/>
      <w:divBdr>
        <w:top w:val="none" w:sz="0" w:space="0" w:color="auto"/>
        <w:left w:val="none" w:sz="0" w:space="0" w:color="auto"/>
        <w:bottom w:val="none" w:sz="0" w:space="0" w:color="auto"/>
        <w:right w:val="none" w:sz="0" w:space="0" w:color="auto"/>
      </w:divBdr>
    </w:div>
    <w:div w:id="1364211693">
      <w:bodyDiv w:val="1"/>
      <w:marLeft w:val="0"/>
      <w:marRight w:val="0"/>
      <w:marTop w:val="0"/>
      <w:marBottom w:val="0"/>
      <w:divBdr>
        <w:top w:val="none" w:sz="0" w:space="0" w:color="auto"/>
        <w:left w:val="none" w:sz="0" w:space="0" w:color="auto"/>
        <w:bottom w:val="none" w:sz="0" w:space="0" w:color="auto"/>
        <w:right w:val="none" w:sz="0" w:space="0" w:color="auto"/>
      </w:divBdr>
    </w:div>
    <w:div w:id="1401447122">
      <w:bodyDiv w:val="1"/>
      <w:marLeft w:val="0"/>
      <w:marRight w:val="0"/>
      <w:marTop w:val="0"/>
      <w:marBottom w:val="0"/>
      <w:divBdr>
        <w:top w:val="none" w:sz="0" w:space="0" w:color="auto"/>
        <w:left w:val="none" w:sz="0" w:space="0" w:color="auto"/>
        <w:bottom w:val="none" w:sz="0" w:space="0" w:color="auto"/>
        <w:right w:val="none" w:sz="0" w:space="0" w:color="auto"/>
      </w:divBdr>
    </w:div>
    <w:div w:id="1583366338">
      <w:bodyDiv w:val="1"/>
      <w:marLeft w:val="0"/>
      <w:marRight w:val="0"/>
      <w:marTop w:val="0"/>
      <w:marBottom w:val="0"/>
      <w:divBdr>
        <w:top w:val="none" w:sz="0" w:space="0" w:color="auto"/>
        <w:left w:val="none" w:sz="0" w:space="0" w:color="auto"/>
        <w:bottom w:val="none" w:sz="0" w:space="0" w:color="auto"/>
        <w:right w:val="none" w:sz="0" w:space="0" w:color="auto"/>
      </w:divBdr>
    </w:div>
    <w:div w:id="1593317118">
      <w:bodyDiv w:val="1"/>
      <w:marLeft w:val="0"/>
      <w:marRight w:val="0"/>
      <w:marTop w:val="0"/>
      <w:marBottom w:val="0"/>
      <w:divBdr>
        <w:top w:val="none" w:sz="0" w:space="0" w:color="auto"/>
        <w:left w:val="none" w:sz="0" w:space="0" w:color="auto"/>
        <w:bottom w:val="none" w:sz="0" w:space="0" w:color="auto"/>
        <w:right w:val="none" w:sz="0" w:space="0" w:color="auto"/>
      </w:divBdr>
    </w:div>
    <w:div w:id="19989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vlpubs.nist.gov/nistpubs/SpecialPublications/NIST.SP.800-52r1.pdf" TargetMode="External"/><Relationship Id="rId18" Type="http://schemas.openxmlformats.org/officeDocument/2006/relationships/hyperlink" Target="http://www.regulations.gov_"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cdx.epa.gov/" TargetMode="External"/><Relationship Id="rId17" Type="http://schemas.openxmlformats.org/officeDocument/2006/relationships/hyperlink" Target="https://www.bls.gov/web/ecec/ecsuphst.pdf" TargetMode="External"/><Relationship Id="rId2" Type="http://schemas.openxmlformats.org/officeDocument/2006/relationships/customXml" Target="../customXml/item2.xml"/><Relationship Id="rId16" Type="http://schemas.openxmlformats.org/officeDocument/2006/relationships/hyperlink" Target="http://www.bls.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cdx.epa.gov/ssl/pmn/download.as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reviewing-new-chemicals-under-toxic-substances-control-act-tsca/how-submit-e-pmn"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EPA-HQ-OPPT-2016-0401-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nalysis_x0020_Type xmlns="ac84fb18-0c23-4d65-8a08-6d769657bfb8">
      <Value>Not Categorized</Value>
    </Analysis_x0020_Type>
    <k8590d72687d4503a7b291db86b7a478 xmlns="ac84fb18-0c23-4d65-8a08-6d769657bfb8">
      <Terms xmlns="http://schemas.microsoft.com/office/infopath/2007/PartnerControls">
        <TermInfo xmlns="http://schemas.microsoft.com/office/infopath/2007/PartnerControls">
          <TermName xmlns="http://schemas.microsoft.com/office/infopath/2007/PartnerControls">LCPFC_ICR</TermName>
          <TermId xmlns="http://schemas.microsoft.com/office/infopath/2007/PartnerControls">12b8fe37-48d4-43af-9cd0-fd6fa6081025</TermId>
        </TermInfo>
      </Terms>
    </k8590d72687d4503a7b291db86b7a478>
    <Use xmlns="ac84fb18-0c23-4d65-8a08-6d769657bfb8">
      <Value>Not Categorized/Other</Value>
    </Use>
    <document_x0020_type xmlns="ac84fb18-0c23-4d65-8a08-6d769657bfb8">Client Deliverable</document_x0020_type>
    <TaxCatchAll xmlns="6c854b04-c9c6-4391-adbe-2e73191270e7">
      <Value>1239</Value>
    </TaxCatchAll>
    <TaxKeywordTaxHTField xmlns="4c897256-52db-410f-98c9-5c6e0cd83429">
      <Terms xmlns="http://schemas.microsoft.com/office/infopath/2007/PartnerControls"/>
    </TaxKeywordTaxHTField>
    <_DCDateCreated xmlns="http://schemas.microsoft.com/sharepoint/v3/fields">2018-12-28T05:00:00+00:00</_DCDateCre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05CFCA0062764C925E08FC204E515A" ma:contentTypeVersion="19" ma:contentTypeDescription="Create a new document." ma:contentTypeScope="" ma:versionID="a443f9dbe68573fd15a8ac8662216952">
  <xsd:schema xmlns:xsd="http://www.w3.org/2001/XMLSchema" xmlns:xs="http://www.w3.org/2001/XMLSchema" xmlns:p="http://schemas.microsoft.com/office/2006/metadata/properties" xmlns:ns2="c5f62014-4b24-4b30-942d-67953d8bdf24" xmlns:ns3="ac84fb18-0c23-4d65-8a08-6d769657bfb8" xmlns:ns4="4c897256-52db-410f-98c9-5c6e0cd83429" xmlns:ns5="6c854b04-c9c6-4391-adbe-2e73191270e7" xmlns:ns6="http://schemas.microsoft.com/sharepoint/v3/fields" targetNamespace="http://schemas.microsoft.com/office/2006/metadata/properties" ma:root="true" ma:fieldsID="084291cdc3b88a22f17826f1fbf49320" ns2:_="" ns3:_="" ns4:_="" ns5:_="" ns6:_="">
    <xsd:import namespace="c5f62014-4b24-4b30-942d-67953d8bdf24"/>
    <xsd:import namespace="ac84fb18-0c23-4d65-8a08-6d769657bfb8"/>
    <xsd:import namespace="4c897256-52db-410f-98c9-5c6e0cd83429"/>
    <xsd:import namespace="6c854b04-c9c6-4391-adbe-2e73191270e7"/>
    <xsd:import namespace="http://schemas.microsoft.com/sharepoint/v3/fields"/>
    <xsd:element name="properties">
      <xsd:complexType>
        <xsd:sequence>
          <xsd:element name="documentManagement">
            <xsd:complexType>
              <xsd:all>
                <xsd:element ref="ns2:SharedWithUsers" minOccurs="0"/>
                <xsd:element ref="ns2:SharedWithDetails" minOccurs="0"/>
                <xsd:element ref="ns3:document_x0020_type"/>
                <xsd:element ref="ns3:Analysis_x0020_Type" minOccurs="0"/>
                <xsd:element ref="ns3:Use" minOccurs="0"/>
                <xsd:element ref="ns4:TaxKeywordTaxHTField" minOccurs="0"/>
                <xsd:element ref="ns5:TaxCatchAll" minOccurs="0"/>
                <xsd:element ref="ns2:LastSharedByUser" minOccurs="0"/>
                <xsd:element ref="ns2:LastSharedByTime" minOccurs="0"/>
                <xsd:element ref="ns3:MediaServiceMetadata" minOccurs="0"/>
                <xsd:element ref="ns3:MediaServiceFastMetadata" minOccurs="0"/>
                <xsd:element ref="ns6:_DCDateCreated" minOccurs="0"/>
                <xsd:element ref="ns3:k8590d72687d4503a7b291db86b7a478"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62014-4b24-4b30-942d-67953d8bdf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84fb18-0c23-4d65-8a08-6d769657bfb8" elementFormDefault="qualified">
    <xsd:import namespace="http://schemas.microsoft.com/office/2006/documentManagement/types"/>
    <xsd:import namespace="http://schemas.microsoft.com/office/infopath/2007/PartnerControls"/>
    <xsd:element name="document_x0020_type" ma:index="10" ma:displayName="document type" ma:default="Uncategorized" ma:format="Dropdown" ma:indexed="true" ma:internalName="document_x0020_type">
      <xsd:simpleType>
        <xsd:restriction base="dms:Choice">
          <xsd:enumeration value="Uncategorized"/>
          <xsd:enumeration value="Earlier Internal Draft"/>
          <xsd:enumeration value="Latest Internal Draft"/>
          <xsd:enumeration value="Client Deliverable"/>
          <xsd:enumeration value="Client Comments"/>
          <xsd:enumeration value="Client Admin File"/>
          <xsd:enumeration value="Abt Admin File"/>
          <xsd:enumeration value="Sub Admin File"/>
          <xsd:enumeration value="Sub Deliverable"/>
          <xsd:enumeration value="Reference/Background Doc"/>
          <xsd:enumeration value="Earlier Data File"/>
          <xsd:enumeration value="Latest Data File"/>
          <xsd:enumeration value="Earlier Analysis File"/>
          <xsd:enumeration value="Latest Analysis File"/>
        </xsd:restriction>
      </xsd:simpleType>
    </xsd:element>
    <xsd:element name="Analysis_x0020_Type" ma:index="11" nillable="true" ma:displayName="Analysis Type" ma:default="Not Categorized" ma:internalName="Analysis_x0020_Type" ma:requiredMultiChoice="true">
      <xsd:complexType>
        <xsd:complexContent>
          <xsd:extension base="dms:MultiChoice">
            <xsd:sequence>
              <xsd:element name="Value" maxOccurs="unbounded" minOccurs="0" nillable="true">
                <xsd:simpleType>
                  <xsd:restriction base="dms:Choice">
                    <xsd:enumeration value="Not Categorized"/>
                    <xsd:enumeration value="Admin File"/>
                    <xsd:enumeration value="QAQC"/>
                    <xsd:enumeration value="ES"/>
                    <xsd:enumeration value="Cost"/>
                    <xsd:enumeration value="Ben"/>
                    <xsd:enumeration value="RFA"/>
                    <xsd:enumeration value="PRA"/>
                    <xsd:enumeration value="EJ"/>
                    <xsd:enumeration value="Oth Impcts"/>
                    <xsd:enumeration value="Net B"/>
                    <xsd:enumeration value="Senstvty"/>
                    <xsd:enumeration value="Profile"/>
                    <xsd:enumeration value="Justification"/>
                    <xsd:enumeration value="Supplementary"/>
                  </xsd:restriction>
                </xsd:simpleType>
              </xsd:element>
            </xsd:sequence>
          </xsd:extension>
        </xsd:complexContent>
      </xsd:complexType>
    </xsd:element>
    <xsd:element name="Use" ma:index="12" nillable="true" ma:displayName="Use" ma:default="Not Categorized/Other" ma:description="Use" ma:internalName="Use" ma:requiredMultiChoice="true">
      <xsd:complexType>
        <xsd:complexContent>
          <xsd:extension base="dms:MultiChoice">
            <xsd:sequence>
              <xsd:element name="Value" maxOccurs="unbounded" minOccurs="0" nillable="true">
                <xsd:simpleType>
                  <xsd:restriction base="dms:Choice">
                    <xsd:enumeration value="Vapor Degreasing"/>
                    <xsd:enumeration value="Aerosol"/>
                    <xsd:enumeration value="Spotting"/>
                    <xsd:enumeration value="Not Categorized/Other"/>
                  </xsd:restriction>
                </xsd:simple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k8590d72687d4503a7b291db86b7a478" ma:index="23" ma:taxonomy="true" ma:internalName="k8590d72687d4503a7b291db86b7a478" ma:taxonomyFieldName="Project" ma:displayName="Project" ma:indexed="true" ma:readOnly="false" ma:default="1108;#Assign a category|55d30ec3-998d-4f15-b1d8-7d3555786bdb" ma:fieldId="{48590d72-687d-4503-a7b2-91db86b7a478}" ma:sspId="6654925c-3bd7-4187-ab31-e932ed5cd6bf" ma:termSetId="ed552b40-6a81-4856-96a7-9215a767bb23" ma:anchorId="00000000-0000-0000-0000-000000000000" ma:open="true" ma:isKeyword="false">
      <xsd:complexType>
        <xsd:sequence>
          <xsd:element ref="pc:Terms" minOccurs="0" maxOccurs="1"/>
        </xsd:sequence>
      </xsd:complex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97256-52db-410f-98c9-5c6e0cd8342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Metadata" ma:readOnly="false" ma:fieldId="{23f27201-bee3-471e-b2e7-b64fd8b7ca38}" ma:taxonomyMulti="true" ma:sspId="6654925c-3bd7-4187-ab31-e932ed5cd6bf"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54b04-c9c6-4391-adbe-2e73191270e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d88d6-5266-42d4-8ee4-e6e629e5a064}" ma:internalName="TaxCatchAll" ma:showField="CatchAllData" ma:web="4c897256-52db-410f-98c9-5c6e0cd83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1"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8A347-B285-414A-A298-C833F04E4F3B}">
  <ds:schemaRefs>
    <ds:schemaRef ds:uri="http://schemas.microsoft.com/sharepoint/v3/contenttype/forms"/>
  </ds:schemaRefs>
</ds:datastoreItem>
</file>

<file path=customXml/itemProps2.xml><?xml version="1.0" encoding="utf-8"?>
<ds:datastoreItem xmlns:ds="http://schemas.openxmlformats.org/officeDocument/2006/customXml" ds:itemID="{B884C2D3-D9E8-40EA-89AB-67847AB2DC7B}">
  <ds:schemaRefs>
    <ds:schemaRef ds:uri="http://purl.org/dc/elements/1.1/"/>
    <ds:schemaRef ds:uri="http://schemas.microsoft.com/office/2006/metadata/properties"/>
    <ds:schemaRef ds:uri="4c897256-52db-410f-98c9-5c6e0cd83429"/>
    <ds:schemaRef ds:uri="http://schemas.microsoft.com/sharepoint/v3/fields"/>
    <ds:schemaRef ds:uri="http://schemas.openxmlformats.org/package/2006/metadata/core-properties"/>
    <ds:schemaRef ds:uri="http://purl.org/dc/terms/"/>
    <ds:schemaRef ds:uri="http://schemas.microsoft.com/office/2006/documentManagement/types"/>
    <ds:schemaRef ds:uri="http://purl.org/dc/dcmitype/"/>
    <ds:schemaRef ds:uri="ac84fb18-0c23-4d65-8a08-6d769657bfb8"/>
    <ds:schemaRef ds:uri="http://schemas.microsoft.com/office/infopath/2007/PartnerControls"/>
    <ds:schemaRef ds:uri="6c854b04-c9c6-4391-adbe-2e73191270e7"/>
    <ds:schemaRef ds:uri="c5f62014-4b24-4b30-942d-67953d8bdf24"/>
    <ds:schemaRef ds:uri="http://www.w3.org/XML/1998/namespace"/>
  </ds:schemaRefs>
</ds:datastoreItem>
</file>

<file path=customXml/itemProps3.xml><?xml version="1.0" encoding="utf-8"?>
<ds:datastoreItem xmlns:ds="http://schemas.openxmlformats.org/officeDocument/2006/customXml" ds:itemID="{599DC323-91A6-484B-A4A3-B81B911B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f62014-4b24-4b30-942d-67953d8bdf24"/>
    <ds:schemaRef ds:uri="ac84fb18-0c23-4d65-8a08-6d769657bfb8"/>
    <ds:schemaRef ds:uri="4c897256-52db-410f-98c9-5c6e0cd83429"/>
    <ds:schemaRef ds:uri="6c854b04-c9c6-4391-adbe-2e73191270e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24C83-C7E2-49F3-90E3-185EA7B7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8774</Words>
  <Characters>50014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LCPFC_SNUR_ICR_Redline</vt:lpstr>
    </vt:vector>
  </TitlesOfParts>
  <Company>US-EPA</Company>
  <LinksUpToDate>false</LinksUpToDate>
  <CharactersWithSpaces>58671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LCPFC_SNUR_ICR_Redline</dc:title>
  <dc:creator>RCarlson</dc:creator>
  <cp:keywords/>
  <dc:description/>
  <cp:lastModifiedBy>SYSTEM</cp:lastModifiedBy>
  <cp:revision>2</cp:revision>
  <cp:lastPrinted>2018-08-18T21:54:00Z</cp:lastPrinted>
  <dcterms:created xsi:type="dcterms:W3CDTF">2019-07-17T19:26:00Z</dcterms:created>
  <dcterms:modified xsi:type="dcterms:W3CDTF">2019-07-17T19:26:00Z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0x0101001405CFCA0062764C925E08FC204E515A</vt:lpwstr>
  </property>
  <property fmtid="{D5CDD505-2E9C-101B-9397-08002B2CF9AE}" pid="3" name="TaxKeyword">
    <vt:lpwstr/>
  </property>
  <property fmtid="{D5CDD505-2E9C-101B-9397-08002B2CF9AE}" pid="4" name="Project">
    <vt:lpwstr>1239;#LCPFC_ICR|12b8fe37-48d4-43af-9cd0-fd6fa6081025</vt:lpwstr>
  </property>
  <property fmtid="{D5CDD505-2E9C-101B-9397-08002B2CF9AE}" pid="5" name="AuthorIds_UIVersion_1">
    <vt:lpwstr>6450</vt:lpwstr>
  </property>
</Properties>
</file>