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2CA4BF" w14:textId="77777777" w:rsidR="00C91FFE" w:rsidRPr="0060549D" w:rsidRDefault="00C91FFE" w:rsidP="00C91FFE">
      <w:pPr>
        <w:jc w:val="center"/>
        <w:rPr>
          <w:b/>
          <w:bCs/>
        </w:rPr>
      </w:pPr>
      <w:r w:rsidRPr="0060549D">
        <w:rPr>
          <w:b/>
          <w:bCs/>
        </w:rPr>
        <w:t>United States Department of Energy</w:t>
      </w:r>
    </w:p>
    <w:p w14:paraId="60B8F699" w14:textId="77777777" w:rsidR="00C91FFE" w:rsidRPr="0060549D" w:rsidRDefault="00C91FFE" w:rsidP="00C91FFE">
      <w:pPr>
        <w:jc w:val="center"/>
        <w:rPr>
          <w:b/>
          <w:bCs/>
        </w:rPr>
      </w:pPr>
      <w:r w:rsidRPr="0060549D">
        <w:rPr>
          <w:b/>
          <w:bCs/>
        </w:rPr>
        <w:t>“Web-survey for DOE's Small Business Vouchers Pilot of Participating and Nonparticipating Small Businesses”</w:t>
      </w:r>
    </w:p>
    <w:p w14:paraId="32D922CD" w14:textId="77777777" w:rsidR="00C91FFE" w:rsidRPr="0060549D" w:rsidRDefault="00C91FFE" w:rsidP="00C91FFE">
      <w:pPr>
        <w:jc w:val="center"/>
        <w:rPr>
          <w:b/>
          <w:bCs/>
        </w:rPr>
      </w:pPr>
      <w:r w:rsidRPr="0060549D">
        <w:rPr>
          <w:b/>
          <w:bCs/>
        </w:rPr>
        <w:t>Supporting Statement B</w:t>
      </w:r>
    </w:p>
    <w:p w14:paraId="06E73080" w14:textId="459B7A29" w:rsidR="00C91FFE" w:rsidRPr="004235A7" w:rsidRDefault="00C91FFE" w:rsidP="004235A7">
      <w:pPr>
        <w:jc w:val="center"/>
        <w:rPr>
          <w:b/>
          <w:bCs/>
        </w:rPr>
      </w:pPr>
      <w:r w:rsidRPr="0060549D">
        <w:rPr>
          <w:b/>
          <w:bCs/>
        </w:rPr>
        <w:t xml:space="preserve">OMB Number </w:t>
      </w:r>
      <w:r w:rsidRPr="0060549D">
        <w:rPr>
          <w:b/>
          <w:bCs/>
          <w:highlight w:val="yellow"/>
        </w:rPr>
        <w:t>xxx-xxx</w:t>
      </w:r>
      <w:r w:rsidRPr="0060549D">
        <w:rPr>
          <w:b/>
          <w:bCs/>
        </w:rPr>
        <w:t xml:space="preserve"> </w:t>
      </w:r>
    </w:p>
    <w:p w14:paraId="6E3C5F9C" w14:textId="77777777" w:rsidR="00C91FFE" w:rsidRPr="0060549D" w:rsidRDefault="00C91FFE" w:rsidP="00BD56A1">
      <w:pPr>
        <w:autoSpaceDE w:val="0"/>
        <w:autoSpaceDN w:val="0"/>
        <w:adjustRightInd w:val="0"/>
        <w:rPr>
          <w:b/>
          <w:sz w:val="20"/>
          <w:szCs w:val="20"/>
        </w:rPr>
      </w:pPr>
    </w:p>
    <w:p w14:paraId="1D2CDDF5" w14:textId="77777777" w:rsidR="00BD56A1" w:rsidRPr="0060549D" w:rsidRDefault="00BD56A1" w:rsidP="00BD56A1">
      <w:pPr>
        <w:autoSpaceDE w:val="0"/>
        <w:autoSpaceDN w:val="0"/>
        <w:adjustRightInd w:val="0"/>
        <w:rPr>
          <w:sz w:val="20"/>
          <w:szCs w:val="20"/>
        </w:rPr>
      </w:pPr>
    </w:p>
    <w:p w14:paraId="5D4BC443" w14:textId="77777777" w:rsidR="00BD56A1" w:rsidRPr="0060549D" w:rsidRDefault="00BD56A1" w:rsidP="00C91FFE">
      <w:pPr>
        <w:pStyle w:val="ListParagraph"/>
        <w:numPr>
          <w:ilvl w:val="0"/>
          <w:numId w:val="2"/>
        </w:numPr>
        <w:autoSpaceDE w:val="0"/>
        <w:autoSpaceDN w:val="0"/>
        <w:adjustRightInd w:val="0"/>
        <w:rPr>
          <w:b/>
          <w:sz w:val="20"/>
          <w:szCs w:val="20"/>
        </w:rPr>
      </w:pPr>
      <w:r w:rsidRPr="0060549D">
        <w:rPr>
          <w:b/>
          <w:sz w:val="20"/>
          <w:szCs w:val="20"/>
        </w:rPr>
        <w:t xml:space="preserve">Describe (including a numerical estimate) the potential respondent universe and any sampling or other respondent selection methods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w:t>
      </w:r>
    </w:p>
    <w:p w14:paraId="3EB52A63" w14:textId="77777777" w:rsidR="00C91FFE" w:rsidRPr="0060549D" w:rsidRDefault="00C91FFE" w:rsidP="00C91FFE">
      <w:pPr>
        <w:autoSpaceDE w:val="0"/>
        <w:autoSpaceDN w:val="0"/>
        <w:adjustRightInd w:val="0"/>
        <w:rPr>
          <w:b/>
          <w:sz w:val="20"/>
          <w:szCs w:val="20"/>
        </w:rPr>
      </w:pPr>
    </w:p>
    <w:p w14:paraId="4727EEF5" w14:textId="61D8C12D" w:rsidR="00C91FFE" w:rsidRDefault="00C91FFE" w:rsidP="00C91FFE">
      <w:pPr>
        <w:autoSpaceDE w:val="0"/>
        <w:autoSpaceDN w:val="0"/>
        <w:adjustRightInd w:val="0"/>
        <w:rPr>
          <w:sz w:val="20"/>
          <w:szCs w:val="20"/>
        </w:rPr>
      </w:pPr>
      <w:r w:rsidRPr="0060549D">
        <w:rPr>
          <w:sz w:val="20"/>
          <w:szCs w:val="20"/>
        </w:rPr>
        <w:t>DOE expects the number of unduplicated survey responses to b</w:t>
      </w:r>
      <w:r w:rsidR="0060549D">
        <w:rPr>
          <w:sz w:val="20"/>
          <w:szCs w:val="20"/>
        </w:rPr>
        <w:t>e 140 or less</w:t>
      </w:r>
      <w:r w:rsidR="00C9308F">
        <w:rPr>
          <w:sz w:val="20"/>
          <w:szCs w:val="20"/>
        </w:rPr>
        <w:t xml:space="preserve"> for the survey conducted </w:t>
      </w:r>
      <w:r w:rsidR="00C9308F" w:rsidRPr="00C9308F">
        <w:rPr>
          <w:sz w:val="20"/>
          <w:szCs w:val="20"/>
        </w:rPr>
        <w:t>after the first year of vouchers has been completed (i.e., the second year of the pilot)</w:t>
      </w:r>
      <w:r w:rsidR="00C9308F">
        <w:rPr>
          <w:sz w:val="20"/>
          <w:szCs w:val="20"/>
        </w:rPr>
        <w:t xml:space="preserve">, consisting of 70 </w:t>
      </w:r>
      <w:r w:rsidR="00C9308F" w:rsidRPr="0060549D">
        <w:rPr>
          <w:sz w:val="20"/>
          <w:szCs w:val="20"/>
        </w:rPr>
        <w:t>participants in the Small Business Vouchers (SBV) Pilot</w:t>
      </w:r>
      <w:r w:rsidR="00C9308F">
        <w:rPr>
          <w:sz w:val="20"/>
          <w:szCs w:val="20"/>
        </w:rPr>
        <w:t xml:space="preserve"> and another 70 will be </w:t>
      </w:r>
      <w:r w:rsidR="00C9308F" w:rsidRPr="0060549D">
        <w:rPr>
          <w:sz w:val="20"/>
          <w:szCs w:val="20"/>
        </w:rPr>
        <w:t>small businesses</w:t>
      </w:r>
      <w:r w:rsidR="00C9308F">
        <w:rPr>
          <w:sz w:val="20"/>
          <w:szCs w:val="20"/>
        </w:rPr>
        <w:t xml:space="preserve"> with similar characteristics to participants, but who</w:t>
      </w:r>
      <w:r w:rsidR="00C9308F" w:rsidRPr="0060549D">
        <w:rPr>
          <w:sz w:val="20"/>
          <w:szCs w:val="20"/>
        </w:rPr>
        <w:t xml:space="preserve"> did not participate in the SBV Pilot.</w:t>
      </w:r>
      <w:r w:rsidR="00C9308F">
        <w:rPr>
          <w:sz w:val="20"/>
          <w:szCs w:val="20"/>
        </w:rPr>
        <w:t xml:space="preserve"> DOE expects approximately </w:t>
      </w:r>
      <w:r w:rsidR="000C6EAE">
        <w:rPr>
          <w:sz w:val="20"/>
          <w:szCs w:val="20"/>
        </w:rPr>
        <w:t xml:space="preserve">200 </w:t>
      </w:r>
      <w:r w:rsidR="00C9308F">
        <w:rPr>
          <w:sz w:val="20"/>
          <w:szCs w:val="20"/>
        </w:rPr>
        <w:t>unduplicated survey responses from SBV participants to the survey conducted in year three</w:t>
      </w:r>
      <w:r w:rsidR="000C6EAE">
        <w:rPr>
          <w:sz w:val="20"/>
          <w:szCs w:val="20"/>
        </w:rPr>
        <w:t xml:space="preserve"> of the pilot, approximately 300 unduplicated survey responses from SBV participants to the survey conducted in year </w:t>
      </w:r>
      <w:r w:rsidR="00C9308F">
        <w:rPr>
          <w:sz w:val="20"/>
          <w:szCs w:val="20"/>
        </w:rPr>
        <w:t>four of the pilot, and 300 unduplicated survey responses from SBV participants and 100 unduplicated survey responses from non-SBV participants to the survey conducted in year five of the pilot</w:t>
      </w:r>
      <w:r w:rsidRPr="0060549D">
        <w:rPr>
          <w:sz w:val="20"/>
          <w:szCs w:val="20"/>
        </w:rPr>
        <w:t>. The response rate</w:t>
      </w:r>
      <w:r w:rsidR="006B136B">
        <w:rPr>
          <w:sz w:val="20"/>
          <w:szCs w:val="20"/>
        </w:rPr>
        <w:t>s are</w:t>
      </w:r>
      <w:r w:rsidRPr="0060549D">
        <w:rPr>
          <w:sz w:val="20"/>
          <w:szCs w:val="20"/>
        </w:rPr>
        <w:t xml:space="preserve"> expected to be close to 100%</w:t>
      </w:r>
      <w:r w:rsidR="00A84166">
        <w:rPr>
          <w:sz w:val="20"/>
          <w:szCs w:val="20"/>
        </w:rPr>
        <w:t xml:space="preserve"> for SBV</w:t>
      </w:r>
      <w:r w:rsidR="00EE0D51">
        <w:rPr>
          <w:sz w:val="20"/>
          <w:szCs w:val="20"/>
        </w:rPr>
        <w:t xml:space="preserve"> </w:t>
      </w:r>
      <w:r w:rsidR="00A84166">
        <w:rPr>
          <w:sz w:val="20"/>
          <w:szCs w:val="20"/>
        </w:rPr>
        <w:t>participants in the first survey</w:t>
      </w:r>
      <w:r w:rsidR="00EE0D51">
        <w:rPr>
          <w:sz w:val="20"/>
          <w:szCs w:val="20"/>
        </w:rPr>
        <w:t xml:space="preserve"> </w:t>
      </w:r>
      <w:r w:rsidR="00A84166">
        <w:rPr>
          <w:sz w:val="20"/>
          <w:szCs w:val="20"/>
        </w:rPr>
        <w:t xml:space="preserve">and not below </w:t>
      </w:r>
      <w:r w:rsidR="00EE0D51">
        <w:rPr>
          <w:sz w:val="20"/>
          <w:szCs w:val="20"/>
        </w:rPr>
        <w:t>70</w:t>
      </w:r>
      <w:r w:rsidR="00A84166">
        <w:rPr>
          <w:sz w:val="20"/>
          <w:szCs w:val="20"/>
        </w:rPr>
        <w:t xml:space="preserve"> percent</w:t>
      </w:r>
      <w:r w:rsidR="00EE0D51">
        <w:rPr>
          <w:sz w:val="20"/>
          <w:szCs w:val="20"/>
        </w:rPr>
        <w:t xml:space="preserve"> in year 5 as all firms still in business are required by contract to report in year 5</w:t>
      </w:r>
      <w:r w:rsidRPr="0060549D">
        <w:rPr>
          <w:sz w:val="20"/>
          <w:szCs w:val="20"/>
        </w:rPr>
        <w:t xml:space="preserve">. </w:t>
      </w:r>
    </w:p>
    <w:p w14:paraId="6207026C" w14:textId="77777777" w:rsidR="0060549D" w:rsidRDefault="0060549D" w:rsidP="00C91FFE">
      <w:pPr>
        <w:autoSpaceDE w:val="0"/>
        <w:autoSpaceDN w:val="0"/>
        <w:adjustRightInd w:val="0"/>
        <w:rPr>
          <w:sz w:val="20"/>
          <w:szCs w:val="20"/>
        </w:rPr>
      </w:pPr>
    </w:p>
    <w:p w14:paraId="41F4C5C5" w14:textId="77777777" w:rsidR="002D4F8B" w:rsidRPr="002D4F8B" w:rsidRDefault="0060549D" w:rsidP="002D4F8B">
      <w:pPr>
        <w:rPr>
          <w:sz w:val="20"/>
          <w:szCs w:val="20"/>
          <w:lang w:bidi="en-US"/>
        </w:rPr>
      </w:pPr>
      <w:r>
        <w:rPr>
          <w:sz w:val="20"/>
          <w:szCs w:val="20"/>
        </w:rPr>
        <w:t xml:space="preserve">The nonparticipants will serve as a comparison group to the SBV participant sample. </w:t>
      </w:r>
      <w:r w:rsidR="002D4F8B" w:rsidRPr="002D4F8B">
        <w:rPr>
          <w:sz w:val="20"/>
          <w:szCs w:val="20"/>
          <w:lang w:bidi="en-US"/>
        </w:rPr>
        <w:t>We used guidance from the Coalition for Evidence-Based Policy</w:t>
      </w:r>
      <w:r w:rsidR="002D4F8B" w:rsidRPr="002D4F8B">
        <w:rPr>
          <w:sz w:val="20"/>
          <w:szCs w:val="20"/>
          <w:vertAlign w:val="superscript"/>
          <w:lang w:bidi="en-US"/>
        </w:rPr>
        <w:footnoteReference w:id="1"/>
      </w:r>
      <w:r w:rsidR="002D4F8B" w:rsidRPr="002D4F8B">
        <w:rPr>
          <w:sz w:val="20"/>
          <w:szCs w:val="20"/>
          <w:lang w:bidi="en-US"/>
        </w:rPr>
        <w:t xml:space="preserve"> on comparison-group designs most likely to produce valid results to define characteristics relevant to our consideration. In addition to not having received a voucher for work done at a national laboratory, an SBV comparison group should have the following elements:</w:t>
      </w:r>
    </w:p>
    <w:p w14:paraId="6653FCEB" w14:textId="551BAF8B" w:rsidR="002D4F8B" w:rsidRPr="00C03646" w:rsidRDefault="002D4F8B" w:rsidP="002D4F8B">
      <w:pPr>
        <w:numPr>
          <w:ilvl w:val="0"/>
          <w:numId w:val="3"/>
        </w:numPr>
        <w:rPr>
          <w:sz w:val="20"/>
          <w:szCs w:val="20"/>
          <w:lang w:bidi="en-US"/>
        </w:rPr>
      </w:pPr>
      <w:r w:rsidRPr="002D4F8B">
        <w:rPr>
          <w:sz w:val="20"/>
          <w:szCs w:val="20"/>
          <w:lang w:bidi="en-US"/>
        </w:rPr>
        <w:t xml:space="preserve">The program and comparison group are </w:t>
      </w:r>
      <w:r w:rsidR="00A84166">
        <w:rPr>
          <w:sz w:val="20"/>
          <w:szCs w:val="20"/>
          <w:lang w:bidi="en-US"/>
        </w:rPr>
        <w:t>as similar as feasible</w:t>
      </w:r>
      <w:r w:rsidRPr="002D4F8B">
        <w:rPr>
          <w:sz w:val="20"/>
          <w:szCs w:val="20"/>
          <w:lang w:bidi="en-US"/>
        </w:rPr>
        <w:t xml:space="preserve"> in observable pre-program characteristics such as: characteristics of participants, and of institutions providing the assistance, including geographic </w:t>
      </w:r>
      <w:bookmarkStart w:id="0" w:name="_GoBack"/>
      <w:bookmarkEnd w:id="0"/>
      <w:r w:rsidRPr="00C03646">
        <w:rPr>
          <w:sz w:val="20"/>
          <w:szCs w:val="20"/>
          <w:lang w:bidi="en-US"/>
        </w:rPr>
        <w:t>location and pre-program measures of the outcome the program seeks to improve (characteristics of the program funder).</w:t>
      </w:r>
    </w:p>
    <w:p w14:paraId="3F1AA1DB" w14:textId="77777777" w:rsidR="002D4F8B" w:rsidRPr="00C03646" w:rsidRDefault="002D4F8B" w:rsidP="002D4F8B">
      <w:pPr>
        <w:numPr>
          <w:ilvl w:val="0"/>
          <w:numId w:val="3"/>
        </w:numPr>
        <w:rPr>
          <w:sz w:val="20"/>
          <w:szCs w:val="20"/>
          <w:lang w:bidi="en-US"/>
        </w:rPr>
      </w:pPr>
      <w:r w:rsidRPr="00C03646">
        <w:rPr>
          <w:sz w:val="20"/>
          <w:szCs w:val="20"/>
          <w:lang w:bidi="en-US"/>
        </w:rPr>
        <w:t>Program and comparison group members are likely to be similar in motivation – e.g., because the study uses an eligibility “cutoff” to form the two groups (same motivation, objectives)</w:t>
      </w:r>
    </w:p>
    <w:p w14:paraId="7BC02A44" w14:textId="77777777" w:rsidR="002D4F8B" w:rsidRPr="00C03646" w:rsidRDefault="002D4F8B" w:rsidP="00EB7B2C">
      <w:pPr>
        <w:numPr>
          <w:ilvl w:val="0"/>
          <w:numId w:val="3"/>
        </w:numPr>
        <w:rPr>
          <w:sz w:val="20"/>
          <w:szCs w:val="20"/>
          <w:lang w:bidi="en-US"/>
        </w:rPr>
      </w:pPr>
      <w:r w:rsidRPr="00C03646">
        <w:rPr>
          <w:sz w:val="20"/>
          <w:szCs w:val="20"/>
          <w:lang w:bidi="en-US"/>
        </w:rPr>
        <w:t>Outcome data are collected in the same way for both groups – e.g., the same survey administered at the same point in time to both groups (with a similar time passed since start of work).</w:t>
      </w:r>
    </w:p>
    <w:p w14:paraId="16227F7F" w14:textId="77777777" w:rsidR="002D4F8B" w:rsidRPr="00C03646" w:rsidRDefault="002D4F8B" w:rsidP="00EB7B2C">
      <w:pPr>
        <w:rPr>
          <w:sz w:val="20"/>
          <w:szCs w:val="20"/>
        </w:rPr>
      </w:pPr>
    </w:p>
    <w:p w14:paraId="4481EA4D" w14:textId="4EAC4832" w:rsidR="0060549D" w:rsidRPr="00C03646" w:rsidRDefault="00EB7B2C" w:rsidP="00EB7B2C">
      <w:r w:rsidRPr="00C03646">
        <w:rPr>
          <w:sz w:val="20"/>
        </w:rPr>
        <w:t>We also considered the existence and</w:t>
      </w:r>
      <w:r w:rsidRPr="00C03646">
        <w:rPr>
          <w:b/>
          <w:sz w:val="20"/>
        </w:rPr>
        <w:t xml:space="preserve"> </w:t>
      </w:r>
      <w:r w:rsidRPr="00C03646">
        <w:rPr>
          <w:sz w:val="20"/>
        </w:rPr>
        <w:t>ease of access to data and metrics for selecting a comparison group.</w:t>
      </w:r>
      <w:r w:rsidRPr="00C03646">
        <w:t xml:space="preserve"> </w:t>
      </w:r>
      <w:r w:rsidR="0060549D" w:rsidRPr="00C03646">
        <w:rPr>
          <w:sz w:val="20"/>
          <w:szCs w:val="20"/>
        </w:rPr>
        <w:t xml:space="preserve">The nonparticipant sample will consist of small businesses who </w:t>
      </w:r>
      <w:r w:rsidR="006B136B" w:rsidRPr="00C03646">
        <w:rPr>
          <w:sz w:val="20"/>
          <w:szCs w:val="20"/>
        </w:rPr>
        <w:t xml:space="preserve">applied to the SBV pilot but were not selected and small businesses who </w:t>
      </w:r>
      <w:r w:rsidR="0060549D" w:rsidRPr="00C03646">
        <w:rPr>
          <w:sz w:val="20"/>
          <w:szCs w:val="20"/>
        </w:rPr>
        <w:t>completed Cooperative Research and Development Agreement (CRADA) projects (preferably in the energy efficiency and renewable energy</w:t>
      </w:r>
      <w:r w:rsidR="00BF40C8" w:rsidRPr="00C03646">
        <w:rPr>
          <w:sz w:val="20"/>
          <w:szCs w:val="20"/>
        </w:rPr>
        <w:t xml:space="preserve"> [EERE]</w:t>
      </w:r>
      <w:r w:rsidR="0060549D" w:rsidRPr="00C03646">
        <w:rPr>
          <w:sz w:val="20"/>
          <w:szCs w:val="20"/>
        </w:rPr>
        <w:t xml:space="preserve"> sector</w:t>
      </w:r>
      <w:r w:rsidR="00A84166" w:rsidRPr="00C03646">
        <w:rPr>
          <w:sz w:val="20"/>
          <w:szCs w:val="20"/>
        </w:rPr>
        <w:t xml:space="preserve"> at the same Laboratories</w:t>
      </w:r>
      <w:r w:rsidR="0060549D" w:rsidRPr="00C03646">
        <w:rPr>
          <w:sz w:val="20"/>
          <w:szCs w:val="20"/>
        </w:rPr>
        <w:t xml:space="preserve">) within the previous year at the National Laboratories participating in the SBV Pilot. </w:t>
      </w:r>
    </w:p>
    <w:p w14:paraId="47066A88" w14:textId="77777777" w:rsidR="0060549D" w:rsidRPr="00C03646" w:rsidRDefault="0060549D" w:rsidP="00C91FFE">
      <w:pPr>
        <w:autoSpaceDE w:val="0"/>
        <w:autoSpaceDN w:val="0"/>
        <w:adjustRightInd w:val="0"/>
        <w:rPr>
          <w:sz w:val="20"/>
          <w:szCs w:val="20"/>
        </w:rPr>
      </w:pPr>
    </w:p>
    <w:p w14:paraId="54051D88" w14:textId="6DA2A25A" w:rsidR="003E3DEA" w:rsidRPr="00C03646" w:rsidRDefault="006B136B" w:rsidP="0060549D">
      <w:pPr>
        <w:autoSpaceDE w:val="0"/>
        <w:autoSpaceDN w:val="0"/>
        <w:adjustRightInd w:val="0"/>
        <w:rPr>
          <w:sz w:val="20"/>
          <w:szCs w:val="20"/>
          <w:lang w:bidi="en-US"/>
        </w:rPr>
      </w:pPr>
      <w:r w:rsidRPr="00C03646">
        <w:rPr>
          <w:sz w:val="20"/>
          <w:szCs w:val="20"/>
          <w:lang w:bidi="en-US"/>
        </w:rPr>
        <w:t>There were 450 applicants to the first of three rounds of the SBV pilot. Assuming similar levels of applications in rounds two and three and approximately 100 voucher awards</w:t>
      </w:r>
      <w:r w:rsidR="00A84166" w:rsidRPr="00C03646">
        <w:rPr>
          <w:sz w:val="20"/>
          <w:szCs w:val="20"/>
          <w:lang w:bidi="en-US"/>
        </w:rPr>
        <w:t xml:space="preserve"> total in the first three rounds (depending on the amount of funds per voucher)</w:t>
      </w:r>
      <w:r w:rsidRPr="00C03646">
        <w:rPr>
          <w:sz w:val="20"/>
          <w:szCs w:val="20"/>
          <w:lang w:bidi="en-US"/>
        </w:rPr>
        <w:t xml:space="preserve">, there will be approximately </w:t>
      </w:r>
      <w:r w:rsidR="00D74162" w:rsidRPr="00C03646">
        <w:rPr>
          <w:sz w:val="20"/>
          <w:szCs w:val="20"/>
          <w:lang w:bidi="en-US"/>
        </w:rPr>
        <w:t xml:space="preserve">1,250 non-selected </w:t>
      </w:r>
      <w:r w:rsidR="00F57E77" w:rsidRPr="00C03646">
        <w:rPr>
          <w:sz w:val="20"/>
          <w:szCs w:val="20"/>
          <w:lang w:bidi="en-US"/>
        </w:rPr>
        <w:t xml:space="preserve">firms in the </w:t>
      </w:r>
      <w:r w:rsidR="00D74162" w:rsidRPr="00C03646">
        <w:rPr>
          <w:sz w:val="20"/>
          <w:szCs w:val="20"/>
          <w:lang w:bidi="en-US"/>
        </w:rPr>
        <w:t xml:space="preserve">small businesses universe. </w:t>
      </w:r>
      <w:r w:rsidR="00EE0D51" w:rsidRPr="00C03646">
        <w:rPr>
          <w:sz w:val="20"/>
          <w:szCs w:val="20"/>
          <w:lang w:bidi="en-US"/>
        </w:rPr>
        <w:t xml:space="preserve">These </w:t>
      </w:r>
      <w:r w:rsidR="00F57E77" w:rsidRPr="00C03646">
        <w:rPr>
          <w:sz w:val="20"/>
          <w:szCs w:val="20"/>
          <w:lang w:bidi="en-US"/>
        </w:rPr>
        <w:t xml:space="preserve">firms </w:t>
      </w:r>
      <w:r w:rsidR="00EE0D51" w:rsidRPr="00C03646">
        <w:rPr>
          <w:sz w:val="20"/>
          <w:szCs w:val="20"/>
          <w:lang w:bidi="en-US"/>
        </w:rPr>
        <w:t xml:space="preserve">will be ranked by reviewer scores and the highest ranking firms will be asked to participate until a number of non-participants who will complete the survey is found equal to the number of participants, Not all of this group will be in existence and reachable in Year 5. </w:t>
      </w:r>
      <w:r w:rsidR="003E3DEA" w:rsidRPr="00C03646">
        <w:rPr>
          <w:sz w:val="20"/>
          <w:szCs w:val="20"/>
          <w:lang w:bidi="en-US"/>
        </w:rPr>
        <w:t xml:space="preserve">The surveys in years three, four and five of the pilot will draw upon small </w:t>
      </w:r>
      <w:r w:rsidR="003E3DEA" w:rsidRPr="00C03646">
        <w:rPr>
          <w:sz w:val="20"/>
          <w:szCs w:val="20"/>
          <w:lang w:bidi="en-US"/>
        </w:rPr>
        <w:lastRenderedPageBreak/>
        <w:t>businesses selected to receive vouchers in years one, two and three of the SBV pilot</w:t>
      </w:r>
      <w:r w:rsidR="00F57E77" w:rsidRPr="00C03646">
        <w:rPr>
          <w:sz w:val="20"/>
          <w:szCs w:val="20"/>
          <w:lang w:bidi="en-US"/>
        </w:rPr>
        <w:t xml:space="preserve"> (the information collection assumes there will be comparable levels of funding and participating SBV firms in 2017 and 2018)</w:t>
      </w:r>
      <w:r w:rsidR="003E3DEA" w:rsidRPr="00C03646">
        <w:rPr>
          <w:sz w:val="20"/>
          <w:szCs w:val="20"/>
          <w:lang w:bidi="en-US"/>
        </w:rPr>
        <w:t xml:space="preserve">.  </w:t>
      </w:r>
    </w:p>
    <w:p w14:paraId="460F99CB" w14:textId="77777777" w:rsidR="003E3DEA" w:rsidRPr="00C03646" w:rsidRDefault="003E3DEA" w:rsidP="0060549D">
      <w:pPr>
        <w:autoSpaceDE w:val="0"/>
        <w:autoSpaceDN w:val="0"/>
        <w:adjustRightInd w:val="0"/>
        <w:rPr>
          <w:sz w:val="20"/>
          <w:szCs w:val="20"/>
          <w:lang w:bidi="en-US"/>
        </w:rPr>
      </w:pPr>
    </w:p>
    <w:p w14:paraId="5C31C616" w14:textId="279C7921" w:rsidR="0060549D" w:rsidRPr="00C03646" w:rsidRDefault="0060549D" w:rsidP="0060549D">
      <w:pPr>
        <w:autoSpaceDE w:val="0"/>
        <w:autoSpaceDN w:val="0"/>
        <w:adjustRightInd w:val="0"/>
        <w:rPr>
          <w:sz w:val="20"/>
          <w:szCs w:val="20"/>
          <w:lang w:bidi="en-US"/>
        </w:rPr>
      </w:pPr>
      <w:r w:rsidRPr="00C03646">
        <w:rPr>
          <w:sz w:val="20"/>
          <w:szCs w:val="20"/>
          <w:lang w:bidi="en-US"/>
        </w:rPr>
        <w:t>To be a good match the comparison group CRADAs should be one year or less in duration and recently completed, with a contact p</w:t>
      </w:r>
      <w:r w:rsidR="00BF40C8" w:rsidRPr="00C03646">
        <w:rPr>
          <w:sz w:val="20"/>
          <w:szCs w:val="20"/>
          <w:lang w:bidi="en-US"/>
        </w:rPr>
        <w:t xml:space="preserve">erson who can be </w:t>
      </w:r>
      <w:r w:rsidRPr="00C03646">
        <w:rPr>
          <w:sz w:val="20"/>
          <w:szCs w:val="20"/>
          <w:lang w:bidi="en-US"/>
        </w:rPr>
        <w:t xml:space="preserve">surveyed. Existing CRADAs of longer duration that reach the one year mark during this first year of the voucher pilot could also be included. At this point it is not known how many CRADAs will fit this description at selected Laboratories, but recent technology transfer data shows that </w:t>
      </w:r>
      <w:r w:rsidR="00D74162" w:rsidRPr="00C03646">
        <w:rPr>
          <w:sz w:val="20"/>
          <w:szCs w:val="20"/>
          <w:lang w:bidi="en-US"/>
        </w:rPr>
        <w:t xml:space="preserve">across all of the </w:t>
      </w:r>
      <w:r w:rsidRPr="00C03646">
        <w:rPr>
          <w:sz w:val="20"/>
          <w:szCs w:val="20"/>
          <w:lang w:bidi="en-US"/>
        </w:rPr>
        <w:t>Laboratories</w:t>
      </w:r>
      <w:r w:rsidR="00D74162" w:rsidRPr="00C03646">
        <w:rPr>
          <w:sz w:val="20"/>
          <w:szCs w:val="20"/>
          <w:lang w:bidi="en-US"/>
        </w:rPr>
        <w:t xml:space="preserve"> there were 66 </w:t>
      </w:r>
      <w:r w:rsidRPr="00C03646">
        <w:rPr>
          <w:sz w:val="20"/>
          <w:szCs w:val="20"/>
          <w:lang w:bidi="en-US"/>
        </w:rPr>
        <w:t>CRADAs with small businesses</w:t>
      </w:r>
      <w:r w:rsidR="00D74162" w:rsidRPr="00C03646">
        <w:rPr>
          <w:sz w:val="20"/>
          <w:szCs w:val="20"/>
          <w:lang w:bidi="en-US"/>
        </w:rPr>
        <w:t xml:space="preserve"> in FY2014</w:t>
      </w:r>
      <w:r w:rsidRPr="00C03646">
        <w:rPr>
          <w:sz w:val="20"/>
          <w:szCs w:val="20"/>
          <w:lang w:bidi="en-US"/>
        </w:rPr>
        <w:t>, including Labs working in the EERE sector.</w:t>
      </w:r>
    </w:p>
    <w:p w14:paraId="7C891C4B" w14:textId="77777777" w:rsidR="00EB7B2C" w:rsidRPr="00C03646" w:rsidRDefault="00EB7B2C" w:rsidP="0060549D">
      <w:pPr>
        <w:autoSpaceDE w:val="0"/>
        <w:autoSpaceDN w:val="0"/>
        <w:adjustRightInd w:val="0"/>
        <w:rPr>
          <w:sz w:val="20"/>
          <w:szCs w:val="20"/>
          <w:lang w:bidi="en-US"/>
        </w:rPr>
      </w:pPr>
    </w:p>
    <w:p w14:paraId="330F7570" w14:textId="2F3C5D2A" w:rsidR="008E58F9" w:rsidRPr="00C03646" w:rsidRDefault="00EB7B2C" w:rsidP="00C91FFE">
      <w:pPr>
        <w:autoSpaceDE w:val="0"/>
        <w:autoSpaceDN w:val="0"/>
        <w:adjustRightInd w:val="0"/>
        <w:rPr>
          <w:sz w:val="20"/>
          <w:szCs w:val="20"/>
        </w:rPr>
      </w:pPr>
      <w:r w:rsidRPr="00C03646">
        <w:rPr>
          <w:sz w:val="20"/>
          <w:szCs w:val="20"/>
        </w:rPr>
        <w:t>There are no plans to generalize the data beyond th</w:t>
      </w:r>
      <w:r w:rsidR="00F66368" w:rsidRPr="00C03646">
        <w:rPr>
          <w:sz w:val="20"/>
          <w:szCs w:val="20"/>
        </w:rPr>
        <w:t>e scope of the samples studied. The data will inform the impact of the SBV Pilot and will not be generalized to the universe of small businesses</w:t>
      </w:r>
      <w:r w:rsidR="0044145F" w:rsidRPr="00C03646">
        <w:rPr>
          <w:sz w:val="20"/>
          <w:szCs w:val="20"/>
        </w:rPr>
        <w:t xml:space="preserve"> or small businesses</w:t>
      </w:r>
      <w:r w:rsidR="004235A7" w:rsidRPr="00C03646">
        <w:rPr>
          <w:sz w:val="20"/>
          <w:szCs w:val="20"/>
        </w:rPr>
        <w:t xml:space="preserve"> that have engaged in CRADAs with National Laboratories</w:t>
      </w:r>
      <w:r w:rsidR="00F66368" w:rsidRPr="00C03646">
        <w:rPr>
          <w:sz w:val="20"/>
          <w:szCs w:val="20"/>
        </w:rPr>
        <w:t xml:space="preserve">. </w:t>
      </w:r>
    </w:p>
    <w:p w14:paraId="73191DD4" w14:textId="77777777" w:rsidR="008E58F9" w:rsidRPr="00C03646" w:rsidRDefault="008E58F9" w:rsidP="00C91FFE">
      <w:pPr>
        <w:autoSpaceDE w:val="0"/>
        <w:autoSpaceDN w:val="0"/>
        <w:adjustRightInd w:val="0"/>
        <w:rPr>
          <w:sz w:val="20"/>
          <w:szCs w:val="20"/>
        </w:rPr>
      </w:pPr>
    </w:p>
    <w:tbl>
      <w:tblPr>
        <w:tblStyle w:val="TableGrid"/>
        <w:tblW w:w="0" w:type="auto"/>
        <w:tblLook w:val="04A0" w:firstRow="1" w:lastRow="0" w:firstColumn="1" w:lastColumn="0" w:noHBand="0" w:noVBand="1"/>
      </w:tblPr>
      <w:tblGrid>
        <w:gridCol w:w="3248"/>
        <w:gridCol w:w="2903"/>
        <w:gridCol w:w="3199"/>
      </w:tblGrid>
      <w:tr w:rsidR="008E58F9" w:rsidRPr="00C03646" w14:paraId="765284A6" w14:textId="77777777" w:rsidTr="008E58F9">
        <w:tc>
          <w:tcPr>
            <w:tcW w:w="3248" w:type="dxa"/>
          </w:tcPr>
          <w:p w14:paraId="259A4D8C" w14:textId="77777777" w:rsidR="008E58F9" w:rsidRPr="00C03646" w:rsidRDefault="008E58F9" w:rsidP="00C91FFE">
            <w:pPr>
              <w:autoSpaceDE w:val="0"/>
              <w:autoSpaceDN w:val="0"/>
              <w:adjustRightInd w:val="0"/>
              <w:rPr>
                <w:b/>
                <w:sz w:val="20"/>
                <w:szCs w:val="20"/>
              </w:rPr>
            </w:pPr>
            <w:r w:rsidRPr="00C03646">
              <w:rPr>
                <w:b/>
                <w:sz w:val="20"/>
                <w:szCs w:val="20"/>
              </w:rPr>
              <w:t>Population</w:t>
            </w:r>
          </w:p>
        </w:tc>
        <w:tc>
          <w:tcPr>
            <w:tcW w:w="2903" w:type="dxa"/>
          </w:tcPr>
          <w:p w14:paraId="2B9DAD55" w14:textId="77777777" w:rsidR="008E58F9" w:rsidRPr="00C03646" w:rsidRDefault="008E58F9" w:rsidP="00C91FFE">
            <w:pPr>
              <w:autoSpaceDE w:val="0"/>
              <w:autoSpaceDN w:val="0"/>
              <w:adjustRightInd w:val="0"/>
              <w:rPr>
                <w:b/>
                <w:sz w:val="20"/>
                <w:szCs w:val="20"/>
              </w:rPr>
            </w:pPr>
            <w:r w:rsidRPr="00C03646">
              <w:rPr>
                <w:b/>
                <w:sz w:val="20"/>
                <w:szCs w:val="20"/>
              </w:rPr>
              <w:t>Universe</w:t>
            </w:r>
          </w:p>
        </w:tc>
        <w:tc>
          <w:tcPr>
            <w:tcW w:w="3199" w:type="dxa"/>
          </w:tcPr>
          <w:p w14:paraId="5B0F5591" w14:textId="77777777" w:rsidR="008E58F9" w:rsidRPr="00C03646" w:rsidRDefault="008E58F9" w:rsidP="00C91FFE">
            <w:pPr>
              <w:autoSpaceDE w:val="0"/>
              <w:autoSpaceDN w:val="0"/>
              <w:adjustRightInd w:val="0"/>
              <w:rPr>
                <w:b/>
                <w:sz w:val="20"/>
                <w:szCs w:val="20"/>
              </w:rPr>
            </w:pPr>
            <w:r w:rsidRPr="00C03646">
              <w:rPr>
                <w:b/>
                <w:sz w:val="20"/>
                <w:szCs w:val="20"/>
              </w:rPr>
              <w:t>Sample</w:t>
            </w:r>
          </w:p>
        </w:tc>
      </w:tr>
      <w:tr w:rsidR="008E58F9" w:rsidRPr="00C03646" w14:paraId="74584BFF" w14:textId="77777777" w:rsidTr="008E58F9">
        <w:tc>
          <w:tcPr>
            <w:tcW w:w="3248" w:type="dxa"/>
          </w:tcPr>
          <w:p w14:paraId="56B7C080" w14:textId="751B8F46" w:rsidR="008E58F9" w:rsidRPr="00C03646" w:rsidRDefault="008E58F9" w:rsidP="003E3DEA">
            <w:pPr>
              <w:autoSpaceDE w:val="0"/>
              <w:autoSpaceDN w:val="0"/>
              <w:adjustRightInd w:val="0"/>
              <w:rPr>
                <w:b/>
                <w:sz w:val="20"/>
                <w:szCs w:val="20"/>
              </w:rPr>
            </w:pPr>
            <w:r w:rsidRPr="00C03646">
              <w:rPr>
                <w:b/>
                <w:sz w:val="20"/>
                <w:szCs w:val="20"/>
              </w:rPr>
              <w:t>SBV Participants</w:t>
            </w:r>
            <w:r w:rsidR="003E3DEA" w:rsidRPr="00C03646">
              <w:rPr>
                <w:b/>
                <w:sz w:val="20"/>
                <w:szCs w:val="20"/>
              </w:rPr>
              <w:t>, Pilot Year Two</w:t>
            </w:r>
          </w:p>
        </w:tc>
        <w:tc>
          <w:tcPr>
            <w:tcW w:w="2903" w:type="dxa"/>
          </w:tcPr>
          <w:p w14:paraId="6260D36D" w14:textId="38DFA687" w:rsidR="008E58F9" w:rsidRPr="00C03646" w:rsidRDefault="003E3DEA" w:rsidP="00C91FFE">
            <w:pPr>
              <w:autoSpaceDE w:val="0"/>
              <w:autoSpaceDN w:val="0"/>
              <w:adjustRightInd w:val="0"/>
              <w:rPr>
                <w:sz w:val="20"/>
                <w:szCs w:val="20"/>
              </w:rPr>
            </w:pPr>
            <w:r w:rsidRPr="00C03646">
              <w:rPr>
                <w:sz w:val="20"/>
                <w:szCs w:val="20"/>
              </w:rPr>
              <w:t>100</w:t>
            </w:r>
          </w:p>
        </w:tc>
        <w:tc>
          <w:tcPr>
            <w:tcW w:w="3199" w:type="dxa"/>
          </w:tcPr>
          <w:p w14:paraId="379BF023" w14:textId="77777777" w:rsidR="008E58F9" w:rsidRPr="00C03646" w:rsidRDefault="008E58F9" w:rsidP="00C91FFE">
            <w:pPr>
              <w:autoSpaceDE w:val="0"/>
              <w:autoSpaceDN w:val="0"/>
              <w:adjustRightInd w:val="0"/>
              <w:rPr>
                <w:sz w:val="20"/>
                <w:szCs w:val="20"/>
              </w:rPr>
            </w:pPr>
            <w:r w:rsidRPr="00C03646">
              <w:rPr>
                <w:sz w:val="20"/>
                <w:szCs w:val="20"/>
              </w:rPr>
              <w:t>Up to 70</w:t>
            </w:r>
          </w:p>
        </w:tc>
      </w:tr>
      <w:tr w:rsidR="008E58F9" w:rsidRPr="00C03646" w14:paraId="7B423F78" w14:textId="77777777" w:rsidTr="008E58F9">
        <w:tc>
          <w:tcPr>
            <w:tcW w:w="3248" w:type="dxa"/>
          </w:tcPr>
          <w:p w14:paraId="7A687B4E" w14:textId="270D143F" w:rsidR="008E58F9" w:rsidRPr="00C03646" w:rsidRDefault="008E58F9" w:rsidP="003E3DEA">
            <w:pPr>
              <w:autoSpaceDE w:val="0"/>
              <w:autoSpaceDN w:val="0"/>
              <w:adjustRightInd w:val="0"/>
              <w:rPr>
                <w:b/>
                <w:sz w:val="20"/>
                <w:szCs w:val="20"/>
              </w:rPr>
            </w:pPr>
            <w:r w:rsidRPr="00C03646">
              <w:rPr>
                <w:b/>
                <w:sz w:val="20"/>
                <w:szCs w:val="20"/>
              </w:rPr>
              <w:t>SBV Non-Participants</w:t>
            </w:r>
            <w:r w:rsidR="003E3DEA" w:rsidRPr="00C03646">
              <w:rPr>
                <w:b/>
                <w:sz w:val="20"/>
                <w:szCs w:val="20"/>
              </w:rPr>
              <w:t>, Pilot Year Two</w:t>
            </w:r>
          </w:p>
        </w:tc>
        <w:tc>
          <w:tcPr>
            <w:tcW w:w="2903" w:type="dxa"/>
          </w:tcPr>
          <w:p w14:paraId="154F6157" w14:textId="7E8047B3" w:rsidR="008E58F9" w:rsidRPr="00C03646" w:rsidRDefault="003E3DEA" w:rsidP="00C91FFE">
            <w:pPr>
              <w:autoSpaceDE w:val="0"/>
              <w:autoSpaceDN w:val="0"/>
              <w:adjustRightInd w:val="0"/>
              <w:rPr>
                <w:sz w:val="20"/>
                <w:szCs w:val="20"/>
              </w:rPr>
            </w:pPr>
            <w:r w:rsidRPr="00C03646">
              <w:rPr>
                <w:sz w:val="20"/>
                <w:szCs w:val="20"/>
              </w:rPr>
              <w:t>1,300</w:t>
            </w:r>
          </w:p>
        </w:tc>
        <w:tc>
          <w:tcPr>
            <w:tcW w:w="3199" w:type="dxa"/>
          </w:tcPr>
          <w:p w14:paraId="2155FFC7" w14:textId="77777777" w:rsidR="008E58F9" w:rsidRPr="00C03646" w:rsidRDefault="008E58F9" w:rsidP="00C91FFE">
            <w:pPr>
              <w:autoSpaceDE w:val="0"/>
              <w:autoSpaceDN w:val="0"/>
              <w:adjustRightInd w:val="0"/>
              <w:rPr>
                <w:sz w:val="20"/>
                <w:szCs w:val="20"/>
              </w:rPr>
            </w:pPr>
            <w:r w:rsidRPr="00C03646">
              <w:rPr>
                <w:sz w:val="20"/>
                <w:szCs w:val="20"/>
              </w:rPr>
              <w:t>Up to 70</w:t>
            </w:r>
          </w:p>
        </w:tc>
      </w:tr>
      <w:tr w:rsidR="003E3DEA" w:rsidRPr="00C03646" w14:paraId="4B82C7F4" w14:textId="77777777" w:rsidTr="008E58F9">
        <w:tc>
          <w:tcPr>
            <w:tcW w:w="3248" w:type="dxa"/>
          </w:tcPr>
          <w:p w14:paraId="6946A58D" w14:textId="0DAD4655" w:rsidR="003E3DEA" w:rsidRPr="00C03646" w:rsidRDefault="003E3DEA" w:rsidP="00D661E2">
            <w:pPr>
              <w:autoSpaceDE w:val="0"/>
              <w:autoSpaceDN w:val="0"/>
              <w:adjustRightInd w:val="0"/>
              <w:rPr>
                <w:b/>
                <w:sz w:val="20"/>
                <w:szCs w:val="20"/>
              </w:rPr>
            </w:pPr>
            <w:r w:rsidRPr="00C03646">
              <w:rPr>
                <w:b/>
                <w:sz w:val="20"/>
                <w:szCs w:val="20"/>
              </w:rPr>
              <w:t xml:space="preserve">SBV Participants, Pilot Year Three </w:t>
            </w:r>
          </w:p>
        </w:tc>
        <w:tc>
          <w:tcPr>
            <w:tcW w:w="2903" w:type="dxa"/>
          </w:tcPr>
          <w:p w14:paraId="564A0B3B" w14:textId="1F880DDB" w:rsidR="003E3DEA" w:rsidRPr="00C03646" w:rsidDel="003E3DEA" w:rsidRDefault="00D661E2" w:rsidP="003E3DEA">
            <w:pPr>
              <w:autoSpaceDE w:val="0"/>
              <w:autoSpaceDN w:val="0"/>
              <w:adjustRightInd w:val="0"/>
              <w:rPr>
                <w:sz w:val="20"/>
                <w:szCs w:val="20"/>
              </w:rPr>
            </w:pPr>
            <w:r w:rsidRPr="00C03646">
              <w:rPr>
                <w:sz w:val="20"/>
                <w:szCs w:val="20"/>
              </w:rPr>
              <w:t>200</w:t>
            </w:r>
          </w:p>
        </w:tc>
        <w:tc>
          <w:tcPr>
            <w:tcW w:w="3199" w:type="dxa"/>
          </w:tcPr>
          <w:p w14:paraId="719DBDAF" w14:textId="6DB7BCD4" w:rsidR="003E3DEA" w:rsidRPr="00C03646" w:rsidRDefault="00D661E2" w:rsidP="003E3DEA">
            <w:pPr>
              <w:autoSpaceDE w:val="0"/>
              <w:autoSpaceDN w:val="0"/>
              <w:adjustRightInd w:val="0"/>
              <w:rPr>
                <w:sz w:val="20"/>
                <w:szCs w:val="20"/>
              </w:rPr>
            </w:pPr>
            <w:r w:rsidRPr="00C03646">
              <w:rPr>
                <w:sz w:val="20"/>
                <w:szCs w:val="20"/>
              </w:rPr>
              <w:t>Up to 2</w:t>
            </w:r>
            <w:r w:rsidR="003E3DEA" w:rsidRPr="00C03646">
              <w:rPr>
                <w:sz w:val="20"/>
                <w:szCs w:val="20"/>
              </w:rPr>
              <w:t>00</w:t>
            </w:r>
          </w:p>
        </w:tc>
      </w:tr>
      <w:tr w:rsidR="00D661E2" w:rsidRPr="00C03646" w14:paraId="39004376" w14:textId="77777777" w:rsidTr="008E58F9">
        <w:tc>
          <w:tcPr>
            <w:tcW w:w="3248" w:type="dxa"/>
          </w:tcPr>
          <w:p w14:paraId="785E3F80" w14:textId="0E00544C" w:rsidR="00D661E2" w:rsidRPr="00C03646" w:rsidRDefault="00D661E2" w:rsidP="00D661E2">
            <w:pPr>
              <w:autoSpaceDE w:val="0"/>
              <w:autoSpaceDN w:val="0"/>
              <w:adjustRightInd w:val="0"/>
              <w:rPr>
                <w:b/>
                <w:sz w:val="20"/>
                <w:szCs w:val="20"/>
              </w:rPr>
            </w:pPr>
            <w:r w:rsidRPr="00C03646">
              <w:rPr>
                <w:b/>
                <w:sz w:val="20"/>
                <w:szCs w:val="20"/>
              </w:rPr>
              <w:t>SBV Participants, Pilot Year Three and Four</w:t>
            </w:r>
          </w:p>
        </w:tc>
        <w:tc>
          <w:tcPr>
            <w:tcW w:w="2903" w:type="dxa"/>
          </w:tcPr>
          <w:p w14:paraId="52B70530" w14:textId="70BF52CC" w:rsidR="00D661E2" w:rsidRPr="00C03646" w:rsidRDefault="00D661E2" w:rsidP="00D661E2">
            <w:pPr>
              <w:autoSpaceDE w:val="0"/>
              <w:autoSpaceDN w:val="0"/>
              <w:adjustRightInd w:val="0"/>
              <w:rPr>
                <w:sz w:val="20"/>
                <w:szCs w:val="20"/>
              </w:rPr>
            </w:pPr>
            <w:r w:rsidRPr="00C03646">
              <w:rPr>
                <w:sz w:val="20"/>
                <w:szCs w:val="20"/>
              </w:rPr>
              <w:t>300</w:t>
            </w:r>
          </w:p>
        </w:tc>
        <w:tc>
          <w:tcPr>
            <w:tcW w:w="3199" w:type="dxa"/>
          </w:tcPr>
          <w:p w14:paraId="524EEDA9" w14:textId="62801BA8" w:rsidR="00D661E2" w:rsidRPr="00C03646" w:rsidRDefault="00D661E2" w:rsidP="00D661E2">
            <w:pPr>
              <w:autoSpaceDE w:val="0"/>
              <w:autoSpaceDN w:val="0"/>
              <w:adjustRightInd w:val="0"/>
              <w:rPr>
                <w:sz w:val="20"/>
                <w:szCs w:val="20"/>
              </w:rPr>
            </w:pPr>
            <w:r w:rsidRPr="00C03646">
              <w:rPr>
                <w:sz w:val="20"/>
                <w:szCs w:val="20"/>
              </w:rPr>
              <w:t>Up to 300</w:t>
            </w:r>
          </w:p>
        </w:tc>
      </w:tr>
      <w:tr w:rsidR="00D661E2" w:rsidRPr="00C03646" w14:paraId="35511E6A" w14:textId="77777777" w:rsidTr="008E58F9">
        <w:tc>
          <w:tcPr>
            <w:tcW w:w="3248" w:type="dxa"/>
          </w:tcPr>
          <w:p w14:paraId="122CA645" w14:textId="7B5C819B" w:rsidR="00D661E2" w:rsidRPr="00C03646" w:rsidRDefault="00D661E2" w:rsidP="00D661E2">
            <w:pPr>
              <w:autoSpaceDE w:val="0"/>
              <w:autoSpaceDN w:val="0"/>
              <w:adjustRightInd w:val="0"/>
              <w:rPr>
                <w:b/>
                <w:sz w:val="20"/>
                <w:szCs w:val="20"/>
              </w:rPr>
            </w:pPr>
            <w:r w:rsidRPr="00C03646">
              <w:rPr>
                <w:b/>
                <w:sz w:val="20"/>
                <w:szCs w:val="20"/>
              </w:rPr>
              <w:t>SBV Participants, Pilot Year Five</w:t>
            </w:r>
          </w:p>
        </w:tc>
        <w:tc>
          <w:tcPr>
            <w:tcW w:w="2903" w:type="dxa"/>
          </w:tcPr>
          <w:p w14:paraId="55F35219" w14:textId="6477D102" w:rsidR="00D661E2" w:rsidRPr="00C03646" w:rsidDel="003E3DEA" w:rsidRDefault="00D661E2" w:rsidP="00D661E2">
            <w:pPr>
              <w:autoSpaceDE w:val="0"/>
              <w:autoSpaceDN w:val="0"/>
              <w:adjustRightInd w:val="0"/>
              <w:rPr>
                <w:sz w:val="20"/>
                <w:szCs w:val="20"/>
              </w:rPr>
            </w:pPr>
            <w:r w:rsidRPr="00C03646">
              <w:rPr>
                <w:sz w:val="20"/>
                <w:szCs w:val="20"/>
              </w:rPr>
              <w:t>300</w:t>
            </w:r>
          </w:p>
        </w:tc>
        <w:tc>
          <w:tcPr>
            <w:tcW w:w="3199" w:type="dxa"/>
          </w:tcPr>
          <w:p w14:paraId="72A1694A" w14:textId="639A1A4F" w:rsidR="00D661E2" w:rsidRPr="00C03646" w:rsidRDefault="00D661E2" w:rsidP="00D661E2">
            <w:pPr>
              <w:autoSpaceDE w:val="0"/>
              <w:autoSpaceDN w:val="0"/>
              <w:adjustRightInd w:val="0"/>
              <w:rPr>
                <w:sz w:val="20"/>
                <w:szCs w:val="20"/>
              </w:rPr>
            </w:pPr>
            <w:r w:rsidRPr="00C03646">
              <w:rPr>
                <w:sz w:val="20"/>
                <w:szCs w:val="20"/>
              </w:rPr>
              <w:t>Up to 300</w:t>
            </w:r>
          </w:p>
        </w:tc>
      </w:tr>
      <w:tr w:rsidR="00D661E2" w:rsidRPr="0060549D" w14:paraId="3AFA27D1" w14:textId="77777777" w:rsidTr="008E58F9">
        <w:tc>
          <w:tcPr>
            <w:tcW w:w="3248" w:type="dxa"/>
          </w:tcPr>
          <w:p w14:paraId="371260BD" w14:textId="53025D19" w:rsidR="00D661E2" w:rsidRPr="00C03646" w:rsidRDefault="00D661E2" w:rsidP="00D661E2">
            <w:pPr>
              <w:autoSpaceDE w:val="0"/>
              <w:autoSpaceDN w:val="0"/>
              <w:adjustRightInd w:val="0"/>
              <w:rPr>
                <w:b/>
                <w:sz w:val="20"/>
                <w:szCs w:val="20"/>
              </w:rPr>
            </w:pPr>
            <w:r w:rsidRPr="00C03646">
              <w:rPr>
                <w:b/>
                <w:sz w:val="20"/>
                <w:szCs w:val="20"/>
              </w:rPr>
              <w:t>SBV Non-Participants, Pilot Year Five</w:t>
            </w:r>
          </w:p>
        </w:tc>
        <w:tc>
          <w:tcPr>
            <w:tcW w:w="2903" w:type="dxa"/>
          </w:tcPr>
          <w:p w14:paraId="571615CA" w14:textId="1AE27194" w:rsidR="00D661E2" w:rsidRPr="00C03646" w:rsidDel="003E3DEA" w:rsidRDefault="00D661E2" w:rsidP="00D661E2">
            <w:pPr>
              <w:autoSpaceDE w:val="0"/>
              <w:autoSpaceDN w:val="0"/>
              <w:adjustRightInd w:val="0"/>
              <w:rPr>
                <w:sz w:val="20"/>
                <w:szCs w:val="20"/>
              </w:rPr>
            </w:pPr>
            <w:r w:rsidRPr="00C03646">
              <w:rPr>
                <w:sz w:val="20"/>
                <w:szCs w:val="20"/>
              </w:rPr>
              <w:t>1,300</w:t>
            </w:r>
          </w:p>
        </w:tc>
        <w:tc>
          <w:tcPr>
            <w:tcW w:w="3199" w:type="dxa"/>
          </w:tcPr>
          <w:p w14:paraId="054ECC24" w14:textId="7E373395" w:rsidR="00D661E2" w:rsidRPr="0060549D" w:rsidRDefault="00D661E2" w:rsidP="00D661E2">
            <w:pPr>
              <w:autoSpaceDE w:val="0"/>
              <w:autoSpaceDN w:val="0"/>
              <w:adjustRightInd w:val="0"/>
              <w:rPr>
                <w:sz w:val="20"/>
                <w:szCs w:val="20"/>
              </w:rPr>
            </w:pPr>
            <w:r w:rsidRPr="00C03646">
              <w:rPr>
                <w:sz w:val="20"/>
                <w:szCs w:val="20"/>
              </w:rPr>
              <w:t>Up to 100</w:t>
            </w:r>
          </w:p>
        </w:tc>
      </w:tr>
    </w:tbl>
    <w:p w14:paraId="3789D80E" w14:textId="77777777" w:rsidR="008E58F9" w:rsidRPr="0060549D" w:rsidRDefault="008E58F9" w:rsidP="00C91FFE">
      <w:pPr>
        <w:autoSpaceDE w:val="0"/>
        <w:autoSpaceDN w:val="0"/>
        <w:adjustRightInd w:val="0"/>
        <w:rPr>
          <w:sz w:val="20"/>
          <w:szCs w:val="20"/>
        </w:rPr>
      </w:pPr>
    </w:p>
    <w:p w14:paraId="3E32557F" w14:textId="77777777" w:rsidR="008E58F9" w:rsidRPr="0060549D" w:rsidRDefault="008E58F9" w:rsidP="00C91FFE">
      <w:pPr>
        <w:autoSpaceDE w:val="0"/>
        <w:autoSpaceDN w:val="0"/>
        <w:adjustRightInd w:val="0"/>
        <w:rPr>
          <w:sz w:val="20"/>
          <w:szCs w:val="20"/>
        </w:rPr>
      </w:pPr>
    </w:p>
    <w:p w14:paraId="2C06BCC2" w14:textId="77777777" w:rsidR="00BD56A1" w:rsidRPr="0060549D" w:rsidRDefault="00BD56A1" w:rsidP="00BD56A1">
      <w:pPr>
        <w:autoSpaceDE w:val="0"/>
        <w:autoSpaceDN w:val="0"/>
        <w:adjustRightInd w:val="0"/>
        <w:rPr>
          <w:sz w:val="20"/>
          <w:szCs w:val="20"/>
        </w:rPr>
      </w:pPr>
    </w:p>
    <w:p w14:paraId="19842D3B" w14:textId="631010B1" w:rsidR="00BD56A1" w:rsidRPr="00D56FCD" w:rsidRDefault="00BD56A1" w:rsidP="00D56FCD">
      <w:pPr>
        <w:pStyle w:val="ListParagraph"/>
        <w:numPr>
          <w:ilvl w:val="0"/>
          <w:numId w:val="2"/>
        </w:numPr>
        <w:autoSpaceDE w:val="0"/>
        <w:autoSpaceDN w:val="0"/>
        <w:adjustRightInd w:val="0"/>
        <w:rPr>
          <w:b/>
          <w:sz w:val="20"/>
          <w:szCs w:val="20"/>
        </w:rPr>
      </w:pPr>
      <w:r w:rsidRPr="00D56FCD">
        <w:rPr>
          <w:b/>
          <w:sz w:val="20"/>
          <w:szCs w:val="20"/>
        </w:rPr>
        <w:t xml:space="preserve">Describe the procedures for the collection of information including: </w:t>
      </w:r>
    </w:p>
    <w:p w14:paraId="7EC7E03C" w14:textId="77777777" w:rsidR="00BD56A1" w:rsidRPr="0060549D" w:rsidRDefault="00BD56A1" w:rsidP="00BD56A1">
      <w:pPr>
        <w:numPr>
          <w:ilvl w:val="0"/>
          <w:numId w:val="1"/>
        </w:numPr>
        <w:autoSpaceDE w:val="0"/>
        <w:autoSpaceDN w:val="0"/>
        <w:adjustRightInd w:val="0"/>
        <w:rPr>
          <w:sz w:val="20"/>
          <w:szCs w:val="20"/>
        </w:rPr>
      </w:pPr>
      <w:r w:rsidRPr="0060549D">
        <w:rPr>
          <w:sz w:val="20"/>
          <w:szCs w:val="20"/>
        </w:rPr>
        <w:t xml:space="preserve">Statistical methodology for stratification and sample selection, </w:t>
      </w:r>
    </w:p>
    <w:p w14:paraId="54F259A7" w14:textId="77777777" w:rsidR="00BD56A1" w:rsidRPr="0060549D" w:rsidRDefault="00BD56A1" w:rsidP="00BD56A1">
      <w:pPr>
        <w:numPr>
          <w:ilvl w:val="0"/>
          <w:numId w:val="1"/>
        </w:numPr>
        <w:autoSpaceDE w:val="0"/>
        <w:autoSpaceDN w:val="0"/>
        <w:adjustRightInd w:val="0"/>
        <w:rPr>
          <w:sz w:val="20"/>
          <w:szCs w:val="20"/>
        </w:rPr>
      </w:pPr>
      <w:r w:rsidRPr="0060549D">
        <w:rPr>
          <w:sz w:val="20"/>
          <w:szCs w:val="20"/>
        </w:rPr>
        <w:t xml:space="preserve">Estimation procedure, </w:t>
      </w:r>
    </w:p>
    <w:p w14:paraId="70663F3F" w14:textId="77777777" w:rsidR="00BD56A1" w:rsidRPr="0060549D" w:rsidRDefault="00BD56A1" w:rsidP="00BD56A1">
      <w:pPr>
        <w:numPr>
          <w:ilvl w:val="0"/>
          <w:numId w:val="1"/>
        </w:numPr>
        <w:autoSpaceDE w:val="0"/>
        <w:autoSpaceDN w:val="0"/>
        <w:adjustRightInd w:val="0"/>
        <w:rPr>
          <w:sz w:val="20"/>
          <w:szCs w:val="20"/>
        </w:rPr>
      </w:pPr>
      <w:r w:rsidRPr="0060549D">
        <w:rPr>
          <w:sz w:val="20"/>
          <w:szCs w:val="20"/>
        </w:rPr>
        <w:t xml:space="preserve">Degree of accuracy needed for the purpose described in the justification, </w:t>
      </w:r>
    </w:p>
    <w:p w14:paraId="1D953D17" w14:textId="77777777" w:rsidR="00BD56A1" w:rsidRPr="0060549D" w:rsidRDefault="00BD56A1" w:rsidP="00BD56A1">
      <w:pPr>
        <w:numPr>
          <w:ilvl w:val="0"/>
          <w:numId w:val="1"/>
        </w:numPr>
        <w:autoSpaceDE w:val="0"/>
        <w:autoSpaceDN w:val="0"/>
        <w:adjustRightInd w:val="0"/>
        <w:rPr>
          <w:sz w:val="20"/>
          <w:szCs w:val="20"/>
        </w:rPr>
      </w:pPr>
      <w:r w:rsidRPr="0060549D">
        <w:rPr>
          <w:sz w:val="20"/>
          <w:szCs w:val="20"/>
        </w:rPr>
        <w:t xml:space="preserve">Unusual problems requiring specialized sampling procedures, and </w:t>
      </w:r>
    </w:p>
    <w:p w14:paraId="01554FBC" w14:textId="77777777" w:rsidR="00BD56A1" w:rsidRDefault="00BD56A1" w:rsidP="00BD56A1">
      <w:pPr>
        <w:numPr>
          <w:ilvl w:val="0"/>
          <w:numId w:val="1"/>
        </w:numPr>
        <w:autoSpaceDE w:val="0"/>
        <w:autoSpaceDN w:val="0"/>
        <w:adjustRightInd w:val="0"/>
        <w:rPr>
          <w:sz w:val="20"/>
          <w:szCs w:val="20"/>
        </w:rPr>
      </w:pPr>
      <w:r w:rsidRPr="0060549D">
        <w:rPr>
          <w:sz w:val="20"/>
          <w:szCs w:val="20"/>
        </w:rPr>
        <w:t>Any use of periodic (less frequent than annual) data collection cycles to reduce burden.</w:t>
      </w:r>
    </w:p>
    <w:p w14:paraId="40E09180" w14:textId="77777777" w:rsidR="002D4F8B" w:rsidRDefault="002D4F8B" w:rsidP="002D4F8B">
      <w:pPr>
        <w:autoSpaceDE w:val="0"/>
        <w:autoSpaceDN w:val="0"/>
        <w:adjustRightInd w:val="0"/>
        <w:rPr>
          <w:sz w:val="20"/>
          <w:szCs w:val="20"/>
        </w:rPr>
      </w:pPr>
    </w:p>
    <w:p w14:paraId="023AA9CE" w14:textId="462966E3" w:rsidR="00A67A36" w:rsidRDefault="004235A7" w:rsidP="002D4F8B">
      <w:pPr>
        <w:autoSpaceDE w:val="0"/>
        <w:autoSpaceDN w:val="0"/>
        <w:adjustRightInd w:val="0"/>
        <w:rPr>
          <w:sz w:val="20"/>
          <w:szCs w:val="20"/>
        </w:rPr>
      </w:pPr>
      <w:r>
        <w:rPr>
          <w:sz w:val="20"/>
          <w:szCs w:val="20"/>
        </w:rPr>
        <w:t>Once candidate</w:t>
      </w:r>
      <w:r w:rsidR="00A67A36">
        <w:rPr>
          <w:sz w:val="20"/>
          <w:szCs w:val="20"/>
        </w:rPr>
        <w:t xml:space="preserve"> res</w:t>
      </w:r>
      <w:r>
        <w:rPr>
          <w:sz w:val="20"/>
          <w:szCs w:val="20"/>
        </w:rPr>
        <w:t xml:space="preserve">pondents have been identified, </w:t>
      </w:r>
      <w:r w:rsidR="00A67A36">
        <w:rPr>
          <w:sz w:val="20"/>
          <w:szCs w:val="20"/>
        </w:rPr>
        <w:t xml:space="preserve">DOE will issue a solicitation email to the selected small businesses (participating and nonparticipating). The email will explain the importance of their participation, assure confidentiality, and explain the steps to access the web-survey. The information will be collected via a secure web-survey administered by the participating National Laboratories. </w:t>
      </w:r>
    </w:p>
    <w:p w14:paraId="5608DD43" w14:textId="77777777" w:rsidR="005261CC" w:rsidRDefault="005261CC" w:rsidP="002D4F8B">
      <w:pPr>
        <w:autoSpaceDE w:val="0"/>
        <w:autoSpaceDN w:val="0"/>
        <w:adjustRightInd w:val="0"/>
        <w:rPr>
          <w:sz w:val="20"/>
          <w:szCs w:val="20"/>
        </w:rPr>
      </w:pPr>
    </w:p>
    <w:p w14:paraId="1F90FBA9" w14:textId="6EDCDFE0" w:rsidR="002D4F8B" w:rsidRDefault="00D56FCD" w:rsidP="002D4F8B">
      <w:pPr>
        <w:autoSpaceDE w:val="0"/>
        <w:autoSpaceDN w:val="0"/>
        <w:adjustRightInd w:val="0"/>
        <w:rPr>
          <w:sz w:val="20"/>
          <w:szCs w:val="20"/>
        </w:rPr>
      </w:pPr>
      <w:r>
        <w:rPr>
          <w:sz w:val="20"/>
          <w:szCs w:val="20"/>
        </w:rPr>
        <w:t>In order to make valid</w:t>
      </w:r>
      <w:r w:rsidR="005261CC">
        <w:rPr>
          <w:sz w:val="20"/>
          <w:szCs w:val="20"/>
        </w:rPr>
        <w:t xml:space="preserve"> conclusions about the impact of the SBV Pilot, the comparison group must be carefully selec</w:t>
      </w:r>
      <w:r>
        <w:rPr>
          <w:sz w:val="20"/>
          <w:szCs w:val="20"/>
        </w:rPr>
        <w:t>ted so that the measured impacts</w:t>
      </w:r>
      <w:r w:rsidR="005261CC">
        <w:rPr>
          <w:sz w:val="20"/>
          <w:szCs w:val="20"/>
        </w:rPr>
        <w:t xml:space="preserve"> can be justifiably attributed to the Pilot activities. Hence, it is import</w:t>
      </w:r>
      <w:r w:rsidR="00BF40C8">
        <w:rPr>
          <w:sz w:val="20"/>
          <w:szCs w:val="20"/>
        </w:rPr>
        <w:t>ant</w:t>
      </w:r>
      <w:r w:rsidR="005261CC">
        <w:rPr>
          <w:sz w:val="20"/>
          <w:szCs w:val="20"/>
        </w:rPr>
        <w:t xml:space="preserve"> when selecting the small businesses for the com</w:t>
      </w:r>
      <w:r w:rsidR="00BF40C8">
        <w:rPr>
          <w:sz w:val="20"/>
          <w:szCs w:val="20"/>
        </w:rPr>
        <w:t xml:space="preserve">parison group, that we have accurate information pertaining to the characteristics outlined in the answer to Question 1 above. </w:t>
      </w:r>
    </w:p>
    <w:p w14:paraId="35E7B8B8" w14:textId="77777777" w:rsidR="008241ED" w:rsidRDefault="008241ED" w:rsidP="002D4F8B">
      <w:pPr>
        <w:autoSpaceDE w:val="0"/>
        <w:autoSpaceDN w:val="0"/>
        <w:adjustRightInd w:val="0"/>
        <w:rPr>
          <w:sz w:val="20"/>
          <w:szCs w:val="20"/>
        </w:rPr>
      </w:pPr>
    </w:p>
    <w:p w14:paraId="15A64596" w14:textId="63947D13" w:rsidR="008241ED" w:rsidRPr="0060549D" w:rsidRDefault="006B11E7" w:rsidP="002D4F8B">
      <w:pPr>
        <w:autoSpaceDE w:val="0"/>
        <w:autoSpaceDN w:val="0"/>
        <w:adjustRightInd w:val="0"/>
        <w:rPr>
          <w:sz w:val="20"/>
          <w:szCs w:val="20"/>
        </w:rPr>
      </w:pPr>
      <w:r>
        <w:rPr>
          <w:sz w:val="20"/>
          <w:szCs w:val="20"/>
        </w:rPr>
        <w:t>This is a</w:t>
      </w:r>
      <w:r w:rsidR="00D37579">
        <w:rPr>
          <w:sz w:val="20"/>
          <w:szCs w:val="20"/>
        </w:rPr>
        <w:t>n annual infor</w:t>
      </w:r>
      <w:r>
        <w:rPr>
          <w:sz w:val="20"/>
          <w:szCs w:val="20"/>
        </w:rPr>
        <w:t>mation</w:t>
      </w:r>
      <w:r w:rsidR="008241ED">
        <w:rPr>
          <w:sz w:val="20"/>
          <w:szCs w:val="20"/>
        </w:rPr>
        <w:t xml:space="preserve"> collection</w:t>
      </w:r>
      <w:r>
        <w:rPr>
          <w:sz w:val="20"/>
          <w:szCs w:val="20"/>
        </w:rPr>
        <w:t xml:space="preserve"> activity</w:t>
      </w:r>
      <w:r w:rsidR="008241ED">
        <w:rPr>
          <w:sz w:val="20"/>
          <w:szCs w:val="20"/>
        </w:rPr>
        <w:t xml:space="preserve"> designed to </w:t>
      </w:r>
      <w:r w:rsidR="0044145F">
        <w:rPr>
          <w:sz w:val="20"/>
          <w:szCs w:val="20"/>
        </w:rPr>
        <w:t xml:space="preserve">maintain contact with participating SBV firms and to </w:t>
      </w:r>
      <w:r w:rsidR="00D37579" w:rsidRPr="00D37579">
        <w:rPr>
          <w:sz w:val="20"/>
          <w:szCs w:val="20"/>
        </w:rPr>
        <w:t xml:space="preserve">evaluate the effectiveness and impacts </w:t>
      </w:r>
      <w:r w:rsidR="008241ED">
        <w:rPr>
          <w:sz w:val="20"/>
          <w:szCs w:val="20"/>
        </w:rPr>
        <w:t>of the SBV Pilot</w:t>
      </w:r>
      <w:r w:rsidR="00D37579">
        <w:rPr>
          <w:sz w:val="20"/>
          <w:szCs w:val="20"/>
        </w:rPr>
        <w:t xml:space="preserve"> and </w:t>
      </w:r>
      <w:r w:rsidR="00D37579" w:rsidRPr="00D37579">
        <w:rPr>
          <w:sz w:val="20"/>
          <w:szCs w:val="20"/>
        </w:rPr>
        <w:t>to capture lessons learned</w:t>
      </w:r>
      <w:r w:rsidR="00D37579">
        <w:rPr>
          <w:sz w:val="20"/>
          <w:szCs w:val="20"/>
        </w:rPr>
        <w:t xml:space="preserve"> from the pilot</w:t>
      </w:r>
      <w:r w:rsidR="008241ED">
        <w:rPr>
          <w:sz w:val="20"/>
          <w:szCs w:val="20"/>
        </w:rPr>
        <w:t xml:space="preserve">. It is not possible to reduce the frequency of data collection. </w:t>
      </w:r>
    </w:p>
    <w:p w14:paraId="1813423D" w14:textId="77777777" w:rsidR="00BD56A1" w:rsidRPr="0060549D" w:rsidRDefault="00BD56A1" w:rsidP="00BD56A1">
      <w:pPr>
        <w:autoSpaceDE w:val="0"/>
        <w:autoSpaceDN w:val="0"/>
        <w:adjustRightInd w:val="0"/>
        <w:rPr>
          <w:sz w:val="20"/>
          <w:szCs w:val="20"/>
        </w:rPr>
      </w:pPr>
    </w:p>
    <w:p w14:paraId="0679649C" w14:textId="77777777" w:rsidR="00611D49" w:rsidRDefault="00BD56A1" w:rsidP="00D56FCD">
      <w:pPr>
        <w:pStyle w:val="ListParagraph"/>
        <w:numPr>
          <w:ilvl w:val="0"/>
          <w:numId w:val="2"/>
        </w:numPr>
        <w:autoSpaceDE w:val="0"/>
        <w:autoSpaceDN w:val="0"/>
        <w:adjustRightInd w:val="0"/>
        <w:rPr>
          <w:b/>
          <w:sz w:val="20"/>
          <w:szCs w:val="20"/>
        </w:rPr>
      </w:pPr>
      <w:r w:rsidRPr="00D56FCD">
        <w:rPr>
          <w:b/>
          <w:sz w:val="20"/>
          <w:szCs w:val="20"/>
        </w:rPr>
        <w:t xml:space="preserve">Describe methods to maximize response rates and to deal with issues of non-response. </w:t>
      </w:r>
    </w:p>
    <w:p w14:paraId="35E0DF59" w14:textId="7A156D8A" w:rsidR="00BD56A1" w:rsidRPr="00C03646" w:rsidRDefault="00BD56A1" w:rsidP="00C03646">
      <w:pPr>
        <w:pStyle w:val="ListParagraph"/>
        <w:autoSpaceDE w:val="0"/>
        <w:autoSpaceDN w:val="0"/>
        <w:adjustRightInd w:val="0"/>
        <w:rPr>
          <w:i/>
          <w:sz w:val="20"/>
          <w:szCs w:val="20"/>
        </w:rPr>
      </w:pPr>
      <w:r w:rsidRPr="00C03646">
        <w:rPr>
          <w:i/>
          <w:sz w:val="20"/>
          <w:szCs w:val="20"/>
        </w:rPr>
        <w:t>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14:paraId="4BD21DD6" w14:textId="77777777" w:rsidR="00D56FCD" w:rsidRPr="00C03646" w:rsidRDefault="00D56FCD" w:rsidP="00D56FCD">
      <w:pPr>
        <w:autoSpaceDE w:val="0"/>
        <w:autoSpaceDN w:val="0"/>
        <w:adjustRightInd w:val="0"/>
        <w:rPr>
          <w:i/>
          <w:sz w:val="20"/>
          <w:szCs w:val="20"/>
        </w:rPr>
      </w:pPr>
    </w:p>
    <w:p w14:paraId="24F7E5D6" w14:textId="61975A8B" w:rsidR="00D56FCD" w:rsidRDefault="00D56FCD" w:rsidP="00D56FCD">
      <w:pPr>
        <w:autoSpaceDE w:val="0"/>
        <w:autoSpaceDN w:val="0"/>
        <w:adjustRightInd w:val="0"/>
        <w:rPr>
          <w:sz w:val="20"/>
          <w:szCs w:val="20"/>
        </w:rPr>
      </w:pPr>
      <w:r>
        <w:rPr>
          <w:sz w:val="20"/>
          <w:szCs w:val="20"/>
        </w:rPr>
        <w:t xml:space="preserve">The small businesses who participated in the SBV Pilot will have received </w:t>
      </w:r>
      <w:r w:rsidR="00F70031">
        <w:rPr>
          <w:sz w:val="20"/>
          <w:szCs w:val="20"/>
        </w:rPr>
        <w:t>substantial</w:t>
      </w:r>
      <w:r>
        <w:rPr>
          <w:sz w:val="20"/>
          <w:szCs w:val="20"/>
        </w:rPr>
        <w:t xml:space="preserve"> support from the National Laboratory and will have developed </w:t>
      </w:r>
      <w:r w:rsidR="00F70031">
        <w:rPr>
          <w:sz w:val="20"/>
          <w:szCs w:val="20"/>
        </w:rPr>
        <w:t xml:space="preserve">ongoing </w:t>
      </w:r>
      <w:r>
        <w:rPr>
          <w:sz w:val="20"/>
          <w:szCs w:val="20"/>
        </w:rPr>
        <w:t>relationships with key staff at the Laboratory. The DOE is confident that this history of support and collaboration is sufficiently str</w:t>
      </w:r>
      <w:r w:rsidR="004235A7">
        <w:rPr>
          <w:sz w:val="20"/>
          <w:szCs w:val="20"/>
        </w:rPr>
        <w:t xml:space="preserve">ong to obtain </w:t>
      </w:r>
      <w:r w:rsidR="00611D49">
        <w:rPr>
          <w:sz w:val="20"/>
          <w:szCs w:val="20"/>
        </w:rPr>
        <w:t xml:space="preserve">nearly </w:t>
      </w:r>
      <w:r w:rsidR="004235A7">
        <w:rPr>
          <w:sz w:val="20"/>
          <w:szCs w:val="20"/>
        </w:rPr>
        <w:t>100% response rate for</w:t>
      </w:r>
      <w:r>
        <w:rPr>
          <w:sz w:val="20"/>
          <w:szCs w:val="20"/>
        </w:rPr>
        <w:t xml:space="preserve"> the participating small businesses. </w:t>
      </w:r>
      <w:r w:rsidR="00E03508">
        <w:rPr>
          <w:sz w:val="20"/>
          <w:szCs w:val="20"/>
        </w:rPr>
        <w:t xml:space="preserve">Additionally, DOE expects the participating Pilot Laboratories to encourage and </w:t>
      </w:r>
      <w:r w:rsidR="00E03508">
        <w:rPr>
          <w:sz w:val="20"/>
          <w:szCs w:val="20"/>
        </w:rPr>
        <w:lastRenderedPageBreak/>
        <w:t>support data collec</w:t>
      </w:r>
      <w:r w:rsidR="004235A7">
        <w:rPr>
          <w:sz w:val="20"/>
          <w:szCs w:val="20"/>
        </w:rPr>
        <w:t>tion from the</w:t>
      </w:r>
      <w:r w:rsidR="008173D6">
        <w:rPr>
          <w:sz w:val="20"/>
          <w:szCs w:val="20"/>
        </w:rPr>
        <w:t xml:space="preserve"> small businesses</w:t>
      </w:r>
      <w:r w:rsidR="004235A7">
        <w:rPr>
          <w:sz w:val="20"/>
          <w:szCs w:val="20"/>
        </w:rPr>
        <w:t xml:space="preserve"> selected for the comparison group</w:t>
      </w:r>
      <w:r w:rsidR="008173D6">
        <w:rPr>
          <w:sz w:val="20"/>
          <w:szCs w:val="20"/>
        </w:rPr>
        <w:t xml:space="preserve">. </w:t>
      </w:r>
      <w:r w:rsidR="00284857">
        <w:rPr>
          <w:sz w:val="20"/>
          <w:szCs w:val="20"/>
        </w:rPr>
        <w:t>If problems of low-</w:t>
      </w:r>
      <w:r w:rsidR="00F66368">
        <w:rPr>
          <w:sz w:val="20"/>
          <w:szCs w:val="20"/>
        </w:rPr>
        <w:t xml:space="preserve">response arise, DOE will issue additional email solicitation notices or otherwise promote the web-survey through its </w:t>
      </w:r>
      <w:r w:rsidR="004235A7">
        <w:rPr>
          <w:sz w:val="20"/>
          <w:szCs w:val="20"/>
        </w:rPr>
        <w:t xml:space="preserve">normal </w:t>
      </w:r>
      <w:r w:rsidR="00F66368">
        <w:rPr>
          <w:sz w:val="20"/>
          <w:szCs w:val="20"/>
        </w:rPr>
        <w:t xml:space="preserve">communications with these populations. </w:t>
      </w:r>
      <w:r w:rsidR="00E03508">
        <w:rPr>
          <w:sz w:val="20"/>
          <w:szCs w:val="20"/>
        </w:rPr>
        <w:t xml:space="preserve"> </w:t>
      </w:r>
    </w:p>
    <w:p w14:paraId="3057858A" w14:textId="77777777" w:rsidR="008173D6" w:rsidRDefault="008173D6" w:rsidP="00D56FCD">
      <w:pPr>
        <w:autoSpaceDE w:val="0"/>
        <w:autoSpaceDN w:val="0"/>
        <w:adjustRightInd w:val="0"/>
        <w:rPr>
          <w:sz w:val="20"/>
          <w:szCs w:val="20"/>
        </w:rPr>
      </w:pPr>
    </w:p>
    <w:p w14:paraId="28AADEF8" w14:textId="057731E6" w:rsidR="008173D6" w:rsidRPr="00D56FCD" w:rsidRDefault="008173D6" w:rsidP="00D56FCD">
      <w:pPr>
        <w:autoSpaceDE w:val="0"/>
        <w:autoSpaceDN w:val="0"/>
        <w:adjustRightInd w:val="0"/>
        <w:rPr>
          <w:sz w:val="20"/>
          <w:szCs w:val="20"/>
        </w:rPr>
      </w:pPr>
      <w:r>
        <w:rPr>
          <w:sz w:val="20"/>
          <w:szCs w:val="20"/>
        </w:rPr>
        <w:t xml:space="preserve">This information collection requires sampling, but will not be generalizing to the universe of all small businesses that conduct research and development with National Laboratories. Generalizing is not permissible with the sampling plan required by the study design. We are employing a comparison-group design which requires careful </w:t>
      </w:r>
      <w:r w:rsidR="00FB0C20">
        <w:rPr>
          <w:sz w:val="20"/>
          <w:szCs w:val="20"/>
        </w:rPr>
        <w:t xml:space="preserve">and targeted </w:t>
      </w:r>
      <w:r>
        <w:rPr>
          <w:sz w:val="20"/>
          <w:szCs w:val="20"/>
        </w:rPr>
        <w:t>s</w:t>
      </w:r>
      <w:r w:rsidR="00FB0C20">
        <w:rPr>
          <w:sz w:val="20"/>
          <w:szCs w:val="20"/>
        </w:rPr>
        <w:t>election</w:t>
      </w:r>
      <w:r w:rsidR="00860674">
        <w:rPr>
          <w:sz w:val="20"/>
          <w:szCs w:val="20"/>
        </w:rPr>
        <w:t xml:space="preserve"> of respondents</w:t>
      </w:r>
      <w:r w:rsidR="008241ED">
        <w:rPr>
          <w:sz w:val="20"/>
          <w:szCs w:val="20"/>
        </w:rPr>
        <w:t xml:space="preserve"> which</w:t>
      </w:r>
      <w:r>
        <w:rPr>
          <w:sz w:val="20"/>
          <w:szCs w:val="20"/>
        </w:rPr>
        <w:t xml:space="preserve"> </w:t>
      </w:r>
      <w:r w:rsidR="00860674">
        <w:rPr>
          <w:sz w:val="20"/>
          <w:szCs w:val="20"/>
        </w:rPr>
        <w:t xml:space="preserve">does not yield generalizable data. </w:t>
      </w:r>
    </w:p>
    <w:p w14:paraId="0EE53439" w14:textId="77777777" w:rsidR="00BD56A1" w:rsidRPr="0060549D" w:rsidRDefault="00BD56A1" w:rsidP="00BD56A1">
      <w:pPr>
        <w:autoSpaceDE w:val="0"/>
        <w:autoSpaceDN w:val="0"/>
        <w:adjustRightInd w:val="0"/>
        <w:rPr>
          <w:sz w:val="20"/>
          <w:szCs w:val="20"/>
        </w:rPr>
      </w:pPr>
    </w:p>
    <w:p w14:paraId="7316BC10" w14:textId="55933800" w:rsidR="00B43B00" w:rsidRPr="00B43B00" w:rsidRDefault="00BD56A1" w:rsidP="00B43B00">
      <w:pPr>
        <w:pStyle w:val="ListParagraph"/>
        <w:numPr>
          <w:ilvl w:val="0"/>
          <w:numId w:val="2"/>
        </w:numPr>
        <w:autoSpaceDE w:val="0"/>
        <w:autoSpaceDN w:val="0"/>
        <w:adjustRightInd w:val="0"/>
        <w:rPr>
          <w:b/>
          <w:sz w:val="20"/>
          <w:szCs w:val="20"/>
        </w:rPr>
      </w:pPr>
      <w:r w:rsidRPr="00B43B00">
        <w:rPr>
          <w:b/>
          <w:sz w:val="20"/>
          <w:szCs w:val="20"/>
        </w:rPr>
        <w:t xml:space="preserve">Describe any tests of procedures or methods to be undertaken. </w:t>
      </w:r>
    </w:p>
    <w:p w14:paraId="0A112ED9" w14:textId="4A39B456" w:rsidR="00BD56A1" w:rsidRPr="00B43B00" w:rsidRDefault="00BD56A1" w:rsidP="00B43B00">
      <w:pPr>
        <w:pStyle w:val="ListParagraph"/>
        <w:autoSpaceDE w:val="0"/>
        <w:autoSpaceDN w:val="0"/>
        <w:adjustRightInd w:val="0"/>
        <w:rPr>
          <w:i/>
          <w:sz w:val="20"/>
          <w:szCs w:val="20"/>
        </w:rPr>
      </w:pPr>
      <w:r w:rsidRPr="00B43B00">
        <w:rPr>
          <w:i/>
          <w:sz w:val="20"/>
          <w:szCs w:val="20"/>
        </w:rPr>
        <w:t>Testing is encouraged as an effective means of refining collections of information to minimize burden and improve utility. Tests must be approved if they call for answers to identical questions from 10 or more respondents. A proposed test or set of test may be submitted for approval separately or in combination with the main collection of information.</w:t>
      </w:r>
    </w:p>
    <w:p w14:paraId="4C703562" w14:textId="77777777" w:rsidR="00566A50" w:rsidRPr="00B43B00" w:rsidRDefault="00566A50" w:rsidP="00BD56A1">
      <w:pPr>
        <w:autoSpaceDE w:val="0"/>
        <w:autoSpaceDN w:val="0"/>
        <w:adjustRightInd w:val="0"/>
        <w:rPr>
          <w:i/>
          <w:sz w:val="20"/>
          <w:szCs w:val="20"/>
        </w:rPr>
      </w:pPr>
    </w:p>
    <w:p w14:paraId="7EA6C62A" w14:textId="77777777" w:rsidR="00B43B00" w:rsidRDefault="00B43B00" w:rsidP="00BD56A1">
      <w:pPr>
        <w:autoSpaceDE w:val="0"/>
        <w:autoSpaceDN w:val="0"/>
        <w:adjustRightInd w:val="0"/>
        <w:rPr>
          <w:sz w:val="20"/>
          <w:szCs w:val="20"/>
        </w:rPr>
      </w:pPr>
    </w:p>
    <w:p w14:paraId="59D85523" w14:textId="366AC530" w:rsidR="00566A50" w:rsidRPr="00566A50" w:rsidRDefault="000B4854" w:rsidP="00BD56A1">
      <w:pPr>
        <w:autoSpaceDE w:val="0"/>
        <w:autoSpaceDN w:val="0"/>
        <w:adjustRightInd w:val="0"/>
        <w:rPr>
          <w:sz w:val="20"/>
          <w:szCs w:val="20"/>
        </w:rPr>
      </w:pPr>
      <w:r>
        <w:rPr>
          <w:sz w:val="20"/>
          <w:szCs w:val="20"/>
        </w:rPr>
        <w:t xml:space="preserve">Wherever possible questions were borrowed from the tested SBIR surveys. </w:t>
      </w:r>
      <w:r w:rsidR="002D47F3">
        <w:rPr>
          <w:sz w:val="20"/>
          <w:szCs w:val="20"/>
        </w:rPr>
        <w:t>The survey instruments will be reviewed by a group of external experts in evaluation.  The web surveys themselves will be tested prior to release by the ev</w:t>
      </w:r>
      <w:r>
        <w:rPr>
          <w:sz w:val="20"/>
          <w:szCs w:val="20"/>
        </w:rPr>
        <w:t xml:space="preserve">aluation team and some of the SBV staff.  </w:t>
      </w:r>
      <w:r w:rsidR="00FC6FDD">
        <w:rPr>
          <w:sz w:val="20"/>
          <w:szCs w:val="20"/>
        </w:rPr>
        <w:t xml:space="preserve"> </w:t>
      </w:r>
    </w:p>
    <w:p w14:paraId="503F00E4" w14:textId="77777777" w:rsidR="00BD56A1" w:rsidRPr="0060549D" w:rsidRDefault="00BD56A1" w:rsidP="00BD56A1">
      <w:pPr>
        <w:autoSpaceDE w:val="0"/>
        <w:autoSpaceDN w:val="0"/>
        <w:adjustRightInd w:val="0"/>
        <w:rPr>
          <w:sz w:val="20"/>
          <w:szCs w:val="20"/>
        </w:rPr>
      </w:pPr>
    </w:p>
    <w:p w14:paraId="1C11FE4D" w14:textId="77777777" w:rsidR="00BD56A1" w:rsidRDefault="00BD56A1" w:rsidP="00BD56A1">
      <w:pPr>
        <w:autoSpaceDE w:val="0"/>
        <w:autoSpaceDN w:val="0"/>
        <w:adjustRightInd w:val="0"/>
        <w:rPr>
          <w:b/>
          <w:sz w:val="20"/>
          <w:szCs w:val="20"/>
        </w:rPr>
      </w:pPr>
      <w:r w:rsidRPr="0060549D">
        <w:rPr>
          <w:b/>
          <w:sz w:val="20"/>
          <w:szCs w:val="20"/>
        </w:rPr>
        <w:t>5. Provide the name and telephone number of individuals consulted on statistical aspects of the design and the name of the agency unit, contractor(s), grantee(s), or other person(s) who will actually collect and/or analyze the information for the agency.</w:t>
      </w:r>
    </w:p>
    <w:p w14:paraId="1B941DC7" w14:textId="77777777" w:rsidR="00D303D2" w:rsidRDefault="00D303D2" w:rsidP="00BD56A1">
      <w:pPr>
        <w:autoSpaceDE w:val="0"/>
        <w:autoSpaceDN w:val="0"/>
        <w:adjustRightInd w:val="0"/>
        <w:rPr>
          <w:sz w:val="20"/>
        </w:rPr>
      </w:pPr>
    </w:p>
    <w:p w14:paraId="1C4725C6" w14:textId="57849B86" w:rsidR="00D303D2" w:rsidRPr="0060549D" w:rsidRDefault="00D303D2" w:rsidP="00BD56A1">
      <w:pPr>
        <w:autoSpaceDE w:val="0"/>
        <w:autoSpaceDN w:val="0"/>
        <w:adjustRightInd w:val="0"/>
        <w:rPr>
          <w:b/>
          <w:sz w:val="20"/>
          <w:szCs w:val="20"/>
        </w:rPr>
      </w:pPr>
      <w:r>
        <w:rPr>
          <w:sz w:val="20"/>
        </w:rPr>
        <w:t>Greg Clendenning of NMR Group, Inc. (617-284-6230, extension 3), Marjorie McRae of Research into Action (</w:t>
      </w:r>
      <w:r w:rsidRPr="00D303D2">
        <w:rPr>
          <w:sz w:val="20"/>
        </w:rPr>
        <w:t>503 287 9136</w:t>
      </w:r>
      <w:r>
        <w:rPr>
          <w:sz w:val="20"/>
        </w:rPr>
        <w:t>), and Gretchen Jordan (</w:t>
      </w:r>
      <w:r w:rsidRPr="00D303D2">
        <w:rPr>
          <w:sz w:val="20"/>
        </w:rPr>
        <w:t>831</w:t>
      </w:r>
      <w:r>
        <w:rPr>
          <w:sz w:val="20"/>
        </w:rPr>
        <w:t>-</w:t>
      </w:r>
      <w:r w:rsidRPr="00D303D2">
        <w:rPr>
          <w:sz w:val="20"/>
        </w:rPr>
        <w:t>920-2790</w:t>
      </w:r>
      <w:r>
        <w:rPr>
          <w:sz w:val="20"/>
        </w:rPr>
        <w:t xml:space="preserve">), study leaders of the evaluation team, will oversee the data collection and analysis. </w:t>
      </w:r>
    </w:p>
    <w:p w14:paraId="72FADF27" w14:textId="77777777" w:rsidR="00D303D2" w:rsidRDefault="00D303D2" w:rsidP="00BD56A1">
      <w:pPr>
        <w:rPr>
          <w:sz w:val="20"/>
        </w:rPr>
      </w:pPr>
    </w:p>
    <w:p w14:paraId="1D4FDB13" w14:textId="77777777" w:rsidR="00D303D2" w:rsidRDefault="00D303D2" w:rsidP="00BD56A1">
      <w:pPr>
        <w:rPr>
          <w:sz w:val="20"/>
        </w:rPr>
      </w:pPr>
    </w:p>
    <w:p w14:paraId="73400343" w14:textId="70D75D87" w:rsidR="00D303D2" w:rsidRDefault="008268C2" w:rsidP="00BD56A1">
      <w:pPr>
        <w:rPr>
          <w:sz w:val="20"/>
        </w:rPr>
      </w:pPr>
      <w:r>
        <w:rPr>
          <w:sz w:val="20"/>
        </w:rPr>
        <w:t xml:space="preserve">The design of the data collection instruments and </w:t>
      </w:r>
      <w:r w:rsidR="00D303D2">
        <w:rPr>
          <w:sz w:val="20"/>
        </w:rPr>
        <w:t xml:space="preserve">analysis </w:t>
      </w:r>
      <w:r>
        <w:rPr>
          <w:sz w:val="20"/>
        </w:rPr>
        <w:t xml:space="preserve">of the study have been developed with input from </w:t>
      </w:r>
      <w:r w:rsidR="00D303D2">
        <w:rPr>
          <w:sz w:val="20"/>
        </w:rPr>
        <w:t xml:space="preserve">Jeff Dowd </w:t>
      </w:r>
      <w:r>
        <w:rPr>
          <w:sz w:val="20"/>
        </w:rPr>
        <w:t>at DOE’s</w:t>
      </w:r>
      <w:r w:rsidR="00FC6FDD">
        <w:rPr>
          <w:sz w:val="20"/>
        </w:rPr>
        <w:t xml:space="preserve"> EERE Office</w:t>
      </w:r>
      <w:r w:rsidR="00D303D2">
        <w:rPr>
          <w:sz w:val="20"/>
        </w:rPr>
        <w:t xml:space="preserve">. His contract information is below: </w:t>
      </w:r>
    </w:p>
    <w:p w14:paraId="58E61525" w14:textId="77777777" w:rsidR="00D303D2" w:rsidRDefault="00D303D2" w:rsidP="00BD56A1">
      <w:pPr>
        <w:rPr>
          <w:sz w:val="20"/>
        </w:rPr>
      </w:pPr>
    </w:p>
    <w:p w14:paraId="126F1593" w14:textId="77777777" w:rsidR="00D303D2" w:rsidRPr="00D303D2" w:rsidRDefault="00D303D2" w:rsidP="00D303D2">
      <w:pPr>
        <w:rPr>
          <w:sz w:val="20"/>
        </w:rPr>
      </w:pPr>
      <w:r w:rsidRPr="00D303D2">
        <w:rPr>
          <w:sz w:val="20"/>
        </w:rPr>
        <w:t>Jeff Dowd</w:t>
      </w:r>
    </w:p>
    <w:p w14:paraId="4A9B5C41" w14:textId="77777777" w:rsidR="00D303D2" w:rsidRPr="00D303D2" w:rsidRDefault="00D303D2" w:rsidP="00D303D2">
      <w:pPr>
        <w:rPr>
          <w:sz w:val="20"/>
        </w:rPr>
      </w:pPr>
      <w:r w:rsidRPr="00D303D2">
        <w:rPr>
          <w:sz w:val="20"/>
        </w:rPr>
        <w:t>US Department of Energy, EE-61P</w:t>
      </w:r>
    </w:p>
    <w:p w14:paraId="04968ED8" w14:textId="5E49FEC6" w:rsidR="00D303D2" w:rsidRDefault="00D303D2" w:rsidP="00D303D2">
      <w:pPr>
        <w:rPr>
          <w:sz w:val="20"/>
        </w:rPr>
      </w:pPr>
      <w:r w:rsidRPr="00D303D2">
        <w:rPr>
          <w:sz w:val="20"/>
        </w:rPr>
        <w:t xml:space="preserve">1000 Independence Ave. SW </w:t>
      </w:r>
    </w:p>
    <w:p w14:paraId="0DC60349" w14:textId="1EF2A8FF" w:rsidR="00D303D2" w:rsidRDefault="00D303D2" w:rsidP="00D303D2">
      <w:pPr>
        <w:rPr>
          <w:sz w:val="20"/>
        </w:rPr>
      </w:pPr>
      <w:r w:rsidRPr="00D303D2">
        <w:rPr>
          <w:sz w:val="20"/>
        </w:rPr>
        <w:t>Washington DC 20585</w:t>
      </w:r>
    </w:p>
    <w:p w14:paraId="57BFDE5A" w14:textId="28149C55" w:rsidR="00D303D2" w:rsidRDefault="00D303D2" w:rsidP="00D303D2">
      <w:pPr>
        <w:rPr>
          <w:sz w:val="20"/>
        </w:rPr>
      </w:pPr>
      <w:hyperlink r:id="rId7" w:history="1">
        <w:r w:rsidRPr="00175918">
          <w:rPr>
            <w:rStyle w:val="Hyperlink"/>
            <w:sz w:val="20"/>
          </w:rPr>
          <w:t>Jeff.Dowd@ee.doe.gov</w:t>
        </w:r>
      </w:hyperlink>
    </w:p>
    <w:p w14:paraId="11FBA1ED" w14:textId="50FFB4C5" w:rsidR="00D303D2" w:rsidRDefault="00D303D2" w:rsidP="00D303D2">
      <w:pPr>
        <w:rPr>
          <w:sz w:val="20"/>
        </w:rPr>
      </w:pPr>
      <w:r w:rsidRPr="00D303D2">
        <w:rPr>
          <w:sz w:val="20"/>
        </w:rPr>
        <w:t>202-395-4718</w:t>
      </w:r>
    </w:p>
    <w:p w14:paraId="35E3DEFD" w14:textId="77777777" w:rsidR="00D303D2" w:rsidRDefault="00D303D2" w:rsidP="00D303D2">
      <w:pPr>
        <w:rPr>
          <w:sz w:val="20"/>
        </w:rPr>
      </w:pPr>
    </w:p>
    <w:p w14:paraId="795590C8" w14:textId="1ECB19AA" w:rsidR="00BD56A1" w:rsidRPr="008268C2" w:rsidRDefault="008268C2" w:rsidP="00BD56A1">
      <w:pPr>
        <w:rPr>
          <w:sz w:val="20"/>
        </w:rPr>
      </w:pPr>
      <w:r>
        <w:rPr>
          <w:sz w:val="20"/>
        </w:rPr>
        <w:t xml:space="preserve">  </w:t>
      </w:r>
      <w:r w:rsidR="00E922A4">
        <w:rPr>
          <w:sz w:val="20"/>
        </w:rPr>
        <w:t xml:space="preserve"> </w:t>
      </w:r>
    </w:p>
    <w:p w14:paraId="3AC749B5" w14:textId="1920B2E8" w:rsidR="0058772C" w:rsidRDefault="0058772C" w:rsidP="00BD56A1"/>
    <w:p w14:paraId="19C35039" w14:textId="77777777" w:rsidR="00D303D2" w:rsidRDefault="00D303D2" w:rsidP="00BD56A1"/>
    <w:p w14:paraId="74E9621C" w14:textId="77777777" w:rsidR="00D303D2" w:rsidRDefault="00D303D2" w:rsidP="00BD56A1"/>
    <w:p w14:paraId="3865D059" w14:textId="77777777" w:rsidR="00D303D2" w:rsidRDefault="00D303D2" w:rsidP="00BD56A1"/>
    <w:p w14:paraId="34F6A9B2" w14:textId="77777777" w:rsidR="00D303D2" w:rsidRPr="0060549D" w:rsidRDefault="00D303D2" w:rsidP="00BD56A1"/>
    <w:sectPr w:rsidR="00D303D2" w:rsidRPr="0060549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A0EF6A" w14:textId="77777777" w:rsidR="006A39FD" w:rsidRDefault="006A39FD" w:rsidP="002D4F8B">
      <w:r>
        <w:separator/>
      </w:r>
    </w:p>
  </w:endnote>
  <w:endnote w:type="continuationSeparator" w:id="0">
    <w:p w14:paraId="714C9A7C" w14:textId="77777777" w:rsidR="006A39FD" w:rsidRDefault="006A39FD" w:rsidP="002D4F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89637F" w14:textId="77777777" w:rsidR="006A39FD" w:rsidRDefault="006A39FD" w:rsidP="002D4F8B">
      <w:r>
        <w:separator/>
      </w:r>
    </w:p>
  </w:footnote>
  <w:footnote w:type="continuationSeparator" w:id="0">
    <w:p w14:paraId="5C4AA7A9" w14:textId="77777777" w:rsidR="006A39FD" w:rsidRDefault="006A39FD" w:rsidP="002D4F8B">
      <w:r>
        <w:continuationSeparator/>
      </w:r>
    </w:p>
  </w:footnote>
  <w:footnote w:id="1">
    <w:p w14:paraId="077B9513" w14:textId="77777777" w:rsidR="002D4F8B" w:rsidRDefault="002D4F8B" w:rsidP="002D4F8B">
      <w:pPr>
        <w:pStyle w:val="FootnoteText"/>
      </w:pPr>
      <w:r>
        <w:rPr>
          <w:rStyle w:val="FootnoteReference"/>
        </w:rPr>
        <w:footnoteRef/>
      </w:r>
      <w:r>
        <w:t xml:space="preserve"> </w:t>
      </w:r>
      <w:r w:rsidRPr="003D7C60">
        <w:t>http://coalition4evidence.org/wp-content/uploads/2014/01/Validity-of-comparison-group-designs-updated-January-2014.pdf</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561C0C"/>
    <w:multiLevelType w:val="hybridMultilevel"/>
    <w:tmpl w:val="667C2E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4FB4702B"/>
    <w:multiLevelType w:val="hybridMultilevel"/>
    <w:tmpl w:val="3238DFB6"/>
    <w:lvl w:ilvl="0" w:tplc="37EE061E">
      <w:start w:val="1"/>
      <w:numFmt w:val="bullet"/>
      <w:lvlText w:val=""/>
      <w:lvlJc w:val="left"/>
      <w:pPr>
        <w:tabs>
          <w:tab w:val="num" w:pos="720"/>
        </w:tabs>
        <w:ind w:left="720" w:hanging="360"/>
      </w:pPr>
      <w:rPr>
        <w:rFonts w:ascii="Symbol" w:hAnsi="Symbol" w:hint="default"/>
        <w:sz w:val="16"/>
        <w:szCs w:val="16"/>
      </w:rPr>
    </w:lvl>
    <w:lvl w:ilvl="1" w:tplc="0409000F">
      <w:start w:val="1"/>
      <w:numFmt w:val="decimal"/>
      <w:lvlText w:val="%2."/>
      <w:lvlJc w:val="left"/>
      <w:pPr>
        <w:tabs>
          <w:tab w:val="num" w:pos="1440"/>
        </w:tabs>
        <w:ind w:left="1440" w:hanging="360"/>
      </w:pPr>
      <w:rPr>
        <w:rFonts w:hint="default"/>
        <w:sz w:val="16"/>
        <w:szCs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49B1277"/>
    <w:multiLevelType w:val="hybridMultilevel"/>
    <w:tmpl w:val="B784C7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56A1"/>
    <w:rsid w:val="00024E8B"/>
    <w:rsid w:val="000B4854"/>
    <w:rsid w:val="000C6EAE"/>
    <w:rsid w:val="00141FFD"/>
    <w:rsid w:val="00284857"/>
    <w:rsid w:val="00286282"/>
    <w:rsid w:val="002D47F3"/>
    <w:rsid w:val="002D4F8B"/>
    <w:rsid w:val="003E3DEA"/>
    <w:rsid w:val="004235A7"/>
    <w:rsid w:val="0044145F"/>
    <w:rsid w:val="00443521"/>
    <w:rsid w:val="005078A7"/>
    <w:rsid w:val="005261CC"/>
    <w:rsid w:val="00566A50"/>
    <w:rsid w:val="00575AAA"/>
    <w:rsid w:val="0058772C"/>
    <w:rsid w:val="0060549D"/>
    <w:rsid w:val="00611D49"/>
    <w:rsid w:val="00642A02"/>
    <w:rsid w:val="006A2373"/>
    <w:rsid w:val="006A2502"/>
    <w:rsid w:val="006A39FD"/>
    <w:rsid w:val="006B11E7"/>
    <w:rsid w:val="006B136B"/>
    <w:rsid w:val="00704C6C"/>
    <w:rsid w:val="00727312"/>
    <w:rsid w:val="00737769"/>
    <w:rsid w:val="0075187F"/>
    <w:rsid w:val="008173D6"/>
    <w:rsid w:val="008241ED"/>
    <w:rsid w:val="008268C2"/>
    <w:rsid w:val="0084719A"/>
    <w:rsid w:val="00860674"/>
    <w:rsid w:val="008E58F9"/>
    <w:rsid w:val="00935070"/>
    <w:rsid w:val="0094162F"/>
    <w:rsid w:val="00944265"/>
    <w:rsid w:val="00A67A36"/>
    <w:rsid w:val="00A84166"/>
    <w:rsid w:val="00AA3ED4"/>
    <w:rsid w:val="00B43B00"/>
    <w:rsid w:val="00B57111"/>
    <w:rsid w:val="00BC484E"/>
    <w:rsid w:val="00BD56A1"/>
    <w:rsid w:val="00BF40C8"/>
    <w:rsid w:val="00C03646"/>
    <w:rsid w:val="00C91FFE"/>
    <w:rsid w:val="00C9308F"/>
    <w:rsid w:val="00D06D9A"/>
    <w:rsid w:val="00D07A05"/>
    <w:rsid w:val="00D303D2"/>
    <w:rsid w:val="00D37579"/>
    <w:rsid w:val="00D52C0F"/>
    <w:rsid w:val="00D54FB4"/>
    <w:rsid w:val="00D56FCD"/>
    <w:rsid w:val="00D661E2"/>
    <w:rsid w:val="00D74162"/>
    <w:rsid w:val="00DB080C"/>
    <w:rsid w:val="00E03508"/>
    <w:rsid w:val="00E922A4"/>
    <w:rsid w:val="00EA1092"/>
    <w:rsid w:val="00EB7B2C"/>
    <w:rsid w:val="00EE0D51"/>
    <w:rsid w:val="00F37F17"/>
    <w:rsid w:val="00F57E77"/>
    <w:rsid w:val="00F66368"/>
    <w:rsid w:val="00F70031"/>
    <w:rsid w:val="00F9095C"/>
    <w:rsid w:val="00FB0C20"/>
    <w:rsid w:val="00FC01CC"/>
    <w:rsid w:val="00FC6FDD"/>
    <w:rsid w:val="00FE57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80626"/>
  <w15:chartTrackingRefBased/>
  <w15:docId w15:val="{7460D464-DA55-4EB5-80D9-38B4798F1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56A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D56A1"/>
    <w:rPr>
      <w:color w:val="0000FF"/>
      <w:u w:val="single"/>
    </w:rPr>
  </w:style>
  <w:style w:type="character" w:styleId="FollowedHyperlink">
    <w:name w:val="FollowedHyperlink"/>
    <w:basedOn w:val="DefaultParagraphFont"/>
    <w:uiPriority w:val="99"/>
    <w:semiHidden/>
    <w:unhideWhenUsed/>
    <w:rsid w:val="00C91FFE"/>
    <w:rPr>
      <w:color w:val="954F72" w:themeColor="followedHyperlink"/>
      <w:u w:val="single"/>
    </w:rPr>
  </w:style>
  <w:style w:type="paragraph" w:styleId="ListParagraph">
    <w:name w:val="List Paragraph"/>
    <w:basedOn w:val="Normal"/>
    <w:uiPriority w:val="34"/>
    <w:qFormat/>
    <w:rsid w:val="00C91FFE"/>
    <w:pPr>
      <w:ind w:left="720"/>
      <w:contextualSpacing/>
    </w:pPr>
  </w:style>
  <w:style w:type="table" w:styleId="TableGrid">
    <w:name w:val="Table Grid"/>
    <w:basedOn w:val="TableNormal"/>
    <w:uiPriority w:val="39"/>
    <w:rsid w:val="008E58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2D4F8B"/>
    <w:rPr>
      <w:sz w:val="20"/>
      <w:szCs w:val="20"/>
    </w:rPr>
  </w:style>
  <w:style w:type="character" w:customStyle="1" w:styleId="FootnoteTextChar">
    <w:name w:val="Footnote Text Char"/>
    <w:basedOn w:val="DefaultParagraphFont"/>
    <w:link w:val="FootnoteText"/>
    <w:uiPriority w:val="99"/>
    <w:semiHidden/>
    <w:rsid w:val="002D4F8B"/>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2D4F8B"/>
    <w:rPr>
      <w:vertAlign w:val="superscript"/>
    </w:rPr>
  </w:style>
  <w:style w:type="character" w:styleId="CommentReference">
    <w:name w:val="annotation reference"/>
    <w:basedOn w:val="DefaultParagraphFont"/>
    <w:uiPriority w:val="99"/>
    <w:semiHidden/>
    <w:unhideWhenUsed/>
    <w:rsid w:val="00A67A36"/>
    <w:rPr>
      <w:sz w:val="16"/>
      <w:szCs w:val="16"/>
    </w:rPr>
  </w:style>
  <w:style w:type="paragraph" w:styleId="CommentText">
    <w:name w:val="annotation text"/>
    <w:basedOn w:val="Normal"/>
    <w:link w:val="CommentTextChar"/>
    <w:uiPriority w:val="99"/>
    <w:unhideWhenUsed/>
    <w:rsid w:val="00A67A36"/>
    <w:rPr>
      <w:sz w:val="20"/>
      <w:szCs w:val="20"/>
    </w:rPr>
  </w:style>
  <w:style w:type="character" w:customStyle="1" w:styleId="CommentTextChar">
    <w:name w:val="Comment Text Char"/>
    <w:basedOn w:val="DefaultParagraphFont"/>
    <w:link w:val="CommentText"/>
    <w:uiPriority w:val="99"/>
    <w:rsid w:val="00A67A3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67A36"/>
    <w:rPr>
      <w:b/>
      <w:bCs/>
    </w:rPr>
  </w:style>
  <w:style w:type="character" w:customStyle="1" w:styleId="CommentSubjectChar">
    <w:name w:val="Comment Subject Char"/>
    <w:basedOn w:val="CommentTextChar"/>
    <w:link w:val="CommentSubject"/>
    <w:uiPriority w:val="99"/>
    <w:semiHidden/>
    <w:rsid w:val="00A67A3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A67A3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7A36"/>
    <w:rPr>
      <w:rFonts w:ascii="Segoe UI" w:eastAsia="Times New Roman" w:hAnsi="Segoe UI" w:cs="Segoe UI"/>
      <w:sz w:val="18"/>
      <w:szCs w:val="18"/>
    </w:rPr>
  </w:style>
  <w:style w:type="paragraph" w:styleId="Revision">
    <w:name w:val="Revision"/>
    <w:hidden/>
    <w:uiPriority w:val="99"/>
    <w:semiHidden/>
    <w:rsid w:val="0094162F"/>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eff.Dowd@ee.doe.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1487</Words>
  <Characters>8478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Loomis</dc:creator>
  <cp:keywords/>
  <dc:description/>
  <cp:lastModifiedBy> Greg Clendenning</cp:lastModifiedBy>
  <cp:revision>3</cp:revision>
  <cp:lastPrinted>2016-02-29T22:25:00Z</cp:lastPrinted>
  <dcterms:created xsi:type="dcterms:W3CDTF">2016-03-04T17:06:00Z</dcterms:created>
  <dcterms:modified xsi:type="dcterms:W3CDTF">2016-03-04T17:09:00Z</dcterms:modified>
</cp:coreProperties>
</file>