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2D" w:rsidRPr="00A3702D" w:rsidRDefault="00A3702D" w:rsidP="00A3702D">
      <w:pPr>
        <w:spacing w:after="0" w:line="240" w:lineRule="auto"/>
        <w:jc w:val="center"/>
        <w:rPr>
          <w:rFonts w:ascii="Times New Roman" w:eastAsia="Times New Roman" w:hAnsi="Times New Roman" w:cs="Times New Roman"/>
          <w:b/>
          <w:bCs/>
          <w:sz w:val="24"/>
          <w:szCs w:val="24"/>
        </w:rPr>
      </w:pPr>
      <w:bookmarkStart w:id="0" w:name="_GoBack"/>
      <w:bookmarkEnd w:id="0"/>
      <w:r w:rsidRPr="00A3702D">
        <w:rPr>
          <w:rFonts w:ascii="Times New Roman" w:eastAsia="Times New Roman" w:hAnsi="Times New Roman" w:cs="Times New Roman"/>
          <w:b/>
          <w:bCs/>
          <w:sz w:val="24"/>
          <w:szCs w:val="24"/>
        </w:rPr>
        <w:t>United States Department of Energy</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Historic Preservation for Energy Efficiency Programs</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Supporting Statement</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r w:rsidRPr="00A3702D">
        <w:rPr>
          <w:rFonts w:ascii="Times New Roman" w:eastAsia="Times New Roman" w:hAnsi="Times New Roman" w:cs="Times New Roman"/>
          <w:b/>
          <w:bCs/>
          <w:sz w:val="24"/>
          <w:szCs w:val="24"/>
        </w:rPr>
        <w:t>OMB Number 1910-5155</w:t>
      </w:r>
    </w:p>
    <w:p w:rsidR="00A3702D" w:rsidRPr="00A3702D" w:rsidRDefault="00A3702D" w:rsidP="00A3702D">
      <w:pPr>
        <w:spacing w:after="0" w:line="240" w:lineRule="auto"/>
        <w:jc w:val="center"/>
        <w:rPr>
          <w:rFonts w:ascii="Times New Roman" w:eastAsia="Times New Roman" w:hAnsi="Times New Roman" w:cs="Times New Roman"/>
          <w:b/>
          <w:bCs/>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This supporting statement provides additional information regarding the Department of Energy (DOE or Department) request for processing of the proposed information collection, on behalf of the Office of Weatherization and Intergovernmental Programs (OWIP).</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 numbered questions correspond to the order shown on the Office of Management and Budget (OMB) Form 83-I, “Instructions for Completing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CB5921">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OWIP is deploying </w:t>
      </w:r>
      <w:r w:rsidR="00747453">
        <w:rPr>
          <w:rFonts w:ascii="Times New Roman" w:eastAsia="Times New Roman" w:hAnsi="Times New Roman" w:cs="Times New Roman"/>
          <w:sz w:val="24"/>
          <w:szCs w:val="24"/>
        </w:rPr>
        <w:t>m</w:t>
      </w:r>
      <w:r w:rsidR="00747453" w:rsidRPr="00A3702D">
        <w:rPr>
          <w:rFonts w:ascii="Times New Roman" w:eastAsia="Times New Roman" w:hAnsi="Times New Roman" w:cs="Times New Roman"/>
          <w:sz w:val="24"/>
          <w:szCs w:val="24"/>
        </w:rPr>
        <w:t xml:space="preserve">illions </w:t>
      </w:r>
      <w:r w:rsidRPr="00A3702D">
        <w:rPr>
          <w:rFonts w:ascii="Times New Roman" w:eastAsia="Times New Roman" w:hAnsi="Times New Roman" w:cs="Times New Roman"/>
          <w:sz w:val="24"/>
          <w:szCs w:val="24"/>
        </w:rPr>
        <w:t xml:space="preserve">of dollars and piloting numerous program structures and business models for delivering retrofits to existing buildings.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autoSpaceDE w:val="0"/>
        <w:autoSpaceDN w:val="0"/>
        <w:adjustRightInd w:val="0"/>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Prior to the expenditure of project funds to alter any historic structure or site, WAP, SEP, and EECBG recipients are required to ensure that it is compliant with Section 106 of the National Historic Preservation Act (NHPA), consistent with DOE's 2009 letter of delegation of authority regarding the NHPA. Section 106 applies to historic properties that are listed in or eligible for listing in the National Register of Historic Places. </w:t>
      </w:r>
    </w:p>
    <w:p w:rsidR="00A3702D" w:rsidRPr="00A3702D" w:rsidRDefault="00A3702D" w:rsidP="00A3702D">
      <w:pPr>
        <w:autoSpaceDE w:val="0"/>
        <w:autoSpaceDN w:val="0"/>
        <w:adjustRightInd w:val="0"/>
        <w:spacing w:after="0" w:line="240" w:lineRule="auto"/>
        <w:rPr>
          <w:rFonts w:ascii="Times New Roman" w:eastAsia="Times New Roman" w:hAnsi="Times New Roman" w:cs="Times New Roman"/>
          <w:sz w:val="24"/>
          <w:szCs w:val="24"/>
        </w:rPr>
      </w:pPr>
    </w:p>
    <w:p w:rsidR="00A3702D" w:rsidRPr="009F2C09" w:rsidRDefault="00A3702D" w:rsidP="00A3702D">
      <w:pPr>
        <w:autoSpaceDE w:val="0"/>
        <w:autoSpaceDN w:val="0"/>
        <w:adjustRightInd w:val="0"/>
        <w:spacing w:after="0" w:line="240" w:lineRule="auto"/>
        <w:rPr>
          <w:rFonts w:ascii="Times New Roman" w:eastAsia="Times New Roman" w:hAnsi="Times New Roman" w:cs="Times New Roman"/>
          <w:sz w:val="24"/>
          <w:szCs w:val="24"/>
        </w:rPr>
      </w:pPr>
      <w:r w:rsidRPr="009F2C09">
        <w:rPr>
          <w:rFonts w:ascii="Times New Roman" w:eastAsia="Times New Roman" w:hAnsi="Times New Roman" w:cs="Times New Roman"/>
          <w:sz w:val="24"/>
          <w:szCs w:val="24"/>
        </w:rPr>
        <w:t>The recipient (or subrecipient) is required to retain sufficient documentation to demonstrate that the recipient (or subrecipient) has received required reviews and/or approval(s) from the State Historic Preservation Officer (SHPO) or Tribal Historic Preservation Officer for the Project. Recipients or subrecipients shall avoid taking any action that results in an adverse effect to historic properties pending compliance with Section 106. The recipient or subrecipient shall deem compliance with Section 106 of the NHPA only after it has received this documentation. The recipient or subrecipient shall make this documentation available to DOE at DOE's request (for example, during a post-award audit). Recipient</w:t>
      </w:r>
      <w:r w:rsidR="00EA26D5" w:rsidRPr="009F2C09">
        <w:rPr>
          <w:rFonts w:ascii="Times New Roman" w:eastAsia="Times New Roman" w:hAnsi="Times New Roman" w:cs="Times New Roman"/>
          <w:sz w:val="24"/>
          <w:szCs w:val="24"/>
        </w:rPr>
        <w:t>s</w:t>
      </w:r>
      <w:r w:rsidRPr="009F2C09">
        <w:rPr>
          <w:rFonts w:ascii="Times New Roman" w:eastAsia="Times New Roman" w:hAnsi="Times New Roman" w:cs="Times New Roman"/>
          <w:sz w:val="24"/>
          <w:szCs w:val="24"/>
        </w:rPr>
        <w:t xml:space="preserve"> will be required to report annually on September 1 the disposition of all historic preservation consultations by category. This reporting requirement on NHPA compliance is the basis for this </w:t>
      </w:r>
      <w:r w:rsidR="00EA26D5" w:rsidRPr="009F2C09">
        <w:rPr>
          <w:rFonts w:ascii="Times New Roman" w:eastAsia="Times New Roman" w:hAnsi="Times New Roman" w:cs="Times New Roman"/>
          <w:sz w:val="24"/>
          <w:szCs w:val="24"/>
        </w:rPr>
        <w:t>information collection request.</w:t>
      </w:r>
    </w:p>
    <w:p w:rsidR="00EA26D5" w:rsidRPr="009F2C09" w:rsidRDefault="00EA26D5" w:rsidP="00A3702D">
      <w:pPr>
        <w:autoSpaceDE w:val="0"/>
        <w:autoSpaceDN w:val="0"/>
        <w:adjustRightInd w:val="0"/>
        <w:spacing w:after="0" w:line="240" w:lineRule="auto"/>
        <w:rPr>
          <w:rFonts w:ascii="Times New Roman" w:eastAsia="Times New Roman" w:hAnsi="Times New Roman" w:cs="Times New Roman"/>
          <w:sz w:val="24"/>
          <w:szCs w:val="24"/>
        </w:rPr>
      </w:pPr>
    </w:p>
    <w:p w:rsidR="00EA26D5" w:rsidRPr="00B43C95" w:rsidRDefault="00901A13" w:rsidP="00EA26D5">
      <w:pPr>
        <w:rPr>
          <w:rFonts w:ascii="Times New Roman" w:hAnsi="Times New Roman" w:cs="Times New Roman"/>
          <w:sz w:val="24"/>
        </w:rPr>
      </w:pPr>
      <w:r w:rsidRPr="009F2C09">
        <w:rPr>
          <w:rFonts w:ascii="Times New Roman" w:hAnsi="Times New Roman" w:cs="Times New Roman"/>
          <w:sz w:val="24"/>
        </w:rPr>
        <w:t>DOE is</w:t>
      </w:r>
      <w:r w:rsidR="00EA26D5" w:rsidRPr="009F2C09">
        <w:rPr>
          <w:rFonts w:ascii="Times New Roman" w:hAnsi="Times New Roman" w:cs="Times New Roman"/>
          <w:sz w:val="24"/>
        </w:rPr>
        <w:t xml:space="preserve"> seeking to reinstate their Historic Preservation for Energy Efficiency Programs collection because the Department requires historic preservation data reporting as part of the grant closeout process for all OWIP grantees that received funding </w:t>
      </w:r>
      <w:r w:rsidR="004F46CB" w:rsidRPr="00CB5921">
        <w:rPr>
          <w:rFonts w:ascii="Times New Roman" w:hAnsi="Times New Roman" w:cs="Times New Roman"/>
          <w:sz w:val="24"/>
        </w:rPr>
        <w:t>as</w:t>
      </w:r>
      <w:r w:rsidR="00EA26D5" w:rsidRPr="009F2C09">
        <w:rPr>
          <w:rFonts w:ascii="Times New Roman" w:hAnsi="Times New Roman" w:cs="Times New Roman"/>
          <w:sz w:val="24"/>
        </w:rPr>
        <w:t xml:space="preserve"> </w:t>
      </w:r>
      <w:r w:rsidR="009138AD" w:rsidRPr="00CB5921">
        <w:rPr>
          <w:rFonts w:ascii="Times New Roman" w:hAnsi="Times New Roman" w:cs="Times New Roman"/>
          <w:sz w:val="24"/>
        </w:rPr>
        <w:t>formula awards</w:t>
      </w:r>
      <w:r w:rsidR="004F46CB" w:rsidRPr="00CB5921">
        <w:rPr>
          <w:rFonts w:ascii="Times New Roman" w:hAnsi="Times New Roman" w:cs="Times New Roman"/>
          <w:sz w:val="24"/>
        </w:rPr>
        <w:t xml:space="preserve"> or have the possibility of affecting historic properties. </w:t>
      </w:r>
      <w:r w:rsidR="00EA26D5" w:rsidRPr="009F2C09">
        <w:rPr>
          <w:rFonts w:ascii="Times New Roman" w:hAnsi="Times New Roman" w:cs="Times New Roman"/>
          <w:sz w:val="24"/>
        </w:rPr>
        <w:t>All OWIP grantees</w:t>
      </w:r>
      <w:r w:rsidR="004F46CB" w:rsidRPr="00CB5921">
        <w:rPr>
          <w:rFonts w:ascii="Times New Roman" w:hAnsi="Times New Roman" w:cs="Times New Roman"/>
          <w:sz w:val="24"/>
        </w:rPr>
        <w:t xml:space="preserve"> with such grants</w:t>
      </w:r>
      <w:r w:rsidR="00EA26D5" w:rsidRPr="009F2C09">
        <w:rPr>
          <w:rFonts w:ascii="Times New Roman" w:hAnsi="Times New Roman" w:cs="Times New Roman"/>
          <w:sz w:val="24"/>
        </w:rPr>
        <w:t xml:space="preserve"> must report </w:t>
      </w:r>
      <w:r w:rsidR="00AD5A26" w:rsidRPr="009F2C09">
        <w:rPr>
          <w:rFonts w:ascii="Times New Roman" w:hAnsi="Times New Roman" w:cs="Times New Roman"/>
          <w:sz w:val="24"/>
        </w:rPr>
        <w:t xml:space="preserve">annually </w:t>
      </w:r>
      <w:r w:rsidR="00EA26D5" w:rsidRPr="009F2C09">
        <w:rPr>
          <w:rFonts w:ascii="Times New Roman" w:hAnsi="Times New Roman" w:cs="Times New Roman"/>
          <w:sz w:val="24"/>
        </w:rPr>
        <w:t>on their historic preservation activities as part of the Terms and Conditions of their awards.  Additionally, the collection wil</w:t>
      </w:r>
      <w:r w:rsidRPr="009F2C09">
        <w:rPr>
          <w:rFonts w:ascii="Times New Roman" w:hAnsi="Times New Roman" w:cs="Times New Roman"/>
          <w:sz w:val="24"/>
        </w:rPr>
        <w:t xml:space="preserve">l </w:t>
      </w:r>
      <w:r w:rsidR="00611B60">
        <w:rPr>
          <w:rFonts w:ascii="Times New Roman" w:hAnsi="Times New Roman" w:cs="Times New Roman"/>
          <w:sz w:val="24"/>
        </w:rPr>
        <w:t xml:space="preserve">remain </w:t>
      </w:r>
      <w:r w:rsidR="004F46CB" w:rsidRPr="00CB5921">
        <w:rPr>
          <w:rFonts w:ascii="Times New Roman" w:hAnsi="Times New Roman" w:cs="Times New Roman"/>
          <w:sz w:val="24"/>
        </w:rPr>
        <w:t>for</w:t>
      </w:r>
      <w:r w:rsidR="00EA26D5" w:rsidRPr="009F2C09">
        <w:rPr>
          <w:rFonts w:ascii="Times New Roman" w:hAnsi="Times New Roman" w:cs="Times New Roman"/>
          <w:sz w:val="24"/>
        </w:rPr>
        <w:t xml:space="preserve"> Recovery Act OWIP grants</w:t>
      </w:r>
      <w:r w:rsidR="001A78F1" w:rsidRPr="00CB5921">
        <w:rPr>
          <w:rFonts w:ascii="Times New Roman" w:hAnsi="Times New Roman" w:cs="Times New Roman"/>
          <w:sz w:val="24"/>
        </w:rPr>
        <w:t xml:space="preserve"> which</w:t>
      </w:r>
      <w:r w:rsidR="00EA26D5" w:rsidRPr="009F2C09">
        <w:rPr>
          <w:rFonts w:ascii="Times New Roman" w:hAnsi="Times New Roman" w:cs="Times New Roman"/>
          <w:sz w:val="24"/>
        </w:rPr>
        <w:t xml:space="preserve"> </w:t>
      </w:r>
      <w:r w:rsidR="001A78F1" w:rsidRPr="00CB5921">
        <w:rPr>
          <w:rFonts w:ascii="Times New Roman" w:hAnsi="Times New Roman" w:cs="Times New Roman"/>
          <w:sz w:val="24"/>
        </w:rPr>
        <w:t>continue with</w:t>
      </w:r>
      <w:r w:rsidR="001A78F1" w:rsidRPr="009F2C09">
        <w:rPr>
          <w:rFonts w:ascii="Times New Roman" w:hAnsi="Times New Roman" w:cs="Times New Roman"/>
          <w:sz w:val="24"/>
        </w:rPr>
        <w:t xml:space="preserve"> </w:t>
      </w:r>
      <w:r w:rsidR="00EA26D5" w:rsidRPr="009F2C09">
        <w:rPr>
          <w:rFonts w:ascii="Times New Roman" w:hAnsi="Times New Roman" w:cs="Times New Roman"/>
          <w:sz w:val="24"/>
        </w:rPr>
        <w:t>Revolving Loan Funds (ROLs) and other funding mechan</w:t>
      </w:r>
      <w:r w:rsidRPr="009F2C09">
        <w:rPr>
          <w:rFonts w:ascii="Times New Roman" w:hAnsi="Times New Roman" w:cs="Times New Roman"/>
          <w:sz w:val="24"/>
        </w:rPr>
        <w:t>ism streams using Recovery Act funds</w:t>
      </w:r>
      <w:r w:rsidR="00EA26D5" w:rsidRPr="009F2C09">
        <w:rPr>
          <w:rFonts w:ascii="Times New Roman" w:hAnsi="Times New Roman" w:cs="Times New Roman"/>
          <w:sz w:val="24"/>
        </w:rPr>
        <w:t xml:space="preserve">.  Pursuant to </w:t>
      </w:r>
      <w:r w:rsidR="00EA26D5" w:rsidRPr="009F2C09">
        <w:rPr>
          <w:rFonts w:ascii="Times New Roman" w:hAnsi="Times New Roman" w:cs="Times New Roman"/>
          <w:sz w:val="24"/>
        </w:rPr>
        <w:lastRenderedPageBreak/>
        <w:t>federal law, any future awards made through these ROLs and/or funding mechanisms will be subject to Historic Preservation reporting requirements because they are tied to Recovery Act funding, and thus, Recovery Act requirements.</w:t>
      </w:r>
    </w:p>
    <w:p w:rsidR="00EA26D5" w:rsidRPr="00A3702D" w:rsidRDefault="00EA26D5" w:rsidP="00A3702D">
      <w:pPr>
        <w:autoSpaceDE w:val="0"/>
        <w:autoSpaceDN w:val="0"/>
        <w:adjustRightInd w:val="0"/>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authority for the data collections are provided by the following provisions: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Title IV, Energy Conservation and Production Act, as amended, authorizes the DOE to administer the WAP. All grant awards made under this Program shall comply with applicable law including regulations contained in 10 C.F.R. Part 440 (issued February 1, 2002), the Energy Policy Act of 2005, the Energy Independence and Security Act of 2007, the American Recovery and Reinvestment Act of 2009 and other procedures as DOE may, from time-to-time, prescribe for the administration of financial assistance.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DOE is authorized to administer the SEP under the Energy Policy and Conservation Act of 1975, the State Energy Efficiency Programs Improvement Act of 1990, and American Recovery and Reinvestment Act of 2009 and other procedures as DOE may, from time-to-time, prescribe for the administration of financial assistance. </w:t>
      </w: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p>
    <w:p w:rsidR="00A3702D" w:rsidRPr="00A3702D" w:rsidRDefault="00A3702D" w:rsidP="00A3702D">
      <w:pPr>
        <w:autoSpaceDE w:val="0"/>
        <w:autoSpaceDN w:val="0"/>
        <w:adjustRightInd w:val="0"/>
        <w:spacing w:after="0" w:line="276" w:lineRule="atLeast"/>
        <w:rPr>
          <w:rFonts w:ascii="Times New Roman" w:eastAsia="Times New Roman" w:hAnsi="Times New Roman" w:cs="Times New Roman"/>
          <w:color w:val="000000"/>
          <w:sz w:val="24"/>
          <w:szCs w:val="24"/>
        </w:rPr>
      </w:pPr>
      <w:r w:rsidRPr="00A3702D">
        <w:rPr>
          <w:rFonts w:ascii="Times New Roman" w:eastAsia="Times New Roman" w:hAnsi="Times New Roman" w:cs="Times New Roman"/>
          <w:color w:val="000000"/>
          <w:sz w:val="24"/>
          <w:szCs w:val="24"/>
        </w:rPr>
        <w:t xml:space="preserve">DOE is authorized to administer the EECBG under the Energy Independence and Securities Act of 2007, the American Recovery and Reinvestment Act of 2009 and other procedures as DOE may, from time-to-time, prescribe for the administration of financial assistance.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2. Indicate how, by whom, and for what purpose the information is to be used. Except for a new collection, indicate the actual use the agency has made of the information received from the current collection.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This information will be used by DOE to verify that WAP, SEP, and </w:t>
      </w:r>
      <w:r w:rsidR="00FC172A">
        <w:rPr>
          <w:rFonts w:ascii="Times New Roman" w:eastAsia="Times New Roman" w:hAnsi="Times New Roman" w:cs="Times New Roman"/>
          <w:sz w:val="24"/>
          <w:szCs w:val="24"/>
        </w:rPr>
        <w:t>A</w:t>
      </w:r>
      <w:r w:rsidR="009138AD">
        <w:rPr>
          <w:rFonts w:ascii="Times New Roman" w:eastAsia="Times New Roman" w:hAnsi="Times New Roman" w:cs="Times New Roman"/>
          <w:sz w:val="24"/>
          <w:szCs w:val="24"/>
        </w:rPr>
        <w:t>RRA</w:t>
      </w:r>
      <w:r w:rsidR="00FC172A">
        <w:rPr>
          <w:rFonts w:ascii="Times New Roman" w:eastAsia="Times New Roman" w:hAnsi="Times New Roman" w:cs="Times New Roman"/>
          <w:sz w:val="24"/>
          <w:szCs w:val="24"/>
        </w:rPr>
        <w:t>-</w:t>
      </w:r>
      <w:r w:rsidR="0063488D">
        <w:rPr>
          <w:rFonts w:ascii="Times New Roman" w:eastAsia="Times New Roman" w:hAnsi="Times New Roman" w:cs="Times New Roman"/>
          <w:sz w:val="24"/>
          <w:szCs w:val="24"/>
        </w:rPr>
        <w:t>grant recipients with on-going financial programs</w:t>
      </w:r>
      <w:r w:rsidRPr="00A3702D">
        <w:rPr>
          <w:rFonts w:ascii="Times New Roman" w:eastAsia="Times New Roman" w:hAnsi="Times New Roman" w:cs="Times New Roman"/>
          <w:sz w:val="24"/>
          <w:szCs w:val="24"/>
        </w:rPr>
        <w:t xml:space="preserve"> are compliant with Section 106 of the National Historic Preservation Act.  DOE is also required pursuant to the terms of a Prototype Programmatic Agreement on Historic Preservation under the processes of 36 C.F.R. Part 800 to submit summaries of the information collected from its recipients to the Advisory Council on Historic Preservation and the National Conference of State Historic Preservation Officers.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Default="00A3702D" w:rsidP="00AD5A26">
      <w:pPr>
        <w:autoSpaceDE w:val="0"/>
        <w:autoSpaceDN w:val="0"/>
        <w:adjustRightInd w:val="0"/>
        <w:spacing w:after="0" w:line="240" w:lineRule="auto"/>
        <w:ind w:right="720"/>
        <w:rPr>
          <w:rFonts w:ascii="Times New Roman" w:eastAsia="Times New Roman" w:hAnsi="Times New Roman" w:cs="Times New Roman"/>
          <w:sz w:val="24"/>
          <w:szCs w:val="24"/>
        </w:rPr>
      </w:pPr>
      <w:r w:rsidRPr="009F2C09">
        <w:rPr>
          <w:rFonts w:ascii="Times New Roman" w:eastAsia="Times New Roman" w:hAnsi="Times New Roman" w:cs="Times New Roman"/>
          <w:sz w:val="24"/>
          <w:szCs w:val="24"/>
        </w:rPr>
        <w:t>The collection of the information has been standardized to provide database collection and retrieval of program information through Performance and Accountability for Grants in Energy (PAGE). PAGE is</w:t>
      </w:r>
      <w:r w:rsidR="00611B60">
        <w:rPr>
          <w:rFonts w:ascii="Times New Roman" w:eastAsia="Times New Roman" w:hAnsi="Times New Roman" w:cs="Times New Roman"/>
          <w:sz w:val="24"/>
          <w:szCs w:val="24"/>
        </w:rPr>
        <w:t xml:space="preserve"> a</w:t>
      </w:r>
      <w:r w:rsidRPr="009F2C09">
        <w:rPr>
          <w:rFonts w:ascii="Times New Roman" w:eastAsia="Times New Roman" w:hAnsi="Times New Roman" w:cs="Times New Roman"/>
          <w:sz w:val="24"/>
          <w:szCs w:val="24"/>
        </w:rPr>
        <w:t xml:space="preserve"> system that interfaces with</w:t>
      </w:r>
      <w:r w:rsidR="00AD5A26" w:rsidRPr="009F2C09">
        <w:rPr>
          <w:rFonts w:ascii="Times New Roman" w:eastAsia="Times New Roman" w:hAnsi="Times New Roman" w:cs="Times New Roman"/>
          <w:sz w:val="24"/>
          <w:szCs w:val="24"/>
        </w:rPr>
        <w:t xml:space="preserve"> </w:t>
      </w:r>
      <w:r w:rsidRPr="009F2C09">
        <w:rPr>
          <w:rFonts w:ascii="Times New Roman" w:eastAsia="Times New Roman" w:hAnsi="Times New Roman" w:cs="Times New Roman"/>
          <w:sz w:val="24"/>
          <w:szCs w:val="24"/>
        </w:rPr>
        <w:t xml:space="preserve">DOE financial systems, the EERE Project Management Center, DOE Headquarters and state and local grantees. </w:t>
      </w:r>
      <w:r w:rsidR="00AD5A26" w:rsidRPr="009F2C09">
        <w:rPr>
          <w:rFonts w:ascii="Times New Roman" w:hAnsi="Times New Roman" w:cs="Times New Roman"/>
          <w:sz w:val="24"/>
          <w:szCs w:val="24"/>
        </w:rPr>
        <w:t xml:space="preserve">It is cost effective for our Program to collect and capture the grantee information in PAGE through a combined collection effort as PAGE is the same database collection program </w:t>
      </w:r>
      <w:r w:rsidR="00AD5A26" w:rsidRPr="009F2C09">
        <w:rPr>
          <w:rFonts w:ascii="Times New Roman" w:hAnsi="Times New Roman" w:cs="Times New Roman"/>
          <w:sz w:val="24"/>
          <w:szCs w:val="24"/>
        </w:rPr>
        <w:lastRenderedPageBreak/>
        <w:t>that WAP and SEP use to capture their other reporting data and requirements.</w:t>
      </w:r>
      <w:r w:rsidR="00AD5A26" w:rsidRPr="009F2C09">
        <w:rPr>
          <w:rFonts w:ascii="Times New Roman" w:hAnsi="Times New Roman" w:cs="Times New Roman"/>
          <w:color w:val="1F497D"/>
          <w:sz w:val="24"/>
          <w:szCs w:val="24"/>
        </w:rPr>
        <w:t> </w:t>
      </w:r>
      <w:r w:rsidR="00901A13" w:rsidRPr="009F2C09">
        <w:rPr>
          <w:rFonts w:ascii="Times New Roman" w:hAnsi="Times New Roman" w:cs="Times New Roman"/>
          <w:sz w:val="24"/>
          <w:szCs w:val="24"/>
        </w:rPr>
        <w:t>Grantees and DOE Project Officers are familiar with utilizing the system to submit required information and review reporting requirements, respectively.</w:t>
      </w:r>
      <w:r w:rsidR="00901A13" w:rsidRPr="009F2C09">
        <w:t xml:space="preserve"> </w:t>
      </w:r>
      <w:r w:rsidRPr="009F2C09">
        <w:rPr>
          <w:rFonts w:ascii="Times New Roman" w:eastAsia="Times New Roman" w:hAnsi="Times New Roman" w:cs="Times New Roman"/>
          <w:sz w:val="24"/>
          <w:szCs w:val="24"/>
        </w:rPr>
        <w:t>Electronic submission of reports will result in greater efficiency, timely reporting and a reduced paperwork burden for grantees and DOE program staff.</w:t>
      </w:r>
    </w:p>
    <w:p w:rsidR="001A78F1" w:rsidRDefault="001A78F1" w:rsidP="00AD5A26">
      <w:pPr>
        <w:autoSpaceDE w:val="0"/>
        <w:autoSpaceDN w:val="0"/>
        <w:adjustRightInd w:val="0"/>
        <w:spacing w:after="0" w:line="240" w:lineRule="auto"/>
        <w:ind w:right="720"/>
        <w:rPr>
          <w:rFonts w:ascii="Times New Roman" w:eastAsia="Times New Roman" w:hAnsi="Times New Roman" w:cs="Times New Roman"/>
          <w:sz w:val="24"/>
          <w:szCs w:val="24"/>
        </w:rPr>
      </w:pPr>
    </w:p>
    <w:p w:rsidR="001A78F1" w:rsidRPr="00AD5A26" w:rsidRDefault="001A78F1" w:rsidP="00AD5A26">
      <w:pPr>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Recovery Act grants with continuing financial programs will use the same Historic Preservation report format but will submit the report electronically by email.</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4. Describe efforts to identify duplication.  Show specifically why any similar information already available cannot be used or modified for use for the purposes described in Item 2 above.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required information described above is unique to DOE, and similar information is not available to meet the needs of this proposed collection.  Therefore, efforts to collect this information are not duplicative.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5. If the collection of information impacts small businesses or other small entities (Item 5 of OMB Form 83-I), describe any methods used to minimize burden.</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autoSpaceDE w:val="0"/>
        <w:autoSpaceDN w:val="0"/>
        <w:adjustRightInd w:val="0"/>
        <w:spacing w:after="0" w:line="240" w:lineRule="auto"/>
        <w:ind w:right="72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Small businesses are not impacted by these requirements. Small local governments and</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tribal entities are subject to the reporting requirements. While the web-based system</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should not pose a problem for the local governments, certain tribal entities may have</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technical difficulties. DOE will provide technical assistance to these tribal entities and work closely with their tribal councils and the Bureau of Indian Affairs to ensure</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that they can comply and will not be penalized for delays due to any technical difficulties</w:t>
      </w:r>
      <w:r w:rsidR="00AD5A26">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they experience.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6. Describe the consequence to Federal program or policy activities if the collection is not conducted or is conducted less frequently, as well as any technical or legal obstacles to reducing burden.</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Compliance with Section 106 of the NHPA is a prerequisite of the retrofit of historic structures or sites. Inability to collect information verifying this compliance on at least an annual basis will slow and likely stop retrofit of relevant structures and potentially all structures retrofit under WAP, SEP, and EECBG</w:t>
      </w:r>
      <w:r w:rsidR="00AD7E19">
        <w:rPr>
          <w:rFonts w:ascii="Times New Roman" w:eastAsia="Times New Roman" w:hAnsi="Times New Roman" w:cs="Times New Roman"/>
          <w:sz w:val="24"/>
          <w:szCs w:val="24"/>
        </w:rPr>
        <w:t xml:space="preserve"> financial programs</w:t>
      </w:r>
      <w:r w:rsidRPr="00A3702D">
        <w:rPr>
          <w:rFonts w:ascii="Times New Roman" w:eastAsia="Times New Roman" w:hAnsi="Times New Roman" w:cs="Times New Roman"/>
          <w:sz w:val="24"/>
          <w:szCs w:val="24"/>
        </w:rPr>
        <w:t xml:space="preserve">. </w:t>
      </w:r>
    </w:p>
    <w:p w:rsidR="00A3702D" w:rsidRPr="00A3702D" w:rsidRDefault="00A3702D" w:rsidP="00A3702D">
      <w:pPr>
        <w:spacing w:after="0" w:line="240" w:lineRule="auto"/>
        <w:rPr>
          <w:rFonts w:ascii="Times New Roman" w:eastAsia="Times New Roman" w:hAnsi="Times New Roman" w:cs="Times New Roman"/>
          <w:color w:val="FF0000"/>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numPr>
          <w:ilvl w:val="0"/>
          <w:numId w:val="2"/>
        </w:num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w:t>
      </w:r>
      <w:r w:rsidRPr="00A3702D">
        <w:rPr>
          <w:rFonts w:ascii="Times New Roman" w:eastAsia="Times New Roman" w:hAnsi="Times New Roman" w:cs="Times New Roman"/>
          <w:b/>
          <w:sz w:val="24"/>
          <w:szCs w:val="24"/>
          <w:u w:val="single"/>
        </w:rPr>
        <w:lastRenderedPageBreak/>
        <w:t xml:space="preserve">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are none.  The package is consistent with OMB guidelines.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9D5651" w:rsidRDefault="00A3702D" w:rsidP="00A3702D">
      <w:pPr>
        <w:spacing w:after="0" w:line="240" w:lineRule="auto"/>
        <w:rPr>
          <w:rFonts w:ascii="Times New Roman" w:eastAsia="Times New Roman" w:hAnsi="Times New Roman" w:cs="Times New Roman"/>
          <w:color w:val="FF0000"/>
          <w:sz w:val="24"/>
          <w:szCs w:val="24"/>
        </w:rPr>
      </w:pPr>
      <w:r w:rsidRPr="00A3702D">
        <w:rPr>
          <w:rFonts w:ascii="Times New Roman" w:eastAsia="Times New Roman" w:hAnsi="Times New Roman" w:cs="Times New Roman"/>
          <w:sz w:val="24"/>
          <w:szCs w:val="24"/>
        </w:rPr>
        <w:t xml:space="preserve">On </w:t>
      </w:r>
      <w:r w:rsidR="0063488D">
        <w:rPr>
          <w:rFonts w:ascii="Times New Roman" w:eastAsia="Times New Roman" w:hAnsi="Times New Roman" w:cs="Times New Roman"/>
          <w:sz w:val="24"/>
          <w:szCs w:val="24"/>
        </w:rPr>
        <w:t>April 27, 2016</w:t>
      </w:r>
      <w:r w:rsidRPr="00A3702D">
        <w:rPr>
          <w:rFonts w:ascii="Times New Roman" w:eastAsia="Times New Roman" w:hAnsi="Times New Roman" w:cs="Times New Roman"/>
          <w:sz w:val="24"/>
          <w:szCs w:val="24"/>
        </w:rPr>
        <w:t xml:space="preserve">, DOE’s 60-day notice and request for comments for reinstating their information collection on Historic Preservation was published in the Federal Register at </w:t>
      </w:r>
      <w:r w:rsidR="005769FA">
        <w:t>Vol. 81, No. 81</w:t>
      </w:r>
      <w:r w:rsidRPr="00A3702D">
        <w:rPr>
          <w:rFonts w:ascii="Times New Roman" w:eastAsia="Times New Roman" w:hAnsi="Times New Roman" w:cs="Times New Roman"/>
          <w:sz w:val="24"/>
          <w:szCs w:val="24"/>
        </w:rPr>
        <w:t>. The Department did not receive any comments</w:t>
      </w:r>
      <w:r w:rsidR="00DF1137">
        <w:rPr>
          <w:rFonts w:ascii="Times New Roman" w:eastAsia="Times New Roman" w:hAnsi="Times New Roman" w:cs="Times New Roman"/>
          <w:sz w:val="24"/>
          <w:szCs w:val="24"/>
        </w:rPr>
        <w:t>.</w:t>
      </w:r>
      <w:r w:rsidR="00DA392B">
        <w:rPr>
          <w:rFonts w:ascii="Times New Roman" w:eastAsia="Times New Roman" w:hAnsi="Times New Roman" w:cs="Times New Roman"/>
          <w:color w:val="FF0000"/>
          <w:sz w:val="24"/>
          <w:szCs w:val="24"/>
        </w:rPr>
        <w:t>.</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9. Explain any decision to provide any payment or gift to respondents, other than </w:t>
      </w:r>
      <w:r w:rsidR="00FC172A" w:rsidRPr="00A3702D">
        <w:rPr>
          <w:rFonts w:ascii="Times New Roman" w:eastAsia="Times New Roman" w:hAnsi="Times New Roman" w:cs="Times New Roman"/>
          <w:b/>
          <w:sz w:val="24"/>
          <w:szCs w:val="24"/>
          <w:u w:val="single"/>
        </w:rPr>
        <w:t>remuneration</w:t>
      </w:r>
      <w:r w:rsidRPr="00A3702D">
        <w:rPr>
          <w:rFonts w:ascii="Times New Roman" w:eastAsia="Times New Roman" w:hAnsi="Times New Roman" w:cs="Times New Roman"/>
          <w:b/>
          <w:sz w:val="24"/>
          <w:szCs w:val="24"/>
          <w:u w:val="single"/>
        </w:rPr>
        <w:t xml:space="preserve"> of contractors or grantees.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is no remuneration given for submission of any of the information other than the fact that the expense of responding is treated as an allowable cost.</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10. Describe any assurance of confidentiality provided to respondents and the basis for the assurance in statute, regulation, or agency policy.</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No identifiable confidential information is being requested.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w:t>
      </w:r>
      <w:r w:rsidRPr="00A3702D">
        <w:rPr>
          <w:rFonts w:ascii="Times New Roman" w:eastAsia="Times New Roman" w:hAnsi="Times New Roman" w:cs="Times New Roman"/>
          <w:b/>
          <w:sz w:val="24"/>
          <w:szCs w:val="24"/>
          <w:u w:val="single"/>
        </w:rPr>
        <w:lastRenderedPageBreak/>
        <w:t>questions necessary, the specific uses to be made of the information, the explanation to be given to persons from whom the information is requested, and any steps to be taken to obtain their consent.</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No questions of a sensitive, personal or private nature are being asked.</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12. Provide estimates of the hour burden of the collection of information.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u w:val="single"/>
        </w:rPr>
      </w:pPr>
      <w:r w:rsidRPr="00A3702D">
        <w:rPr>
          <w:rFonts w:ascii="Times New Roman" w:eastAsia="Times New Roman" w:hAnsi="Times New Roman" w:cs="Times New Roman"/>
          <w:sz w:val="24"/>
          <w:szCs w:val="24"/>
          <w:u w:val="single"/>
        </w:rPr>
        <w:t xml:space="preserve">Recipient burden </w:t>
      </w:r>
    </w:p>
    <w:p w:rsidR="00A3702D" w:rsidRPr="00A3702D" w:rsidRDefault="00A3702D" w:rsidP="00A3702D">
      <w:pPr>
        <w:autoSpaceDE w:val="0"/>
        <w:autoSpaceDN w:val="0"/>
        <w:adjustRightInd w:val="0"/>
        <w:spacing w:after="0" w:line="240" w:lineRule="auto"/>
        <w:ind w:right="720"/>
        <w:rPr>
          <w:rFonts w:ascii="Times New Roman" w:eastAsia="Times New Roman" w:hAnsi="Times New Roman" w:cs="Times New Roman"/>
          <w:b/>
          <w:color w:val="00B0F0"/>
          <w:sz w:val="24"/>
          <w:szCs w:val="24"/>
          <w:u w:val="single"/>
        </w:rPr>
      </w:pPr>
      <w:r w:rsidRPr="00A3702D">
        <w:rPr>
          <w:rFonts w:ascii="Times New Roman" w:eastAsia="Times New Roman" w:hAnsi="Times New Roman" w:cs="Times New Roman"/>
          <w:sz w:val="24"/>
          <w:szCs w:val="24"/>
        </w:rPr>
        <w:t xml:space="preserve">Recipients will be required to report annually on NHPA compliance. The report will consist of a one-page checklist completed in PAGE. It is estimated that WAP and EECBG recipients will spend an hour preparing and completing each report. SEP recipients anticipate spending four hours to prepare and complete their reports given the complexity of some their historic preservation-related activities. </w:t>
      </w:r>
      <w:r w:rsidRPr="00A3702D">
        <w:rPr>
          <w:rFonts w:ascii="Times New Roman" w:eastAsia="Times New Roman" w:hAnsi="Times New Roman" w:cs="Times New Roman"/>
          <w:color w:val="00B0F0"/>
          <w:sz w:val="24"/>
          <w:szCs w:val="24"/>
        </w:rPr>
        <w:t xml:space="preserve"> </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i/>
          <w:sz w:val="24"/>
          <w:szCs w:val="24"/>
        </w:rPr>
        <w:tab/>
      </w:r>
      <w:r w:rsidRPr="00A3702D">
        <w:rPr>
          <w:rFonts w:ascii="Times New Roman" w:eastAsia="Times New Roman" w:hAnsi="Times New Roman" w:cs="Times New Roman"/>
          <w:sz w:val="24"/>
          <w:szCs w:val="24"/>
        </w:rPr>
        <w:t>WAP recipients:</w:t>
      </w:r>
      <w:r w:rsidRPr="00A3702D">
        <w:rPr>
          <w:rFonts w:ascii="Times New Roman" w:eastAsia="Times New Roman" w:hAnsi="Times New Roman" w:cs="Times New Roman"/>
          <w:sz w:val="24"/>
          <w:szCs w:val="24"/>
        </w:rPr>
        <w:tab/>
      </w:r>
      <w:r w:rsidR="005769FA">
        <w:rPr>
          <w:rFonts w:ascii="Times New Roman" w:eastAsia="Times New Roman" w:hAnsi="Times New Roman" w:cs="Times New Roman"/>
          <w:sz w:val="24"/>
          <w:szCs w:val="24"/>
        </w:rPr>
        <w:tab/>
      </w:r>
      <w:r w:rsidRPr="00A3702D">
        <w:rPr>
          <w:rFonts w:ascii="Times New Roman" w:eastAsia="Times New Roman" w:hAnsi="Times New Roman" w:cs="Times New Roman"/>
          <w:sz w:val="24"/>
          <w:szCs w:val="24"/>
        </w:rPr>
        <w:t>5</w:t>
      </w:r>
      <w:r w:rsidR="00DA4C59">
        <w:rPr>
          <w:rFonts w:ascii="Times New Roman" w:eastAsia="Times New Roman" w:hAnsi="Times New Roman" w:cs="Times New Roman"/>
          <w:sz w:val="24"/>
          <w:szCs w:val="24"/>
        </w:rPr>
        <w:t>9</w:t>
      </w:r>
      <w:r w:rsidRPr="00A3702D">
        <w:rPr>
          <w:rFonts w:ascii="Times New Roman" w:eastAsia="Times New Roman" w:hAnsi="Times New Roman" w:cs="Times New Roman"/>
          <w:sz w:val="24"/>
          <w:szCs w:val="24"/>
        </w:rPr>
        <w:t xml:space="preserve"> x 2 hour/report x 1 report/year = 11</w:t>
      </w:r>
      <w:r w:rsidR="00DA4C59">
        <w:rPr>
          <w:rFonts w:ascii="Times New Roman" w:eastAsia="Times New Roman" w:hAnsi="Times New Roman" w:cs="Times New Roman"/>
          <w:sz w:val="24"/>
          <w:szCs w:val="24"/>
        </w:rPr>
        <w:t>8</w:t>
      </w:r>
      <w:r w:rsidRPr="00A3702D">
        <w:rPr>
          <w:rFonts w:ascii="Times New Roman" w:eastAsia="Times New Roman" w:hAnsi="Times New Roman" w:cs="Times New Roman"/>
          <w:sz w:val="24"/>
          <w:szCs w:val="24"/>
        </w:rPr>
        <w:t xml:space="preserve"> hours annually</w:t>
      </w: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ab/>
        <w:t xml:space="preserve">SEP recipients: </w:t>
      </w:r>
      <w:r w:rsidRPr="00A3702D">
        <w:rPr>
          <w:rFonts w:ascii="Times New Roman" w:eastAsia="Times New Roman" w:hAnsi="Times New Roman" w:cs="Times New Roman"/>
          <w:sz w:val="24"/>
          <w:szCs w:val="24"/>
        </w:rPr>
        <w:tab/>
      </w:r>
      <w:r w:rsidR="005769FA">
        <w:rPr>
          <w:rFonts w:ascii="Times New Roman" w:eastAsia="Times New Roman" w:hAnsi="Times New Roman" w:cs="Times New Roman"/>
          <w:sz w:val="24"/>
          <w:szCs w:val="24"/>
        </w:rPr>
        <w:tab/>
      </w:r>
      <w:r w:rsidRPr="00A3702D">
        <w:rPr>
          <w:rFonts w:ascii="Times New Roman" w:eastAsia="Times New Roman" w:hAnsi="Times New Roman" w:cs="Times New Roman"/>
          <w:sz w:val="24"/>
          <w:szCs w:val="24"/>
        </w:rPr>
        <w:t>5</w:t>
      </w:r>
      <w:r w:rsidR="00DA4C59">
        <w:rPr>
          <w:rFonts w:ascii="Times New Roman" w:eastAsia="Times New Roman" w:hAnsi="Times New Roman" w:cs="Times New Roman"/>
          <w:sz w:val="24"/>
          <w:szCs w:val="24"/>
        </w:rPr>
        <w:t>6</w:t>
      </w:r>
      <w:r w:rsidRPr="00A3702D">
        <w:rPr>
          <w:rFonts w:ascii="Times New Roman" w:eastAsia="Times New Roman" w:hAnsi="Times New Roman" w:cs="Times New Roman"/>
          <w:sz w:val="24"/>
          <w:szCs w:val="24"/>
        </w:rPr>
        <w:t xml:space="preserve"> x </w:t>
      </w:r>
      <w:r w:rsidR="00494CBC">
        <w:rPr>
          <w:rFonts w:ascii="Times New Roman" w:eastAsia="Times New Roman" w:hAnsi="Times New Roman" w:cs="Times New Roman"/>
          <w:sz w:val="24"/>
          <w:szCs w:val="24"/>
        </w:rPr>
        <w:t>4</w:t>
      </w:r>
      <w:r w:rsidR="000559D0" w:rsidRPr="00A370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 xml:space="preserve">hour/report x 1 report/year = </w:t>
      </w:r>
      <w:r w:rsidR="00DA4C59">
        <w:rPr>
          <w:rFonts w:ascii="Times New Roman" w:eastAsia="Times New Roman" w:hAnsi="Times New Roman" w:cs="Times New Roman"/>
          <w:sz w:val="24"/>
          <w:szCs w:val="24"/>
        </w:rPr>
        <w:t>224</w:t>
      </w:r>
      <w:r w:rsidRPr="00A3702D">
        <w:rPr>
          <w:rFonts w:ascii="Times New Roman" w:eastAsia="Times New Roman" w:hAnsi="Times New Roman" w:cs="Times New Roman"/>
          <w:sz w:val="24"/>
          <w:szCs w:val="24"/>
        </w:rPr>
        <w:t xml:space="preserve"> hours annually</w:t>
      </w:r>
    </w:p>
    <w:p w:rsid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ab/>
      </w:r>
    </w:p>
    <w:p w:rsidR="003526A5" w:rsidRDefault="005769FA" w:rsidP="00A37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Active Financial programs</w:t>
      </w:r>
      <w:r>
        <w:rPr>
          <w:rFonts w:ascii="Times New Roman" w:eastAsia="Times New Roman" w:hAnsi="Times New Roman" w:cs="Times New Roman"/>
          <w:sz w:val="24"/>
          <w:szCs w:val="24"/>
        </w:rPr>
        <w:tab/>
        <w:t>160</w:t>
      </w:r>
      <w:r w:rsidR="00352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(120 EECBG gran</w:t>
      </w:r>
      <w:r w:rsidR="003D7E1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s and 40 SEP grants) </w:t>
      </w:r>
      <w:r w:rsidR="003526A5">
        <w:rPr>
          <w:rFonts w:ascii="Times New Roman" w:eastAsia="Times New Roman" w:hAnsi="Times New Roman" w:cs="Times New Roman"/>
          <w:sz w:val="24"/>
          <w:szCs w:val="24"/>
        </w:rPr>
        <w:t>x 2 hour/report</w:t>
      </w:r>
    </w:p>
    <w:p w:rsidR="00AD7E19" w:rsidRDefault="003526A5" w:rsidP="00A37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 1 report/year = 320 hours annually</w:t>
      </w:r>
    </w:p>
    <w:p w:rsidR="005769FA" w:rsidRPr="00A3702D" w:rsidRDefault="005769FA" w:rsidP="00A3702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ab/>
        <w:t xml:space="preserve">Total respondents: </w:t>
      </w:r>
      <w:r w:rsidRPr="00A3702D">
        <w:rPr>
          <w:rFonts w:ascii="Times New Roman" w:eastAsia="Times New Roman" w:hAnsi="Times New Roman" w:cs="Times New Roman"/>
          <w:sz w:val="24"/>
          <w:szCs w:val="24"/>
        </w:rPr>
        <w:tab/>
      </w:r>
      <w:r w:rsidR="00AD7E19">
        <w:rPr>
          <w:rFonts w:ascii="Times New Roman" w:eastAsia="Times New Roman" w:hAnsi="Times New Roman" w:cs="Times New Roman"/>
          <w:sz w:val="24"/>
          <w:szCs w:val="24"/>
        </w:rPr>
        <w:tab/>
      </w:r>
      <w:r w:rsidR="00A8474B">
        <w:rPr>
          <w:rFonts w:ascii="Times New Roman" w:eastAsia="Times New Roman" w:hAnsi="Times New Roman" w:cs="Times New Roman"/>
          <w:sz w:val="24"/>
          <w:szCs w:val="24"/>
        </w:rPr>
        <w:t xml:space="preserve"> 27</w:t>
      </w:r>
      <w:r w:rsidR="00C77768">
        <w:rPr>
          <w:rFonts w:ascii="Times New Roman" w:eastAsia="Times New Roman" w:hAnsi="Times New Roman" w:cs="Times New Roman"/>
          <w:sz w:val="24"/>
          <w:szCs w:val="24"/>
        </w:rPr>
        <w:t>5</w:t>
      </w:r>
      <w:r w:rsidR="00A8474B">
        <w:rPr>
          <w:rFonts w:ascii="Times New Roman" w:eastAsia="Times New Roman" w:hAnsi="Times New Roman" w:cs="Times New Roman"/>
          <w:sz w:val="24"/>
          <w:szCs w:val="24"/>
        </w:rPr>
        <w:t xml:space="preserve"> respondents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color w:val="00B0F0"/>
          <w:sz w:val="24"/>
          <w:szCs w:val="24"/>
        </w:rPr>
      </w:pPr>
      <w:r w:rsidRPr="00A3702D">
        <w:rPr>
          <w:rFonts w:ascii="Times New Roman" w:eastAsia="Times New Roman" w:hAnsi="Times New Roman" w:cs="Times New Roman"/>
          <w:sz w:val="24"/>
          <w:szCs w:val="24"/>
        </w:rPr>
        <w:tab/>
      </w:r>
      <w:r w:rsidRPr="00A3702D">
        <w:rPr>
          <w:rFonts w:ascii="Times New Roman" w:eastAsia="Times New Roman" w:hAnsi="Times New Roman" w:cs="Times New Roman"/>
          <w:b/>
          <w:sz w:val="24"/>
          <w:szCs w:val="24"/>
        </w:rPr>
        <w:t xml:space="preserve">Total Burden: </w:t>
      </w:r>
      <w:r w:rsidRPr="00A3702D">
        <w:rPr>
          <w:rFonts w:ascii="Times New Roman" w:eastAsia="Times New Roman" w:hAnsi="Times New Roman" w:cs="Times New Roman"/>
          <w:b/>
          <w:sz w:val="24"/>
          <w:szCs w:val="24"/>
        </w:rPr>
        <w:tab/>
      </w:r>
      <w:r w:rsidR="00A8474B">
        <w:rPr>
          <w:rFonts w:ascii="Times New Roman" w:eastAsia="Times New Roman" w:hAnsi="Times New Roman" w:cs="Times New Roman"/>
          <w:b/>
          <w:sz w:val="24"/>
          <w:szCs w:val="24"/>
        </w:rPr>
        <w:t>27</w:t>
      </w:r>
      <w:r w:rsidR="00C77768">
        <w:rPr>
          <w:rFonts w:ascii="Times New Roman" w:eastAsia="Times New Roman" w:hAnsi="Times New Roman" w:cs="Times New Roman"/>
          <w:b/>
          <w:sz w:val="24"/>
          <w:szCs w:val="24"/>
        </w:rPr>
        <w:t>5</w:t>
      </w:r>
      <w:r w:rsidR="003526A5" w:rsidRPr="00A3702D">
        <w:rPr>
          <w:rFonts w:ascii="Times New Roman" w:eastAsia="Times New Roman" w:hAnsi="Times New Roman" w:cs="Times New Roman"/>
          <w:b/>
          <w:sz w:val="24"/>
          <w:szCs w:val="24"/>
        </w:rPr>
        <w:t xml:space="preserve"> </w:t>
      </w:r>
      <w:r w:rsidRPr="00A3702D">
        <w:rPr>
          <w:rFonts w:ascii="Times New Roman" w:eastAsia="Times New Roman" w:hAnsi="Times New Roman" w:cs="Times New Roman"/>
          <w:b/>
          <w:sz w:val="24"/>
          <w:szCs w:val="24"/>
        </w:rPr>
        <w:t xml:space="preserve">recipients x 1 report/year = </w:t>
      </w:r>
      <w:r w:rsidR="001973F3">
        <w:rPr>
          <w:rFonts w:ascii="Times New Roman" w:eastAsia="Times New Roman" w:hAnsi="Times New Roman" w:cs="Times New Roman"/>
          <w:b/>
          <w:sz w:val="24"/>
          <w:szCs w:val="24"/>
        </w:rPr>
        <w:t xml:space="preserve"> </w:t>
      </w:r>
      <w:r w:rsidR="00DA4C59">
        <w:rPr>
          <w:rFonts w:ascii="Times New Roman" w:eastAsia="Times New Roman" w:hAnsi="Times New Roman" w:cs="Times New Roman"/>
          <w:b/>
          <w:sz w:val="24"/>
          <w:szCs w:val="24"/>
        </w:rPr>
        <w:t>662</w:t>
      </w:r>
      <w:r w:rsidR="001973F3">
        <w:rPr>
          <w:rFonts w:ascii="Times New Roman" w:eastAsia="Times New Roman" w:hAnsi="Times New Roman" w:cs="Times New Roman"/>
          <w:b/>
          <w:sz w:val="24"/>
          <w:szCs w:val="24"/>
        </w:rPr>
        <w:t xml:space="preserve"> </w:t>
      </w:r>
      <w:r w:rsidRPr="00A3702D">
        <w:rPr>
          <w:rFonts w:ascii="Times New Roman" w:eastAsia="Times New Roman" w:hAnsi="Times New Roman" w:cs="Times New Roman"/>
          <w:b/>
          <w:sz w:val="24"/>
          <w:szCs w:val="24"/>
        </w:rPr>
        <w:t>hours annually</w:t>
      </w:r>
      <w:r w:rsidRPr="00A3702D">
        <w:rPr>
          <w:rFonts w:ascii="Times New Roman" w:eastAsia="Times New Roman" w:hAnsi="Times New Roman" w:cs="Times New Roman"/>
          <w:color w:val="00B0F0"/>
          <w:sz w:val="24"/>
          <w:szCs w:val="24"/>
        </w:rPr>
        <w:t xml:space="preserve">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ind w:left="360"/>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bookmarkStart w:id="1" w:name="OLE_LINK1"/>
      <w:bookmarkStart w:id="2" w:name="OLE_LINK2"/>
      <w:r w:rsidRPr="00A3702D">
        <w:rPr>
          <w:rFonts w:ascii="Times New Roman" w:eastAsia="Times New Roman" w:hAnsi="Times New Roman" w:cs="Times New Roman"/>
          <w:b/>
          <w:sz w:val="24"/>
          <w:szCs w:val="24"/>
          <w:u w:val="single"/>
        </w:rPr>
        <w:t xml:space="preserve">13. Provide an estimate for the total annual cost burden to respondents or </w:t>
      </w:r>
      <w:r w:rsidR="00AD7E19" w:rsidRPr="00A3702D">
        <w:rPr>
          <w:rFonts w:ascii="Times New Roman" w:eastAsia="Times New Roman" w:hAnsi="Times New Roman" w:cs="Times New Roman"/>
          <w:b/>
          <w:sz w:val="24"/>
          <w:szCs w:val="24"/>
          <w:u w:val="single"/>
        </w:rPr>
        <w:t>record-keepers</w:t>
      </w:r>
      <w:r w:rsidRPr="00A3702D">
        <w:rPr>
          <w:rFonts w:ascii="Times New Roman" w:eastAsia="Times New Roman" w:hAnsi="Times New Roman" w:cs="Times New Roman"/>
          <w:b/>
          <w:sz w:val="24"/>
          <w:szCs w:val="24"/>
          <w:u w:val="single"/>
        </w:rPr>
        <w:t xml:space="preserve"> resulting from the collection of information.  (Do not include the cost of any hour burden shown in Items 12 and 14).</w:t>
      </w:r>
    </w:p>
    <w:p w:rsidR="00A3702D" w:rsidRPr="00A3702D" w:rsidRDefault="00A3702D" w:rsidP="00A3702D">
      <w:pPr>
        <w:spacing w:after="0" w:line="240" w:lineRule="auto"/>
        <w:rPr>
          <w:rFonts w:ascii="Times New Roman" w:eastAsia="Times New Roman" w:hAnsi="Times New Roman" w:cs="Times New Roman"/>
          <w:b/>
          <w:sz w:val="24"/>
          <w:szCs w:val="24"/>
          <w:u w:val="single"/>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There is no additional cost burden associated with this collection.</w:t>
      </w:r>
    </w:p>
    <w:p w:rsidR="00A3702D" w:rsidRPr="00A3702D" w:rsidRDefault="00A3702D" w:rsidP="00A3702D">
      <w:pPr>
        <w:spacing w:after="0" w:line="240" w:lineRule="auto"/>
        <w:rPr>
          <w:rFonts w:ascii="Times New Roman" w:eastAsia="Times New Roman" w:hAnsi="Times New Roman" w:cs="Times New Roman"/>
          <w:color w:val="FF0000"/>
          <w:sz w:val="24"/>
          <w:szCs w:val="24"/>
        </w:rPr>
      </w:pPr>
      <w:r w:rsidRPr="00A3702D">
        <w:rPr>
          <w:rFonts w:ascii="Times New Roman" w:eastAsia="Times New Roman" w:hAnsi="Times New Roman" w:cs="Times New Roman"/>
          <w:sz w:val="24"/>
          <w:szCs w:val="24"/>
        </w:rPr>
        <w:t xml:space="preserve"> </w:t>
      </w:r>
      <w:bookmarkEnd w:id="1"/>
      <w:bookmarkEnd w:id="2"/>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 xml:space="preserve">14. Provide estimates of annualized costs to the Federal government.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ind w:left="360"/>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The estimated time required for DOE Project Management Center (FMC) staff to review each annual report is five minutes.</w:t>
      </w:r>
    </w:p>
    <w:p w:rsidR="00A3702D" w:rsidRPr="00A3702D" w:rsidRDefault="00A3702D" w:rsidP="00A3702D">
      <w:pPr>
        <w:spacing w:after="0" w:line="240" w:lineRule="auto"/>
        <w:ind w:left="360"/>
        <w:rPr>
          <w:rFonts w:ascii="Times New Roman" w:eastAsia="Times New Roman" w:hAnsi="Times New Roman" w:cs="Times New Roman"/>
          <w:color w:val="112BAF"/>
          <w:sz w:val="24"/>
          <w:szCs w:val="24"/>
        </w:rPr>
      </w:pPr>
    </w:p>
    <w:p w:rsidR="00A3702D" w:rsidRPr="00A3702D" w:rsidRDefault="00A3702D" w:rsidP="00CB5921">
      <w:pPr>
        <w:spacing w:after="0" w:line="240" w:lineRule="auto"/>
        <w:ind w:left="360"/>
        <w:rPr>
          <w:rFonts w:ascii="Times New Roman" w:eastAsia="Times New Roman" w:hAnsi="Times New Roman" w:cs="Times New Roman"/>
          <w:sz w:val="24"/>
          <w:szCs w:val="24"/>
          <w:highlight w:val="yellow"/>
        </w:rPr>
      </w:pPr>
      <w:r w:rsidRPr="00A3702D">
        <w:rPr>
          <w:rFonts w:ascii="Times New Roman" w:eastAsia="Times New Roman" w:hAnsi="Times New Roman" w:cs="Times New Roman"/>
          <w:sz w:val="24"/>
          <w:szCs w:val="24"/>
        </w:rPr>
        <w:t xml:space="preserve">Burden: </w:t>
      </w:r>
      <w:r w:rsidR="005B1E20">
        <w:rPr>
          <w:rFonts w:ascii="Times New Roman" w:eastAsia="Times New Roman" w:hAnsi="Times New Roman" w:cs="Times New Roman"/>
          <w:sz w:val="24"/>
          <w:szCs w:val="24"/>
        </w:rPr>
        <w:t>19</w:t>
      </w:r>
      <w:r w:rsidRPr="00A3702D">
        <w:rPr>
          <w:rFonts w:ascii="Times New Roman" w:eastAsia="Times New Roman" w:hAnsi="Times New Roman" w:cs="Times New Roman"/>
          <w:sz w:val="24"/>
          <w:szCs w:val="24"/>
        </w:rPr>
        <w:t xml:space="preserve"> Project Officers </w:t>
      </w:r>
      <w:r w:rsidR="00CA5BB5">
        <w:rPr>
          <w:rFonts w:ascii="Times New Roman" w:eastAsia="Times New Roman" w:hAnsi="Times New Roman" w:cs="Times New Roman"/>
          <w:sz w:val="24"/>
          <w:szCs w:val="24"/>
        </w:rPr>
        <w:t>=</w:t>
      </w:r>
      <w:r w:rsidR="00E33C2F" w:rsidRPr="00A370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 xml:space="preserve">5 mins </w:t>
      </w:r>
      <w:r w:rsidR="00CA5BB5">
        <w:rPr>
          <w:rFonts w:ascii="Times New Roman" w:eastAsia="Times New Roman" w:hAnsi="Times New Roman" w:cs="Times New Roman"/>
          <w:sz w:val="24"/>
          <w:szCs w:val="24"/>
        </w:rPr>
        <w:t>x</w:t>
      </w:r>
      <w:r w:rsidRPr="00A3702D">
        <w:rPr>
          <w:rFonts w:ascii="Times New Roman" w:eastAsia="Times New Roman" w:hAnsi="Times New Roman" w:cs="Times New Roman"/>
          <w:sz w:val="24"/>
          <w:szCs w:val="24"/>
        </w:rPr>
        <w:t xml:space="preserve"> $</w:t>
      </w:r>
      <w:r w:rsidR="00CA5BB5">
        <w:rPr>
          <w:rFonts w:ascii="Times New Roman" w:eastAsia="Times New Roman" w:hAnsi="Times New Roman" w:cs="Times New Roman"/>
          <w:sz w:val="24"/>
          <w:szCs w:val="24"/>
        </w:rPr>
        <w:t>90</w:t>
      </w:r>
      <w:r w:rsidRPr="00A3702D">
        <w:rPr>
          <w:rFonts w:ascii="Times New Roman" w:eastAsia="Times New Roman" w:hAnsi="Times New Roman" w:cs="Times New Roman"/>
          <w:sz w:val="24"/>
          <w:szCs w:val="24"/>
        </w:rPr>
        <w:t xml:space="preserve"> (</w:t>
      </w:r>
      <w:r w:rsidR="00CA5BB5">
        <w:rPr>
          <w:rFonts w:ascii="Times New Roman" w:eastAsia="Times New Roman" w:hAnsi="Times New Roman" w:cs="Times New Roman"/>
          <w:sz w:val="24"/>
          <w:szCs w:val="24"/>
        </w:rPr>
        <w:t xml:space="preserve">$45 </w:t>
      </w:r>
      <w:r w:rsidRPr="00A3702D">
        <w:rPr>
          <w:rFonts w:ascii="Times New Roman" w:eastAsia="Times New Roman" w:hAnsi="Times New Roman" w:cs="Times New Roman"/>
          <w:sz w:val="24"/>
          <w:szCs w:val="24"/>
        </w:rPr>
        <w:t>hourly wage</w:t>
      </w:r>
      <w:r w:rsidR="00CA5BB5">
        <w:rPr>
          <w:rFonts w:ascii="Times New Roman" w:eastAsia="Times New Roman" w:hAnsi="Times New Roman" w:cs="Times New Roman"/>
          <w:sz w:val="24"/>
          <w:szCs w:val="24"/>
        </w:rPr>
        <w:t xml:space="preserve"> x 2</w:t>
      </w:r>
      <w:r w:rsidRPr="00A3702D">
        <w:rPr>
          <w:rFonts w:ascii="Times New Roman" w:eastAsia="Times New Roman" w:hAnsi="Times New Roman" w:cs="Times New Roman"/>
          <w:sz w:val="24"/>
          <w:szCs w:val="24"/>
        </w:rPr>
        <w:t xml:space="preserve">) </w:t>
      </w:r>
      <w:r w:rsidR="00E33C2F">
        <w:rPr>
          <w:rFonts w:ascii="Times New Roman" w:eastAsia="Times New Roman" w:hAnsi="Times New Roman" w:cs="Times New Roman"/>
          <w:sz w:val="24"/>
          <w:szCs w:val="24"/>
        </w:rPr>
        <w:t>x</w:t>
      </w:r>
      <w:r w:rsidR="00E33C2F" w:rsidRPr="00A3702D">
        <w:rPr>
          <w:rFonts w:ascii="Times New Roman" w:eastAsia="Times New Roman" w:hAnsi="Times New Roman" w:cs="Times New Roman"/>
          <w:sz w:val="24"/>
          <w:szCs w:val="24"/>
        </w:rPr>
        <w:t xml:space="preserve"> </w:t>
      </w:r>
      <w:r w:rsidR="00C50626">
        <w:rPr>
          <w:rFonts w:ascii="Times New Roman" w:eastAsia="Times New Roman" w:hAnsi="Times New Roman" w:cs="Times New Roman"/>
          <w:sz w:val="24"/>
          <w:szCs w:val="24"/>
        </w:rPr>
        <w:t xml:space="preserve"> </w:t>
      </w:r>
      <w:r w:rsidR="006E3D65">
        <w:rPr>
          <w:rFonts w:ascii="Times New Roman" w:eastAsia="Times New Roman" w:hAnsi="Times New Roman" w:cs="Times New Roman"/>
          <w:sz w:val="24"/>
          <w:szCs w:val="24"/>
        </w:rPr>
        <w:t xml:space="preserve">271 </w:t>
      </w:r>
      <w:r w:rsidR="00C50626">
        <w:rPr>
          <w:rFonts w:ascii="Times New Roman" w:eastAsia="Times New Roman" w:hAnsi="Times New Roman" w:cs="Times New Roman"/>
          <w:sz w:val="24"/>
          <w:szCs w:val="24"/>
        </w:rPr>
        <w:t>(hrs./yr)</w:t>
      </w:r>
      <w:r w:rsidR="00F7364B" w:rsidRPr="00A3702D">
        <w:rPr>
          <w:rFonts w:ascii="Times New Roman" w:eastAsia="Times New Roman" w:hAnsi="Times New Roman" w:cs="Times New Roman"/>
          <w:sz w:val="24"/>
          <w:szCs w:val="24"/>
        </w:rPr>
        <w:t xml:space="preserve"> </w:t>
      </w:r>
      <w:r w:rsidRPr="00A3702D">
        <w:rPr>
          <w:rFonts w:ascii="Times New Roman" w:eastAsia="Times New Roman" w:hAnsi="Times New Roman" w:cs="Times New Roman"/>
          <w:sz w:val="24"/>
          <w:szCs w:val="24"/>
        </w:rPr>
        <w:t>= $</w:t>
      </w:r>
      <w:r w:rsidR="00CA5BB5">
        <w:rPr>
          <w:rFonts w:ascii="Times New Roman" w:eastAsia="Times New Roman" w:hAnsi="Times New Roman" w:cs="Times New Roman"/>
          <w:sz w:val="24"/>
          <w:szCs w:val="24"/>
        </w:rPr>
        <w:t>2</w:t>
      </w:r>
      <w:r w:rsidR="00F7364B">
        <w:rPr>
          <w:rFonts w:ascii="Times New Roman" w:eastAsia="Times New Roman" w:hAnsi="Times New Roman" w:cs="Times New Roman"/>
          <w:sz w:val="24"/>
          <w:szCs w:val="24"/>
        </w:rPr>
        <w:t>,</w:t>
      </w:r>
      <w:r w:rsidR="00CA5BB5">
        <w:rPr>
          <w:rFonts w:ascii="Times New Roman" w:eastAsia="Times New Roman" w:hAnsi="Times New Roman" w:cs="Times New Roman"/>
          <w:sz w:val="24"/>
          <w:szCs w:val="24"/>
        </w:rPr>
        <w:t>032</w:t>
      </w:r>
      <w:r w:rsidR="006E3D65">
        <w:rPr>
          <w:rFonts w:ascii="Times New Roman" w:eastAsia="Times New Roman" w:hAnsi="Times New Roman" w:cs="Times New Roman"/>
          <w:sz w:val="24"/>
          <w:szCs w:val="24"/>
        </w:rPr>
        <w:t>.0</w:t>
      </w:r>
      <w:r w:rsidR="00F7364B">
        <w:rPr>
          <w:rFonts w:ascii="Times New Roman" w:eastAsia="Times New Roman" w:hAnsi="Times New Roman" w:cs="Times New Roman"/>
          <w:sz w:val="24"/>
          <w:szCs w:val="24"/>
        </w:rPr>
        <w:t>0</w:t>
      </w: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15. Explain the reasons for any program changes or adjustments reported in Items 13 or 14 of the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AD5A26" w:rsidRDefault="00AD5A26" w:rsidP="00A3702D">
      <w:pPr>
        <w:spacing w:after="0" w:line="240" w:lineRule="auto"/>
        <w:rPr>
          <w:rFonts w:ascii="Times New Roman" w:eastAsia="Times New Roman" w:hAnsi="Times New Roman" w:cs="Times New Roman"/>
          <w:sz w:val="24"/>
          <w:szCs w:val="24"/>
        </w:rPr>
      </w:pPr>
    </w:p>
    <w:p w:rsidR="00AD5A26" w:rsidRDefault="00AD5A26" w:rsidP="00A3702D">
      <w:pPr>
        <w:spacing w:after="0" w:line="240" w:lineRule="auto"/>
        <w:rPr>
          <w:rFonts w:ascii="Times New Roman" w:eastAsia="Times New Roman" w:hAnsi="Times New Roman" w:cs="Times New Roman"/>
          <w:sz w:val="24"/>
          <w:szCs w:val="24"/>
        </w:rPr>
      </w:pPr>
    </w:p>
    <w:p w:rsidR="00CD487D" w:rsidRPr="009D5651" w:rsidRDefault="00CD487D" w:rsidP="00A3702D">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w:t>
      </w:r>
      <w:r w:rsidR="00A3702D" w:rsidRPr="00A3702D">
        <w:rPr>
          <w:rFonts w:ascii="Times New Roman" w:eastAsia="Times New Roman" w:hAnsi="Times New Roman" w:cs="Times New Roman"/>
          <w:sz w:val="24"/>
          <w:szCs w:val="24"/>
        </w:rPr>
        <w:t xml:space="preserve">e now </w:t>
      </w:r>
      <w:r w:rsidR="00DF1137">
        <w:rPr>
          <w:rFonts w:ascii="Times New Roman" w:eastAsia="Times New Roman" w:hAnsi="Times New Roman" w:cs="Times New Roman"/>
          <w:sz w:val="24"/>
          <w:szCs w:val="24"/>
        </w:rPr>
        <w:t>e</w:t>
      </w:r>
      <w:r w:rsidR="00E56CB3">
        <w:rPr>
          <w:rFonts w:ascii="Times New Roman" w:eastAsia="Times New Roman" w:hAnsi="Times New Roman" w:cs="Times New Roman"/>
          <w:sz w:val="24"/>
          <w:szCs w:val="24"/>
        </w:rPr>
        <w:t>s</w:t>
      </w:r>
      <w:r w:rsidR="00DF1137">
        <w:rPr>
          <w:rFonts w:ascii="Times New Roman" w:eastAsia="Times New Roman" w:hAnsi="Times New Roman" w:cs="Times New Roman"/>
          <w:sz w:val="24"/>
          <w:szCs w:val="24"/>
        </w:rPr>
        <w:t>timate</w:t>
      </w:r>
      <w:r w:rsidR="00A3702D" w:rsidRPr="00A3702D">
        <w:rPr>
          <w:rFonts w:ascii="Times New Roman" w:eastAsia="Times New Roman" w:hAnsi="Times New Roman" w:cs="Times New Roman"/>
          <w:sz w:val="24"/>
          <w:szCs w:val="24"/>
        </w:rPr>
        <w:t xml:space="preserve"> annualized costs to the federal government </w:t>
      </w:r>
      <w:r w:rsidR="00DF1137">
        <w:rPr>
          <w:rFonts w:ascii="Times New Roman" w:eastAsia="Times New Roman" w:hAnsi="Times New Roman" w:cs="Times New Roman"/>
          <w:sz w:val="24"/>
          <w:szCs w:val="24"/>
        </w:rPr>
        <w:t>at</w:t>
      </w:r>
      <w:r w:rsidR="00DF1137" w:rsidRPr="00A3702D">
        <w:rPr>
          <w:rFonts w:ascii="Times New Roman" w:eastAsia="Times New Roman" w:hAnsi="Times New Roman" w:cs="Times New Roman"/>
          <w:sz w:val="24"/>
          <w:szCs w:val="24"/>
        </w:rPr>
        <w:t xml:space="preserve"> </w:t>
      </w:r>
      <w:r w:rsidR="00F7364B">
        <w:rPr>
          <w:rFonts w:ascii="Times New Roman" w:eastAsia="Times New Roman" w:hAnsi="Times New Roman" w:cs="Times New Roman"/>
          <w:sz w:val="24"/>
          <w:szCs w:val="24"/>
        </w:rPr>
        <w:t>$2,</w:t>
      </w:r>
      <w:r w:rsidR="00EB6188">
        <w:rPr>
          <w:rFonts w:ascii="Times New Roman" w:eastAsia="Times New Roman" w:hAnsi="Times New Roman" w:cs="Times New Roman"/>
          <w:sz w:val="24"/>
          <w:szCs w:val="24"/>
        </w:rPr>
        <w:t>032</w:t>
      </w:r>
      <w:r w:rsidR="00F7364B">
        <w:rPr>
          <w:rFonts w:ascii="Times New Roman" w:eastAsia="Times New Roman" w:hAnsi="Times New Roman" w:cs="Times New Roman"/>
          <w:sz w:val="24"/>
          <w:szCs w:val="24"/>
        </w:rPr>
        <w:t>.</w:t>
      </w:r>
      <w:r w:rsidR="00EB6188">
        <w:rPr>
          <w:rFonts w:ascii="Times New Roman" w:eastAsia="Times New Roman" w:hAnsi="Times New Roman" w:cs="Times New Roman"/>
          <w:sz w:val="24"/>
          <w:szCs w:val="24"/>
        </w:rPr>
        <w:t>0</w:t>
      </w:r>
      <w:r w:rsidR="00F7364B">
        <w:rPr>
          <w:rFonts w:ascii="Times New Roman" w:eastAsia="Times New Roman" w:hAnsi="Times New Roman" w:cs="Times New Roman"/>
          <w:sz w:val="24"/>
          <w:szCs w:val="24"/>
        </w:rPr>
        <w:t xml:space="preserve">0 </w:t>
      </w:r>
      <w:r w:rsidR="00A3702D" w:rsidRPr="00A3702D">
        <w:rPr>
          <w:rFonts w:ascii="Times New Roman" w:eastAsia="Times New Roman" w:hAnsi="Times New Roman" w:cs="Times New Roman"/>
          <w:sz w:val="24"/>
          <w:szCs w:val="24"/>
        </w:rPr>
        <w:t>based on the number of project officers that review each report before it is approved in the PAGE system</w:t>
      </w:r>
      <w:r w:rsidR="00D04FB1">
        <w:rPr>
          <w:rFonts w:ascii="Times New Roman" w:eastAsia="Times New Roman" w:hAnsi="Times New Roman" w:cs="Times New Roman"/>
          <w:sz w:val="24"/>
          <w:szCs w:val="24"/>
        </w:rPr>
        <w:t xml:space="preserve"> or reports received by email</w:t>
      </w:r>
      <w:r w:rsidR="00A3702D" w:rsidRPr="00A3702D">
        <w:rPr>
          <w:rFonts w:ascii="Times New Roman" w:eastAsia="Times New Roman" w:hAnsi="Times New Roman" w:cs="Times New Roman"/>
          <w:sz w:val="24"/>
          <w:szCs w:val="24"/>
        </w:rPr>
        <w:t xml:space="preserve">. </w:t>
      </w:r>
      <w:r w:rsidR="00F83420">
        <w:rPr>
          <w:rFonts w:ascii="Times New Roman" w:eastAsia="Times New Roman" w:hAnsi="Times New Roman" w:cs="Times New Roman"/>
          <w:sz w:val="24"/>
          <w:szCs w:val="24"/>
        </w:rPr>
        <w:t xml:space="preserve">The number of respondents dropped from 2,473 to 271 </w:t>
      </w:r>
      <w:r w:rsidR="006A3002">
        <w:rPr>
          <w:rFonts w:ascii="Times New Roman" w:eastAsia="Times New Roman" w:hAnsi="Times New Roman" w:cs="Times New Roman"/>
          <w:sz w:val="24"/>
          <w:szCs w:val="24"/>
        </w:rPr>
        <w:t>based on the closeout of all EECBG grants.  Any</w:t>
      </w:r>
      <w:r w:rsidR="000E4E03">
        <w:rPr>
          <w:rFonts w:ascii="Times New Roman" w:eastAsia="Times New Roman" w:hAnsi="Times New Roman" w:cs="Times New Roman"/>
          <w:sz w:val="24"/>
          <w:szCs w:val="24"/>
        </w:rPr>
        <w:t xml:space="preserve"> EECBG or SEP</w:t>
      </w:r>
      <w:r w:rsidR="006A3002">
        <w:rPr>
          <w:rFonts w:ascii="Times New Roman" w:eastAsia="Times New Roman" w:hAnsi="Times New Roman" w:cs="Times New Roman"/>
          <w:sz w:val="24"/>
          <w:szCs w:val="24"/>
        </w:rPr>
        <w:t xml:space="preserve"> financial programs have been continued</w:t>
      </w:r>
      <w:r w:rsidR="00DF1137">
        <w:rPr>
          <w:rFonts w:ascii="Times New Roman" w:eastAsia="Times New Roman" w:hAnsi="Times New Roman" w:cs="Times New Roman"/>
          <w:sz w:val="24"/>
          <w:szCs w:val="24"/>
        </w:rPr>
        <w:t xml:space="preserve"> and are included in the counts</w:t>
      </w:r>
      <w:r w:rsidR="000E4E03">
        <w:rPr>
          <w:rFonts w:ascii="Times New Roman" w:eastAsia="Times New Roman" w:hAnsi="Times New Roman" w:cs="Times New Roman"/>
          <w:sz w:val="24"/>
          <w:szCs w:val="24"/>
        </w:rPr>
        <w:t>.  T</w:t>
      </w:r>
      <w:r w:rsidR="00F83420">
        <w:rPr>
          <w:rFonts w:ascii="Times New Roman" w:eastAsia="Times New Roman" w:hAnsi="Times New Roman" w:cs="Times New Roman"/>
          <w:sz w:val="24"/>
          <w:szCs w:val="24"/>
        </w:rPr>
        <w:t xml:space="preserve">he number of burden hours </w:t>
      </w:r>
      <w:r w:rsidR="000E4E03">
        <w:rPr>
          <w:rFonts w:ascii="Times New Roman" w:eastAsia="Times New Roman" w:hAnsi="Times New Roman" w:cs="Times New Roman"/>
          <w:sz w:val="24"/>
          <w:szCs w:val="24"/>
        </w:rPr>
        <w:t xml:space="preserve">dropped </w:t>
      </w:r>
      <w:r w:rsidR="00F83420">
        <w:rPr>
          <w:rFonts w:ascii="Times New Roman" w:eastAsia="Times New Roman" w:hAnsi="Times New Roman" w:cs="Times New Roman"/>
          <w:sz w:val="24"/>
          <w:szCs w:val="24"/>
        </w:rPr>
        <w:t xml:space="preserve">from 5,264 to </w:t>
      </w:r>
      <w:r w:rsidR="00CA6756">
        <w:rPr>
          <w:rFonts w:ascii="Times New Roman" w:eastAsia="Times New Roman" w:hAnsi="Times New Roman" w:cs="Times New Roman"/>
          <w:sz w:val="24"/>
          <w:szCs w:val="24"/>
        </w:rPr>
        <w:t>542.  In addition, the number of hours per year</w:t>
      </w:r>
      <w:r w:rsidR="00DF1137">
        <w:rPr>
          <w:rFonts w:ascii="Times New Roman" w:eastAsia="Times New Roman" w:hAnsi="Times New Roman" w:cs="Times New Roman"/>
          <w:sz w:val="24"/>
          <w:szCs w:val="24"/>
        </w:rPr>
        <w:t xml:space="preserve"> </w:t>
      </w:r>
      <w:r w:rsidR="000E4E03">
        <w:rPr>
          <w:rFonts w:ascii="Times New Roman" w:eastAsia="Times New Roman" w:hAnsi="Times New Roman" w:cs="Times New Roman"/>
          <w:sz w:val="24"/>
          <w:szCs w:val="24"/>
        </w:rPr>
        <w:t>decreased</w:t>
      </w:r>
      <w:r w:rsidR="00CA6756">
        <w:rPr>
          <w:rFonts w:ascii="Times New Roman" w:eastAsia="Times New Roman" w:hAnsi="Times New Roman" w:cs="Times New Roman"/>
          <w:sz w:val="24"/>
          <w:szCs w:val="24"/>
        </w:rPr>
        <w:t xml:space="preserve"> from four to two</w:t>
      </w:r>
      <w:r w:rsidR="000E4E03">
        <w:rPr>
          <w:rFonts w:ascii="Times New Roman" w:eastAsia="Times New Roman" w:hAnsi="Times New Roman" w:cs="Times New Roman"/>
          <w:sz w:val="24"/>
          <w:szCs w:val="24"/>
        </w:rPr>
        <w:t xml:space="preserve"> hours</w:t>
      </w:r>
      <w:r w:rsidR="00CA6756">
        <w:rPr>
          <w:rFonts w:ascii="Times New Roman" w:eastAsia="Times New Roman" w:hAnsi="Times New Roman" w:cs="Times New Roman"/>
          <w:sz w:val="24"/>
          <w:szCs w:val="24"/>
        </w:rPr>
        <w:t xml:space="preserve"> for WAP based on experience with the report and the program. </w:t>
      </w:r>
      <w:r w:rsidR="00DA392B">
        <w:rPr>
          <w:rFonts w:ascii="Times New Roman" w:eastAsia="Times New Roman" w:hAnsi="Times New Roman" w:cs="Times New Roman"/>
          <w:color w:val="FF0000"/>
          <w:sz w:val="24"/>
          <w:szCs w:val="24"/>
        </w:rPr>
        <w:t>.</w:t>
      </w:r>
    </w:p>
    <w:p w:rsidR="00CD487D" w:rsidRDefault="00CD487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The information collected is not intended to be published at this time. No complex analytical techniques will be employed.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17.  If seeking approval to not display the expiration date for OMB approval of the information collection, explain the reasons that display would be inappropriate.</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sz w:val="24"/>
          <w:szCs w:val="24"/>
        </w:rPr>
      </w:pPr>
      <w:r w:rsidRPr="00A3702D">
        <w:rPr>
          <w:rFonts w:ascii="Times New Roman" w:eastAsia="Times New Roman" w:hAnsi="Times New Roman" w:cs="Times New Roman"/>
          <w:sz w:val="24"/>
          <w:szCs w:val="24"/>
        </w:rPr>
        <w:t xml:space="preserve">DOE is not seeking approval to not display the expiration date for OMB approval of this information collection.  </w:t>
      </w:r>
    </w:p>
    <w:p w:rsidR="00A3702D" w:rsidRPr="00A3702D" w:rsidRDefault="00A3702D" w:rsidP="00A3702D">
      <w:pPr>
        <w:spacing w:after="0" w:line="240" w:lineRule="auto"/>
        <w:rPr>
          <w:rFonts w:ascii="Times New Roman" w:eastAsia="Times New Roman" w:hAnsi="Times New Roman" w:cs="Times New Roman"/>
          <w:sz w:val="24"/>
          <w:szCs w:val="24"/>
        </w:rPr>
      </w:pPr>
    </w:p>
    <w:p w:rsidR="00A3702D" w:rsidRPr="00A3702D" w:rsidRDefault="00A3702D" w:rsidP="00A3702D">
      <w:pPr>
        <w:spacing w:after="0" w:line="240" w:lineRule="auto"/>
        <w:rPr>
          <w:rFonts w:ascii="Times New Roman" w:eastAsia="Times New Roman" w:hAnsi="Times New Roman" w:cs="Times New Roman"/>
          <w:b/>
          <w:sz w:val="24"/>
          <w:szCs w:val="24"/>
          <w:u w:val="single"/>
        </w:rPr>
      </w:pPr>
      <w:r w:rsidRPr="00A3702D">
        <w:rPr>
          <w:rFonts w:ascii="Times New Roman" w:eastAsia="Times New Roman" w:hAnsi="Times New Roman" w:cs="Times New Roman"/>
          <w:b/>
          <w:sz w:val="24"/>
          <w:szCs w:val="24"/>
          <w:u w:val="single"/>
        </w:rPr>
        <w:t>18. Explain each exception to the certification statement identified in Item 19, "Certification for Paperwork Reduction Act Submissions," of OMB Form 83-I.</w:t>
      </w:r>
    </w:p>
    <w:p w:rsidR="00A3702D" w:rsidRPr="00A3702D" w:rsidRDefault="00A3702D" w:rsidP="00A3702D">
      <w:pPr>
        <w:spacing w:after="0" w:line="240" w:lineRule="auto"/>
        <w:rPr>
          <w:rFonts w:ascii="Times New Roman" w:eastAsia="Times New Roman" w:hAnsi="Times New Roman" w:cs="Times New Roman"/>
          <w:sz w:val="24"/>
          <w:szCs w:val="24"/>
        </w:rPr>
      </w:pPr>
    </w:p>
    <w:p w:rsidR="00C46E99" w:rsidRDefault="00A3702D" w:rsidP="00A3702D">
      <w:r w:rsidRPr="00A3702D">
        <w:rPr>
          <w:rFonts w:ascii="Times New Roman" w:eastAsia="Times New Roman" w:hAnsi="Times New Roman" w:cs="Times New Roman"/>
          <w:sz w:val="24"/>
          <w:szCs w:val="24"/>
        </w:rPr>
        <w:t>There are no exceptions to the certification statement.</w:t>
      </w:r>
    </w:p>
    <w:sectPr w:rsidR="00C46E99" w:rsidSect="008E7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13F" w:rsidRDefault="002F713F" w:rsidP="00EB6177">
      <w:pPr>
        <w:spacing w:after="0" w:line="240" w:lineRule="auto"/>
      </w:pPr>
      <w:r>
        <w:separator/>
      </w:r>
    </w:p>
  </w:endnote>
  <w:endnote w:type="continuationSeparator" w:id="0">
    <w:p w:rsidR="002F713F" w:rsidRDefault="002F713F" w:rsidP="00EB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13F" w:rsidRDefault="002F713F" w:rsidP="00EB6177">
      <w:pPr>
        <w:spacing w:after="0" w:line="240" w:lineRule="auto"/>
      </w:pPr>
      <w:r>
        <w:separator/>
      </w:r>
    </w:p>
  </w:footnote>
  <w:footnote w:type="continuationSeparator" w:id="0">
    <w:p w:rsidR="002F713F" w:rsidRDefault="002F713F" w:rsidP="00EB6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A4F6A8E"/>
    <w:multiLevelType w:val="hybridMultilevel"/>
    <w:tmpl w:val="517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2D"/>
    <w:rsid w:val="00020FF2"/>
    <w:rsid w:val="00026A01"/>
    <w:rsid w:val="00031B89"/>
    <w:rsid w:val="000559D0"/>
    <w:rsid w:val="000E4E03"/>
    <w:rsid w:val="00196FD4"/>
    <w:rsid w:val="001973F3"/>
    <w:rsid w:val="001A78F1"/>
    <w:rsid w:val="00233752"/>
    <w:rsid w:val="002448C8"/>
    <w:rsid w:val="00245354"/>
    <w:rsid w:val="002F713F"/>
    <w:rsid w:val="003526A5"/>
    <w:rsid w:val="003A563C"/>
    <w:rsid w:val="003D7E10"/>
    <w:rsid w:val="00494CBC"/>
    <w:rsid w:val="004F46CB"/>
    <w:rsid w:val="005769FA"/>
    <w:rsid w:val="005914E0"/>
    <w:rsid w:val="005B1E20"/>
    <w:rsid w:val="00602E98"/>
    <w:rsid w:val="00611B60"/>
    <w:rsid w:val="0063488D"/>
    <w:rsid w:val="006762B7"/>
    <w:rsid w:val="006A3002"/>
    <w:rsid w:val="006E3D65"/>
    <w:rsid w:val="007307F1"/>
    <w:rsid w:val="00733734"/>
    <w:rsid w:val="00747453"/>
    <w:rsid w:val="007D7D21"/>
    <w:rsid w:val="008E7E24"/>
    <w:rsid w:val="00901A13"/>
    <w:rsid w:val="009138AD"/>
    <w:rsid w:val="009D5651"/>
    <w:rsid w:val="009F2C09"/>
    <w:rsid w:val="00A34933"/>
    <w:rsid w:val="00A3702D"/>
    <w:rsid w:val="00A42E2C"/>
    <w:rsid w:val="00A8474B"/>
    <w:rsid w:val="00AD5A26"/>
    <w:rsid w:val="00AD7E19"/>
    <w:rsid w:val="00B43C95"/>
    <w:rsid w:val="00C46BF7"/>
    <w:rsid w:val="00C46E99"/>
    <w:rsid w:val="00C50626"/>
    <w:rsid w:val="00C668FB"/>
    <w:rsid w:val="00C77768"/>
    <w:rsid w:val="00CA5BB5"/>
    <w:rsid w:val="00CA6756"/>
    <w:rsid w:val="00CB200A"/>
    <w:rsid w:val="00CB5921"/>
    <w:rsid w:val="00CD487D"/>
    <w:rsid w:val="00CF2D21"/>
    <w:rsid w:val="00D04FB1"/>
    <w:rsid w:val="00DA392B"/>
    <w:rsid w:val="00DA4C59"/>
    <w:rsid w:val="00DF1137"/>
    <w:rsid w:val="00E33C2F"/>
    <w:rsid w:val="00E56CB3"/>
    <w:rsid w:val="00EA26D5"/>
    <w:rsid w:val="00EB6177"/>
    <w:rsid w:val="00EB6188"/>
    <w:rsid w:val="00F7364B"/>
    <w:rsid w:val="00F83420"/>
    <w:rsid w:val="00FC172A"/>
    <w:rsid w:val="00FC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26"/>
    <w:rPr>
      <w:rFonts w:ascii="Tahoma" w:hAnsi="Tahoma" w:cs="Tahoma"/>
      <w:sz w:val="16"/>
      <w:szCs w:val="16"/>
    </w:rPr>
  </w:style>
  <w:style w:type="paragraph" w:styleId="Header">
    <w:name w:val="header"/>
    <w:basedOn w:val="Normal"/>
    <w:link w:val="HeaderChar"/>
    <w:uiPriority w:val="99"/>
    <w:unhideWhenUsed/>
    <w:rsid w:val="00EB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77"/>
  </w:style>
  <w:style w:type="paragraph" w:styleId="Footer">
    <w:name w:val="footer"/>
    <w:basedOn w:val="Normal"/>
    <w:link w:val="FooterChar"/>
    <w:uiPriority w:val="99"/>
    <w:unhideWhenUsed/>
    <w:rsid w:val="00EB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77"/>
  </w:style>
  <w:style w:type="paragraph" w:styleId="Revision">
    <w:name w:val="Revision"/>
    <w:hidden/>
    <w:uiPriority w:val="99"/>
    <w:semiHidden/>
    <w:rsid w:val="009F2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637">
      <w:bodyDiv w:val="1"/>
      <w:marLeft w:val="0"/>
      <w:marRight w:val="0"/>
      <w:marTop w:val="0"/>
      <w:marBottom w:val="0"/>
      <w:divBdr>
        <w:top w:val="none" w:sz="0" w:space="0" w:color="auto"/>
        <w:left w:val="none" w:sz="0" w:space="0" w:color="auto"/>
        <w:bottom w:val="none" w:sz="0" w:space="0" w:color="auto"/>
        <w:right w:val="none" w:sz="0" w:space="0" w:color="auto"/>
      </w:divBdr>
    </w:div>
    <w:div w:id="752824096">
      <w:bodyDiv w:val="1"/>
      <w:marLeft w:val="0"/>
      <w:marRight w:val="0"/>
      <w:marTop w:val="0"/>
      <w:marBottom w:val="0"/>
      <w:divBdr>
        <w:top w:val="none" w:sz="0" w:space="0" w:color="auto"/>
        <w:left w:val="none" w:sz="0" w:space="0" w:color="auto"/>
        <w:bottom w:val="none" w:sz="0" w:space="0" w:color="auto"/>
        <w:right w:val="none" w:sz="0" w:space="0" w:color="auto"/>
      </w:divBdr>
    </w:div>
    <w:div w:id="21419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926B-66BD-4FB0-8D43-34895FC6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2016-08-04T18:59:00Z</dcterms:created>
  <dcterms:modified xsi:type="dcterms:W3CDTF">2016-08-04T18:59:00Z</dcterms:modified>
</cp:coreProperties>
</file>