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6B187" w14:textId="77777777" w:rsidR="002D4FBB" w:rsidRPr="0030332B" w:rsidRDefault="0066034C">
      <w:pPr>
        <w:rPr>
          <w:sz w:val="22"/>
          <w:szCs w:val="22"/>
        </w:rPr>
        <w:sectPr w:rsidR="002D4FBB" w:rsidRPr="0030332B" w:rsidSect="004A064A">
          <w:headerReference w:type="default" r:id="rId11"/>
          <w:footerReference w:type="even" r:id="rId12"/>
          <w:footerReference w:type="default" r:id="rId13"/>
          <w:headerReference w:type="first" r:id="rId14"/>
          <w:pgSz w:w="12240" w:h="15840"/>
          <w:pgMar w:top="1440" w:right="1800" w:bottom="1440" w:left="1800" w:header="720" w:footer="720" w:gutter="0"/>
          <w:cols w:space="720"/>
          <w:titlePg/>
          <w:docGrid w:linePitch="360"/>
        </w:sectPr>
      </w:pPr>
      <w:bookmarkStart w:id="0" w:name="_GoBack"/>
      <w:bookmarkEnd w:id="0"/>
      <w:r>
        <w:rPr>
          <w:noProof/>
        </w:rPr>
        <w:object w:dxaOrig="1440" w:dyaOrig="1440" w14:anchorId="5C8CC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2pt;margin-top:57.35pt;width:147.8pt;height:53.95pt;z-index:-251658752;visibility:visible;mso-wrap-edited:f;mso-position-horizontal-relative:page;mso-position-vertical-relative:page">
            <v:imagedata r:id="rId15" o:title=""/>
            <w10:wrap anchorx="page" anchory="page"/>
          </v:shape>
          <o:OLEObject Type="Embed" ProgID="Word.Picture.8" ShapeID="_x0000_s1026" DrawAspect="Content" ObjectID="_1516019933" r:id="rId16"/>
        </w:object>
      </w:r>
    </w:p>
    <w:p w14:paraId="61E569F9" w14:textId="77777777" w:rsidR="002D4FBB" w:rsidRPr="0030332B" w:rsidRDefault="002D4FBB">
      <w:pPr>
        <w:rPr>
          <w:sz w:val="22"/>
          <w:szCs w:val="22"/>
        </w:rPr>
      </w:pPr>
    </w:p>
    <w:p w14:paraId="391F5ECF" w14:textId="77777777" w:rsidR="002D4FBB" w:rsidRDefault="002D4FBB" w:rsidP="00656CD6">
      <w:pPr>
        <w:jc w:val="both"/>
        <w:rPr>
          <w:sz w:val="22"/>
          <w:szCs w:val="22"/>
        </w:rPr>
      </w:pPr>
      <w:r w:rsidRPr="0030332B">
        <w:rPr>
          <w:sz w:val="22"/>
          <w:szCs w:val="22"/>
        </w:rPr>
        <w:br/>
      </w:r>
    </w:p>
    <w:p w14:paraId="0384ED84" w14:textId="77777777" w:rsidR="00EB570D" w:rsidRDefault="00EB570D" w:rsidP="005D0940">
      <w:pPr>
        <w:pStyle w:val="Default"/>
        <w:jc w:val="center"/>
        <w:rPr>
          <w:b/>
          <w:bCs/>
        </w:rPr>
      </w:pPr>
    </w:p>
    <w:p w14:paraId="1D988AEA" w14:textId="77777777" w:rsidR="002D4FBB" w:rsidRPr="007F3E76" w:rsidRDefault="002D4FBB" w:rsidP="005D0940">
      <w:pPr>
        <w:pStyle w:val="Default"/>
        <w:jc w:val="center"/>
        <w:rPr>
          <w:color w:val="auto"/>
        </w:rPr>
      </w:pPr>
      <w:r w:rsidRPr="00644191">
        <w:rPr>
          <w:b/>
          <w:bCs/>
        </w:rPr>
        <w:t xml:space="preserve">Grant </w:t>
      </w:r>
      <w:r w:rsidRPr="007F3E76">
        <w:rPr>
          <w:b/>
          <w:bCs/>
          <w:color w:val="auto"/>
        </w:rPr>
        <w:t>Programs Directorate Information Bulletin</w:t>
      </w:r>
    </w:p>
    <w:p w14:paraId="00160210" w14:textId="47F707A5" w:rsidR="002D4FBB" w:rsidRPr="007F3E76" w:rsidRDefault="002D4FBB" w:rsidP="005D0940">
      <w:pPr>
        <w:pStyle w:val="Default"/>
        <w:jc w:val="center"/>
        <w:rPr>
          <w:color w:val="auto"/>
        </w:rPr>
      </w:pPr>
      <w:r w:rsidRPr="007F3E76">
        <w:rPr>
          <w:b/>
          <w:bCs/>
          <w:color w:val="auto"/>
        </w:rPr>
        <w:t xml:space="preserve">No. </w:t>
      </w:r>
      <w:r w:rsidR="00FA120C">
        <w:rPr>
          <w:b/>
          <w:bCs/>
          <w:color w:val="auto"/>
        </w:rPr>
        <w:t>407</w:t>
      </w:r>
    </w:p>
    <w:p w14:paraId="6759C520" w14:textId="77777777" w:rsidR="002D4FBB" w:rsidRDefault="000A4141" w:rsidP="005D0940">
      <w:pPr>
        <w:pStyle w:val="Default"/>
        <w:jc w:val="center"/>
        <w:rPr>
          <w:b/>
          <w:bCs/>
          <w:color w:val="auto"/>
        </w:rPr>
      </w:pPr>
      <w:r w:rsidRPr="000A4141">
        <w:rPr>
          <w:b/>
          <w:bCs/>
          <w:color w:val="auto"/>
          <w:highlight w:val="yellow"/>
        </w:rPr>
        <w:t>Month</w:t>
      </w:r>
      <w:r w:rsidR="00D60B16" w:rsidRPr="000A4141">
        <w:rPr>
          <w:b/>
          <w:bCs/>
          <w:color w:val="auto"/>
          <w:highlight w:val="yellow"/>
        </w:rPr>
        <w:t xml:space="preserve"> XX</w:t>
      </w:r>
      <w:r w:rsidR="00D60B16">
        <w:rPr>
          <w:b/>
          <w:bCs/>
          <w:color w:val="auto"/>
        </w:rPr>
        <w:t>, 2015</w:t>
      </w:r>
    </w:p>
    <w:p w14:paraId="79EC47FF" w14:textId="77777777" w:rsidR="00EB570D" w:rsidRDefault="00EB570D" w:rsidP="005D0940">
      <w:pPr>
        <w:pStyle w:val="Default"/>
        <w:jc w:val="center"/>
        <w:rPr>
          <w:b/>
          <w:bCs/>
          <w:color w:val="auto"/>
        </w:rPr>
      </w:pPr>
    </w:p>
    <w:p w14:paraId="7892F446" w14:textId="77777777" w:rsidR="00EB570D" w:rsidRDefault="00EB570D" w:rsidP="00EB570D">
      <w:pPr>
        <w:pStyle w:val="Default"/>
        <w:rPr>
          <w:b/>
          <w:bCs/>
          <w:color w:val="auto"/>
        </w:rPr>
      </w:pPr>
    </w:p>
    <w:p w14:paraId="38B21E56" w14:textId="77777777" w:rsidR="00EB570D" w:rsidRPr="00ED63C0" w:rsidRDefault="00EB570D" w:rsidP="00EB570D">
      <w:pPr>
        <w:pStyle w:val="Default"/>
        <w:rPr>
          <w:sz w:val="22"/>
          <w:szCs w:val="22"/>
        </w:rPr>
      </w:pPr>
      <w:r w:rsidRPr="00ED63C0">
        <w:rPr>
          <w:b/>
          <w:bCs/>
          <w:sz w:val="22"/>
          <w:szCs w:val="22"/>
        </w:rPr>
        <w:t>MEMORANDUM FOR:</w:t>
      </w:r>
      <w:r w:rsidRPr="00ED63C0">
        <w:rPr>
          <w:b/>
          <w:bCs/>
          <w:sz w:val="22"/>
          <w:szCs w:val="22"/>
        </w:rPr>
        <w:tab/>
      </w:r>
      <w:r w:rsidRPr="00ED63C0">
        <w:rPr>
          <w:sz w:val="22"/>
          <w:szCs w:val="22"/>
        </w:rPr>
        <w:t xml:space="preserve">All State Administrative Agency Heads </w:t>
      </w:r>
    </w:p>
    <w:p w14:paraId="24429B4A" w14:textId="77777777" w:rsidR="00EB570D" w:rsidRPr="00ED63C0" w:rsidRDefault="00EB570D" w:rsidP="00EB570D">
      <w:pPr>
        <w:pStyle w:val="Default"/>
        <w:ind w:left="2880"/>
        <w:rPr>
          <w:sz w:val="22"/>
          <w:szCs w:val="22"/>
        </w:rPr>
      </w:pPr>
      <w:r w:rsidRPr="00ED63C0">
        <w:rPr>
          <w:sz w:val="22"/>
          <w:szCs w:val="22"/>
        </w:rPr>
        <w:t xml:space="preserve">All State Administrative Agency Points of Contact </w:t>
      </w:r>
    </w:p>
    <w:p w14:paraId="2A4C3BC1" w14:textId="77777777" w:rsidR="00EB570D" w:rsidRPr="00ED63C0" w:rsidRDefault="00EB570D" w:rsidP="00EB570D">
      <w:pPr>
        <w:pStyle w:val="Default"/>
        <w:ind w:left="2880"/>
        <w:rPr>
          <w:sz w:val="22"/>
          <w:szCs w:val="22"/>
        </w:rPr>
      </w:pPr>
      <w:r w:rsidRPr="00ED63C0">
        <w:rPr>
          <w:sz w:val="22"/>
          <w:szCs w:val="22"/>
        </w:rPr>
        <w:t xml:space="preserve">All Urban Area Security Initiative Points of Contact </w:t>
      </w:r>
    </w:p>
    <w:p w14:paraId="499D14BC" w14:textId="77777777" w:rsidR="00EB570D" w:rsidRPr="00ED63C0" w:rsidRDefault="00EB570D" w:rsidP="00EB570D">
      <w:pPr>
        <w:pStyle w:val="Default"/>
        <w:ind w:left="2880"/>
        <w:rPr>
          <w:sz w:val="22"/>
          <w:szCs w:val="22"/>
        </w:rPr>
      </w:pPr>
      <w:r w:rsidRPr="00ED63C0">
        <w:rPr>
          <w:sz w:val="22"/>
          <w:szCs w:val="22"/>
        </w:rPr>
        <w:t xml:space="preserve">All State Homeland Security Directors </w:t>
      </w:r>
    </w:p>
    <w:p w14:paraId="2A313DED" w14:textId="77777777" w:rsidR="00EB570D" w:rsidRPr="00ED63C0" w:rsidRDefault="00EB570D" w:rsidP="00EB570D">
      <w:pPr>
        <w:pStyle w:val="Default"/>
        <w:ind w:left="2880"/>
        <w:rPr>
          <w:sz w:val="22"/>
          <w:szCs w:val="22"/>
        </w:rPr>
      </w:pPr>
      <w:r w:rsidRPr="00ED63C0">
        <w:rPr>
          <w:sz w:val="22"/>
          <w:szCs w:val="22"/>
        </w:rPr>
        <w:t xml:space="preserve">All State Emergency Management Agency Directors </w:t>
      </w:r>
    </w:p>
    <w:p w14:paraId="3E216778" w14:textId="06639266" w:rsidR="000A4141" w:rsidRPr="00ED63C0" w:rsidRDefault="000A4141" w:rsidP="000A4141">
      <w:pPr>
        <w:tabs>
          <w:tab w:val="left" w:pos="2880"/>
        </w:tabs>
        <w:ind w:left="2880"/>
        <w:rPr>
          <w:sz w:val="22"/>
          <w:szCs w:val="22"/>
        </w:rPr>
      </w:pPr>
      <w:r w:rsidRPr="00ED63C0">
        <w:rPr>
          <w:sz w:val="22"/>
          <w:szCs w:val="22"/>
        </w:rPr>
        <w:t>All Eligible Transit Agencies</w:t>
      </w:r>
    </w:p>
    <w:p w14:paraId="228B2D2E" w14:textId="77777777" w:rsidR="000A4141" w:rsidRPr="00ED63C0" w:rsidRDefault="000A4141" w:rsidP="000A4141">
      <w:pPr>
        <w:tabs>
          <w:tab w:val="left" w:pos="2880"/>
        </w:tabs>
        <w:ind w:left="2880"/>
        <w:rPr>
          <w:sz w:val="22"/>
          <w:szCs w:val="22"/>
        </w:rPr>
      </w:pPr>
      <w:r w:rsidRPr="00ED63C0">
        <w:rPr>
          <w:sz w:val="22"/>
          <w:szCs w:val="22"/>
        </w:rPr>
        <w:t>All Private Sector Transportation Security Partners</w:t>
      </w:r>
    </w:p>
    <w:p w14:paraId="5050F53B" w14:textId="77777777" w:rsidR="000A4141" w:rsidRPr="00ED63C0" w:rsidRDefault="000A4141" w:rsidP="000A4141">
      <w:pPr>
        <w:tabs>
          <w:tab w:val="left" w:pos="2880"/>
        </w:tabs>
        <w:ind w:left="2880"/>
        <w:rPr>
          <w:sz w:val="22"/>
          <w:szCs w:val="22"/>
        </w:rPr>
      </w:pPr>
      <w:r w:rsidRPr="00ED63C0">
        <w:rPr>
          <w:sz w:val="22"/>
          <w:szCs w:val="22"/>
        </w:rPr>
        <w:t>All Public and Private Sector Port Security Partners</w:t>
      </w:r>
    </w:p>
    <w:p w14:paraId="4CDCC920" w14:textId="77777777" w:rsidR="000A4141" w:rsidRPr="00ED63C0" w:rsidRDefault="000A4141" w:rsidP="000A4141">
      <w:pPr>
        <w:tabs>
          <w:tab w:val="left" w:pos="2880"/>
        </w:tabs>
        <w:ind w:left="2880"/>
        <w:rPr>
          <w:sz w:val="22"/>
          <w:szCs w:val="22"/>
        </w:rPr>
      </w:pPr>
      <w:r w:rsidRPr="00ED63C0">
        <w:rPr>
          <w:sz w:val="22"/>
          <w:szCs w:val="22"/>
        </w:rPr>
        <w:t>All Tribal Nation Points of Contact</w:t>
      </w:r>
    </w:p>
    <w:p w14:paraId="4D1CB1A8" w14:textId="77777777" w:rsidR="000A4141" w:rsidRPr="00ED63C0" w:rsidRDefault="000A4141" w:rsidP="00EB570D">
      <w:pPr>
        <w:pStyle w:val="Default"/>
        <w:ind w:left="2880"/>
        <w:rPr>
          <w:sz w:val="22"/>
          <w:szCs w:val="22"/>
        </w:rPr>
      </w:pPr>
    </w:p>
    <w:p w14:paraId="60D85C7C" w14:textId="77777777" w:rsidR="00EB570D" w:rsidRPr="00ED63C0" w:rsidRDefault="00EB570D" w:rsidP="00EB570D">
      <w:pPr>
        <w:outlineLvl w:val="0"/>
        <w:rPr>
          <w:sz w:val="22"/>
          <w:szCs w:val="22"/>
        </w:rPr>
      </w:pPr>
      <w:r w:rsidRPr="00ED63C0">
        <w:rPr>
          <w:b/>
          <w:bCs/>
          <w:color w:val="000000"/>
          <w:sz w:val="22"/>
          <w:szCs w:val="22"/>
        </w:rPr>
        <w:t>FROM:</w:t>
      </w:r>
      <w:r w:rsidRPr="00ED63C0">
        <w:rPr>
          <w:b/>
          <w:bCs/>
          <w:sz w:val="22"/>
          <w:szCs w:val="22"/>
        </w:rPr>
        <w:t xml:space="preserve"> </w:t>
      </w:r>
      <w:r w:rsidRPr="00ED63C0">
        <w:rPr>
          <w:b/>
          <w:bCs/>
          <w:sz w:val="22"/>
          <w:szCs w:val="22"/>
        </w:rPr>
        <w:tab/>
      </w:r>
      <w:r w:rsidRPr="00ED63C0">
        <w:rPr>
          <w:b/>
          <w:bCs/>
          <w:sz w:val="22"/>
          <w:szCs w:val="22"/>
        </w:rPr>
        <w:tab/>
      </w:r>
      <w:r w:rsidRPr="00ED63C0">
        <w:rPr>
          <w:b/>
          <w:bCs/>
          <w:sz w:val="22"/>
          <w:szCs w:val="22"/>
        </w:rPr>
        <w:tab/>
      </w:r>
      <w:r w:rsidR="003D067F" w:rsidRPr="00ED63C0">
        <w:rPr>
          <w:sz w:val="22"/>
          <w:szCs w:val="22"/>
        </w:rPr>
        <w:t>Brian E. Kamoie</w:t>
      </w:r>
    </w:p>
    <w:p w14:paraId="6760F4CF" w14:textId="77777777" w:rsidR="00EB570D" w:rsidRPr="00ED63C0" w:rsidRDefault="00EB570D" w:rsidP="0087378A">
      <w:pPr>
        <w:ind w:left="2880"/>
        <w:rPr>
          <w:sz w:val="22"/>
          <w:szCs w:val="22"/>
        </w:rPr>
      </w:pPr>
      <w:r w:rsidRPr="00ED63C0">
        <w:rPr>
          <w:sz w:val="22"/>
          <w:szCs w:val="22"/>
        </w:rPr>
        <w:t>Assistant Administrator</w:t>
      </w:r>
      <w:r w:rsidR="001718BF" w:rsidRPr="00ED63C0">
        <w:rPr>
          <w:sz w:val="22"/>
          <w:szCs w:val="22"/>
        </w:rPr>
        <w:t xml:space="preserve"> for Grant Programs</w:t>
      </w:r>
    </w:p>
    <w:p w14:paraId="0D9C9B65" w14:textId="77777777" w:rsidR="00EB570D" w:rsidRPr="00581FC0" w:rsidRDefault="00EB570D" w:rsidP="00D60B16">
      <w:pPr>
        <w:ind w:left="2160" w:firstLine="720"/>
      </w:pPr>
      <w:r w:rsidRPr="00ED63C0">
        <w:rPr>
          <w:sz w:val="22"/>
          <w:szCs w:val="22"/>
        </w:rPr>
        <w:t>Federal Emergency Management Agency</w:t>
      </w:r>
      <w:r w:rsidRPr="00581FC0">
        <w:t xml:space="preserve"> </w:t>
      </w:r>
    </w:p>
    <w:p w14:paraId="4C021E46" w14:textId="77777777" w:rsidR="00EB570D" w:rsidRPr="00581FC0" w:rsidRDefault="00EB570D" w:rsidP="00EB570D">
      <w:pPr>
        <w:pStyle w:val="Default"/>
        <w:rPr>
          <w:b/>
          <w:bCs/>
        </w:rPr>
      </w:pPr>
    </w:p>
    <w:p w14:paraId="08504032" w14:textId="77777777" w:rsidR="00EB570D" w:rsidRPr="00581FC0" w:rsidRDefault="00EB570D" w:rsidP="00EB570D">
      <w:pPr>
        <w:pStyle w:val="Default"/>
        <w:ind w:left="2880" w:hanging="2880"/>
        <w:rPr>
          <w:b/>
        </w:rPr>
      </w:pPr>
      <w:r w:rsidRPr="00581FC0">
        <w:rPr>
          <w:b/>
          <w:bCs/>
        </w:rPr>
        <w:t xml:space="preserve">SUBJECT:  </w:t>
      </w:r>
      <w:r w:rsidRPr="00581FC0">
        <w:rPr>
          <w:b/>
          <w:bCs/>
        </w:rPr>
        <w:tab/>
        <w:t xml:space="preserve">Use </w:t>
      </w:r>
      <w:r w:rsidR="00EA2BFE" w:rsidRPr="00581FC0">
        <w:rPr>
          <w:b/>
          <w:bCs/>
        </w:rPr>
        <w:t>of Grant</w:t>
      </w:r>
      <w:r w:rsidRPr="00581FC0">
        <w:rPr>
          <w:b/>
          <w:bCs/>
        </w:rPr>
        <w:t xml:space="preserve"> Funds for </w:t>
      </w:r>
      <w:r w:rsidR="00D60B16" w:rsidRPr="00581FC0">
        <w:rPr>
          <w:b/>
          <w:bCs/>
        </w:rPr>
        <w:t>Controlled Equipment</w:t>
      </w:r>
      <w:r w:rsidRPr="00581FC0">
        <w:rPr>
          <w:b/>
          <w:bCs/>
        </w:rPr>
        <w:t xml:space="preserve"> </w:t>
      </w:r>
    </w:p>
    <w:p w14:paraId="09BB6CB3" w14:textId="77777777" w:rsidR="00EB570D" w:rsidRPr="00581FC0" w:rsidRDefault="00EB570D" w:rsidP="00EB570D">
      <w:pPr>
        <w:pStyle w:val="Default"/>
        <w:rPr>
          <w:b/>
          <w:bCs/>
        </w:rPr>
      </w:pPr>
    </w:p>
    <w:p w14:paraId="6C1B8DDA" w14:textId="151619F4" w:rsidR="00D60B16" w:rsidRDefault="00EB570D" w:rsidP="00EB570D">
      <w:pPr>
        <w:pStyle w:val="Default"/>
      </w:pPr>
      <w:r w:rsidRPr="00581FC0">
        <w:t xml:space="preserve">The purpose of this Information Bulletin (IB) is to provide </w:t>
      </w:r>
      <w:r w:rsidR="005D7C7C" w:rsidRPr="00581FC0">
        <w:t xml:space="preserve">grant </w:t>
      </w:r>
      <w:r w:rsidR="008F34B8" w:rsidRPr="00581FC0">
        <w:t>applicants</w:t>
      </w:r>
      <w:r w:rsidR="0068455C">
        <w:t>,</w:t>
      </w:r>
      <w:r w:rsidR="0000042F">
        <w:t xml:space="preserve"> </w:t>
      </w:r>
      <w:r w:rsidR="005D7C7C" w:rsidRPr="00581FC0">
        <w:t>recipients</w:t>
      </w:r>
      <w:r w:rsidR="0068455C">
        <w:t>, and</w:t>
      </w:r>
      <w:r w:rsidR="008F34B8" w:rsidRPr="00581FC0">
        <w:t xml:space="preserve"> </w:t>
      </w:r>
      <w:r w:rsidR="0068455C">
        <w:t xml:space="preserve">subrecipients </w:t>
      </w:r>
      <w:r w:rsidR="005E087D">
        <w:t xml:space="preserve">with </w:t>
      </w:r>
      <w:r w:rsidR="00D60B16" w:rsidRPr="00581FC0">
        <w:t xml:space="preserve">guidance regarding </w:t>
      </w:r>
      <w:r w:rsidR="005E087D">
        <w:t xml:space="preserve">the </w:t>
      </w:r>
      <w:r w:rsidR="00D60B16" w:rsidRPr="00581FC0">
        <w:t xml:space="preserve">requirements when </w:t>
      </w:r>
      <w:r w:rsidR="00EA2BFE">
        <w:t>applying for</w:t>
      </w:r>
      <w:r w:rsidR="002168A3">
        <w:t>,</w:t>
      </w:r>
      <w:r w:rsidR="00EA2BFE">
        <w:t xml:space="preserve"> or expending</w:t>
      </w:r>
      <w:r w:rsidRPr="00581FC0">
        <w:t xml:space="preserve"> grant funds for</w:t>
      </w:r>
      <w:r w:rsidR="002168A3">
        <w:t>,</w:t>
      </w:r>
      <w:r w:rsidRPr="00581FC0">
        <w:t xml:space="preserve"> </w:t>
      </w:r>
      <w:r w:rsidR="00D60B16" w:rsidRPr="00581FC0">
        <w:t>controlled equipment e</w:t>
      </w:r>
      <w:r w:rsidRPr="00581FC0">
        <w:t xml:space="preserve">xpenditures </w:t>
      </w:r>
      <w:r w:rsidR="00EA2BFE" w:rsidRPr="00581FC0">
        <w:t>and us</w:t>
      </w:r>
      <w:r w:rsidR="00ED63C0">
        <w:t xml:space="preserve">ing </w:t>
      </w:r>
      <w:r w:rsidR="006F5D89">
        <w:t xml:space="preserve">grant-funded </w:t>
      </w:r>
      <w:r w:rsidR="00ED63C0">
        <w:t>controlled equipment</w:t>
      </w:r>
      <w:r w:rsidR="00051318">
        <w:t xml:space="preserve">. </w:t>
      </w:r>
      <w:r w:rsidR="00080317">
        <w:t xml:space="preserve">This IB is applicable to all grant programs </w:t>
      </w:r>
      <w:r w:rsidR="00807B6B">
        <w:t>awarded</w:t>
      </w:r>
      <w:r w:rsidR="00080317">
        <w:t xml:space="preserve"> by the </w:t>
      </w:r>
      <w:r w:rsidR="00ED63C0">
        <w:t>D</w:t>
      </w:r>
      <w:r w:rsidR="006F5D89">
        <w:t>epartment of Homeland Security/Federal Emergency Management Agency (D</w:t>
      </w:r>
      <w:r w:rsidR="00ED63C0">
        <w:t>HS</w:t>
      </w:r>
      <w:r w:rsidR="00080317">
        <w:t>/FEMA</w:t>
      </w:r>
      <w:r w:rsidR="006F5D89">
        <w:t>)</w:t>
      </w:r>
      <w:r w:rsidR="0064002C">
        <w:t xml:space="preserve"> </w:t>
      </w:r>
      <w:r w:rsidR="006F5D89">
        <w:t xml:space="preserve">as of </w:t>
      </w:r>
      <w:r w:rsidR="0064002C">
        <w:t>October</w:t>
      </w:r>
      <w:r w:rsidR="007E7DF0">
        <w:t>, 1</w:t>
      </w:r>
      <w:r w:rsidR="0064002C">
        <w:t xml:space="preserve"> 2015</w:t>
      </w:r>
      <w:r w:rsidR="00080317">
        <w:t xml:space="preserve">. </w:t>
      </w:r>
    </w:p>
    <w:p w14:paraId="0F806E88" w14:textId="77777777" w:rsidR="00080317" w:rsidRPr="00581FC0" w:rsidRDefault="00080317" w:rsidP="00EB570D">
      <w:pPr>
        <w:pStyle w:val="Default"/>
      </w:pPr>
    </w:p>
    <w:p w14:paraId="781DE67E" w14:textId="6CFAFB06" w:rsidR="002D5976" w:rsidRDefault="008F3B56" w:rsidP="00EB570D">
      <w:pPr>
        <w:pStyle w:val="Default"/>
      </w:pPr>
      <w:r w:rsidRPr="00581FC0">
        <w:t>This</w:t>
      </w:r>
      <w:r w:rsidR="00D60B16" w:rsidRPr="00581FC0">
        <w:t xml:space="preserve"> IB was developed </w:t>
      </w:r>
      <w:r w:rsidR="006F5D89">
        <w:t>as part of the implementation of</w:t>
      </w:r>
      <w:r w:rsidR="00D60B16" w:rsidRPr="00581FC0">
        <w:t xml:space="preserve"> </w:t>
      </w:r>
      <w:hyperlink r:id="rId17" w:history="1">
        <w:r w:rsidR="001A4534" w:rsidRPr="00080317">
          <w:rPr>
            <w:rStyle w:val="Hyperlink"/>
            <w:i/>
          </w:rPr>
          <w:t>Executive Order (EO) 13688</w:t>
        </w:r>
        <w:r w:rsidR="006F5D89">
          <w:rPr>
            <w:rStyle w:val="Hyperlink"/>
            <w:i/>
          </w:rPr>
          <w:t>:</w:t>
        </w:r>
        <w:r w:rsidR="001A4534" w:rsidRPr="001A4534">
          <w:rPr>
            <w:rStyle w:val="Hyperlink"/>
            <w:i/>
          </w:rPr>
          <w:t xml:space="preserve"> Federal Support for Local Law Enforcement Equipment Acquisition</w:t>
        </w:r>
      </w:hyperlink>
      <w:r w:rsidR="00546CE8">
        <w:rPr>
          <w:i/>
        </w:rPr>
        <w:t>,</w:t>
      </w:r>
      <w:r w:rsidR="00D60B16" w:rsidRPr="00581FC0">
        <w:t xml:space="preserve"> </w:t>
      </w:r>
      <w:r w:rsidR="00CA692F" w:rsidRPr="00581FC0">
        <w:t xml:space="preserve">issued </w:t>
      </w:r>
      <w:r w:rsidR="00546CE8">
        <w:t xml:space="preserve">January 16, </w:t>
      </w:r>
      <w:r w:rsidR="008F34B8" w:rsidRPr="00581FC0">
        <w:t>2015</w:t>
      </w:r>
      <w:r w:rsidR="00546CE8">
        <w:t>,</w:t>
      </w:r>
      <w:r w:rsidR="00A63C72" w:rsidRPr="00581FC0">
        <w:t xml:space="preserve"> </w:t>
      </w:r>
      <w:r w:rsidR="0071505E">
        <w:t xml:space="preserve">and </w:t>
      </w:r>
      <w:r w:rsidR="0071505E" w:rsidRPr="001A4534">
        <w:t>the</w:t>
      </w:r>
      <w:r w:rsidR="0071505E" w:rsidRPr="001A4534">
        <w:rPr>
          <w:i/>
        </w:rPr>
        <w:t xml:space="preserve"> </w:t>
      </w:r>
      <w:hyperlink r:id="rId18" w:history="1">
        <w:r w:rsidR="0071505E" w:rsidRPr="001A4534">
          <w:rPr>
            <w:rStyle w:val="Hyperlink"/>
            <w:i/>
          </w:rPr>
          <w:t>Recommendations Pursuant to Executive Order 13688</w:t>
        </w:r>
      </w:hyperlink>
      <w:r w:rsidR="00AC4ECF">
        <w:rPr>
          <w:rStyle w:val="Hyperlink"/>
          <w:i/>
        </w:rPr>
        <w:t>,</w:t>
      </w:r>
      <w:r w:rsidR="0071505E" w:rsidRPr="00581FC0">
        <w:t xml:space="preserve"> </w:t>
      </w:r>
      <w:r w:rsidR="00D60B16" w:rsidRPr="00581FC0">
        <w:t>which</w:t>
      </w:r>
      <w:r w:rsidRPr="00581FC0">
        <w:t xml:space="preserve"> </w:t>
      </w:r>
      <w:r w:rsidR="0071505E">
        <w:t xml:space="preserve">collectively </w:t>
      </w:r>
      <w:r w:rsidR="002853AA">
        <w:t xml:space="preserve">established </w:t>
      </w:r>
      <w:r w:rsidR="003354CE">
        <w:t xml:space="preserve">a </w:t>
      </w:r>
      <w:r w:rsidR="003354CE" w:rsidRPr="003354CE">
        <w:rPr>
          <w:i/>
        </w:rPr>
        <w:t>Prohibited Equipment List</w:t>
      </w:r>
      <w:r w:rsidR="003354CE">
        <w:t xml:space="preserve"> and a </w:t>
      </w:r>
      <w:r w:rsidR="003354CE" w:rsidRPr="003354CE">
        <w:rPr>
          <w:i/>
        </w:rPr>
        <w:t>Controlled Equipment List</w:t>
      </w:r>
      <w:r w:rsidR="002168A3">
        <w:rPr>
          <w:i/>
        </w:rPr>
        <w:t>,</w:t>
      </w:r>
      <w:r w:rsidR="003354CE">
        <w:t xml:space="preserve"> and </w:t>
      </w:r>
      <w:r w:rsidR="002853AA" w:rsidRPr="00581FC0">
        <w:t>identifie</w:t>
      </w:r>
      <w:r w:rsidR="002853AA">
        <w:t xml:space="preserve">d </w:t>
      </w:r>
      <w:r w:rsidRPr="00581FC0">
        <w:t xml:space="preserve">actions </w:t>
      </w:r>
      <w:r w:rsidR="00771F7B">
        <w:t xml:space="preserve">necessary to </w:t>
      </w:r>
      <w:r w:rsidRPr="00581FC0">
        <w:t>improve Federal support for the appropriate acquisition</w:t>
      </w:r>
      <w:r w:rsidR="00DD09D7" w:rsidRPr="00581FC0">
        <w:t xml:space="preserve">, </w:t>
      </w:r>
      <w:r w:rsidR="00771F7B">
        <w:t xml:space="preserve">use, </w:t>
      </w:r>
      <w:r w:rsidRPr="00581FC0">
        <w:t>and transfer of controlled equipment</w:t>
      </w:r>
      <w:r w:rsidR="00B0269D" w:rsidRPr="00581FC0">
        <w:t xml:space="preserve"> by s</w:t>
      </w:r>
      <w:r w:rsidR="0083299E" w:rsidRPr="00581FC0">
        <w:t>tate, loc</w:t>
      </w:r>
      <w:r w:rsidR="00B0269D" w:rsidRPr="00581FC0">
        <w:t>al, t</w:t>
      </w:r>
      <w:r w:rsidR="0083299E" w:rsidRPr="00581FC0">
        <w:t>ribal</w:t>
      </w:r>
      <w:r w:rsidR="008709C7">
        <w:t>, territorial, and private</w:t>
      </w:r>
      <w:r w:rsidR="0083299E" w:rsidRPr="00581FC0">
        <w:t xml:space="preserve"> grant recipients. </w:t>
      </w:r>
      <w:r w:rsidR="008D35B9">
        <w:t xml:space="preserve"> </w:t>
      </w:r>
    </w:p>
    <w:p w14:paraId="2E206B2F" w14:textId="77777777" w:rsidR="00B0269D" w:rsidRPr="00581FC0" w:rsidRDefault="00B0269D" w:rsidP="00B0269D">
      <w:pPr>
        <w:pStyle w:val="Default"/>
      </w:pPr>
    </w:p>
    <w:p w14:paraId="2CBCA3D8" w14:textId="2006DA85" w:rsidR="009E7F59" w:rsidRDefault="009E7F59" w:rsidP="009E7F59">
      <w:pPr>
        <w:pStyle w:val="Default"/>
      </w:pPr>
      <w:r w:rsidRPr="00581FC0">
        <w:t xml:space="preserve">The </w:t>
      </w:r>
      <w:r w:rsidRPr="0054106D">
        <w:rPr>
          <w:i/>
        </w:rPr>
        <w:t>Prohibited Equipment List</w:t>
      </w:r>
      <w:r w:rsidRPr="00581FC0">
        <w:t xml:space="preserve"> identifies categories of equipment that </w:t>
      </w:r>
      <w:r w:rsidR="002853AA">
        <w:t xml:space="preserve">recipients </w:t>
      </w:r>
      <w:r w:rsidR="008D35B9">
        <w:t xml:space="preserve">are prohibited from </w:t>
      </w:r>
      <w:r w:rsidR="002853AA">
        <w:t xml:space="preserve">acquiring </w:t>
      </w:r>
      <w:r w:rsidRPr="00581FC0">
        <w:t xml:space="preserve">using </w:t>
      </w:r>
      <w:r w:rsidR="008D35B9">
        <w:t>f</w:t>
      </w:r>
      <w:r w:rsidRPr="00581FC0">
        <w:t xml:space="preserve">ederally-provided funds or via transfer from </w:t>
      </w:r>
      <w:r w:rsidR="008D35B9">
        <w:t>f</w:t>
      </w:r>
      <w:r w:rsidRPr="00581FC0">
        <w:t>ederal agencies</w:t>
      </w:r>
      <w:r w:rsidR="00771F7B">
        <w:t>, and includes:</w:t>
      </w:r>
      <w:r w:rsidRPr="00581FC0">
        <w:t xml:space="preserve"> </w:t>
      </w:r>
    </w:p>
    <w:p w14:paraId="6BDD42D7" w14:textId="77777777" w:rsidR="0064002C" w:rsidRDefault="0064002C" w:rsidP="009E7F59">
      <w:pPr>
        <w:pStyle w:val="Default"/>
      </w:pPr>
    </w:p>
    <w:p w14:paraId="5D0FE437" w14:textId="77777777" w:rsidR="0064002C" w:rsidRDefault="0064002C" w:rsidP="00D42B07">
      <w:pPr>
        <w:pStyle w:val="ListParagraph"/>
        <w:numPr>
          <w:ilvl w:val="0"/>
          <w:numId w:val="51"/>
        </w:numPr>
        <w:autoSpaceDE w:val="0"/>
        <w:autoSpaceDN w:val="0"/>
        <w:adjustRightInd w:val="0"/>
        <w:ind w:left="0" w:firstLine="360"/>
      </w:pPr>
      <w:r w:rsidRPr="00D42B07">
        <w:rPr>
          <w:b/>
          <w:bCs/>
        </w:rPr>
        <w:t xml:space="preserve">Tracked Armored Vehicles: </w:t>
      </w:r>
      <w:r w:rsidRPr="00D42B07">
        <w:t>Vehicles that provide ballistic protection to their</w:t>
      </w:r>
      <w:r>
        <w:t xml:space="preserve"> </w:t>
      </w:r>
      <w:r w:rsidRPr="00D42B07">
        <w:t xml:space="preserve">occupants </w:t>
      </w:r>
      <w:r>
        <w:t xml:space="preserve">    </w:t>
      </w:r>
    </w:p>
    <w:p w14:paraId="25597EDC" w14:textId="45B308BE" w:rsidR="0064002C" w:rsidRDefault="0064002C" w:rsidP="00D42B07">
      <w:pPr>
        <w:pStyle w:val="ListParagraph"/>
        <w:autoSpaceDE w:val="0"/>
        <w:autoSpaceDN w:val="0"/>
        <w:adjustRightInd w:val="0"/>
        <w:ind w:left="360" w:firstLine="360"/>
      </w:pPr>
      <w:r w:rsidRPr="00D42B07">
        <w:t>and utilize a tracked system instead of wheels for forward motion.</w:t>
      </w:r>
    </w:p>
    <w:p w14:paraId="0063370C" w14:textId="77777777" w:rsidR="0064002C" w:rsidRPr="00D42B07" w:rsidRDefault="0064002C" w:rsidP="00D42B07">
      <w:pPr>
        <w:pStyle w:val="ListParagraph"/>
        <w:numPr>
          <w:ilvl w:val="0"/>
          <w:numId w:val="51"/>
        </w:numPr>
        <w:autoSpaceDE w:val="0"/>
        <w:autoSpaceDN w:val="0"/>
        <w:adjustRightInd w:val="0"/>
        <w:ind w:left="0" w:firstLine="360"/>
        <w:rPr>
          <w:b/>
          <w:bCs/>
        </w:rPr>
      </w:pPr>
      <w:r w:rsidRPr="00D42B07">
        <w:rPr>
          <w:b/>
          <w:bCs/>
        </w:rPr>
        <w:t xml:space="preserve">Weaponized Aircraft, Vessels, and Vehicles of Any Kind: </w:t>
      </w:r>
      <w:r w:rsidRPr="00D42B07">
        <w:t>These items will be</w:t>
      </w:r>
      <w:r>
        <w:t xml:space="preserve"> </w:t>
      </w:r>
    </w:p>
    <w:p w14:paraId="6939963F" w14:textId="7943688D" w:rsidR="0064002C" w:rsidRPr="00D42B07" w:rsidRDefault="0064002C" w:rsidP="00D42B07">
      <w:pPr>
        <w:pStyle w:val="ListParagraph"/>
        <w:autoSpaceDE w:val="0"/>
        <w:autoSpaceDN w:val="0"/>
        <w:adjustRightInd w:val="0"/>
        <w:ind w:left="360" w:firstLine="360"/>
        <w:rPr>
          <w:b/>
          <w:bCs/>
        </w:rPr>
      </w:pPr>
      <w:r w:rsidRPr="00D42B07">
        <w:t>prohibited from purchase or transfer with weapons installed.</w:t>
      </w:r>
      <w:r>
        <w:t xml:space="preserve"> </w:t>
      </w:r>
    </w:p>
    <w:p w14:paraId="761C1D7E" w14:textId="77777777" w:rsidR="0064002C" w:rsidRDefault="0064002C" w:rsidP="00D42B07">
      <w:pPr>
        <w:pStyle w:val="ListParagraph"/>
        <w:numPr>
          <w:ilvl w:val="0"/>
          <w:numId w:val="51"/>
        </w:numPr>
        <w:autoSpaceDE w:val="0"/>
        <w:autoSpaceDN w:val="0"/>
        <w:adjustRightInd w:val="0"/>
        <w:ind w:left="0" w:firstLine="360"/>
        <w:rPr>
          <w:b/>
          <w:bCs/>
        </w:rPr>
      </w:pPr>
      <w:r w:rsidRPr="00D42B07">
        <w:rPr>
          <w:b/>
          <w:bCs/>
        </w:rPr>
        <w:t>Firearms of .50</w:t>
      </w:r>
      <w:r w:rsidRPr="00260B76">
        <w:rPr>
          <w:rFonts w:ascii="Cambria Math" w:hAnsi="Cambria Math" w:cs="Cambria Math"/>
          <w:b/>
          <w:bCs/>
        </w:rPr>
        <w:t>‐</w:t>
      </w:r>
      <w:r w:rsidRPr="00D42B07">
        <w:rPr>
          <w:b/>
          <w:bCs/>
        </w:rPr>
        <w:t>Caliber or Higher</w:t>
      </w:r>
    </w:p>
    <w:p w14:paraId="22FF75C2" w14:textId="77777777" w:rsidR="0064002C" w:rsidRDefault="0064002C" w:rsidP="00D42B07">
      <w:pPr>
        <w:pStyle w:val="ListParagraph"/>
        <w:numPr>
          <w:ilvl w:val="0"/>
          <w:numId w:val="51"/>
        </w:numPr>
        <w:autoSpaceDE w:val="0"/>
        <w:autoSpaceDN w:val="0"/>
        <w:adjustRightInd w:val="0"/>
        <w:ind w:left="0" w:firstLine="360"/>
        <w:rPr>
          <w:b/>
          <w:bCs/>
        </w:rPr>
      </w:pPr>
      <w:r w:rsidRPr="00D42B07">
        <w:rPr>
          <w:b/>
          <w:bCs/>
        </w:rPr>
        <w:lastRenderedPageBreak/>
        <w:t>Ammunition of .50</w:t>
      </w:r>
      <w:r w:rsidRPr="00260B76">
        <w:rPr>
          <w:rFonts w:ascii="Cambria Math" w:hAnsi="Cambria Math" w:cs="Cambria Math"/>
          <w:b/>
          <w:bCs/>
        </w:rPr>
        <w:t>‐</w:t>
      </w:r>
      <w:r w:rsidRPr="00D42B07">
        <w:rPr>
          <w:b/>
          <w:bCs/>
        </w:rPr>
        <w:t>Caliber or Higher</w:t>
      </w:r>
    </w:p>
    <w:p w14:paraId="67AAF6EF" w14:textId="77777777" w:rsidR="0064002C" w:rsidRPr="00D42B07" w:rsidRDefault="0064002C" w:rsidP="00D42B07">
      <w:pPr>
        <w:pStyle w:val="ListParagraph"/>
        <w:numPr>
          <w:ilvl w:val="0"/>
          <w:numId w:val="51"/>
        </w:numPr>
        <w:autoSpaceDE w:val="0"/>
        <w:autoSpaceDN w:val="0"/>
        <w:adjustRightInd w:val="0"/>
        <w:ind w:left="0" w:firstLine="360"/>
        <w:rPr>
          <w:b/>
          <w:bCs/>
        </w:rPr>
      </w:pPr>
      <w:r w:rsidRPr="00D42B07">
        <w:rPr>
          <w:b/>
          <w:bCs/>
        </w:rPr>
        <w:t xml:space="preserve">Grenade Launchers: </w:t>
      </w:r>
      <w:r w:rsidRPr="00D42B07">
        <w:t>Firearm or firearm accessory designed to launch small</w:t>
      </w:r>
      <w:r>
        <w:t xml:space="preserve"> </w:t>
      </w:r>
    </w:p>
    <w:p w14:paraId="0019D663" w14:textId="77777777" w:rsidR="0064002C" w:rsidRDefault="0064002C" w:rsidP="00D42B07">
      <w:pPr>
        <w:autoSpaceDE w:val="0"/>
        <w:autoSpaceDN w:val="0"/>
        <w:adjustRightInd w:val="0"/>
        <w:ind w:firstLine="720"/>
        <w:rPr>
          <w:b/>
          <w:bCs/>
        </w:rPr>
      </w:pPr>
      <w:r w:rsidRPr="00D42B07">
        <w:t>explosive projectiles.</w:t>
      </w:r>
    </w:p>
    <w:p w14:paraId="5908A604" w14:textId="77777777" w:rsidR="0064002C" w:rsidRPr="00D42B07" w:rsidRDefault="0064002C" w:rsidP="00D42B07">
      <w:pPr>
        <w:pStyle w:val="ListParagraph"/>
        <w:numPr>
          <w:ilvl w:val="0"/>
          <w:numId w:val="51"/>
        </w:numPr>
        <w:autoSpaceDE w:val="0"/>
        <w:autoSpaceDN w:val="0"/>
        <w:adjustRightInd w:val="0"/>
        <w:ind w:left="720"/>
        <w:rPr>
          <w:b/>
          <w:bCs/>
        </w:rPr>
      </w:pPr>
      <w:r w:rsidRPr="00D42B07">
        <w:rPr>
          <w:rFonts w:eastAsia="SymbolMT"/>
          <w:b/>
          <w:bCs/>
        </w:rPr>
        <w:t xml:space="preserve">Bayonets: </w:t>
      </w:r>
      <w:r w:rsidRPr="00D42B07">
        <w:rPr>
          <w:rFonts w:eastAsia="SymbolMT"/>
        </w:rPr>
        <w:t>Large knives designed to be attached to the muzzle of a</w:t>
      </w:r>
    </w:p>
    <w:p w14:paraId="6D52099B" w14:textId="77777777" w:rsidR="0064002C" w:rsidRDefault="0064002C" w:rsidP="00D42B07">
      <w:pPr>
        <w:pStyle w:val="ListParagraph"/>
        <w:autoSpaceDE w:val="0"/>
        <w:autoSpaceDN w:val="0"/>
        <w:adjustRightInd w:val="0"/>
        <w:rPr>
          <w:rFonts w:eastAsia="SymbolMT"/>
        </w:rPr>
      </w:pPr>
      <w:r w:rsidRPr="00D42B07">
        <w:rPr>
          <w:rFonts w:eastAsia="SymbolMT"/>
        </w:rPr>
        <w:t>rifle/shotgun/long gun for the purposes of hand</w:t>
      </w:r>
      <w:r w:rsidRPr="00D42B07">
        <w:rPr>
          <w:rFonts w:ascii="Cambria Math" w:eastAsia="SymbolMT" w:hAnsi="Cambria Math" w:cs="Cambria Math"/>
        </w:rPr>
        <w:t>‐</w:t>
      </w:r>
      <w:r w:rsidRPr="00D42B07">
        <w:rPr>
          <w:rFonts w:eastAsia="SymbolMT"/>
        </w:rPr>
        <w:t>to</w:t>
      </w:r>
      <w:r w:rsidRPr="00D42B07">
        <w:rPr>
          <w:rFonts w:ascii="Cambria Math" w:eastAsia="SymbolMT" w:hAnsi="Cambria Math" w:cs="Cambria Math"/>
        </w:rPr>
        <w:t>‐</w:t>
      </w:r>
      <w:r w:rsidRPr="00D42B07">
        <w:rPr>
          <w:rFonts w:eastAsia="SymbolMT"/>
        </w:rPr>
        <w:t>hand combat.</w:t>
      </w:r>
    </w:p>
    <w:p w14:paraId="5BE67108" w14:textId="654BBA5C" w:rsidR="009E7F59" w:rsidRPr="00260B76" w:rsidRDefault="0064002C" w:rsidP="00966C76">
      <w:pPr>
        <w:pStyle w:val="ListParagraph"/>
        <w:numPr>
          <w:ilvl w:val="0"/>
          <w:numId w:val="51"/>
        </w:numPr>
        <w:tabs>
          <w:tab w:val="left" w:pos="720"/>
        </w:tabs>
        <w:autoSpaceDE w:val="0"/>
        <w:autoSpaceDN w:val="0"/>
        <w:adjustRightInd w:val="0"/>
        <w:ind w:left="720"/>
      </w:pPr>
      <w:r w:rsidRPr="00CD6B5D">
        <w:rPr>
          <w:rFonts w:eastAsia="SymbolMT"/>
          <w:b/>
          <w:bCs/>
        </w:rPr>
        <w:t>Camouflage Uniforms</w:t>
      </w:r>
      <w:r w:rsidR="00D246FF" w:rsidRPr="00CD6B5D">
        <w:rPr>
          <w:rFonts w:eastAsia="SymbolMT"/>
          <w:b/>
          <w:bCs/>
        </w:rPr>
        <w:t xml:space="preserve"> Used for Urban Settings</w:t>
      </w:r>
      <w:r w:rsidRPr="00CD6B5D">
        <w:rPr>
          <w:rFonts w:eastAsia="SymbolMT"/>
          <w:b/>
          <w:bCs/>
        </w:rPr>
        <w:t>:</w:t>
      </w:r>
      <w:r w:rsidR="00B7738D">
        <w:rPr>
          <w:rFonts w:eastAsia="SymbolMT"/>
        </w:rPr>
        <w:t xml:space="preserve"> Does not include woodland or desert patterns or solid color uniforms.</w:t>
      </w:r>
      <w:r w:rsidR="00AC4ECF">
        <w:tab/>
      </w:r>
    </w:p>
    <w:p w14:paraId="2C980549" w14:textId="77777777" w:rsidR="00303F9F" w:rsidRDefault="00303F9F" w:rsidP="008D35B9">
      <w:pPr>
        <w:pStyle w:val="Default"/>
      </w:pPr>
    </w:p>
    <w:p w14:paraId="66E358DB" w14:textId="101C2426" w:rsidR="0064002C" w:rsidRPr="00260B76" w:rsidRDefault="008D35B9" w:rsidP="008D35B9">
      <w:pPr>
        <w:pStyle w:val="Default"/>
      </w:pPr>
      <w:r w:rsidRPr="00260B76">
        <w:t xml:space="preserve">The </w:t>
      </w:r>
      <w:r w:rsidRPr="00260B76">
        <w:rPr>
          <w:i/>
        </w:rPr>
        <w:t>Controlled Equipment List</w:t>
      </w:r>
      <w:r w:rsidRPr="00260B76">
        <w:t xml:space="preserve"> identifies categories of equipment that have significant utility for state, local, tribal, territorial</w:t>
      </w:r>
      <w:r w:rsidR="008709C7" w:rsidRPr="00260B76">
        <w:t>, and private</w:t>
      </w:r>
      <w:r w:rsidRPr="00260B76">
        <w:t xml:space="preserve"> grant recipients</w:t>
      </w:r>
      <w:r w:rsidR="002853AA" w:rsidRPr="00260B76">
        <w:t>. R</w:t>
      </w:r>
      <w:r w:rsidRPr="00260B76">
        <w:t xml:space="preserve">ecipients may continue to acquire </w:t>
      </w:r>
      <w:r w:rsidR="002853AA" w:rsidRPr="00260B76">
        <w:t xml:space="preserve">controlled equipment </w:t>
      </w:r>
      <w:r w:rsidRPr="00260B76">
        <w:t xml:space="preserve">through Federal </w:t>
      </w:r>
      <w:r w:rsidR="004A782B">
        <w:t xml:space="preserve">assistance </w:t>
      </w:r>
      <w:r w:rsidR="007E3E2B">
        <w:t>programs.</w:t>
      </w:r>
      <w:r w:rsidR="00BE6214">
        <w:t xml:space="preserve">  However, because of the nature of the equipment and the </w:t>
      </w:r>
      <w:r w:rsidR="00021906">
        <w:t xml:space="preserve">potential </w:t>
      </w:r>
      <w:r w:rsidR="00BE6214">
        <w:t xml:space="preserve">impact on communities, additional controls </w:t>
      </w:r>
      <w:r w:rsidR="00DB6DDD">
        <w:t>will be</w:t>
      </w:r>
      <w:r w:rsidR="00DF12D7">
        <w:t xml:space="preserve"> imposed on the acquisition, use, and transfer of this equipment.  </w:t>
      </w:r>
      <w:r w:rsidR="007C0F16">
        <w:t xml:space="preserve">While </w:t>
      </w:r>
      <w:r w:rsidR="004A782B">
        <w:t xml:space="preserve">several </w:t>
      </w:r>
      <w:r w:rsidR="007C0F16">
        <w:t xml:space="preserve">of the items below are not allowable </w:t>
      </w:r>
      <w:r w:rsidR="004A782B">
        <w:t xml:space="preserve">expenses </w:t>
      </w:r>
      <w:r w:rsidR="007C0F16">
        <w:t xml:space="preserve">under </w:t>
      </w:r>
      <w:r w:rsidR="004A782B">
        <w:t xml:space="preserve">DHS/FEMA </w:t>
      </w:r>
      <w:r w:rsidR="007C0F16">
        <w:t>preparedness grants</w:t>
      </w:r>
      <w:r w:rsidR="004A782B">
        <w:rPr>
          <w:rStyle w:val="FootnoteReference"/>
        </w:rPr>
        <w:footnoteReference w:id="1"/>
      </w:r>
      <w:r w:rsidR="007C0F16">
        <w:t>, t</w:t>
      </w:r>
      <w:r w:rsidR="00771F7B">
        <w:t xml:space="preserve">he </w:t>
      </w:r>
      <w:r w:rsidR="004A782B">
        <w:t>full</w:t>
      </w:r>
      <w:r w:rsidR="007C0F16">
        <w:t xml:space="preserve"> </w:t>
      </w:r>
      <w:r w:rsidR="00771F7B" w:rsidRPr="00532915">
        <w:rPr>
          <w:i/>
        </w:rPr>
        <w:t>Controlled Equipment List</w:t>
      </w:r>
      <w:r w:rsidR="00771F7B">
        <w:t xml:space="preserve"> includes:</w:t>
      </w:r>
    </w:p>
    <w:p w14:paraId="1D8C110E" w14:textId="77777777" w:rsidR="0064002C" w:rsidRDefault="0064002C" w:rsidP="0064002C">
      <w:pPr>
        <w:autoSpaceDE w:val="0"/>
        <w:autoSpaceDN w:val="0"/>
        <w:adjustRightInd w:val="0"/>
      </w:pPr>
    </w:p>
    <w:p w14:paraId="2BF9155B" w14:textId="31566562" w:rsidR="0064002C" w:rsidRPr="00D42B07" w:rsidRDefault="0064002C" w:rsidP="00D42B07">
      <w:pPr>
        <w:pStyle w:val="ListParagraph"/>
        <w:numPr>
          <w:ilvl w:val="0"/>
          <w:numId w:val="51"/>
        </w:numPr>
        <w:autoSpaceDE w:val="0"/>
        <w:autoSpaceDN w:val="0"/>
        <w:adjustRightInd w:val="0"/>
        <w:ind w:left="720"/>
      </w:pPr>
      <w:r w:rsidRPr="00D42B07">
        <w:rPr>
          <w:b/>
          <w:bCs/>
        </w:rPr>
        <w:t xml:space="preserve">Manned Aircraft, Fixed Wing: </w:t>
      </w:r>
      <w:r w:rsidRPr="00D42B07">
        <w:t>Powered aircraft with a crew aboard, such as</w:t>
      </w:r>
    </w:p>
    <w:p w14:paraId="0DB50CBE" w14:textId="6E579F5B" w:rsidR="0064002C" w:rsidRPr="00D42B07" w:rsidRDefault="0064002C" w:rsidP="00D42B07">
      <w:pPr>
        <w:autoSpaceDE w:val="0"/>
        <w:autoSpaceDN w:val="0"/>
        <w:adjustRightInd w:val="0"/>
        <w:ind w:firstLine="720"/>
      </w:pPr>
      <w:r w:rsidRPr="00D42B07">
        <w:t>airplanes, that use a fixed wing for lift.</w:t>
      </w:r>
    </w:p>
    <w:p w14:paraId="75B68FD7" w14:textId="7E9AE5BD" w:rsidR="0064002C" w:rsidRPr="00D42B07" w:rsidRDefault="0064002C" w:rsidP="00D42B07">
      <w:pPr>
        <w:pStyle w:val="ListParagraph"/>
        <w:numPr>
          <w:ilvl w:val="0"/>
          <w:numId w:val="51"/>
        </w:numPr>
        <w:autoSpaceDE w:val="0"/>
        <w:autoSpaceDN w:val="0"/>
        <w:adjustRightInd w:val="0"/>
        <w:ind w:left="720"/>
      </w:pPr>
      <w:r w:rsidRPr="00D42B07">
        <w:rPr>
          <w:b/>
          <w:bCs/>
        </w:rPr>
        <w:t xml:space="preserve">Manned Aircraft, Rotary Wing: </w:t>
      </w:r>
      <w:r w:rsidRPr="00D42B07">
        <w:t>Powered aircraft with a crew aboard, such as</w:t>
      </w:r>
    </w:p>
    <w:p w14:paraId="77B91B7F" w14:textId="77777777" w:rsidR="0064002C" w:rsidRPr="00D42B07" w:rsidRDefault="0064002C" w:rsidP="00D42B07">
      <w:pPr>
        <w:autoSpaceDE w:val="0"/>
        <w:autoSpaceDN w:val="0"/>
        <w:adjustRightInd w:val="0"/>
        <w:ind w:firstLine="720"/>
      </w:pPr>
      <w:r w:rsidRPr="00D42B07">
        <w:t>helicopters, that use a rotary wing for lift.</w:t>
      </w:r>
    </w:p>
    <w:p w14:paraId="1360C2A9" w14:textId="424D5795" w:rsidR="0064002C" w:rsidRPr="00D42B07" w:rsidRDefault="0064002C" w:rsidP="00D42B07">
      <w:pPr>
        <w:pStyle w:val="ListParagraph"/>
        <w:numPr>
          <w:ilvl w:val="0"/>
          <w:numId w:val="51"/>
        </w:numPr>
        <w:autoSpaceDE w:val="0"/>
        <w:autoSpaceDN w:val="0"/>
        <w:adjustRightInd w:val="0"/>
        <w:ind w:left="720"/>
      </w:pPr>
      <w:r w:rsidRPr="00D42B07">
        <w:rPr>
          <w:b/>
          <w:bCs/>
        </w:rPr>
        <w:t xml:space="preserve">Unmanned Aerial Vehicles: </w:t>
      </w:r>
      <w:r w:rsidRPr="00D42B07">
        <w:t>A remotely piloted, powered aircraft without a</w:t>
      </w:r>
    </w:p>
    <w:p w14:paraId="1557003F" w14:textId="0340B3C8" w:rsidR="00C6028B" w:rsidRPr="00D42B07" w:rsidRDefault="0064002C" w:rsidP="00A44FC5">
      <w:pPr>
        <w:ind w:firstLine="720"/>
      </w:pPr>
      <w:r w:rsidRPr="00D42B07">
        <w:t>crew aboard</w:t>
      </w:r>
      <w:r w:rsidR="00A44FC5">
        <w:t xml:space="preserve"> (</w:t>
      </w:r>
      <w:r w:rsidR="002168A3">
        <w:t>i</w:t>
      </w:r>
      <w:r w:rsidR="00A44FC5">
        <w:t>nclud</w:t>
      </w:r>
      <w:r w:rsidR="002168A3">
        <w:t>ing</w:t>
      </w:r>
      <w:r w:rsidR="00A44FC5">
        <w:t xml:space="preserve"> Small Unmanned A</w:t>
      </w:r>
      <w:r w:rsidR="005E087D">
        <w:t>e</w:t>
      </w:r>
      <w:r w:rsidR="00A44FC5">
        <w:t>rial Systems</w:t>
      </w:r>
      <w:r w:rsidR="00AC4ECF">
        <w:t xml:space="preserve"> </w:t>
      </w:r>
      <w:r w:rsidR="00A44FC5">
        <w:t>(SUAS)).</w:t>
      </w:r>
    </w:p>
    <w:p w14:paraId="04DA913C" w14:textId="0A403DBD" w:rsidR="0064002C" w:rsidRPr="00D42B07" w:rsidRDefault="0064002C" w:rsidP="00D42B07">
      <w:pPr>
        <w:pStyle w:val="ListParagraph"/>
        <w:numPr>
          <w:ilvl w:val="0"/>
          <w:numId w:val="51"/>
        </w:numPr>
        <w:autoSpaceDE w:val="0"/>
        <w:autoSpaceDN w:val="0"/>
        <w:adjustRightInd w:val="0"/>
        <w:ind w:left="720"/>
      </w:pPr>
      <w:r w:rsidRPr="00D42B07">
        <w:rPr>
          <w:b/>
          <w:bCs/>
        </w:rPr>
        <w:t xml:space="preserve">Armored Vehicles, Wheeled: </w:t>
      </w:r>
      <w:r w:rsidRPr="00D42B07">
        <w:t>Any wheeled vehicle either purpose</w:t>
      </w:r>
      <w:r w:rsidRPr="00D42B07">
        <w:rPr>
          <w:rFonts w:ascii="Cambria Math" w:hAnsi="Cambria Math" w:cs="Cambria Math"/>
        </w:rPr>
        <w:t>‐</w:t>
      </w:r>
      <w:r w:rsidRPr="00D42B07">
        <w:t>built or</w:t>
      </w:r>
    </w:p>
    <w:p w14:paraId="50025A3A" w14:textId="77777777" w:rsidR="0064002C" w:rsidRPr="00D42B07" w:rsidRDefault="0064002C" w:rsidP="00D42B07">
      <w:pPr>
        <w:autoSpaceDE w:val="0"/>
        <w:autoSpaceDN w:val="0"/>
        <w:adjustRightInd w:val="0"/>
        <w:ind w:firstLine="720"/>
      </w:pPr>
      <w:r w:rsidRPr="00D42B07">
        <w:t>modified to provide ballistic protection to its occupants, such as a Mine</w:t>
      </w:r>
      <w:r w:rsidRPr="00D42B07">
        <w:rPr>
          <w:rFonts w:ascii="Cambria Math" w:hAnsi="Cambria Math" w:cs="Cambria Math"/>
        </w:rPr>
        <w:t>‐</w:t>
      </w:r>
    </w:p>
    <w:p w14:paraId="054C5316" w14:textId="77777777" w:rsidR="0064002C" w:rsidRPr="00D42B07" w:rsidRDefault="0064002C" w:rsidP="00D42B07">
      <w:pPr>
        <w:autoSpaceDE w:val="0"/>
        <w:autoSpaceDN w:val="0"/>
        <w:adjustRightInd w:val="0"/>
        <w:ind w:left="720"/>
      </w:pPr>
      <w:r w:rsidRPr="00D42B07">
        <w:t>Resistant Ambush Protected (MRAP) vehicle or an Armored Personnel Carrier.</w:t>
      </w:r>
    </w:p>
    <w:p w14:paraId="4AA470A5" w14:textId="59C44B3F" w:rsidR="0064002C" w:rsidRPr="00D42B07" w:rsidRDefault="0064002C" w:rsidP="00D42B07">
      <w:pPr>
        <w:pStyle w:val="ListParagraph"/>
        <w:numPr>
          <w:ilvl w:val="0"/>
          <w:numId w:val="51"/>
        </w:numPr>
        <w:autoSpaceDE w:val="0"/>
        <w:autoSpaceDN w:val="0"/>
        <w:adjustRightInd w:val="0"/>
        <w:ind w:left="720"/>
      </w:pPr>
      <w:r w:rsidRPr="00D42B07">
        <w:rPr>
          <w:b/>
          <w:bCs/>
        </w:rPr>
        <w:t xml:space="preserve">Tactical Vehicles, Wheeled: </w:t>
      </w:r>
      <w:r w:rsidRPr="00D42B07">
        <w:t>A vehicle purpose</w:t>
      </w:r>
      <w:r w:rsidRPr="00D42B07">
        <w:rPr>
          <w:rFonts w:ascii="Cambria Math" w:hAnsi="Cambria Math" w:cs="Cambria Math"/>
        </w:rPr>
        <w:t>‐</w:t>
      </w:r>
      <w:r w:rsidRPr="00D42B07">
        <w:t>built to operate on</w:t>
      </w:r>
      <w:r w:rsidRPr="00D42B07">
        <w:rPr>
          <w:rFonts w:ascii="Cambria Math" w:hAnsi="Cambria Math" w:cs="Cambria Math"/>
        </w:rPr>
        <w:t>‐</w:t>
      </w:r>
      <w:r w:rsidRPr="00D42B07">
        <w:t xml:space="preserve"> and </w:t>
      </w:r>
      <w:r w:rsidR="00A44FC5" w:rsidRPr="00D42B07">
        <w:t>off-road</w:t>
      </w:r>
    </w:p>
    <w:p w14:paraId="21824488" w14:textId="77777777" w:rsidR="0064002C" w:rsidRPr="00D42B07" w:rsidRDefault="0064002C" w:rsidP="00D42B07">
      <w:pPr>
        <w:autoSpaceDE w:val="0"/>
        <w:autoSpaceDN w:val="0"/>
        <w:adjustRightInd w:val="0"/>
        <w:ind w:firstLine="720"/>
      </w:pPr>
      <w:r w:rsidRPr="00D42B07">
        <w:t>in support of military operations, such as a HMMWV (“Humvee”), 2.5</w:t>
      </w:r>
      <w:r w:rsidRPr="00D42B07">
        <w:rPr>
          <w:rFonts w:ascii="Cambria Math" w:hAnsi="Cambria Math" w:cs="Cambria Math"/>
        </w:rPr>
        <w:t>‐</w:t>
      </w:r>
      <w:r w:rsidRPr="00D42B07">
        <w:t>ton</w:t>
      </w:r>
    </w:p>
    <w:p w14:paraId="1D8BE00A" w14:textId="77777777" w:rsidR="0064002C" w:rsidRPr="00D42B07" w:rsidRDefault="0064002C" w:rsidP="00D42B07">
      <w:pPr>
        <w:autoSpaceDE w:val="0"/>
        <w:autoSpaceDN w:val="0"/>
        <w:adjustRightInd w:val="0"/>
        <w:ind w:left="720"/>
      </w:pPr>
      <w:r w:rsidRPr="00D42B07">
        <w:t>truck, 5</w:t>
      </w:r>
      <w:r w:rsidRPr="00D42B07">
        <w:rPr>
          <w:rFonts w:ascii="Cambria Math" w:hAnsi="Cambria Math" w:cs="Cambria Math"/>
        </w:rPr>
        <w:t>‐</w:t>
      </w:r>
      <w:r w:rsidRPr="00D42B07">
        <w:t>ton truck, or a vehicle with a breaching or entry apparatus attached.</w:t>
      </w:r>
    </w:p>
    <w:p w14:paraId="3AAA323A" w14:textId="2F5F7684" w:rsidR="0064002C" w:rsidRPr="00D42B07" w:rsidRDefault="0064002C" w:rsidP="00D42B07">
      <w:pPr>
        <w:pStyle w:val="ListParagraph"/>
        <w:numPr>
          <w:ilvl w:val="0"/>
          <w:numId w:val="51"/>
        </w:numPr>
        <w:autoSpaceDE w:val="0"/>
        <w:autoSpaceDN w:val="0"/>
        <w:adjustRightInd w:val="0"/>
        <w:ind w:left="720"/>
      </w:pPr>
      <w:r w:rsidRPr="00D42B07">
        <w:rPr>
          <w:b/>
          <w:bCs/>
        </w:rPr>
        <w:t xml:space="preserve">Command and Control Vehicles: </w:t>
      </w:r>
      <w:r w:rsidRPr="00D42B07">
        <w:t>Any wheeled vehicle either purpose</w:t>
      </w:r>
      <w:r w:rsidRPr="00D42B07">
        <w:rPr>
          <w:rFonts w:ascii="Cambria Math" w:hAnsi="Cambria Math" w:cs="Cambria Math"/>
        </w:rPr>
        <w:t>‐</w:t>
      </w:r>
      <w:r w:rsidRPr="00D42B07">
        <w:t>built or</w:t>
      </w:r>
    </w:p>
    <w:p w14:paraId="2E55A853" w14:textId="77777777" w:rsidR="0064002C" w:rsidRPr="00D42B07" w:rsidRDefault="0064002C" w:rsidP="00D42B07">
      <w:pPr>
        <w:autoSpaceDE w:val="0"/>
        <w:autoSpaceDN w:val="0"/>
        <w:adjustRightInd w:val="0"/>
        <w:ind w:firstLine="720"/>
      </w:pPr>
      <w:r w:rsidRPr="00D42B07">
        <w:t>modified to facilitate the operational control and direction of public safety</w:t>
      </w:r>
    </w:p>
    <w:p w14:paraId="26614A89" w14:textId="77777777" w:rsidR="00260B76" w:rsidRDefault="0064002C" w:rsidP="00D42B07">
      <w:pPr>
        <w:autoSpaceDE w:val="0"/>
        <w:autoSpaceDN w:val="0"/>
        <w:adjustRightInd w:val="0"/>
        <w:ind w:firstLine="720"/>
      </w:pPr>
      <w:r w:rsidRPr="00D42B07">
        <w:t xml:space="preserve">units responding to an incident. </w:t>
      </w:r>
    </w:p>
    <w:p w14:paraId="74FB490A" w14:textId="7D7528EE" w:rsidR="0064002C" w:rsidRPr="00D42B07" w:rsidRDefault="0064002C" w:rsidP="00D42B07">
      <w:pPr>
        <w:pStyle w:val="ListParagraph"/>
        <w:numPr>
          <w:ilvl w:val="0"/>
          <w:numId w:val="51"/>
        </w:numPr>
        <w:autoSpaceDE w:val="0"/>
        <w:autoSpaceDN w:val="0"/>
        <w:adjustRightInd w:val="0"/>
        <w:ind w:left="720"/>
        <w:rPr>
          <w:b/>
          <w:bCs/>
        </w:rPr>
      </w:pPr>
      <w:r w:rsidRPr="00D42B07">
        <w:rPr>
          <w:b/>
          <w:bCs/>
        </w:rPr>
        <w:t>Specialized Firearms and Ammunition Under .50</w:t>
      </w:r>
      <w:r w:rsidRPr="00260B76">
        <w:rPr>
          <w:rFonts w:ascii="Cambria Math" w:hAnsi="Cambria Math" w:cs="Cambria Math"/>
          <w:b/>
          <w:bCs/>
        </w:rPr>
        <w:t>‐</w:t>
      </w:r>
      <w:r w:rsidRPr="00D42B07">
        <w:rPr>
          <w:b/>
          <w:bCs/>
        </w:rPr>
        <w:t>Caliber (excludes firearms</w:t>
      </w:r>
    </w:p>
    <w:p w14:paraId="672E0D13" w14:textId="77777777" w:rsidR="0064002C" w:rsidRPr="00D42B07" w:rsidRDefault="0064002C" w:rsidP="00D42B07">
      <w:pPr>
        <w:autoSpaceDE w:val="0"/>
        <w:autoSpaceDN w:val="0"/>
        <w:adjustRightInd w:val="0"/>
        <w:ind w:firstLine="720"/>
      </w:pPr>
      <w:r w:rsidRPr="00D42B07">
        <w:rPr>
          <w:b/>
          <w:bCs/>
        </w:rPr>
        <w:t>and ammunition for service</w:t>
      </w:r>
      <w:r w:rsidRPr="00260B76">
        <w:rPr>
          <w:rFonts w:ascii="Cambria Math" w:hAnsi="Cambria Math" w:cs="Cambria Math"/>
          <w:b/>
          <w:bCs/>
        </w:rPr>
        <w:t>‐</w:t>
      </w:r>
      <w:r w:rsidRPr="00D42B07">
        <w:rPr>
          <w:b/>
          <w:bCs/>
        </w:rPr>
        <w:t xml:space="preserve">issued weapons): </w:t>
      </w:r>
      <w:r w:rsidRPr="00D42B07">
        <w:t>Weapons and corresponding</w:t>
      </w:r>
    </w:p>
    <w:p w14:paraId="6CB88943" w14:textId="37434A7A" w:rsidR="0064002C" w:rsidRPr="00D42B07" w:rsidRDefault="0064002C" w:rsidP="00D42B07">
      <w:pPr>
        <w:autoSpaceDE w:val="0"/>
        <w:autoSpaceDN w:val="0"/>
        <w:adjustRightInd w:val="0"/>
        <w:ind w:firstLine="720"/>
      </w:pPr>
      <w:r w:rsidRPr="00D42B07">
        <w:t>ammunition for specialized operations or assignment. This excludes service</w:t>
      </w:r>
      <w:r w:rsidR="00AC4ECF">
        <w:t>-</w:t>
      </w:r>
      <w:r w:rsidRPr="00D42B07">
        <w:t>issued</w:t>
      </w:r>
    </w:p>
    <w:p w14:paraId="7E76B6BD" w14:textId="77777777" w:rsidR="0064002C" w:rsidRPr="00D42B07" w:rsidRDefault="0064002C" w:rsidP="00D42B07">
      <w:pPr>
        <w:autoSpaceDE w:val="0"/>
        <w:autoSpaceDN w:val="0"/>
        <w:adjustRightInd w:val="0"/>
        <w:ind w:firstLine="720"/>
      </w:pPr>
      <w:r w:rsidRPr="00D42B07">
        <w:t>handguns, rifles, or shotguns that are issued or approved by the agency</w:t>
      </w:r>
    </w:p>
    <w:p w14:paraId="2B4D63FA" w14:textId="0E28149E" w:rsidR="0064002C" w:rsidRPr="00D42B07" w:rsidRDefault="0064002C" w:rsidP="00966C76">
      <w:pPr>
        <w:autoSpaceDE w:val="0"/>
        <w:autoSpaceDN w:val="0"/>
        <w:adjustRightInd w:val="0"/>
        <w:ind w:left="720"/>
      </w:pPr>
      <w:r w:rsidRPr="00D42B07">
        <w:t>to be used during the course of regularly assigned duties</w:t>
      </w:r>
      <w:r w:rsidR="00456FDB">
        <w:t xml:space="preserve"> (</w:t>
      </w:r>
      <w:r w:rsidR="00303F9F">
        <w:t xml:space="preserve">Note: despite its inclusion on the Government-wide </w:t>
      </w:r>
      <w:r w:rsidR="00303F9F">
        <w:rPr>
          <w:i/>
        </w:rPr>
        <w:t xml:space="preserve">Controlled Equipment </w:t>
      </w:r>
      <w:r w:rsidR="00303F9F" w:rsidRPr="00303F9F">
        <w:rPr>
          <w:i/>
        </w:rPr>
        <w:t>List</w:t>
      </w:r>
      <w:r w:rsidR="00303F9F">
        <w:t xml:space="preserve">, equipment defined under this category is </w:t>
      </w:r>
      <w:r w:rsidR="00456FDB" w:rsidRPr="00303F9F">
        <w:t>n</w:t>
      </w:r>
      <w:r w:rsidR="009A1C27">
        <w:t xml:space="preserve">ot </w:t>
      </w:r>
      <w:r w:rsidR="00303F9F">
        <w:t xml:space="preserve">an </w:t>
      </w:r>
      <w:r w:rsidR="009A1C27">
        <w:t>allowable</w:t>
      </w:r>
      <w:r w:rsidR="00303F9F">
        <w:t xml:space="preserve"> expense</w:t>
      </w:r>
      <w:r w:rsidR="009A1C27">
        <w:t xml:space="preserve"> under any</w:t>
      </w:r>
      <w:r w:rsidR="00303F9F">
        <w:t xml:space="preserve"> FEMA</w:t>
      </w:r>
      <w:r w:rsidR="009A1C27">
        <w:t xml:space="preserve"> preparedness grant program)</w:t>
      </w:r>
      <w:r w:rsidR="00456FDB">
        <w:t>.</w:t>
      </w:r>
    </w:p>
    <w:p w14:paraId="53013646" w14:textId="30751FF2" w:rsidR="0064002C" w:rsidRPr="00D42B07" w:rsidRDefault="0064002C" w:rsidP="00D42B07">
      <w:pPr>
        <w:pStyle w:val="ListParagraph"/>
        <w:numPr>
          <w:ilvl w:val="0"/>
          <w:numId w:val="51"/>
        </w:numPr>
        <w:autoSpaceDE w:val="0"/>
        <w:autoSpaceDN w:val="0"/>
        <w:adjustRightInd w:val="0"/>
        <w:ind w:left="720"/>
      </w:pPr>
      <w:r w:rsidRPr="00D42B07">
        <w:rPr>
          <w:b/>
          <w:bCs/>
        </w:rPr>
        <w:t xml:space="preserve">Explosives and Pyrotechnics: </w:t>
      </w:r>
      <w:r w:rsidRPr="00D42B07">
        <w:t>Includes “flash bangs” as well as explosive</w:t>
      </w:r>
    </w:p>
    <w:p w14:paraId="708C0E11" w14:textId="77777777" w:rsidR="0064002C" w:rsidRPr="00D42B07" w:rsidRDefault="0064002C" w:rsidP="00D42B07">
      <w:pPr>
        <w:autoSpaceDE w:val="0"/>
        <w:autoSpaceDN w:val="0"/>
        <w:adjustRightInd w:val="0"/>
        <w:ind w:firstLine="720"/>
      </w:pPr>
      <w:r w:rsidRPr="00D42B07">
        <w:t>breaching tools often used by special operations units.</w:t>
      </w:r>
    </w:p>
    <w:p w14:paraId="48049EEE" w14:textId="643DB048" w:rsidR="0064002C" w:rsidRPr="00D42B07" w:rsidRDefault="0064002C" w:rsidP="00D42B07">
      <w:pPr>
        <w:pStyle w:val="ListParagraph"/>
        <w:numPr>
          <w:ilvl w:val="0"/>
          <w:numId w:val="51"/>
        </w:numPr>
        <w:autoSpaceDE w:val="0"/>
        <w:autoSpaceDN w:val="0"/>
        <w:adjustRightInd w:val="0"/>
        <w:ind w:left="720"/>
      </w:pPr>
      <w:r w:rsidRPr="00D42B07">
        <w:rPr>
          <w:b/>
          <w:bCs/>
        </w:rPr>
        <w:t>Breaching Apparatus (e.g.</w:t>
      </w:r>
      <w:r w:rsidR="002168A3">
        <w:rPr>
          <w:b/>
          <w:bCs/>
        </w:rPr>
        <w:t>,</w:t>
      </w:r>
      <w:r w:rsidRPr="00D42B07">
        <w:rPr>
          <w:b/>
          <w:bCs/>
        </w:rPr>
        <w:t xml:space="preserve"> battering ram</w:t>
      </w:r>
      <w:r w:rsidR="002168A3">
        <w:rPr>
          <w:b/>
          <w:bCs/>
        </w:rPr>
        <w:t xml:space="preserve">, </w:t>
      </w:r>
      <w:r w:rsidRPr="00D42B07">
        <w:rPr>
          <w:b/>
          <w:bCs/>
        </w:rPr>
        <w:t xml:space="preserve">similar entry device): </w:t>
      </w:r>
      <w:r w:rsidRPr="00D42B07">
        <w:t>Tools</w:t>
      </w:r>
    </w:p>
    <w:p w14:paraId="7451FAEE" w14:textId="77777777" w:rsidR="0064002C" w:rsidRPr="00D42B07" w:rsidRDefault="0064002C" w:rsidP="00D42B07">
      <w:pPr>
        <w:autoSpaceDE w:val="0"/>
        <w:autoSpaceDN w:val="0"/>
        <w:adjustRightInd w:val="0"/>
        <w:ind w:firstLine="720"/>
      </w:pPr>
      <w:r w:rsidRPr="00D42B07">
        <w:t>designed to provide law enforcement rapid entry into a building or through a</w:t>
      </w:r>
    </w:p>
    <w:p w14:paraId="081480F0" w14:textId="77777777" w:rsidR="0064002C" w:rsidRPr="00D42B07" w:rsidRDefault="0064002C" w:rsidP="00D42B07">
      <w:pPr>
        <w:autoSpaceDE w:val="0"/>
        <w:autoSpaceDN w:val="0"/>
        <w:adjustRightInd w:val="0"/>
        <w:ind w:left="720"/>
      </w:pPr>
      <w:r w:rsidRPr="00D42B07">
        <w:t>secured doorway. These tools may be mechanical in nature (a battering ram),</w:t>
      </w:r>
    </w:p>
    <w:p w14:paraId="15A33010" w14:textId="77777777" w:rsidR="0064002C" w:rsidRPr="00D42B07" w:rsidRDefault="0064002C" w:rsidP="00D42B07">
      <w:pPr>
        <w:autoSpaceDE w:val="0"/>
        <w:autoSpaceDN w:val="0"/>
        <w:adjustRightInd w:val="0"/>
        <w:ind w:firstLine="720"/>
      </w:pPr>
      <w:r w:rsidRPr="00D42B07">
        <w:t>ballistic (slugs), or explosive.</w:t>
      </w:r>
    </w:p>
    <w:p w14:paraId="3077841F" w14:textId="290F427E" w:rsidR="0064002C" w:rsidRPr="00D42B07" w:rsidRDefault="0064002C" w:rsidP="00D42B07">
      <w:pPr>
        <w:pStyle w:val="ListParagraph"/>
        <w:numPr>
          <w:ilvl w:val="0"/>
          <w:numId w:val="51"/>
        </w:numPr>
        <w:autoSpaceDE w:val="0"/>
        <w:autoSpaceDN w:val="0"/>
        <w:adjustRightInd w:val="0"/>
        <w:ind w:left="720"/>
        <w:rPr>
          <w:b/>
          <w:bCs/>
        </w:rPr>
      </w:pPr>
      <w:r w:rsidRPr="00D42B07">
        <w:rPr>
          <w:b/>
          <w:bCs/>
        </w:rPr>
        <w:lastRenderedPageBreak/>
        <w:t>Riot Batons (excluding service</w:t>
      </w:r>
      <w:r w:rsidRPr="00260B76">
        <w:rPr>
          <w:rFonts w:ascii="Cambria Math" w:hAnsi="Cambria Math" w:cs="Cambria Math"/>
          <w:b/>
          <w:bCs/>
        </w:rPr>
        <w:t>‐</w:t>
      </w:r>
      <w:r w:rsidRPr="00D42B07">
        <w:rPr>
          <w:b/>
          <w:bCs/>
        </w:rPr>
        <w:t>issued telescopic or fixed</w:t>
      </w:r>
      <w:r w:rsidRPr="00260B76">
        <w:rPr>
          <w:rFonts w:ascii="Cambria Math" w:hAnsi="Cambria Math" w:cs="Cambria Math"/>
          <w:b/>
          <w:bCs/>
        </w:rPr>
        <w:t>‐</w:t>
      </w:r>
      <w:r w:rsidRPr="00D42B07">
        <w:rPr>
          <w:b/>
          <w:bCs/>
        </w:rPr>
        <w:t>length straight</w:t>
      </w:r>
    </w:p>
    <w:p w14:paraId="7414567A" w14:textId="77777777" w:rsidR="0064002C" w:rsidRPr="00D42B07" w:rsidRDefault="0064002C" w:rsidP="00D42B07">
      <w:pPr>
        <w:autoSpaceDE w:val="0"/>
        <w:autoSpaceDN w:val="0"/>
        <w:adjustRightInd w:val="0"/>
        <w:ind w:firstLine="720"/>
      </w:pPr>
      <w:r w:rsidRPr="00D42B07">
        <w:rPr>
          <w:b/>
          <w:bCs/>
        </w:rPr>
        <w:t xml:space="preserve">batons): </w:t>
      </w:r>
      <w:r w:rsidRPr="00D42B07">
        <w:t>Non</w:t>
      </w:r>
      <w:r w:rsidRPr="00D42B07">
        <w:rPr>
          <w:rFonts w:ascii="Cambria Math" w:hAnsi="Cambria Math" w:cs="Cambria Math"/>
        </w:rPr>
        <w:t>‐</w:t>
      </w:r>
      <w:r w:rsidRPr="00D42B07">
        <w:t>expandable baton of greater length (generally in excess of 24</w:t>
      </w:r>
    </w:p>
    <w:p w14:paraId="4B466F85" w14:textId="77777777" w:rsidR="0064002C" w:rsidRPr="00D42B07" w:rsidRDefault="0064002C" w:rsidP="00D42B07">
      <w:pPr>
        <w:autoSpaceDE w:val="0"/>
        <w:autoSpaceDN w:val="0"/>
        <w:adjustRightInd w:val="0"/>
        <w:ind w:left="720"/>
      </w:pPr>
      <w:r w:rsidRPr="00D42B07">
        <w:t>inches) than service</w:t>
      </w:r>
      <w:r w:rsidRPr="00D42B07">
        <w:rPr>
          <w:rFonts w:ascii="Cambria Math" w:hAnsi="Cambria Math" w:cs="Cambria Math"/>
        </w:rPr>
        <w:t>‐</w:t>
      </w:r>
      <w:r w:rsidRPr="00D42B07">
        <w:t>issued types and are intended to protect its wielder</w:t>
      </w:r>
    </w:p>
    <w:p w14:paraId="68311C0D" w14:textId="10C67200" w:rsidR="0064002C" w:rsidRPr="00D42B07" w:rsidRDefault="0064002C" w:rsidP="00966C76">
      <w:pPr>
        <w:autoSpaceDE w:val="0"/>
        <w:autoSpaceDN w:val="0"/>
        <w:adjustRightInd w:val="0"/>
        <w:ind w:left="720"/>
      </w:pPr>
      <w:r w:rsidRPr="00D42B07">
        <w:t>during melees by providing distance from assailants.</w:t>
      </w:r>
      <w:r w:rsidR="00FA120C">
        <w:t xml:space="preserve">  (Note: despite its inclusion on the Government-wide </w:t>
      </w:r>
      <w:r w:rsidR="00FA120C">
        <w:rPr>
          <w:i/>
        </w:rPr>
        <w:t xml:space="preserve">Controlled Equipment </w:t>
      </w:r>
      <w:r w:rsidR="00FA120C" w:rsidRPr="00303F9F">
        <w:rPr>
          <w:i/>
        </w:rPr>
        <w:t>List</w:t>
      </w:r>
      <w:r w:rsidR="00FA120C">
        <w:t xml:space="preserve">, equipment defined under this category is </w:t>
      </w:r>
      <w:r w:rsidR="00FA120C" w:rsidRPr="00303F9F">
        <w:t>n</w:t>
      </w:r>
      <w:r w:rsidR="00FA120C">
        <w:t>ot an allowable expense under any FEMA preparedness grant program).</w:t>
      </w:r>
    </w:p>
    <w:p w14:paraId="3F0E1DA7" w14:textId="08A0C825" w:rsidR="0064002C" w:rsidRPr="00D42B07" w:rsidRDefault="0064002C" w:rsidP="00D42B07">
      <w:pPr>
        <w:pStyle w:val="ListParagraph"/>
        <w:numPr>
          <w:ilvl w:val="0"/>
          <w:numId w:val="51"/>
        </w:numPr>
        <w:autoSpaceDE w:val="0"/>
        <w:autoSpaceDN w:val="0"/>
        <w:adjustRightInd w:val="0"/>
        <w:ind w:left="720"/>
      </w:pPr>
      <w:r w:rsidRPr="00D42B07">
        <w:rPr>
          <w:b/>
          <w:bCs/>
        </w:rPr>
        <w:t xml:space="preserve">Riot Helmets: </w:t>
      </w:r>
      <w:r w:rsidRPr="00D42B07">
        <w:t>Helmets designed to protect the wearer’s face and head from</w:t>
      </w:r>
    </w:p>
    <w:p w14:paraId="1B945DF8" w14:textId="25429F3D" w:rsidR="0064002C" w:rsidRPr="00D42B07" w:rsidRDefault="00481D5A" w:rsidP="00D42B07">
      <w:pPr>
        <w:autoSpaceDE w:val="0"/>
        <w:autoSpaceDN w:val="0"/>
        <w:adjustRightInd w:val="0"/>
        <w:ind w:firstLine="720"/>
      </w:pPr>
      <w:r w:rsidRPr="00D42B07">
        <w:t>I</w:t>
      </w:r>
      <w:r w:rsidR="0064002C" w:rsidRPr="00D42B07">
        <w:t>njury during melees from projectiles including rocks, bricks, liquids, etc. Riot</w:t>
      </w:r>
    </w:p>
    <w:p w14:paraId="25E5C5D1" w14:textId="1082FDE1" w:rsidR="0064002C" w:rsidRPr="00D42B07" w:rsidRDefault="0064002C" w:rsidP="00D42B07">
      <w:pPr>
        <w:autoSpaceDE w:val="0"/>
        <w:autoSpaceDN w:val="0"/>
        <w:adjustRightInd w:val="0"/>
        <w:ind w:left="720"/>
      </w:pPr>
      <w:r w:rsidRPr="00D42B07">
        <w:t>helmets include a visor which protects the face.</w:t>
      </w:r>
      <w:r w:rsidR="00FA120C">
        <w:t xml:space="preserve">  (Note: despite its inclusion on the Government-wide </w:t>
      </w:r>
      <w:r w:rsidR="00FA120C">
        <w:rPr>
          <w:i/>
        </w:rPr>
        <w:t xml:space="preserve">Controlled Equipment </w:t>
      </w:r>
      <w:r w:rsidR="00FA120C" w:rsidRPr="00303F9F">
        <w:rPr>
          <w:i/>
        </w:rPr>
        <w:t>List</w:t>
      </w:r>
      <w:r w:rsidR="00FA120C">
        <w:t xml:space="preserve">, equipment defined under this category is </w:t>
      </w:r>
      <w:r w:rsidR="00FA120C" w:rsidRPr="00303F9F">
        <w:t>n</w:t>
      </w:r>
      <w:r w:rsidR="00FA120C">
        <w:t>ot an allowable expense under any FEMA preparedness grant program).</w:t>
      </w:r>
    </w:p>
    <w:p w14:paraId="7AE2AAC7" w14:textId="6364C1BD" w:rsidR="0064002C" w:rsidRPr="00D42B07" w:rsidRDefault="0064002C" w:rsidP="00D42B07">
      <w:pPr>
        <w:pStyle w:val="ListParagraph"/>
        <w:numPr>
          <w:ilvl w:val="0"/>
          <w:numId w:val="51"/>
        </w:numPr>
        <w:autoSpaceDE w:val="0"/>
        <w:autoSpaceDN w:val="0"/>
        <w:adjustRightInd w:val="0"/>
        <w:ind w:left="720"/>
      </w:pPr>
      <w:r w:rsidRPr="00D42B07">
        <w:rPr>
          <w:b/>
          <w:bCs/>
        </w:rPr>
        <w:t xml:space="preserve">Riot Shields: </w:t>
      </w:r>
      <w:r w:rsidRPr="00D42B07">
        <w:t>Shields intended to protect wielders from their head to their</w:t>
      </w:r>
    </w:p>
    <w:p w14:paraId="64BE9BE9" w14:textId="77777777" w:rsidR="0064002C" w:rsidRPr="00D42B07" w:rsidRDefault="0064002C" w:rsidP="00D42B07">
      <w:pPr>
        <w:autoSpaceDE w:val="0"/>
        <w:autoSpaceDN w:val="0"/>
        <w:adjustRightInd w:val="0"/>
        <w:ind w:firstLine="720"/>
      </w:pPr>
      <w:r w:rsidRPr="00D42B07">
        <w:t>knees in melees. Most are designed for the protection of the user from</w:t>
      </w:r>
    </w:p>
    <w:p w14:paraId="7F703100" w14:textId="77777777" w:rsidR="0064002C" w:rsidRPr="00D42B07" w:rsidRDefault="0064002C" w:rsidP="00D42B07">
      <w:pPr>
        <w:autoSpaceDE w:val="0"/>
        <w:autoSpaceDN w:val="0"/>
        <w:adjustRightInd w:val="0"/>
        <w:ind w:firstLine="720"/>
      </w:pPr>
      <w:r w:rsidRPr="00D42B07">
        <w:t>projectiles including rocks, bricks, and liquids. Some afford limited ballistic</w:t>
      </w:r>
    </w:p>
    <w:p w14:paraId="0E14DAC5" w14:textId="77777777" w:rsidR="0064002C" w:rsidRPr="00D42B07" w:rsidRDefault="0064002C" w:rsidP="00D42B07">
      <w:pPr>
        <w:autoSpaceDE w:val="0"/>
        <w:autoSpaceDN w:val="0"/>
        <w:adjustRightInd w:val="0"/>
        <w:ind w:firstLine="720"/>
      </w:pPr>
      <w:r w:rsidRPr="00D42B07">
        <w:t>protection as well</w:t>
      </w:r>
      <w:r w:rsidRPr="00D42B07">
        <w:rPr>
          <w:b/>
          <w:bCs/>
        </w:rPr>
        <w:t xml:space="preserve">. </w:t>
      </w:r>
      <w:r w:rsidRPr="00D42B07">
        <w:t>Riot shields may also be used as an offensive weapon to</w:t>
      </w:r>
    </w:p>
    <w:p w14:paraId="2638978B" w14:textId="08EADD1E" w:rsidR="0054106D" w:rsidRPr="00260B76" w:rsidRDefault="0064002C" w:rsidP="00966C76">
      <w:pPr>
        <w:pStyle w:val="Default"/>
        <w:ind w:left="720"/>
      </w:pPr>
      <w:r w:rsidRPr="00D42B07">
        <w:t>push opponents.</w:t>
      </w:r>
      <w:r w:rsidR="00FA120C">
        <w:t xml:space="preserve">  (Note: despite its inclusion on the Government-wide </w:t>
      </w:r>
      <w:r w:rsidR="00FA120C">
        <w:rPr>
          <w:i/>
        </w:rPr>
        <w:t xml:space="preserve">Controlled Equipment </w:t>
      </w:r>
      <w:r w:rsidR="00FA120C" w:rsidRPr="00303F9F">
        <w:rPr>
          <w:i/>
        </w:rPr>
        <w:t>List</w:t>
      </w:r>
      <w:r w:rsidR="00FA120C">
        <w:t xml:space="preserve">, equipment defined under this category is </w:t>
      </w:r>
      <w:r w:rsidR="00FA120C" w:rsidRPr="00303F9F">
        <w:t>n</w:t>
      </w:r>
      <w:r w:rsidR="00FA120C">
        <w:t>ot an allowable expense under any FEMA preparedness grant program).</w:t>
      </w:r>
    </w:p>
    <w:p w14:paraId="1D33C864" w14:textId="77777777" w:rsidR="003354CE" w:rsidRDefault="003354CE" w:rsidP="008D35B9">
      <w:pPr>
        <w:pStyle w:val="Default"/>
      </w:pPr>
    </w:p>
    <w:p w14:paraId="669B54CE" w14:textId="10A957ED" w:rsidR="003354CE" w:rsidRPr="00581FC0" w:rsidRDefault="003354CE" w:rsidP="003354CE">
      <w:pPr>
        <w:pStyle w:val="Default"/>
      </w:pPr>
      <w:r w:rsidRPr="00581FC0">
        <w:t xml:space="preserve">While EO 13688 speaks </w:t>
      </w:r>
      <w:r w:rsidR="006F5D89">
        <w:t xml:space="preserve">directly </w:t>
      </w:r>
      <w:r w:rsidRPr="00581FC0">
        <w:t>to Law Enforcement Agencies (LEA),</w:t>
      </w:r>
      <w:r w:rsidR="00AA2032">
        <w:t xml:space="preserve"> through this IB,</w:t>
      </w:r>
      <w:r w:rsidRPr="00581FC0">
        <w:t xml:space="preserve"> FEMA will apply the </w:t>
      </w:r>
      <w:r w:rsidR="0054106D">
        <w:t>same r</w:t>
      </w:r>
      <w:r w:rsidRPr="00581FC0">
        <w:t xml:space="preserve">equirements and conditions to all </w:t>
      </w:r>
      <w:r>
        <w:t>controlled equipment regardless of the recipient’s designation as</w:t>
      </w:r>
      <w:r w:rsidR="00C433F1">
        <w:t>,</w:t>
      </w:r>
      <w:r>
        <w:t xml:space="preserve"> or affiliation with</w:t>
      </w:r>
      <w:r w:rsidR="00C433F1">
        <w:t>,</w:t>
      </w:r>
      <w:r>
        <w:t xml:space="preserve"> law enforcement</w:t>
      </w:r>
      <w:r w:rsidRPr="00581FC0">
        <w:t xml:space="preserve"> to </w:t>
      </w:r>
      <w:r w:rsidR="0016120F" w:rsidRPr="00581FC0">
        <w:t>ensure a</w:t>
      </w:r>
      <w:r>
        <w:t xml:space="preserve"> consistent approach toward</w:t>
      </w:r>
      <w:r w:rsidRPr="00581FC0">
        <w:t xml:space="preserve"> controlled equipment</w:t>
      </w:r>
      <w:r>
        <w:t xml:space="preserve"> expenditures and use</w:t>
      </w:r>
      <w:r w:rsidR="00C433F1">
        <w:t xml:space="preserve"> by all FEMA recipients</w:t>
      </w:r>
      <w:r w:rsidRPr="00581FC0">
        <w:t>.</w:t>
      </w:r>
      <w:r>
        <w:t xml:space="preserve"> </w:t>
      </w:r>
    </w:p>
    <w:p w14:paraId="701150AE" w14:textId="77777777" w:rsidR="008D35B9" w:rsidRPr="00581FC0" w:rsidRDefault="008D35B9" w:rsidP="008D35B9">
      <w:pPr>
        <w:pStyle w:val="Default"/>
      </w:pPr>
    </w:p>
    <w:p w14:paraId="635107FD" w14:textId="03B52BAA" w:rsidR="00C15DEE" w:rsidRPr="003354CE" w:rsidRDefault="003354CE" w:rsidP="00D42B07">
      <w:pPr>
        <w:pStyle w:val="Default"/>
        <w:numPr>
          <w:ilvl w:val="0"/>
          <w:numId w:val="52"/>
        </w:numPr>
        <w:ind w:left="0" w:hanging="180"/>
      </w:pPr>
      <w:r>
        <w:rPr>
          <w:u w:val="single"/>
        </w:rPr>
        <w:t xml:space="preserve">Application </w:t>
      </w:r>
      <w:r w:rsidR="00D60B16" w:rsidRPr="00581FC0">
        <w:rPr>
          <w:u w:val="single"/>
        </w:rPr>
        <w:t xml:space="preserve">Requirements </w:t>
      </w:r>
      <w:r>
        <w:rPr>
          <w:u w:val="single"/>
        </w:rPr>
        <w:t>for</w:t>
      </w:r>
      <w:r w:rsidR="00E35A76" w:rsidRPr="00581FC0">
        <w:rPr>
          <w:u w:val="single"/>
        </w:rPr>
        <w:t xml:space="preserve"> Controlled Equipment </w:t>
      </w:r>
      <w:r w:rsidR="00072C83" w:rsidRPr="00581FC0">
        <w:rPr>
          <w:u w:val="single"/>
        </w:rPr>
        <w:t>Expenditures</w:t>
      </w:r>
    </w:p>
    <w:p w14:paraId="36AC5A97" w14:textId="70AD2C76" w:rsidR="00283FAF" w:rsidRDefault="00705FA3" w:rsidP="00FD3334">
      <w:pPr>
        <w:pStyle w:val="Default"/>
      </w:pPr>
      <w:r w:rsidRPr="00FD3334">
        <w:t xml:space="preserve">Any </w:t>
      </w:r>
      <w:r w:rsidR="00EA2BFE" w:rsidRPr="00FD3334">
        <w:t>entity</w:t>
      </w:r>
      <w:r w:rsidR="006A2435">
        <w:rPr>
          <w:rStyle w:val="FootnoteReference"/>
        </w:rPr>
        <w:footnoteReference w:id="2"/>
      </w:r>
      <w:r>
        <w:t xml:space="preserve"> that applies for FEMA grant</w:t>
      </w:r>
      <w:r w:rsidR="00EA2BFE">
        <w:t>s</w:t>
      </w:r>
      <w:r>
        <w:t xml:space="preserve"> for </w:t>
      </w:r>
      <w:r w:rsidR="00C15DEE">
        <w:t>controlled</w:t>
      </w:r>
      <w:r>
        <w:t xml:space="preserve"> equipment</w:t>
      </w:r>
      <w:r w:rsidR="00EA2BFE">
        <w:t xml:space="preserve"> expenditure</w:t>
      </w:r>
      <w:r w:rsidR="00515625">
        <w:t>s</w:t>
      </w:r>
      <w:r>
        <w:t xml:space="preserve"> </w:t>
      </w:r>
      <w:r w:rsidR="00EA2BFE">
        <w:t>must</w:t>
      </w:r>
      <w:r>
        <w:t xml:space="preserve"> </w:t>
      </w:r>
      <w:r w:rsidR="00E22EC7">
        <w:t xml:space="preserve">complete </w:t>
      </w:r>
      <w:r w:rsidR="00E22EC7" w:rsidRPr="00807B6B">
        <w:t>FEMA</w:t>
      </w:r>
      <w:r w:rsidR="00FD730B" w:rsidRPr="00807B6B">
        <w:t xml:space="preserve"> Form </w:t>
      </w:r>
      <w:r w:rsidR="005E44E1" w:rsidRPr="00807B6B">
        <w:t xml:space="preserve">(FF) </w:t>
      </w:r>
      <w:r w:rsidR="00807B6B" w:rsidRPr="00807B6B">
        <w:t xml:space="preserve">087-0-0-1 </w:t>
      </w:r>
      <w:r w:rsidR="00FD730B" w:rsidRPr="00807B6B">
        <w:rPr>
          <w:i/>
        </w:rPr>
        <w:t xml:space="preserve">Controlled </w:t>
      </w:r>
      <w:r w:rsidRPr="00807B6B">
        <w:rPr>
          <w:i/>
        </w:rPr>
        <w:t>Equipment Request Form</w:t>
      </w:r>
      <w:r w:rsidRPr="00807B6B">
        <w:t xml:space="preserve"> </w:t>
      </w:r>
      <w:r w:rsidR="00EA2BFE" w:rsidRPr="00807B6B">
        <w:t xml:space="preserve">and submit it </w:t>
      </w:r>
      <w:r w:rsidRPr="00807B6B">
        <w:t xml:space="preserve">to </w:t>
      </w:r>
      <w:r w:rsidR="00EA2BFE" w:rsidRPr="00807B6B">
        <w:t xml:space="preserve">the </w:t>
      </w:r>
      <w:r w:rsidRPr="00807B6B">
        <w:t>S</w:t>
      </w:r>
      <w:r w:rsidR="00EA4BC7" w:rsidRPr="00807B6B">
        <w:t xml:space="preserve">tate </w:t>
      </w:r>
      <w:r w:rsidRPr="00807B6B">
        <w:t>A</w:t>
      </w:r>
      <w:r w:rsidR="00EA4BC7" w:rsidRPr="00807B6B">
        <w:t xml:space="preserve">dministrative </w:t>
      </w:r>
      <w:r w:rsidRPr="00807B6B">
        <w:t>A</w:t>
      </w:r>
      <w:r w:rsidR="00EA4BC7" w:rsidRPr="00807B6B">
        <w:t>gency</w:t>
      </w:r>
      <w:r w:rsidR="006A2435" w:rsidRPr="00807B6B">
        <w:t xml:space="preserve"> (SAA)</w:t>
      </w:r>
      <w:r w:rsidRPr="00807B6B">
        <w:t xml:space="preserve"> or </w:t>
      </w:r>
      <w:r w:rsidR="00DA4203" w:rsidRPr="00807B6B">
        <w:t xml:space="preserve">to </w:t>
      </w:r>
      <w:r w:rsidRPr="00807B6B">
        <w:t>FEMA</w:t>
      </w:r>
      <w:r w:rsidR="0025251F">
        <w:t xml:space="preserve"> if applying</w:t>
      </w:r>
      <w:r w:rsidR="008709C7">
        <w:t xml:space="preserve"> </w:t>
      </w:r>
      <w:r w:rsidR="006F5D89">
        <w:t xml:space="preserve">through a grant program whose applications are made </w:t>
      </w:r>
      <w:r w:rsidR="008709C7">
        <w:t>directly</w:t>
      </w:r>
      <w:r w:rsidR="00260B76">
        <w:t xml:space="preserve"> to FEMA</w:t>
      </w:r>
      <w:r>
        <w:t xml:space="preserve">. </w:t>
      </w:r>
      <w:r w:rsidR="00DA4203">
        <w:t xml:space="preserve">The form may be submitted at the time of application for the award or can be submitted at any time during the award period of performance </w:t>
      </w:r>
      <w:r w:rsidR="00771F7B">
        <w:t xml:space="preserve">as </w:t>
      </w:r>
      <w:r w:rsidR="00DA4203">
        <w:t xml:space="preserve">long as it is prior to the acquisition of the controlled equipment. </w:t>
      </w:r>
    </w:p>
    <w:p w14:paraId="0D1C18FE" w14:textId="77777777" w:rsidR="00735139" w:rsidRDefault="00735139" w:rsidP="00FD3334">
      <w:pPr>
        <w:pStyle w:val="Default"/>
      </w:pPr>
    </w:p>
    <w:p w14:paraId="09F77C5A" w14:textId="3E8F93FF" w:rsidR="00283FAF" w:rsidRDefault="00196148" w:rsidP="006033F5">
      <w:pPr>
        <w:pStyle w:val="Default"/>
        <w:tabs>
          <w:tab w:val="left" w:pos="6210"/>
        </w:tabs>
      </w:pPr>
      <w:r w:rsidRPr="00807B6B">
        <w:t xml:space="preserve">Using </w:t>
      </w:r>
      <w:r w:rsidR="003354CE" w:rsidRPr="00807B6B">
        <w:t xml:space="preserve">FF </w:t>
      </w:r>
      <w:r w:rsidR="00807B6B">
        <w:t>087-0-0-1</w:t>
      </w:r>
      <w:r w:rsidR="00515625">
        <w:t>,</w:t>
      </w:r>
      <w:r w:rsidR="003354CE">
        <w:t xml:space="preserve"> </w:t>
      </w:r>
      <w:r w:rsidR="00283FAF">
        <w:t xml:space="preserve">the entity must include </w:t>
      </w:r>
      <w:r w:rsidR="00283FAF" w:rsidRPr="00581FC0">
        <w:t>a</w:t>
      </w:r>
      <w:r w:rsidR="00283FAF">
        <w:t xml:space="preserve"> </w:t>
      </w:r>
      <w:r w:rsidR="00283FAF" w:rsidRPr="00581FC0">
        <w:t xml:space="preserve">clear and persuasive explanation </w:t>
      </w:r>
      <w:r w:rsidR="00283FAF">
        <w:t xml:space="preserve">demonstrating </w:t>
      </w:r>
      <w:r w:rsidR="00283FAF" w:rsidRPr="00581FC0">
        <w:t>the need for the controlled equipment and the purpose that it will serve.</w:t>
      </w:r>
      <w:r w:rsidR="001F5508">
        <w:t xml:space="preserve"> The entity will be asked to supply information about the current inventory of controlled equipment acquired through Federal programs, pending applications for controlled equipment, previous denials for controlled equipment</w:t>
      </w:r>
      <w:r w:rsidR="00E53BFA">
        <w:t>,</w:t>
      </w:r>
      <w:r w:rsidR="001F5508">
        <w:t xml:space="preserve"> and any </w:t>
      </w:r>
      <w:r w:rsidR="00781C5A">
        <w:t xml:space="preserve">findings of </w:t>
      </w:r>
      <w:r w:rsidR="001F5508">
        <w:t xml:space="preserve">violations of </w:t>
      </w:r>
      <w:r w:rsidR="00A54209">
        <w:t>f</w:t>
      </w:r>
      <w:r w:rsidR="001F5508">
        <w:t xml:space="preserve">ederal civil rights statues or programmatic terms involving controlled equipment. </w:t>
      </w:r>
    </w:p>
    <w:p w14:paraId="766A4562" w14:textId="77777777" w:rsidR="001F5508" w:rsidRPr="00581FC0" w:rsidRDefault="001F5508" w:rsidP="00EB570D">
      <w:pPr>
        <w:pStyle w:val="Default"/>
      </w:pPr>
    </w:p>
    <w:p w14:paraId="65F4C5BF" w14:textId="6E812532" w:rsidR="00735139" w:rsidRPr="00735139" w:rsidRDefault="00283FAF" w:rsidP="00404A80">
      <w:pPr>
        <w:rPr>
          <w:color w:val="000000"/>
        </w:rPr>
      </w:pPr>
      <w:r w:rsidRPr="00283FAF">
        <w:t xml:space="preserve">Additionally, </w:t>
      </w:r>
      <w:r w:rsidR="00987CA2" w:rsidRPr="00807B6B">
        <w:t xml:space="preserve">using </w:t>
      </w:r>
      <w:r w:rsidR="00807B6B" w:rsidRPr="00807B6B">
        <w:t>FF 087-0-0-1</w:t>
      </w:r>
      <w:r w:rsidR="00196148" w:rsidRPr="00807B6B">
        <w:t>,</w:t>
      </w:r>
      <w:r w:rsidR="00196148">
        <w:t xml:space="preserve"> </w:t>
      </w:r>
      <w:r w:rsidRPr="00283FAF">
        <w:t>t</w:t>
      </w:r>
      <w:r w:rsidR="001D36E0" w:rsidRPr="00283FAF">
        <w:t>he</w:t>
      </w:r>
      <w:r w:rsidR="009F4974">
        <w:t xml:space="preserve"> </w:t>
      </w:r>
      <w:r w:rsidR="001D36E0" w:rsidRPr="00283FAF">
        <w:t xml:space="preserve">entity </w:t>
      </w:r>
      <w:r w:rsidR="00404A80">
        <w:t>will</w:t>
      </w:r>
      <w:r w:rsidR="001D36E0" w:rsidRPr="00283FAF">
        <w:t xml:space="preserve"> certify that</w:t>
      </w:r>
      <w:r w:rsidR="003354CE">
        <w:t xml:space="preserve"> th</w:t>
      </w:r>
      <w:r w:rsidR="00080317">
        <w:t xml:space="preserve">ey have </w:t>
      </w:r>
      <w:r w:rsidR="00196148">
        <w:t>adopt</w:t>
      </w:r>
      <w:r w:rsidR="00515625">
        <w:t>ed</w:t>
      </w:r>
      <w:r w:rsidR="00DA4203">
        <w:t>, or will adopt prior to acquiring controlled equipment,</w:t>
      </w:r>
      <w:r w:rsidR="00196148">
        <w:t xml:space="preserve"> </w:t>
      </w:r>
      <w:r w:rsidR="00781C5A">
        <w:t>applicable</w:t>
      </w:r>
      <w:r w:rsidR="00196148">
        <w:t xml:space="preserve"> </w:t>
      </w:r>
      <w:r w:rsidR="00781C5A">
        <w:t>p</w:t>
      </w:r>
      <w:r w:rsidR="00E51788" w:rsidRPr="00532915">
        <w:t xml:space="preserve">olicies and </w:t>
      </w:r>
      <w:r w:rsidR="00781C5A">
        <w:t>p</w:t>
      </w:r>
      <w:r w:rsidR="00E51788" w:rsidRPr="00532915">
        <w:t>rotocols</w:t>
      </w:r>
      <w:r w:rsidR="00515625">
        <w:t>,</w:t>
      </w:r>
      <w:r w:rsidR="00196148">
        <w:t xml:space="preserve"> </w:t>
      </w:r>
      <w:r w:rsidR="00515625">
        <w:t>meet</w:t>
      </w:r>
      <w:r w:rsidR="00196148">
        <w:t xml:space="preserve"> the </w:t>
      </w:r>
      <w:r w:rsidR="00781C5A" w:rsidRPr="00532915">
        <w:rPr>
          <w:color w:val="000000"/>
        </w:rPr>
        <w:t>training r</w:t>
      </w:r>
      <w:r w:rsidR="00E51788" w:rsidRPr="00532915">
        <w:rPr>
          <w:color w:val="000000"/>
        </w:rPr>
        <w:t>equirements</w:t>
      </w:r>
      <w:r w:rsidR="00196148">
        <w:rPr>
          <w:color w:val="000000"/>
        </w:rPr>
        <w:t xml:space="preserve">, </w:t>
      </w:r>
      <w:r w:rsidR="00515625">
        <w:rPr>
          <w:color w:val="000000"/>
        </w:rPr>
        <w:t xml:space="preserve">and will adhere to </w:t>
      </w:r>
      <w:r w:rsidR="00515625" w:rsidRPr="00781C5A">
        <w:rPr>
          <w:color w:val="000000"/>
        </w:rPr>
        <w:t xml:space="preserve">the </w:t>
      </w:r>
      <w:r w:rsidR="00781C5A">
        <w:t>r</w:t>
      </w:r>
      <w:r w:rsidR="00E51788" w:rsidRPr="00532915">
        <w:t xml:space="preserve">ecords </w:t>
      </w:r>
      <w:r w:rsidR="00781C5A">
        <w:t>k</w:t>
      </w:r>
      <w:r w:rsidR="00E51788" w:rsidRPr="00532915">
        <w:t xml:space="preserve">eeping </w:t>
      </w:r>
      <w:r w:rsidR="00781C5A">
        <w:t>r</w:t>
      </w:r>
      <w:r w:rsidR="00E51788" w:rsidRPr="00532915">
        <w:t>equirements</w:t>
      </w:r>
      <w:r w:rsidR="00196148" w:rsidRPr="00781C5A">
        <w:t xml:space="preserve"> and </w:t>
      </w:r>
      <w:r w:rsidR="00781C5A">
        <w:t>a</w:t>
      </w:r>
      <w:r w:rsidR="00E51788" w:rsidRPr="00532915">
        <w:t>fter-</w:t>
      </w:r>
      <w:r w:rsidR="00781C5A">
        <w:t>a</w:t>
      </w:r>
      <w:r w:rsidR="00E51788" w:rsidRPr="00532915">
        <w:t xml:space="preserve">ction </w:t>
      </w:r>
      <w:r w:rsidR="00781C5A">
        <w:t>r</w:t>
      </w:r>
      <w:r w:rsidR="00E51788" w:rsidRPr="00532915">
        <w:t xml:space="preserve">eport </w:t>
      </w:r>
      <w:r w:rsidR="00781C5A">
        <w:t>r</w:t>
      </w:r>
      <w:r w:rsidR="00E51788" w:rsidRPr="00532915">
        <w:t>equirements</w:t>
      </w:r>
      <w:r w:rsidR="00781C5A">
        <w:t>,</w:t>
      </w:r>
      <w:r w:rsidR="00E51788" w:rsidRPr="00E51788">
        <w:t xml:space="preserve"> </w:t>
      </w:r>
      <w:r w:rsidR="00196148">
        <w:t xml:space="preserve">as described below. </w:t>
      </w:r>
      <w:r w:rsidR="00196148" w:rsidRPr="00196148">
        <w:rPr>
          <w:color w:val="000000"/>
        </w:rPr>
        <w:t xml:space="preserve">The </w:t>
      </w:r>
      <w:r w:rsidR="00515625">
        <w:rPr>
          <w:color w:val="000000"/>
        </w:rPr>
        <w:t>entity</w:t>
      </w:r>
      <w:r w:rsidR="00196148" w:rsidRPr="00196148">
        <w:rPr>
          <w:color w:val="000000"/>
        </w:rPr>
        <w:t xml:space="preserve"> will </w:t>
      </w:r>
      <w:r w:rsidR="00515625">
        <w:rPr>
          <w:color w:val="000000"/>
        </w:rPr>
        <w:t xml:space="preserve">also certify that it will </w:t>
      </w:r>
      <w:r w:rsidR="00196148" w:rsidRPr="00196148">
        <w:rPr>
          <w:color w:val="000000"/>
        </w:rPr>
        <w:t xml:space="preserve">abide by all applicable </w:t>
      </w:r>
      <w:r w:rsidR="00A54209">
        <w:rPr>
          <w:color w:val="000000"/>
        </w:rPr>
        <w:t>f</w:t>
      </w:r>
      <w:r w:rsidR="00196148" w:rsidRPr="00196148">
        <w:rPr>
          <w:color w:val="000000"/>
        </w:rPr>
        <w:t>ederal, state, local</w:t>
      </w:r>
      <w:r w:rsidR="0056458F">
        <w:rPr>
          <w:color w:val="000000"/>
        </w:rPr>
        <w:t>, and tribal</w:t>
      </w:r>
      <w:r w:rsidR="00196148" w:rsidRPr="00196148">
        <w:rPr>
          <w:color w:val="000000"/>
        </w:rPr>
        <w:t xml:space="preserve"> laws, regulations, and programmatic terms and conditions.</w:t>
      </w:r>
    </w:p>
    <w:p w14:paraId="7A53280B" w14:textId="77777777" w:rsidR="006A2435" w:rsidRDefault="006A2435" w:rsidP="00EB570D">
      <w:pPr>
        <w:pStyle w:val="Default"/>
        <w:rPr>
          <w:u w:val="single"/>
        </w:rPr>
      </w:pPr>
      <w:bookmarkStart w:id="1" w:name="PolicyandProtocolRequirement"/>
    </w:p>
    <w:p w14:paraId="22A379BB" w14:textId="77777777" w:rsidR="007E3E2B" w:rsidRDefault="007E3E2B" w:rsidP="00EB570D">
      <w:pPr>
        <w:pStyle w:val="Default"/>
        <w:rPr>
          <w:u w:val="single"/>
        </w:rPr>
      </w:pPr>
    </w:p>
    <w:p w14:paraId="7481D00D" w14:textId="77777777" w:rsidR="007E3E2B" w:rsidRDefault="007E3E2B" w:rsidP="00EB570D">
      <w:pPr>
        <w:pStyle w:val="Default"/>
        <w:rPr>
          <w:u w:val="single"/>
        </w:rPr>
      </w:pPr>
    </w:p>
    <w:p w14:paraId="63343145" w14:textId="77777777" w:rsidR="00E22EC7" w:rsidRDefault="002D6584" w:rsidP="00D42B07">
      <w:pPr>
        <w:pStyle w:val="Default"/>
        <w:numPr>
          <w:ilvl w:val="0"/>
          <w:numId w:val="52"/>
        </w:numPr>
        <w:ind w:left="0" w:hanging="180"/>
        <w:rPr>
          <w:u w:val="single"/>
        </w:rPr>
      </w:pPr>
      <w:r>
        <w:rPr>
          <w:u w:val="single"/>
        </w:rPr>
        <w:t>Polic</w:t>
      </w:r>
      <w:r w:rsidR="00FD3334">
        <w:rPr>
          <w:u w:val="single"/>
        </w:rPr>
        <w:t>y and Protocol Requirements</w:t>
      </w:r>
    </w:p>
    <w:bookmarkEnd w:id="1"/>
    <w:p w14:paraId="581F69E1" w14:textId="77777777" w:rsidR="001F1CF9" w:rsidRDefault="001F1CF9" w:rsidP="007C0F16">
      <w:pPr>
        <w:pStyle w:val="Default"/>
      </w:pPr>
    </w:p>
    <w:p w14:paraId="339FCF49" w14:textId="47F71788" w:rsidR="007C0F16" w:rsidRPr="00A86B51" w:rsidRDefault="00ED63C0" w:rsidP="00532915">
      <w:pPr>
        <w:pStyle w:val="Default"/>
        <w:numPr>
          <w:ilvl w:val="0"/>
          <w:numId w:val="56"/>
        </w:numPr>
        <w:rPr>
          <w:rFonts w:ascii="Calibri" w:hAnsi="Calibri" w:cs="Calibri"/>
        </w:rPr>
      </w:pPr>
      <w:r>
        <w:t xml:space="preserve">The entity </w:t>
      </w:r>
      <w:r w:rsidR="002D5976">
        <w:t xml:space="preserve">must </w:t>
      </w:r>
      <w:r w:rsidR="001F5508">
        <w:t xml:space="preserve">have </w:t>
      </w:r>
      <w:r w:rsidR="003354CE" w:rsidRPr="001F5508">
        <w:t xml:space="preserve">written policies and protocols that specifically govern the (1) </w:t>
      </w:r>
      <w:r w:rsidR="00781C5A">
        <w:t>a</w:t>
      </w:r>
      <w:r w:rsidR="003354CE" w:rsidRPr="001F5508">
        <w:t xml:space="preserve">ppropriate use of controlled equipment; (2) </w:t>
      </w:r>
      <w:r w:rsidR="00781C5A">
        <w:t>s</w:t>
      </w:r>
      <w:r w:rsidR="003354CE" w:rsidRPr="001F5508">
        <w:t xml:space="preserve">upervision of use of controlled equipment; (3) </w:t>
      </w:r>
      <w:r w:rsidR="00781C5A">
        <w:t>e</w:t>
      </w:r>
      <w:r w:rsidR="003354CE" w:rsidRPr="001F5508">
        <w:t xml:space="preserve">ffectiveness evaluation; (4) </w:t>
      </w:r>
      <w:r w:rsidR="00781C5A">
        <w:t>a</w:t>
      </w:r>
      <w:r w:rsidR="003354CE" w:rsidRPr="001F5508">
        <w:t>uditing and accounta</w:t>
      </w:r>
      <w:r w:rsidR="001F5508">
        <w:t xml:space="preserve">bility; and (5) </w:t>
      </w:r>
      <w:r w:rsidR="00781C5A">
        <w:t>t</w:t>
      </w:r>
      <w:r w:rsidR="001F5508">
        <w:t xml:space="preserve">ransparency and </w:t>
      </w:r>
      <w:r w:rsidR="00781C5A">
        <w:t>n</w:t>
      </w:r>
      <w:r w:rsidR="001F5508">
        <w:t xml:space="preserve">otice </w:t>
      </w:r>
      <w:r w:rsidR="00781C5A">
        <w:t>c</w:t>
      </w:r>
      <w:r w:rsidR="001F5508">
        <w:t>onsiderations</w:t>
      </w:r>
      <w:r w:rsidR="001F1CF9">
        <w:t xml:space="preserve"> as defined below:</w:t>
      </w:r>
    </w:p>
    <w:p w14:paraId="00675DE6" w14:textId="77777777" w:rsidR="00D7449E" w:rsidRPr="007C0F16" w:rsidRDefault="00D7449E" w:rsidP="00A86B51">
      <w:pPr>
        <w:pStyle w:val="Default"/>
        <w:ind w:left="720"/>
        <w:rPr>
          <w:rFonts w:ascii="Calibri" w:hAnsi="Calibri" w:cs="Calibri"/>
        </w:rPr>
      </w:pPr>
    </w:p>
    <w:p w14:paraId="14DFED2D" w14:textId="2DA0B5F1" w:rsidR="007C0F16" w:rsidRPr="00532915" w:rsidRDefault="007C0F16" w:rsidP="00532915">
      <w:pPr>
        <w:pStyle w:val="ListParagraph"/>
        <w:numPr>
          <w:ilvl w:val="0"/>
          <w:numId w:val="57"/>
        </w:numPr>
        <w:autoSpaceDE w:val="0"/>
        <w:autoSpaceDN w:val="0"/>
        <w:adjustRightInd w:val="0"/>
        <w:rPr>
          <w:color w:val="000000"/>
        </w:rPr>
      </w:pPr>
      <w:r w:rsidRPr="00532915">
        <w:rPr>
          <w:b/>
          <w:bCs/>
          <w:i/>
          <w:iCs/>
          <w:color w:val="000000"/>
        </w:rPr>
        <w:t xml:space="preserve">Appropriate Use of Controlled Equipment: </w:t>
      </w:r>
      <w:r w:rsidRPr="00532915">
        <w:rPr>
          <w:color w:val="000000"/>
        </w:rPr>
        <w:t>Requesting organizations should examine scenarios in which controlled equipment will likely be deployed, the decision</w:t>
      </w:r>
      <w:r w:rsidRPr="00532915">
        <w:rPr>
          <w:rFonts w:ascii="Cambria Math" w:hAnsi="Cambria Math" w:cs="Cambria Math"/>
          <w:color w:val="000000"/>
        </w:rPr>
        <w:t>‐</w:t>
      </w:r>
      <w:r w:rsidRPr="00532915">
        <w:rPr>
          <w:color w:val="000000"/>
        </w:rPr>
        <w:t xml:space="preserve">making processes that will determine whether controlled equipment is used, and the potential that both use and misuse of controlled equipment could create fear and distrust in the community. Protocols should consider whether measures can be taken to mitigate that effect (e.g., keep armored vehicles at a staging area until needed) and any alternatives to the use of such equipment and tactics to minimize negative effects on the community, while preserving officer  safety. (Recommendations Pursuant to </w:t>
      </w:r>
      <w:r w:rsidR="002168A3">
        <w:rPr>
          <w:color w:val="000000"/>
        </w:rPr>
        <w:t>EO</w:t>
      </w:r>
      <w:r w:rsidRPr="00532915">
        <w:rPr>
          <w:color w:val="000000"/>
        </w:rPr>
        <w:t xml:space="preserve"> 13688, pg. 19 – 20)</w:t>
      </w:r>
    </w:p>
    <w:p w14:paraId="6D9AA007" w14:textId="77777777" w:rsidR="007C0F16" w:rsidRPr="00532915" w:rsidRDefault="007C0F16" w:rsidP="007C0F16">
      <w:pPr>
        <w:autoSpaceDE w:val="0"/>
        <w:autoSpaceDN w:val="0"/>
        <w:adjustRightInd w:val="0"/>
        <w:rPr>
          <w:color w:val="000000"/>
        </w:rPr>
      </w:pPr>
    </w:p>
    <w:p w14:paraId="5FFA0DB9" w14:textId="0970ABBB" w:rsidR="007C0F16" w:rsidRPr="00532915" w:rsidRDefault="007C0F16" w:rsidP="00532915">
      <w:pPr>
        <w:pStyle w:val="ListParagraph"/>
        <w:numPr>
          <w:ilvl w:val="0"/>
          <w:numId w:val="57"/>
        </w:numPr>
        <w:autoSpaceDE w:val="0"/>
        <w:autoSpaceDN w:val="0"/>
        <w:adjustRightInd w:val="0"/>
        <w:rPr>
          <w:color w:val="000000"/>
        </w:rPr>
      </w:pPr>
      <w:r w:rsidRPr="00532915">
        <w:rPr>
          <w:b/>
          <w:bCs/>
          <w:i/>
          <w:iCs/>
          <w:color w:val="000000"/>
        </w:rPr>
        <w:t xml:space="preserve">Supervision of Use: </w:t>
      </w:r>
      <w:r w:rsidRPr="00532915">
        <w:rPr>
          <w:color w:val="000000"/>
        </w:rPr>
        <w:t>The protocols must specify appropriate supervision of personnel operating or utilizing</w:t>
      </w:r>
      <w:r w:rsidR="001F1CF9">
        <w:rPr>
          <w:color w:val="000000"/>
        </w:rPr>
        <w:t xml:space="preserve"> </w:t>
      </w:r>
      <w:r w:rsidRPr="00532915">
        <w:rPr>
          <w:color w:val="000000"/>
        </w:rPr>
        <w:t>controlled equipment. Supervision must be tailored to the type of equipment being used and the nature of</w:t>
      </w:r>
      <w:r w:rsidR="001F1CF9">
        <w:rPr>
          <w:color w:val="000000"/>
        </w:rPr>
        <w:t xml:space="preserve"> </w:t>
      </w:r>
      <w:r w:rsidRPr="00532915">
        <w:rPr>
          <w:color w:val="000000"/>
        </w:rPr>
        <w:t>the engagement or operation during which the equipment will be used. Policies must describe when a</w:t>
      </w:r>
      <w:r w:rsidR="001F1CF9">
        <w:rPr>
          <w:color w:val="000000"/>
        </w:rPr>
        <w:t xml:space="preserve"> </w:t>
      </w:r>
      <w:r w:rsidRPr="00532915">
        <w:rPr>
          <w:color w:val="000000"/>
        </w:rPr>
        <w:t xml:space="preserve">supervisor of appropriate authority is required to be present and actively overseeing the equipment’s use  in the field. (Recommendations Pursuant to </w:t>
      </w:r>
      <w:r w:rsidR="002168A3">
        <w:rPr>
          <w:color w:val="000000"/>
        </w:rPr>
        <w:t xml:space="preserve">EO </w:t>
      </w:r>
      <w:r w:rsidRPr="00532915">
        <w:rPr>
          <w:color w:val="000000"/>
        </w:rPr>
        <w:t>13688, pg. 20)</w:t>
      </w:r>
    </w:p>
    <w:p w14:paraId="16ED62AD" w14:textId="77777777" w:rsidR="007C0F16" w:rsidRPr="00532915" w:rsidRDefault="007C0F16" w:rsidP="007C0F16">
      <w:pPr>
        <w:autoSpaceDE w:val="0"/>
        <w:autoSpaceDN w:val="0"/>
        <w:adjustRightInd w:val="0"/>
        <w:rPr>
          <w:color w:val="000000"/>
        </w:rPr>
      </w:pPr>
    </w:p>
    <w:p w14:paraId="2BEF52FA" w14:textId="4278DBDB" w:rsidR="007C0F16" w:rsidRPr="00532915" w:rsidRDefault="007C0F16" w:rsidP="00532915">
      <w:pPr>
        <w:pStyle w:val="ListParagraph"/>
        <w:numPr>
          <w:ilvl w:val="0"/>
          <w:numId w:val="57"/>
        </w:numPr>
        <w:autoSpaceDE w:val="0"/>
        <w:autoSpaceDN w:val="0"/>
        <w:adjustRightInd w:val="0"/>
        <w:rPr>
          <w:color w:val="000000"/>
        </w:rPr>
      </w:pPr>
      <w:r w:rsidRPr="00532915">
        <w:rPr>
          <w:b/>
          <w:bCs/>
          <w:i/>
          <w:iCs/>
          <w:color w:val="000000"/>
        </w:rPr>
        <w:t xml:space="preserve">Effectiveness Evaluation: </w:t>
      </w:r>
      <w:r w:rsidRPr="00532915">
        <w:rPr>
          <w:color w:val="000000"/>
        </w:rPr>
        <w:t xml:space="preserve">The protocols must articulate that the requesting organization will </w:t>
      </w:r>
      <w:r w:rsidR="001F1CF9">
        <w:rPr>
          <w:color w:val="000000"/>
        </w:rPr>
        <w:t xml:space="preserve"> </w:t>
      </w:r>
      <w:r w:rsidRPr="00532915">
        <w:rPr>
          <w:color w:val="000000"/>
        </w:rPr>
        <w:t xml:space="preserve">monitor and evaluate </w:t>
      </w:r>
      <w:r w:rsidR="003141F8">
        <w:rPr>
          <w:color w:val="000000"/>
        </w:rPr>
        <w:t xml:space="preserve">regularly </w:t>
      </w:r>
      <w:r w:rsidRPr="00532915">
        <w:rPr>
          <w:color w:val="000000"/>
        </w:rPr>
        <w:t>the effectiveness and value of controlled equipment to determine whether continued</w:t>
      </w:r>
      <w:r w:rsidR="001F1CF9">
        <w:rPr>
          <w:color w:val="000000"/>
        </w:rPr>
        <w:t xml:space="preserve"> </w:t>
      </w:r>
      <w:r w:rsidRPr="00532915">
        <w:rPr>
          <w:color w:val="000000"/>
        </w:rPr>
        <w:t>deployment and use is warranted on operational, tactical, and technical grounds. Requesting</w:t>
      </w:r>
      <w:r w:rsidR="001F1CF9">
        <w:rPr>
          <w:color w:val="000000"/>
        </w:rPr>
        <w:t xml:space="preserve"> </w:t>
      </w:r>
      <w:r w:rsidRPr="00532915">
        <w:rPr>
          <w:color w:val="000000"/>
        </w:rPr>
        <w:t>organizations should  review after</w:t>
      </w:r>
      <w:r w:rsidRPr="00532915">
        <w:rPr>
          <w:rFonts w:ascii="Cambria Math" w:hAnsi="Cambria Math" w:cs="Cambria Math"/>
          <w:color w:val="000000"/>
        </w:rPr>
        <w:t>‐</w:t>
      </w:r>
      <w:r w:rsidRPr="00532915">
        <w:rPr>
          <w:color w:val="000000"/>
        </w:rPr>
        <w:t xml:space="preserve">action reports </w:t>
      </w:r>
      <w:r w:rsidR="003141F8">
        <w:rPr>
          <w:color w:val="000000"/>
        </w:rPr>
        <w:t xml:space="preserve">routinely </w:t>
      </w:r>
      <w:r w:rsidRPr="00532915">
        <w:rPr>
          <w:color w:val="000000"/>
        </w:rPr>
        <w:t>and analyze any data on, for example, how often</w:t>
      </w:r>
      <w:r w:rsidR="001F1CF9">
        <w:rPr>
          <w:color w:val="000000"/>
        </w:rPr>
        <w:t xml:space="preserve"> </w:t>
      </w:r>
      <w:r w:rsidRPr="00532915">
        <w:rPr>
          <w:color w:val="000000"/>
        </w:rPr>
        <w:t>controlled equipment is used or whether controlled equipment is used more frequently in certain law</w:t>
      </w:r>
      <w:r w:rsidR="001F1CF9">
        <w:rPr>
          <w:color w:val="000000"/>
        </w:rPr>
        <w:t xml:space="preserve"> </w:t>
      </w:r>
      <w:r w:rsidRPr="00532915">
        <w:rPr>
          <w:color w:val="000000"/>
        </w:rPr>
        <w:t>enforcement operations or in particular locations or neighborhoods. (Recommendations Pursuant to</w:t>
      </w:r>
      <w:r w:rsidR="001F1CF9">
        <w:rPr>
          <w:color w:val="000000"/>
        </w:rPr>
        <w:t xml:space="preserve"> </w:t>
      </w:r>
      <w:r w:rsidR="002168A3">
        <w:rPr>
          <w:color w:val="000000"/>
        </w:rPr>
        <w:t>EO</w:t>
      </w:r>
      <w:r w:rsidRPr="00532915">
        <w:rPr>
          <w:color w:val="000000"/>
        </w:rPr>
        <w:t xml:space="preserve"> 13688, pg. 20)</w:t>
      </w:r>
    </w:p>
    <w:p w14:paraId="174F0947" w14:textId="77777777" w:rsidR="007C0F16" w:rsidRPr="00532915" w:rsidRDefault="007C0F16" w:rsidP="007C0F16">
      <w:pPr>
        <w:autoSpaceDE w:val="0"/>
        <w:autoSpaceDN w:val="0"/>
        <w:adjustRightInd w:val="0"/>
        <w:rPr>
          <w:color w:val="000000"/>
        </w:rPr>
      </w:pPr>
    </w:p>
    <w:p w14:paraId="4E23B512" w14:textId="6DDCE6FA" w:rsidR="007C0F16" w:rsidRPr="00532915" w:rsidRDefault="007C0F16" w:rsidP="00532915">
      <w:pPr>
        <w:pStyle w:val="ListParagraph"/>
        <w:numPr>
          <w:ilvl w:val="0"/>
          <w:numId w:val="57"/>
        </w:numPr>
        <w:autoSpaceDE w:val="0"/>
        <w:autoSpaceDN w:val="0"/>
        <w:adjustRightInd w:val="0"/>
        <w:rPr>
          <w:color w:val="000000"/>
        </w:rPr>
      </w:pPr>
      <w:r w:rsidRPr="00532915">
        <w:rPr>
          <w:b/>
          <w:bCs/>
          <w:i/>
          <w:iCs/>
          <w:color w:val="000000"/>
        </w:rPr>
        <w:t xml:space="preserve">Auditing and Accountability: </w:t>
      </w:r>
      <w:r w:rsidRPr="00532915">
        <w:rPr>
          <w:color w:val="000000"/>
        </w:rPr>
        <w:t>There must be strong auditing and accountability provisions in the protocols</w:t>
      </w:r>
      <w:r w:rsidR="001F1CF9">
        <w:rPr>
          <w:color w:val="000000"/>
        </w:rPr>
        <w:t xml:space="preserve"> </w:t>
      </w:r>
      <w:r w:rsidR="003141F8">
        <w:rPr>
          <w:color w:val="000000"/>
        </w:rPr>
        <w:t>that</w:t>
      </w:r>
      <w:r w:rsidRPr="00532915">
        <w:rPr>
          <w:color w:val="000000"/>
        </w:rPr>
        <w:t xml:space="preserve"> state that the requesting organization's personnel will agree to and comply with and be held</w:t>
      </w:r>
      <w:r w:rsidR="001F1CF9">
        <w:rPr>
          <w:color w:val="000000"/>
        </w:rPr>
        <w:t xml:space="preserve"> </w:t>
      </w:r>
      <w:r w:rsidRPr="00532915">
        <w:rPr>
          <w:color w:val="000000"/>
        </w:rPr>
        <w:t xml:space="preserve">accountable if they do not adhere to agency, </w:t>
      </w:r>
      <w:r w:rsidR="002168A3">
        <w:rPr>
          <w:color w:val="000000"/>
        </w:rPr>
        <w:t>s</w:t>
      </w:r>
      <w:r w:rsidRPr="00532915">
        <w:rPr>
          <w:color w:val="000000"/>
        </w:rPr>
        <w:t xml:space="preserve">tate, local, </w:t>
      </w:r>
      <w:r w:rsidR="002168A3">
        <w:rPr>
          <w:color w:val="000000"/>
        </w:rPr>
        <w:t>t</w:t>
      </w:r>
      <w:r w:rsidRPr="00532915">
        <w:rPr>
          <w:color w:val="000000"/>
        </w:rPr>
        <w:t xml:space="preserve">ribal, </w:t>
      </w:r>
      <w:r w:rsidR="002168A3">
        <w:rPr>
          <w:color w:val="000000"/>
        </w:rPr>
        <w:t xml:space="preserve">territorial, </w:t>
      </w:r>
      <w:r w:rsidRPr="00532915">
        <w:rPr>
          <w:color w:val="000000"/>
        </w:rPr>
        <w:t>and Federal policies associated with the use</w:t>
      </w:r>
      <w:r w:rsidR="001F1CF9">
        <w:rPr>
          <w:color w:val="000000"/>
        </w:rPr>
        <w:t xml:space="preserve"> </w:t>
      </w:r>
      <w:r w:rsidRPr="00532915">
        <w:rPr>
          <w:color w:val="000000"/>
        </w:rPr>
        <w:t xml:space="preserve">of controlled equipment. (Recommendations Pursuant to </w:t>
      </w:r>
      <w:r w:rsidR="002168A3">
        <w:rPr>
          <w:color w:val="000000"/>
        </w:rPr>
        <w:t>EO</w:t>
      </w:r>
      <w:r w:rsidRPr="00532915">
        <w:rPr>
          <w:color w:val="000000"/>
        </w:rPr>
        <w:t xml:space="preserve"> 13688, pg. 20)</w:t>
      </w:r>
    </w:p>
    <w:p w14:paraId="4AE649EE" w14:textId="77777777" w:rsidR="007C0F16" w:rsidRPr="00532915" w:rsidRDefault="007C0F16" w:rsidP="007C0F16">
      <w:pPr>
        <w:autoSpaceDE w:val="0"/>
        <w:autoSpaceDN w:val="0"/>
        <w:adjustRightInd w:val="0"/>
        <w:rPr>
          <w:color w:val="000000"/>
        </w:rPr>
      </w:pPr>
    </w:p>
    <w:p w14:paraId="4D3DDB0D" w14:textId="1C7CC26A" w:rsidR="00303F9F" w:rsidRPr="00966C76" w:rsidRDefault="007C0F16" w:rsidP="00303F9F">
      <w:pPr>
        <w:pStyle w:val="ListParagraph"/>
        <w:numPr>
          <w:ilvl w:val="0"/>
          <w:numId w:val="57"/>
        </w:numPr>
        <w:autoSpaceDE w:val="0"/>
        <w:autoSpaceDN w:val="0"/>
        <w:adjustRightInd w:val="0"/>
        <w:rPr>
          <w:color w:val="000000"/>
        </w:rPr>
      </w:pPr>
      <w:r w:rsidRPr="00532915">
        <w:rPr>
          <w:b/>
          <w:bCs/>
          <w:i/>
          <w:iCs/>
          <w:color w:val="000000"/>
        </w:rPr>
        <w:t>Transparency and Notice</w:t>
      </w:r>
      <w:r w:rsidR="001F1CF9">
        <w:rPr>
          <w:b/>
          <w:bCs/>
          <w:i/>
          <w:iCs/>
          <w:color w:val="000000"/>
        </w:rPr>
        <w:t xml:space="preserve"> Consideration</w:t>
      </w:r>
      <w:r w:rsidRPr="00532915">
        <w:rPr>
          <w:b/>
          <w:bCs/>
          <w:i/>
          <w:iCs/>
          <w:color w:val="000000"/>
        </w:rPr>
        <w:t xml:space="preserve">: </w:t>
      </w:r>
      <w:r w:rsidRPr="00532915">
        <w:rPr>
          <w:color w:val="000000"/>
        </w:rPr>
        <w:t>The protocols must articulate that the requesting organization will engage the</w:t>
      </w:r>
      <w:r w:rsidR="001F1CF9">
        <w:rPr>
          <w:color w:val="000000"/>
        </w:rPr>
        <w:t xml:space="preserve"> </w:t>
      </w:r>
      <w:r w:rsidRPr="00532915">
        <w:rPr>
          <w:color w:val="000000"/>
        </w:rPr>
        <w:t>community regarding acquisition of controlled equipment, policies governing its use, and review of</w:t>
      </w:r>
      <w:r w:rsidR="001F1CF9">
        <w:rPr>
          <w:color w:val="000000"/>
        </w:rPr>
        <w:t xml:space="preserve"> </w:t>
      </w:r>
      <w:r w:rsidR="002168A3">
        <w:rPr>
          <w:color w:val="000000"/>
        </w:rPr>
        <w:t>s</w:t>
      </w:r>
      <w:r w:rsidRPr="00532915">
        <w:rPr>
          <w:color w:val="000000"/>
        </w:rPr>
        <w:t xml:space="preserve">ignificant </w:t>
      </w:r>
      <w:r w:rsidR="002168A3">
        <w:rPr>
          <w:color w:val="000000"/>
        </w:rPr>
        <w:t>i</w:t>
      </w:r>
      <w:r w:rsidRPr="00532915">
        <w:rPr>
          <w:color w:val="000000"/>
        </w:rPr>
        <w:t>ncidents (see Recommendation 2.3 below), with the understanding that there are reasonable</w:t>
      </w:r>
      <w:r w:rsidR="001F1CF9">
        <w:rPr>
          <w:color w:val="000000"/>
        </w:rPr>
        <w:t xml:space="preserve"> </w:t>
      </w:r>
      <w:r w:rsidRPr="00532915">
        <w:rPr>
          <w:color w:val="000000"/>
        </w:rPr>
        <w:t>limitations on disclosures of certain information and law enforcement sensitive operations and procedures.</w:t>
      </w:r>
      <w:r w:rsidR="003141F8">
        <w:rPr>
          <w:color w:val="000000"/>
        </w:rPr>
        <w:t xml:space="preserve"> </w:t>
      </w:r>
      <w:r w:rsidRPr="00532915">
        <w:rPr>
          <w:color w:val="000000"/>
        </w:rPr>
        <w:t xml:space="preserve">(Recommendations Pursuant to </w:t>
      </w:r>
      <w:r w:rsidR="002168A3">
        <w:rPr>
          <w:color w:val="000000"/>
        </w:rPr>
        <w:t>EO</w:t>
      </w:r>
      <w:r w:rsidRPr="00532915">
        <w:rPr>
          <w:color w:val="000000"/>
        </w:rPr>
        <w:t xml:space="preserve"> 13688, pg. 20)</w:t>
      </w:r>
    </w:p>
    <w:p w14:paraId="793B21AA" w14:textId="77777777" w:rsidR="00303F9F" w:rsidRPr="00966C76" w:rsidRDefault="00303F9F" w:rsidP="00966C76">
      <w:pPr>
        <w:pStyle w:val="ListParagraph"/>
        <w:keepNext/>
      </w:pPr>
    </w:p>
    <w:p w14:paraId="098BD2EA" w14:textId="0589EFD5" w:rsidR="001F5508" w:rsidRDefault="001F5508" w:rsidP="00CD6B5D">
      <w:pPr>
        <w:pStyle w:val="ListParagraph"/>
        <w:keepNext/>
        <w:numPr>
          <w:ilvl w:val="0"/>
          <w:numId w:val="56"/>
        </w:numPr>
      </w:pPr>
      <w:r w:rsidRPr="00532915">
        <w:rPr>
          <w:b/>
        </w:rPr>
        <w:t>For LEAs Only</w:t>
      </w:r>
      <w:r w:rsidR="00AB202D" w:rsidRPr="00D42B07">
        <w:rPr>
          <w:rStyle w:val="FootnoteReference"/>
        </w:rPr>
        <w:footnoteReference w:id="3"/>
      </w:r>
      <w:r w:rsidR="00C739F5" w:rsidRPr="00532915">
        <w:rPr>
          <w:b/>
        </w:rPr>
        <w:t xml:space="preserve"> </w:t>
      </w:r>
      <w:r>
        <w:t xml:space="preserve"> </w:t>
      </w:r>
    </w:p>
    <w:p w14:paraId="54270976" w14:textId="79E9BEE1" w:rsidR="003354CE" w:rsidRPr="00EA4BC7" w:rsidRDefault="003354CE" w:rsidP="00CD6B5D">
      <w:pPr>
        <w:pStyle w:val="Default"/>
        <w:keepNext/>
        <w:ind w:left="720"/>
      </w:pPr>
      <w:r>
        <w:t>LEA</w:t>
      </w:r>
      <w:r w:rsidR="00735139">
        <w:t xml:space="preserve"> recipients</w:t>
      </w:r>
      <w:r w:rsidR="00ED63C0">
        <w:t xml:space="preserve"> or subrecipients</w:t>
      </w:r>
      <w:r w:rsidRPr="00581FC0">
        <w:t xml:space="preserve"> </w:t>
      </w:r>
      <w:r w:rsidR="006033F5">
        <w:t xml:space="preserve">requesting controlled equipment </w:t>
      </w:r>
      <w:r w:rsidR="001F5508">
        <w:t xml:space="preserve">must have </w:t>
      </w:r>
      <w:r w:rsidRPr="00581FC0">
        <w:t>written policies and protocols on (1) Community Policing; (2) Constitutional Policing; and (3) Community Input and Impact Considerations</w:t>
      </w:r>
      <w:r w:rsidR="003141F8">
        <w:t>.</w:t>
      </w:r>
      <w:r w:rsidR="00440BB3">
        <w:rPr>
          <w:rStyle w:val="FootnoteReference"/>
        </w:rPr>
        <w:footnoteReference w:id="4"/>
      </w:r>
      <w:r w:rsidRPr="00581FC0">
        <w:t xml:space="preserve"> </w:t>
      </w:r>
    </w:p>
    <w:p w14:paraId="78A2E561" w14:textId="77777777" w:rsidR="00E22EC7" w:rsidRDefault="00E22EC7" w:rsidP="00EB570D">
      <w:pPr>
        <w:pStyle w:val="Default"/>
        <w:rPr>
          <w:u w:val="single"/>
        </w:rPr>
      </w:pPr>
    </w:p>
    <w:p w14:paraId="1C46C190" w14:textId="77777777" w:rsidR="00581FC0" w:rsidRDefault="009D0651" w:rsidP="00D42B07">
      <w:pPr>
        <w:pStyle w:val="Default"/>
        <w:numPr>
          <w:ilvl w:val="0"/>
          <w:numId w:val="52"/>
        </w:numPr>
        <w:ind w:left="0" w:hanging="180"/>
        <w:rPr>
          <w:u w:val="single"/>
        </w:rPr>
      </w:pPr>
      <w:bookmarkStart w:id="2" w:name="TrainingRequirement"/>
      <w:r w:rsidRPr="00581FC0">
        <w:rPr>
          <w:u w:val="single"/>
        </w:rPr>
        <w:t>T</w:t>
      </w:r>
      <w:r w:rsidR="004B2C6A" w:rsidRPr="00581FC0">
        <w:rPr>
          <w:u w:val="single"/>
        </w:rPr>
        <w:t>raining</w:t>
      </w:r>
      <w:r w:rsidRPr="00581FC0">
        <w:rPr>
          <w:u w:val="single"/>
        </w:rPr>
        <w:t xml:space="preserve"> Requirements</w:t>
      </w:r>
    </w:p>
    <w:bookmarkEnd w:id="2"/>
    <w:p w14:paraId="617C6696" w14:textId="37AC06B2" w:rsidR="00967A7A" w:rsidRDefault="00ED63C0" w:rsidP="00EB570D">
      <w:pPr>
        <w:pStyle w:val="Default"/>
      </w:pPr>
      <w:r>
        <w:t>The entity</w:t>
      </w:r>
      <w:r w:rsidRPr="00A6192D">
        <w:t xml:space="preserve"> </w:t>
      </w:r>
      <w:r w:rsidR="00967A7A" w:rsidRPr="00A6192D">
        <w:t xml:space="preserve">must </w:t>
      </w:r>
      <w:r w:rsidR="00781C5A">
        <w:t>provide</w:t>
      </w:r>
      <w:r w:rsidR="00781C5A" w:rsidRPr="00A6192D">
        <w:t xml:space="preserve"> </w:t>
      </w:r>
      <w:r w:rsidR="00781C5A">
        <w:t xml:space="preserve">or obtain </w:t>
      </w:r>
      <w:r w:rsidR="00967A7A" w:rsidRPr="00A6192D">
        <w:t xml:space="preserve">necessary training regarding </w:t>
      </w:r>
      <w:r w:rsidR="00EA4BC7" w:rsidRPr="00A6192D">
        <w:t xml:space="preserve">appropriate use of controlled equipment </w:t>
      </w:r>
      <w:r w:rsidR="00440BB3">
        <w:t>prior to the use of controlled equipment</w:t>
      </w:r>
      <w:r w:rsidR="00781C5A">
        <w:t>, including</w:t>
      </w:r>
      <w:r w:rsidR="00440BB3">
        <w:t>:</w:t>
      </w:r>
    </w:p>
    <w:p w14:paraId="450FC29F" w14:textId="77777777" w:rsidR="0016120F" w:rsidRPr="00A6192D" w:rsidRDefault="0016120F" w:rsidP="00EB570D">
      <w:pPr>
        <w:pStyle w:val="Default"/>
      </w:pPr>
    </w:p>
    <w:p w14:paraId="7C7867F3" w14:textId="77777777" w:rsidR="00581FC0" w:rsidRPr="00581FC0" w:rsidRDefault="00581FC0" w:rsidP="00581FC0">
      <w:pPr>
        <w:pStyle w:val="Default"/>
        <w:numPr>
          <w:ilvl w:val="0"/>
          <w:numId w:val="43"/>
        </w:numPr>
      </w:pPr>
      <w:r w:rsidRPr="00581FC0">
        <w:rPr>
          <w:b/>
        </w:rPr>
        <w:t>Technical Proficiency</w:t>
      </w:r>
      <w:r w:rsidRPr="00581FC0">
        <w:t>:</w:t>
      </w:r>
    </w:p>
    <w:p w14:paraId="3238BEDA" w14:textId="174CC270" w:rsidR="004B2C6A" w:rsidRDefault="00581FC0" w:rsidP="00581FC0">
      <w:pPr>
        <w:pStyle w:val="Default"/>
        <w:ind w:left="720"/>
      </w:pPr>
      <w:r w:rsidRPr="00581FC0">
        <w:t xml:space="preserve">All entity personnel </w:t>
      </w:r>
      <w:r w:rsidR="009D0651" w:rsidRPr="00581FC0">
        <w:t xml:space="preserve">who </w:t>
      </w:r>
      <w:r w:rsidR="002753DE">
        <w:t xml:space="preserve">will </w:t>
      </w:r>
      <w:r w:rsidR="009D0651" w:rsidRPr="00581FC0">
        <w:t xml:space="preserve">use controlled equipment must be  trained </w:t>
      </w:r>
      <w:r w:rsidR="003141F8">
        <w:t xml:space="preserve">properly </w:t>
      </w:r>
      <w:r w:rsidR="009D0651" w:rsidRPr="00581FC0">
        <w:t>on, and have achieved technical proficiency in, the operation or utilizatio</w:t>
      </w:r>
      <w:r w:rsidRPr="00581FC0">
        <w:t>n of the controlled equipment at issue</w:t>
      </w:r>
      <w:r w:rsidR="002753DE">
        <w:t xml:space="preserve"> prior to </w:t>
      </w:r>
      <w:r w:rsidR="00AB202D">
        <w:t>its use</w:t>
      </w:r>
      <w:r w:rsidRPr="00581FC0">
        <w:t>.</w:t>
      </w:r>
      <w:r w:rsidR="00B57165">
        <w:t xml:space="preserve"> The controlled equipment may be used for technical training and certification prior to deployment for official use.</w:t>
      </w:r>
    </w:p>
    <w:p w14:paraId="08AA394A" w14:textId="77777777" w:rsidR="0016120F" w:rsidRPr="00581FC0" w:rsidRDefault="0016120F" w:rsidP="00581FC0">
      <w:pPr>
        <w:pStyle w:val="Default"/>
        <w:ind w:left="720"/>
      </w:pPr>
    </w:p>
    <w:p w14:paraId="45FE887D" w14:textId="76CC1089" w:rsidR="00581FC0" w:rsidRPr="00464216" w:rsidRDefault="00581FC0" w:rsidP="00581FC0">
      <w:pPr>
        <w:pStyle w:val="Default"/>
        <w:numPr>
          <w:ilvl w:val="0"/>
          <w:numId w:val="43"/>
        </w:numPr>
        <w:rPr>
          <w:b/>
          <w:color w:val="auto"/>
        </w:rPr>
      </w:pPr>
      <w:r w:rsidRPr="00464216">
        <w:rPr>
          <w:b/>
          <w:color w:val="auto"/>
        </w:rPr>
        <w:t>Scenario</w:t>
      </w:r>
      <w:r w:rsidR="003141F8">
        <w:rPr>
          <w:b/>
          <w:color w:val="auto"/>
        </w:rPr>
        <w:t>-</w:t>
      </w:r>
      <w:r w:rsidRPr="00464216">
        <w:rPr>
          <w:b/>
          <w:color w:val="auto"/>
        </w:rPr>
        <w:t>Based Training</w:t>
      </w:r>
      <w:r w:rsidRPr="00464216">
        <w:rPr>
          <w:color w:val="auto"/>
        </w:rPr>
        <w:t>:</w:t>
      </w:r>
    </w:p>
    <w:p w14:paraId="50C6EE56" w14:textId="0DA34D69" w:rsidR="00581FC0" w:rsidRPr="00D80731" w:rsidRDefault="009D0651" w:rsidP="00581FC0">
      <w:pPr>
        <w:pStyle w:val="Default"/>
        <w:ind w:left="720"/>
      </w:pPr>
      <w:r w:rsidRPr="00581FC0">
        <w:t>To the extent possible, trainings related to controlled equipment should i</w:t>
      </w:r>
      <w:r w:rsidR="002E35E1" w:rsidRPr="00581FC0">
        <w:t>nclude scenario-based training</w:t>
      </w:r>
      <w:r w:rsidR="00581FC0" w:rsidRPr="00581FC0">
        <w:t>.</w:t>
      </w:r>
      <w:r w:rsidRPr="00581FC0">
        <w:t xml:space="preserve"> </w:t>
      </w:r>
      <w:r w:rsidR="00581FC0" w:rsidRPr="00581FC0">
        <w:t>P</w:t>
      </w:r>
      <w:r w:rsidRPr="00581FC0">
        <w:t>ersonnel authorizing or directing the use of controlled equipment should have enhanced scenario-based training to examine, deliberate, and review the circumstances in which controlled equipment should or should not be used.</w:t>
      </w:r>
      <w:r w:rsidR="002E35E1" w:rsidRPr="00581FC0">
        <w:t xml:space="preserve"> </w:t>
      </w:r>
      <w:r w:rsidR="00991C8F">
        <w:t xml:space="preserve"> </w:t>
      </w:r>
      <w:r w:rsidR="00581FC0" w:rsidRPr="00581FC0">
        <w:t xml:space="preserve">To the extent possible, </w:t>
      </w:r>
      <w:r w:rsidR="00080317">
        <w:t xml:space="preserve">the </w:t>
      </w:r>
      <w:r w:rsidR="002E35E1" w:rsidRPr="00581FC0">
        <w:t xml:space="preserve">LEA </w:t>
      </w:r>
      <w:r w:rsidR="00581FC0" w:rsidRPr="00581FC0">
        <w:t>specifically should include scenario</w:t>
      </w:r>
      <w:r w:rsidR="003141F8">
        <w:t>-</w:t>
      </w:r>
      <w:r w:rsidR="00581FC0" w:rsidRPr="00581FC0">
        <w:t xml:space="preserve">based training that </w:t>
      </w:r>
      <w:r w:rsidR="002E35E1" w:rsidRPr="00581FC0">
        <w:t xml:space="preserve">combines </w:t>
      </w:r>
      <w:r w:rsidR="002E35E1" w:rsidRPr="00D80731">
        <w:t>constitutional and community policing principles with equipment-specific training.</w:t>
      </w:r>
    </w:p>
    <w:p w14:paraId="2F802B28" w14:textId="0E778DF6" w:rsidR="00B57165" w:rsidRPr="00283FAF" w:rsidRDefault="00B57165" w:rsidP="00CD6B5D"/>
    <w:p w14:paraId="76D9EBA6" w14:textId="77777777" w:rsidR="00D80731" w:rsidRPr="00CD6B5D" w:rsidRDefault="00D80731" w:rsidP="00D80731">
      <w:pPr>
        <w:pStyle w:val="Default"/>
        <w:numPr>
          <w:ilvl w:val="0"/>
          <w:numId w:val="43"/>
        </w:numPr>
        <w:rPr>
          <w:b/>
          <w:color w:val="1F497D"/>
        </w:rPr>
      </w:pPr>
      <w:r w:rsidRPr="00CD6B5D">
        <w:rPr>
          <w:b/>
        </w:rPr>
        <w:t>Training on Civil Rights and Liberties</w:t>
      </w:r>
    </w:p>
    <w:p w14:paraId="7E8A97BD" w14:textId="77777777" w:rsidR="00D80731" w:rsidRDefault="00D80731" w:rsidP="00CD6B5D">
      <w:pPr>
        <w:pStyle w:val="Default"/>
        <w:ind w:left="720"/>
      </w:pPr>
      <w:r>
        <w:t xml:space="preserve">Annual, </w:t>
      </w:r>
      <w:r w:rsidRPr="00D80731">
        <w:t>a</w:t>
      </w:r>
      <w:r w:rsidRPr="0031754D">
        <w:t>ppropriate</w:t>
      </w:r>
      <w:r>
        <w:t>,</w:t>
      </w:r>
      <w:r w:rsidRPr="0031754D">
        <w:t xml:space="preserve"> and relevant training for </w:t>
      </w:r>
      <w:r>
        <w:t>grant recipient</w:t>
      </w:r>
      <w:r w:rsidRPr="0031754D">
        <w:t xml:space="preserve"> personnel </w:t>
      </w:r>
      <w:r>
        <w:t>on the 1</w:t>
      </w:r>
      <w:r w:rsidRPr="0031754D">
        <w:rPr>
          <w:vertAlign w:val="superscript"/>
        </w:rPr>
        <w:t>st</w:t>
      </w:r>
      <w:r>
        <w:t>, 4</w:t>
      </w:r>
      <w:r w:rsidRPr="0031754D">
        <w:rPr>
          <w:vertAlign w:val="superscript"/>
        </w:rPr>
        <w:t>th</w:t>
      </w:r>
      <w:r>
        <w:t>, and 14</w:t>
      </w:r>
      <w:r w:rsidRPr="0031754D">
        <w:rPr>
          <w:vertAlign w:val="superscript"/>
        </w:rPr>
        <w:t>th</w:t>
      </w:r>
      <w:r>
        <w:t xml:space="preserve"> Amendments </w:t>
      </w:r>
      <w:r w:rsidRPr="0031754D">
        <w:t xml:space="preserve">is </w:t>
      </w:r>
      <w:r>
        <w:t xml:space="preserve">required. Training on how to protect the civil rights and civil liberties of those in the surrounding community where the controlled equipment will be used is </w:t>
      </w:r>
      <w:r w:rsidRPr="0031754D">
        <w:t>vital to ensuring that the use of controlled</w:t>
      </w:r>
      <w:r>
        <w:t xml:space="preserve"> </w:t>
      </w:r>
      <w:r w:rsidRPr="0031754D">
        <w:t>equipment complies with constitutional standards for the protection of civil rights and civil</w:t>
      </w:r>
      <w:r>
        <w:t xml:space="preserve"> </w:t>
      </w:r>
      <w:r w:rsidRPr="0031754D">
        <w:t>liberties. Training objectives should define and explain relevant concepts and demonstrate the</w:t>
      </w:r>
      <w:r>
        <w:t xml:space="preserve"> </w:t>
      </w:r>
      <w:r w:rsidRPr="0031754D">
        <w:t>application of such concepts through equipment</w:t>
      </w:r>
      <w:r w:rsidRPr="0031754D">
        <w:rPr>
          <w:rFonts w:ascii="Cambria Math" w:hAnsi="Cambria Math" w:cs="Cambria Math"/>
        </w:rPr>
        <w:t>‐</w:t>
      </w:r>
      <w:r w:rsidRPr="0031754D">
        <w:t>based scenarios to show appropriate and</w:t>
      </w:r>
      <w:r>
        <w:t xml:space="preserve"> </w:t>
      </w:r>
      <w:r w:rsidRPr="0031754D">
        <w:t xml:space="preserve">proper use of controlled equipment by </w:t>
      </w:r>
      <w:r>
        <w:t xml:space="preserve">both </w:t>
      </w:r>
      <w:r w:rsidRPr="0031754D">
        <w:t xml:space="preserve">law enforcement </w:t>
      </w:r>
      <w:r>
        <w:t xml:space="preserve">and non-law enforcement </w:t>
      </w:r>
      <w:r w:rsidRPr="0031754D">
        <w:t>personnel and the negative effects and</w:t>
      </w:r>
      <w:r>
        <w:t xml:space="preserve"> consequences of misuse. </w:t>
      </w:r>
    </w:p>
    <w:p w14:paraId="569FF564" w14:textId="77777777" w:rsidR="00D80731" w:rsidRDefault="00D80731" w:rsidP="00CD6B5D">
      <w:pPr>
        <w:pStyle w:val="Default"/>
        <w:ind w:left="720"/>
      </w:pPr>
    </w:p>
    <w:p w14:paraId="1E1A541C" w14:textId="2E538EF4" w:rsidR="00C739F5" w:rsidRPr="00C739F5" w:rsidRDefault="00B5453F">
      <w:pPr>
        <w:pStyle w:val="Default"/>
        <w:numPr>
          <w:ilvl w:val="0"/>
          <w:numId w:val="43"/>
        </w:numPr>
        <w:rPr>
          <w:color w:val="1F497D"/>
        </w:rPr>
      </w:pPr>
      <w:r>
        <w:rPr>
          <w:b/>
        </w:rPr>
        <w:t xml:space="preserve">For LEAs Only - </w:t>
      </w:r>
      <w:r w:rsidR="00581FC0" w:rsidRPr="00581FC0">
        <w:rPr>
          <w:b/>
        </w:rPr>
        <w:t>General Policing Standards</w:t>
      </w:r>
      <w:r w:rsidR="00C739F5">
        <w:t xml:space="preserve"> </w:t>
      </w:r>
      <w:r w:rsidR="00C739F5" w:rsidRPr="00C739F5">
        <w:t>(including contracted LEAs or LEAs activated as part of a mutual aid agreement or memorandum of understanding using or operating grant funded controlled equipment)</w:t>
      </w:r>
      <w:r w:rsidR="00C739F5">
        <w:t>:</w:t>
      </w:r>
    </w:p>
    <w:p w14:paraId="43AC2542" w14:textId="7C65881D" w:rsidR="009D0651" w:rsidRPr="00581FC0" w:rsidRDefault="009D0651" w:rsidP="00684AFC">
      <w:pPr>
        <w:pStyle w:val="Default"/>
        <w:tabs>
          <w:tab w:val="left" w:pos="1170"/>
        </w:tabs>
        <w:spacing w:before="240"/>
        <w:ind w:left="720"/>
      </w:pPr>
      <w:r w:rsidRPr="00581FC0">
        <w:t>On an annual basis, all</w:t>
      </w:r>
      <w:r w:rsidR="002E35E1" w:rsidRPr="00581FC0">
        <w:t xml:space="preserve"> LEA</w:t>
      </w:r>
      <w:r w:rsidRPr="00581FC0">
        <w:t xml:space="preserve"> personnel who may use or authorize use of controlled equipment must be trained on LEAs</w:t>
      </w:r>
      <w:r w:rsidR="009A1C27">
        <w:t>’</w:t>
      </w:r>
      <w:r w:rsidRPr="00581FC0">
        <w:t xml:space="preserve"> General Policing Standards</w:t>
      </w:r>
      <w:r w:rsidR="00581FC0" w:rsidRPr="00581FC0">
        <w:t xml:space="preserve"> including </w:t>
      </w:r>
      <w:r w:rsidR="006033F5">
        <w:t xml:space="preserve">(1) </w:t>
      </w:r>
      <w:r w:rsidR="00581FC0" w:rsidRPr="00581FC0">
        <w:t>Community Policing; (2) Constitutional Policing; and (3) Community Input and Impact Considerations.</w:t>
      </w:r>
      <w:r w:rsidR="00FD730B">
        <w:t xml:space="preserve"> For additional information on these General Policing Standards see </w:t>
      </w:r>
      <w:hyperlink r:id="rId19" w:history="1">
        <w:r w:rsidR="00684AFC" w:rsidRPr="00533B67">
          <w:rPr>
            <w:rStyle w:val="Hyperlink"/>
          </w:rPr>
          <w:t>https://www.bja.gov/programs/Controlled-Equipment-Standards.pdf</w:t>
        </w:r>
      </w:hyperlink>
      <w:r w:rsidR="00684AFC">
        <w:t xml:space="preserve">.  </w:t>
      </w:r>
    </w:p>
    <w:p w14:paraId="3E1E3AA8" w14:textId="77777777" w:rsidR="00581FC0" w:rsidRPr="00581FC0" w:rsidRDefault="00581FC0" w:rsidP="00D92B0F">
      <w:pPr>
        <w:pStyle w:val="Default"/>
        <w:rPr>
          <w:u w:val="single"/>
        </w:rPr>
      </w:pPr>
    </w:p>
    <w:p w14:paraId="28BD052A" w14:textId="5361EE82" w:rsidR="00F7621F" w:rsidRPr="004430D4" w:rsidRDefault="004B2C6A" w:rsidP="00D42B07">
      <w:pPr>
        <w:pStyle w:val="Default"/>
        <w:numPr>
          <w:ilvl w:val="0"/>
          <w:numId w:val="52"/>
        </w:numPr>
        <w:ind w:left="0" w:hanging="180"/>
        <w:rPr>
          <w:u w:val="single"/>
        </w:rPr>
      </w:pPr>
      <w:bookmarkStart w:id="3" w:name="AfterActionAnalysisReportReq"/>
      <w:r w:rsidRPr="00581FC0">
        <w:rPr>
          <w:u w:val="single"/>
        </w:rPr>
        <w:t>After</w:t>
      </w:r>
      <w:r w:rsidR="00B74138">
        <w:rPr>
          <w:u w:val="single"/>
        </w:rPr>
        <w:t>-</w:t>
      </w:r>
      <w:r w:rsidRPr="00581FC0">
        <w:rPr>
          <w:u w:val="single"/>
        </w:rPr>
        <w:t xml:space="preserve">Action </w:t>
      </w:r>
      <w:r w:rsidR="00967A7A">
        <w:rPr>
          <w:u w:val="single"/>
        </w:rPr>
        <w:t xml:space="preserve">Report </w:t>
      </w:r>
      <w:r w:rsidR="00196148">
        <w:rPr>
          <w:u w:val="single"/>
        </w:rPr>
        <w:t xml:space="preserve">Requirements </w:t>
      </w:r>
      <w:r w:rsidR="009D0651" w:rsidRPr="00581FC0">
        <w:rPr>
          <w:u w:val="single"/>
        </w:rPr>
        <w:t>Following a Significant Event</w:t>
      </w:r>
      <w:r w:rsidRPr="00581FC0">
        <w:rPr>
          <w:u w:val="single"/>
        </w:rPr>
        <w:t xml:space="preserve"> </w:t>
      </w:r>
    </w:p>
    <w:bookmarkEnd w:id="3"/>
    <w:p w14:paraId="767BF6B1" w14:textId="4CDD6F83" w:rsidR="008268DC" w:rsidRDefault="00ED63C0" w:rsidP="00D42B07">
      <w:pPr>
        <w:pStyle w:val="Default"/>
        <w:numPr>
          <w:ilvl w:val="0"/>
          <w:numId w:val="54"/>
        </w:numPr>
        <w:ind w:left="720"/>
      </w:pPr>
      <w:r>
        <w:t xml:space="preserve">The entity </w:t>
      </w:r>
      <w:r w:rsidR="00B5453F">
        <w:t xml:space="preserve">must collect and retain </w:t>
      </w:r>
      <w:r w:rsidR="00E51788" w:rsidRPr="00E51788">
        <w:rPr>
          <w:i/>
        </w:rPr>
        <w:t>Required Information</w:t>
      </w:r>
      <w:r w:rsidR="00E51788" w:rsidRPr="00E51788">
        <w:t xml:space="preserve"> (see below)</w:t>
      </w:r>
      <w:r w:rsidR="00B5453F" w:rsidRPr="00E51788">
        <w:t xml:space="preserve"> </w:t>
      </w:r>
      <w:r w:rsidR="004430D4">
        <w:t>w</w:t>
      </w:r>
      <w:r w:rsidR="008268DC">
        <w:t xml:space="preserve">hen </w:t>
      </w:r>
      <w:r w:rsidR="0073642D">
        <w:t xml:space="preserve">a </w:t>
      </w:r>
      <w:r w:rsidR="00F7621F">
        <w:t xml:space="preserve">significant </w:t>
      </w:r>
      <w:r w:rsidR="0073642D">
        <w:t xml:space="preserve">incident or </w:t>
      </w:r>
      <w:r w:rsidR="008268DC">
        <w:t xml:space="preserve">event </w:t>
      </w:r>
      <w:r w:rsidR="00F7621F" w:rsidRPr="00581FC0">
        <w:t>requires, or results in, the use of any controlled equipment</w:t>
      </w:r>
      <w:r w:rsidR="00F7621F">
        <w:t xml:space="preserve"> purchased wi</w:t>
      </w:r>
      <w:r w:rsidR="004430D4">
        <w:t>th DHS/FEMA grant funds</w:t>
      </w:r>
      <w:r w:rsidR="00C94F39">
        <w:t>. A s</w:t>
      </w:r>
      <w:r w:rsidR="00B74138">
        <w:t>ignificant incident</w:t>
      </w:r>
      <w:r w:rsidR="00C94F39">
        <w:t xml:space="preserve"> or event</w:t>
      </w:r>
      <w:r w:rsidR="00B74138">
        <w:t xml:space="preserve"> include</w:t>
      </w:r>
      <w:r w:rsidR="00C94F39">
        <w:t>s</w:t>
      </w:r>
      <w:r w:rsidR="00B74138">
        <w:t>:</w:t>
      </w:r>
    </w:p>
    <w:p w14:paraId="0CB3EDB9" w14:textId="21DE53CD" w:rsidR="008268DC" w:rsidRPr="008268DC" w:rsidRDefault="008268DC" w:rsidP="00B57165">
      <w:pPr>
        <w:pStyle w:val="Default"/>
        <w:numPr>
          <w:ilvl w:val="0"/>
          <w:numId w:val="46"/>
        </w:numPr>
        <w:ind w:left="1080"/>
        <w:rPr>
          <w:b/>
          <w:bCs/>
        </w:rPr>
      </w:pPr>
      <w:r>
        <w:t>A</w:t>
      </w:r>
      <w:r w:rsidRPr="00581FC0">
        <w:t xml:space="preserve"> demonstration or other public exercise of Fi</w:t>
      </w:r>
      <w:r>
        <w:t>rst Amendment rights or</w:t>
      </w:r>
      <w:r w:rsidRPr="00581FC0">
        <w:t xml:space="preserve"> an</w:t>
      </w:r>
      <w:r w:rsidR="00781C5A">
        <w:t>y other</w:t>
      </w:r>
      <w:r w:rsidRPr="00581FC0">
        <w:t xml:space="preserve"> event that draws, or could be reasonably expected to draw, a large number of attendees or participants, such as those wh</w:t>
      </w:r>
      <w:r>
        <w:t>ere advanced planning is needed;</w:t>
      </w:r>
    </w:p>
    <w:p w14:paraId="6DB38AC7" w14:textId="13CD01A2" w:rsidR="008268DC" w:rsidRDefault="009D0651" w:rsidP="00B57165">
      <w:pPr>
        <w:pStyle w:val="Default"/>
        <w:numPr>
          <w:ilvl w:val="0"/>
          <w:numId w:val="46"/>
        </w:numPr>
        <w:ind w:left="1080"/>
        <w:rPr>
          <w:b/>
          <w:bCs/>
        </w:rPr>
      </w:pPr>
      <w:r w:rsidRPr="00581FC0">
        <w:t xml:space="preserve">When unlawful or inappropriate police actions are alleged and trigger a </w:t>
      </w:r>
      <w:r w:rsidR="004A772C">
        <w:t>f</w:t>
      </w:r>
      <w:r w:rsidRPr="00581FC0">
        <w:t xml:space="preserve">ederal compliance review, and </w:t>
      </w:r>
      <w:r w:rsidR="008268DC">
        <w:t>FEMA determines that controlled</w:t>
      </w:r>
      <w:r w:rsidRPr="00581FC0">
        <w:t xml:space="preserve"> equipment was used in the law enfo</w:t>
      </w:r>
      <w:r w:rsidR="008268DC">
        <w:t>rcement activity under review;</w:t>
      </w:r>
      <w:r w:rsidR="00546CE8">
        <w:t xml:space="preserve"> and</w:t>
      </w:r>
    </w:p>
    <w:p w14:paraId="1BDFD374" w14:textId="665F7ECF" w:rsidR="008268DC" w:rsidRDefault="009D0651" w:rsidP="00B57165">
      <w:pPr>
        <w:pStyle w:val="Default"/>
        <w:numPr>
          <w:ilvl w:val="0"/>
          <w:numId w:val="46"/>
        </w:numPr>
        <w:ind w:left="1080"/>
      </w:pPr>
      <w:r w:rsidRPr="00581FC0">
        <w:t>Any law enforcement operation or a</w:t>
      </w:r>
      <w:r w:rsidR="00546CE8">
        <w:t>ction that involves (1</w:t>
      </w:r>
      <w:r w:rsidRPr="00581FC0">
        <w:t>) a violent encounter among civilians or betw</w:t>
      </w:r>
      <w:r w:rsidR="00546CE8">
        <w:t xml:space="preserve">een civilians and the police; </w:t>
      </w:r>
      <w:r w:rsidR="00BE6214">
        <w:t>and/</w:t>
      </w:r>
      <w:r w:rsidR="002168A3">
        <w:t xml:space="preserve">or </w:t>
      </w:r>
      <w:r w:rsidR="00546CE8">
        <w:t>(2</w:t>
      </w:r>
      <w:r w:rsidRPr="00581FC0">
        <w:t>) a use-of</w:t>
      </w:r>
      <w:r w:rsidR="003141F8">
        <w:t>-</w:t>
      </w:r>
      <w:r w:rsidRPr="00581FC0">
        <w:t>force that causes death or serious bodily injury</w:t>
      </w:r>
      <w:r w:rsidR="003141F8">
        <w:t>.</w:t>
      </w:r>
      <w:r w:rsidR="00D406D8">
        <w:rPr>
          <w:rStyle w:val="FootnoteReference"/>
        </w:rPr>
        <w:footnoteReference w:id="5"/>
      </w:r>
      <w:r w:rsidR="00546CE8">
        <w:t xml:space="preserve"> </w:t>
      </w:r>
    </w:p>
    <w:p w14:paraId="70973472" w14:textId="4F24B7FE" w:rsidR="004C6EA1" w:rsidRDefault="004C6EA1" w:rsidP="00D42B07">
      <w:pPr>
        <w:pStyle w:val="Default"/>
        <w:ind w:left="1080"/>
      </w:pPr>
    </w:p>
    <w:p w14:paraId="43D820F9" w14:textId="566576BC" w:rsidR="004C6EA1" w:rsidRDefault="00F7621F" w:rsidP="00D42B07">
      <w:pPr>
        <w:pStyle w:val="Default"/>
        <w:numPr>
          <w:ilvl w:val="0"/>
          <w:numId w:val="54"/>
        </w:numPr>
        <w:ind w:left="720"/>
      </w:pPr>
      <w:bookmarkStart w:id="4" w:name="RequiredInformation"/>
      <w:r w:rsidRPr="00967A7A">
        <w:t xml:space="preserve">Required Information </w:t>
      </w:r>
      <w:r w:rsidR="00C94F39">
        <w:t xml:space="preserve">to be collected and retained </w:t>
      </w:r>
      <w:r w:rsidRPr="00967A7A">
        <w:t>f</w:t>
      </w:r>
      <w:r>
        <w:t xml:space="preserve">or </w:t>
      </w:r>
      <w:r w:rsidR="00C94F39">
        <w:t>a</w:t>
      </w:r>
      <w:r>
        <w:t>fter-</w:t>
      </w:r>
      <w:r w:rsidR="00C94F39">
        <w:t>a</w:t>
      </w:r>
      <w:r>
        <w:t xml:space="preserve">ction </w:t>
      </w:r>
      <w:r w:rsidR="00C94F39">
        <w:t>r</w:t>
      </w:r>
      <w:r w:rsidR="008268DC">
        <w:t>eview</w:t>
      </w:r>
      <w:r w:rsidR="004C6EA1">
        <w:t xml:space="preserve"> (AAR):</w:t>
      </w:r>
    </w:p>
    <w:bookmarkEnd w:id="4"/>
    <w:p w14:paraId="7F53E497" w14:textId="77777777" w:rsidR="008268DC" w:rsidRDefault="009D0651" w:rsidP="00D42B07">
      <w:pPr>
        <w:pStyle w:val="Default"/>
        <w:numPr>
          <w:ilvl w:val="0"/>
          <w:numId w:val="55"/>
        </w:numPr>
        <w:ind w:left="1080"/>
      </w:pPr>
      <w:r w:rsidRPr="00581FC0">
        <w:t xml:space="preserve">Identification of controlled equipment used (e.g., categories and number of units of controlled equipment </w:t>
      </w:r>
      <w:r w:rsidR="008268DC">
        <w:t>used, make/model/serial number);</w:t>
      </w:r>
    </w:p>
    <w:p w14:paraId="507561E0" w14:textId="77777777" w:rsidR="008268DC" w:rsidRDefault="008268DC" w:rsidP="00D42B07">
      <w:pPr>
        <w:pStyle w:val="Default"/>
        <w:numPr>
          <w:ilvl w:val="0"/>
          <w:numId w:val="55"/>
        </w:numPr>
        <w:ind w:left="1080"/>
      </w:pPr>
      <w:r>
        <w:t>Description of the significant incident/event</w:t>
      </w:r>
      <w:r w:rsidR="009D0651" w:rsidRPr="00581FC0">
        <w:t xml:space="preserve"> involvi</w:t>
      </w:r>
      <w:r>
        <w:t>ng the controlled equipment;</w:t>
      </w:r>
    </w:p>
    <w:p w14:paraId="4238B34E" w14:textId="77777777" w:rsidR="00546CE8" w:rsidRDefault="008268DC" w:rsidP="00D42B07">
      <w:pPr>
        <w:pStyle w:val="Default"/>
        <w:numPr>
          <w:ilvl w:val="0"/>
          <w:numId w:val="55"/>
        </w:numPr>
        <w:ind w:left="1080"/>
      </w:pPr>
      <w:r>
        <w:t>I</w:t>
      </w:r>
      <w:r w:rsidR="009D0651" w:rsidRPr="00581FC0">
        <w:t xml:space="preserve">dentification of personnel who used the equipment and, if possible, </w:t>
      </w:r>
      <w:r w:rsidR="00546CE8">
        <w:t xml:space="preserve">a list of those </w:t>
      </w:r>
      <w:r w:rsidR="00546CE8" w:rsidRPr="00581FC0">
        <w:t>involved</w:t>
      </w:r>
      <w:r w:rsidR="00546CE8">
        <w:t xml:space="preserve"> in the incident; and</w:t>
      </w:r>
    </w:p>
    <w:p w14:paraId="14438484" w14:textId="5147B684" w:rsidR="009D0651" w:rsidRPr="00581FC0" w:rsidRDefault="00546CE8" w:rsidP="00D42B07">
      <w:pPr>
        <w:pStyle w:val="Default"/>
        <w:numPr>
          <w:ilvl w:val="0"/>
          <w:numId w:val="55"/>
        </w:numPr>
        <w:ind w:left="1080"/>
      </w:pPr>
      <w:r>
        <w:t>R</w:t>
      </w:r>
      <w:r w:rsidR="009D0651" w:rsidRPr="00581FC0">
        <w:t>esult of controlled equipment use (e.g.</w:t>
      </w:r>
      <w:r w:rsidR="002168A3">
        <w:t>,</w:t>
      </w:r>
      <w:r w:rsidR="009D0651" w:rsidRPr="00581FC0">
        <w:t xml:space="preserve"> arrests, use-of-force, victim extraction,</w:t>
      </w:r>
      <w:r w:rsidR="003141F8">
        <w:t xml:space="preserve"> </w:t>
      </w:r>
      <w:r w:rsidR="009D0651" w:rsidRPr="00581FC0">
        <w:t>injuries).</w:t>
      </w:r>
    </w:p>
    <w:p w14:paraId="7D3F72DF" w14:textId="77777777" w:rsidR="008F34B8" w:rsidRPr="00581FC0" w:rsidRDefault="008F34B8" w:rsidP="004C6EA1">
      <w:pPr>
        <w:pStyle w:val="Default"/>
        <w:ind w:left="1080"/>
      </w:pPr>
    </w:p>
    <w:p w14:paraId="0626DAB0" w14:textId="77777777" w:rsidR="008D49E3" w:rsidRPr="00581FC0" w:rsidRDefault="008F34B8" w:rsidP="00D42B07">
      <w:pPr>
        <w:pStyle w:val="Default"/>
        <w:numPr>
          <w:ilvl w:val="0"/>
          <w:numId w:val="52"/>
        </w:numPr>
        <w:ind w:left="0" w:hanging="180"/>
        <w:rPr>
          <w:u w:val="single"/>
        </w:rPr>
      </w:pPr>
      <w:bookmarkStart w:id="5" w:name="RecordKeepingRequirement"/>
      <w:r w:rsidRPr="00581FC0">
        <w:rPr>
          <w:u w:val="single"/>
        </w:rPr>
        <w:t>Record Keeping Requirements</w:t>
      </w:r>
    </w:p>
    <w:bookmarkEnd w:id="5"/>
    <w:p w14:paraId="1BA04737" w14:textId="77777777" w:rsidR="005417E0" w:rsidRDefault="005417E0" w:rsidP="008D49E3">
      <w:pPr>
        <w:pStyle w:val="ListParagraph"/>
        <w:numPr>
          <w:ilvl w:val="0"/>
          <w:numId w:val="49"/>
        </w:numPr>
      </w:pPr>
      <w:r w:rsidRPr="00967A7A">
        <w:rPr>
          <w:b/>
        </w:rPr>
        <w:t>Documented Policies and Protocols</w:t>
      </w:r>
      <w:r w:rsidR="00A6192D">
        <w:rPr>
          <w:b/>
        </w:rPr>
        <w:t xml:space="preserve"> Records</w:t>
      </w:r>
      <w:r>
        <w:t>:</w:t>
      </w:r>
    </w:p>
    <w:p w14:paraId="0C9A3C7B" w14:textId="2EB6515D" w:rsidR="00945D76" w:rsidRDefault="00ED63C0" w:rsidP="00C35FEA">
      <w:pPr>
        <w:ind w:left="720"/>
      </w:pPr>
      <w:r>
        <w:t xml:space="preserve">The entity </w:t>
      </w:r>
      <w:r w:rsidR="00945D76">
        <w:t xml:space="preserve">must retain written policies and procedures that govern the </w:t>
      </w:r>
      <w:r w:rsidR="005417E0" w:rsidRPr="005417E0">
        <w:rPr>
          <w:color w:val="000000"/>
        </w:rPr>
        <w:t>(1) Appropriate use of controlled equipment; (2) Supervision of use of controlled equipment; (3) Effectiveness evaluation; (4) Auditing and accountability; and (5) Transparency and notice considerations</w:t>
      </w:r>
      <w:r w:rsidR="003141F8">
        <w:rPr>
          <w:color w:val="000000"/>
        </w:rPr>
        <w:t>.</w:t>
      </w:r>
    </w:p>
    <w:p w14:paraId="55B64D6C" w14:textId="77777777" w:rsidR="003141F8" w:rsidRDefault="003141F8" w:rsidP="00C35FEA">
      <w:pPr>
        <w:pStyle w:val="Default"/>
        <w:ind w:left="720"/>
      </w:pPr>
    </w:p>
    <w:p w14:paraId="1B71B0F7" w14:textId="235C1775" w:rsidR="008F34B8" w:rsidRDefault="008D49E3" w:rsidP="00C35FEA">
      <w:pPr>
        <w:pStyle w:val="Default"/>
        <w:ind w:left="720"/>
      </w:pPr>
      <w:r>
        <w:t>Additionally, u</w:t>
      </w:r>
      <w:r w:rsidR="008F34B8" w:rsidRPr="00581FC0">
        <w:t xml:space="preserve">pon request, LEAs must provide a copy of the General Policing Standards and Specific Controlled Equipment Standards, and any related policies and protocols, to </w:t>
      </w:r>
      <w:r w:rsidR="00781C5A">
        <w:t>DHS/FEMA</w:t>
      </w:r>
      <w:r w:rsidR="008F34B8" w:rsidRPr="00581FC0">
        <w:t>.</w:t>
      </w:r>
    </w:p>
    <w:p w14:paraId="7979F4FB" w14:textId="77777777" w:rsidR="0016120F" w:rsidRPr="00581FC0" w:rsidRDefault="0016120F" w:rsidP="00C35FEA">
      <w:pPr>
        <w:pStyle w:val="Default"/>
        <w:ind w:left="720"/>
      </w:pPr>
    </w:p>
    <w:p w14:paraId="739EBFC8" w14:textId="77777777" w:rsidR="005417E0" w:rsidRPr="008D49E3" w:rsidRDefault="005417E0" w:rsidP="008D49E3">
      <w:pPr>
        <w:pStyle w:val="Default"/>
        <w:numPr>
          <w:ilvl w:val="0"/>
          <w:numId w:val="49"/>
        </w:numPr>
      </w:pPr>
      <w:r w:rsidRPr="00967A7A">
        <w:rPr>
          <w:b/>
        </w:rPr>
        <w:t>Training Records</w:t>
      </w:r>
      <w:r w:rsidRPr="008D49E3">
        <w:t>:</w:t>
      </w:r>
    </w:p>
    <w:p w14:paraId="529AA2C6" w14:textId="29D7D282" w:rsidR="00945D76" w:rsidRDefault="00ED63C0" w:rsidP="00C35FEA">
      <w:pPr>
        <w:pStyle w:val="Default"/>
        <w:ind w:left="720"/>
      </w:pPr>
      <w:r>
        <w:t>The entity</w:t>
      </w:r>
      <w:r w:rsidRPr="00581FC0">
        <w:t xml:space="preserve"> </w:t>
      </w:r>
      <w:r w:rsidR="008F34B8" w:rsidRPr="00581FC0">
        <w:t xml:space="preserve">must retain comprehensive training records, either in the personnel file </w:t>
      </w:r>
      <w:r w:rsidR="003141F8">
        <w:t xml:space="preserve">of the individual </w:t>
      </w:r>
      <w:r w:rsidR="008F34B8" w:rsidRPr="00581FC0">
        <w:t xml:space="preserve">who was trained or by the </w:t>
      </w:r>
      <w:r w:rsidR="002753DE">
        <w:t>recipient’s</w:t>
      </w:r>
      <w:r w:rsidR="008F34B8" w:rsidRPr="00581FC0">
        <w:t xml:space="preserve"> training division or equivalent entity, for a period of at least three (3) years</w:t>
      </w:r>
      <w:r w:rsidR="00080317">
        <w:t xml:space="preserve"> after training date</w:t>
      </w:r>
      <w:r w:rsidR="008F34B8" w:rsidRPr="00581FC0">
        <w:t xml:space="preserve">, and must provide a copy of these records, upon request, to </w:t>
      </w:r>
      <w:r w:rsidR="00781C5A">
        <w:t>DHS/</w:t>
      </w:r>
      <w:r w:rsidR="00945D76">
        <w:t>FEMA</w:t>
      </w:r>
      <w:r w:rsidR="008F34B8" w:rsidRPr="00581FC0">
        <w:t>.</w:t>
      </w:r>
    </w:p>
    <w:p w14:paraId="56B84176" w14:textId="77777777" w:rsidR="0016120F" w:rsidRDefault="0016120F" w:rsidP="00C35FEA">
      <w:pPr>
        <w:pStyle w:val="Default"/>
        <w:ind w:left="720"/>
      </w:pPr>
    </w:p>
    <w:p w14:paraId="116369E3" w14:textId="77777777" w:rsidR="005417E0" w:rsidRPr="008D49E3" w:rsidRDefault="005417E0" w:rsidP="008D49E3">
      <w:pPr>
        <w:pStyle w:val="ListParagraph"/>
        <w:numPr>
          <w:ilvl w:val="0"/>
          <w:numId w:val="49"/>
        </w:numPr>
      </w:pPr>
      <w:r w:rsidRPr="00967A7A">
        <w:rPr>
          <w:b/>
        </w:rPr>
        <w:t>After-Action Review Records</w:t>
      </w:r>
      <w:r w:rsidRPr="008D49E3">
        <w:t xml:space="preserve">: </w:t>
      </w:r>
    </w:p>
    <w:p w14:paraId="2DE1E8C8" w14:textId="03DD2086" w:rsidR="00D406D8" w:rsidRDefault="00ED63C0" w:rsidP="008D49E3">
      <w:pPr>
        <w:pStyle w:val="Default"/>
        <w:ind w:left="720"/>
      </w:pPr>
      <w:r>
        <w:t xml:space="preserve">The entity </w:t>
      </w:r>
      <w:r w:rsidR="008D49E3">
        <w:t>must retain After-Action Review reports with the Required Information</w:t>
      </w:r>
      <w:r w:rsidR="004C6EA1">
        <w:t xml:space="preserve"> (IV.a.)</w:t>
      </w:r>
      <w:r w:rsidR="008D49E3">
        <w:t xml:space="preserve"> following any </w:t>
      </w:r>
      <w:r w:rsidR="004C6EA1">
        <w:t>s</w:t>
      </w:r>
      <w:r w:rsidR="00D406D8" w:rsidRPr="00581FC0">
        <w:t xml:space="preserve">ignificant </w:t>
      </w:r>
      <w:r w:rsidR="004C6EA1">
        <w:t>i</w:t>
      </w:r>
      <w:r w:rsidR="00D406D8" w:rsidRPr="00581FC0">
        <w:t>nci</w:t>
      </w:r>
      <w:r w:rsidR="008D49E3">
        <w:t>dent report</w:t>
      </w:r>
      <w:r w:rsidR="00D406D8" w:rsidRPr="00581FC0">
        <w:t xml:space="preserve"> for a period of at least three (3) years and must provide a copy of these records, upon request, to </w:t>
      </w:r>
      <w:r w:rsidR="00781C5A">
        <w:t>DHS/</w:t>
      </w:r>
      <w:r w:rsidR="008D49E3">
        <w:t>FEMA</w:t>
      </w:r>
      <w:r w:rsidR="00D406D8" w:rsidRPr="00581FC0">
        <w:t xml:space="preserve">. </w:t>
      </w:r>
      <w:r w:rsidR="004C6EA1">
        <w:t>T</w:t>
      </w:r>
      <w:r w:rsidR="00D406D8" w:rsidRPr="00581FC0">
        <w:t xml:space="preserve">his information </w:t>
      </w:r>
      <w:r w:rsidR="004C6EA1">
        <w:t>shall</w:t>
      </w:r>
      <w:r w:rsidR="004C6EA1" w:rsidRPr="00581FC0">
        <w:t xml:space="preserve"> </w:t>
      </w:r>
      <w:r w:rsidR="004C6EA1">
        <w:t xml:space="preserve">also </w:t>
      </w:r>
      <w:r w:rsidR="00D406D8" w:rsidRPr="00581FC0">
        <w:t>be made available to the community serve</w:t>
      </w:r>
      <w:r w:rsidR="004C6EA1">
        <w:t>d</w:t>
      </w:r>
      <w:r w:rsidR="00D406D8" w:rsidRPr="00581FC0">
        <w:t xml:space="preserve"> in accordance with applicable policies and protocols including considerations regarding the disclosure of sensitive information.</w:t>
      </w:r>
    </w:p>
    <w:p w14:paraId="014D6B6F" w14:textId="77777777" w:rsidR="00A44FC5" w:rsidRDefault="00A44FC5" w:rsidP="008D49E3">
      <w:pPr>
        <w:pStyle w:val="Default"/>
        <w:ind w:left="720"/>
      </w:pPr>
    </w:p>
    <w:p w14:paraId="02CACFEC" w14:textId="3AC459CD" w:rsidR="0071505E" w:rsidRPr="00A44FC5" w:rsidRDefault="0071505E" w:rsidP="00A44FC5">
      <w:pPr>
        <w:pStyle w:val="Default"/>
        <w:numPr>
          <w:ilvl w:val="0"/>
          <w:numId w:val="52"/>
        </w:numPr>
        <w:ind w:left="0" w:hanging="180"/>
        <w:rPr>
          <w:color w:val="000000" w:themeColor="text1"/>
        </w:rPr>
      </w:pPr>
      <w:r w:rsidRPr="00A44FC5">
        <w:rPr>
          <w:color w:val="000000" w:themeColor="text1"/>
        </w:rPr>
        <w:t xml:space="preserve">Additional </w:t>
      </w:r>
      <w:r w:rsidR="00DA2724" w:rsidRPr="00A44FC5">
        <w:rPr>
          <w:color w:val="000000" w:themeColor="text1"/>
        </w:rPr>
        <w:t>Requirements</w:t>
      </w:r>
      <w:r w:rsidRPr="00A44FC5">
        <w:rPr>
          <w:color w:val="000000" w:themeColor="text1"/>
        </w:rPr>
        <w:t xml:space="preserve"> for SUAS</w:t>
      </w:r>
    </w:p>
    <w:p w14:paraId="4C84545A" w14:textId="02098462" w:rsidR="0071505E" w:rsidRPr="00A44FC5" w:rsidRDefault="0071505E" w:rsidP="00A44FC5">
      <w:pPr>
        <w:pStyle w:val="Default"/>
        <w:rPr>
          <w:color w:val="000000" w:themeColor="text1"/>
        </w:rPr>
      </w:pPr>
      <w:r w:rsidRPr="00A44FC5">
        <w:rPr>
          <w:color w:val="000000" w:themeColor="text1"/>
        </w:rPr>
        <w:t>All requests to purchase SUAS with FEMA grant funding must also include the policies and procedures in place to safeguard individuals’ privacy, civil rights, and civil liberties of the jurisdiction that will purchase, take title to, or otherwise use the SUAS equipment, see</w:t>
      </w:r>
      <w:r w:rsidR="005F59A8" w:rsidRPr="00A44FC5">
        <w:rPr>
          <w:color w:val="000000" w:themeColor="text1"/>
        </w:rPr>
        <w:t xml:space="preserve"> </w:t>
      </w:r>
      <w:r w:rsidR="00A44FC5" w:rsidRPr="00A44FC5">
        <w:rPr>
          <w:color w:val="000000" w:themeColor="text1"/>
        </w:rPr>
        <w:t xml:space="preserve">Presidential Memorandum:  </w:t>
      </w:r>
      <w:hyperlink r:id="rId20" w:history="1">
        <w:r w:rsidR="00A44FC5" w:rsidRPr="00A44FC5">
          <w:rPr>
            <w:rStyle w:val="Hyperlink"/>
          </w:rPr>
          <w:t>Promoting Economic Competitiveness While Safeguarding Privacy, Civil Rights, and Civil Liberties, in Domestic Use of Unmanned Aircraft Systems</w:t>
        </w:r>
      </w:hyperlink>
      <w:r w:rsidR="00A44FC5" w:rsidRPr="00A44FC5">
        <w:rPr>
          <w:color w:val="000000" w:themeColor="text1"/>
        </w:rPr>
        <w:t>, issued February 20, 2015</w:t>
      </w:r>
      <w:r w:rsidRPr="00A44FC5">
        <w:rPr>
          <w:color w:val="000000" w:themeColor="text1"/>
        </w:rPr>
        <w:t>.</w:t>
      </w:r>
    </w:p>
    <w:p w14:paraId="4EAC06CA" w14:textId="77777777" w:rsidR="00D406D8" w:rsidRPr="00581FC0" w:rsidRDefault="00D406D8" w:rsidP="00EB570D">
      <w:pPr>
        <w:pStyle w:val="Default"/>
      </w:pPr>
    </w:p>
    <w:p w14:paraId="0EC54163" w14:textId="77777777" w:rsidR="00D10196" w:rsidRPr="00C35FEA" w:rsidRDefault="00D10196" w:rsidP="00D42B07">
      <w:pPr>
        <w:pStyle w:val="Default"/>
        <w:numPr>
          <w:ilvl w:val="0"/>
          <w:numId w:val="52"/>
        </w:numPr>
        <w:ind w:left="0" w:hanging="180"/>
        <w:rPr>
          <w:u w:val="single"/>
        </w:rPr>
      </w:pPr>
      <w:r w:rsidRPr="00C35FEA">
        <w:rPr>
          <w:u w:val="single"/>
        </w:rPr>
        <w:t xml:space="preserve">Regional Capability </w:t>
      </w:r>
    </w:p>
    <w:p w14:paraId="04600573" w14:textId="6F985BF3" w:rsidR="00AB202D" w:rsidRDefault="00A55901" w:rsidP="00BE6214">
      <w:pPr>
        <w:pStyle w:val="Default"/>
      </w:pPr>
      <w:r w:rsidRPr="00D42B07">
        <w:t>If the controlled equipment will provide a regional or multi</w:t>
      </w:r>
      <w:r w:rsidR="003141F8">
        <w:t>-</w:t>
      </w:r>
      <w:r w:rsidRPr="00D42B07">
        <w:t>jurisdictional capability, all entities in th</w:t>
      </w:r>
      <w:r w:rsidR="00AA4732" w:rsidRPr="00D42B07">
        <w:t xml:space="preserve">e regional sharing agreement must meet the </w:t>
      </w:r>
      <w:r w:rsidR="00F40B96" w:rsidRPr="00D42B07">
        <w:t xml:space="preserve">aforementioned </w:t>
      </w:r>
      <w:r w:rsidR="00AA4732" w:rsidRPr="00D42B07">
        <w:t>policy and protocol requirements, training requirements, after-action analysis report requirements, and record keeping</w:t>
      </w:r>
      <w:r w:rsidR="00260B76" w:rsidRPr="00D42B07">
        <w:t xml:space="preserve"> </w:t>
      </w:r>
      <w:r w:rsidR="00AA4732" w:rsidRPr="00D42B07">
        <w:t>requirements.</w:t>
      </w:r>
      <w:r w:rsidR="00AB202D">
        <w:t xml:space="preserve"> </w:t>
      </w:r>
      <w:r w:rsidR="00BE6214">
        <w:t xml:space="preserve">Acquisition of controlled equipment – due to size, cost, scarcity, or other reason – for use in regional sharing arrangements, </w:t>
      </w:r>
      <w:r w:rsidR="00CD6B5D">
        <w:t>is</w:t>
      </w:r>
      <w:r w:rsidR="00BE6214">
        <w:t xml:space="preserve"> strongly encouraged.</w:t>
      </w:r>
    </w:p>
    <w:p w14:paraId="1BAC6341" w14:textId="77777777" w:rsidR="00AB202D" w:rsidRDefault="00AB202D" w:rsidP="00EB570D">
      <w:pPr>
        <w:pStyle w:val="Default"/>
      </w:pPr>
    </w:p>
    <w:p w14:paraId="45877011" w14:textId="77777777" w:rsidR="00AB202D" w:rsidRPr="00581FC0" w:rsidRDefault="00AB202D" w:rsidP="00D42B07">
      <w:pPr>
        <w:pStyle w:val="Default"/>
        <w:numPr>
          <w:ilvl w:val="0"/>
          <w:numId w:val="52"/>
        </w:numPr>
        <w:ind w:left="0" w:hanging="180"/>
        <w:rPr>
          <w:u w:val="single"/>
        </w:rPr>
      </w:pPr>
      <w:r>
        <w:rPr>
          <w:u w:val="single"/>
        </w:rPr>
        <w:t>Disposition</w:t>
      </w:r>
      <w:r w:rsidRPr="00581FC0">
        <w:rPr>
          <w:u w:val="single"/>
        </w:rPr>
        <w:t xml:space="preserve"> of Controlled Equipment </w:t>
      </w:r>
    </w:p>
    <w:p w14:paraId="77E31231" w14:textId="4731C38A" w:rsidR="00AB202D" w:rsidRPr="00581FC0" w:rsidRDefault="00AB202D" w:rsidP="00D42B07">
      <w:pPr>
        <w:pStyle w:val="Default"/>
      </w:pPr>
      <w:r>
        <w:t>P</w:t>
      </w:r>
      <w:r w:rsidRPr="00581FC0">
        <w:t>rior to the dispo</w:t>
      </w:r>
      <w:r>
        <w:t>sition</w:t>
      </w:r>
      <w:r w:rsidRPr="00581FC0">
        <w:t xml:space="preserve"> of the controlled equipment, recipients must request </w:t>
      </w:r>
      <w:r>
        <w:t>disposition</w:t>
      </w:r>
      <w:r w:rsidRPr="00581FC0">
        <w:t xml:space="preserve"> instructions from FEMA</w:t>
      </w:r>
      <w:r>
        <w:t xml:space="preserve">, consistent with the terms of 2 C.F.R. </w:t>
      </w:r>
      <w:r w:rsidR="004C6EA1">
        <w:t xml:space="preserve">Part 200 </w:t>
      </w:r>
      <w:r>
        <w:t>and the award agreement</w:t>
      </w:r>
      <w:r w:rsidRPr="00581FC0">
        <w:t xml:space="preserve">. </w:t>
      </w:r>
      <w:r>
        <w:t xml:space="preserve"> </w:t>
      </w:r>
      <w:r w:rsidRPr="00581FC0">
        <w:t xml:space="preserve">Recipients must abide by all applicable </w:t>
      </w:r>
      <w:r w:rsidR="004A772C">
        <w:t>f</w:t>
      </w:r>
      <w:r w:rsidRPr="00581FC0">
        <w:t>ederal, state</w:t>
      </w:r>
      <w:r w:rsidR="00223549">
        <w:t>,</w:t>
      </w:r>
      <w:r w:rsidRPr="00581FC0">
        <w:t xml:space="preserve"> local</w:t>
      </w:r>
      <w:r w:rsidR="00223549">
        <w:t>, tribal</w:t>
      </w:r>
      <w:r w:rsidR="002168A3">
        <w:t>, and territorial</w:t>
      </w:r>
      <w:r w:rsidRPr="00581FC0">
        <w:t xml:space="preserve"> laws, regulations, and programmatic terms when disposing of controlled equipment. </w:t>
      </w:r>
    </w:p>
    <w:p w14:paraId="4DB68560" w14:textId="77777777" w:rsidR="00AB202D" w:rsidRDefault="00AB202D" w:rsidP="00D42B07">
      <w:pPr>
        <w:pStyle w:val="ListParagraph"/>
        <w:rPr>
          <w:u w:val="single"/>
        </w:rPr>
      </w:pPr>
    </w:p>
    <w:p w14:paraId="41A1C756" w14:textId="081296AA" w:rsidR="00D92B0F" w:rsidRPr="00D42B07" w:rsidRDefault="00D92B0F" w:rsidP="00D42B07">
      <w:pPr>
        <w:pStyle w:val="ListParagraph"/>
        <w:numPr>
          <w:ilvl w:val="0"/>
          <w:numId w:val="52"/>
        </w:numPr>
        <w:ind w:left="0" w:hanging="180"/>
        <w:rPr>
          <w:u w:val="single"/>
        </w:rPr>
      </w:pPr>
      <w:r w:rsidRPr="00D42B07">
        <w:rPr>
          <w:u w:val="single"/>
        </w:rPr>
        <w:t>Transfer of Controlled Equipment</w:t>
      </w:r>
    </w:p>
    <w:p w14:paraId="7669042F" w14:textId="4FE3F92B" w:rsidR="00D92B0F" w:rsidRPr="00581FC0" w:rsidRDefault="00D92B0F" w:rsidP="006033F5">
      <w:pPr>
        <w:pStyle w:val="Default"/>
        <w:tabs>
          <w:tab w:val="left" w:pos="6390"/>
        </w:tabs>
      </w:pPr>
      <w:r w:rsidRPr="00581FC0">
        <w:t>Controlled equipment must remain</w:t>
      </w:r>
      <w:r w:rsidR="006033F5">
        <w:t xml:space="preserve"> in the possession of</w:t>
      </w:r>
      <w:r w:rsidRPr="00581FC0">
        <w:t xml:space="preserve"> </w:t>
      </w:r>
      <w:r w:rsidR="00034F93" w:rsidRPr="00581FC0">
        <w:t>the original</w:t>
      </w:r>
      <w:r w:rsidRPr="00581FC0">
        <w:t xml:space="preserve"> </w:t>
      </w:r>
      <w:r w:rsidR="00034F93" w:rsidRPr="00581FC0">
        <w:t>FEMA grant recipient</w:t>
      </w:r>
      <w:r w:rsidRPr="00581FC0">
        <w:t xml:space="preserve"> and may not be transferred without written permission from FEMA. FEMA reserves the right to allow for the transfer of controlled equipment </w:t>
      </w:r>
      <w:r w:rsidR="00034F93" w:rsidRPr="00581FC0">
        <w:t xml:space="preserve">to another FEMA recipient </w:t>
      </w:r>
      <w:r w:rsidRPr="00581FC0">
        <w:t>on a case</w:t>
      </w:r>
      <w:r w:rsidR="00D93C22">
        <w:t>-</w:t>
      </w:r>
      <w:r w:rsidRPr="00581FC0">
        <w:t>by</w:t>
      </w:r>
      <w:r w:rsidR="00D93C22">
        <w:t>-</w:t>
      </w:r>
      <w:r w:rsidRPr="00581FC0">
        <w:t xml:space="preserve">case basis. </w:t>
      </w:r>
      <w:r w:rsidR="00AB202D">
        <w:t>The use of controlled equipment under an MOU or other regional sharing agreement as listed under section VI above does not constitute a transfer of controlled equipment.</w:t>
      </w:r>
    </w:p>
    <w:p w14:paraId="35D26607" w14:textId="77777777" w:rsidR="00790E16" w:rsidRPr="00581FC0" w:rsidRDefault="00790E16" w:rsidP="00EB570D">
      <w:pPr>
        <w:pStyle w:val="Default"/>
        <w:rPr>
          <w:u w:val="single"/>
        </w:rPr>
      </w:pPr>
    </w:p>
    <w:p w14:paraId="63A0E432" w14:textId="77777777" w:rsidR="00945D76" w:rsidRPr="00945D76" w:rsidRDefault="00945D76" w:rsidP="00D42B07">
      <w:pPr>
        <w:pStyle w:val="Default"/>
        <w:numPr>
          <w:ilvl w:val="0"/>
          <w:numId w:val="52"/>
        </w:numPr>
        <w:ind w:left="0" w:hanging="180"/>
        <w:rPr>
          <w:u w:val="single"/>
        </w:rPr>
      </w:pPr>
      <w:r w:rsidRPr="00945D76">
        <w:rPr>
          <w:u w:val="single"/>
        </w:rPr>
        <w:t xml:space="preserve">Additional Requirements </w:t>
      </w:r>
    </w:p>
    <w:p w14:paraId="2E5F4136" w14:textId="374EE6EF" w:rsidR="00DA3BD9" w:rsidRPr="00581FC0" w:rsidRDefault="000A4141" w:rsidP="00DA3BD9">
      <w:pPr>
        <w:pStyle w:val="Default"/>
      </w:pPr>
      <w:r w:rsidRPr="00581FC0">
        <w:t xml:space="preserve">All grant recipients that are authorized to </w:t>
      </w:r>
      <w:r w:rsidR="00EE0BB7">
        <w:t xml:space="preserve">utilize </w:t>
      </w:r>
      <w:r w:rsidR="00A54209">
        <w:t>f</w:t>
      </w:r>
      <w:r w:rsidR="00EE0BB7">
        <w:t>ederal funding to procure or acquire</w:t>
      </w:r>
      <w:r w:rsidR="00EE0BB7" w:rsidRPr="00581FC0">
        <w:t xml:space="preserve"> </w:t>
      </w:r>
      <w:r w:rsidRPr="00581FC0">
        <w:t>controlled equipment must comply with</w:t>
      </w:r>
      <w:r w:rsidR="00034F93" w:rsidRPr="00581FC0">
        <w:t xml:space="preserve"> 2 C.F.R. Part 200</w:t>
      </w:r>
      <w:r w:rsidR="00EE0BB7">
        <w:t xml:space="preserve"> and the terms of the award agreement with FEMA</w:t>
      </w:r>
      <w:r w:rsidR="00464216">
        <w:t xml:space="preserve"> </w:t>
      </w:r>
      <w:r w:rsidRPr="00581FC0">
        <w:t>and the special conditions that are placed on the award</w:t>
      </w:r>
      <w:r w:rsidR="009E7F59" w:rsidRPr="00581FC0">
        <w:t xml:space="preserve"> by FEMA</w:t>
      </w:r>
      <w:r w:rsidRPr="00581FC0">
        <w:t>.</w:t>
      </w:r>
      <w:r w:rsidR="009E7F59" w:rsidRPr="00581FC0">
        <w:t xml:space="preserve"> </w:t>
      </w:r>
      <w:r w:rsidR="00991C8F">
        <w:t xml:space="preserve"> </w:t>
      </w:r>
      <w:r w:rsidR="009E7F59" w:rsidRPr="00581FC0">
        <w:t xml:space="preserve">The same terms and conditions </w:t>
      </w:r>
      <w:r w:rsidR="00EE0BB7">
        <w:t xml:space="preserve">with respect to the management, use, and disposition of the equipment </w:t>
      </w:r>
      <w:r w:rsidR="009E7F59" w:rsidRPr="00581FC0">
        <w:t xml:space="preserve">apply </w:t>
      </w:r>
      <w:r w:rsidR="00D92B0F" w:rsidRPr="00581FC0">
        <w:t xml:space="preserve">to the receiving entity </w:t>
      </w:r>
      <w:r w:rsidR="00034F93" w:rsidRPr="00581FC0">
        <w:t>in instances when FEMA authorizes</w:t>
      </w:r>
      <w:r w:rsidR="009E7F59" w:rsidRPr="00581FC0">
        <w:t xml:space="preserve"> the </w:t>
      </w:r>
      <w:r w:rsidR="00034F93" w:rsidRPr="00581FC0">
        <w:t xml:space="preserve">transfer of </w:t>
      </w:r>
      <w:r w:rsidR="009E7F59" w:rsidRPr="00581FC0">
        <w:t xml:space="preserve">controlled equipment </w:t>
      </w:r>
      <w:r w:rsidR="00EE0BB7">
        <w:t xml:space="preserve">from the recipient </w:t>
      </w:r>
      <w:r w:rsidR="009E7F59" w:rsidRPr="00581FC0">
        <w:t xml:space="preserve">to another </w:t>
      </w:r>
      <w:r w:rsidR="00EE0BB7">
        <w:t>entity</w:t>
      </w:r>
      <w:r w:rsidR="009E7F59" w:rsidRPr="00581FC0">
        <w:t xml:space="preserve">. </w:t>
      </w:r>
    </w:p>
    <w:p w14:paraId="17556F70" w14:textId="77777777" w:rsidR="00EB570D" w:rsidRPr="00581FC0" w:rsidRDefault="00EB570D" w:rsidP="00DA3BD9">
      <w:pPr>
        <w:pStyle w:val="Default"/>
        <w:rPr>
          <w:b/>
          <w:i/>
        </w:rPr>
      </w:pPr>
    </w:p>
    <w:p w14:paraId="43A0E5B7" w14:textId="77777777" w:rsidR="002E35E1" w:rsidRPr="00D42B07" w:rsidRDefault="002E35E1" w:rsidP="00CD6B5D">
      <w:pPr>
        <w:pStyle w:val="ListParagraph"/>
        <w:keepNext/>
        <w:numPr>
          <w:ilvl w:val="0"/>
          <w:numId w:val="52"/>
        </w:numPr>
        <w:ind w:left="0" w:hanging="180"/>
        <w:rPr>
          <w:color w:val="000000"/>
          <w:u w:val="single"/>
        </w:rPr>
      </w:pPr>
      <w:r w:rsidRPr="00D42B07">
        <w:rPr>
          <w:color w:val="000000"/>
          <w:u w:val="single"/>
        </w:rPr>
        <w:t>Violations of Use of Controlled Equipment</w:t>
      </w:r>
    </w:p>
    <w:p w14:paraId="0E998902" w14:textId="5B2759F3" w:rsidR="006F3B05" w:rsidRPr="00581FC0" w:rsidRDefault="00DE5C0B" w:rsidP="00CD6B5D">
      <w:pPr>
        <w:keepNext/>
        <w:rPr>
          <w:color w:val="000000"/>
        </w:rPr>
      </w:pPr>
      <w:r>
        <w:rPr>
          <w:color w:val="000000"/>
        </w:rPr>
        <w:t xml:space="preserve">FEMA may take appropriate action according to 2 C.F.R. </w:t>
      </w:r>
      <w:r w:rsidR="0056458F">
        <w:rPr>
          <w:color w:val="000000"/>
        </w:rPr>
        <w:t xml:space="preserve">Part </w:t>
      </w:r>
      <w:r>
        <w:rPr>
          <w:color w:val="000000"/>
        </w:rPr>
        <w:t>200 f</w:t>
      </w:r>
      <w:r w:rsidR="006F3B05" w:rsidRPr="00581FC0">
        <w:rPr>
          <w:color w:val="000000"/>
        </w:rPr>
        <w:t xml:space="preserve">or violations of any </w:t>
      </w:r>
      <w:r w:rsidR="00A54209">
        <w:rPr>
          <w:color w:val="000000"/>
        </w:rPr>
        <w:t>f</w:t>
      </w:r>
      <w:r>
        <w:rPr>
          <w:color w:val="000000"/>
        </w:rPr>
        <w:t>ederal statutes, regulations of the terms and</w:t>
      </w:r>
      <w:r w:rsidR="006F3B05" w:rsidRPr="00581FC0">
        <w:rPr>
          <w:color w:val="000000"/>
        </w:rPr>
        <w:t xml:space="preserve"> condition</w:t>
      </w:r>
      <w:r>
        <w:rPr>
          <w:color w:val="000000"/>
        </w:rPr>
        <w:t>s of the award</w:t>
      </w:r>
      <w:r w:rsidR="006F3B05" w:rsidRPr="00581FC0">
        <w:rPr>
          <w:color w:val="000000"/>
        </w:rPr>
        <w:t xml:space="preserve"> related to controlled equipment (e.g., failure to adopt required protocols</w:t>
      </w:r>
      <w:r w:rsidR="002168A3">
        <w:rPr>
          <w:color w:val="000000"/>
        </w:rPr>
        <w:t>,</w:t>
      </w:r>
      <w:r w:rsidR="006F3B05" w:rsidRPr="00581FC0">
        <w:rPr>
          <w:color w:val="000000"/>
        </w:rPr>
        <w:t xml:space="preserve"> unauthorized transfers)</w:t>
      </w:r>
      <w:r w:rsidR="00C03A1F">
        <w:rPr>
          <w:color w:val="000000"/>
        </w:rPr>
        <w:t>.</w:t>
      </w:r>
      <w:r w:rsidR="006F3B05" w:rsidRPr="00581FC0">
        <w:rPr>
          <w:color w:val="000000"/>
        </w:rPr>
        <w:t xml:space="preserve"> </w:t>
      </w:r>
    </w:p>
    <w:p w14:paraId="3329B7F1" w14:textId="77777777" w:rsidR="006F3B05" w:rsidRPr="00581FC0" w:rsidRDefault="006F3B05" w:rsidP="006F3B05">
      <w:pPr>
        <w:rPr>
          <w:color w:val="000000"/>
        </w:rPr>
      </w:pPr>
    </w:p>
    <w:p w14:paraId="62826474" w14:textId="1EFC9F99" w:rsidR="006F3B05" w:rsidRPr="00581FC0" w:rsidRDefault="006F3B05" w:rsidP="006F3B05">
      <w:pPr>
        <w:rPr>
          <w:color w:val="000000"/>
        </w:rPr>
      </w:pPr>
      <w:r w:rsidRPr="00581FC0">
        <w:t>For alleged violations of law</w:t>
      </w:r>
      <w:r w:rsidR="00B5453F">
        <w:t xml:space="preserve"> involving the grant</w:t>
      </w:r>
      <w:r w:rsidR="003141F8">
        <w:t>-</w:t>
      </w:r>
      <w:r w:rsidR="00B5453F">
        <w:t>funded controlled equipment</w:t>
      </w:r>
      <w:r w:rsidRPr="00581FC0">
        <w:t>, including civil rights laws, the matter will be re</w:t>
      </w:r>
      <w:r w:rsidR="002E35E1" w:rsidRPr="00581FC0">
        <w:t xml:space="preserve">ferred for investigation to FEMA’s </w:t>
      </w:r>
      <w:r w:rsidRPr="00581FC0">
        <w:t>Office of Civil Rights (OCR)</w:t>
      </w:r>
      <w:r w:rsidR="00464216">
        <w:t xml:space="preserve">, DHS’s Office of Civil Rights and Civil Liberties, </w:t>
      </w:r>
      <w:r w:rsidRPr="00581FC0">
        <w:t xml:space="preserve">other appropriate compliance office, or the U.S. Department of Justice. </w:t>
      </w:r>
      <w:r w:rsidR="00991C8F">
        <w:t xml:space="preserve"> </w:t>
      </w:r>
      <w:r w:rsidRPr="00581FC0">
        <w:t>If the investigation r</w:t>
      </w:r>
      <w:r w:rsidR="002E35E1" w:rsidRPr="00581FC0">
        <w:t>esults in a finding that the recipient</w:t>
      </w:r>
      <w:r w:rsidRPr="00581FC0">
        <w:t xml:space="preserve"> violated a civil rights or</w:t>
      </w:r>
      <w:r w:rsidR="002E35E1" w:rsidRPr="00581FC0">
        <w:t xml:space="preserve"> other relevant statute, </w:t>
      </w:r>
      <w:r w:rsidR="00EE0BB7">
        <w:t xml:space="preserve">appropriate remedies for noncompliance will be taken against </w:t>
      </w:r>
      <w:r w:rsidR="002E35E1" w:rsidRPr="00581FC0">
        <w:t>the recipient</w:t>
      </w:r>
      <w:r w:rsidRPr="00581FC0">
        <w:t xml:space="preserve">. </w:t>
      </w:r>
      <w:r w:rsidR="002E35E1" w:rsidRPr="00581FC0">
        <w:t>The</w:t>
      </w:r>
      <w:r w:rsidR="0025251F">
        <w:t xml:space="preserve"> actions or</w:t>
      </w:r>
      <w:r w:rsidR="002E35E1" w:rsidRPr="00581FC0">
        <w:t xml:space="preserve"> suspension will last until FEMA</w:t>
      </w:r>
      <w:r w:rsidRPr="00581FC0">
        <w:t xml:space="preserve"> determines that the violation has been corrected.</w:t>
      </w:r>
    </w:p>
    <w:p w14:paraId="3F54900E" w14:textId="77777777" w:rsidR="00581FC0" w:rsidRPr="00581FC0" w:rsidRDefault="00581FC0" w:rsidP="00EB570D">
      <w:pPr>
        <w:pStyle w:val="Default"/>
        <w:tabs>
          <w:tab w:val="left" w:pos="7605"/>
        </w:tabs>
      </w:pPr>
    </w:p>
    <w:p w14:paraId="2A2741BA" w14:textId="7F8D19CF" w:rsidR="00EB570D" w:rsidRPr="00581FC0" w:rsidRDefault="006F3B05" w:rsidP="002E35E1">
      <w:pPr>
        <w:rPr>
          <w:bCs/>
        </w:rPr>
      </w:pPr>
      <w:r w:rsidRPr="00581FC0">
        <w:t>F</w:t>
      </w:r>
      <w:r w:rsidR="00EB570D" w:rsidRPr="00581FC0">
        <w:t xml:space="preserve">EMA will continue to collaborate with </w:t>
      </w:r>
      <w:r w:rsidR="00A54209">
        <w:t>f</w:t>
      </w:r>
      <w:r w:rsidR="00EB570D" w:rsidRPr="00581FC0">
        <w:t>ederal agency partners to ensure</w:t>
      </w:r>
      <w:r w:rsidR="009E7F59" w:rsidRPr="00581FC0">
        <w:t xml:space="preserve"> </w:t>
      </w:r>
      <w:r w:rsidR="005D7C7C" w:rsidRPr="00581FC0">
        <w:t xml:space="preserve">that </w:t>
      </w:r>
      <w:r w:rsidR="009E7F59" w:rsidRPr="00581FC0">
        <w:t>there is a consistent and reasonable approach to</w:t>
      </w:r>
      <w:r w:rsidR="00090346" w:rsidRPr="00581FC0">
        <w:t xml:space="preserve"> the</w:t>
      </w:r>
      <w:r w:rsidR="009E7F59" w:rsidRPr="00581FC0">
        <w:t xml:space="preserve"> </w:t>
      </w:r>
      <w:r w:rsidR="00090346" w:rsidRPr="00581FC0">
        <w:t xml:space="preserve">restrictions placed on controlled equipment expenditures </w:t>
      </w:r>
      <w:r w:rsidR="009E7F59" w:rsidRPr="00581FC0">
        <w:t>while</w:t>
      </w:r>
      <w:r w:rsidR="00EB570D" w:rsidRPr="00581FC0">
        <w:t xml:space="preserve"> </w:t>
      </w:r>
      <w:r w:rsidR="00090346" w:rsidRPr="00581FC0">
        <w:t xml:space="preserve">continuing to </w:t>
      </w:r>
      <w:r w:rsidR="00EB570D" w:rsidRPr="00581FC0">
        <w:t>support</w:t>
      </w:r>
      <w:r w:rsidR="00090346" w:rsidRPr="00581FC0">
        <w:t xml:space="preserve"> these</w:t>
      </w:r>
      <w:r w:rsidR="00EB570D" w:rsidRPr="00581FC0">
        <w:t xml:space="preserve"> investments when </w:t>
      </w:r>
      <w:r w:rsidR="005C2032" w:rsidRPr="00581FC0">
        <w:t>there is a justifiable need</w:t>
      </w:r>
      <w:r w:rsidR="009E7F59" w:rsidRPr="00581FC0">
        <w:t>.</w:t>
      </w:r>
      <w:r w:rsidR="00EB570D" w:rsidRPr="00581FC0">
        <w:t xml:space="preserve"> Further, FEMA will continue to maintai</w:t>
      </w:r>
      <w:r w:rsidR="00072C83" w:rsidRPr="00581FC0">
        <w:t>n an awarenes</w:t>
      </w:r>
      <w:r w:rsidR="009E7F59" w:rsidRPr="00581FC0">
        <w:t xml:space="preserve">s of the </w:t>
      </w:r>
      <w:r w:rsidR="00072C83" w:rsidRPr="00581FC0">
        <w:t xml:space="preserve">evolving </w:t>
      </w:r>
      <w:r w:rsidR="002E35E1" w:rsidRPr="00581FC0">
        <w:rPr>
          <w:bCs/>
        </w:rPr>
        <w:t xml:space="preserve">policy developments related to controlled equipment expenditures </w:t>
      </w:r>
      <w:r w:rsidR="00EB570D" w:rsidRPr="00581FC0">
        <w:t xml:space="preserve">and keep </w:t>
      </w:r>
      <w:r w:rsidR="00991C8F" w:rsidRPr="00581FC0">
        <w:t>grant</w:t>
      </w:r>
      <w:r w:rsidR="00991C8F">
        <w:t xml:space="preserve"> recipients</w:t>
      </w:r>
      <w:r w:rsidR="00991C8F" w:rsidRPr="00581FC0">
        <w:t xml:space="preserve"> </w:t>
      </w:r>
      <w:r w:rsidR="00EB570D" w:rsidRPr="00581FC0">
        <w:t>up to date on future developments.</w:t>
      </w:r>
      <w:r w:rsidR="002E35E1" w:rsidRPr="00581FC0">
        <w:t xml:space="preserve"> </w:t>
      </w:r>
    </w:p>
    <w:p w14:paraId="3F1151D7" w14:textId="77777777" w:rsidR="006F3B05" w:rsidRPr="00581FC0" w:rsidRDefault="006F3B05" w:rsidP="00EB570D">
      <w:pPr>
        <w:pStyle w:val="Default"/>
      </w:pPr>
    </w:p>
    <w:p w14:paraId="7861D747" w14:textId="2FB7347A" w:rsidR="002D4FBB" w:rsidRPr="00581FC0" w:rsidRDefault="00EB570D" w:rsidP="00D42B07">
      <w:pPr>
        <w:rPr>
          <w:b/>
          <w:bCs/>
        </w:rPr>
      </w:pPr>
      <w:r w:rsidRPr="00581FC0">
        <w:t xml:space="preserve">Questions regarding this IB, whether the IB applies to </w:t>
      </w:r>
      <w:r w:rsidR="004B6A74" w:rsidRPr="00581FC0">
        <w:t xml:space="preserve">a </w:t>
      </w:r>
      <w:r w:rsidRPr="00581FC0">
        <w:t xml:space="preserve">particular project, or guidance on </w:t>
      </w:r>
      <w:r w:rsidR="00072C83" w:rsidRPr="00581FC0">
        <w:t xml:space="preserve">controlled equipment expenditures </w:t>
      </w:r>
      <w:r w:rsidRPr="00581FC0">
        <w:t xml:space="preserve">may be directed to </w:t>
      </w:r>
      <w:r w:rsidR="004B6A74" w:rsidRPr="00581FC0">
        <w:t>the appropriate</w:t>
      </w:r>
      <w:r w:rsidRPr="00581FC0">
        <w:t xml:space="preserve"> FEMA GPD Program Analyst or the Centralized Scheduling and Information Desk at </w:t>
      </w:r>
      <w:hyperlink r:id="rId21" w:history="1">
        <w:r w:rsidRPr="00581FC0">
          <w:rPr>
            <w:rStyle w:val="Hyperlink"/>
          </w:rPr>
          <w:t>askcsid@fema.gov</w:t>
        </w:r>
      </w:hyperlink>
      <w:r w:rsidRPr="00581FC0">
        <w:t xml:space="preserve"> or 1-800-368-6498.</w:t>
      </w:r>
    </w:p>
    <w:sectPr w:rsidR="002D4FBB" w:rsidRPr="00581FC0" w:rsidSect="00894E8E">
      <w:headerReference w:type="even" r:id="rId22"/>
      <w:headerReference w:type="default" r:id="rId23"/>
      <w:headerReference w:type="first" r:id="rId24"/>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F0A8F" w14:textId="77777777" w:rsidR="007046F3" w:rsidRDefault="007046F3">
      <w:r>
        <w:separator/>
      </w:r>
    </w:p>
  </w:endnote>
  <w:endnote w:type="continuationSeparator" w:id="0">
    <w:p w14:paraId="2749B60E" w14:textId="77777777" w:rsidR="007046F3" w:rsidRDefault="0070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F8582" w14:textId="77777777" w:rsidR="004C6EA1" w:rsidRDefault="004C6EA1" w:rsidP="004B0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1BBCC" w14:textId="77777777" w:rsidR="004C6EA1" w:rsidRDefault="004C6EA1" w:rsidP="004A06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05162" w14:textId="77777777" w:rsidR="004C6EA1" w:rsidRDefault="004C6EA1" w:rsidP="006D59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034C">
      <w:rPr>
        <w:rStyle w:val="PageNumber"/>
        <w:noProof/>
      </w:rPr>
      <w:t>2</w:t>
    </w:r>
    <w:r>
      <w:rPr>
        <w:rStyle w:val="PageNumber"/>
      </w:rPr>
      <w:fldChar w:fldCharType="end"/>
    </w:r>
  </w:p>
  <w:p w14:paraId="50AF06A0" w14:textId="77777777" w:rsidR="004C6EA1" w:rsidRDefault="004C6EA1" w:rsidP="004A064A">
    <w:pPr>
      <w:pStyle w:val="Footer"/>
      <w:framePr w:wrap="around" w:vAnchor="text" w:hAnchor="margin" w:xAlign="right" w:y="1"/>
      <w:ind w:right="360"/>
      <w:rPr>
        <w:rStyle w:val="PageNumber"/>
      </w:rPr>
    </w:pPr>
  </w:p>
  <w:p w14:paraId="659E02C9" w14:textId="77777777" w:rsidR="004C6EA1" w:rsidRDefault="004C6EA1" w:rsidP="004A06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5AD3B" w14:textId="77777777" w:rsidR="007046F3" w:rsidRDefault="007046F3">
      <w:r>
        <w:separator/>
      </w:r>
    </w:p>
  </w:footnote>
  <w:footnote w:type="continuationSeparator" w:id="0">
    <w:p w14:paraId="25E7658E" w14:textId="77777777" w:rsidR="007046F3" w:rsidRDefault="007046F3">
      <w:r>
        <w:continuationSeparator/>
      </w:r>
    </w:p>
  </w:footnote>
  <w:footnote w:id="1">
    <w:p w14:paraId="1D54FA45" w14:textId="7A6D3959" w:rsidR="004A782B" w:rsidRDefault="004A782B">
      <w:pPr>
        <w:pStyle w:val="FootnoteText"/>
      </w:pPr>
      <w:r>
        <w:rPr>
          <w:rStyle w:val="FootnoteReference"/>
        </w:rPr>
        <w:footnoteRef/>
      </w:r>
      <w:r>
        <w:t xml:space="preserve"> Recipients and sub-recipients should refer to the annual Notice of Funding Opportunity, the Authorized Equipment List, or contact their FEMA Program Analyst for information regarding the allowability of specific equipment categories.</w:t>
      </w:r>
    </w:p>
  </w:footnote>
  <w:footnote w:id="2">
    <w:p w14:paraId="78815FEE" w14:textId="5C5857CE" w:rsidR="004C6EA1" w:rsidRPr="00D42B07" w:rsidRDefault="004C6EA1" w:rsidP="00F40B96">
      <w:pPr>
        <w:autoSpaceDE w:val="0"/>
        <w:autoSpaceDN w:val="0"/>
        <w:adjustRightInd w:val="0"/>
        <w:rPr>
          <w:sz w:val="16"/>
          <w:szCs w:val="16"/>
        </w:rPr>
      </w:pPr>
      <w:r w:rsidRPr="006F00E2">
        <w:rPr>
          <w:rStyle w:val="FootnoteReference"/>
        </w:rPr>
        <w:footnoteRef/>
      </w:r>
      <w:r w:rsidRPr="006F00E2">
        <w:t xml:space="preserve"> </w:t>
      </w:r>
      <w:r w:rsidRPr="0025251F">
        <w:rPr>
          <w:sz w:val="16"/>
          <w:szCs w:val="16"/>
        </w:rPr>
        <w:t>Entity refers to the recipient or</w:t>
      </w:r>
      <w:r w:rsidRPr="00AA4732">
        <w:rPr>
          <w:sz w:val="16"/>
          <w:szCs w:val="16"/>
        </w:rPr>
        <w:t xml:space="preserve"> subrecipient </w:t>
      </w:r>
      <w:r w:rsidRPr="0025251F">
        <w:rPr>
          <w:sz w:val="16"/>
          <w:szCs w:val="16"/>
        </w:rPr>
        <w:t>that will be the end user of the controlled equipment.</w:t>
      </w:r>
      <w:r w:rsidRPr="00F40B96">
        <w:rPr>
          <w:sz w:val="16"/>
          <w:szCs w:val="16"/>
        </w:rPr>
        <w:t xml:space="preserve"> </w:t>
      </w:r>
      <w:r w:rsidRPr="00D42B07">
        <w:rPr>
          <w:i/>
          <w:iCs/>
          <w:sz w:val="16"/>
          <w:szCs w:val="16"/>
        </w:rPr>
        <w:t>Recipient -</w:t>
      </w:r>
      <w:r w:rsidRPr="00D42B07">
        <w:rPr>
          <w:sz w:val="16"/>
          <w:szCs w:val="16"/>
        </w:rPr>
        <w:t xml:space="preserve"> a non-</w:t>
      </w:r>
      <w:r w:rsidR="00A54209">
        <w:rPr>
          <w:sz w:val="16"/>
          <w:szCs w:val="16"/>
        </w:rPr>
        <w:t>f</w:t>
      </w:r>
      <w:r w:rsidRPr="00D42B07">
        <w:rPr>
          <w:sz w:val="16"/>
          <w:szCs w:val="16"/>
        </w:rPr>
        <w:t xml:space="preserve">ederal entity that receives a </w:t>
      </w:r>
      <w:r w:rsidR="00A54209">
        <w:rPr>
          <w:sz w:val="16"/>
          <w:szCs w:val="16"/>
        </w:rPr>
        <w:t>f</w:t>
      </w:r>
      <w:r w:rsidRPr="00D42B07">
        <w:rPr>
          <w:sz w:val="16"/>
          <w:szCs w:val="16"/>
        </w:rPr>
        <w:t xml:space="preserve">ederal award directly from a </w:t>
      </w:r>
      <w:r w:rsidR="00A54209">
        <w:rPr>
          <w:sz w:val="16"/>
          <w:szCs w:val="16"/>
        </w:rPr>
        <w:t>f</w:t>
      </w:r>
      <w:r w:rsidRPr="00D42B07">
        <w:rPr>
          <w:sz w:val="16"/>
          <w:szCs w:val="16"/>
        </w:rPr>
        <w:t xml:space="preserve">ederal awarding agency to carry out an activity under a </w:t>
      </w:r>
      <w:r w:rsidR="00A54209">
        <w:rPr>
          <w:sz w:val="16"/>
          <w:szCs w:val="16"/>
        </w:rPr>
        <w:t>f</w:t>
      </w:r>
      <w:r w:rsidRPr="00D42B07">
        <w:rPr>
          <w:sz w:val="16"/>
          <w:szCs w:val="16"/>
        </w:rPr>
        <w:t xml:space="preserve">ederal program. The term recipient does not include subrecipients. See also §200.69 Non-Federal entity. </w:t>
      </w:r>
      <w:r w:rsidRPr="00D42B07">
        <w:rPr>
          <w:i/>
          <w:iCs/>
          <w:sz w:val="16"/>
          <w:szCs w:val="16"/>
        </w:rPr>
        <w:t>Subrecipient</w:t>
      </w:r>
      <w:r>
        <w:rPr>
          <w:sz w:val="16"/>
          <w:szCs w:val="16"/>
        </w:rPr>
        <w:t xml:space="preserve"> -</w:t>
      </w:r>
      <w:r w:rsidRPr="00D42B07">
        <w:rPr>
          <w:sz w:val="16"/>
          <w:szCs w:val="16"/>
        </w:rPr>
        <w:t xml:space="preserve"> a non-</w:t>
      </w:r>
      <w:r w:rsidR="00A54209">
        <w:rPr>
          <w:sz w:val="16"/>
          <w:szCs w:val="16"/>
        </w:rPr>
        <w:t>f</w:t>
      </w:r>
      <w:r w:rsidRPr="00D42B07">
        <w:rPr>
          <w:sz w:val="16"/>
          <w:szCs w:val="16"/>
        </w:rPr>
        <w:t xml:space="preserve">ederal entity that receives a subaward from a pass-through entity to carry out part of a </w:t>
      </w:r>
      <w:r w:rsidR="00A54209">
        <w:rPr>
          <w:sz w:val="16"/>
          <w:szCs w:val="16"/>
        </w:rPr>
        <w:t>f</w:t>
      </w:r>
      <w:r w:rsidRPr="00D42B07">
        <w:rPr>
          <w:sz w:val="16"/>
          <w:szCs w:val="16"/>
        </w:rPr>
        <w:t xml:space="preserve">ederal program; but does not include an individual that is a beneficiary of such program. A subrecipient may also be a recipient of other </w:t>
      </w:r>
      <w:r w:rsidR="00A54209">
        <w:rPr>
          <w:sz w:val="16"/>
          <w:szCs w:val="16"/>
        </w:rPr>
        <w:t>f</w:t>
      </w:r>
      <w:r w:rsidRPr="00D42B07">
        <w:rPr>
          <w:sz w:val="16"/>
          <w:szCs w:val="16"/>
        </w:rPr>
        <w:t xml:space="preserve">ederal awards directly from a </w:t>
      </w:r>
      <w:r w:rsidR="00A54209">
        <w:rPr>
          <w:sz w:val="16"/>
          <w:szCs w:val="16"/>
        </w:rPr>
        <w:t>f</w:t>
      </w:r>
      <w:r w:rsidRPr="00D42B07">
        <w:rPr>
          <w:sz w:val="16"/>
          <w:szCs w:val="16"/>
        </w:rPr>
        <w:t>ederal awarding agency.</w:t>
      </w:r>
    </w:p>
    <w:p w14:paraId="32FBE239" w14:textId="2E150C30" w:rsidR="004C6EA1" w:rsidRDefault="004C6EA1" w:rsidP="00F40B96">
      <w:pPr>
        <w:autoSpaceDE w:val="0"/>
        <w:autoSpaceDN w:val="0"/>
        <w:adjustRightInd w:val="0"/>
      </w:pPr>
    </w:p>
    <w:p w14:paraId="0A3396AF" w14:textId="27B79056" w:rsidR="004C6EA1" w:rsidRPr="0025251F" w:rsidRDefault="004C6EA1">
      <w:pPr>
        <w:pStyle w:val="FootnoteText"/>
        <w:rPr>
          <w:sz w:val="16"/>
          <w:szCs w:val="16"/>
        </w:rPr>
      </w:pPr>
    </w:p>
  </w:footnote>
  <w:footnote w:id="3">
    <w:p w14:paraId="5C19F0DB" w14:textId="77777777" w:rsidR="004C6EA1" w:rsidRPr="00D42B07" w:rsidRDefault="004C6EA1" w:rsidP="00AB202D">
      <w:pPr>
        <w:pStyle w:val="FootnoteText"/>
        <w:rPr>
          <w:sz w:val="16"/>
          <w:szCs w:val="16"/>
        </w:rPr>
      </w:pPr>
      <w:r w:rsidRPr="00D42B07">
        <w:rPr>
          <w:rStyle w:val="FootnoteReference"/>
          <w:sz w:val="16"/>
          <w:szCs w:val="16"/>
        </w:rPr>
        <w:footnoteRef/>
      </w:r>
      <w:r w:rsidRPr="00D42B07">
        <w:rPr>
          <w:sz w:val="16"/>
          <w:szCs w:val="16"/>
        </w:rPr>
        <w:t xml:space="preserve"> LEAs </w:t>
      </w:r>
      <w:r w:rsidRPr="00D42B07">
        <w:rPr>
          <w:color w:val="000000"/>
          <w:sz w:val="16"/>
          <w:szCs w:val="16"/>
        </w:rPr>
        <w:t>include contracted LEAs or LEAs activated as part of a mutual aid agreement or memorandum of understanding using or operating grant funded controlled equipment.</w:t>
      </w:r>
    </w:p>
  </w:footnote>
  <w:footnote w:id="4">
    <w:p w14:paraId="447ACC7E" w14:textId="5E23C72E" w:rsidR="004C6EA1" w:rsidRPr="006F00E2" w:rsidRDefault="004C6EA1" w:rsidP="00440BB3">
      <w:pPr>
        <w:autoSpaceDE w:val="0"/>
        <w:autoSpaceDN w:val="0"/>
        <w:adjustRightInd w:val="0"/>
        <w:jc w:val="both"/>
        <w:rPr>
          <w:sz w:val="16"/>
          <w:szCs w:val="16"/>
        </w:rPr>
      </w:pPr>
      <w:r w:rsidRPr="006F00E2">
        <w:rPr>
          <w:rStyle w:val="FootnoteReference"/>
          <w:sz w:val="20"/>
          <w:szCs w:val="20"/>
        </w:rPr>
        <w:footnoteRef/>
      </w:r>
      <w:r w:rsidRPr="006F00E2">
        <w:rPr>
          <w:sz w:val="20"/>
          <w:szCs w:val="20"/>
        </w:rPr>
        <w:t xml:space="preserve"> </w:t>
      </w:r>
      <w:r w:rsidRPr="0025251F">
        <w:rPr>
          <w:i/>
          <w:sz w:val="16"/>
          <w:szCs w:val="16"/>
        </w:rPr>
        <w:t>Community Policing</w:t>
      </w:r>
      <w:r w:rsidRPr="0025251F">
        <w:rPr>
          <w:i/>
          <w:iCs/>
          <w:sz w:val="16"/>
          <w:szCs w:val="16"/>
        </w:rPr>
        <w:t xml:space="preserve"> </w:t>
      </w:r>
      <w:r w:rsidRPr="0025251F">
        <w:rPr>
          <w:sz w:val="16"/>
          <w:szCs w:val="16"/>
        </w:rPr>
        <w:t>is the concept that trust and mutual respect between police and the communities they serve are critical to public safety.  Community policing fosters relationships between law enforcement and the local community which promotes public confidence in LEAs and, in turn, enhances LEAs ability to investigate crimes and keep the peace.</w:t>
      </w:r>
      <w:r>
        <w:rPr>
          <w:sz w:val="16"/>
          <w:szCs w:val="16"/>
        </w:rPr>
        <w:t xml:space="preserve"> </w:t>
      </w:r>
      <w:r w:rsidRPr="0025251F">
        <w:rPr>
          <w:i/>
          <w:sz w:val="16"/>
          <w:szCs w:val="16"/>
        </w:rPr>
        <w:t>Constitutional Policing</w:t>
      </w:r>
      <w:r w:rsidRPr="0025251F">
        <w:rPr>
          <w:i/>
          <w:iCs/>
          <w:sz w:val="16"/>
          <w:szCs w:val="16"/>
        </w:rPr>
        <w:t xml:space="preserve"> </w:t>
      </w:r>
      <w:r w:rsidRPr="0025251F">
        <w:rPr>
          <w:sz w:val="16"/>
          <w:szCs w:val="16"/>
        </w:rPr>
        <w:t>protocols emphasize that all police work should be carried out in a manner consistent with the requirements of the U.S. Constitution and federal law. Policies must include protocols on First Amendment, Fourth Amendment, and Fourteenth Amendment principles in law enforcement activity, as well as compliance with Federal</w:t>
      </w:r>
      <w:r>
        <w:rPr>
          <w:sz w:val="16"/>
          <w:szCs w:val="16"/>
        </w:rPr>
        <w:t xml:space="preserve"> </w:t>
      </w:r>
      <w:r w:rsidRPr="0025251F">
        <w:rPr>
          <w:sz w:val="16"/>
          <w:szCs w:val="16"/>
        </w:rPr>
        <w:t>and State civil rights laws.</w:t>
      </w:r>
      <w:r>
        <w:rPr>
          <w:sz w:val="16"/>
          <w:szCs w:val="16"/>
        </w:rPr>
        <w:t xml:space="preserve"> </w:t>
      </w:r>
      <w:r w:rsidRPr="006F00E2">
        <w:rPr>
          <w:i/>
          <w:iCs/>
          <w:sz w:val="16"/>
          <w:szCs w:val="16"/>
        </w:rPr>
        <w:t xml:space="preserve">Community Input and Impact </w:t>
      </w:r>
      <w:r w:rsidRPr="006F00E2">
        <w:rPr>
          <w:sz w:val="16"/>
          <w:szCs w:val="16"/>
        </w:rPr>
        <w:t>protocols must identify mechanisms that LEAs will use to engage the communities they serve to inform them and seek their input about LEAs’ actions, role in, and relationships with the community. Law enforcement exists to protect and serve the community, so it is axiomatic that the community should be aware of and have a say in how they are policed. LEAs should make particular efforts to seek the input of communities where controlled equipment is likely to be used so as to mitigate the effect that such use may have on public confidence in the police. This could be achieved through the LEAs</w:t>
      </w:r>
      <w:r w:rsidR="009A1C27">
        <w:rPr>
          <w:sz w:val="16"/>
          <w:szCs w:val="16"/>
        </w:rPr>
        <w:t>’</w:t>
      </w:r>
      <w:r w:rsidRPr="006F00E2">
        <w:rPr>
          <w:sz w:val="16"/>
          <w:szCs w:val="16"/>
        </w:rPr>
        <w:t xml:space="preserve"> regular interactions with the public through community forums, town halls, or meetings with the Chief or community outreach divisions.</w:t>
      </w:r>
    </w:p>
    <w:p w14:paraId="78A1AB90" w14:textId="3F806494" w:rsidR="004C6EA1" w:rsidRDefault="004C6EA1">
      <w:pPr>
        <w:pStyle w:val="FootnoteText"/>
      </w:pPr>
    </w:p>
  </w:footnote>
  <w:footnote w:id="5">
    <w:p w14:paraId="78286401" w14:textId="1344CD68" w:rsidR="004C6EA1" w:rsidRDefault="004C6EA1" w:rsidP="006F00E2">
      <w:pPr>
        <w:pStyle w:val="Default"/>
      </w:pPr>
      <w:r w:rsidRPr="006F00E2">
        <w:rPr>
          <w:rStyle w:val="FootnoteReference"/>
          <w:sz w:val="20"/>
          <w:szCs w:val="20"/>
        </w:rPr>
        <w:footnoteRef/>
      </w:r>
      <w:r>
        <w:t xml:space="preserve"> </w:t>
      </w:r>
      <w:r w:rsidRPr="00D406D8">
        <w:rPr>
          <w:sz w:val="18"/>
          <w:szCs w:val="18"/>
        </w:rPr>
        <w:t>Serious bodily injury</w:t>
      </w:r>
      <w:r>
        <w:rPr>
          <w:sz w:val="18"/>
          <w:szCs w:val="18"/>
        </w:rPr>
        <w:t>,</w:t>
      </w:r>
      <w:r w:rsidRPr="00D406D8">
        <w:rPr>
          <w:sz w:val="18"/>
          <w:szCs w:val="18"/>
        </w:rPr>
        <w:t xml:space="preserve"> as defined by 18 U.S.C. § 1365(h)</w:t>
      </w:r>
      <w:r>
        <w:rPr>
          <w:sz w:val="18"/>
          <w:szCs w:val="18"/>
        </w:rPr>
        <w:t>,</w:t>
      </w:r>
      <w:r w:rsidRPr="00D406D8">
        <w:rPr>
          <w:sz w:val="18"/>
          <w:szCs w:val="18"/>
        </w:rPr>
        <w:t xml:space="preserve"> is the bodily injury which involves (a) a substantial risk of death; (b) extreme physical pain; (c) protracted and obvious disfigurement; or (d) protracted loss or impairment of the function of a bodily member, organ, or mental faculty.</w:t>
      </w:r>
    </w:p>
    <w:p w14:paraId="40916F8D" w14:textId="77777777" w:rsidR="004C6EA1" w:rsidRDefault="004C6EA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A9072" w14:textId="77777777" w:rsidR="004C6EA1" w:rsidRDefault="004C6EA1" w:rsidP="005752A0">
    <w:pPr>
      <w:pStyle w:val="Heading1"/>
      <w:tabs>
        <w:tab w:val="left" w:pos="6840"/>
      </w:tabs>
      <w:spacing w:before="0" w:after="0" w:line="240" w:lineRule="auto"/>
      <w:ind w:left="4320" w:firstLine="720"/>
      <w:jc w:val="right"/>
      <w:rPr>
        <w:rFonts w:ascii="Times New Roman" w:hAnsi="Times New Roman" w:cs="Times New Roman"/>
        <w:kern w:val="0"/>
        <w:sz w:val="17"/>
        <w:szCs w:val="24"/>
      </w:rPr>
    </w:pPr>
    <w:r>
      <w:rPr>
        <w:rFonts w:ascii="Times New Roman" w:hAnsi="Times New Roman" w:cs="Times New Roman"/>
        <w:kern w:val="0"/>
        <w:sz w:val="17"/>
        <w:szCs w:val="24"/>
      </w:rPr>
      <w:t>U.S. Department of Homeland Security</w:t>
    </w:r>
  </w:p>
  <w:p w14:paraId="5CD43583" w14:textId="77777777" w:rsidR="004C6EA1" w:rsidRDefault="004C6EA1" w:rsidP="005752A0">
    <w:pPr>
      <w:tabs>
        <w:tab w:val="left" w:pos="6840"/>
      </w:tabs>
      <w:ind w:left="6840"/>
      <w:rPr>
        <w:sz w:val="17"/>
      </w:rPr>
    </w:pPr>
    <w:r>
      <w:rPr>
        <w:sz w:val="17"/>
      </w:rPr>
      <w:t>Washington, DC  20472</w:t>
    </w:r>
  </w:p>
  <w:p w14:paraId="5415C319" w14:textId="77777777" w:rsidR="004C6EA1" w:rsidRDefault="004C6E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6FF9B" w14:textId="77777777" w:rsidR="004C6EA1" w:rsidRDefault="004C6EA1" w:rsidP="00A6192D">
    <w:pPr>
      <w:pStyle w:val="Heading1"/>
      <w:tabs>
        <w:tab w:val="left" w:pos="6840"/>
      </w:tabs>
      <w:spacing w:before="0" w:after="0" w:line="240" w:lineRule="auto"/>
      <w:ind w:left="4320" w:right="-1080" w:firstLine="720"/>
      <w:jc w:val="right"/>
      <w:rPr>
        <w:rFonts w:ascii="Times New Roman" w:hAnsi="Times New Roman" w:cs="Times New Roman"/>
        <w:kern w:val="0"/>
        <w:sz w:val="17"/>
        <w:szCs w:val="24"/>
      </w:rPr>
    </w:pPr>
    <w:r>
      <w:rPr>
        <w:rFonts w:ascii="Times New Roman" w:hAnsi="Times New Roman" w:cs="Times New Roman"/>
        <w:kern w:val="0"/>
        <w:sz w:val="17"/>
        <w:szCs w:val="24"/>
      </w:rPr>
      <w:t>U.S. Department of Homeland Security</w:t>
    </w:r>
  </w:p>
  <w:p w14:paraId="1AA8AFA8" w14:textId="77777777" w:rsidR="004C6EA1" w:rsidRDefault="004C6EA1" w:rsidP="007D4652">
    <w:pPr>
      <w:tabs>
        <w:tab w:val="left" w:pos="6840"/>
      </w:tabs>
      <w:ind w:left="6840"/>
      <w:rPr>
        <w:sz w:val="17"/>
      </w:rPr>
    </w:pPr>
    <w:r>
      <w:rPr>
        <w:sz w:val="17"/>
      </w:rPr>
      <w:t xml:space="preserve"> Washington, DC  20472</w:t>
    </w:r>
  </w:p>
  <w:p w14:paraId="54678B68" w14:textId="77777777" w:rsidR="004C6EA1" w:rsidRDefault="004C6EA1" w:rsidP="007D465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12B11" w14:textId="77777777" w:rsidR="004C6EA1" w:rsidRDefault="004C6E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F488A" w14:textId="77777777" w:rsidR="004C6EA1" w:rsidRDefault="004C6E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C6136" w14:textId="77777777" w:rsidR="004C6EA1" w:rsidRDefault="004C6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B17"/>
    <w:multiLevelType w:val="hybridMultilevel"/>
    <w:tmpl w:val="15166E06"/>
    <w:lvl w:ilvl="0" w:tplc="6E62FE8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A709C"/>
    <w:multiLevelType w:val="hybridMultilevel"/>
    <w:tmpl w:val="EB6E8DC4"/>
    <w:lvl w:ilvl="0" w:tplc="BA96942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93B8A"/>
    <w:multiLevelType w:val="hybridMultilevel"/>
    <w:tmpl w:val="D96C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93C52"/>
    <w:multiLevelType w:val="hybridMultilevel"/>
    <w:tmpl w:val="8E12E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42210"/>
    <w:multiLevelType w:val="hybridMultilevel"/>
    <w:tmpl w:val="A08A4278"/>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613DD"/>
    <w:multiLevelType w:val="hybridMultilevel"/>
    <w:tmpl w:val="962C8C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1C656A"/>
    <w:multiLevelType w:val="hybridMultilevel"/>
    <w:tmpl w:val="BDEEC300"/>
    <w:lvl w:ilvl="0" w:tplc="04090001">
      <w:start w:val="1"/>
      <w:numFmt w:val="bullet"/>
      <w:lvlText w:val=""/>
      <w:lvlJc w:val="left"/>
      <w:pPr>
        <w:tabs>
          <w:tab w:val="num" w:pos="733"/>
        </w:tabs>
        <w:ind w:left="733" w:hanging="360"/>
      </w:pPr>
      <w:rPr>
        <w:rFonts w:ascii="Symbol" w:hAnsi="Symbol" w:hint="default"/>
      </w:rPr>
    </w:lvl>
    <w:lvl w:ilvl="1" w:tplc="04090003" w:tentative="1">
      <w:start w:val="1"/>
      <w:numFmt w:val="bullet"/>
      <w:lvlText w:val="o"/>
      <w:lvlJc w:val="left"/>
      <w:pPr>
        <w:tabs>
          <w:tab w:val="num" w:pos="1453"/>
        </w:tabs>
        <w:ind w:left="1453" w:hanging="360"/>
      </w:pPr>
      <w:rPr>
        <w:rFonts w:ascii="Courier New" w:hAnsi="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7">
    <w:nsid w:val="07F748DA"/>
    <w:multiLevelType w:val="hybridMultilevel"/>
    <w:tmpl w:val="147C3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B2587A"/>
    <w:multiLevelType w:val="hybridMultilevel"/>
    <w:tmpl w:val="3C6A100A"/>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63527F"/>
    <w:multiLevelType w:val="multilevel"/>
    <w:tmpl w:val="15166E0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1F211F5"/>
    <w:multiLevelType w:val="hybridMultilevel"/>
    <w:tmpl w:val="5462ACE4"/>
    <w:lvl w:ilvl="0" w:tplc="BA96942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C5B92"/>
    <w:multiLevelType w:val="hybridMultilevel"/>
    <w:tmpl w:val="8F36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57508F"/>
    <w:multiLevelType w:val="hybridMultilevel"/>
    <w:tmpl w:val="9A2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FB2C0E"/>
    <w:multiLevelType w:val="hybridMultilevel"/>
    <w:tmpl w:val="A9AEE85E"/>
    <w:lvl w:ilvl="0" w:tplc="EDCEBC0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B4758A"/>
    <w:multiLevelType w:val="hybridMultilevel"/>
    <w:tmpl w:val="AF6C5F8A"/>
    <w:lvl w:ilvl="0" w:tplc="BA96942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C5668"/>
    <w:multiLevelType w:val="hybridMultilevel"/>
    <w:tmpl w:val="4FDC00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1BF072CB"/>
    <w:multiLevelType w:val="hybridMultilevel"/>
    <w:tmpl w:val="5E0EC6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C47177F"/>
    <w:multiLevelType w:val="hybridMultilevel"/>
    <w:tmpl w:val="1546A7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1185F0D"/>
    <w:multiLevelType w:val="hybridMultilevel"/>
    <w:tmpl w:val="1ABAADDC"/>
    <w:lvl w:ilvl="0" w:tplc="565ED4E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1CE0A44"/>
    <w:multiLevelType w:val="hybridMultilevel"/>
    <w:tmpl w:val="EB723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7E0FAF"/>
    <w:multiLevelType w:val="hybridMultilevel"/>
    <w:tmpl w:val="D30C31D6"/>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A6D42EC"/>
    <w:multiLevelType w:val="hybridMultilevel"/>
    <w:tmpl w:val="C2F60D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BDB2EC1"/>
    <w:multiLevelType w:val="hybridMultilevel"/>
    <w:tmpl w:val="DE923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E117C60"/>
    <w:multiLevelType w:val="hybridMultilevel"/>
    <w:tmpl w:val="80466752"/>
    <w:lvl w:ilvl="0" w:tplc="6E16D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042148B"/>
    <w:multiLevelType w:val="hybridMultilevel"/>
    <w:tmpl w:val="82EE7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502406"/>
    <w:multiLevelType w:val="hybridMultilevel"/>
    <w:tmpl w:val="7B98FC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30B7BF7"/>
    <w:multiLevelType w:val="hybridMultilevel"/>
    <w:tmpl w:val="1A8A8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4C52F98"/>
    <w:multiLevelType w:val="hybridMultilevel"/>
    <w:tmpl w:val="AB2E7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38523E"/>
    <w:multiLevelType w:val="hybridMultilevel"/>
    <w:tmpl w:val="BA200650"/>
    <w:lvl w:ilvl="0" w:tplc="6E62FE8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31712A"/>
    <w:multiLevelType w:val="hybridMultilevel"/>
    <w:tmpl w:val="336C23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D896417"/>
    <w:multiLevelType w:val="hybridMultilevel"/>
    <w:tmpl w:val="3D020286"/>
    <w:lvl w:ilvl="0" w:tplc="6E62FE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D9963DF"/>
    <w:multiLevelType w:val="hybridMultilevel"/>
    <w:tmpl w:val="0B3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B20150"/>
    <w:multiLevelType w:val="hybridMultilevel"/>
    <w:tmpl w:val="F708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F55F1D"/>
    <w:multiLevelType w:val="hybridMultilevel"/>
    <w:tmpl w:val="4F46A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1371DF3"/>
    <w:multiLevelType w:val="multilevel"/>
    <w:tmpl w:val="15166E0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45F507CA"/>
    <w:multiLevelType w:val="hybridMultilevel"/>
    <w:tmpl w:val="05B663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856E56"/>
    <w:multiLevelType w:val="hybridMultilevel"/>
    <w:tmpl w:val="6F5A3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DB674FA"/>
    <w:multiLevelType w:val="hybridMultilevel"/>
    <w:tmpl w:val="D1FE7A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52C64BA4"/>
    <w:multiLevelType w:val="hybridMultilevel"/>
    <w:tmpl w:val="4C0A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6C49FC"/>
    <w:multiLevelType w:val="hybridMultilevel"/>
    <w:tmpl w:val="FCC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166771"/>
    <w:multiLevelType w:val="hybridMultilevel"/>
    <w:tmpl w:val="1F64A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5E0114CE"/>
    <w:multiLevelType w:val="hybridMultilevel"/>
    <w:tmpl w:val="BB543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D65B00"/>
    <w:multiLevelType w:val="hybridMultilevel"/>
    <w:tmpl w:val="BDDE6A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05D2B1D"/>
    <w:multiLevelType w:val="hybridMultilevel"/>
    <w:tmpl w:val="7D548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142731C"/>
    <w:multiLevelType w:val="hybridMultilevel"/>
    <w:tmpl w:val="83B0574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5">
    <w:nsid w:val="61D6099F"/>
    <w:multiLevelType w:val="hybridMultilevel"/>
    <w:tmpl w:val="B7C46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3E1682C"/>
    <w:multiLevelType w:val="hybridMultilevel"/>
    <w:tmpl w:val="583444D6"/>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47">
    <w:nsid w:val="68C9364D"/>
    <w:multiLevelType w:val="hybridMultilevel"/>
    <w:tmpl w:val="B016D2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8">
    <w:nsid w:val="6D633714"/>
    <w:multiLevelType w:val="hybridMultilevel"/>
    <w:tmpl w:val="66EC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F2321D"/>
    <w:multiLevelType w:val="hybridMultilevel"/>
    <w:tmpl w:val="C6343C24"/>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A17D61"/>
    <w:multiLevelType w:val="multilevel"/>
    <w:tmpl w:val="3D0202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734562A5"/>
    <w:multiLevelType w:val="hybridMultilevel"/>
    <w:tmpl w:val="33C0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F32397"/>
    <w:multiLevelType w:val="hybridMultilevel"/>
    <w:tmpl w:val="1CB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FB3C09"/>
    <w:multiLevelType w:val="hybridMultilevel"/>
    <w:tmpl w:val="DC1483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92332E"/>
    <w:multiLevelType w:val="hybridMultilevel"/>
    <w:tmpl w:val="5E0EC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2A3B38"/>
    <w:multiLevelType w:val="hybridMultilevel"/>
    <w:tmpl w:val="87961248"/>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nsid w:val="7CEF4126"/>
    <w:multiLevelType w:val="hybridMultilevel"/>
    <w:tmpl w:val="202EEE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19"/>
  </w:num>
  <w:num w:numId="3">
    <w:abstractNumId w:val="35"/>
  </w:num>
  <w:num w:numId="4">
    <w:abstractNumId w:val="26"/>
  </w:num>
  <w:num w:numId="5">
    <w:abstractNumId w:val="46"/>
  </w:num>
  <w:num w:numId="6">
    <w:abstractNumId w:val="2"/>
  </w:num>
  <w:num w:numId="7">
    <w:abstractNumId w:val="36"/>
  </w:num>
  <w:num w:numId="8">
    <w:abstractNumId w:val="7"/>
  </w:num>
  <w:num w:numId="9">
    <w:abstractNumId w:val="33"/>
  </w:num>
  <w:num w:numId="10">
    <w:abstractNumId w:val="22"/>
  </w:num>
  <w:num w:numId="11">
    <w:abstractNumId w:val="30"/>
  </w:num>
  <w:num w:numId="12">
    <w:abstractNumId w:val="50"/>
  </w:num>
  <w:num w:numId="13">
    <w:abstractNumId w:val="28"/>
  </w:num>
  <w:num w:numId="14">
    <w:abstractNumId w:val="5"/>
  </w:num>
  <w:num w:numId="15">
    <w:abstractNumId w:val="0"/>
  </w:num>
  <w:num w:numId="16">
    <w:abstractNumId w:val="34"/>
  </w:num>
  <w:num w:numId="17">
    <w:abstractNumId w:val="17"/>
  </w:num>
  <w:num w:numId="18">
    <w:abstractNumId w:val="9"/>
  </w:num>
  <w:num w:numId="19">
    <w:abstractNumId w:val="20"/>
  </w:num>
  <w:num w:numId="20">
    <w:abstractNumId w:val="41"/>
  </w:num>
  <w:num w:numId="21">
    <w:abstractNumId w:val="6"/>
  </w:num>
  <w:num w:numId="22">
    <w:abstractNumId w:val="29"/>
  </w:num>
  <w:num w:numId="23">
    <w:abstractNumId w:val="56"/>
  </w:num>
  <w:num w:numId="24">
    <w:abstractNumId w:val="25"/>
  </w:num>
  <w:num w:numId="25">
    <w:abstractNumId w:val="51"/>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4"/>
  </w:num>
  <w:num w:numId="29">
    <w:abstractNumId w:val="8"/>
  </w:num>
  <w:num w:numId="30">
    <w:abstractNumId w:val="42"/>
  </w:num>
  <w:num w:numId="31">
    <w:abstractNumId w:val="16"/>
  </w:num>
  <w:num w:numId="32">
    <w:abstractNumId w:val="49"/>
  </w:num>
  <w:num w:numId="33">
    <w:abstractNumId w:val="3"/>
  </w:num>
  <w:num w:numId="34">
    <w:abstractNumId w:val="52"/>
  </w:num>
  <w:num w:numId="35">
    <w:abstractNumId w:val="11"/>
  </w:num>
  <w:num w:numId="36">
    <w:abstractNumId w:val="38"/>
  </w:num>
  <w:num w:numId="37">
    <w:abstractNumId w:val="43"/>
  </w:num>
  <w:num w:numId="38">
    <w:abstractNumId w:val="12"/>
  </w:num>
  <w:num w:numId="39">
    <w:abstractNumId w:val="31"/>
  </w:num>
  <w:num w:numId="40">
    <w:abstractNumId w:val="48"/>
  </w:num>
  <w:num w:numId="41">
    <w:abstractNumId w:val="39"/>
  </w:num>
  <w:num w:numId="42">
    <w:abstractNumId w:val="27"/>
  </w:num>
  <w:num w:numId="43">
    <w:abstractNumId w:val="14"/>
  </w:num>
  <w:num w:numId="44">
    <w:abstractNumId w:val="23"/>
  </w:num>
  <w:num w:numId="45">
    <w:abstractNumId w:val="55"/>
  </w:num>
  <w:num w:numId="46">
    <w:abstractNumId w:val="44"/>
  </w:num>
  <w:num w:numId="47">
    <w:abstractNumId w:val="10"/>
  </w:num>
  <w:num w:numId="48">
    <w:abstractNumId w:val="47"/>
  </w:num>
  <w:num w:numId="49">
    <w:abstractNumId w:val="1"/>
  </w:num>
  <w:num w:numId="50">
    <w:abstractNumId w:val="15"/>
  </w:num>
  <w:num w:numId="51">
    <w:abstractNumId w:val="40"/>
  </w:num>
  <w:num w:numId="52">
    <w:abstractNumId w:val="53"/>
  </w:num>
  <w:num w:numId="53">
    <w:abstractNumId w:val="13"/>
  </w:num>
  <w:num w:numId="54">
    <w:abstractNumId w:val="21"/>
  </w:num>
  <w:num w:numId="55">
    <w:abstractNumId w:val="45"/>
  </w:num>
  <w:num w:numId="56">
    <w:abstractNumId w:val="4"/>
  </w:num>
  <w:num w:numId="57">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A0"/>
    <w:rsid w:val="0000042F"/>
    <w:rsid w:val="00002890"/>
    <w:rsid w:val="000045F4"/>
    <w:rsid w:val="00007A5C"/>
    <w:rsid w:val="00011727"/>
    <w:rsid w:val="00011BE4"/>
    <w:rsid w:val="00011D36"/>
    <w:rsid w:val="00020589"/>
    <w:rsid w:val="00021906"/>
    <w:rsid w:val="00024890"/>
    <w:rsid w:val="00026B0A"/>
    <w:rsid w:val="00033ABB"/>
    <w:rsid w:val="00034F93"/>
    <w:rsid w:val="00035D3F"/>
    <w:rsid w:val="00051318"/>
    <w:rsid w:val="00054F00"/>
    <w:rsid w:val="00070ABF"/>
    <w:rsid w:val="00072C83"/>
    <w:rsid w:val="00076BB2"/>
    <w:rsid w:val="000801FA"/>
    <w:rsid w:val="00080317"/>
    <w:rsid w:val="00083A0B"/>
    <w:rsid w:val="00084292"/>
    <w:rsid w:val="000858BF"/>
    <w:rsid w:val="00085CA5"/>
    <w:rsid w:val="00090346"/>
    <w:rsid w:val="00091004"/>
    <w:rsid w:val="00091ABB"/>
    <w:rsid w:val="00093E84"/>
    <w:rsid w:val="000A4141"/>
    <w:rsid w:val="000A7CF0"/>
    <w:rsid w:val="000B3878"/>
    <w:rsid w:val="000B6454"/>
    <w:rsid w:val="000C3A71"/>
    <w:rsid w:val="000C79EE"/>
    <w:rsid w:val="000D0415"/>
    <w:rsid w:val="000D492C"/>
    <w:rsid w:val="000D6C2D"/>
    <w:rsid w:val="000E0489"/>
    <w:rsid w:val="000F030C"/>
    <w:rsid w:val="000F031A"/>
    <w:rsid w:val="000F054D"/>
    <w:rsid w:val="000F4D61"/>
    <w:rsid w:val="000F69FD"/>
    <w:rsid w:val="00104890"/>
    <w:rsid w:val="00104E0A"/>
    <w:rsid w:val="00106717"/>
    <w:rsid w:val="00110228"/>
    <w:rsid w:val="00111350"/>
    <w:rsid w:val="00111A7F"/>
    <w:rsid w:val="00113C79"/>
    <w:rsid w:val="00115848"/>
    <w:rsid w:val="001168FD"/>
    <w:rsid w:val="00120925"/>
    <w:rsid w:val="00122633"/>
    <w:rsid w:val="00124F37"/>
    <w:rsid w:val="00126F9C"/>
    <w:rsid w:val="00127F02"/>
    <w:rsid w:val="00130765"/>
    <w:rsid w:val="001311F6"/>
    <w:rsid w:val="001313DE"/>
    <w:rsid w:val="00131D70"/>
    <w:rsid w:val="0014080B"/>
    <w:rsid w:val="001408C0"/>
    <w:rsid w:val="001411E1"/>
    <w:rsid w:val="00143B12"/>
    <w:rsid w:val="0015392B"/>
    <w:rsid w:val="00154E63"/>
    <w:rsid w:val="00155A00"/>
    <w:rsid w:val="00155B91"/>
    <w:rsid w:val="0016120F"/>
    <w:rsid w:val="001619EE"/>
    <w:rsid w:val="00163778"/>
    <w:rsid w:val="00165BB7"/>
    <w:rsid w:val="001718BF"/>
    <w:rsid w:val="001765AE"/>
    <w:rsid w:val="0017763C"/>
    <w:rsid w:val="001831ED"/>
    <w:rsid w:val="00191809"/>
    <w:rsid w:val="00193155"/>
    <w:rsid w:val="00194C3E"/>
    <w:rsid w:val="00196148"/>
    <w:rsid w:val="00197286"/>
    <w:rsid w:val="001A1981"/>
    <w:rsid w:val="001A1E27"/>
    <w:rsid w:val="001A4534"/>
    <w:rsid w:val="001B5458"/>
    <w:rsid w:val="001C1D99"/>
    <w:rsid w:val="001C31A5"/>
    <w:rsid w:val="001C6CEE"/>
    <w:rsid w:val="001C7FEB"/>
    <w:rsid w:val="001D1615"/>
    <w:rsid w:val="001D36E0"/>
    <w:rsid w:val="001D6B91"/>
    <w:rsid w:val="001E2483"/>
    <w:rsid w:val="001E3879"/>
    <w:rsid w:val="001E76C3"/>
    <w:rsid w:val="001F1CF9"/>
    <w:rsid w:val="001F5508"/>
    <w:rsid w:val="0020250D"/>
    <w:rsid w:val="00203F4B"/>
    <w:rsid w:val="002053E3"/>
    <w:rsid w:val="002062AB"/>
    <w:rsid w:val="002069F6"/>
    <w:rsid w:val="002077D9"/>
    <w:rsid w:val="00207A69"/>
    <w:rsid w:val="00207F2F"/>
    <w:rsid w:val="00211C7A"/>
    <w:rsid w:val="00214840"/>
    <w:rsid w:val="0021603E"/>
    <w:rsid w:val="002168A3"/>
    <w:rsid w:val="00217DBB"/>
    <w:rsid w:val="00220EA9"/>
    <w:rsid w:val="00221A6B"/>
    <w:rsid w:val="00221AB0"/>
    <w:rsid w:val="00222AAB"/>
    <w:rsid w:val="00223549"/>
    <w:rsid w:val="00224D12"/>
    <w:rsid w:val="00225F79"/>
    <w:rsid w:val="00226258"/>
    <w:rsid w:val="00227DA5"/>
    <w:rsid w:val="00230B59"/>
    <w:rsid w:val="00233060"/>
    <w:rsid w:val="00233357"/>
    <w:rsid w:val="002375B1"/>
    <w:rsid w:val="00243A30"/>
    <w:rsid w:val="0025251F"/>
    <w:rsid w:val="00257458"/>
    <w:rsid w:val="00260B76"/>
    <w:rsid w:val="00267CF0"/>
    <w:rsid w:val="002753DE"/>
    <w:rsid w:val="00276801"/>
    <w:rsid w:val="00277FF7"/>
    <w:rsid w:val="00280BF9"/>
    <w:rsid w:val="00281BD6"/>
    <w:rsid w:val="0028202C"/>
    <w:rsid w:val="00283D29"/>
    <w:rsid w:val="00283FAF"/>
    <w:rsid w:val="00284E1A"/>
    <w:rsid w:val="002853AA"/>
    <w:rsid w:val="0028542B"/>
    <w:rsid w:val="00286CB2"/>
    <w:rsid w:val="00296CB9"/>
    <w:rsid w:val="002A2C79"/>
    <w:rsid w:val="002A2FE8"/>
    <w:rsid w:val="002A370E"/>
    <w:rsid w:val="002A6725"/>
    <w:rsid w:val="002B18E2"/>
    <w:rsid w:val="002C5F95"/>
    <w:rsid w:val="002C648B"/>
    <w:rsid w:val="002C7179"/>
    <w:rsid w:val="002D26A9"/>
    <w:rsid w:val="002D4FBB"/>
    <w:rsid w:val="002D5976"/>
    <w:rsid w:val="002D6584"/>
    <w:rsid w:val="002D7DA1"/>
    <w:rsid w:val="002E35E1"/>
    <w:rsid w:val="002F4264"/>
    <w:rsid w:val="002F63C2"/>
    <w:rsid w:val="00300793"/>
    <w:rsid w:val="00301D8C"/>
    <w:rsid w:val="0030271F"/>
    <w:rsid w:val="0030332B"/>
    <w:rsid w:val="00303F9F"/>
    <w:rsid w:val="00304108"/>
    <w:rsid w:val="00304201"/>
    <w:rsid w:val="00306D92"/>
    <w:rsid w:val="00307318"/>
    <w:rsid w:val="003134CA"/>
    <w:rsid w:val="0031370D"/>
    <w:rsid w:val="003141F8"/>
    <w:rsid w:val="00314652"/>
    <w:rsid w:val="00320362"/>
    <w:rsid w:val="00323B05"/>
    <w:rsid w:val="00324F38"/>
    <w:rsid w:val="00326315"/>
    <w:rsid w:val="003300DB"/>
    <w:rsid w:val="003307A8"/>
    <w:rsid w:val="0033366D"/>
    <w:rsid w:val="003354CE"/>
    <w:rsid w:val="003367E0"/>
    <w:rsid w:val="00345940"/>
    <w:rsid w:val="00347E32"/>
    <w:rsid w:val="0035181B"/>
    <w:rsid w:val="00353E13"/>
    <w:rsid w:val="00363DA0"/>
    <w:rsid w:val="00367C31"/>
    <w:rsid w:val="00373CBA"/>
    <w:rsid w:val="0037648A"/>
    <w:rsid w:val="00377331"/>
    <w:rsid w:val="00377863"/>
    <w:rsid w:val="003778B3"/>
    <w:rsid w:val="003A2485"/>
    <w:rsid w:val="003B50A6"/>
    <w:rsid w:val="003C1B90"/>
    <w:rsid w:val="003C246F"/>
    <w:rsid w:val="003D067F"/>
    <w:rsid w:val="003D242E"/>
    <w:rsid w:val="003E0622"/>
    <w:rsid w:val="003F7BD3"/>
    <w:rsid w:val="00404A80"/>
    <w:rsid w:val="0041306E"/>
    <w:rsid w:val="00427233"/>
    <w:rsid w:val="004328D1"/>
    <w:rsid w:val="004348AF"/>
    <w:rsid w:val="00436387"/>
    <w:rsid w:val="00437328"/>
    <w:rsid w:val="00440BB3"/>
    <w:rsid w:val="0044297D"/>
    <w:rsid w:val="004430D4"/>
    <w:rsid w:val="00444628"/>
    <w:rsid w:val="00456FDB"/>
    <w:rsid w:val="00457ED9"/>
    <w:rsid w:val="004618E1"/>
    <w:rsid w:val="00462611"/>
    <w:rsid w:val="00464216"/>
    <w:rsid w:val="0047251B"/>
    <w:rsid w:val="0048073C"/>
    <w:rsid w:val="00481D5A"/>
    <w:rsid w:val="00483859"/>
    <w:rsid w:val="00483E43"/>
    <w:rsid w:val="004A064A"/>
    <w:rsid w:val="004A2743"/>
    <w:rsid w:val="004A772C"/>
    <w:rsid w:val="004A782B"/>
    <w:rsid w:val="004B06E5"/>
    <w:rsid w:val="004B0B2E"/>
    <w:rsid w:val="004B151D"/>
    <w:rsid w:val="004B2C6A"/>
    <w:rsid w:val="004B6A74"/>
    <w:rsid w:val="004C6EA1"/>
    <w:rsid w:val="004C72B4"/>
    <w:rsid w:val="004C7631"/>
    <w:rsid w:val="004D0FBF"/>
    <w:rsid w:val="004D6E6C"/>
    <w:rsid w:val="004E1031"/>
    <w:rsid w:val="004E1B35"/>
    <w:rsid w:val="004E652F"/>
    <w:rsid w:val="004F1539"/>
    <w:rsid w:val="004F4049"/>
    <w:rsid w:val="004F62A1"/>
    <w:rsid w:val="004F67E9"/>
    <w:rsid w:val="005005BC"/>
    <w:rsid w:val="00501C67"/>
    <w:rsid w:val="0050287C"/>
    <w:rsid w:val="00506529"/>
    <w:rsid w:val="00506E82"/>
    <w:rsid w:val="00512879"/>
    <w:rsid w:val="00513AB3"/>
    <w:rsid w:val="00515625"/>
    <w:rsid w:val="00520A18"/>
    <w:rsid w:val="00531AA1"/>
    <w:rsid w:val="00532915"/>
    <w:rsid w:val="00532DAC"/>
    <w:rsid w:val="005351C0"/>
    <w:rsid w:val="00537069"/>
    <w:rsid w:val="0054106D"/>
    <w:rsid w:val="005417E0"/>
    <w:rsid w:val="00542239"/>
    <w:rsid w:val="00546CE8"/>
    <w:rsid w:val="005526F5"/>
    <w:rsid w:val="00557D70"/>
    <w:rsid w:val="0056458F"/>
    <w:rsid w:val="0056572E"/>
    <w:rsid w:val="005752A0"/>
    <w:rsid w:val="0057622F"/>
    <w:rsid w:val="00581FC0"/>
    <w:rsid w:val="005943E6"/>
    <w:rsid w:val="005A1281"/>
    <w:rsid w:val="005A1B3E"/>
    <w:rsid w:val="005A2703"/>
    <w:rsid w:val="005A4A76"/>
    <w:rsid w:val="005A71B4"/>
    <w:rsid w:val="005A74CC"/>
    <w:rsid w:val="005B3FF3"/>
    <w:rsid w:val="005C152B"/>
    <w:rsid w:val="005C2032"/>
    <w:rsid w:val="005C2A28"/>
    <w:rsid w:val="005C4411"/>
    <w:rsid w:val="005D0940"/>
    <w:rsid w:val="005D405C"/>
    <w:rsid w:val="005D7C7C"/>
    <w:rsid w:val="005E087D"/>
    <w:rsid w:val="005E0AD7"/>
    <w:rsid w:val="005E14DC"/>
    <w:rsid w:val="005E44E1"/>
    <w:rsid w:val="005E48BD"/>
    <w:rsid w:val="005E5F3D"/>
    <w:rsid w:val="005F59A8"/>
    <w:rsid w:val="005F6B1C"/>
    <w:rsid w:val="005F79E0"/>
    <w:rsid w:val="0060237D"/>
    <w:rsid w:val="006033F5"/>
    <w:rsid w:val="00603AEF"/>
    <w:rsid w:val="006201BB"/>
    <w:rsid w:val="00621730"/>
    <w:rsid w:val="00621E03"/>
    <w:rsid w:val="00622129"/>
    <w:rsid w:val="006234B0"/>
    <w:rsid w:val="00627966"/>
    <w:rsid w:val="00636232"/>
    <w:rsid w:val="00637569"/>
    <w:rsid w:val="0064002C"/>
    <w:rsid w:val="00642228"/>
    <w:rsid w:val="006426AA"/>
    <w:rsid w:val="00644191"/>
    <w:rsid w:val="00656A59"/>
    <w:rsid w:val="00656CD6"/>
    <w:rsid w:val="0066034C"/>
    <w:rsid w:val="0066411D"/>
    <w:rsid w:val="00664ADB"/>
    <w:rsid w:val="00677B38"/>
    <w:rsid w:val="0068455C"/>
    <w:rsid w:val="00684AFC"/>
    <w:rsid w:val="00686EAD"/>
    <w:rsid w:val="00691C3A"/>
    <w:rsid w:val="00691FB5"/>
    <w:rsid w:val="006955FF"/>
    <w:rsid w:val="00695A99"/>
    <w:rsid w:val="006A2435"/>
    <w:rsid w:val="006A3BDC"/>
    <w:rsid w:val="006A7868"/>
    <w:rsid w:val="006B28F2"/>
    <w:rsid w:val="006B4FAD"/>
    <w:rsid w:val="006C5F5A"/>
    <w:rsid w:val="006C7620"/>
    <w:rsid w:val="006C7AC7"/>
    <w:rsid w:val="006D4F2C"/>
    <w:rsid w:val="006D5977"/>
    <w:rsid w:val="006D5E56"/>
    <w:rsid w:val="006E2898"/>
    <w:rsid w:val="006E297C"/>
    <w:rsid w:val="006E75B9"/>
    <w:rsid w:val="006E7C33"/>
    <w:rsid w:val="006F00E2"/>
    <w:rsid w:val="006F0446"/>
    <w:rsid w:val="006F3717"/>
    <w:rsid w:val="006F3B05"/>
    <w:rsid w:val="006F51C0"/>
    <w:rsid w:val="006F5D89"/>
    <w:rsid w:val="007046F3"/>
    <w:rsid w:val="00705FA3"/>
    <w:rsid w:val="0071349D"/>
    <w:rsid w:val="0071505E"/>
    <w:rsid w:val="00715693"/>
    <w:rsid w:val="00727116"/>
    <w:rsid w:val="00735139"/>
    <w:rsid w:val="0073642D"/>
    <w:rsid w:val="007439C4"/>
    <w:rsid w:val="00743AFF"/>
    <w:rsid w:val="007535C3"/>
    <w:rsid w:val="007657A3"/>
    <w:rsid w:val="00771F7B"/>
    <w:rsid w:val="007810BA"/>
    <w:rsid w:val="00781C5A"/>
    <w:rsid w:val="0078567F"/>
    <w:rsid w:val="00787C9C"/>
    <w:rsid w:val="00790E16"/>
    <w:rsid w:val="007924A1"/>
    <w:rsid w:val="007A17AE"/>
    <w:rsid w:val="007B571D"/>
    <w:rsid w:val="007B6EA2"/>
    <w:rsid w:val="007B717C"/>
    <w:rsid w:val="007B7FC4"/>
    <w:rsid w:val="007C0F16"/>
    <w:rsid w:val="007C198E"/>
    <w:rsid w:val="007C612C"/>
    <w:rsid w:val="007C7F5C"/>
    <w:rsid w:val="007D4652"/>
    <w:rsid w:val="007D78F6"/>
    <w:rsid w:val="007E158F"/>
    <w:rsid w:val="007E24CD"/>
    <w:rsid w:val="007E3E2B"/>
    <w:rsid w:val="007E6EDE"/>
    <w:rsid w:val="007E7DF0"/>
    <w:rsid w:val="007F227D"/>
    <w:rsid w:val="007F39EF"/>
    <w:rsid w:val="007F3E76"/>
    <w:rsid w:val="007F5CA8"/>
    <w:rsid w:val="008027E9"/>
    <w:rsid w:val="0080572D"/>
    <w:rsid w:val="00806093"/>
    <w:rsid w:val="00807B6B"/>
    <w:rsid w:val="008130F5"/>
    <w:rsid w:val="008177EA"/>
    <w:rsid w:val="008268DC"/>
    <w:rsid w:val="0083299E"/>
    <w:rsid w:val="00851B5B"/>
    <w:rsid w:val="008564BF"/>
    <w:rsid w:val="00857BD4"/>
    <w:rsid w:val="00866A2A"/>
    <w:rsid w:val="00867033"/>
    <w:rsid w:val="008709C7"/>
    <w:rsid w:val="008721DD"/>
    <w:rsid w:val="0087378A"/>
    <w:rsid w:val="00874099"/>
    <w:rsid w:val="008759F6"/>
    <w:rsid w:val="008779DF"/>
    <w:rsid w:val="00880AF3"/>
    <w:rsid w:val="008909B8"/>
    <w:rsid w:val="008928EE"/>
    <w:rsid w:val="0089301D"/>
    <w:rsid w:val="00894E8E"/>
    <w:rsid w:val="008A068A"/>
    <w:rsid w:val="008A0A51"/>
    <w:rsid w:val="008B0036"/>
    <w:rsid w:val="008B0E5C"/>
    <w:rsid w:val="008B4EC2"/>
    <w:rsid w:val="008C1137"/>
    <w:rsid w:val="008C27EA"/>
    <w:rsid w:val="008C3B49"/>
    <w:rsid w:val="008C482D"/>
    <w:rsid w:val="008D03E0"/>
    <w:rsid w:val="008D35B9"/>
    <w:rsid w:val="008D3EA7"/>
    <w:rsid w:val="008D49E3"/>
    <w:rsid w:val="008D613E"/>
    <w:rsid w:val="008D6A30"/>
    <w:rsid w:val="008D7BB5"/>
    <w:rsid w:val="008E18C8"/>
    <w:rsid w:val="008E3AF1"/>
    <w:rsid w:val="008E3D86"/>
    <w:rsid w:val="008E651B"/>
    <w:rsid w:val="008E6654"/>
    <w:rsid w:val="008E7AC6"/>
    <w:rsid w:val="008F1339"/>
    <w:rsid w:val="008F2A34"/>
    <w:rsid w:val="008F34B8"/>
    <w:rsid w:val="008F3B56"/>
    <w:rsid w:val="008F762B"/>
    <w:rsid w:val="00905A7F"/>
    <w:rsid w:val="00912B80"/>
    <w:rsid w:val="00917E55"/>
    <w:rsid w:val="0092083E"/>
    <w:rsid w:val="009245FA"/>
    <w:rsid w:val="00927110"/>
    <w:rsid w:val="009305BA"/>
    <w:rsid w:val="009320D0"/>
    <w:rsid w:val="009351EE"/>
    <w:rsid w:val="00936E5B"/>
    <w:rsid w:val="00941E1B"/>
    <w:rsid w:val="00942C32"/>
    <w:rsid w:val="0094471D"/>
    <w:rsid w:val="00945D76"/>
    <w:rsid w:val="00947626"/>
    <w:rsid w:val="0095075D"/>
    <w:rsid w:val="009518EE"/>
    <w:rsid w:val="009529E8"/>
    <w:rsid w:val="00954539"/>
    <w:rsid w:val="00956891"/>
    <w:rsid w:val="00961A60"/>
    <w:rsid w:val="00962866"/>
    <w:rsid w:val="00963FF9"/>
    <w:rsid w:val="00966C76"/>
    <w:rsid w:val="00967A7A"/>
    <w:rsid w:val="009711D8"/>
    <w:rsid w:val="009743D6"/>
    <w:rsid w:val="00981B69"/>
    <w:rsid w:val="009861B4"/>
    <w:rsid w:val="00986CD5"/>
    <w:rsid w:val="00987CA2"/>
    <w:rsid w:val="009910C5"/>
    <w:rsid w:val="00991C8F"/>
    <w:rsid w:val="00996B8E"/>
    <w:rsid w:val="009A1C27"/>
    <w:rsid w:val="009A1E5B"/>
    <w:rsid w:val="009A48DE"/>
    <w:rsid w:val="009A69F1"/>
    <w:rsid w:val="009B1680"/>
    <w:rsid w:val="009B6DF5"/>
    <w:rsid w:val="009B7E5A"/>
    <w:rsid w:val="009C2D48"/>
    <w:rsid w:val="009C2E90"/>
    <w:rsid w:val="009C72BA"/>
    <w:rsid w:val="009C72F5"/>
    <w:rsid w:val="009C7783"/>
    <w:rsid w:val="009D0651"/>
    <w:rsid w:val="009D2BE8"/>
    <w:rsid w:val="009D6D92"/>
    <w:rsid w:val="009E7F59"/>
    <w:rsid w:val="009F48CF"/>
    <w:rsid w:val="009F4974"/>
    <w:rsid w:val="009F4AF1"/>
    <w:rsid w:val="009F5737"/>
    <w:rsid w:val="009F780E"/>
    <w:rsid w:val="009F787D"/>
    <w:rsid w:val="00A00100"/>
    <w:rsid w:val="00A06993"/>
    <w:rsid w:val="00A112FE"/>
    <w:rsid w:val="00A12E30"/>
    <w:rsid w:val="00A135F9"/>
    <w:rsid w:val="00A16B1E"/>
    <w:rsid w:val="00A213A6"/>
    <w:rsid w:val="00A21C6B"/>
    <w:rsid w:val="00A21F40"/>
    <w:rsid w:val="00A34D1F"/>
    <w:rsid w:val="00A37633"/>
    <w:rsid w:val="00A44FC5"/>
    <w:rsid w:val="00A54209"/>
    <w:rsid w:val="00A55901"/>
    <w:rsid w:val="00A6192D"/>
    <w:rsid w:val="00A63C72"/>
    <w:rsid w:val="00A65240"/>
    <w:rsid w:val="00A66518"/>
    <w:rsid w:val="00A67DB4"/>
    <w:rsid w:val="00A75A08"/>
    <w:rsid w:val="00A83D56"/>
    <w:rsid w:val="00A84711"/>
    <w:rsid w:val="00A866EB"/>
    <w:rsid w:val="00A86B51"/>
    <w:rsid w:val="00A91552"/>
    <w:rsid w:val="00A95333"/>
    <w:rsid w:val="00AA0488"/>
    <w:rsid w:val="00AA2032"/>
    <w:rsid w:val="00AA4732"/>
    <w:rsid w:val="00AA4735"/>
    <w:rsid w:val="00AA511B"/>
    <w:rsid w:val="00AB202D"/>
    <w:rsid w:val="00AB2964"/>
    <w:rsid w:val="00AB7BFA"/>
    <w:rsid w:val="00AC4153"/>
    <w:rsid w:val="00AC4ECF"/>
    <w:rsid w:val="00AD2371"/>
    <w:rsid w:val="00AD26C0"/>
    <w:rsid w:val="00AD6436"/>
    <w:rsid w:val="00AD752B"/>
    <w:rsid w:val="00AD7A92"/>
    <w:rsid w:val="00AE3577"/>
    <w:rsid w:val="00AE665F"/>
    <w:rsid w:val="00AE7691"/>
    <w:rsid w:val="00AF67C0"/>
    <w:rsid w:val="00AF7387"/>
    <w:rsid w:val="00B0269D"/>
    <w:rsid w:val="00B03B17"/>
    <w:rsid w:val="00B04E05"/>
    <w:rsid w:val="00B144FA"/>
    <w:rsid w:val="00B17F98"/>
    <w:rsid w:val="00B21999"/>
    <w:rsid w:val="00B33F42"/>
    <w:rsid w:val="00B35924"/>
    <w:rsid w:val="00B368F2"/>
    <w:rsid w:val="00B42F0A"/>
    <w:rsid w:val="00B4326C"/>
    <w:rsid w:val="00B443CE"/>
    <w:rsid w:val="00B50325"/>
    <w:rsid w:val="00B5453F"/>
    <w:rsid w:val="00B57165"/>
    <w:rsid w:val="00B571B1"/>
    <w:rsid w:val="00B60E20"/>
    <w:rsid w:val="00B62A15"/>
    <w:rsid w:val="00B73F8C"/>
    <w:rsid w:val="00B74138"/>
    <w:rsid w:val="00B74856"/>
    <w:rsid w:val="00B7738D"/>
    <w:rsid w:val="00B851EA"/>
    <w:rsid w:val="00B852DC"/>
    <w:rsid w:val="00B86706"/>
    <w:rsid w:val="00B87AFC"/>
    <w:rsid w:val="00B90919"/>
    <w:rsid w:val="00B90AC4"/>
    <w:rsid w:val="00BA25CF"/>
    <w:rsid w:val="00BA755E"/>
    <w:rsid w:val="00BB119E"/>
    <w:rsid w:val="00BB2004"/>
    <w:rsid w:val="00BB5182"/>
    <w:rsid w:val="00BC7FE2"/>
    <w:rsid w:val="00BD06E8"/>
    <w:rsid w:val="00BD549F"/>
    <w:rsid w:val="00BD54F6"/>
    <w:rsid w:val="00BD62F8"/>
    <w:rsid w:val="00BE6214"/>
    <w:rsid w:val="00BE7F08"/>
    <w:rsid w:val="00BF31AD"/>
    <w:rsid w:val="00BF53FF"/>
    <w:rsid w:val="00C03A1F"/>
    <w:rsid w:val="00C102D6"/>
    <w:rsid w:val="00C15DEE"/>
    <w:rsid w:val="00C20C79"/>
    <w:rsid w:val="00C22E57"/>
    <w:rsid w:val="00C250FF"/>
    <w:rsid w:val="00C27635"/>
    <w:rsid w:val="00C2784F"/>
    <w:rsid w:val="00C30166"/>
    <w:rsid w:val="00C31815"/>
    <w:rsid w:val="00C32D41"/>
    <w:rsid w:val="00C35FEA"/>
    <w:rsid w:val="00C41B1B"/>
    <w:rsid w:val="00C433F1"/>
    <w:rsid w:val="00C50E8B"/>
    <w:rsid w:val="00C5321C"/>
    <w:rsid w:val="00C56E9B"/>
    <w:rsid w:val="00C57B00"/>
    <w:rsid w:val="00C6028B"/>
    <w:rsid w:val="00C61895"/>
    <w:rsid w:val="00C63140"/>
    <w:rsid w:val="00C65B88"/>
    <w:rsid w:val="00C6744E"/>
    <w:rsid w:val="00C71EFF"/>
    <w:rsid w:val="00C724E0"/>
    <w:rsid w:val="00C739F5"/>
    <w:rsid w:val="00C87D4D"/>
    <w:rsid w:val="00C94F39"/>
    <w:rsid w:val="00C969E7"/>
    <w:rsid w:val="00CA2112"/>
    <w:rsid w:val="00CA39F2"/>
    <w:rsid w:val="00CA3D7C"/>
    <w:rsid w:val="00CA692F"/>
    <w:rsid w:val="00CC02C9"/>
    <w:rsid w:val="00CC6787"/>
    <w:rsid w:val="00CD4CAE"/>
    <w:rsid w:val="00CD6B5D"/>
    <w:rsid w:val="00CE1F02"/>
    <w:rsid w:val="00CE20A0"/>
    <w:rsid w:val="00CE52F4"/>
    <w:rsid w:val="00CF21D0"/>
    <w:rsid w:val="00CF268A"/>
    <w:rsid w:val="00CF30CB"/>
    <w:rsid w:val="00D0019A"/>
    <w:rsid w:val="00D008D8"/>
    <w:rsid w:val="00D01539"/>
    <w:rsid w:val="00D028EE"/>
    <w:rsid w:val="00D03DEF"/>
    <w:rsid w:val="00D10196"/>
    <w:rsid w:val="00D10C01"/>
    <w:rsid w:val="00D14F61"/>
    <w:rsid w:val="00D216B2"/>
    <w:rsid w:val="00D246FF"/>
    <w:rsid w:val="00D259B9"/>
    <w:rsid w:val="00D25EBC"/>
    <w:rsid w:val="00D3304B"/>
    <w:rsid w:val="00D406D8"/>
    <w:rsid w:val="00D42B07"/>
    <w:rsid w:val="00D449B7"/>
    <w:rsid w:val="00D4739A"/>
    <w:rsid w:val="00D47AFD"/>
    <w:rsid w:val="00D518C0"/>
    <w:rsid w:val="00D55CAC"/>
    <w:rsid w:val="00D5776B"/>
    <w:rsid w:val="00D60B16"/>
    <w:rsid w:val="00D60F90"/>
    <w:rsid w:val="00D738C1"/>
    <w:rsid w:val="00D7449E"/>
    <w:rsid w:val="00D77BC9"/>
    <w:rsid w:val="00D80731"/>
    <w:rsid w:val="00D84595"/>
    <w:rsid w:val="00D85981"/>
    <w:rsid w:val="00D85F82"/>
    <w:rsid w:val="00D86552"/>
    <w:rsid w:val="00D92B0F"/>
    <w:rsid w:val="00D93C22"/>
    <w:rsid w:val="00D97668"/>
    <w:rsid w:val="00DA05B2"/>
    <w:rsid w:val="00DA0A85"/>
    <w:rsid w:val="00DA1FFE"/>
    <w:rsid w:val="00DA2724"/>
    <w:rsid w:val="00DA3BD9"/>
    <w:rsid w:val="00DA4203"/>
    <w:rsid w:val="00DA49AD"/>
    <w:rsid w:val="00DB1736"/>
    <w:rsid w:val="00DB6DDD"/>
    <w:rsid w:val="00DC564E"/>
    <w:rsid w:val="00DC651A"/>
    <w:rsid w:val="00DD09D7"/>
    <w:rsid w:val="00DD1F7B"/>
    <w:rsid w:val="00DD4541"/>
    <w:rsid w:val="00DE021C"/>
    <w:rsid w:val="00DE1B1C"/>
    <w:rsid w:val="00DE5C0B"/>
    <w:rsid w:val="00DE6EC0"/>
    <w:rsid w:val="00DF02D1"/>
    <w:rsid w:val="00DF0399"/>
    <w:rsid w:val="00DF03E4"/>
    <w:rsid w:val="00DF12D7"/>
    <w:rsid w:val="00DF316D"/>
    <w:rsid w:val="00DF426E"/>
    <w:rsid w:val="00E01227"/>
    <w:rsid w:val="00E01D42"/>
    <w:rsid w:val="00E03109"/>
    <w:rsid w:val="00E07620"/>
    <w:rsid w:val="00E07875"/>
    <w:rsid w:val="00E12C6F"/>
    <w:rsid w:val="00E142E2"/>
    <w:rsid w:val="00E210D3"/>
    <w:rsid w:val="00E22EC7"/>
    <w:rsid w:val="00E2576B"/>
    <w:rsid w:val="00E25BC0"/>
    <w:rsid w:val="00E25CCC"/>
    <w:rsid w:val="00E3149C"/>
    <w:rsid w:val="00E31A7D"/>
    <w:rsid w:val="00E32579"/>
    <w:rsid w:val="00E33067"/>
    <w:rsid w:val="00E35A76"/>
    <w:rsid w:val="00E42908"/>
    <w:rsid w:val="00E42FFC"/>
    <w:rsid w:val="00E44C61"/>
    <w:rsid w:val="00E50EE3"/>
    <w:rsid w:val="00E51788"/>
    <w:rsid w:val="00E53351"/>
    <w:rsid w:val="00E53BFA"/>
    <w:rsid w:val="00E54D24"/>
    <w:rsid w:val="00E63E42"/>
    <w:rsid w:val="00E71055"/>
    <w:rsid w:val="00E738CC"/>
    <w:rsid w:val="00E7410B"/>
    <w:rsid w:val="00E76065"/>
    <w:rsid w:val="00E81D87"/>
    <w:rsid w:val="00E93F28"/>
    <w:rsid w:val="00E972C7"/>
    <w:rsid w:val="00EA0BF1"/>
    <w:rsid w:val="00EA2BFE"/>
    <w:rsid w:val="00EA4BC7"/>
    <w:rsid w:val="00EA5C1F"/>
    <w:rsid w:val="00EA77C1"/>
    <w:rsid w:val="00EB08E1"/>
    <w:rsid w:val="00EB3423"/>
    <w:rsid w:val="00EB570D"/>
    <w:rsid w:val="00EB6ABC"/>
    <w:rsid w:val="00EC1AFB"/>
    <w:rsid w:val="00EC2445"/>
    <w:rsid w:val="00EC2C18"/>
    <w:rsid w:val="00ED15D9"/>
    <w:rsid w:val="00ED63C0"/>
    <w:rsid w:val="00EE0BB7"/>
    <w:rsid w:val="00EE0E7D"/>
    <w:rsid w:val="00EE5A21"/>
    <w:rsid w:val="00EF23AF"/>
    <w:rsid w:val="00F00EB6"/>
    <w:rsid w:val="00F028FE"/>
    <w:rsid w:val="00F116B3"/>
    <w:rsid w:val="00F11D5D"/>
    <w:rsid w:val="00F16978"/>
    <w:rsid w:val="00F17BB8"/>
    <w:rsid w:val="00F21DA2"/>
    <w:rsid w:val="00F40B96"/>
    <w:rsid w:val="00F4264F"/>
    <w:rsid w:val="00F55209"/>
    <w:rsid w:val="00F63391"/>
    <w:rsid w:val="00F71B11"/>
    <w:rsid w:val="00F7621F"/>
    <w:rsid w:val="00F8042B"/>
    <w:rsid w:val="00F8053E"/>
    <w:rsid w:val="00F83ED7"/>
    <w:rsid w:val="00F91DF3"/>
    <w:rsid w:val="00F9360A"/>
    <w:rsid w:val="00F94FAC"/>
    <w:rsid w:val="00F954DC"/>
    <w:rsid w:val="00FA120C"/>
    <w:rsid w:val="00FA1977"/>
    <w:rsid w:val="00FB2DF7"/>
    <w:rsid w:val="00FB3391"/>
    <w:rsid w:val="00FB3712"/>
    <w:rsid w:val="00FC1E85"/>
    <w:rsid w:val="00FC5651"/>
    <w:rsid w:val="00FC58F1"/>
    <w:rsid w:val="00FC6940"/>
    <w:rsid w:val="00FC6CA9"/>
    <w:rsid w:val="00FD3334"/>
    <w:rsid w:val="00FD3A69"/>
    <w:rsid w:val="00FD4606"/>
    <w:rsid w:val="00FD670C"/>
    <w:rsid w:val="00FD730B"/>
    <w:rsid w:val="00FE02CE"/>
    <w:rsid w:val="00FE75B7"/>
    <w:rsid w:val="00FF0817"/>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B1DB97"/>
  <w15:docId w15:val="{9EABC0DF-CCC8-4F1F-BC8F-FF0F8E37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AAB"/>
    <w:rPr>
      <w:sz w:val="24"/>
      <w:szCs w:val="24"/>
    </w:rPr>
  </w:style>
  <w:style w:type="paragraph" w:styleId="Heading1">
    <w:name w:val="heading 1"/>
    <w:basedOn w:val="Normal"/>
    <w:next w:val="Normal"/>
    <w:link w:val="Heading1Char"/>
    <w:uiPriority w:val="9"/>
    <w:qFormat/>
    <w:rsid w:val="005752A0"/>
    <w:pPr>
      <w:keepNext/>
      <w:spacing w:before="240" w:after="60" w:line="280" w:lineRule="exac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111"/>
    <w:rPr>
      <w:rFonts w:ascii="Cambria" w:eastAsia="Times New Roman" w:hAnsi="Cambria" w:cs="Times New Roman"/>
      <w:b/>
      <w:bCs/>
      <w:kern w:val="32"/>
      <w:sz w:val="32"/>
      <w:szCs w:val="32"/>
    </w:rPr>
  </w:style>
  <w:style w:type="paragraph" w:styleId="Header">
    <w:name w:val="header"/>
    <w:basedOn w:val="Normal"/>
    <w:link w:val="HeaderChar"/>
    <w:uiPriority w:val="99"/>
    <w:rsid w:val="005752A0"/>
    <w:pPr>
      <w:tabs>
        <w:tab w:val="center" w:pos="4320"/>
        <w:tab w:val="right" w:pos="8640"/>
      </w:tabs>
    </w:pPr>
  </w:style>
  <w:style w:type="character" w:customStyle="1" w:styleId="HeaderChar">
    <w:name w:val="Header Char"/>
    <w:basedOn w:val="DefaultParagraphFont"/>
    <w:link w:val="Header"/>
    <w:uiPriority w:val="99"/>
    <w:semiHidden/>
    <w:rsid w:val="00281111"/>
    <w:rPr>
      <w:sz w:val="24"/>
      <w:szCs w:val="24"/>
    </w:rPr>
  </w:style>
  <w:style w:type="paragraph" w:styleId="Footer">
    <w:name w:val="footer"/>
    <w:basedOn w:val="Normal"/>
    <w:link w:val="FooterChar"/>
    <w:uiPriority w:val="99"/>
    <w:rsid w:val="005752A0"/>
    <w:pPr>
      <w:tabs>
        <w:tab w:val="center" w:pos="4320"/>
        <w:tab w:val="right" w:pos="8640"/>
      </w:tabs>
    </w:pPr>
  </w:style>
  <w:style w:type="character" w:customStyle="1" w:styleId="FooterChar">
    <w:name w:val="Footer Char"/>
    <w:basedOn w:val="DefaultParagraphFont"/>
    <w:link w:val="Footer"/>
    <w:uiPriority w:val="99"/>
    <w:semiHidden/>
    <w:rsid w:val="00281111"/>
    <w:rPr>
      <w:sz w:val="24"/>
      <w:szCs w:val="24"/>
    </w:rPr>
  </w:style>
  <w:style w:type="table" w:styleId="TableGrid">
    <w:name w:val="Table Grid"/>
    <w:basedOn w:val="TableNormal"/>
    <w:uiPriority w:val="59"/>
    <w:rsid w:val="00A67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4A064A"/>
    <w:rPr>
      <w:rFonts w:cs="Times New Roman"/>
    </w:rPr>
  </w:style>
  <w:style w:type="character" w:styleId="Hyperlink">
    <w:name w:val="Hyperlink"/>
    <w:basedOn w:val="DefaultParagraphFont"/>
    <w:uiPriority w:val="99"/>
    <w:rsid w:val="00BD54F6"/>
    <w:rPr>
      <w:rFonts w:cs="Times New Roman"/>
      <w:color w:val="0000FF"/>
      <w:u w:val="single"/>
    </w:rPr>
  </w:style>
  <w:style w:type="paragraph" w:styleId="BalloonText">
    <w:name w:val="Balloon Text"/>
    <w:basedOn w:val="Normal"/>
    <w:link w:val="BalloonTextChar"/>
    <w:uiPriority w:val="99"/>
    <w:semiHidden/>
    <w:rsid w:val="007D4652"/>
    <w:rPr>
      <w:rFonts w:ascii="Tahoma" w:hAnsi="Tahoma" w:cs="Tahoma"/>
      <w:sz w:val="16"/>
      <w:szCs w:val="16"/>
    </w:rPr>
  </w:style>
  <w:style w:type="character" w:customStyle="1" w:styleId="BalloonTextChar">
    <w:name w:val="Balloon Text Char"/>
    <w:basedOn w:val="DefaultParagraphFont"/>
    <w:link w:val="BalloonText"/>
    <w:uiPriority w:val="99"/>
    <w:semiHidden/>
    <w:rsid w:val="00281111"/>
    <w:rPr>
      <w:sz w:val="0"/>
      <w:szCs w:val="0"/>
    </w:rPr>
  </w:style>
  <w:style w:type="character" w:styleId="CommentReference">
    <w:name w:val="annotation reference"/>
    <w:basedOn w:val="DefaultParagraphFont"/>
    <w:uiPriority w:val="99"/>
    <w:rsid w:val="00532DAC"/>
    <w:rPr>
      <w:rFonts w:cs="Times New Roman"/>
      <w:sz w:val="16"/>
      <w:szCs w:val="16"/>
    </w:rPr>
  </w:style>
  <w:style w:type="paragraph" w:styleId="CommentText">
    <w:name w:val="annotation text"/>
    <w:basedOn w:val="Normal"/>
    <w:link w:val="CommentTextChar"/>
    <w:uiPriority w:val="99"/>
    <w:rsid w:val="00532DAC"/>
    <w:rPr>
      <w:sz w:val="20"/>
      <w:szCs w:val="20"/>
    </w:rPr>
  </w:style>
  <w:style w:type="character" w:customStyle="1" w:styleId="CommentTextChar">
    <w:name w:val="Comment Text Char"/>
    <w:basedOn w:val="DefaultParagraphFont"/>
    <w:link w:val="CommentText"/>
    <w:uiPriority w:val="99"/>
    <w:locked/>
    <w:rsid w:val="00532DAC"/>
    <w:rPr>
      <w:rFonts w:cs="Times New Roman"/>
    </w:rPr>
  </w:style>
  <w:style w:type="paragraph" w:styleId="CommentSubject">
    <w:name w:val="annotation subject"/>
    <w:basedOn w:val="CommentText"/>
    <w:next w:val="CommentText"/>
    <w:link w:val="CommentSubjectChar"/>
    <w:uiPriority w:val="99"/>
    <w:rsid w:val="00532DAC"/>
    <w:rPr>
      <w:b/>
      <w:bCs/>
    </w:rPr>
  </w:style>
  <w:style w:type="character" w:customStyle="1" w:styleId="CommentSubjectChar">
    <w:name w:val="Comment Subject Char"/>
    <w:basedOn w:val="CommentTextChar"/>
    <w:link w:val="CommentSubject"/>
    <w:uiPriority w:val="99"/>
    <w:locked/>
    <w:rsid w:val="00532DAC"/>
    <w:rPr>
      <w:rFonts w:cs="Times New Roman"/>
      <w:b/>
      <w:bCs/>
    </w:rPr>
  </w:style>
  <w:style w:type="paragraph" w:styleId="FootnoteText">
    <w:name w:val="footnote text"/>
    <w:basedOn w:val="Normal"/>
    <w:link w:val="FootnoteTextChar"/>
    <w:uiPriority w:val="99"/>
    <w:rsid w:val="00B90919"/>
    <w:pPr>
      <w:widowControl w:val="0"/>
      <w:suppressAutoHyphens/>
    </w:pPr>
    <w:rPr>
      <w:rFonts w:eastAsia="Arial Unicode MS"/>
      <w:kern w:val="1"/>
      <w:sz w:val="20"/>
      <w:szCs w:val="20"/>
    </w:rPr>
  </w:style>
  <w:style w:type="character" w:customStyle="1" w:styleId="FootnoteTextChar">
    <w:name w:val="Footnote Text Char"/>
    <w:basedOn w:val="DefaultParagraphFont"/>
    <w:link w:val="FootnoteText"/>
    <w:uiPriority w:val="99"/>
    <w:locked/>
    <w:rsid w:val="00B90919"/>
    <w:rPr>
      <w:rFonts w:eastAsia="Arial Unicode MS" w:cs="Times New Roman"/>
      <w:kern w:val="1"/>
    </w:rPr>
  </w:style>
  <w:style w:type="character" w:styleId="FootnoteReference">
    <w:name w:val="footnote reference"/>
    <w:basedOn w:val="DefaultParagraphFont"/>
    <w:uiPriority w:val="99"/>
    <w:rsid w:val="00B90919"/>
    <w:rPr>
      <w:rFonts w:cs="Times New Roman"/>
      <w:vertAlign w:val="superscript"/>
    </w:rPr>
  </w:style>
  <w:style w:type="paragraph" w:styleId="EndnoteText">
    <w:name w:val="endnote text"/>
    <w:basedOn w:val="Normal"/>
    <w:link w:val="EndnoteTextChar"/>
    <w:uiPriority w:val="99"/>
    <w:rsid w:val="002A2C79"/>
    <w:rPr>
      <w:sz w:val="20"/>
      <w:szCs w:val="20"/>
    </w:rPr>
  </w:style>
  <w:style w:type="character" w:customStyle="1" w:styleId="EndnoteTextChar">
    <w:name w:val="Endnote Text Char"/>
    <w:basedOn w:val="DefaultParagraphFont"/>
    <w:link w:val="EndnoteText"/>
    <w:uiPriority w:val="99"/>
    <w:locked/>
    <w:rsid w:val="002A2C79"/>
    <w:rPr>
      <w:rFonts w:cs="Times New Roman"/>
    </w:rPr>
  </w:style>
  <w:style w:type="character" w:styleId="EndnoteReference">
    <w:name w:val="endnote reference"/>
    <w:basedOn w:val="DefaultParagraphFont"/>
    <w:uiPriority w:val="99"/>
    <w:rsid w:val="002A2C79"/>
    <w:rPr>
      <w:rFonts w:cs="Times New Roman"/>
      <w:vertAlign w:val="superscript"/>
    </w:rPr>
  </w:style>
  <w:style w:type="paragraph" w:styleId="Revision">
    <w:name w:val="Revision"/>
    <w:hidden/>
    <w:uiPriority w:val="99"/>
    <w:semiHidden/>
    <w:rsid w:val="00243A30"/>
    <w:rPr>
      <w:sz w:val="24"/>
      <w:szCs w:val="24"/>
    </w:rPr>
  </w:style>
  <w:style w:type="paragraph" w:styleId="ListParagraph">
    <w:name w:val="List Paragraph"/>
    <w:basedOn w:val="Normal"/>
    <w:uiPriority w:val="34"/>
    <w:qFormat/>
    <w:rsid w:val="008130F5"/>
    <w:pPr>
      <w:ind w:left="720"/>
      <w:contextualSpacing/>
    </w:pPr>
  </w:style>
  <w:style w:type="paragraph" w:customStyle="1" w:styleId="Default">
    <w:name w:val="Default"/>
    <w:rsid w:val="00656CD6"/>
    <w:pPr>
      <w:autoSpaceDE w:val="0"/>
      <w:autoSpaceDN w:val="0"/>
      <w:adjustRightInd w:val="0"/>
    </w:pPr>
    <w:rPr>
      <w:color w:val="000000"/>
      <w:sz w:val="24"/>
      <w:szCs w:val="24"/>
    </w:rPr>
  </w:style>
  <w:style w:type="paragraph" w:styleId="PlainText">
    <w:name w:val="Plain Text"/>
    <w:basedOn w:val="Normal"/>
    <w:link w:val="PlainTextChar"/>
    <w:uiPriority w:val="99"/>
    <w:rsid w:val="00AE665F"/>
    <w:rPr>
      <w:rFonts w:ascii="Consolas" w:hAnsi="Consolas"/>
      <w:sz w:val="21"/>
      <w:szCs w:val="21"/>
    </w:rPr>
  </w:style>
  <w:style w:type="character" w:customStyle="1" w:styleId="PlainTextChar">
    <w:name w:val="Plain Text Char"/>
    <w:basedOn w:val="DefaultParagraphFont"/>
    <w:link w:val="PlainText"/>
    <w:uiPriority w:val="99"/>
    <w:locked/>
    <w:rsid w:val="00AE665F"/>
    <w:rPr>
      <w:rFonts w:ascii="Consolas" w:hAnsi="Consolas" w:cs="Times New Roman"/>
      <w:sz w:val="21"/>
      <w:szCs w:val="21"/>
    </w:rPr>
  </w:style>
  <w:style w:type="character" w:styleId="FollowedHyperlink">
    <w:name w:val="FollowedHyperlink"/>
    <w:basedOn w:val="DefaultParagraphFont"/>
    <w:semiHidden/>
    <w:unhideWhenUsed/>
    <w:rsid w:val="00267C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7540">
      <w:bodyDiv w:val="1"/>
      <w:marLeft w:val="0"/>
      <w:marRight w:val="0"/>
      <w:marTop w:val="0"/>
      <w:marBottom w:val="0"/>
      <w:divBdr>
        <w:top w:val="none" w:sz="0" w:space="0" w:color="auto"/>
        <w:left w:val="none" w:sz="0" w:space="0" w:color="auto"/>
        <w:bottom w:val="none" w:sz="0" w:space="0" w:color="auto"/>
        <w:right w:val="none" w:sz="0" w:space="0" w:color="auto"/>
      </w:divBdr>
    </w:div>
    <w:div w:id="469053597">
      <w:bodyDiv w:val="1"/>
      <w:marLeft w:val="0"/>
      <w:marRight w:val="0"/>
      <w:marTop w:val="0"/>
      <w:marBottom w:val="0"/>
      <w:divBdr>
        <w:top w:val="none" w:sz="0" w:space="0" w:color="auto"/>
        <w:left w:val="none" w:sz="0" w:space="0" w:color="auto"/>
        <w:bottom w:val="none" w:sz="0" w:space="0" w:color="auto"/>
        <w:right w:val="none" w:sz="0" w:space="0" w:color="auto"/>
      </w:divBdr>
    </w:div>
    <w:div w:id="725378241">
      <w:bodyDiv w:val="1"/>
      <w:marLeft w:val="0"/>
      <w:marRight w:val="0"/>
      <w:marTop w:val="0"/>
      <w:marBottom w:val="0"/>
      <w:divBdr>
        <w:top w:val="none" w:sz="0" w:space="0" w:color="auto"/>
        <w:left w:val="none" w:sz="0" w:space="0" w:color="auto"/>
        <w:bottom w:val="none" w:sz="0" w:space="0" w:color="auto"/>
        <w:right w:val="none" w:sz="0" w:space="0" w:color="auto"/>
      </w:divBdr>
    </w:div>
    <w:div w:id="878399254">
      <w:bodyDiv w:val="1"/>
      <w:marLeft w:val="0"/>
      <w:marRight w:val="0"/>
      <w:marTop w:val="0"/>
      <w:marBottom w:val="0"/>
      <w:divBdr>
        <w:top w:val="none" w:sz="0" w:space="0" w:color="auto"/>
        <w:left w:val="none" w:sz="0" w:space="0" w:color="auto"/>
        <w:bottom w:val="none" w:sz="0" w:space="0" w:color="auto"/>
        <w:right w:val="none" w:sz="0" w:space="0" w:color="auto"/>
      </w:divBdr>
    </w:div>
    <w:div w:id="1166700738">
      <w:bodyDiv w:val="1"/>
      <w:marLeft w:val="0"/>
      <w:marRight w:val="0"/>
      <w:marTop w:val="0"/>
      <w:marBottom w:val="0"/>
      <w:divBdr>
        <w:top w:val="none" w:sz="0" w:space="0" w:color="auto"/>
        <w:left w:val="none" w:sz="0" w:space="0" w:color="auto"/>
        <w:bottom w:val="none" w:sz="0" w:space="0" w:color="auto"/>
        <w:right w:val="none" w:sz="0" w:space="0" w:color="auto"/>
      </w:divBdr>
    </w:div>
    <w:div w:id="1325010960">
      <w:bodyDiv w:val="1"/>
      <w:marLeft w:val="0"/>
      <w:marRight w:val="0"/>
      <w:marTop w:val="0"/>
      <w:marBottom w:val="0"/>
      <w:divBdr>
        <w:top w:val="none" w:sz="0" w:space="0" w:color="auto"/>
        <w:left w:val="none" w:sz="0" w:space="0" w:color="auto"/>
        <w:bottom w:val="none" w:sz="0" w:space="0" w:color="auto"/>
        <w:right w:val="none" w:sz="0" w:space="0" w:color="auto"/>
      </w:divBdr>
    </w:div>
    <w:div w:id="1517188204">
      <w:bodyDiv w:val="1"/>
      <w:marLeft w:val="0"/>
      <w:marRight w:val="0"/>
      <w:marTop w:val="0"/>
      <w:marBottom w:val="0"/>
      <w:divBdr>
        <w:top w:val="none" w:sz="0" w:space="0" w:color="auto"/>
        <w:left w:val="none" w:sz="0" w:space="0" w:color="auto"/>
        <w:bottom w:val="none" w:sz="0" w:space="0" w:color="auto"/>
        <w:right w:val="none" w:sz="0" w:space="0" w:color="auto"/>
      </w:divBdr>
    </w:div>
    <w:div w:id="1672246959">
      <w:bodyDiv w:val="1"/>
      <w:marLeft w:val="0"/>
      <w:marRight w:val="0"/>
      <w:marTop w:val="0"/>
      <w:marBottom w:val="0"/>
      <w:divBdr>
        <w:top w:val="none" w:sz="0" w:space="0" w:color="auto"/>
        <w:left w:val="none" w:sz="0" w:space="0" w:color="auto"/>
        <w:bottom w:val="none" w:sz="0" w:space="0" w:color="auto"/>
        <w:right w:val="none" w:sz="0" w:space="0" w:color="auto"/>
      </w:divBdr>
    </w:div>
    <w:div w:id="1725713506">
      <w:bodyDiv w:val="1"/>
      <w:marLeft w:val="0"/>
      <w:marRight w:val="0"/>
      <w:marTop w:val="0"/>
      <w:marBottom w:val="0"/>
      <w:divBdr>
        <w:top w:val="none" w:sz="0" w:space="0" w:color="auto"/>
        <w:left w:val="none" w:sz="0" w:space="0" w:color="auto"/>
        <w:bottom w:val="none" w:sz="0" w:space="0" w:color="auto"/>
        <w:right w:val="none" w:sz="0" w:space="0" w:color="auto"/>
      </w:divBdr>
    </w:div>
    <w:div w:id="1735077387">
      <w:marLeft w:val="0"/>
      <w:marRight w:val="0"/>
      <w:marTop w:val="0"/>
      <w:marBottom w:val="0"/>
      <w:divBdr>
        <w:top w:val="none" w:sz="0" w:space="0" w:color="auto"/>
        <w:left w:val="none" w:sz="0" w:space="0" w:color="auto"/>
        <w:bottom w:val="none" w:sz="0" w:space="0" w:color="auto"/>
        <w:right w:val="none" w:sz="0" w:space="0" w:color="auto"/>
      </w:divBdr>
    </w:div>
    <w:div w:id="1735077388">
      <w:marLeft w:val="0"/>
      <w:marRight w:val="0"/>
      <w:marTop w:val="0"/>
      <w:marBottom w:val="0"/>
      <w:divBdr>
        <w:top w:val="none" w:sz="0" w:space="0" w:color="auto"/>
        <w:left w:val="none" w:sz="0" w:space="0" w:color="auto"/>
        <w:bottom w:val="none" w:sz="0" w:space="0" w:color="auto"/>
        <w:right w:val="none" w:sz="0" w:space="0" w:color="auto"/>
      </w:divBdr>
    </w:div>
    <w:div w:id="1735077389">
      <w:marLeft w:val="0"/>
      <w:marRight w:val="0"/>
      <w:marTop w:val="0"/>
      <w:marBottom w:val="0"/>
      <w:divBdr>
        <w:top w:val="none" w:sz="0" w:space="0" w:color="auto"/>
        <w:left w:val="none" w:sz="0" w:space="0" w:color="auto"/>
        <w:bottom w:val="none" w:sz="0" w:space="0" w:color="auto"/>
        <w:right w:val="none" w:sz="0" w:space="0" w:color="auto"/>
      </w:divBdr>
    </w:div>
    <w:div w:id="1735077390">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832410747">
      <w:bodyDiv w:val="1"/>
      <w:marLeft w:val="0"/>
      <w:marRight w:val="0"/>
      <w:marTop w:val="0"/>
      <w:marBottom w:val="0"/>
      <w:divBdr>
        <w:top w:val="none" w:sz="0" w:space="0" w:color="auto"/>
        <w:left w:val="none" w:sz="0" w:space="0" w:color="auto"/>
        <w:bottom w:val="none" w:sz="0" w:space="0" w:color="auto"/>
        <w:right w:val="none" w:sz="0" w:space="0" w:color="auto"/>
      </w:divBdr>
    </w:div>
    <w:div w:id="1841314137">
      <w:bodyDiv w:val="1"/>
      <w:marLeft w:val="0"/>
      <w:marRight w:val="0"/>
      <w:marTop w:val="0"/>
      <w:marBottom w:val="0"/>
      <w:divBdr>
        <w:top w:val="none" w:sz="0" w:space="0" w:color="auto"/>
        <w:left w:val="none" w:sz="0" w:space="0" w:color="auto"/>
        <w:bottom w:val="none" w:sz="0" w:space="0" w:color="auto"/>
        <w:right w:val="none" w:sz="0" w:space="0" w:color="auto"/>
      </w:divBdr>
    </w:div>
    <w:div w:id="2134902272">
      <w:bodyDiv w:val="1"/>
      <w:marLeft w:val="0"/>
      <w:marRight w:val="0"/>
      <w:marTop w:val="0"/>
      <w:marBottom w:val="0"/>
      <w:divBdr>
        <w:top w:val="none" w:sz="0" w:space="0" w:color="auto"/>
        <w:left w:val="none" w:sz="0" w:space="0" w:color="auto"/>
        <w:bottom w:val="none" w:sz="0" w:space="0" w:color="auto"/>
        <w:right w:val="none" w:sz="0" w:space="0" w:color="auto"/>
      </w:divBdr>
    </w:div>
    <w:div w:id="21440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whitehouse.gov/sites/default/files/docs/le_equipment_wg_final_report_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skcsid@fema.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DCPD-201500033/pdf/DCPD-20150003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whitehouse.gov/the-press-office/2015/02/15/presidential-memorandum-promoting-economic-competitiveness-while-safegu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bja.gov/programs/Controlled-Equipment-Standar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BC38-0D5F-4438-99E5-64540944D243}">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038FAC7-8754-4E8B-B576-E0C4430ECB30}">
  <ds:schemaRefs>
    <ds:schemaRef ds:uri="http://schemas.microsoft.com/sharepoint/v3/contenttype/forms"/>
  </ds:schemaRefs>
</ds:datastoreItem>
</file>

<file path=customXml/itemProps3.xml><?xml version="1.0" encoding="utf-8"?>
<ds:datastoreItem xmlns:ds="http://schemas.openxmlformats.org/officeDocument/2006/customXml" ds:itemID="{654DF7C3-2764-4FB1-9D41-09BAE7D63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58885E-8C4D-43FD-9D10-40C07230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2978</Words>
  <Characters>18334</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July 7, 2009</vt:lpstr>
    </vt:vector>
  </TitlesOfParts>
  <Company>Department of Homeland Security</Company>
  <LinksUpToDate>false</LinksUpToDate>
  <CharactersWithSpaces>21270</CharactersWithSpaces>
  <SharedDoc>false</SharedDoc>
  <HLinks>
    <vt:vector size="6" baseType="variant">
      <vt:variant>
        <vt:i4>3473424</vt:i4>
      </vt:variant>
      <vt:variant>
        <vt:i4>0</vt:i4>
      </vt:variant>
      <vt:variant>
        <vt:i4>0</vt:i4>
      </vt:variant>
      <vt:variant>
        <vt:i4>5</vt:i4>
      </vt:variant>
      <vt:variant>
        <vt:lpwstr>mailto:askcsid@fema.gov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7, 2009</dc:title>
  <dc:creator>klilac</dc:creator>
  <cp:lastModifiedBy>Greene, Sherina</cp:lastModifiedBy>
  <cp:revision>2</cp:revision>
  <cp:lastPrinted>2016-01-06T18:31:00Z</cp:lastPrinted>
  <dcterms:created xsi:type="dcterms:W3CDTF">2016-02-03T20:52:00Z</dcterms:created>
  <dcterms:modified xsi:type="dcterms:W3CDTF">2016-02-03T20:52:00Z</dcterms:modified>
</cp:coreProperties>
</file>