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AE6" w:rsidRPr="000A1AC8" w:rsidRDefault="00CA6AE6" w:rsidP="00AE34E0">
      <w:pPr>
        <w:pStyle w:val="Title"/>
        <w:ind w:right="-480"/>
        <w:rPr>
          <w:rFonts w:ascii="Times New Roman" w:hAnsi="Times New Roman"/>
          <w:b/>
          <w:bCs/>
          <w:szCs w:val="24"/>
        </w:rPr>
      </w:pPr>
      <w:bookmarkStart w:id="0" w:name="_GoBack"/>
      <w:bookmarkEnd w:id="0"/>
      <w:r w:rsidRPr="000A1AC8">
        <w:rPr>
          <w:rFonts w:ascii="Times New Roman" w:hAnsi="Times New Roman"/>
          <w:b/>
          <w:bCs/>
          <w:szCs w:val="24"/>
        </w:rPr>
        <w:t>Supporting Statement for</w:t>
      </w:r>
    </w:p>
    <w:p w:rsidR="00CA6AE6" w:rsidRDefault="00CA6AE6" w:rsidP="00AE34E0">
      <w:pPr>
        <w:ind w:right="-480"/>
        <w:jc w:val="center"/>
        <w:rPr>
          <w:b/>
          <w:bCs/>
        </w:rPr>
      </w:pPr>
      <w:r w:rsidRPr="000A1AC8">
        <w:rPr>
          <w:b/>
          <w:bCs/>
        </w:rPr>
        <w:t xml:space="preserve">Consolidated Reports of Condition and Income </w:t>
      </w:r>
    </w:p>
    <w:p w:rsidR="00CA6AE6" w:rsidRPr="000A1AC8" w:rsidRDefault="00CA6AE6" w:rsidP="00AE34E0">
      <w:pPr>
        <w:ind w:right="-480"/>
        <w:jc w:val="center"/>
        <w:rPr>
          <w:b/>
          <w:bCs/>
        </w:rPr>
      </w:pPr>
      <w:r w:rsidRPr="000A1AC8">
        <w:rPr>
          <w:b/>
          <w:bCs/>
        </w:rPr>
        <w:t>(Interagency Call Report)</w:t>
      </w:r>
    </w:p>
    <w:p w:rsidR="00CA6AE6" w:rsidRPr="000A1AC8" w:rsidRDefault="00CA6AE6" w:rsidP="00AE34E0">
      <w:pPr>
        <w:ind w:right="-480"/>
        <w:jc w:val="center"/>
        <w:rPr>
          <w:b/>
          <w:bCs/>
        </w:rPr>
      </w:pPr>
      <w:r w:rsidRPr="000A1AC8">
        <w:rPr>
          <w:b/>
          <w:bCs/>
        </w:rPr>
        <w:t>OMB Control No. 1557-0081</w:t>
      </w:r>
    </w:p>
    <w:p w:rsidR="00CA6AE6" w:rsidRDefault="00CA6AE6" w:rsidP="00AE34E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rsidR="00CA6AE6" w:rsidRDefault="00CA6AE6" w:rsidP="00AE34E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720"/>
        <w:rPr>
          <w:rFonts w:ascii="Times New Roman" w:hAnsi="Times New Roman"/>
          <w:sz w:val="24"/>
        </w:rPr>
      </w:pPr>
    </w:p>
    <w:p w:rsidR="00CA6AE6" w:rsidRPr="0057093A" w:rsidRDefault="00CA6AE6" w:rsidP="00AE34E0">
      <w:pPr>
        <w:rPr>
          <w:color w:val="000000"/>
          <w:szCs w:val="20"/>
        </w:rPr>
      </w:pPr>
      <w:r w:rsidRPr="0057093A">
        <w:rPr>
          <w:color w:val="000000"/>
          <w:szCs w:val="20"/>
        </w:rPr>
        <w:t>A.</w:t>
      </w:r>
      <w:r w:rsidRPr="0057093A">
        <w:rPr>
          <w:color w:val="000000"/>
          <w:szCs w:val="20"/>
        </w:rPr>
        <w:tab/>
      </w:r>
      <w:r w:rsidRPr="0057093A">
        <w:rPr>
          <w:color w:val="000000"/>
          <w:szCs w:val="20"/>
          <w:u w:val="single"/>
        </w:rPr>
        <w:t>JUSTIFICATION</w:t>
      </w:r>
    </w:p>
    <w:p w:rsidR="00CA6AE6" w:rsidRPr="0057093A" w:rsidRDefault="00CA6AE6" w:rsidP="00AE34E0">
      <w:pPr>
        <w:tabs>
          <w:tab w:val="left" w:pos="432"/>
          <w:tab w:val="left" w:pos="1296"/>
          <w:tab w:val="left" w:pos="1728"/>
          <w:tab w:val="left" w:pos="4176"/>
        </w:tabs>
        <w:ind w:left="432" w:hanging="432"/>
        <w:rPr>
          <w:color w:val="000000"/>
          <w:szCs w:val="20"/>
        </w:rPr>
      </w:pPr>
    </w:p>
    <w:p w:rsidR="00CA6AE6" w:rsidRDefault="00CA6AE6" w:rsidP="00AE34E0">
      <w:pPr>
        <w:numPr>
          <w:ilvl w:val="0"/>
          <w:numId w:val="5"/>
        </w:numPr>
        <w:tabs>
          <w:tab w:val="left" w:pos="432"/>
          <w:tab w:val="left" w:pos="1728"/>
          <w:tab w:val="left" w:pos="4176"/>
        </w:tabs>
        <w:ind w:left="432" w:hanging="432"/>
        <w:rPr>
          <w:color w:val="000000"/>
          <w:szCs w:val="20"/>
          <w:u w:val="single"/>
        </w:rPr>
      </w:pPr>
      <w:r w:rsidRPr="0057093A">
        <w:rPr>
          <w:color w:val="000000"/>
          <w:szCs w:val="20"/>
          <w:u w:val="single"/>
        </w:rPr>
        <w:t>Circumstances and Need</w:t>
      </w:r>
    </w:p>
    <w:p w:rsidR="00A45144" w:rsidRDefault="00A45144" w:rsidP="00AE34E0">
      <w:pPr>
        <w:tabs>
          <w:tab w:val="left" w:pos="432"/>
          <w:tab w:val="left" w:pos="1728"/>
          <w:tab w:val="left" w:pos="4176"/>
        </w:tabs>
        <w:rPr>
          <w:color w:val="000000"/>
          <w:szCs w:val="20"/>
          <w:u w:val="single"/>
        </w:rPr>
      </w:pPr>
    </w:p>
    <w:p w:rsidR="00DD3684" w:rsidRDefault="00A45144" w:rsidP="000D3228">
      <w:pPr>
        <w:tabs>
          <w:tab w:val="left" w:pos="432"/>
          <w:tab w:val="left" w:pos="720"/>
          <w:tab w:val="left" w:pos="1728"/>
          <w:tab w:val="left" w:pos="4176"/>
        </w:tabs>
      </w:pPr>
      <w:r>
        <w:tab/>
        <w:t xml:space="preserve">    </w:t>
      </w:r>
      <w:r w:rsidRPr="001212C3">
        <w:t xml:space="preserve">Institutions submit </w:t>
      </w:r>
      <w:r w:rsidR="000F15CC">
        <w:t>Consolidated Reports of Condition and Income (</w:t>
      </w:r>
      <w:r w:rsidRPr="001212C3">
        <w:t>Call Report</w:t>
      </w:r>
      <w:r w:rsidR="000F15CC">
        <w:t>)</w:t>
      </w:r>
      <w:r w:rsidRPr="001212C3">
        <w:t xml:space="preserve"> data to the agencies each quarter for the agencies’ use in monitoring the condition, performance, and risk profile of individual institutions and the industry as a whole.  Call Report data provide the most current statistical data available for evaluating institutions</w:t>
      </w:r>
      <w:r w:rsidRPr="001212C3">
        <w:rPr>
          <w:color w:val="000000"/>
        </w:rPr>
        <w:t>’</w:t>
      </w:r>
      <w:r w:rsidRPr="001212C3">
        <w:t xml:space="preserve"> corporate applications, identifying areas of focus for on-site and off-site examinations, and monetary and other public policy purposes.  The agencies use Call</w:t>
      </w:r>
      <w:r>
        <w:t> </w:t>
      </w:r>
      <w:r w:rsidRPr="001212C3">
        <w:t xml:space="preserve">Report </w:t>
      </w:r>
      <w:r>
        <w:t>d</w:t>
      </w:r>
      <w:r w:rsidRPr="001212C3">
        <w:t xml:space="preserve">ata in evaluating interstate merger and acquisition applications to determine, as required by law, whether the resulting institution would control more than </w:t>
      </w:r>
      <w:r>
        <w:t>ten</w:t>
      </w:r>
      <w:r w:rsidRPr="001212C3">
        <w:t xml:space="preserve"> percent of the total amount of deposits of insured depository institutions in the United States.</w:t>
      </w:r>
      <w:r>
        <w:t xml:space="preserve">  </w:t>
      </w:r>
      <w:r w:rsidRPr="001212C3">
        <w:t xml:space="preserve">Call Report data </w:t>
      </w:r>
      <w:r>
        <w:t xml:space="preserve">are </w:t>
      </w:r>
      <w:r w:rsidR="00320518">
        <w:t xml:space="preserve">also </w:t>
      </w:r>
      <w:r w:rsidRPr="001212C3">
        <w:t>used to calculate institutions</w:t>
      </w:r>
      <w:r w:rsidRPr="001212C3">
        <w:rPr>
          <w:color w:val="000000"/>
        </w:rPr>
        <w:t>’</w:t>
      </w:r>
      <w:r w:rsidRPr="001212C3">
        <w:t xml:space="preserve"> deposit insurance and Financing Corporation assessments</w:t>
      </w:r>
      <w:r>
        <w:t xml:space="preserve"> and </w:t>
      </w:r>
      <w:r w:rsidRPr="001212C3">
        <w:t xml:space="preserve">national banks’ </w:t>
      </w:r>
      <w:r>
        <w:t xml:space="preserve">and federal savings associations’ </w:t>
      </w:r>
      <w:r w:rsidRPr="001212C3">
        <w:t>semiannual</w:t>
      </w:r>
      <w:r>
        <w:t xml:space="preserve"> </w:t>
      </w:r>
      <w:r w:rsidRPr="001212C3">
        <w:t>assessment fees</w:t>
      </w:r>
      <w:r w:rsidRPr="000F373C">
        <w:t>.</w:t>
      </w:r>
      <w:r w:rsidR="00DD3684" w:rsidRPr="00A60F2B">
        <w:t xml:space="preserve"> </w:t>
      </w:r>
    </w:p>
    <w:p w:rsidR="000A457D" w:rsidRDefault="000A457D" w:rsidP="000D3228">
      <w:pPr>
        <w:tabs>
          <w:tab w:val="left" w:pos="432"/>
          <w:tab w:val="left" w:pos="720"/>
          <w:tab w:val="left" w:pos="1728"/>
          <w:tab w:val="left" w:pos="4176"/>
        </w:tabs>
      </w:pPr>
    </w:p>
    <w:p w:rsidR="000A457D" w:rsidRPr="000D3228" w:rsidRDefault="000A457D" w:rsidP="003206CB">
      <w:pPr>
        <w:tabs>
          <w:tab w:val="left" w:pos="432"/>
          <w:tab w:val="left" w:pos="720"/>
          <w:tab w:val="left" w:pos="1728"/>
          <w:tab w:val="left" w:pos="4176"/>
        </w:tabs>
        <w:rPr>
          <w:color w:val="000000"/>
          <w:szCs w:val="20"/>
          <w:u w:val="single"/>
        </w:rPr>
      </w:pPr>
      <w:r>
        <w:tab/>
      </w:r>
      <w:r w:rsidR="003206CB">
        <w:t xml:space="preserve">    </w:t>
      </w:r>
      <w:r>
        <w:t>The agencies are making changes</w:t>
      </w:r>
      <w:r w:rsidRPr="00A60F2B">
        <w:t xml:space="preserve"> to </w:t>
      </w:r>
      <w:r w:rsidR="000F15CC">
        <w:t>various sections of the Call Report to eliminate data items that are no longer relevant. The agencies also proposed to raise the reporting threshold for some additional data items, so that smaller institutions would no longer need to submit those data items. The agencies also proposed changes to revise deposit data to correspond with the recently increased deposit insurance limit of $250,000, and to add collection of the Legal Entity Identifier from institutions that had previously obtained one. The proposed changes would take effect for either the December 31, 2016 Call Report or the March 31, 2017 Call Report, depending on the nature of the item</w:t>
      </w:r>
      <w:r w:rsidRPr="00131A2A">
        <w:t>.</w:t>
      </w:r>
      <w:r w:rsidRPr="00A60F2B">
        <w:t xml:space="preserve">  </w:t>
      </w:r>
    </w:p>
    <w:p w:rsidR="002B641E" w:rsidRDefault="002B641E" w:rsidP="00AE34E0">
      <w:pPr>
        <w:pStyle w:val="Preformatted"/>
        <w:tabs>
          <w:tab w:val="clear" w:pos="959"/>
          <w:tab w:val="clear" w:pos="1918"/>
          <w:tab w:val="clear" w:pos="2877"/>
          <w:tab w:val="clear" w:pos="3836"/>
          <w:tab w:val="clear" w:pos="4795"/>
          <w:tab w:val="clear" w:pos="5754"/>
          <w:tab w:val="clear" w:pos="6713"/>
          <w:tab w:val="clear" w:pos="7672"/>
          <w:tab w:val="clear" w:pos="8631"/>
          <w:tab w:val="clear" w:pos="9590"/>
          <w:tab w:val="left" w:pos="1296"/>
          <w:tab w:val="left" w:pos="1728"/>
          <w:tab w:val="left" w:pos="4176"/>
        </w:tabs>
        <w:rPr>
          <w:rFonts w:ascii="Times New Roman" w:hAnsi="Times New Roman"/>
          <w:color w:val="000000"/>
          <w:sz w:val="24"/>
          <w:szCs w:val="24"/>
        </w:rPr>
      </w:pPr>
    </w:p>
    <w:p w:rsidR="0086663A" w:rsidRPr="00F25659" w:rsidRDefault="00CA6AE6" w:rsidP="00AE34E0">
      <w:pPr>
        <w:pStyle w:val="Preformatted"/>
        <w:tabs>
          <w:tab w:val="clear" w:pos="959"/>
          <w:tab w:val="clear" w:pos="1918"/>
          <w:tab w:val="clear" w:pos="2877"/>
          <w:tab w:val="clear" w:pos="3836"/>
          <w:tab w:val="clear" w:pos="4795"/>
          <w:tab w:val="clear" w:pos="5754"/>
          <w:tab w:val="clear" w:pos="6713"/>
          <w:tab w:val="clear" w:pos="7672"/>
          <w:tab w:val="clear" w:pos="8631"/>
          <w:tab w:val="clear" w:pos="9590"/>
          <w:tab w:val="left" w:pos="1296"/>
          <w:tab w:val="left" w:pos="1728"/>
          <w:tab w:val="left" w:pos="4176"/>
        </w:tabs>
        <w:rPr>
          <w:rFonts w:ascii="Times New Roman" w:hAnsi="Times New Roman"/>
          <w:color w:val="000000"/>
          <w:sz w:val="24"/>
          <w:szCs w:val="24"/>
          <w:u w:val="single"/>
        </w:rPr>
      </w:pPr>
      <w:r w:rsidRPr="00F25659">
        <w:rPr>
          <w:rFonts w:ascii="Times New Roman" w:hAnsi="Times New Roman"/>
          <w:color w:val="000000"/>
          <w:sz w:val="24"/>
          <w:szCs w:val="24"/>
        </w:rPr>
        <w:t>2.</w:t>
      </w:r>
      <w:r w:rsidR="00A34FBA" w:rsidRPr="00F25659">
        <w:rPr>
          <w:rFonts w:ascii="Times New Roman" w:hAnsi="Times New Roman"/>
          <w:color w:val="000000"/>
          <w:sz w:val="24"/>
          <w:szCs w:val="24"/>
        </w:rPr>
        <w:t xml:space="preserve">    </w:t>
      </w:r>
      <w:r w:rsidRPr="00F25659">
        <w:rPr>
          <w:rFonts w:ascii="Times New Roman" w:hAnsi="Times New Roman"/>
          <w:color w:val="000000"/>
          <w:sz w:val="24"/>
          <w:szCs w:val="24"/>
          <w:u w:val="single"/>
        </w:rPr>
        <w:t>Use of Information Collected</w:t>
      </w:r>
    </w:p>
    <w:p w:rsidR="0086663A" w:rsidRPr="00F25659" w:rsidRDefault="0086663A" w:rsidP="00AE34E0">
      <w:pPr>
        <w:pStyle w:val="Preformatted"/>
        <w:tabs>
          <w:tab w:val="clear" w:pos="959"/>
          <w:tab w:val="clear" w:pos="1918"/>
          <w:tab w:val="clear" w:pos="2877"/>
          <w:tab w:val="clear" w:pos="3836"/>
          <w:tab w:val="clear" w:pos="4795"/>
          <w:tab w:val="clear" w:pos="5754"/>
          <w:tab w:val="clear" w:pos="6713"/>
          <w:tab w:val="clear" w:pos="7672"/>
          <w:tab w:val="clear" w:pos="8631"/>
          <w:tab w:val="clear" w:pos="9590"/>
          <w:tab w:val="left" w:pos="1296"/>
          <w:tab w:val="left" w:pos="1728"/>
          <w:tab w:val="left" w:pos="4176"/>
        </w:tabs>
        <w:rPr>
          <w:rFonts w:ascii="Times New Roman" w:hAnsi="Times New Roman"/>
          <w:color w:val="000000"/>
          <w:sz w:val="24"/>
          <w:szCs w:val="24"/>
          <w:u w:val="single"/>
        </w:rPr>
      </w:pPr>
    </w:p>
    <w:p w:rsidR="003206CB" w:rsidRPr="0098622E" w:rsidRDefault="003206CB" w:rsidP="003206CB">
      <w:pPr>
        <w:pStyle w:val="HTMLPreformatted"/>
        <w:tabs>
          <w:tab w:val="left" w:pos="720"/>
        </w:tabs>
        <w:rPr>
          <w:rFonts w:ascii="Times New Roman" w:hAnsi="Times New Roman" w:cs="Times New Roman"/>
          <w:sz w:val="24"/>
          <w:szCs w:val="24"/>
        </w:rPr>
      </w:pPr>
      <w:r>
        <w:rPr>
          <w:rFonts w:ascii="Times New Roman" w:hAnsi="Times New Roman" w:cs="Times New Roman"/>
          <w:sz w:val="24"/>
          <w:szCs w:val="24"/>
        </w:rPr>
        <w:t xml:space="preserve">          </w:t>
      </w:r>
      <w:r w:rsidR="0098622E" w:rsidRPr="0098622E">
        <w:rPr>
          <w:rFonts w:ascii="Times New Roman" w:hAnsi="Times New Roman" w:cs="Times New Roman"/>
          <w:sz w:val="24"/>
          <w:szCs w:val="24"/>
        </w:rPr>
        <w:t>Institutions submit Consolidated Reports of Condition and Income (Call Report) data to the agencies each quarter for the agencies’ use in monitoring the condition, performance, and risk profile of individual institutions and the industry as a whole.  Call Report data provide the most current statistical data available for evaluating institutions</w:t>
      </w:r>
      <w:r w:rsidR="0098622E" w:rsidRPr="0098622E">
        <w:rPr>
          <w:rFonts w:ascii="Times New Roman" w:hAnsi="Times New Roman" w:cs="Times New Roman"/>
          <w:color w:val="000000"/>
          <w:sz w:val="24"/>
          <w:szCs w:val="24"/>
        </w:rPr>
        <w:t>’</w:t>
      </w:r>
      <w:r w:rsidR="0098622E" w:rsidRPr="0098622E">
        <w:rPr>
          <w:rFonts w:ascii="Times New Roman" w:hAnsi="Times New Roman" w:cs="Times New Roman"/>
          <w:sz w:val="24"/>
          <w:szCs w:val="24"/>
        </w:rPr>
        <w:t xml:space="preserve"> corporate applications, identifying areas of focus for on-site and off-site examinations, and monetary and other public policy purposes.  The agencies use Call Report data in evaluating interstate merger and acquisition applications to determine, as required by law, whether the resulting institution would control more than ten percent of the total amount of deposits of insured depository institutions in the United States.  Call Report data are also used to calculate institutions</w:t>
      </w:r>
      <w:r w:rsidR="0098622E" w:rsidRPr="0098622E">
        <w:rPr>
          <w:rFonts w:ascii="Times New Roman" w:hAnsi="Times New Roman" w:cs="Times New Roman"/>
          <w:color w:val="000000"/>
          <w:sz w:val="24"/>
          <w:szCs w:val="24"/>
        </w:rPr>
        <w:t>’</w:t>
      </w:r>
      <w:r w:rsidR="0098622E" w:rsidRPr="0098622E">
        <w:rPr>
          <w:rFonts w:ascii="Times New Roman" w:hAnsi="Times New Roman" w:cs="Times New Roman"/>
          <w:sz w:val="24"/>
          <w:szCs w:val="24"/>
        </w:rPr>
        <w:t xml:space="preserve"> deposit insurance and Financing Corporation assessments and national banks’ and federal savings associations’ semiannual assessment fees.</w:t>
      </w:r>
    </w:p>
    <w:p w:rsidR="003206CB" w:rsidRPr="003206CB" w:rsidRDefault="003206CB" w:rsidP="003206CB">
      <w:pPr>
        <w:pStyle w:val="HTMLPreformatted"/>
        <w:rPr>
          <w:rFonts w:ascii="Times New Roman" w:hAnsi="Times New Roman" w:cs="Times New Roman"/>
          <w:sz w:val="24"/>
          <w:szCs w:val="24"/>
        </w:rPr>
      </w:pPr>
    </w:p>
    <w:p w:rsidR="00CA6AE6" w:rsidRPr="00F25659" w:rsidRDefault="00CA6AE6" w:rsidP="0098622E">
      <w:pPr>
        <w:pStyle w:val="HTMLPreformatted"/>
        <w:tabs>
          <w:tab w:val="left" w:pos="720"/>
        </w:tabs>
        <w:rPr>
          <w:rFonts w:ascii="Times New Roman" w:hAnsi="Times New Roman" w:cs="Times New Roman"/>
          <w:color w:val="000000"/>
          <w:sz w:val="24"/>
          <w:szCs w:val="24"/>
        </w:rPr>
      </w:pPr>
      <w:r w:rsidRPr="00F25659">
        <w:rPr>
          <w:rFonts w:ascii="Times New Roman" w:hAnsi="Times New Roman" w:cs="Times New Roman"/>
          <w:color w:val="000000"/>
          <w:sz w:val="24"/>
          <w:szCs w:val="24"/>
        </w:rPr>
        <w:t>3.</w:t>
      </w:r>
      <w:r w:rsidR="00AB120E" w:rsidRPr="00F25659">
        <w:rPr>
          <w:rFonts w:ascii="Times New Roman" w:hAnsi="Times New Roman" w:cs="Times New Roman"/>
          <w:color w:val="000000"/>
          <w:sz w:val="24"/>
          <w:szCs w:val="24"/>
        </w:rPr>
        <w:t xml:space="preserve">    </w:t>
      </w:r>
      <w:r w:rsidRPr="00F25659">
        <w:rPr>
          <w:rFonts w:ascii="Times New Roman" w:hAnsi="Times New Roman" w:cs="Times New Roman"/>
          <w:color w:val="000000"/>
          <w:sz w:val="24"/>
          <w:szCs w:val="24"/>
          <w:u w:val="single"/>
        </w:rPr>
        <w:t xml:space="preserve">Use of Technology to Reduce Burden </w:t>
      </w:r>
    </w:p>
    <w:p w:rsidR="00CA6AE6" w:rsidRPr="00F25659" w:rsidRDefault="00CA6AE6" w:rsidP="00AE34E0">
      <w:pPr>
        <w:rPr>
          <w:color w:val="000000"/>
          <w:szCs w:val="20"/>
        </w:rPr>
      </w:pPr>
    </w:p>
    <w:p w:rsidR="00CA6AE6" w:rsidRPr="00F25659" w:rsidRDefault="00CA6AE6" w:rsidP="00AE34E0">
      <w:pPr>
        <w:widowControl w:val="0"/>
        <w:ind w:firstLine="720"/>
        <w:rPr>
          <w:szCs w:val="20"/>
        </w:rPr>
      </w:pPr>
      <w:r w:rsidRPr="00F25659">
        <w:rPr>
          <w:szCs w:val="20"/>
        </w:rPr>
        <w:t>All banks and savings associations are subject to an electronic fili</w:t>
      </w:r>
      <w:r w:rsidR="00784C0B" w:rsidRPr="00F25659">
        <w:rPr>
          <w:szCs w:val="20"/>
        </w:rPr>
        <w:t>ng requirement for Call Reports</w:t>
      </w:r>
      <w:r w:rsidRPr="00F25659">
        <w:rPr>
          <w:szCs w:val="20"/>
        </w:rPr>
        <w:t>.  Institutions may use information technology to the extent feasible to maintain required records.</w:t>
      </w:r>
    </w:p>
    <w:p w:rsidR="00CA6AE6" w:rsidRPr="00F25659" w:rsidRDefault="00CA6AE6" w:rsidP="00AE34E0">
      <w:pPr>
        <w:ind w:left="1296"/>
        <w:rPr>
          <w:color w:val="000000"/>
        </w:rPr>
      </w:pPr>
    </w:p>
    <w:p w:rsidR="00CA6AE6" w:rsidRPr="00F25659" w:rsidRDefault="00CA6AE6" w:rsidP="00AE34E0">
      <w:pPr>
        <w:numPr>
          <w:ilvl w:val="0"/>
          <w:numId w:val="6"/>
        </w:numPr>
        <w:tabs>
          <w:tab w:val="left" w:pos="432"/>
          <w:tab w:val="left" w:pos="1728"/>
          <w:tab w:val="left" w:pos="4176"/>
        </w:tabs>
        <w:ind w:left="432" w:hanging="432"/>
        <w:rPr>
          <w:color w:val="000000"/>
          <w:szCs w:val="20"/>
          <w:u w:val="single"/>
        </w:rPr>
      </w:pPr>
      <w:r w:rsidRPr="00F25659">
        <w:rPr>
          <w:color w:val="000000"/>
          <w:szCs w:val="20"/>
          <w:u w:val="single"/>
        </w:rPr>
        <w:t xml:space="preserve">Efforts to Identify Duplication </w:t>
      </w:r>
    </w:p>
    <w:p w:rsidR="00CA6AE6" w:rsidRPr="00F25659" w:rsidRDefault="00CA6AE6" w:rsidP="00AE34E0">
      <w:pPr>
        <w:ind w:left="432"/>
        <w:rPr>
          <w:color w:val="000000"/>
        </w:rPr>
      </w:pPr>
    </w:p>
    <w:p w:rsidR="00657DEF" w:rsidRPr="00F25659" w:rsidRDefault="00657DEF" w:rsidP="00AE34E0">
      <w:pPr>
        <w:pStyle w:val="BodyText"/>
        <w:ind w:right="-480" w:firstLine="720"/>
      </w:pPr>
      <w:r w:rsidRPr="00F25659">
        <w:t>This information is unique because no other report or a series of reports provides all the Call Report data in a consistent and timely manner.</w:t>
      </w:r>
    </w:p>
    <w:p w:rsidR="00CA6AE6" w:rsidRPr="00F25659" w:rsidRDefault="00CA6AE6" w:rsidP="00AE34E0">
      <w:pPr>
        <w:rPr>
          <w:color w:val="000000"/>
        </w:rPr>
      </w:pPr>
    </w:p>
    <w:p w:rsidR="00CA6AE6" w:rsidRPr="00F25659" w:rsidRDefault="00CA6AE6" w:rsidP="00AE34E0">
      <w:pPr>
        <w:keepNext/>
        <w:numPr>
          <w:ilvl w:val="0"/>
          <w:numId w:val="1"/>
        </w:numPr>
        <w:tabs>
          <w:tab w:val="left" w:pos="432"/>
          <w:tab w:val="left" w:pos="1728"/>
          <w:tab w:val="left" w:pos="4176"/>
        </w:tabs>
        <w:ind w:left="432" w:hanging="432"/>
        <w:rPr>
          <w:color w:val="000000"/>
          <w:szCs w:val="20"/>
          <w:u w:val="single"/>
        </w:rPr>
      </w:pPr>
      <w:r w:rsidRPr="00F25659">
        <w:rPr>
          <w:color w:val="000000"/>
          <w:szCs w:val="20"/>
          <w:u w:val="single"/>
        </w:rPr>
        <w:t>Minimizing the Burden on Small Entities</w:t>
      </w:r>
    </w:p>
    <w:p w:rsidR="00CA6AE6" w:rsidRPr="00F25659" w:rsidRDefault="00CA6AE6" w:rsidP="00AE34E0">
      <w:pPr>
        <w:keepNext/>
        <w:ind w:left="1282"/>
        <w:rPr>
          <w:color w:val="000000"/>
          <w:szCs w:val="20"/>
        </w:rPr>
      </w:pPr>
    </w:p>
    <w:p w:rsidR="00C0119C" w:rsidRPr="00F25659" w:rsidRDefault="00456357" w:rsidP="00AE34E0">
      <w:pPr>
        <w:pStyle w:val="BodyText"/>
        <w:ind w:right="-480" w:firstLine="720"/>
      </w:pPr>
      <w:r>
        <w:t xml:space="preserve">The agencies attempt to limit the information collected to </w:t>
      </w:r>
      <w:r w:rsidR="00C0119C" w:rsidRPr="00F25659">
        <w:t xml:space="preserve">the minimum information needed to evaluate the condition of an institution, regardless of size. </w:t>
      </w:r>
      <w:r w:rsidR="0098622E">
        <w:t>Certain detailed data items in the Call Report are not collected from institutions with assets below a specified threshold, e.g., $1 billion or $300 million.</w:t>
      </w:r>
    </w:p>
    <w:p w:rsidR="004324DE" w:rsidRDefault="004324DE" w:rsidP="00AE34E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color w:val="000000"/>
          <w:szCs w:val="20"/>
        </w:rPr>
      </w:pPr>
    </w:p>
    <w:p w:rsidR="00CA6AE6" w:rsidRPr="00F25659" w:rsidRDefault="00CA6AE6" w:rsidP="00AE34E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color w:val="000000"/>
          <w:szCs w:val="20"/>
          <w:u w:val="single"/>
        </w:rPr>
      </w:pPr>
      <w:r w:rsidRPr="00F25659">
        <w:rPr>
          <w:color w:val="000000"/>
          <w:szCs w:val="20"/>
        </w:rPr>
        <w:t xml:space="preserve">6.  </w:t>
      </w:r>
      <w:r w:rsidRPr="00F25659">
        <w:rPr>
          <w:color w:val="000000"/>
          <w:szCs w:val="20"/>
        </w:rPr>
        <w:tab/>
      </w:r>
      <w:r w:rsidRPr="00F25659">
        <w:rPr>
          <w:color w:val="000000"/>
          <w:szCs w:val="20"/>
          <w:u w:val="single"/>
        </w:rPr>
        <w:t>Consequences of Less Frequent Collection</w:t>
      </w:r>
    </w:p>
    <w:p w:rsidR="00CA6AE6" w:rsidRPr="00F25659" w:rsidRDefault="00CA6AE6" w:rsidP="00AE34E0">
      <w:pPr>
        <w:widowControl w:val="0"/>
        <w:ind w:left="1282" w:hanging="850"/>
        <w:rPr>
          <w:szCs w:val="20"/>
        </w:rPr>
      </w:pPr>
    </w:p>
    <w:p w:rsidR="009872D2" w:rsidRPr="00F25659" w:rsidRDefault="00D16310" w:rsidP="002A25A0">
      <w:pPr>
        <w:pStyle w:val="BodyText"/>
        <w:ind w:right="-480" w:firstLine="720"/>
      </w:pPr>
      <w:r w:rsidRPr="00F25659">
        <w:t>The Federal financial regulatory agencies must have condition and income data at least quarterly to properly monitor individual bank and industry trends</w:t>
      </w:r>
      <w:r w:rsidR="00456357">
        <w:t xml:space="preserve"> and to comply with </w:t>
      </w:r>
      <w:r w:rsidR="005D738A">
        <w:t xml:space="preserve">a </w:t>
      </w:r>
      <w:r w:rsidR="00456357">
        <w:t xml:space="preserve">statutory requirement to obtain </w:t>
      </w:r>
      <w:r w:rsidR="005D738A">
        <w:t>four reports of condition per year. 12 U.S.C. § 1817(a)(3)</w:t>
      </w:r>
      <w:r w:rsidRPr="00F25659">
        <w:t xml:space="preserve">.  Less frequent collection of this information would impair the agencies' ability to monitor financial institutions and could delay regulatory response. </w:t>
      </w:r>
    </w:p>
    <w:p w:rsidR="004324DE" w:rsidRDefault="004324DE" w:rsidP="002A25A0">
      <w:pPr>
        <w:tabs>
          <w:tab w:val="left" w:pos="432"/>
          <w:tab w:val="left" w:pos="1296"/>
          <w:tab w:val="left" w:pos="1728"/>
          <w:tab w:val="left" w:pos="4176"/>
        </w:tabs>
        <w:ind w:left="432" w:hanging="432"/>
        <w:rPr>
          <w:color w:val="000000"/>
          <w:szCs w:val="20"/>
        </w:rPr>
      </w:pPr>
    </w:p>
    <w:p w:rsidR="00CA6AE6" w:rsidRPr="00F25659" w:rsidRDefault="00CA6AE6" w:rsidP="002A25A0">
      <w:pPr>
        <w:tabs>
          <w:tab w:val="left" w:pos="432"/>
          <w:tab w:val="left" w:pos="1296"/>
          <w:tab w:val="left" w:pos="1728"/>
          <w:tab w:val="left" w:pos="4176"/>
        </w:tabs>
        <w:ind w:left="432" w:hanging="432"/>
        <w:rPr>
          <w:color w:val="000000"/>
          <w:szCs w:val="20"/>
        </w:rPr>
      </w:pPr>
      <w:r w:rsidRPr="00F25659">
        <w:rPr>
          <w:color w:val="000000"/>
          <w:szCs w:val="20"/>
        </w:rPr>
        <w:t>7.</w:t>
      </w:r>
      <w:r w:rsidRPr="00F25659">
        <w:rPr>
          <w:color w:val="000000"/>
          <w:szCs w:val="20"/>
        </w:rPr>
        <w:tab/>
      </w:r>
      <w:r w:rsidRPr="00F25659">
        <w:rPr>
          <w:color w:val="000000"/>
          <w:szCs w:val="20"/>
          <w:u w:val="single"/>
        </w:rPr>
        <w:t>Special Circumstances</w:t>
      </w:r>
    </w:p>
    <w:p w:rsidR="00CA6AE6" w:rsidRPr="00F25659" w:rsidRDefault="00CA6AE6" w:rsidP="002A25A0">
      <w:pPr>
        <w:rPr>
          <w:color w:val="000000"/>
          <w:szCs w:val="20"/>
        </w:rPr>
      </w:pPr>
    </w:p>
    <w:p w:rsidR="00CA6AE6" w:rsidRPr="00F25659" w:rsidRDefault="00CA6AE6" w:rsidP="002A25A0">
      <w:pPr>
        <w:ind w:firstLine="720"/>
        <w:rPr>
          <w:color w:val="000000"/>
          <w:szCs w:val="20"/>
        </w:rPr>
      </w:pPr>
      <w:r w:rsidRPr="00F25659">
        <w:rPr>
          <w:color w:val="000000"/>
          <w:szCs w:val="20"/>
        </w:rPr>
        <w:t xml:space="preserve">There are no special circumstances.  </w:t>
      </w:r>
    </w:p>
    <w:p w:rsidR="00CA6AE6" w:rsidRPr="00F25659" w:rsidRDefault="00CA6AE6" w:rsidP="002A25A0">
      <w:pPr>
        <w:rPr>
          <w:color w:val="000000"/>
          <w:szCs w:val="20"/>
        </w:rPr>
      </w:pPr>
    </w:p>
    <w:p w:rsidR="00CA6AE6" w:rsidRPr="0057093A" w:rsidRDefault="00CA6AE6" w:rsidP="002A25A0">
      <w:pPr>
        <w:tabs>
          <w:tab w:val="left" w:pos="432"/>
          <w:tab w:val="left" w:pos="1296"/>
          <w:tab w:val="left" w:pos="1728"/>
          <w:tab w:val="left" w:pos="4176"/>
        </w:tabs>
        <w:ind w:left="432" w:hanging="432"/>
        <w:rPr>
          <w:color w:val="000000"/>
          <w:szCs w:val="20"/>
        </w:rPr>
      </w:pPr>
      <w:r w:rsidRPr="0057093A">
        <w:rPr>
          <w:color w:val="000000"/>
          <w:szCs w:val="20"/>
        </w:rPr>
        <w:t>8.</w:t>
      </w:r>
      <w:r w:rsidRPr="0057093A">
        <w:rPr>
          <w:color w:val="000000"/>
          <w:szCs w:val="20"/>
        </w:rPr>
        <w:tab/>
      </w:r>
      <w:r w:rsidRPr="0057093A">
        <w:rPr>
          <w:color w:val="000000"/>
          <w:szCs w:val="20"/>
          <w:u w:val="single"/>
        </w:rPr>
        <w:t xml:space="preserve">Consultation with Persons Outside the </w:t>
      </w:r>
      <w:r>
        <w:rPr>
          <w:color w:val="000000"/>
          <w:szCs w:val="20"/>
          <w:u w:val="single"/>
        </w:rPr>
        <w:t>OCC</w:t>
      </w:r>
    </w:p>
    <w:p w:rsidR="00F11281" w:rsidRPr="00736455" w:rsidRDefault="00F11281" w:rsidP="002A25A0">
      <w:pPr>
        <w:pStyle w:val="ListParagraph"/>
        <w:ind w:left="0" w:firstLine="720"/>
      </w:pPr>
    </w:p>
    <w:p w:rsidR="002A25A0" w:rsidRDefault="002A25A0" w:rsidP="002A25A0">
      <w:pPr>
        <w:ind w:firstLine="720"/>
      </w:pPr>
      <w:r w:rsidRPr="00A60F2B">
        <w:t xml:space="preserve">On </w:t>
      </w:r>
      <w:r w:rsidR="0098622E">
        <w:t>September 18, 2015</w:t>
      </w:r>
      <w:r w:rsidRPr="00A60F2B">
        <w:t xml:space="preserve">, the agencies requested comment on proposed revisions to </w:t>
      </w:r>
      <w:r w:rsidR="0098622E">
        <w:t xml:space="preserve">the Call Report. </w:t>
      </w:r>
      <w:r w:rsidRPr="00A60F2B">
        <w:t xml:space="preserve">The revisions would become effective for </w:t>
      </w:r>
      <w:r w:rsidR="0098622E">
        <w:t>either the December 31, 2016 or March 31, 2017</w:t>
      </w:r>
      <w:r>
        <w:t>,</w:t>
      </w:r>
      <w:r w:rsidRPr="00A60F2B">
        <w:t xml:space="preserve"> report date</w:t>
      </w:r>
      <w:r>
        <w:t>.</w:t>
      </w:r>
      <w:r w:rsidRPr="00A60F2B">
        <w:t xml:space="preserve"> </w:t>
      </w:r>
    </w:p>
    <w:p w:rsidR="002A25A0" w:rsidRPr="00A60F2B" w:rsidRDefault="002A25A0" w:rsidP="002A25A0">
      <w:pPr>
        <w:ind w:firstLine="720"/>
      </w:pPr>
    </w:p>
    <w:p w:rsidR="00D156AD" w:rsidRDefault="002A25A0" w:rsidP="004707AE">
      <w:pPr>
        <w:ind w:firstLine="720"/>
      </w:pPr>
      <w:r w:rsidRPr="00A60F2B">
        <w:t xml:space="preserve">The agencies collectively received comments on the proposal from </w:t>
      </w:r>
      <w:r w:rsidR="0098622E">
        <w:t>13</w:t>
      </w:r>
      <w:r w:rsidRPr="00A60F2B">
        <w:t xml:space="preserve"> entities.  </w:t>
      </w:r>
      <w:r w:rsidR="004707AE">
        <w:t>The commenters generally supported the agencies’ decision to propose items for deletion, raise the threshold for other data items, and make other changes to reduce the burden of the Call Report, particularly for small institutions. The commenters also suggested some modifications to two items relating to home equity lines of credit and the fair value option for liabilities. Based on that feedback, the agencies decided to withdraw revisions to those items and will provide clarification in the instructions.</w:t>
      </w:r>
    </w:p>
    <w:p w:rsidR="00D156AD" w:rsidRDefault="00D156AD" w:rsidP="004707AE">
      <w:pPr>
        <w:ind w:firstLine="720"/>
      </w:pPr>
    </w:p>
    <w:p w:rsidR="00D156AD" w:rsidRPr="00D156AD" w:rsidRDefault="00D156AD" w:rsidP="00D156AD">
      <w:pPr>
        <w:pStyle w:val="Default"/>
        <w:ind w:firstLine="720"/>
      </w:pPr>
      <w:r w:rsidRPr="00D156AD">
        <w:t>One other banking organization provided its recommendation for reducing the information collected in the Call Report, but did not refer to the burden-reduction initiative.</w:t>
      </w:r>
      <w:r>
        <w:t xml:space="preserve"> </w:t>
      </w:r>
      <w:r w:rsidRPr="00D156AD">
        <w:t xml:space="preserve">For </w:t>
      </w:r>
      <w:r w:rsidRPr="00D156AD">
        <w:lastRenderedPageBreak/>
        <w:t>example, one bankers’ association described the FFIEC’s formal initiative as “the right answer” for addressing the increased regulatory burden of the Call Report and commended the FFIEC for its consideration of a less burdensome Call Report for community banks. Another bankers’ association welcomed the agencies’ Call Report streamlining efforts and sought prompt implementation of measures to reduce regulatory burden. The two other bankers’ associations commented favorably on the FFIEC’s recognition of the reporting burden imposed by the Call Report and encouraged the FFIEC to create a less burdensome Call Report for smaller institutions. They also recommended that the Call Report could be streamlined for smaller institutions because they typically do not engage in many of the activities about which data must be reported in the Call Report.</w:t>
      </w:r>
    </w:p>
    <w:p w:rsidR="00D156AD" w:rsidRPr="00D156AD" w:rsidRDefault="00D156AD" w:rsidP="00D156AD"/>
    <w:p w:rsidR="00D156AD" w:rsidRPr="00D156AD" w:rsidRDefault="00D156AD" w:rsidP="00D156AD">
      <w:pPr>
        <w:pStyle w:val="Default"/>
        <w:ind w:firstLine="720"/>
      </w:pPr>
      <w:r w:rsidRPr="00D156AD">
        <w:t xml:space="preserve">The FFIEC’s 2015 Annual Report describes the status of the actions being undertaken in the five areas within the community bank Call Report burden-reduction initiative as of year-end 2015.20 In this regard, the annual report notes that the FFIEC’s Task Force on Reports (TFOR) “reported to the Council in December 2015 on options for proceeding with a less burdensome Call Report for eligible institutions and other Call Report streamlining methods. The additional feedback about sources of Call Report burden and these options from the TFOR’s community banker outreach activities in February 2016 will help inform a subsequent TFOR recommendation to the Council regarding a streamlining proposal for eligible small institutions that can be issued for industry comment in 2016.” Thus, the agencies anticipate that they will publish a proposal later this year that will extend the burden-reducing changes to the Call Report beyond those included in the September 2015 proposal and discussed in this notice. </w:t>
      </w:r>
    </w:p>
    <w:p w:rsidR="00D156AD" w:rsidRPr="00D156AD" w:rsidRDefault="00D156AD" w:rsidP="00D156AD">
      <w:pPr>
        <w:pStyle w:val="Default"/>
      </w:pPr>
    </w:p>
    <w:p w:rsidR="00D156AD" w:rsidRPr="00D156AD" w:rsidRDefault="00D156AD" w:rsidP="00D156AD">
      <w:pPr>
        <w:pStyle w:val="Default"/>
        <w:ind w:firstLine="720"/>
      </w:pPr>
      <w:r w:rsidRPr="00D156AD">
        <w:t xml:space="preserve">Two bankers’ associations presented some additional recommendations to the FFIEC and the agencies in their comments on the September 2015 proposal. These recommendations included establishing “an industry advisory committee to provide the FFIEC with advice and guidance on issues related to FFIEC reports.” As one of the actions under the burden-reduction initiative, the FFIEC and the agencies have committed to pursue industry dialogue regarding Call Report matters such as activities enabling the agencies to better understand the burdensome aspects of the Call Report. This is evidenced by community banker outreach activities with small groups of community bankers that were organized by two bankers’ associations and conducted via conference call meetings in February 2016. The FFIEC and the agencies believe their existing dialogue with the industry, in addition to the opportunity for public participation in the Call Report revision process, allows ample avenues to provide input concerning revisions to FFIEC reports. </w:t>
      </w:r>
    </w:p>
    <w:p w:rsidR="00D156AD" w:rsidRPr="00D156AD" w:rsidRDefault="00D156AD" w:rsidP="00D156AD">
      <w:pPr>
        <w:pStyle w:val="Default"/>
      </w:pPr>
    </w:p>
    <w:p w:rsidR="00D156AD" w:rsidRPr="00D156AD" w:rsidRDefault="00D156AD" w:rsidP="00D156AD">
      <w:pPr>
        <w:pStyle w:val="Default"/>
        <w:ind w:firstLine="720"/>
      </w:pPr>
      <w:r w:rsidRPr="00D156AD">
        <w:t>The two associations also recommended that the FFIEC “work to ensure other required regulatory reporting forms are updated simultaneously,” which they further described as ensuring consistency between definitions and reporting treatments used in the Call Report and in other regulatory reports that institutions file.</w:t>
      </w:r>
      <w:r>
        <w:t xml:space="preserve"> </w:t>
      </w:r>
      <w:r w:rsidRPr="00D156AD">
        <w:t xml:space="preserve">The agencies will seek to be more conscious of relationships between the Call Report requirements and other FFIEC regulatory reports, particularly when considering revisions to the data collected in the Call Report. </w:t>
      </w:r>
    </w:p>
    <w:p w:rsidR="00D156AD" w:rsidRPr="00D156AD" w:rsidRDefault="00D156AD" w:rsidP="00D156AD">
      <w:pPr>
        <w:pStyle w:val="Default"/>
      </w:pPr>
    </w:p>
    <w:p w:rsidR="00D156AD" w:rsidRPr="00D156AD" w:rsidRDefault="00D156AD" w:rsidP="00D156AD">
      <w:pPr>
        <w:ind w:firstLine="720"/>
      </w:pPr>
      <w:r w:rsidRPr="00D156AD">
        <w:t xml:space="preserve">Another recommendation from the two bankers’ associations was for the FFIEC and the agencies to allow sufficient time for institutions to implement any reporting changes. They stated that the proposed effective dates in the September 2015 proposal would not provide sufficient </w:t>
      </w:r>
      <w:r w:rsidRPr="00D156AD">
        <w:lastRenderedPageBreak/>
        <w:t xml:space="preserve">time for implementing the reporting changes. One of the banking organizations expressed a similar concern. The two associations urged the FFIEC and the agencies to implement changes to non-income line items no earlier than a full quarter after the quarter in which the notice requesting OMB approval is published in the </w:t>
      </w:r>
      <w:r w:rsidRPr="00D156AD">
        <w:rPr>
          <w:i/>
          <w:iCs/>
        </w:rPr>
        <w:t>Federal Register</w:t>
      </w:r>
      <w:r w:rsidRPr="00D156AD">
        <w:t>. For data on income and quarterly averages, they suggested that such changes take effect at the beginning of a reporting year.</w:t>
      </w:r>
    </w:p>
    <w:p w:rsidR="00D156AD" w:rsidRPr="00D156AD" w:rsidRDefault="00D156AD" w:rsidP="00D156AD"/>
    <w:p w:rsidR="00D156AD" w:rsidRDefault="00D156AD" w:rsidP="00D156AD">
      <w:pPr>
        <w:ind w:firstLine="720"/>
        <w:rPr>
          <w:color w:val="1F497D"/>
        </w:rPr>
      </w:pPr>
      <w:r w:rsidRPr="00D156AD">
        <w:t xml:space="preserve">In recognition of the impact of the September 2015 proposal on institutions from a systems standpoint, the agencies deferred the effective dates for the reporting changes in that proposal to no earlier than September 30, 2016. As will be discussed below with respect to the implementation of the specific proposed Call Report changes that are the subject of this notice, the agencies have sought to set the effective dates for these changes in a manner consistent with the timing suggested by the two bankers’ associations. To assist institutions in preparing for the reporting changes in this proposal, drafts of the reporting instructions for the new and revised Call Report items will be made available to institutions on the FFIEC’s website when the </w:t>
      </w:r>
      <w:r w:rsidRPr="00D156AD">
        <w:rPr>
          <w:i/>
          <w:iCs/>
        </w:rPr>
        <w:t xml:space="preserve">Federal Register </w:t>
      </w:r>
      <w:r w:rsidRPr="00D156AD">
        <w:t>notice requesting OMB approval is published.</w:t>
      </w:r>
    </w:p>
    <w:p w:rsidR="004707AE" w:rsidRDefault="004707AE" w:rsidP="004707AE">
      <w:pPr>
        <w:ind w:firstLine="720"/>
      </w:pPr>
    </w:p>
    <w:p w:rsidR="00CA6AE6" w:rsidRPr="0057093A" w:rsidRDefault="004707AE" w:rsidP="004707AE">
      <w:pPr>
        <w:ind w:firstLine="720"/>
        <w:rPr>
          <w:color w:val="000000"/>
          <w:szCs w:val="20"/>
        </w:rPr>
      </w:pPr>
      <w:r>
        <w:t xml:space="preserve">9. </w:t>
      </w:r>
      <w:r w:rsidRPr="004707AE">
        <w:rPr>
          <w:u w:val="single"/>
        </w:rPr>
        <w:t>P</w:t>
      </w:r>
      <w:r w:rsidR="00CA6AE6" w:rsidRPr="0057093A">
        <w:rPr>
          <w:color w:val="000000"/>
          <w:szCs w:val="20"/>
          <w:u w:val="single"/>
        </w:rPr>
        <w:t>ayment or Gift to Respondents</w:t>
      </w:r>
    </w:p>
    <w:p w:rsidR="00CA6AE6" w:rsidRPr="0057093A" w:rsidRDefault="00CA6AE6" w:rsidP="00AE34E0">
      <w:pPr>
        <w:tabs>
          <w:tab w:val="left" w:pos="432"/>
          <w:tab w:val="left" w:pos="1296"/>
          <w:tab w:val="left" w:pos="1728"/>
          <w:tab w:val="left" w:pos="4176"/>
        </w:tabs>
        <w:ind w:left="1290"/>
        <w:rPr>
          <w:color w:val="000000"/>
          <w:szCs w:val="20"/>
        </w:rPr>
      </w:pPr>
    </w:p>
    <w:p w:rsidR="00CA6AE6" w:rsidRDefault="00CA6AE6" w:rsidP="00AE34E0">
      <w:pPr>
        <w:tabs>
          <w:tab w:val="left" w:pos="432"/>
          <w:tab w:val="left" w:pos="1296"/>
          <w:tab w:val="left" w:pos="1728"/>
          <w:tab w:val="left" w:pos="4176"/>
        </w:tabs>
        <w:rPr>
          <w:color w:val="000000"/>
          <w:szCs w:val="20"/>
        </w:rPr>
      </w:pPr>
      <w:r>
        <w:rPr>
          <w:color w:val="000000"/>
          <w:szCs w:val="20"/>
        </w:rPr>
        <w:t xml:space="preserve">          </w:t>
      </w:r>
      <w:r w:rsidRPr="0057093A">
        <w:rPr>
          <w:color w:val="000000"/>
          <w:szCs w:val="20"/>
        </w:rPr>
        <w:t xml:space="preserve">No </w:t>
      </w:r>
      <w:r w:rsidR="00EF610E">
        <w:rPr>
          <w:color w:val="000000"/>
          <w:szCs w:val="20"/>
        </w:rPr>
        <w:t xml:space="preserve">payments or </w:t>
      </w:r>
      <w:r w:rsidRPr="0057093A">
        <w:rPr>
          <w:color w:val="000000"/>
          <w:szCs w:val="20"/>
        </w:rPr>
        <w:t xml:space="preserve">gifts will be given to respondents.  </w:t>
      </w:r>
    </w:p>
    <w:p w:rsidR="00CA6AE6" w:rsidRPr="0057093A" w:rsidRDefault="00CA6AE6" w:rsidP="00AE34E0">
      <w:pPr>
        <w:tabs>
          <w:tab w:val="left" w:pos="432"/>
          <w:tab w:val="left" w:pos="1296"/>
          <w:tab w:val="left" w:pos="1728"/>
          <w:tab w:val="left" w:pos="4176"/>
        </w:tabs>
        <w:ind w:left="1290"/>
        <w:rPr>
          <w:color w:val="000000"/>
          <w:szCs w:val="20"/>
        </w:rPr>
      </w:pPr>
    </w:p>
    <w:p w:rsidR="00CA6AE6" w:rsidRPr="0057093A" w:rsidRDefault="00CA6AE6" w:rsidP="00AE34E0">
      <w:pPr>
        <w:tabs>
          <w:tab w:val="left" w:pos="432"/>
          <w:tab w:val="left" w:pos="1296"/>
          <w:tab w:val="left" w:pos="1728"/>
          <w:tab w:val="left" w:pos="4176"/>
        </w:tabs>
        <w:ind w:left="432" w:hanging="432"/>
        <w:rPr>
          <w:color w:val="000000"/>
          <w:szCs w:val="20"/>
        </w:rPr>
      </w:pPr>
      <w:r w:rsidRPr="0057093A">
        <w:rPr>
          <w:color w:val="000000"/>
          <w:szCs w:val="20"/>
        </w:rPr>
        <w:t>10.</w:t>
      </w:r>
      <w:r w:rsidRPr="0057093A">
        <w:rPr>
          <w:color w:val="000000"/>
          <w:szCs w:val="20"/>
        </w:rPr>
        <w:tab/>
      </w:r>
      <w:r w:rsidRPr="0057093A">
        <w:rPr>
          <w:color w:val="000000"/>
          <w:szCs w:val="20"/>
          <w:u w:val="single"/>
        </w:rPr>
        <w:t>Confidentiality</w:t>
      </w:r>
    </w:p>
    <w:p w:rsidR="00CA6AE6" w:rsidRPr="0057093A" w:rsidRDefault="00CA6AE6" w:rsidP="00AE34E0">
      <w:pPr>
        <w:tabs>
          <w:tab w:val="left" w:pos="432"/>
          <w:tab w:val="left" w:pos="1296"/>
          <w:tab w:val="left" w:pos="1728"/>
          <w:tab w:val="left" w:pos="4176"/>
        </w:tabs>
        <w:rPr>
          <w:color w:val="000000"/>
          <w:szCs w:val="20"/>
        </w:rPr>
      </w:pPr>
    </w:p>
    <w:p w:rsidR="00883889" w:rsidRDefault="00CA6AE6" w:rsidP="00AE34E0">
      <w:pPr>
        <w:rPr>
          <w:snapToGrid w:val="0"/>
        </w:rPr>
      </w:pPr>
      <w:r>
        <w:rPr>
          <w:color w:val="000000"/>
          <w:szCs w:val="20"/>
        </w:rPr>
        <w:t xml:space="preserve">          </w:t>
      </w:r>
      <w:r w:rsidR="00BC2CD0">
        <w:rPr>
          <w:snapToGrid w:val="0"/>
        </w:rPr>
        <w:t>E</w:t>
      </w:r>
      <w:r w:rsidR="00BC2CD0" w:rsidRPr="00A33182">
        <w:t xml:space="preserve">xcept for selected data items, </w:t>
      </w:r>
      <w:r w:rsidR="00BC2CD0">
        <w:t>the Call Report is</w:t>
      </w:r>
      <w:r w:rsidR="00BC2CD0" w:rsidRPr="00A33182">
        <w:t xml:space="preserve"> not given confidential treatment</w:t>
      </w:r>
      <w:r w:rsidR="00BC2CD0" w:rsidRPr="00A33182">
        <w:rPr>
          <w:snapToGrid w:val="0"/>
        </w:rPr>
        <w:t>.</w:t>
      </w:r>
    </w:p>
    <w:p w:rsidR="004324DE" w:rsidRDefault="004324DE" w:rsidP="00AE34E0">
      <w:pPr>
        <w:rPr>
          <w:snapToGrid w:val="0"/>
        </w:rPr>
      </w:pPr>
    </w:p>
    <w:p w:rsidR="00EF610E" w:rsidRDefault="00EF610E" w:rsidP="00AE34E0">
      <w:pPr>
        <w:rPr>
          <w:snapToGrid w:val="0"/>
        </w:rPr>
      </w:pPr>
    </w:p>
    <w:p w:rsidR="00CA6AE6" w:rsidRPr="00883889" w:rsidRDefault="00CA6AE6" w:rsidP="00AE34E0">
      <w:pPr>
        <w:rPr>
          <w:snapToGrid w:val="0"/>
        </w:rPr>
      </w:pPr>
      <w:r w:rsidRPr="0057093A">
        <w:rPr>
          <w:color w:val="000000"/>
          <w:szCs w:val="20"/>
        </w:rPr>
        <w:t>11.</w:t>
      </w:r>
      <w:r w:rsidR="000D3228">
        <w:rPr>
          <w:color w:val="000000"/>
          <w:szCs w:val="20"/>
        </w:rPr>
        <w:t xml:space="preserve">   </w:t>
      </w:r>
      <w:r w:rsidRPr="0057093A">
        <w:rPr>
          <w:color w:val="000000"/>
          <w:szCs w:val="20"/>
          <w:u w:val="single"/>
        </w:rPr>
        <w:t>Information of a Sensitive Nature</w:t>
      </w:r>
    </w:p>
    <w:p w:rsidR="00CA6AE6" w:rsidRPr="0057093A" w:rsidRDefault="00CA6AE6" w:rsidP="00AE34E0">
      <w:pPr>
        <w:tabs>
          <w:tab w:val="left" w:pos="432"/>
          <w:tab w:val="left" w:pos="1296"/>
          <w:tab w:val="left" w:pos="1728"/>
          <w:tab w:val="left" w:pos="4176"/>
        </w:tabs>
        <w:rPr>
          <w:color w:val="000000"/>
          <w:szCs w:val="20"/>
        </w:rPr>
      </w:pPr>
    </w:p>
    <w:p w:rsidR="00CA6AE6" w:rsidRPr="0057093A" w:rsidRDefault="00CA6AE6" w:rsidP="00AE34E0">
      <w:pPr>
        <w:tabs>
          <w:tab w:val="left" w:pos="432"/>
          <w:tab w:val="left" w:pos="1296"/>
          <w:tab w:val="left" w:pos="1728"/>
          <w:tab w:val="left" w:pos="4176"/>
        </w:tabs>
        <w:rPr>
          <w:color w:val="000000"/>
          <w:szCs w:val="20"/>
        </w:rPr>
      </w:pPr>
      <w:r>
        <w:rPr>
          <w:color w:val="000000"/>
          <w:szCs w:val="20"/>
        </w:rPr>
        <w:t xml:space="preserve">          </w:t>
      </w:r>
      <w:r w:rsidRPr="0057093A">
        <w:rPr>
          <w:color w:val="000000"/>
          <w:szCs w:val="20"/>
        </w:rPr>
        <w:t xml:space="preserve">No information of a sensitive nature is requested. </w:t>
      </w:r>
    </w:p>
    <w:p w:rsidR="00CA6AE6" w:rsidRPr="0057093A" w:rsidRDefault="00CA6AE6" w:rsidP="00AE34E0">
      <w:pPr>
        <w:tabs>
          <w:tab w:val="left" w:pos="432"/>
          <w:tab w:val="left" w:pos="1296"/>
          <w:tab w:val="left" w:pos="1728"/>
          <w:tab w:val="left" w:pos="4176"/>
        </w:tabs>
        <w:rPr>
          <w:color w:val="000000"/>
          <w:szCs w:val="20"/>
        </w:rPr>
      </w:pPr>
    </w:p>
    <w:p w:rsidR="004D05FB" w:rsidRDefault="00CA6AE6" w:rsidP="00AE34E0">
      <w:pPr>
        <w:keepLines/>
        <w:numPr>
          <w:ilvl w:val="0"/>
          <w:numId w:val="7"/>
        </w:numPr>
        <w:tabs>
          <w:tab w:val="left" w:pos="432"/>
          <w:tab w:val="left" w:pos="1728"/>
          <w:tab w:val="left" w:pos="4176"/>
        </w:tabs>
        <w:ind w:left="432" w:hanging="432"/>
        <w:rPr>
          <w:color w:val="000000"/>
          <w:szCs w:val="20"/>
          <w:u w:val="single"/>
        </w:rPr>
      </w:pPr>
      <w:r w:rsidRPr="0057093A">
        <w:rPr>
          <w:color w:val="000000"/>
          <w:szCs w:val="20"/>
          <w:u w:val="single"/>
        </w:rPr>
        <w:t>Estimate of Annual Burden</w:t>
      </w:r>
    </w:p>
    <w:p w:rsidR="006A71AF" w:rsidRDefault="006A71AF" w:rsidP="006A71AF">
      <w:pPr>
        <w:keepLines/>
        <w:tabs>
          <w:tab w:val="left" w:pos="432"/>
          <w:tab w:val="left" w:pos="1728"/>
          <w:tab w:val="left" w:pos="4176"/>
        </w:tabs>
        <w:rPr>
          <w:color w:val="000000"/>
          <w:szCs w:val="20"/>
          <w:u w:val="single"/>
        </w:rPr>
      </w:pPr>
    </w:p>
    <w:p w:rsidR="006A71AF" w:rsidRPr="006A71AF" w:rsidRDefault="00561D75" w:rsidP="00561D75">
      <w:pPr>
        <w:ind w:left="720" w:hanging="274"/>
        <w:rPr>
          <w:snapToGrid w:val="0"/>
        </w:rPr>
      </w:pPr>
      <w:r>
        <w:rPr>
          <w:snapToGrid w:val="0"/>
        </w:rPr>
        <w:t xml:space="preserve"> </w:t>
      </w:r>
      <w:r w:rsidR="000D3228">
        <w:rPr>
          <w:snapToGrid w:val="0"/>
        </w:rPr>
        <w:t xml:space="preserve">  </w:t>
      </w:r>
      <w:r w:rsidR="006A71AF" w:rsidRPr="006A71AF">
        <w:rPr>
          <w:snapToGrid w:val="0"/>
        </w:rPr>
        <w:t>Estimated Number of Respondents:  1,</w:t>
      </w:r>
      <w:r w:rsidR="004707AE">
        <w:rPr>
          <w:snapToGrid w:val="0"/>
        </w:rPr>
        <w:t>412</w:t>
      </w:r>
      <w:r w:rsidR="006A71AF" w:rsidRPr="006A71AF">
        <w:rPr>
          <w:snapToGrid w:val="0"/>
        </w:rPr>
        <w:t xml:space="preserve"> national banks and federal savings </w:t>
      </w:r>
    </w:p>
    <w:p w:rsidR="00561D75" w:rsidRDefault="006A71AF" w:rsidP="00561D75">
      <w:pPr>
        <w:ind w:left="720" w:hanging="274"/>
        <w:rPr>
          <w:snapToGrid w:val="0"/>
        </w:rPr>
      </w:pPr>
      <w:r w:rsidRPr="006A71AF">
        <w:rPr>
          <w:snapToGrid w:val="0"/>
        </w:rPr>
        <w:tab/>
      </w:r>
      <w:r w:rsidRPr="006A71AF">
        <w:rPr>
          <w:snapToGrid w:val="0"/>
        </w:rPr>
        <w:tab/>
      </w:r>
      <w:r w:rsidRPr="006A71AF">
        <w:rPr>
          <w:snapToGrid w:val="0"/>
        </w:rPr>
        <w:tab/>
      </w:r>
      <w:r w:rsidRPr="006A71AF">
        <w:rPr>
          <w:snapToGrid w:val="0"/>
        </w:rPr>
        <w:tab/>
      </w:r>
      <w:r w:rsidRPr="006A71AF">
        <w:rPr>
          <w:snapToGrid w:val="0"/>
        </w:rPr>
        <w:tab/>
        <w:t xml:space="preserve">associations.     </w:t>
      </w:r>
    </w:p>
    <w:p w:rsidR="006A71AF" w:rsidRPr="006A71AF" w:rsidRDefault="006A71AF" w:rsidP="00561D75">
      <w:pPr>
        <w:ind w:left="720" w:hanging="274"/>
        <w:rPr>
          <w:snapToGrid w:val="0"/>
        </w:rPr>
      </w:pPr>
      <w:r w:rsidRPr="006A71AF">
        <w:rPr>
          <w:snapToGrid w:val="0"/>
        </w:rPr>
        <w:t xml:space="preserve">               </w:t>
      </w:r>
    </w:p>
    <w:p w:rsidR="006A71AF" w:rsidRPr="006A71AF" w:rsidRDefault="006A71AF" w:rsidP="006A71AF">
      <w:pPr>
        <w:spacing w:line="480" w:lineRule="auto"/>
        <w:ind w:hanging="270"/>
        <w:rPr>
          <w:snapToGrid w:val="0"/>
        </w:rPr>
      </w:pPr>
      <w:r w:rsidRPr="006A71AF">
        <w:rPr>
          <w:snapToGrid w:val="0"/>
        </w:rPr>
        <w:t xml:space="preserve"> </w:t>
      </w:r>
      <w:r w:rsidRPr="006A71AF">
        <w:rPr>
          <w:snapToGrid w:val="0"/>
        </w:rPr>
        <w:tab/>
      </w:r>
      <w:r w:rsidR="000D3228">
        <w:rPr>
          <w:snapToGrid w:val="0"/>
        </w:rPr>
        <w:t xml:space="preserve">          </w:t>
      </w:r>
      <w:r w:rsidRPr="006A71AF">
        <w:rPr>
          <w:snapToGrid w:val="0"/>
        </w:rPr>
        <w:t>Est</w:t>
      </w:r>
      <w:r w:rsidR="004707AE">
        <w:rPr>
          <w:snapToGrid w:val="0"/>
        </w:rPr>
        <w:t>imated Time per Response:  59.36</w:t>
      </w:r>
      <w:r w:rsidRPr="006A71AF">
        <w:rPr>
          <w:snapToGrid w:val="0"/>
        </w:rPr>
        <w:t xml:space="preserve"> burden hours per quarter to file.</w:t>
      </w:r>
    </w:p>
    <w:p w:rsidR="006A71AF" w:rsidRPr="00BF1941" w:rsidRDefault="006A71AF" w:rsidP="006A71AF">
      <w:pPr>
        <w:tabs>
          <w:tab w:val="left" w:pos="720"/>
          <w:tab w:val="left" w:pos="3960"/>
        </w:tabs>
        <w:autoSpaceDE w:val="0"/>
        <w:autoSpaceDN w:val="0"/>
        <w:adjustRightInd w:val="0"/>
        <w:spacing w:line="480" w:lineRule="auto"/>
        <w:ind w:hanging="270"/>
        <w:rPr>
          <w:snapToGrid w:val="0"/>
        </w:rPr>
      </w:pPr>
      <w:r w:rsidRPr="006A71AF">
        <w:rPr>
          <w:snapToGrid w:val="0"/>
        </w:rPr>
        <w:tab/>
      </w:r>
      <w:r w:rsidR="000D3228">
        <w:rPr>
          <w:snapToGrid w:val="0"/>
        </w:rPr>
        <w:t xml:space="preserve">          </w:t>
      </w:r>
      <w:r w:rsidRPr="006A71AF">
        <w:rPr>
          <w:snapToGrid w:val="0"/>
        </w:rPr>
        <w:t>Estimated Total Annual Burden:  3</w:t>
      </w:r>
      <w:r w:rsidR="004707AE">
        <w:rPr>
          <w:snapToGrid w:val="0"/>
        </w:rPr>
        <w:t>35,265</w:t>
      </w:r>
      <w:r w:rsidRPr="000C4F3A">
        <w:rPr>
          <w:snapToGrid w:val="0"/>
        </w:rPr>
        <w:t xml:space="preserve"> burden hours to file.</w:t>
      </w:r>
      <w:r w:rsidRPr="00BF1941">
        <w:rPr>
          <w:snapToGrid w:val="0"/>
        </w:rPr>
        <w:t xml:space="preserve">   </w:t>
      </w:r>
    </w:p>
    <w:p w:rsidR="004F2D31" w:rsidRPr="006A71AF" w:rsidRDefault="004F2D31" w:rsidP="006A71AF">
      <w:pPr>
        <w:keepLines/>
        <w:tabs>
          <w:tab w:val="left" w:pos="432"/>
          <w:tab w:val="left" w:pos="1728"/>
          <w:tab w:val="left" w:pos="4176"/>
        </w:tabs>
        <w:ind w:left="432"/>
        <w:rPr>
          <w:color w:val="000000"/>
          <w:szCs w:val="20"/>
          <w:u w:val="single"/>
        </w:rPr>
      </w:pPr>
    </w:p>
    <w:p w:rsidR="00CA6AE6" w:rsidRDefault="00CA6AE6" w:rsidP="00AE34E0">
      <w:pPr>
        <w:ind w:right="-480"/>
        <w:rPr>
          <w:lang w:val="en-CA"/>
        </w:rPr>
      </w:pPr>
      <w:r w:rsidRPr="000A1AC8">
        <w:rPr>
          <w:lang w:val="en-CA"/>
        </w:rPr>
        <w:t>The OCC estimates the cost of the hour burden to respondents as follows:</w:t>
      </w:r>
    </w:p>
    <w:p w:rsidR="00CA6AE6" w:rsidRPr="000A1AC8" w:rsidRDefault="00CA6AE6" w:rsidP="00AE34E0">
      <w:pPr>
        <w:ind w:right="-480"/>
        <w:rPr>
          <w:lang w:val="en-CA"/>
        </w:rPr>
      </w:pPr>
    </w:p>
    <w:p w:rsidR="00CA6AE6" w:rsidRPr="000A1AC8" w:rsidRDefault="00CA6AE6" w:rsidP="00AE34E0">
      <w:pPr>
        <w:ind w:right="-480"/>
        <w:rPr>
          <w:color w:val="000000"/>
        </w:rPr>
      </w:pPr>
      <w:r w:rsidRPr="000A1AC8">
        <w:rPr>
          <w:color w:val="000000"/>
        </w:rPr>
        <w:t xml:space="preserve">Clerical:  </w:t>
      </w:r>
      <w:r w:rsidRPr="000A1AC8">
        <w:rPr>
          <w:color w:val="000000"/>
        </w:rPr>
        <w:tab/>
      </w:r>
      <w:r w:rsidRPr="000A1AC8">
        <w:rPr>
          <w:color w:val="000000"/>
        </w:rPr>
        <w:tab/>
      </w:r>
      <w:r w:rsidRPr="000A1AC8">
        <w:rPr>
          <w:color w:val="000000"/>
        </w:rPr>
        <w:tab/>
      </w:r>
      <w:bookmarkStart w:id="1" w:name="OLE_LINK1"/>
      <w:r w:rsidRPr="000A1AC8">
        <w:rPr>
          <w:color w:val="000000"/>
        </w:rPr>
        <w:t xml:space="preserve">20% x </w:t>
      </w:r>
      <w:r w:rsidR="006A71AF">
        <w:rPr>
          <w:snapToGrid w:val="0"/>
        </w:rPr>
        <w:t>3</w:t>
      </w:r>
      <w:r w:rsidR="0076599A">
        <w:rPr>
          <w:snapToGrid w:val="0"/>
        </w:rPr>
        <w:t>35,265</w:t>
      </w:r>
      <w:r w:rsidR="00317260" w:rsidRPr="00317260">
        <w:rPr>
          <w:snapToGrid w:val="0"/>
        </w:rPr>
        <w:t xml:space="preserve"> </w:t>
      </w:r>
      <w:r w:rsidRPr="000A1AC8">
        <w:rPr>
          <w:color w:val="000000"/>
        </w:rPr>
        <w:t xml:space="preserve">=   </w:t>
      </w:r>
      <w:r w:rsidR="003C0E89">
        <w:rPr>
          <w:color w:val="000000"/>
        </w:rPr>
        <w:t xml:space="preserve"> </w:t>
      </w:r>
      <w:r w:rsidR="00E503F2">
        <w:rPr>
          <w:color w:val="000000"/>
        </w:rPr>
        <w:t xml:space="preserve"> </w:t>
      </w:r>
      <w:r w:rsidR="003C0E89">
        <w:rPr>
          <w:color w:val="000000"/>
        </w:rPr>
        <w:t xml:space="preserve"> </w:t>
      </w:r>
      <w:r w:rsidR="0076599A">
        <w:rPr>
          <w:color w:val="000000"/>
        </w:rPr>
        <w:t>67,053</w:t>
      </w:r>
      <w:r w:rsidR="00E503F2">
        <w:rPr>
          <w:color w:val="000000"/>
        </w:rPr>
        <w:t>.00</w:t>
      </w:r>
      <w:r>
        <w:rPr>
          <w:color w:val="000000"/>
        </w:rPr>
        <w:t xml:space="preserve"> </w:t>
      </w:r>
      <w:r w:rsidR="006A71AF">
        <w:rPr>
          <w:color w:val="000000"/>
        </w:rPr>
        <w:t xml:space="preserve"> </w:t>
      </w:r>
      <w:r>
        <w:rPr>
          <w:color w:val="000000"/>
        </w:rPr>
        <w:t xml:space="preserve">@ $20 </w:t>
      </w:r>
      <w:r w:rsidR="00333A85">
        <w:rPr>
          <w:color w:val="000000"/>
        </w:rPr>
        <w:t xml:space="preserve">  </w:t>
      </w:r>
      <w:r w:rsidR="003C0E89">
        <w:rPr>
          <w:color w:val="000000"/>
        </w:rPr>
        <w:t xml:space="preserve"> </w:t>
      </w:r>
      <w:r>
        <w:rPr>
          <w:color w:val="000000"/>
        </w:rPr>
        <w:t xml:space="preserve">= </w:t>
      </w:r>
      <w:r w:rsidR="00333A85">
        <w:rPr>
          <w:color w:val="000000"/>
        </w:rPr>
        <w:t xml:space="preserve">  </w:t>
      </w:r>
      <w:r>
        <w:rPr>
          <w:color w:val="000000"/>
        </w:rPr>
        <w:t xml:space="preserve">$ </w:t>
      </w:r>
      <w:r w:rsidR="00333A85">
        <w:rPr>
          <w:color w:val="000000"/>
        </w:rPr>
        <w:t xml:space="preserve">  </w:t>
      </w:r>
      <w:r>
        <w:rPr>
          <w:color w:val="000000"/>
        </w:rPr>
        <w:t xml:space="preserve"> </w:t>
      </w:r>
      <w:bookmarkEnd w:id="1"/>
      <w:r w:rsidR="00B57916">
        <w:rPr>
          <w:color w:val="000000"/>
        </w:rPr>
        <w:t xml:space="preserve"> </w:t>
      </w:r>
      <w:r w:rsidR="006A71AF">
        <w:rPr>
          <w:color w:val="000000"/>
        </w:rPr>
        <w:t xml:space="preserve">  1,</w:t>
      </w:r>
      <w:r w:rsidR="0076599A">
        <w:rPr>
          <w:color w:val="000000"/>
        </w:rPr>
        <w:t>341,061</w:t>
      </w:r>
      <w:r w:rsidR="00B57916">
        <w:rPr>
          <w:color w:val="000000"/>
        </w:rPr>
        <w:t>.00</w:t>
      </w:r>
    </w:p>
    <w:p w:rsidR="00CA6AE6" w:rsidRPr="000A1AC8" w:rsidRDefault="00CA6AE6" w:rsidP="00AE34E0">
      <w:pPr>
        <w:ind w:right="-480"/>
        <w:rPr>
          <w:color w:val="000000"/>
        </w:rPr>
      </w:pPr>
      <w:r w:rsidRPr="000A1AC8">
        <w:rPr>
          <w:color w:val="000000"/>
        </w:rPr>
        <w:t>Managerial/technical:</w:t>
      </w:r>
      <w:r w:rsidRPr="000A1AC8">
        <w:rPr>
          <w:color w:val="000000"/>
        </w:rPr>
        <w:tab/>
      </w:r>
      <w:r w:rsidRPr="000A1AC8">
        <w:rPr>
          <w:color w:val="000000"/>
        </w:rPr>
        <w:tab/>
      </w:r>
      <w:bookmarkStart w:id="2" w:name="OLE_LINK2"/>
      <w:r w:rsidRPr="000A1AC8">
        <w:rPr>
          <w:color w:val="000000"/>
        </w:rPr>
        <w:t xml:space="preserve">65% x </w:t>
      </w:r>
      <w:r w:rsidR="006A71AF">
        <w:rPr>
          <w:snapToGrid w:val="0"/>
        </w:rPr>
        <w:t>3</w:t>
      </w:r>
      <w:r w:rsidR="0076599A">
        <w:rPr>
          <w:snapToGrid w:val="0"/>
        </w:rPr>
        <w:t>35,265</w:t>
      </w:r>
      <w:r w:rsidR="00317260" w:rsidRPr="00317260">
        <w:rPr>
          <w:snapToGrid w:val="0"/>
        </w:rPr>
        <w:t xml:space="preserve"> </w:t>
      </w:r>
      <w:r w:rsidRPr="000A1AC8">
        <w:rPr>
          <w:color w:val="000000"/>
        </w:rPr>
        <w:t xml:space="preserve">= </w:t>
      </w:r>
      <w:r>
        <w:rPr>
          <w:color w:val="000000"/>
        </w:rPr>
        <w:t xml:space="preserve">  </w:t>
      </w:r>
      <w:r w:rsidR="006A71AF">
        <w:rPr>
          <w:color w:val="000000"/>
        </w:rPr>
        <w:t>2</w:t>
      </w:r>
      <w:r w:rsidR="0076599A">
        <w:rPr>
          <w:color w:val="000000"/>
        </w:rPr>
        <w:t>17922.25</w:t>
      </w:r>
      <w:r w:rsidRPr="000A1AC8">
        <w:rPr>
          <w:color w:val="000000"/>
        </w:rPr>
        <w:t xml:space="preserve"> </w:t>
      </w:r>
      <w:r w:rsidR="006A71AF">
        <w:rPr>
          <w:color w:val="000000"/>
        </w:rPr>
        <w:t xml:space="preserve"> </w:t>
      </w:r>
      <w:r w:rsidR="00E503F2">
        <w:rPr>
          <w:color w:val="000000"/>
        </w:rPr>
        <w:t xml:space="preserve"> </w:t>
      </w:r>
      <w:r w:rsidRPr="000A1AC8">
        <w:rPr>
          <w:color w:val="000000"/>
        </w:rPr>
        <w:t>@ $40</w:t>
      </w:r>
      <w:r w:rsidR="002370D8">
        <w:rPr>
          <w:color w:val="000000"/>
        </w:rPr>
        <w:t xml:space="preserve"> </w:t>
      </w:r>
      <w:r w:rsidR="003C0E89">
        <w:rPr>
          <w:color w:val="000000"/>
        </w:rPr>
        <w:t xml:space="preserve">   </w:t>
      </w:r>
      <w:r w:rsidR="002370D8">
        <w:rPr>
          <w:color w:val="000000"/>
        </w:rPr>
        <w:t xml:space="preserve">= </w:t>
      </w:r>
      <w:r w:rsidR="003C0E89">
        <w:rPr>
          <w:color w:val="000000"/>
        </w:rPr>
        <w:t xml:space="preserve">  </w:t>
      </w:r>
      <w:r w:rsidR="002370D8">
        <w:rPr>
          <w:color w:val="000000"/>
        </w:rPr>
        <w:t xml:space="preserve">$ </w:t>
      </w:r>
      <w:r w:rsidR="00F66B04">
        <w:rPr>
          <w:color w:val="000000"/>
        </w:rPr>
        <w:t xml:space="preserve">  </w:t>
      </w:r>
      <w:r w:rsidR="0013638D">
        <w:rPr>
          <w:color w:val="000000"/>
        </w:rPr>
        <w:t xml:space="preserve">  </w:t>
      </w:r>
      <w:r w:rsidR="0076599A">
        <w:rPr>
          <w:color w:val="000000"/>
        </w:rPr>
        <w:t xml:space="preserve">   8</w:t>
      </w:r>
      <w:r w:rsidR="0013638D">
        <w:rPr>
          <w:color w:val="000000"/>
        </w:rPr>
        <w:t>,</w:t>
      </w:r>
      <w:bookmarkEnd w:id="2"/>
      <w:r w:rsidR="0076599A">
        <w:rPr>
          <w:color w:val="000000"/>
        </w:rPr>
        <w:t>716,890</w:t>
      </w:r>
      <w:r w:rsidR="006A71AF">
        <w:rPr>
          <w:color w:val="000000"/>
        </w:rPr>
        <w:t>.00</w:t>
      </w:r>
    </w:p>
    <w:p w:rsidR="00CA6AE6" w:rsidRPr="000A1AC8" w:rsidRDefault="00CA6AE6" w:rsidP="00AE34E0">
      <w:pPr>
        <w:ind w:right="-480"/>
        <w:rPr>
          <w:color w:val="000000"/>
        </w:rPr>
      </w:pPr>
      <w:r w:rsidRPr="000A1AC8">
        <w:rPr>
          <w:color w:val="000000"/>
        </w:rPr>
        <w:t>Senior mgmt/professional:</w:t>
      </w:r>
      <w:r w:rsidRPr="000A1AC8">
        <w:rPr>
          <w:color w:val="000000"/>
        </w:rPr>
        <w:tab/>
      </w:r>
      <w:bookmarkStart w:id="3" w:name="OLE_LINK3"/>
      <w:bookmarkStart w:id="4" w:name="OLE_LINK4"/>
      <w:bookmarkStart w:id="5" w:name="OLE_LINK5"/>
      <w:bookmarkStart w:id="6" w:name="OLE_LINK6"/>
      <w:bookmarkStart w:id="7" w:name="OLE_LINK8"/>
      <w:r w:rsidRPr="000A1AC8">
        <w:rPr>
          <w:color w:val="000000"/>
        </w:rPr>
        <w:t xml:space="preserve">14% x </w:t>
      </w:r>
      <w:r w:rsidR="006A71AF">
        <w:rPr>
          <w:snapToGrid w:val="0"/>
        </w:rPr>
        <w:t>3</w:t>
      </w:r>
      <w:r w:rsidR="0076599A">
        <w:rPr>
          <w:snapToGrid w:val="0"/>
        </w:rPr>
        <w:t>35,265</w:t>
      </w:r>
      <w:r w:rsidR="006A71AF">
        <w:rPr>
          <w:snapToGrid w:val="0"/>
        </w:rPr>
        <w:t xml:space="preserve"> </w:t>
      </w:r>
      <w:r>
        <w:rPr>
          <w:color w:val="000000"/>
        </w:rPr>
        <w:t xml:space="preserve">=  </w:t>
      </w:r>
      <w:r w:rsidR="003C0E89">
        <w:rPr>
          <w:color w:val="000000"/>
        </w:rPr>
        <w:t xml:space="preserve">   </w:t>
      </w:r>
      <w:r>
        <w:rPr>
          <w:color w:val="000000"/>
        </w:rPr>
        <w:t xml:space="preserve"> </w:t>
      </w:r>
      <w:r w:rsidR="0076599A">
        <w:rPr>
          <w:color w:val="000000"/>
        </w:rPr>
        <w:t>46,937.10</w:t>
      </w:r>
      <w:r w:rsidR="003C0E89">
        <w:rPr>
          <w:color w:val="000000"/>
        </w:rPr>
        <w:t xml:space="preserve"> @ $80    </w:t>
      </w:r>
      <w:r w:rsidRPr="000A1AC8">
        <w:rPr>
          <w:color w:val="000000"/>
        </w:rPr>
        <w:t>=</w:t>
      </w:r>
      <w:r w:rsidR="003C0E89">
        <w:rPr>
          <w:color w:val="000000"/>
        </w:rPr>
        <w:t xml:space="preserve">  </w:t>
      </w:r>
      <w:r w:rsidRPr="000A1AC8">
        <w:rPr>
          <w:color w:val="000000"/>
        </w:rPr>
        <w:t xml:space="preserve"> $   </w:t>
      </w:r>
      <w:r w:rsidR="002C6EB7">
        <w:rPr>
          <w:color w:val="000000"/>
        </w:rPr>
        <w:t xml:space="preserve"> </w:t>
      </w:r>
      <w:r w:rsidR="006A71AF">
        <w:rPr>
          <w:color w:val="000000"/>
        </w:rPr>
        <w:t xml:space="preserve">   </w:t>
      </w:r>
      <w:r w:rsidR="0076599A">
        <w:rPr>
          <w:color w:val="000000"/>
        </w:rPr>
        <w:t>3</w:t>
      </w:r>
      <w:r w:rsidR="006A71AF">
        <w:rPr>
          <w:color w:val="000000"/>
        </w:rPr>
        <w:t>,</w:t>
      </w:r>
      <w:r w:rsidR="0076599A">
        <w:rPr>
          <w:color w:val="000000"/>
        </w:rPr>
        <w:t>754</w:t>
      </w:r>
      <w:r w:rsidR="006A71AF">
        <w:rPr>
          <w:color w:val="000000"/>
        </w:rPr>
        <w:t>,</w:t>
      </w:r>
      <w:r w:rsidR="0076599A">
        <w:rPr>
          <w:color w:val="000000"/>
        </w:rPr>
        <w:t>968.0</w:t>
      </w:r>
      <w:r w:rsidR="006A71AF">
        <w:rPr>
          <w:color w:val="000000"/>
        </w:rPr>
        <w:t>0</w:t>
      </w:r>
    </w:p>
    <w:bookmarkEnd w:id="3"/>
    <w:bookmarkEnd w:id="4"/>
    <w:bookmarkEnd w:id="5"/>
    <w:bookmarkEnd w:id="6"/>
    <w:bookmarkEnd w:id="7"/>
    <w:p w:rsidR="00CA6AE6" w:rsidRPr="000A1AC8" w:rsidRDefault="00CA6AE6" w:rsidP="00AE34E0">
      <w:pPr>
        <w:pStyle w:val="BodyText"/>
        <w:ind w:right="-480"/>
        <w:rPr>
          <w:color w:val="000000"/>
        </w:rPr>
      </w:pPr>
      <w:r w:rsidRPr="000A1AC8">
        <w:rPr>
          <w:color w:val="000000"/>
        </w:rPr>
        <w:t>Legal:</w:t>
      </w:r>
      <w:r w:rsidRPr="000A1AC8">
        <w:rPr>
          <w:color w:val="000000"/>
        </w:rPr>
        <w:tab/>
      </w:r>
      <w:r w:rsidRPr="000A1AC8">
        <w:rPr>
          <w:color w:val="000000"/>
        </w:rPr>
        <w:tab/>
      </w:r>
      <w:r w:rsidRPr="000A1AC8">
        <w:rPr>
          <w:color w:val="000000"/>
        </w:rPr>
        <w:tab/>
      </w:r>
      <w:r w:rsidRPr="000A1AC8">
        <w:rPr>
          <w:color w:val="000000"/>
        </w:rPr>
        <w:tab/>
      </w:r>
      <w:bookmarkStart w:id="8" w:name="OLE_LINK7"/>
      <w:r w:rsidRPr="000A1AC8">
        <w:rPr>
          <w:color w:val="000000"/>
        </w:rPr>
        <w:t xml:space="preserve">01% x </w:t>
      </w:r>
      <w:r w:rsidR="006A71AF">
        <w:rPr>
          <w:snapToGrid w:val="0"/>
        </w:rPr>
        <w:t>3</w:t>
      </w:r>
      <w:r w:rsidR="0076599A">
        <w:rPr>
          <w:snapToGrid w:val="0"/>
        </w:rPr>
        <w:t>35,265</w:t>
      </w:r>
      <w:r w:rsidR="00317260" w:rsidRPr="00317260">
        <w:rPr>
          <w:snapToGrid w:val="0"/>
        </w:rPr>
        <w:t xml:space="preserve"> </w:t>
      </w:r>
      <w:r w:rsidRPr="000A1AC8">
        <w:rPr>
          <w:color w:val="000000"/>
        </w:rPr>
        <w:t xml:space="preserve">=     </w:t>
      </w:r>
      <w:r w:rsidR="006A71AF">
        <w:rPr>
          <w:color w:val="000000"/>
        </w:rPr>
        <w:t xml:space="preserve">  3,</w:t>
      </w:r>
      <w:r w:rsidR="0076599A">
        <w:rPr>
          <w:color w:val="000000"/>
        </w:rPr>
        <w:t>352.65</w:t>
      </w:r>
      <w:r w:rsidRPr="000A1AC8">
        <w:rPr>
          <w:color w:val="000000"/>
        </w:rPr>
        <w:t xml:space="preserve"> </w:t>
      </w:r>
      <w:r w:rsidR="006A71AF">
        <w:rPr>
          <w:color w:val="000000"/>
        </w:rPr>
        <w:t xml:space="preserve"> </w:t>
      </w:r>
      <w:r w:rsidRPr="000A1AC8">
        <w:rPr>
          <w:color w:val="000000"/>
        </w:rPr>
        <w:t xml:space="preserve">@ $100 </w:t>
      </w:r>
      <w:r w:rsidR="003C0E89">
        <w:rPr>
          <w:color w:val="000000"/>
        </w:rPr>
        <w:t xml:space="preserve"> </w:t>
      </w:r>
      <w:r w:rsidRPr="000A1AC8">
        <w:rPr>
          <w:color w:val="000000"/>
        </w:rPr>
        <w:t xml:space="preserve">= </w:t>
      </w:r>
      <w:r w:rsidR="00333A85">
        <w:rPr>
          <w:color w:val="000000"/>
        </w:rPr>
        <w:t xml:space="preserve">  </w:t>
      </w:r>
      <w:r w:rsidRPr="000A1AC8">
        <w:rPr>
          <w:color w:val="000000"/>
          <w:u w:val="single"/>
        </w:rPr>
        <w:t xml:space="preserve">$  </w:t>
      </w:r>
      <w:r w:rsidR="00761714">
        <w:rPr>
          <w:color w:val="000000"/>
          <w:u w:val="single"/>
        </w:rPr>
        <w:t xml:space="preserve">     </w:t>
      </w:r>
      <w:r w:rsidR="003C0E89">
        <w:rPr>
          <w:color w:val="000000"/>
          <w:u w:val="single"/>
        </w:rPr>
        <w:t xml:space="preserve">  </w:t>
      </w:r>
      <w:r w:rsidR="0013638D">
        <w:rPr>
          <w:color w:val="000000"/>
          <w:u w:val="single"/>
        </w:rPr>
        <w:t xml:space="preserve"> </w:t>
      </w:r>
      <w:bookmarkEnd w:id="8"/>
      <w:r w:rsidR="006A71AF">
        <w:rPr>
          <w:color w:val="000000"/>
          <w:u w:val="single"/>
        </w:rPr>
        <w:t>3</w:t>
      </w:r>
      <w:r w:rsidR="0076599A">
        <w:rPr>
          <w:color w:val="000000"/>
          <w:u w:val="single"/>
        </w:rPr>
        <w:t>35,265</w:t>
      </w:r>
      <w:r w:rsidR="006A71AF">
        <w:rPr>
          <w:color w:val="000000"/>
          <w:u w:val="single"/>
        </w:rPr>
        <w:t>.00</w:t>
      </w:r>
      <w:r w:rsidRPr="000A1AC8">
        <w:rPr>
          <w:color w:val="000000"/>
          <w:u w:val="single"/>
        </w:rPr>
        <w:t xml:space="preserve">   </w:t>
      </w:r>
    </w:p>
    <w:p w:rsidR="00CA6AE6" w:rsidRPr="000A1AC8" w:rsidRDefault="00CA6AE6" w:rsidP="00AE34E0">
      <w:pPr>
        <w:pStyle w:val="BodyText"/>
        <w:ind w:right="-480"/>
        <w:rPr>
          <w:color w:val="000000"/>
        </w:rPr>
      </w:pPr>
      <w:r w:rsidRPr="000A1AC8">
        <w:rPr>
          <w:color w:val="000000"/>
        </w:rPr>
        <w:t>Total:</w:t>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t xml:space="preserve">   </w:t>
      </w:r>
      <w:r w:rsidR="00333A85">
        <w:rPr>
          <w:color w:val="000000"/>
        </w:rPr>
        <w:t xml:space="preserve"> </w:t>
      </w:r>
      <w:r w:rsidRPr="000A1AC8">
        <w:rPr>
          <w:color w:val="000000"/>
        </w:rPr>
        <w:t xml:space="preserve"> </w:t>
      </w:r>
      <w:r w:rsidR="00B57916">
        <w:rPr>
          <w:color w:val="000000"/>
        </w:rPr>
        <w:t xml:space="preserve">  </w:t>
      </w:r>
      <w:r w:rsidR="003C0E89">
        <w:rPr>
          <w:color w:val="000000"/>
        </w:rPr>
        <w:t xml:space="preserve">   </w:t>
      </w:r>
      <w:r w:rsidRPr="000A1AC8">
        <w:rPr>
          <w:color w:val="000000"/>
        </w:rPr>
        <w:t xml:space="preserve">$ </w:t>
      </w:r>
      <w:r w:rsidR="0013638D">
        <w:rPr>
          <w:color w:val="000000"/>
        </w:rPr>
        <w:t xml:space="preserve"> </w:t>
      </w:r>
      <w:r w:rsidR="003C0E89">
        <w:rPr>
          <w:color w:val="000000"/>
        </w:rPr>
        <w:t xml:space="preserve">  </w:t>
      </w:r>
      <w:r w:rsidR="002C6EB7">
        <w:rPr>
          <w:color w:val="000000"/>
        </w:rPr>
        <w:t xml:space="preserve"> 1</w:t>
      </w:r>
      <w:r w:rsidR="00E503F2">
        <w:rPr>
          <w:color w:val="000000"/>
        </w:rPr>
        <w:t>4</w:t>
      </w:r>
      <w:r w:rsidR="002C6EB7">
        <w:rPr>
          <w:color w:val="000000"/>
        </w:rPr>
        <w:t>,</w:t>
      </w:r>
      <w:r w:rsidR="00E503F2">
        <w:rPr>
          <w:color w:val="000000"/>
        </w:rPr>
        <w:t>148,184</w:t>
      </w:r>
      <w:r w:rsidR="002C6EB7">
        <w:rPr>
          <w:color w:val="000000"/>
        </w:rPr>
        <w:t>.</w:t>
      </w:r>
      <w:r w:rsidR="00E503F2">
        <w:rPr>
          <w:color w:val="000000"/>
        </w:rPr>
        <w:t>0</w:t>
      </w:r>
      <w:r w:rsidR="002C6EB7">
        <w:rPr>
          <w:color w:val="000000"/>
        </w:rPr>
        <w:t>0</w:t>
      </w:r>
    </w:p>
    <w:p w:rsidR="00CA6AE6" w:rsidRPr="0057093A" w:rsidRDefault="00CA6AE6" w:rsidP="00AE34E0">
      <w:pPr>
        <w:keepLines/>
        <w:tabs>
          <w:tab w:val="left" w:pos="432"/>
          <w:tab w:val="left" w:pos="1296"/>
          <w:tab w:val="left" w:pos="1728"/>
          <w:tab w:val="left" w:pos="4176"/>
        </w:tabs>
        <w:rPr>
          <w:szCs w:val="20"/>
        </w:rPr>
      </w:pPr>
    </w:p>
    <w:p w:rsidR="00CA6AE6" w:rsidRPr="0057093A" w:rsidRDefault="00CA6AE6" w:rsidP="00AE34E0">
      <w:pPr>
        <w:tabs>
          <w:tab w:val="left" w:pos="432"/>
          <w:tab w:val="left" w:pos="1296"/>
          <w:tab w:val="left" w:pos="1728"/>
          <w:tab w:val="left" w:pos="4176"/>
        </w:tabs>
        <w:ind w:left="432" w:hanging="432"/>
        <w:rPr>
          <w:color w:val="000000"/>
          <w:szCs w:val="20"/>
        </w:rPr>
      </w:pPr>
      <w:r w:rsidRPr="0057093A">
        <w:rPr>
          <w:color w:val="000000"/>
          <w:szCs w:val="20"/>
        </w:rPr>
        <w:t>13.</w:t>
      </w:r>
      <w:r w:rsidRPr="0057093A">
        <w:rPr>
          <w:color w:val="000000"/>
          <w:szCs w:val="20"/>
        </w:rPr>
        <w:tab/>
      </w:r>
      <w:r w:rsidRPr="0057093A">
        <w:rPr>
          <w:color w:val="000000"/>
          <w:szCs w:val="20"/>
          <w:u w:val="single"/>
        </w:rPr>
        <w:t>Capital, Start-up, and Operating Costs</w:t>
      </w:r>
    </w:p>
    <w:p w:rsidR="00CA6AE6" w:rsidRDefault="00CA6AE6" w:rsidP="00AE34E0">
      <w:pPr>
        <w:pStyle w:val="BodyText"/>
        <w:ind w:right="-480"/>
      </w:pPr>
      <w:r>
        <w:t xml:space="preserve">          </w:t>
      </w:r>
    </w:p>
    <w:p w:rsidR="00CA6AE6" w:rsidRDefault="00A759DF" w:rsidP="00AE34E0">
      <w:pPr>
        <w:pStyle w:val="BodyText"/>
        <w:tabs>
          <w:tab w:val="left" w:pos="720"/>
        </w:tabs>
        <w:ind w:firstLine="720"/>
      </w:pPr>
      <w:r>
        <w:t>Not applicable.</w:t>
      </w:r>
    </w:p>
    <w:p w:rsidR="00CA6AE6" w:rsidRDefault="00CA6AE6" w:rsidP="00AE34E0">
      <w:pPr>
        <w:pStyle w:val="BodyText"/>
        <w:spacing w:after="0"/>
      </w:pPr>
    </w:p>
    <w:p w:rsidR="00CA6AE6" w:rsidRPr="0057093A" w:rsidRDefault="00CA6AE6" w:rsidP="00AE34E0">
      <w:pPr>
        <w:numPr>
          <w:ilvl w:val="0"/>
          <w:numId w:val="3"/>
        </w:numPr>
        <w:tabs>
          <w:tab w:val="left" w:pos="432"/>
          <w:tab w:val="left" w:pos="1728"/>
          <w:tab w:val="left" w:pos="4176"/>
        </w:tabs>
        <w:ind w:left="432" w:hanging="432"/>
        <w:rPr>
          <w:color w:val="000000"/>
          <w:szCs w:val="20"/>
        </w:rPr>
      </w:pPr>
      <w:r w:rsidRPr="0057093A">
        <w:rPr>
          <w:color w:val="000000"/>
          <w:szCs w:val="20"/>
          <w:u w:val="single"/>
        </w:rPr>
        <w:t>Estimates of Annualized Cost to the Federal Government</w:t>
      </w:r>
    </w:p>
    <w:p w:rsidR="00CA6AE6" w:rsidRPr="0057093A" w:rsidRDefault="00CA6AE6" w:rsidP="00AE34E0">
      <w:pPr>
        <w:tabs>
          <w:tab w:val="left" w:pos="432"/>
          <w:tab w:val="left" w:pos="1296"/>
          <w:tab w:val="left" w:pos="1728"/>
          <w:tab w:val="left" w:pos="4176"/>
        </w:tabs>
        <w:rPr>
          <w:color w:val="000000"/>
          <w:szCs w:val="20"/>
        </w:rPr>
      </w:pPr>
    </w:p>
    <w:p w:rsidR="00CA6AE6" w:rsidRPr="0057093A" w:rsidRDefault="00676FA2" w:rsidP="00AE34E0">
      <w:pPr>
        <w:tabs>
          <w:tab w:val="left" w:pos="432"/>
          <w:tab w:val="left" w:pos="1296"/>
          <w:tab w:val="left" w:pos="1728"/>
          <w:tab w:val="left" w:pos="4176"/>
        </w:tabs>
        <w:ind w:left="360"/>
        <w:rPr>
          <w:color w:val="000000"/>
          <w:szCs w:val="20"/>
        </w:rPr>
      </w:pPr>
      <w:r>
        <w:rPr>
          <w:color w:val="000000"/>
          <w:szCs w:val="20"/>
        </w:rPr>
        <w:tab/>
        <w:t xml:space="preserve">    </w:t>
      </w:r>
      <w:r w:rsidR="00A759DF">
        <w:rPr>
          <w:color w:val="000000"/>
          <w:szCs w:val="20"/>
        </w:rPr>
        <w:t>Not applicable.</w:t>
      </w:r>
    </w:p>
    <w:p w:rsidR="00CA6AE6" w:rsidRPr="0057093A" w:rsidRDefault="00CA6AE6" w:rsidP="00AE34E0">
      <w:pPr>
        <w:rPr>
          <w:color w:val="000000"/>
          <w:szCs w:val="20"/>
        </w:rPr>
      </w:pPr>
    </w:p>
    <w:p w:rsidR="00CA6AE6" w:rsidRPr="00C73C7B" w:rsidRDefault="00CA6AE6" w:rsidP="00AE34E0">
      <w:pPr>
        <w:tabs>
          <w:tab w:val="left" w:pos="432"/>
          <w:tab w:val="left" w:pos="1728"/>
          <w:tab w:val="left" w:pos="4176"/>
        </w:tabs>
        <w:rPr>
          <w:color w:val="000000"/>
          <w:szCs w:val="20"/>
          <w:u w:val="single"/>
        </w:rPr>
      </w:pPr>
      <w:r w:rsidRPr="00C73C7B">
        <w:rPr>
          <w:color w:val="000000"/>
          <w:szCs w:val="20"/>
        </w:rPr>
        <w:t xml:space="preserve">15. </w:t>
      </w:r>
      <w:r w:rsidRPr="00C73C7B">
        <w:rPr>
          <w:color w:val="000000"/>
          <w:szCs w:val="20"/>
          <w:u w:val="single"/>
        </w:rPr>
        <w:t>Change in Burden</w:t>
      </w:r>
    </w:p>
    <w:p w:rsidR="00CA6AE6" w:rsidRPr="00A33182" w:rsidRDefault="00CA6AE6" w:rsidP="00AE34E0">
      <w:pPr>
        <w:autoSpaceDE w:val="0"/>
        <w:autoSpaceDN w:val="0"/>
        <w:adjustRightInd w:val="0"/>
        <w:rPr>
          <w:snapToGrid w:val="0"/>
        </w:rPr>
      </w:pPr>
    </w:p>
    <w:p w:rsidR="00CA6AE6" w:rsidRPr="000A1AC8" w:rsidRDefault="00CA6AE6" w:rsidP="00AE34E0">
      <w:pPr>
        <w:pStyle w:val="BodyText"/>
        <w:ind w:right="-480"/>
      </w:pPr>
      <w:r w:rsidRPr="000A1AC8">
        <w:rPr>
          <w:u w:val="single"/>
        </w:rPr>
        <w:t>Former burden:</w:t>
      </w:r>
      <w:r>
        <w:tab/>
      </w:r>
      <w:r w:rsidR="004707AE">
        <w:t>399,588</w:t>
      </w:r>
      <w:r w:rsidR="000D3228">
        <w:t xml:space="preserve"> </w:t>
      </w:r>
      <w:r w:rsidR="00317260">
        <w:t>burden hours.</w:t>
      </w:r>
      <w:r>
        <w:t xml:space="preserve"> </w:t>
      </w:r>
    </w:p>
    <w:p w:rsidR="00CA6AE6" w:rsidRPr="000A1AC8" w:rsidRDefault="00CA6AE6" w:rsidP="00AE34E0">
      <w:pPr>
        <w:pStyle w:val="BodyText"/>
        <w:ind w:right="-480"/>
      </w:pPr>
      <w:r w:rsidRPr="000A1AC8">
        <w:rPr>
          <w:u w:val="single"/>
        </w:rPr>
        <w:t>New burden:</w:t>
      </w:r>
      <w:r w:rsidRPr="000A1AC8">
        <w:tab/>
      </w:r>
      <w:r w:rsidRPr="000A1AC8">
        <w:tab/>
      </w:r>
      <w:r w:rsidR="004707AE">
        <w:t>335,265</w:t>
      </w:r>
      <w:r w:rsidR="000D3228">
        <w:t xml:space="preserve"> </w:t>
      </w:r>
      <w:r w:rsidR="00317260">
        <w:t>burden hours</w:t>
      </w:r>
      <w:r w:rsidR="00DC6A94">
        <w:t>.</w:t>
      </w:r>
    </w:p>
    <w:p w:rsidR="00E6276E" w:rsidRPr="008508DF" w:rsidRDefault="00CA6AE6" w:rsidP="00AE34E0">
      <w:pPr>
        <w:pStyle w:val="BodyText"/>
        <w:ind w:right="-480"/>
      </w:pPr>
      <w:r w:rsidRPr="000A1AC8">
        <w:rPr>
          <w:u w:val="single"/>
        </w:rPr>
        <w:t>Change:</w:t>
      </w:r>
      <w:r w:rsidRPr="000A1AC8">
        <w:tab/>
        <w:t xml:space="preserve">           </w:t>
      </w:r>
      <w:r w:rsidR="00317260">
        <w:t xml:space="preserve"> </w:t>
      </w:r>
      <w:r w:rsidR="000D3228">
        <w:t xml:space="preserve">- </w:t>
      </w:r>
      <w:r w:rsidR="0076599A">
        <w:t>64,323</w:t>
      </w:r>
      <w:r w:rsidR="00FF2455">
        <w:t xml:space="preserve"> </w:t>
      </w:r>
      <w:r w:rsidRPr="000A1AC8">
        <w:t>burden hours</w:t>
      </w:r>
      <w:r w:rsidR="000E78BD">
        <w:t>.</w:t>
      </w:r>
    </w:p>
    <w:p w:rsidR="00E6276E" w:rsidRPr="0057093A" w:rsidRDefault="00E6276E" w:rsidP="00AE34E0">
      <w:pPr>
        <w:tabs>
          <w:tab w:val="left" w:pos="432"/>
          <w:tab w:val="left" w:pos="1296"/>
          <w:tab w:val="left" w:pos="1728"/>
          <w:tab w:val="left" w:pos="4176"/>
        </w:tabs>
        <w:rPr>
          <w:color w:val="000000"/>
          <w:szCs w:val="20"/>
        </w:rPr>
      </w:pPr>
    </w:p>
    <w:p w:rsidR="00C847CC" w:rsidRDefault="00561D75" w:rsidP="00AE34E0">
      <w:pPr>
        <w:tabs>
          <w:tab w:val="left" w:pos="0"/>
          <w:tab w:val="left" w:pos="1296"/>
          <w:tab w:val="left" w:pos="1728"/>
          <w:tab w:val="left" w:pos="4176"/>
        </w:tabs>
        <w:rPr>
          <w:color w:val="000000"/>
          <w:szCs w:val="20"/>
        </w:rPr>
      </w:pPr>
      <w:r>
        <w:rPr>
          <w:color w:val="000000"/>
          <w:szCs w:val="20"/>
        </w:rPr>
        <w:t xml:space="preserve">The revisions to the schedule resulted in a </w:t>
      </w:r>
      <w:r w:rsidR="003E280D">
        <w:rPr>
          <w:color w:val="000000"/>
          <w:szCs w:val="20"/>
        </w:rPr>
        <w:t xml:space="preserve">slight </w:t>
      </w:r>
      <w:r>
        <w:rPr>
          <w:color w:val="000000"/>
          <w:szCs w:val="20"/>
        </w:rPr>
        <w:t>decrease in burden.</w:t>
      </w:r>
      <w:r w:rsidR="0076599A">
        <w:rPr>
          <w:color w:val="000000"/>
          <w:szCs w:val="20"/>
        </w:rPr>
        <w:t xml:space="preserve"> The majority of the burden reduction was due to a decrease of approximately 250 national banks and Federal savings associations since the prior Call Report revisions.</w:t>
      </w:r>
    </w:p>
    <w:p w:rsidR="00C847CC" w:rsidRDefault="00C847CC" w:rsidP="00AE34E0">
      <w:pPr>
        <w:tabs>
          <w:tab w:val="left" w:pos="432"/>
          <w:tab w:val="left" w:pos="1296"/>
          <w:tab w:val="left" w:pos="1728"/>
          <w:tab w:val="left" w:pos="4176"/>
        </w:tabs>
        <w:ind w:left="432" w:hanging="432"/>
        <w:rPr>
          <w:color w:val="000000"/>
          <w:szCs w:val="20"/>
        </w:rPr>
      </w:pPr>
    </w:p>
    <w:p w:rsidR="00CA6AE6" w:rsidRPr="0057093A" w:rsidRDefault="002276C4" w:rsidP="00AE34E0">
      <w:pPr>
        <w:tabs>
          <w:tab w:val="left" w:pos="432"/>
          <w:tab w:val="left" w:pos="1296"/>
          <w:tab w:val="left" w:pos="1728"/>
          <w:tab w:val="left" w:pos="4176"/>
        </w:tabs>
        <w:ind w:left="432" w:hanging="432"/>
        <w:rPr>
          <w:color w:val="000000"/>
          <w:szCs w:val="20"/>
        </w:rPr>
      </w:pPr>
      <w:r>
        <w:rPr>
          <w:color w:val="000000"/>
          <w:szCs w:val="20"/>
        </w:rPr>
        <w:t xml:space="preserve">16. </w:t>
      </w:r>
      <w:r w:rsidR="00CA6AE6" w:rsidRPr="0057093A">
        <w:rPr>
          <w:color w:val="000000"/>
          <w:szCs w:val="20"/>
          <w:u w:val="single"/>
        </w:rPr>
        <w:t>Publication</w:t>
      </w:r>
    </w:p>
    <w:p w:rsidR="00CA6AE6" w:rsidRPr="0057093A" w:rsidRDefault="00CA6AE6" w:rsidP="00AE34E0">
      <w:pPr>
        <w:rPr>
          <w:color w:val="000000"/>
          <w:szCs w:val="20"/>
        </w:rPr>
      </w:pPr>
    </w:p>
    <w:p w:rsidR="00CA6AE6" w:rsidRPr="0057093A" w:rsidRDefault="00CA6AE6" w:rsidP="00AE34E0">
      <w:pPr>
        <w:rPr>
          <w:color w:val="000000"/>
          <w:szCs w:val="20"/>
        </w:rPr>
      </w:pPr>
      <w:r>
        <w:rPr>
          <w:color w:val="000000"/>
          <w:szCs w:val="20"/>
        </w:rPr>
        <w:t xml:space="preserve">          </w:t>
      </w:r>
      <w:r w:rsidR="002276C4">
        <w:rPr>
          <w:color w:val="000000"/>
          <w:szCs w:val="20"/>
        </w:rPr>
        <w:t>Not applicable.</w:t>
      </w:r>
    </w:p>
    <w:p w:rsidR="00CA6AE6" w:rsidRPr="0057093A" w:rsidRDefault="00CA6AE6" w:rsidP="00AE34E0">
      <w:pPr>
        <w:rPr>
          <w:color w:val="000000"/>
          <w:szCs w:val="20"/>
        </w:rPr>
      </w:pPr>
    </w:p>
    <w:p w:rsidR="00CA6AE6" w:rsidRDefault="00CA6AE6" w:rsidP="00AE34E0">
      <w:pPr>
        <w:tabs>
          <w:tab w:val="left" w:pos="432"/>
          <w:tab w:val="left" w:pos="1296"/>
          <w:tab w:val="left" w:pos="1728"/>
          <w:tab w:val="left" w:pos="4176"/>
        </w:tabs>
        <w:rPr>
          <w:color w:val="000000"/>
          <w:szCs w:val="20"/>
          <w:u w:val="single"/>
        </w:rPr>
      </w:pPr>
      <w:r w:rsidRPr="00C73C7B">
        <w:rPr>
          <w:color w:val="000000"/>
          <w:szCs w:val="20"/>
        </w:rPr>
        <w:t xml:space="preserve">17. </w:t>
      </w:r>
      <w:r w:rsidRPr="00C73C7B">
        <w:rPr>
          <w:color w:val="000000"/>
          <w:szCs w:val="20"/>
          <w:u w:val="single"/>
        </w:rPr>
        <w:t>Exceptions to Expiration Date Display</w:t>
      </w:r>
    </w:p>
    <w:p w:rsidR="00CA6AE6" w:rsidRPr="00C73C7B" w:rsidRDefault="00CA6AE6" w:rsidP="00AE34E0">
      <w:pPr>
        <w:tabs>
          <w:tab w:val="left" w:pos="432"/>
          <w:tab w:val="left" w:pos="1296"/>
          <w:tab w:val="left" w:pos="1728"/>
          <w:tab w:val="left" w:pos="4176"/>
        </w:tabs>
        <w:rPr>
          <w:color w:val="000000"/>
          <w:szCs w:val="20"/>
        </w:rPr>
      </w:pPr>
    </w:p>
    <w:p w:rsidR="00CA6AE6" w:rsidRPr="0057093A" w:rsidRDefault="00CA6AE6" w:rsidP="00AE34E0">
      <w:pPr>
        <w:keepNext/>
        <w:rPr>
          <w:color w:val="000000"/>
          <w:szCs w:val="20"/>
        </w:rPr>
      </w:pPr>
      <w:r>
        <w:rPr>
          <w:color w:val="000000"/>
          <w:szCs w:val="20"/>
        </w:rPr>
        <w:t xml:space="preserve">      </w:t>
      </w:r>
      <w:r w:rsidRPr="0057093A">
        <w:rPr>
          <w:color w:val="000000"/>
          <w:szCs w:val="20"/>
        </w:rPr>
        <w:t>None.</w:t>
      </w:r>
    </w:p>
    <w:p w:rsidR="00CA6AE6" w:rsidRPr="0057093A" w:rsidRDefault="00CA6AE6" w:rsidP="00AE34E0">
      <w:pPr>
        <w:keepNext/>
        <w:rPr>
          <w:color w:val="000000"/>
          <w:szCs w:val="20"/>
        </w:rPr>
      </w:pPr>
    </w:p>
    <w:p w:rsidR="00CA6AE6" w:rsidRPr="0057093A" w:rsidRDefault="00CA6AE6" w:rsidP="00AE34E0">
      <w:pPr>
        <w:keepNext/>
        <w:numPr>
          <w:ilvl w:val="0"/>
          <w:numId w:val="4"/>
        </w:numPr>
        <w:tabs>
          <w:tab w:val="left" w:pos="432"/>
          <w:tab w:val="left" w:pos="1728"/>
          <w:tab w:val="left" w:pos="4176"/>
        </w:tabs>
        <w:ind w:left="432" w:hanging="432"/>
        <w:rPr>
          <w:color w:val="000000"/>
          <w:szCs w:val="20"/>
        </w:rPr>
      </w:pPr>
      <w:r w:rsidRPr="0057093A">
        <w:rPr>
          <w:color w:val="000000"/>
          <w:szCs w:val="20"/>
          <w:u w:val="single"/>
        </w:rPr>
        <w:t>Exceptions to Certification</w:t>
      </w:r>
    </w:p>
    <w:p w:rsidR="00CA6AE6" w:rsidRPr="0057093A" w:rsidRDefault="00CA6AE6" w:rsidP="00AE34E0">
      <w:pPr>
        <w:keepNext/>
        <w:rPr>
          <w:color w:val="000000"/>
          <w:szCs w:val="20"/>
        </w:rPr>
      </w:pPr>
    </w:p>
    <w:p w:rsidR="00CA6AE6" w:rsidRPr="0057093A" w:rsidRDefault="00CA6AE6" w:rsidP="00AE34E0">
      <w:pPr>
        <w:keepNext/>
        <w:rPr>
          <w:color w:val="000000"/>
          <w:szCs w:val="20"/>
        </w:rPr>
      </w:pPr>
      <w:r>
        <w:rPr>
          <w:color w:val="000000"/>
          <w:szCs w:val="20"/>
        </w:rPr>
        <w:t xml:space="preserve">          </w:t>
      </w:r>
      <w:r w:rsidRPr="0057093A">
        <w:rPr>
          <w:color w:val="000000"/>
          <w:szCs w:val="20"/>
        </w:rPr>
        <w:t>None.</w:t>
      </w:r>
    </w:p>
    <w:p w:rsidR="00CA6AE6" w:rsidRPr="0057093A" w:rsidRDefault="00CA6AE6" w:rsidP="00AE34E0">
      <w:pPr>
        <w:keepNext/>
        <w:rPr>
          <w:color w:val="000000"/>
          <w:szCs w:val="20"/>
        </w:rPr>
      </w:pPr>
    </w:p>
    <w:p w:rsidR="00CA6AE6" w:rsidRDefault="00CA6AE6" w:rsidP="00AE34E0">
      <w:pPr>
        <w:suppressAutoHyphens/>
        <w:rPr>
          <w:szCs w:val="20"/>
          <w:u w:val="single"/>
        </w:rPr>
      </w:pPr>
      <w:r w:rsidRPr="0057093A">
        <w:rPr>
          <w:szCs w:val="20"/>
        </w:rPr>
        <w:t xml:space="preserve">B.  </w:t>
      </w:r>
      <w:r w:rsidRPr="0057093A">
        <w:rPr>
          <w:szCs w:val="20"/>
          <w:u w:val="single"/>
        </w:rPr>
        <w:t>COLLECTION OF INFORMATION EMPLOYING STATISTICAL METHODS</w:t>
      </w:r>
    </w:p>
    <w:p w:rsidR="00CA6AE6" w:rsidRPr="0057093A" w:rsidRDefault="00CA6AE6" w:rsidP="00AE34E0">
      <w:pPr>
        <w:suppressAutoHyphens/>
        <w:rPr>
          <w:szCs w:val="20"/>
        </w:rPr>
      </w:pPr>
    </w:p>
    <w:p w:rsidR="00CA6AE6" w:rsidRDefault="00CA6AE6" w:rsidP="00AE34E0">
      <w:pPr>
        <w:tabs>
          <w:tab w:val="left" w:pos="-720"/>
          <w:tab w:val="left" w:pos="0"/>
          <w:tab w:val="left" w:pos="1008"/>
          <w:tab w:val="left" w:pos="2160"/>
          <w:tab w:val="left" w:pos="4176"/>
          <w:tab w:val="left" w:pos="5472"/>
          <w:tab w:val="left" w:pos="6912"/>
        </w:tabs>
        <w:suppressAutoHyphens/>
        <w:rPr>
          <w:szCs w:val="20"/>
        </w:rPr>
      </w:pPr>
      <w:r>
        <w:rPr>
          <w:szCs w:val="20"/>
        </w:rPr>
        <w:t xml:space="preserve">         </w:t>
      </w:r>
      <w:r w:rsidRPr="0057093A">
        <w:rPr>
          <w:szCs w:val="20"/>
        </w:rPr>
        <w:t>Not applicable.</w:t>
      </w:r>
    </w:p>
    <w:p w:rsidR="00CA6AE6" w:rsidRPr="00300FF7" w:rsidRDefault="00CA6AE6" w:rsidP="00300FF7">
      <w:pPr>
        <w:tabs>
          <w:tab w:val="left" w:pos="-720"/>
          <w:tab w:val="left" w:pos="0"/>
          <w:tab w:val="left" w:pos="1008"/>
          <w:tab w:val="left" w:pos="2160"/>
          <w:tab w:val="left" w:pos="4176"/>
          <w:tab w:val="left" w:pos="5472"/>
          <w:tab w:val="left" w:pos="6912"/>
        </w:tabs>
        <w:suppressAutoHyphens/>
        <w:rPr>
          <w:szCs w:val="20"/>
        </w:rPr>
      </w:pPr>
    </w:p>
    <w:sectPr w:rsidR="00CA6AE6" w:rsidRPr="00300FF7" w:rsidSect="008A5FFD">
      <w:footerReference w:type="even" r:id="rId8"/>
      <w:footerReference w:type="default" r:id="rId9"/>
      <w:endnotePr>
        <w:numFmt w:val="decimal"/>
      </w:endnotePr>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4EF" w:rsidRDefault="004434EF">
      <w:r>
        <w:separator/>
      </w:r>
    </w:p>
  </w:endnote>
  <w:endnote w:type="continuationSeparator" w:id="0">
    <w:p w:rsidR="004434EF" w:rsidRDefault="00443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69E" w:rsidRDefault="001671BC">
    <w:pPr>
      <w:pStyle w:val="Footer"/>
      <w:framePr w:wrap="around" w:vAnchor="text" w:hAnchor="margin" w:xAlign="center" w:y="1"/>
      <w:rPr>
        <w:rStyle w:val="PageNumber"/>
      </w:rPr>
    </w:pPr>
    <w:r>
      <w:rPr>
        <w:rStyle w:val="PageNumber"/>
      </w:rPr>
      <w:fldChar w:fldCharType="begin"/>
    </w:r>
    <w:r w:rsidR="00AB569E">
      <w:rPr>
        <w:rStyle w:val="PageNumber"/>
      </w:rPr>
      <w:instrText xml:space="preserve">PAGE  </w:instrText>
    </w:r>
    <w:r>
      <w:rPr>
        <w:rStyle w:val="PageNumber"/>
      </w:rPr>
      <w:fldChar w:fldCharType="separate"/>
    </w:r>
    <w:r w:rsidR="00AB569E">
      <w:rPr>
        <w:rStyle w:val="PageNumber"/>
        <w:noProof/>
      </w:rPr>
      <w:t>13</w:t>
    </w:r>
    <w:r>
      <w:rPr>
        <w:rStyle w:val="PageNumber"/>
      </w:rPr>
      <w:fldChar w:fldCharType="end"/>
    </w:r>
  </w:p>
  <w:p w:rsidR="00AB569E" w:rsidRDefault="00AB56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69E" w:rsidRDefault="001671BC">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sidR="00AB569E">
      <w:rPr>
        <w:rStyle w:val="PageNumber"/>
        <w:rFonts w:ascii="Times New Roman" w:hAnsi="Times New Roman"/>
      </w:rPr>
      <w:instrText xml:space="preserve">PAGE  </w:instrText>
    </w:r>
    <w:r>
      <w:rPr>
        <w:rStyle w:val="PageNumber"/>
        <w:rFonts w:ascii="Times New Roman" w:hAnsi="Times New Roman"/>
      </w:rPr>
      <w:fldChar w:fldCharType="separate"/>
    </w:r>
    <w:r w:rsidR="0062496B">
      <w:rPr>
        <w:rStyle w:val="PageNumber"/>
        <w:rFonts w:ascii="Times New Roman" w:hAnsi="Times New Roman"/>
        <w:noProof/>
      </w:rPr>
      <w:t>4</w:t>
    </w:r>
    <w:r>
      <w:rPr>
        <w:rStyle w:val="PageNumber"/>
        <w:rFonts w:ascii="Times New Roman" w:hAnsi="Times New Roman"/>
      </w:rPr>
      <w:fldChar w:fldCharType="end"/>
    </w:r>
  </w:p>
  <w:p w:rsidR="00AB569E" w:rsidRDefault="00AB56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4EF" w:rsidRDefault="004434EF">
      <w:r>
        <w:separator/>
      </w:r>
    </w:p>
  </w:footnote>
  <w:footnote w:type="continuationSeparator" w:id="0">
    <w:p w:rsidR="004434EF" w:rsidRDefault="004434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A3E24"/>
    <w:multiLevelType w:val="hybridMultilevel"/>
    <w:tmpl w:val="61C2AE0C"/>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02F202D"/>
    <w:multiLevelType w:val="hybridMultilevel"/>
    <w:tmpl w:val="C4AEC054"/>
    <w:lvl w:ilvl="0" w:tplc="C2FE14D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512909"/>
    <w:multiLevelType w:val="hybridMultilevel"/>
    <w:tmpl w:val="FBC2D2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5E06C07"/>
    <w:multiLevelType w:val="hybridMultilevel"/>
    <w:tmpl w:val="48820EEC"/>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4" w15:restartNumberingAfterBreak="0">
    <w:nsid w:val="16543B8E"/>
    <w:multiLevelType w:val="hybridMultilevel"/>
    <w:tmpl w:val="D068BD24"/>
    <w:lvl w:ilvl="0" w:tplc="D514142C">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341427"/>
    <w:multiLevelType w:val="hybridMultilevel"/>
    <w:tmpl w:val="BAFE2BC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 w15:restartNumberingAfterBreak="0">
    <w:nsid w:val="27BD2C1B"/>
    <w:multiLevelType w:val="singleLevel"/>
    <w:tmpl w:val="7A044780"/>
    <w:lvl w:ilvl="0">
      <w:start w:val="9"/>
      <w:numFmt w:val="decimal"/>
      <w:lvlText w:val="%1."/>
      <w:lvlJc w:val="left"/>
      <w:pPr>
        <w:tabs>
          <w:tab w:val="num" w:pos="1290"/>
        </w:tabs>
        <w:ind w:left="1290" w:hanging="855"/>
      </w:pPr>
      <w:rPr>
        <w:rFonts w:cs="Times New Roman" w:hint="default"/>
      </w:rPr>
    </w:lvl>
  </w:abstractNum>
  <w:abstractNum w:abstractNumId="7" w15:restartNumberingAfterBreak="0">
    <w:nsid w:val="2E703965"/>
    <w:multiLevelType w:val="singleLevel"/>
    <w:tmpl w:val="1B4C93C4"/>
    <w:lvl w:ilvl="0">
      <w:start w:val="18"/>
      <w:numFmt w:val="decimal"/>
      <w:lvlText w:val="%1."/>
      <w:lvlJc w:val="left"/>
      <w:pPr>
        <w:tabs>
          <w:tab w:val="num" w:pos="1035"/>
        </w:tabs>
        <w:ind w:left="1035" w:hanging="855"/>
      </w:pPr>
      <w:rPr>
        <w:rFonts w:cs="Times New Roman" w:hint="default"/>
      </w:rPr>
    </w:lvl>
  </w:abstractNum>
  <w:abstractNum w:abstractNumId="8" w15:restartNumberingAfterBreak="0">
    <w:nsid w:val="30503B3C"/>
    <w:multiLevelType w:val="hybridMultilevel"/>
    <w:tmpl w:val="1EA89792"/>
    <w:lvl w:ilvl="0" w:tplc="49F221A6">
      <w:start w:val="12"/>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9" w15:restartNumberingAfterBreak="0">
    <w:nsid w:val="32854B65"/>
    <w:multiLevelType w:val="singleLevel"/>
    <w:tmpl w:val="575E362A"/>
    <w:lvl w:ilvl="0">
      <w:start w:val="14"/>
      <w:numFmt w:val="decimal"/>
      <w:lvlText w:val="%1."/>
      <w:lvlJc w:val="left"/>
      <w:pPr>
        <w:tabs>
          <w:tab w:val="num" w:pos="1290"/>
        </w:tabs>
        <w:ind w:left="1290" w:hanging="855"/>
      </w:pPr>
      <w:rPr>
        <w:rFonts w:cs="Times New Roman" w:hint="default"/>
      </w:rPr>
    </w:lvl>
  </w:abstractNum>
  <w:abstractNum w:abstractNumId="10" w15:restartNumberingAfterBreak="0">
    <w:nsid w:val="352621A9"/>
    <w:multiLevelType w:val="singleLevel"/>
    <w:tmpl w:val="F1EA4D98"/>
    <w:lvl w:ilvl="0">
      <w:start w:val="5"/>
      <w:numFmt w:val="decimal"/>
      <w:lvlText w:val="%1."/>
      <w:lvlJc w:val="left"/>
      <w:pPr>
        <w:tabs>
          <w:tab w:val="num" w:pos="1287"/>
        </w:tabs>
        <w:ind w:left="1287" w:hanging="855"/>
      </w:pPr>
      <w:rPr>
        <w:rFonts w:cs="Times New Roman" w:hint="default"/>
        <w:u w:val="none"/>
      </w:rPr>
    </w:lvl>
  </w:abstractNum>
  <w:abstractNum w:abstractNumId="11" w15:restartNumberingAfterBreak="0">
    <w:nsid w:val="3759166F"/>
    <w:multiLevelType w:val="hybridMultilevel"/>
    <w:tmpl w:val="CDE07E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E86332"/>
    <w:multiLevelType w:val="hybridMultilevel"/>
    <w:tmpl w:val="93443CB2"/>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01E6FA6"/>
    <w:multiLevelType w:val="hybridMultilevel"/>
    <w:tmpl w:val="BE4E676C"/>
    <w:lvl w:ilvl="0" w:tplc="9F90DD5C">
      <w:start w:val="4"/>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14" w15:restartNumberingAfterBreak="0">
    <w:nsid w:val="5433787C"/>
    <w:multiLevelType w:val="hybridMultilevel"/>
    <w:tmpl w:val="CE2ADA64"/>
    <w:lvl w:ilvl="0" w:tplc="2B1C44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15" w15:restartNumberingAfterBreak="0">
    <w:nsid w:val="6B0205E3"/>
    <w:multiLevelType w:val="hybridMultilevel"/>
    <w:tmpl w:val="AFA27DB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084413A"/>
    <w:multiLevelType w:val="hybridMultilevel"/>
    <w:tmpl w:val="0352DE5E"/>
    <w:lvl w:ilvl="0" w:tplc="9F8C399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8125EE"/>
    <w:multiLevelType w:val="hybridMultilevel"/>
    <w:tmpl w:val="F1029F2C"/>
    <w:lvl w:ilvl="0" w:tplc="DACE9684">
      <w:start w:val="1"/>
      <w:numFmt w:val="upperLetter"/>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7B6A5C44"/>
    <w:multiLevelType w:val="hybridMultilevel"/>
    <w:tmpl w:val="C86C52E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9" w15:restartNumberingAfterBreak="0">
    <w:nsid w:val="7B803481"/>
    <w:multiLevelType w:val="hybridMultilevel"/>
    <w:tmpl w:val="F22C33CE"/>
    <w:lvl w:ilvl="0" w:tplc="D3C2420A">
      <w:start w:val="1"/>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num w:numId="1">
    <w:abstractNumId w:val="10"/>
  </w:num>
  <w:num w:numId="2">
    <w:abstractNumId w:val="6"/>
  </w:num>
  <w:num w:numId="3">
    <w:abstractNumId w:val="9"/>
  </w:num>
  <w:num w:numId="4">
    <w:abstractNumId w:val="7"/>
  </w:num>
  <w:num w:numId="5">
    <w:abstractNumId w:val="19"/>
  </w:num>
  <w:num w:numId="6">
    <w:abstractNumId w:val="13"/>
  </w:num>
  <w:num w:numId="7">
    <w:abstractNumId w:val="8"/>
  </w:num>
  <w:num w:numId="8">
    <w:abstractNumId w:val="4"/>
  </w:num>
  <w:num w:numId="9">
    <w:abstractNumId w:val="16"/>
  </w:num>
  <w:num w:numId="10">
    <w:abstractNumId w:val="17"/>
  </w:num>
  <w:num w:numId="11">
    <w:abstractNumId w:val="2"/>
  </w:num>
  <w:num w:numId="12">
    <w:abstractNumId w:val="15"/>
  </w:num>
  <w:num w:numId="13">
    <w:abstractNumId w:val="3"/>
  </w:num>
  <w:num w:numId="14">
    <w:abstractNumId w:val="14"/>
  </w:num>
  <w:num w:numId="15">
    <w:abstractNumId w:val="1"/>
  </w:num>
  <w:num w:numId="16">
    <w:abstractNumId w:val="11"/>
  </w:num>
  <w:num w:numId="17">
    <w:abstractNumId w:val="5"/>
  </w:num>
  <w:num w:numId="18">
    <w:abstractNumId w:val="12"/>
  </w:num>
  <w:num w:numId="19">
    <w:abstractNumId w:val="0"/>
  </w:num>
  <w:num w:numId="20">
    <w:abstractNumId w:val="18"/>
  </w:num>
  <w:num w:numId="21">
    <w:abstractNumId w:val="3"/>
  </w:num>
  <w:num w:numId="22">
    <w:abstractNumId w:val="0"/>
  </w:num>
  <w:num w:numId="23">
    <w:abstractNumId w:val="18"/>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93A"/>
    <w:rsid w:val="0000599F"/>
    <w:rsid w:val="000108AC"/>
    <w:rsid w:val="000142A5"/>
    <w:rsid w:val="0001704F"/>
    <w:rsid w:val="000178F9"/>
    <w:rsid w:val="00021991"/>
    <w:rsid w:val="000268BB"/>
    <w:rsid w:val="00027A28"/>
    <w:rsid w:val="00033A04"/>
    <w:rsid w:val="00045ED1"/>
    <w:rsid w:val="00047149"/>
    <w:rsid w:val="000763C7"/>
    <w:rsid w:val="0007696C"/>
    <w:rsid w:val="00084B79"/>
    <w:rsid w:val="00091FA1"/>
    <w:rsid w:val="000955DF"/>
    <w:rsid w:val="00097C68"/>
    <w:rsid w:val="000A1AC8"/>
    <w:rsid w:val="000A457D"/>
    <w:rsid w:val="000A499B"/>
    <w:rsid w:val="000B0338"/>
    <w:rsid w:val="000B4C56"/>
    <w:rsid w:val="000C6752"/>
    <w:rsid w:val="000D3228"/>
    <w:rsid w:val="000D5B2A"/>
    <w:rsid w:val="000E2B81"/>
    <w:rsid w:val="000E306E"/>
    <w:rsid w:val="000E37A6"/>
    <w:rsid w:val="000E78BD"/>
    <w:rsid w:val="000F15CC"/>
    <w:rsid w:val="001123DE"/>
    <w:rsid w:val="001212C3"/>
    <w:rsid w:val="00122748"/>
    <w:rsid w:val="001253C6"/>
    <w:rsid w:val="00132276"/>
    <w:rsid w:val="00134EF6"/>
    <w:rsid w:val="0013638D"/>
    <w:rsid w:val="001454CF"/>
    <w:rsid w:val="001501BE"/>
    <w:rsid w:val="00156CDE"/>
    <w:rsid w:val="001653AA"/>
    <w:rsid w:val="00166EE7"/>
    <w:rsid w:val="001671BC"/>
    <w:rsid w:val="00172AC4"/>
    <w:rsid w:val="00180FD6"/>
    <w:rsid w:val="00195BF7"/>
    <w:rsid w:val="001A1F72"/>
    <w:rsid w:val="001A22FF"/>
    <w:rsid w:val="001A28F7"/>
    <w:rsid w:val="001A2F44"/>
    <w:rsid w:val="001A4D5C"/>
    <w:rsid w:val="001B0EF5"/>
    <w:rsid w:val="001B462D"/>
    <w:rsid w:val="001C15A4"/>
    <w:rsid w:val="001E01CC"/>
    <w:rsid w:val="001E1E82"/>
    <w:rsid w:val="001E7813"/>
    <w:rsid w:val="001E7D11"/>
    <w:rsid w:val="001F1307"/>
    <w:rsid w:val="001F26AB"/>
    <w:rsid w:val="001F3330"/>
    <w:rsid w:val="001F442E"/>
    <w:rsid w:val="001F5F2A"/>
    <w:rsid w:val="00207BFF"/>
    <w:rsid w:val="002276C4"/>
    <w:rsid w:val="002370D8"/>
    <w:rsid w:val="0024348A"/>
    <w:rsid w:val="00244FE8"/>
    <w:rsid w:val="00245252"/>
    <w:rsid w:val="00245BCB"/>
    <w:rsid w:val="002549A7"/>
    <w:rsid w:val="0026359E"/>
    <w:rsid w:val="002704C5"/>
    <w:rsid w:val="002822B8"/>
    <w:rsid w:val="002866D4"/>
    <w:rsid w:val="00292AF4"/>
    <w:rsid w:val="00294B40"/>
    <w:rsid w:val="002A25A0"/>
    <w:rsid w:val="002A30A7"/>
    <w:rsid w:val="002A5DD8"/>
    <w:rsid w:val="002B0C9F"/>
    <w:rsid w:val="002B62CE"/>
    <w:rsid w:val="002B641E"/>
    <w:rsid w:val="002B6882"/>
    <w:rsid w:val="002C22E8"/>
    <w:rsid w:val="002C2605"/>
    <w:rsid w:val="002C6EB7"/>
    <w:rsid w:val="002D4F92"/>
    <w:rsid w:val="002D5409"/>
    <w:rsid w:val="002E5DD1"/>
    <w:rsid w:val="002F3BC8"/>
    <w:rsid w:val="00300FF7"/>
    <w:rsid w:val="00306CF3"/>
    <w:rsid w:val="00312F97"/>
    <w:rsid w:val="00313481"/>
    <w:rsid w:val="003159D9"/>
    <w:rsid w:val="00315DE6"/>
    <w:rsid w:val="00317260"/>
    <w:rsid w:val="00320518"/>
    <w:rsid w:val="003206CB"/>
    <w:rsid w:val="00333A85"/>
    <w:rsid w:val="003420C6"/>
    <w:rsid w:val="003460C7"/>
    <w:rsid w:val="003467C7"/>
    <w:rsid w:val="003617D7"/>
    <w:rsid w:val="00364C55"/>
    <w:rsid w:val="00366717"/>
    <w:rsid w:val="0037145D"/>
    <w:rsid w:val="00371B47"/>
    <w:rsid w:val="00372CA3"/>
    <w:rsid w:val="00381C36"/>
    <w:rsid w:val="00383D87"/>
    <w:rsid w:val="00387409"/>
    <w:rsid w:val="003879BC"/>
    <w:rsid w:val="00397B30"/>
    <w:rsid w:val="003A0159"/>
    <w:rsid w:val="003B1304"/>
    <w:rsid w:val="003C0E89"/>
    <w:rsid w:val="003C7D9C"/>
    <w:rsid w:val="003D7B2E"/>
    <w:rsid w:val="003E280D"/>
    <w:rsid w:val="003E7270"/>
    <w:rsid w:val="004055FF"/>
    <w:rsid w:val="00405787"/>
    <w:rsid w:val="0040759C"/>
    <w:rsid w:val="0043127D"/>
    <w:rsid w:val="004324DE"/>
    <w:rsid w:val="00434DA1"/>
    <w:rsid w:val="004434EF"/>
    <w:rsid w:val="00443BF9"/>
    <w:rsid w:val="00456357"/>
    <w:rsid w:val="004707AE"/>
    <w:rsid w:val="00481352"/>
    <w:rsid w:val="00487CD9"/>
    <w:rsid w:val="00493EDC"/>
    <w:rsid w:val="0049470D"/>
    <w:rsid w:val="004A5DE7"/>
    <w:rsid w:val="004D05FB"/>
    <w:rsid w:val="004D305D"/>
    <w:rsid w:val="004D3B50"/>
    <w:rsid w:val="004F1A3A"/>
    <w:rsid w:val="004F2D31"/>
    <w:rsid w:val="004F7520"/>
    <w:rsid w:val="00512733"/>
    <w:rsid w:val="005350C8"/>
    <w:rsid w:val="00535700"/>
    <w:rsid w:val="0054027F"/>
    <w:rsid w:val="005422EE"/>
    <w:rsid w:val="00543BC4"/>
    <w:rsid w:val="00550020"/>
    <w:rsid w:val="0055239E"/>
    <w:rsid w:val="00561D75"/>
    <w:rsid w:val="00565713"/>
    <w:rsid w:val="0057093A"/>
    <w:rsid w:val="005709F9"/>
    <w:rsid w:val="005832F4"/>
    <w:rsid w:val="005849BB"/>
    <w:rsid w:val="005A2FD3"/>
    <w:rsid w:val="005A68E5"/>
    <w:rsid w:val="005B4B4B"/>
    <w:rsid w:val="005C6FB0"/>
    <w:rsid w:val="005D1CD8"/>
    <w:rsid w:val="005D31A9"/>
    <w:rsid w:val="005D738A"/>
    <w:rsid w:val="005E1469"/>
    <w:rsid w:val="005E7804"/>
    <w:rsid w:val="005F179D"/>
    <w:rsid w:val="005F2F23"/>
    <w:rsid w:val="005F40AF"/>
    <w:rsid w:val="00610CCD"/>
    <w:rsid w:val="00620482"/>
    <w:rsid w:val="006238B0"/>
    <w:rsid w:val="0062496B"/>
    <w:rsid w:val="00633AAE"/>
    <w:rsid w:val="00657DEF"/>
    <w:rsid w:val="00676FA2"/>
    <w:rsid w:val="00686506"/>
    <w:rsid w:val="00690152"/>
    <w:rsid w:val="00692323"/>
    <w:rsid w:val="00695524"/>
    <w:rsid w:val="006A68A3"/>
    <w:rsid w:val="006A71AF"/>
    <w:rsid w:val="006B43CC"/>
    <w:rsid w:val="006B61AE"/>
    <w:rsid w:val="006B747C"/>
    <w:rsid w:val="006C25D8"/>
    <w:rsid w:val="006C3142"/>
    <w:rsid w:val="006C399E"/>
    <w:rsid w:val="006C3A41"/>
    <w:rsid w:val="006E5622"/>
    <w:rsid w:val="006E5E3B"/>
    <w:rsid w:val="006E764B"/>
    <w:rsid w:val="006F76FA"/>
    <w:rsid w:val="00702CFD"/>
    <w:rsid w:val="00716434"/>
    <w:rsid w:val="00716DE0"/>
    <w:rsid w:val="007175DC"/>
    <w:rsid w:val="00726A1B"/>
    <w:rsid w:val="007330D2"/>
    <w:rsid w:val="00736599"/>
    <w:rsid w:val="007445F3"/>
    <w:rsid w:val="00761714"/>
    <w:rsid w:val="00764530"/>
    <w:rsid w:val="0076599A"/>
    <w:rsid w:val="00770607"/>
    <w:rsid w:val="00770C43"/>
    <w:rsid w:val="00784C0B"/>
    <w:rsid w:val="007A4723"/>
    <w:rsid w:val="007A4D6B"/>
    <w:rsid w:val="007A7EBE"/>
    <w:rsid w:val="007C28BF"/>
    <w:rsid w:val="007D5609"/>
    <w:rsid w:val="007F0FF0"/>
    <w:rsid w:val="007F5145"/>
    <w:rsid w:val="00800DEE"/>
    <w:rsid w:val="008026FF"/>
    <w:rsid w:val="00810932"/>
    <w:rsid w:val="00815C5A"/>
    <w:rsid w:val="00817CD2"/>
    <w:rsid w:val="0082076B"/>
    <w:rsid w:val="008214CF"/>
    <w:rsid w:val="00824F9F"/>
    <w:rsid w:val="008508DF"/>
    <w:rsid w:val="00851688"/>
    <w:rsid w:val="00853596"/>
    <w:rsid w:val="00855652"/>
    <w:rsid w:val="00863A73"/>
    <w:rsid w:val="00864D19"/>
    <w:rsid w:val="00864EC9"/>
    <w:rsid w:val="0086663A"/>
    <w:rsid w:val="00872559"/>
    <w:rsid w:val="00883889"/>
    <w:rsid w:val="008861AE"/>
    <w:rsid w:val="008A5FFD"/>
    <w:rsid w:val="008D4A04"/>
    <w:rsid w:val="00905279"/>
    <w:rsid w:val="00910C95"/>
    <w:rsid w:val="009131CF"/>
    <w:rsid w:val="00925DD0"/>
    <w:rsid w:val="00947F65"/>
    <w:rsid w:val="00972A49"/>
    <w:rsid w:val="0097330C"/>
    <w:rsid w:val="0098622E"/>
    <w:rsid w:val="00986ACB"/>
    <w:rsid w:val="00986BCD"/>
    <w:rsid w:val="009872D2"/>
    <w:rsid w:val="009910AF"/>
    <w:rsid w:val="009A54A9"/>
    <w:rsid w:val="009B4C7A"/>
    <w:rsid w:val="009D1FD1"/>
    <w:rsid w:val="009E5070"/>
    <w:rsid w:val="009E7C53"/>
    <w:rsid w:val="009E7F93"/>
    <w:rsid w:val="009F5A69"/>
    <w:rsid w:val="00A03240"/>
    <w:rsid w:val="00A06F30"/>
    <w:rsid w:val="00A16794"/>
    <w:rsid w:val="00A248E8"/>
    <w:rsid w:val="00A26094"/>
    <w:rsid w:val="00A33182"/>
    <w:rsid w:val="00A34FBA"/>
    <w:rsid w:val="00A3523F"/>
    <w:rsid w:val="00A3679A"/>
    <w:rsid w:val="00A45144"/>
    <w:rsid w:val="00A63BEA"/>
    <w:rsid w:val="00A759DF"/>
    <w:rsid w:val="00A85FAA"/>
    <w:rsid w:val="00A874E5"/>
    <w:rsid w:val="00A97A9C"/>
    <w:rsid w:val="00AA00E1"/>
    <w:rsid w:val="00AA1A95"/>
    <w:rsid w:val="00AA4A49"/>
    <w:rsid w:val="00AB120E"/>
    <w:rsid w:val="00AB2620"/>
    <w:rsid w:val="00AB2C89"/>
    <w:rsid w:val="00AB569E"/>
    <w:rsid w:val="00AD547D"/>
    <w:rsid w:val="00AD6972"/>
    <w:rsid w:val="00AE34E0"/>
    <w:rsid w:val="00AE564D"/>
    <w:rsid w:val="00AF242F"/>
    <w:rsid w:val="00AF3510"/>
    <w:rsid w:val="00AF5344"/>
    <w:rsid w:val="00AF5FDD"/>
    <w:rsid w:val="00AF66F9"/>
    <w:rsid w:val="00B12254"/>
    <w:rsid w:val="00B17E02"/>
    <w:rsid w:val="00B25D6A"/>
    <w:rsid w:val="00B26CB2"/>
    <w:rsid w:val="00B32403"/>
    <w:rsid w:val="00B33728"/>
    <w:rsid w:val="00B34BE2"/>
    <w:rsid w:val="00B35440"/>
    <w:rsid w:val="00B403CA"/>
    <w:rsid w:val="00B537FB"/>
    <w:rsid w:val="00B538A4"/>
    <w:rsid w:val="00B57916"/>
    <w:rsid w:val="00B754A0"/>
    <w:rsid w:val="00B778E2"/>
    <w:rsid w:val="00B83621"/>
    <w:rsid w:val="00BA13FC"/>
    <w:rsid w:val="00BA7588"/>
    <w:rsid w:val="00BB1499"/>
    <w:rsid w:val="00BB39A4"/>
    <w:rsid w:val="00BC2CD0"/>
    <w:rsid w:val="00BD630F"/>
    <w:rsid w:val="00BD6484"/>
    <w:rsid w:val="00BE1183"/>
    <w:rsid w:val="00BE2FFC"/>
    <w:rsid w:val="00C0119C"/>
    <w:rsid w:val="00C01591"/>
    <w:rsid w:val="00C370C3"/>
    <w:rsid w:val="00C44C8A"/>
    <w:rsid w:val="00C44D42"/>
    <w:rsid w:val="00C56D25"/>
    <w:rsid w:val="00C5719D"/>
    <w:rsid w:val="00C66BDF"/>
    <w:rsid w:val="00C6736B"/>
    <w:rsid w:val="00C73C7B"/>
    <w:rsid w:val="00C8008F"/>
    <w:rsid w:val="00C808A5"/>
    <w:rsid w:val="00C847CC"/>
    <w:rsid w:val="00CA0CCB"/>
    <w:rsid w:val="00CA6AE6"/>
    <w:rsid w:val="00CA6B7B"/>
    <w:rsid w:val="00CB02BA"/>
    <w:rsid w:val="00CB2C2B"/>
    <w:rsid w:val="00CB4597"/>
    <w:rsid w:val="00CB7144"/>
    <w:rsid w:val="00CD58C0"/>
    <w:rsid w:val="00CE1D93"/>
    <w:rsid w:val="00CE6FC5"/>
    <w:rsid w:val="00CF1887"/>
    <w:rsid w:val="00CF2DB5"/>
    <w:rsid w:val="00CF4177"/>
    <w:rsid w:val="00CF45ED"/>
    <w:rsid w:val="00CF6677"/>
    <w:rsid w:val="00D03AAD"/>
    <w:rsid w:val="00D156AD"/>
    <w:rsid w:val="00D16310"/>
    <w:rsid w:val="00D24E5A"/>
    <w:rsid w:val="00D33C3E"/>
    <w:rsid w:val="00D35EEE"/>
    <w:rsid w:val="00D4647C"/>
    <w:rsid w:val="00D57E0B"/>
    <w:rsid w:val="00D60287"/>
    <w:rsid w:val="00D61364"/>
    <w:rsid w:val="00D66E11"/>
    <w:rsid w:val="00D67CD8"/>
    <w:rsid w:val="00D8196E"/>
    <w:rsid w:val="00D8409D"/>
    <w:rsid w:val="00D84657"/>
    <w:rsid w:val="00D87654"/>
    <w:rsid w:val="00D94A05"/>
    <w:rsid w:val="00D95C8C"/>
    <w:rsid w:val="00DA2264"/>
    <w:rsid w:val="00DA7BD7"/>
    <w:rsid w:val="00DB0B3E"/>
    <w:rsid w:val="00DB680D"/>
    <w:rsid w:val="00DC10AE"/>
    <w:rsid w:val="00DC39A6"/>
    <w:rsid w:val="00DC6A94"/>
    <w:rsid w:val="00DD2499"/>
    <w:rsid w:val="00DD3684"/>
    <w:rsid w:val="00DE5E35"/>
    <w:rsid w:val="00DF32EB"/>
    <w:rsid w:val="00DF4BE6"/>
    <w:rsid w:val="00DF50D1"/>
    <w:rsid w:val="00DF6477"/>
    <w:rsid w:val="00E04FB7"/>
    <w:rsid w:val="00E060FC"/>
    <w:rsid w:val="00E27F60"/>
    <w:rsid w:val="00E32CDD"/>
    <w:rsid w:val="00E360F4"/>
    <w:rsid w:val="00E431CD"/>
    <w:rsid w:val="00E43304"/>
    <w:rsid w:val="00E503F2"/>
    <w:rsid w:val="00E506E9"/>
    <w:rsid w:val="00E51177"/>
    <w:rsid w:val="00E56573"/>
    <w:rsid w:val="00E6276E"/>
    <w:rsid w:val="00E721CE"/>
    <w:rsid w:val="00E73E62"/>
    <w:rsid w:val="00E87164"/>
    <w:rsid w:val="00EA1137"/>
    <w:rsid w:val="00EB140A"/>
    <w:rsid w:val="00EB35EE"/>
    <w:rsid w:val="00EB73A2"/>
    <w:rsid w:val="00EC3358"/>
    <w:rsid w:val="00EE147F"/>
    <w:rsid w:val="00EE347E"/>
    <w:rsid w:val="00EE4763"/>
    <w:rsid w:val="00EF610E"/>
    <w:rsid w:val="00F0661F"/>
    <w:rsid w:val="00F11281"/>
    <w:rsid w:val="00F25659"/>
    <w:rsid w:val="00F31B26"/>
    <w:rsid w:val="00F34BA6"/>
    <w:rsid w:val="00F401C7"/>
    <w:rsid w:val="00F40221"/>
    <w:rsid w:val="00F519AA"/>
    <w:rsid w:val="00F533B8"/>
    <w:rsid w:val="00F62D8D"/>
    <w:rsid w:val="00F66B04"/>
    <w:rsid w:val="00F80618"/>
    <w:rsid w:val="00F90FD4"/>
    <w:rsid w:val="00FA6F27"/>
    <w:rsid w:val="00FE07BC"/>
    <w:rsid w:val="00FF15EC"/>
    <w:rsid w:val="00FF2455"/>
    <w:rsid w:val="00FF384F"/>
    <w:rsid w:val="00FF4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C70664B-18D2-4905-89C6-D1D8EF9C0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D87"/>
    <w:rPr>
      <w:sz w:val="24"/>
      <w:szCs w:val="24"/>
    </w:rPr>
  </w:style>
  <w:style w:type="paragraph" w:styleId="Heading2">
    <w:name w:val="heading 2"/>
    <w:basedOn w:val="Normal"/>
    <w:next w:val="Normal"/>
    <w:link w:val="Heading2Char"/>
    <w:qFormat/>
    <w:locked/>
    <w:rsid w:val="002E5DD1"/>
    <w:pPr>
      <w:keepNext/>
      <w:widowControl w:val="0"/>
      <w:outlineLvl w:val="1"/>
    </w:pPr>
    <w:rPr>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57093A"/>
    <w:rPr>
      <w:rFonts w:cs="Times New Roman"/>
    </w:rPr>
  </w:style>
  <w:style w:type="paragraph" w:styleId="Footer">
    <w:name w:val="footer"/>
    <w:basedOn w:val="Normal"/>
    <w:link w:val="FooterChar"/>
    <w:uiPriority w:val="99"/>
    <w:rsid w:val="0057093A"/>
    <w:pPr>
      <w:widowControl w:val="0"/>
      <w:tabs>
        <w:tab w:val="center" w:pos="4320"/>
        <w:tab w:val="right" w:pos="8640"/>
      </w:tabs>
    </w:pPr>
    <w:rPr>
      <w:rFonts w:ascii="Courier" w:hAnsi="Courier"/>
      <w:szCs w:val="20"/>
    </w:rPr>
  </w:style>
  <w:style w:type="character" w:customStyle="1" w:styleId="FooterChar">
    <w:name w:val="Footer Char"/>
    <w:basedOn w:val="DefaultParagraphFont"/>
    <w:link w:val="Footer"/>
    <w:uiPriority w:val="99"/>
    <w:semiHidden/>
    <w:rsid w:val="00D25E74"/>
    <w:rPr>
      <w:sz w:val="24"/>
      <w:szCs w:val="24"/>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rsid w:val="0057093A"/>
    <w:rPr>
      <w:sz w:val="20"/>
      <w:szCs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locked/>
    <w:rsid w:val="00180FD6"/>
    <w:rPr>
      <w:rFonts w:cs="Times New Roman"/>
      <w:lang w:val="en-US" w:eastAsia="en-US" w:bidi="ar-SA"/>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w:basedOn w:val="DefaultParagraphFont"/>
    <w:rsid w:val="0057093A"/>
    <w:rPr>
      <w:rFonts w:cs="Times New Roman"/>
      <w:vertAlign w:val="superscript"/>
    </w:rPr>
  </w:style>
  <w:style w:type="paragraph" w:styleId="Header">
    <w:name w:val="header"/>
    <w:basedOn w:val="Normal"/>
    <w:link w:val="HeaderChar"/>
    <w:uiPriority w:val="99"/>
    <w:rsid w:val="0057093A"/>
    <w:pPr>
      <w:tabs>
        <w:tab w:val="center" w:pos="4320"/>
        <w:tab w:val="right" w:pos="8640"/>
      </w:tabs>
    </w:pPr>
  </w:style>
  <w:style w:type="character" w:customStyle="1" w:styleId="HeaderChar">
    <w:name w:val="Header Char"/>
    <w:basedOn w:val="DefaultParagraphFont"/>
    <w:link w:val="Header"/>
    <w:uiPriority w:val="99"/>
    <w:semiHidden/>
    <w:rsid w:val="00D25E74"/>
    <w:rPr>
      <w:sz w:val="24"/>
      <w:szCs w:val="24"/>
    </w:rPr>
  </w:style>
  <w:style w:type="character" w:styleId="Hyperlink">
    <w:name w:val="Hyperlink"/>
    <w:basedOn w:val="DefaultParagraphFont"/>
    <w:uiPriority w:val="99"/>
    <w:rsid w:val="005A68E5"/>
    <w:rPr>
      <w:rFonts w:cs="Times New Roman"/>
      <w:color w:val="0000FF"/>
      <w:u w:val="single"/>
    </w:rPr>
  </w:style>
  <w:style w:type="character" w:styleId="FollowedHyperlink">
    <w:name w:val="FollowedHyperlink"/>
    <w:basedOn w:val="DefaultParagraphFont"/>
    <w:uiPriority w:val="99"/>
    <w:rsid w:val="005A68E5"/>
    <w:rPr>
      <w:rFonts w:cs="Times New Roman"/>
      <w:color w:val="000080"/>
      <w:u w:val="single"/>
    </w:rPr>
  </w:style>
  <w:style w:type="paragraph" w:styleId="BodyText">
    <w:name w:val="Body Text"/>
    <w:basedOn w:val="Normal"/>
    <w:link w:val="BodyTextChar"/>
    <w:rsid w:val="005E1469"/>
    <w:pPr>
      <w:spacing w:after="120"/>
    </w:pPr>
  </w:style>
  <w:style w:type="character" w:customStyle="1" w:styleId="BodyTextChar">
    <w:name w:val="Body Text Char"/>
    <w:basedOn w:val="DefaultParagraphFont"/>
    <w:link w:val="BodyText"/>
    <w:uiPriority w:val="99"/>
    <w:semiHidden/>
    <w:rsid w:val="00D25E74"/>
    <w:rPr>
      <w:sz w:val="24"/>
      <w:szCs w:val="24"/>
    </w:rPr>
  </w:style>
  <w:style w:type="paragraph" w:styleId="Title">
    <w:name w:val="Title"/>
    <w:basedOn w:val="Normal"/>
    <w:link w:val="TitleChar"/>
    <w:uiPriority w:val="99"/>
    <w:qFormat/>
    <w:rsid w:val="003B1304"/>
    <w:pPr>
      <w:jc w:val="center"/>
    </w:pPr>
    <w:rPr>
      <w:rFonts w:ascii="Arial Narrow" w:hAnsi="Arial Narrow"/>
      <w:szCs w:val="20"/>
    </w:rPr>
  </w:style>
  <w:style w:type="character" w:customStyle="1" w:styleId="TitleChar">
    <w:name w:val="Title Char"/>
    <w:basedOn w:val="DefaultParagraphFont"/>
    <w:link w:val="Title"/>
    <w:uiPriority w:val="10"/>
    <w:rsid w:val="00D25E74"/>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E04FB7"/>
    <w:rPr>
      <w:rFonts w:ascii="Tahoma" w:hAnsi="Tahoma" w:cs="Tahoma"/>
      <w:sz w:val="16"/>
      <w:szCs w:val="16"/>
    </w:rPr>
  </w:style>
  <w:style w:type="character" w:customStyle="1" w:styleId="BalloonTextChar">
    <w:name w:val="Balloon Text Char"/>
    <w:basedOn w:val="DefaultParagraphFont"/>
    <w:link w:val="BalloonText"/>
    <w:uiPriority w:val="99"/>
    <w:semiHidden/>
    <w:rsid w:val="00D25E74"/>
    <w:rPr>
      <w:sz w:val="0"/>
      <w:szCs w:val="0"/>
    </w:rPr>
  </w:style>
  <w:style w:type="character" w:styleId="CommentReference">
    <w:name w:val="annotation reference"/>
    <w:basedOn w:val="DefaultParagraphFont"/>
    <w:uiPriority w:val="99"/>
    <w:semiHidden/>
    <w:rsid w:val="00487CD9"/>
    <w:rPr>
      <w:rFonts w:cs="Times New Roman"/>
      <w:sz w:val="16"/>
      <w:szCs w:val="16"/>
    </w:rPr>
  </w:style>
  <w:style w:type="paragraph" w:styleId="CommentText">
    <w:name w:val="annotation text"/>
    <w:basedOn w:val="Normal"/>
    <w:link w:val="CommentTextChar"/>
    <w:rsid w:val="00487CD9"/>
    <w:rPr>
      <w:sz w:val="20"/>
      <w:szCs w:val="20"/>
    </w:rPr>
  </w:style>
  <w:style w:type="character" w:customStyle="1" w:styleId="CommentTextChar">
    <w:name w:val="Comment Text Char"/>
    <w:basedOn w:val="DefaultParagraphFont"/>
    <w:link w:val="CommentText"/>
    <w:rsid w:val="00D25E74"/>
    <w:rPr>
      <w:sz w:val="20"/>
      <w:szCs w:val="20"/>
    </w:rPr>
  </w:style>
  <w:style w:type="paragraph" w:styleId="CommentSubject">
    <w:name w:val="annotation subject"/>
    <w:basedOn w:val="CommentText"/>
    <w:next w:val="CommentText"/>
    <w:link w:val="CommentSubjectChar"/>
    <w:uiPriority w:val="99"/>
    <w:semiHidden/>
    <w:rsid w:val="00487CD9"/>
    <w:rPr>
      <w:b/>
      <w:bCs/>
    </w:rPr>
  </w:style>
  <w:style w:type="character" w:customStyle="1" w:styleId="CommentSubjectChar">
    <w:name w:val="Comment Subject Char"/>
    <w:basedOn w:val="CommentTextChar"/>
    <w:link w:val="CommentSubject"/>
    <w:uiPriority w:val="99"/>
    <w:semiHidden/>
    <w:rsid w:val="00D25E74"/>
    <w:rPr>
      <w:b/>
      <w:bCs/>
      <w:sz w:val="20"/>
      <w:szCs w:val="20"/>
    </w:rPr>
  </w:style>
  <w:style w:type="paragraph" w:customStyle="1" w:styleId="Preformatted">
    <w:name w:val="Preformatted"/>
    <w:basedOn w:val="Normal"/>
    <w:rsid w:val="0037145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ListParagraph">
    <w:name w:val="List Paragraph"/>
    <w:basedOn w:val="Normal"/>
    <w:uiPriority w:val="34"/>
    <w:qFormat/>
    <w:rsid w:val="00770C43"/>
    <w:pPr>
      <w:ind w:left="720"/>
      <w:contextualSpacing/>
    </w:pPr>
  </w:style>
  <w:style w:type="character" w:customStyle="1" w:styleId="Heading2Char">
    <w:name w:val="Heading 2 Char"/>
    <w:basedOn w:val="DefaultParagraphFont"/>
    <w:link w:val="Heading2"/>
    <w:rsid w:val="002E5DD1"/>
    <w:rPr>
      <w:b/>
      <w:snapToGrid w:val="0"/>
      <w:sz w:val="24"/>
      <w:szCs w:val="20"/>
    </w:rPr>
  </w:style>
  <w:style w:type="character" w:customStyle="1" w:styleId="FootnoteTextChar1">
    <w:name w:val="Footnote Text Char1"/>
    <w:semiHidden/>
    <w:rsid w:val="002E5DD1"/>
    <w:rPr>
      <w:lang w:val="en-US" w:eastAsia="en-US" w:bidi="ar-SA"/>
    </w:rPr>
  </w:style>
  <w:style w:type="paragraph" w:styleId="HTMLPreformatted">
    <w:name w:val="HTML Preformatted"/>
    <w:basedOn w:val="Normal"/>
    <w:link w:val="HTMLPreformattedChar"/>
    <w:uiPriority w:val="99"/>
    <w:unhideWhenUsed/>
    <w:rsid w:val="00AB5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B569E"/>
    <w:rPr>
      <w:rFonts w:ascii="Courier New" w:hAnsi="Courier New" w:cs="Courier New"/>
      <w:sz w:val="20"/>
      <w:szCs w:val="20"/>
    </w:rPr>
  </w:style>
  <w:style w:type="paragraph" w:styleId="NoSpacing">
    <w:name w:val="No Spacing"/>
    <w:uiPriority w:val="99"/>
    <w:qFormat/>
    <w:rsid w:val="002A25A0"/>
    <w:rPr>
      <w:rFonts w:ascii="Calibri" w:eastAsia="Calibri" w:hAnsi="Calibri"/>
    </w:rPr>
  </w:style>
  <w:style w:type="paragraph" w:customStyle="1" w:styleId="Default">
    <w:name w:val="Default"/>
    <w:basedOn w:val="Normal"/>
    <w:uiPriority w:val="99"/>
    <w:rsid w:val="00D156AD"/>
    <w:pPr>
      <w:autoSpaceDE w:val="0"/>
      <w:autoSpaceDN w:val="0"/>
    </w:pPr>
    <w:rPr>
      <w:rFonts w:eastAsiaTheme="minorHAns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276360">
      <w:bodyDiv w:val="1"/>
      <w:marLeft w:val="0"/>
      <w:marRight w:val="0"/>
      <w:marTop w:val="0"/>
      <w:marBottom w:val="0"/>
      <w:divBdr>
        <w:top w:val="none" w:sz="0" w:space="0" w:color="auto"/>
        <w:left w:val="none" w:sz="0" w:space="0" w:color="auto"/>
        <w:bottom w:val="none" w:sz="0" w:space="0" w:color="auto"/>
        <w:right w:val="none" w:sz="0" w:space="0" w:color="auto"/>
      </w:divBdr>
    </w:div>
    <w:div w:id="1311054714">
      <w:bodyDiv w:val="1"/>
      <w:marLeft w:val="0"/>
      <w:marRight w:val="0"/>
      <w:marTop w:val="0"/>
      <w:marBottom w:val="0"/>
      <w:divBdr>
        <w:top w:val="none" w:sz="0" w:space="0" w:color="auto"/>
        <w:left w:val="none" w:sz="0" w:space="0" w:color="auto"/>
        <w:bottom w:val="none" w:sz="0" w:space="0" w:color="auto"/>
        <w:right w:val="none" w:sz="0" w:space="0" w:color="auto"/>
      </w:divBdr>
    </w:div>
    <w:div w:id="1406561540">
      <w:bodyDiv w:val="1"/>
      <w:marLeft w:val="0"/>
      <w:marRight w:val="0"/>
      <w:marTop w:val="0"/>
      <w:marBottom w:val="0"/>
      <w:divBdr>
        <w:top w:val="none" w:sz="0" w:space="0" w:color="auto"/>
        <w:left w:val="none" w:sz="0" w:space="0" w:color="auto"/>
        <w:bottom w:val="none" w:sz="0" w:space="0" w:color="auto"/>
        <w:right w:val="none" w:sz="0" w:space="0" w:color="auto"/>
      </w:divBdr>
    </w:div>
    <w:div w:id="1512257172">
      <w:bodyDiv w:val="1"/>
      <w:marLeft w:val="0"/>
      <w:marRight w:val="0"/>
      <w:marTop w:val="0"/>
      <w:marBottom w:val="0"/>
      <w:divBdr>
        <w:top w:val="none" w:sz="0" w:space="0" w:color="auto"/>
        <w:left w:val="none" w:sz="0" w:space="0" w:color="auto"/>
        <w:bottom w:val="none" w:sz="0" w:space="0" w:color="auto"/>
        <w:right w:val="none" w:sz="0" w:space="0" w:color="auto"/>
      </w:divBdr>
    </w:div>
    <w:div w:id="1619992331">
      <w:bodyDiv w:val="1"/>
      <w:marLeft w:val="0"/>
      <w:marRight w:val="0"/>
      <w:marTop w:val="0"/>
      <w:marBottom w:val="0"/>
      <w:divBdr>
        <w:top w:val="none" w:sz="0" w:space="0" w:color="auto"/>
        <w:left w:val="none" w:sz="0" w:space="0" w:color="auto"/>
        <w:bottom w:val="none" w:sz="0" w:space="0" w:color="auto"/>
        <w:right w:val="none" w:sz="0" w:space="0" w:color="auto"/>
      </w:divBdr>
    </w:div>
    <w:div w:id="1667973698">
      <w:bodyDiv w:val="1"/>
      <w:marLeft w:val="0"/>
      <w:marRight w:val="0"/>
      <w:marTop w:val="0"/>
      <w:marBottom w:val="0"/>
      <w:divBdr>
        <w:top w:val="none" w:sz="0" w:space="0" w:color="auto"/>
        <w:left w:val="none" w:sz="0" w:space="0" w:color="auto"/>
        <w:bottom w:val="none" w:sz="0" w:space="0" w:color="auto"/>
        <w:right w:val="none" w:sz="0" w:space="0" w:color="auto"/>
      </w:divBdr>
    </w:div>
    <w:div w:id="1696924301">
      <w:marLeft w:val="0"/>
      <w:marRight w:val="0"/>
      <w:marTop w:val="0"/>
      <w:marBottom w:val="0"/>
      <w:divBdr>
        <w:top w:val="none" w:sz="0" w:space="0" w:color="auto"/>
        <w:left w:val="none" w:sz="0" w:space="0" w:color="auto"/>
        <w:bottom w:val="none" w:sz="0" w:space="0" w:color="auto"/>
        <w:right w:val="none" w:sz="0" w:space="0" w:color="auto"/>
      </w:divBdr>
    </w:div>
    <w:div w:id="1696924302">
      <w:marLeft w:val="0"/>
      <w:marRight w:val="0"/>
      <w:marTop w:val="0"/>
      <w:marBottom w:val="0"/>
      <w:divBdr>
        <w:top w:val="none" w:sz="0" w:space="0" w:color="auto"/>
        <w:left w:val="none" w:sz="0" w:space="0" w:color="auto"/>
        <w:bottom w:val="none" w:sz="0" w:space="0" w:color="auto"/>
        <w:right w:val="none" w:sz="0" w:space="0" w:color="auto"/>
      </w:divBdr>
    </w:div>
    <w:div w:id="1803962443">
      <w:bodyDiv w:val="1"/>
      <w:marLeft w:val="0"/>
      <w:marRight w:val="0"/>
      <w:marTop w:val="0"/>
      <w:marBottom w:val="0"/>
      <w:divBdr>
        <w:top w:val="none" w:sz="0" w:space="0" w:color="auto"/>
        <w:left w:val="none" w:sz="0" w:space="0" w:color="auto"/>
        <w:bottom w:val="none" w:sz="0" w:space="0" w:color="auto"/>
        <w:right w:val="none" w:sz="0" w:space="0" w:color="auto"/>
      </w:divBdr>
    </w:div>
    <w:div w:id="1858037294">
      <w:bodyDiv w:val="1"/>
      <w:marLeft w:val="0"/>
      <w:marRight w:val="0"/>
      <w:marTop w:val="0"/>
      <w:marBottom w:val="0"/>
      <w:divBdr>
        <w:top w:val="none" w:sz="0" w:space="0" w:color="auto"/>
        <w:left w:val="none" w:sz="0" w:space="0" w:color="auto"/>
        <w:bottom w:val="none" w:sz="0" w:space="0" w:color="auto"/>
        <w:right w:val="none" w:sz="0" w:space="0" w:color="auto"/>
      </w:divBdr>
    </w:div>
    <w:div w:id="214272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F98AF-84F8-4D78-975B-91402CB63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1754</Words>
  <Characters>10262</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Corporation</Company>
  <LinksUpToDate>false</LinksUpToDate>
  <CharactersWithSpaces>11993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rstorch</dc:creator>
  <cp:lastModifiedBy>shaquita.merritt</cp:lastModifiedBy>
  <cp:revision>2</cp:revision>
  <cp:lastPrinted>2012-02-09T14:25:00Z</cp:lastPrinted>
  <dcterms:created xsi:type="dcterms:W3CDTF">2016-09-28T18:06:00Z</dcterms:created>
  <dcterms:modified xsi:type="dcterms:W3CDTF">2016-09-28T18:06:00Z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