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7A" w:rsidRDefault="00B91F7A" w:rsidP="00257F49">
      <w:pPr>
        <w:jc w:val="center"/>
        <w:rPr>
          <w:b/>
        </w:rPr>
      </w:pPr>
    </w:p>
    <w:p w:rsidR="004232D8" w:rsidRDefault="00257F49" w:rsidP="00257F49">
      <w:pPr>
        <w:jc w:val="center"/>
        <w:rPr>
          <w:b/>
        </w:rPr>
      </w:pPr>
      <w:r>
        <w:rPr>
          <w:b/>
        </w:rPr>
        <w:t>SUPPORTING STATEMENT</w:t>
      </w:r>
    </w:p>
    <w:p w:rsidR="00257F49" w:rsidRDefault="00257F49" w:rsidP="00257F49">
      <w:pPr>
        <w:jc w:val="center"/>
        <w:rPr>
          <w:b/>
        </w:rPr>
      </w:pPr>
      <w:r>
        <w:rPr>
          <w:b/>
        </w:rPr>
        <w:t>(REG-143544-04</w:t>
      </w:r>
      <w:r w:rsidR="00EF4EBE">
        <w:rPr>
          <w:b/>
        </w:rPr>
        <w:t xml:space="preserve"> (TD 9619)</w:t>
      </w:r>
      <w:r>
        <w:rPr>
          <w:b/>
        </w:rPr>
        <w:t>)</w:t>
      </w:r>
    </w:p>
    <w:p w:rsidR="0029388F" w:rsidRPr="0029388F" w:rsidRDefault="0029388F" w:rsidP="00257F49">
      <w:pPr>
        <w:jc w:val="center"/>
      </w:pPr>
      <w:r w:rsidRPr="0029388F">
        <w:rPr>
          <w:b/>
        </w:rPr>
        <w:t>1545-2125</w:t>
      </w:r>
    </w:p>
    <w:p w:rsidR="00B91F7A" w:rsidRPr="0029388F" w:rsidRDefault="00B91F7A" w:rsidP="00257F49"/>
    <w:p w:rsidR="00B91F7A" w:rsidRDefault="00B91F7A" w:rsidP="00257F49"/>
    <w:p w:rsidR="00257F49" w:rsidRDefault="00257F49" w:rsidP="00257F49">
      <w:pPr>
        <w:rPr>
          <w:u w:val="single"/>
        </w:rPr>
      </w:pPr>
      <w:r>
        <w:t>1.</w:t>
      </w:r>
      <w:r>
        <w:tab/>
      </w:r>
      <w:r>
        <w:rPr>
          <w:u w:val="single"/>
        </w:rPr>
        <w:t>CIRCUMSTANCES NECESSITATING COLLECTION OF INFORMATION</w:t>
      </w:r>
    </w:p>
    <w:p w:rsidR="001748D5" w:rsidRDefault="001748D5" w:rsidP="00257F49">
      <w:pPr>
        <w:rPr>
          <w:u w:val="single"/>
        </w:rPr>
      </w:pPr>
    </w:p>
    <w:p w:rsidR="001D68D8" w:rsidRPr="001D68D8" w:rsidRDefault="001D68D8" w:rsidP="009F0813">
      <w:pPr>
        <w:ind w:left="720"/>
      </w:pPr>
      <w:r>
        <w:t xml:space="preserve">Section 336(e) </w:t>
      </w:r>
      <w:r w:rsidRPr="00FE3F44">
        <w:t xml:space="preserve">authorizes the issuance of regulations </w:t>
      </w:r>
      <w:r>
        <w:t xml:space="preserve">under which </w:t>
      </w:r>
      <w:r w:rsidRPr="00FE3F44">
        <w:t>a corporation (</w:t>
      </w:r>
      <w:r w:rsidRPr="00D047B7">
        <w:t>seller</w:t>
      </w:r>
      <w:r w:rsidRPr="00FE3F44">
        <w:t xml:space="preserve">) </w:t>
      </w:r>
      <w:r>
        <w:t xml:space="preserve">that </w:t>
      </w:r>
      <w:r w:rsidRPr="00FE3F44">
        <w:t>owns stock in another corporation (</w:t>
      </w:r>
      <w:r>
        <w:t>t</w:t>
      </w:r>
      <w:r w:rsidRPr="00FE3F44">
        <w:t>arget) meeting the requirements of section 1504(a</w:t>
      </w:r>
      <w:proofErr w:type="gramStart"/>
      <w:r w:rsidRPr="00FE3F44">
        <w:t>)(</w:t>
      </w:r>
      <w:proofErr w:type="gramEnd"/>
      <w:r w:rsidRPr="00FE3F44">
        <w:t>2)</w:t>
      </w:r>
      <w:r>
        <w:t xml:space="preserve"> and</w:t>
      </w:r>
      <w:r w:rsidRPr="00FE3F44">
        <w:t xml:space="preserve"> sells, exchanges</w:t>
      </w:r>
      <w:r>
        <w:t>,</w:t>
      </w:r>
      <w:r w:rsidRPr="00FE3F44">
        <w:t xml:space="preserve"> or distributes all of such stock </w:t>
      </w:r>
      <w:r>
        <w:t xml:space="preserve">may make </w:t>
      </w:r>
      <w:r w:rsidRPr="00FE3F44">
        <w:t>an election to treat the sale, exchange</w:t>
      </w:r>
      <w:r>
        <w:t>,</w:t>
      </w:r>
      <w:r w:rsidRPr="00FE3F44">
        <w:t xml:space="preserve"> or distribution of the </w:t>
      </w:r>
      <w:r>
        <w:t>t</w:t>
      </w:r>
      <w:r w:rsidRPr="00FE3F44">
        <w:t xml:space="preserve">arget stock as a disposition of </w:t>
      </w:r>
      <w:r>
        <w:t>all of t</w:t>
      </w:r>
      <w:r w:rsidRPr="00FE3F44">
        <w:t>arget’s</w:t>
      </w:r>
      <w:r>
        <w:t xml:space="preserve"> underlying</w:t>
      </w:r>
      <w:r w:rsidRPr="00FE3F44">
        <w:t xml:space="preserve"> assets.</w:t>
      </w:r>
      <w:r>
        <w:t xml:space="preserve">  </w:t>
      </w:r>
      <w:r w:rsidRPr="00FE3F44">
        <w:t>Section 336(e)</w:t>
      </w:r>
      <w:r>
        <w:t xml:space="preserve"> was </w:t>
      </w:r>
      <w:r w:rsidRPr="00FE3F44">
        <w:t xml:space="preserve">enacted </w:t>
      </w:r>
      <w:r>
        <w:t>as part of the legislation repealing the General Utilities rule, and like an election under section 338(h</w:t>
      </w:r>
      <w:proofErr w:type="gramStart"/>
      <w:r>
        <w:t>)(</w:t>
      </w:r>
      <w:proofErr w:type="gramEnd"/>
      <w:r>
        <w:t xml:space="preserve">10), is meant to provide </w:t>
      </w:r>
      <w:r w:rsidRPr="007148E5">
        <w:t>taxpayers relief from a potential multiple taxation at the corporate level of the same economic gain, which can result when a transfer of appreciated corporate stock is taxed without providing a corresponding step-up in the basis of the assets of the corporation.</w:t>
      </w:r>
      <w:r>
        <w:t xml:space="preserve">  This </w:t>
      </w:r>
      <w:r w:rsidR="0086365F">
        <w:t>final regulation</w:t>
      </w:r>
      <w:r>
        <w:t xml:space="preserve"> under section 336(e) provide</w:t>
      </w:r>
      <w:r w:rsidR="00542AAB">
        <w:t>s</w:t>
      </w:r>
      <w:r>
        <w:t xml:space="preserve"> the qualifications, requirements, mechanics, and consequences for treating a stock sale, exchange, or distribution that does not qualify as a qualified stock purchase as an asset sale.  </w:t>
      </w:r>
    </w:p>
    <w:p w:rsidR="00257F49" w:rsidRDefault="00257F49" w:rsidP="00257F49"/>
    <w:p w:rsidR="00257F49" w:rsidRDefault="00257F49" w:rsidP="00257F49">
      <w:pPr>
        <w:rPr>
          <w:u w:val="single"/>
        </w:rPr>
      </w:pPr>
      <w:r w:rsidRPr="00257F49">
        <w:t>2.</w:t>
      </w:r>
      <w:r w:rsidRPr="00257F49">
        <w:tab/>
      </w:r>
      <w:r>
        <w:rPr>
          <w:u w:val="single"/>
        </w:rPr>
        <w:t>USE OF DATA</w:t>
      </w:r>
    </w:p>
    <w:p w:rsidR="001748D5" w:rsidRDefault="001748D5" w:rsidP="00257F49">
      <w:pPr>
        <w:rPr>
          <w:u w:val="single"/>
        </w:rPr>
      </w:pPr>
    </w:p>
    <w:p w:rsidR="00257F49" w:rsidRDefault="00257F49" w:rsidP="009F0813">
      <w:pPr>
        <w:ind w:left="720"/>
      </w:pPr>
      <w:r>
        <w:t>The collections of information relate to the requirement that statements be filed with the IRS with respect to the qualified stock disposition of a corporation.  These collections of information are necessary for the proper performance of the function of the IRS because it notifies the IRS when a qualified stock disposition is made and provides relevant information pertaining to the parties making an election to treat a stock sale, exchange or distribution as a sale of assets.</w:t>
      </w:r>
    </w:p>
    <w:p w:rsidR="00257F49" w:rsidRDefault="00257F49" w:rsidP="00257F49"/>
    <w:p w:rsidR="00257F49" w:rsidRDefault="00257F49" w:rsidP="00257F49">
      <w:pPr>
        <w:rPr>
          <w:u w:val="single"/>
        </w:rPr>
      </w:pPr>
      <w:r>
        <w:t>3.</w:t>
      </w:r>
      <w:r>
        <w:tab/>
      </w:r>
      <w:r>
        <w:rPr>
          <w:u w:val="single"/>
        </w:rPr>
        <w:t>USE OF IMPROVED INFORMATION TECHNOLOGY TO REDUCE BURDEN</w:t>
      </w:r>
    </w:p>
    <w:p w:rsidR="001748D5" w:rsidRDefault="001748D5" w:rsidP="00257F49">
      <w:pPr>
        <w:rPr>
          <w:u w:val="single"/>
        </w:rPr>
      </w:pPr>
    </w:p>
    <w:p w:rsidR="00257F49" w:rsidRDefault="00810FE5" w:rsidP="009F0813">
      <w:pPr>
        <w:ind w:left="720"/>
      </w:pPr>
      <w:r>
        <w:t>IRS Publications, Regulations, notices and Letters are to be electronically enabled</w:t>
      </w:r>
      <w:r w:rsidR="00982E2C">
        <w:t xml:space="preserve"> on an as practicable basis</w:t>
      </w:r>
      <w:r>
        <w:t xml:space="preserve"> in accordance with the IRS Reform and Restructuring Act of 1998.</w:t>
      </w:r>
    </w:p>
    <w:p w:rsidR="00257F49" w:rsidRDefault="00257F49" w:rsidP="00257F49"/>
    <w:p w:rsidR="00257F49" w:rsidRDefault="00257F49" w:rsidP="00257F49">
      <w:pPr>
        <w:rPr>
          <w:u w:val="single"/>
        </w:rPr>
      </w:pPr>
      <w:r>
        <w:t>4.</w:t>
      </w:r>
      <w:r>
        <w:tab/>
      </w:r>
      <w:r>
        <w:rPr>
          <w:u w:val="single"/>
        </w:rPr>
        <w:t>EFFORTS TO IDENTIFY DUPLICATION</w:t>
      </w:r>
    </w:p>
    <w:p w:rsidR="001748D5" w:rsidRDefault="001748D5" w:rsidP="00257F49"/>
    <w:p w:rsidR="00257F49" w:rsidRDefault="00257F49" w:rsidP="00257F49">
      <w:r>
        <w:tab/>
        <w:t>We have attempted to eliminate duplication within the agency wherever possible.</w:t>
      </w:r>
    </w:p>
    <w:p w:rsidR="007722EB" w:rsidRDefault="007722EB" w:rsidP="00257F49"/>
    <w:p w:rsidR="00B91F7A" w:rsidRDefault="00B91F7A" w:rsidP="00257F49"/>
    <w:p w:rsidR="007722EB" w:rsidRDefault="007722EB" w:rsidP="009F0813">
      <w:pPr>
        <w:ind w:left="720" w:hanging="720"/>
        <w:rPr>
          <w:u w:val="single"/>
        </w:rPr>
      </w:pPr>
      <w:r>
        <w:t>5.</w:t>
      </w:r>
      <w:r>
        <w:tab/>
      </w:r>
      <w:r>
        <w:rPr>
          <w:u w:val="single"/>
        </w:rPr>
        <w:t>METHODS TO MINIMIZE BURDEN ON SMALL BUSINESS OR OTHER SMALL ENTITIES</w:t>
      </w:r>
    </w:p>
    <w:p w:rsidR="001748D5" w:rsidRDefault="001748D5" w:rsidP="009F0813">
      <w:pPr>
        <w:ind w:left="720" w:hanging="720"/>
      </w:pPr>
    </w:p>
    <w:p w:rsidR="007722EB" w:rsidRPr="001748D5" w:rsidRDefault="007722EB" w:rsidP="00257F49">
      <w:r>
        <w:tab/>
      </w:r>
      <w:r w:rsidR="0029388F" w:rsidRPr="001748D5">
        <w:t>There are no small entities affected by this collection</w:t>
      </w:r>
      <w:r w:rsidRPr="001748D5">
        <w:t>.</w:t>
      </w:r>
    </w:p>
    <w:p w:rsidR="007722EB" w:rsidRPr="001748D5" w:rsidRDefault="007722EB" w:rsidP="00257F49"/>
    <w:p w:rsidR="007722EB" w:rsidRDefault="007722EB" w:rsidP="009F0813">
      <w:pPr>
        <w:ind w:left="720" w:hanging="720"/>
        <w:rPr>
          <w:u w:val="single"/>
        </w:rPr>
      </w:pPr>
      <w:r>
        <w:t>6.</w:t>
      </w:r>
      <w:r>
        <w:tab/>
      </w:r>
      <w:r>
        <w:rPr>
          <w:u w:val="single"/>
        </w:rPr>
        <w:t>CONSEQUENCES OF LESS FREQUENT COLLECTION ON FEDERAL PROGRAMS OR POLICY ACTIVITIES</w:t>
      </w:r>
    </w:p>
    <w:p w:rsidR="00713196" w:rsidRDefault="00713196" w:rsidP="009F0813">
      <w:pPr>
        <w:ind w:left="720" w:hanging="720"/>
        <w:rPr>
          <w:u w:val="single"/>
        </w:rPr>
      </w:pPr>
    </w:p>
    <w:p w:rsidR="007722EB" w:rsidRDefault="00825AD4" w:rsidP="00272C0B">
      <w:pPr>
        <w:ind w:left="720"/>
      </w:pPr>
      <w:r>
        <w:t>The collection of information contained in this treasury decision is as minimal as possible and provides a means of both notifying the IRS when a section 336(e) election is made and serves as a way to protect the interests of the parties joining in a section 336(e) election.</w:t>
      </w:r>
      <w:r w:rsidR="00982E2C">
        <w:t xml:space="preserve">  Without this collection of information, these elections may be inaccurately accounted for.</w:t>
      </w:r>
    </w:p>
    <w:p w:rsidR="007722EB" w:rsidRDefault="007722EB" w:rsidP="00257F49"/>
    <w:p w:rsidR="007722EB" w:rsidRDefault="007722EB" w:rsidP="009F0813">
      <w:pPr>
        <w:ind w:left="720" w:hanging="720"/>
        <w:rPr>
          <w:u w:val="single"/>
        </w:rPr>
      </w:pPr>
      <w:r>
        <w:t>7.</w:t>
      </w:r>
      <w:r>
        <w:tab/>
      </w:r>
      <w:r>
        <w:rPr>
          <w:u w:val="single"/>
        </w:rPr>
        <w:t>SPECIAL CIRCUMSTANCES REQUIRING DATA COLLECTION TO BE INCONSISTENT WITH GUIDELINES IN 5 CFR 1320.5(d</w:t>
      </w:r>
      <w:proofErr w:type="gramStart"/>
      <w:r>
        <w:rPr>
          <w:u w:val="single"/>
        </w:rPr>
        <w:t>)(</w:t>
      </w:r>
      <w:proofErr w:type="gramEnd"/>
      <w:r>
        <w:rPr>
          <w:u w:val="single"/>
        </w:rPr>
        <w:t>2)</w:t>
      </w:r>
    </w:p>
    <w:p w:rsidR="0029388F" w:rsidRDefault="0029388F" w:rsidP="009F0813">
      <w:pPr>
        <w:ind w:left="720" w:hanging="720"/>
        <w:rPr>
          <w:u w:val="single"/>
        </w:rPr>
      </w:pPr>
    </w:p>
    <w:p w:rsidR="007722EB" w:rsidRDefault="0029388F" w:rsidP="0029388F">
      <w:pPr>
        <w:ind w:left="720"/>
      </w:pPr>
      <w:r>
        <w:t xml:space="preserve">There </w:t>
      </w:r>
      <w:r w:rsidRPr="0029388F">
        <w:t>are no special circumstances requiring data collection to be inconsistent with guidelines in 5 CFR 1320.5(d</w:t>
      </w:r>
      <w:proofErr w:type="gramStart"/>
      <w:r w:rsidRPr="0029388F">
        <w:t>)(</w:t>
      </w:r>
      <w:proofErr w:type="gramEnd"/>
      <w:r w:rsidRPr="0029388F">
        <w:t>2)</w:t>
      </w:r>
      <w:r w:rsidR="007722EB" w:rsidRPr="001748D5">
        <w:t>.</w:t>
      </w:r>
    </w:p>
    <w:p w:rsidR="007722EB" w:rsidRDefault="007722EB" w:rsidP="00257F49"/>
    <w:p w:rsidR="007722EB" w:rsidRDefault="007722EB" w:rsidP="00272C0B">
      <w:pPr>
        <w:numPr>
          <w:ilvl w:val="0"/>
          <w:numId w:val="1"/>
        </w:numPr>
        <w:tabs>
          <w:tab w:val="clear" w:pos="1080"/>
          <w:tab w:val="num" w:pos="720"/>
        </w:tabs>
        <w:ind w:left="720"/>
        <w:rPr>
          <w:u w:val="single"/>
        </w:rPr>
      </w:pPr>
      <w:r w:rsidRPr="007722EB">
        <w:rPr>
          <w:u w:val="single"/>
        </w:rPr>
        <w:t>CONSUL</w:t>
      </w:r>
      <w:r>
        <w:rPr>
          <w:u w:val="single"/>
        </w:rPr>
        <w:t>T</w:t>
      </w:r>
      <w:r w:rsidRPr="007722EB">
        <w:rPr>
          <w:u w:val="single"/>
        </w:rPr>
        <w:t>A</w:t>
      </w:r>
      <w:r>
        <w:rPr>
          <w:u w:val="single"/>
        </w:rPr>
        <w:t>TION WITH INDIVIDUALS OUTSIDE OF THE AGENCY ON AVAILABILITY OF DATA, FREQUENCY OF COLLECTION, CLARITY OF INSTRUCTIONS AND FORMS, AND DATA ELEMENTS</w:t>
      </w:r>
    </w:p>
    <w:p w:rsidR="0086365F" w:rsidRDefault="0086365F" w:rsidP="0086365F">
      <w:pPr>
        <w:ind w:left="360"/>
        <w:rPr>
          <w:u w:val="single"/>
        </w:rPr>
      </w:pPr>
    </w:p>
    <w:p w:rsidR="0086365F" w:rsidRDefault="0086365F" w:rsidP="00257F49"/>
    <w:p w:rsidR="007722EB" w:rsidRDefault="0086365F" w:rsidP="0086365F">
      <w:pPr>
        <w:ind w:left="720"/>
      </w:pPr>
      <w:r>
        <w:t xml:space="preserve">We received no comments during the comment period in response to the Federal Register notice dated </w:t>
      </w:r>
      <w:r w:rsidR="001748D5">
        <w:t>March 31, 2016</w:t>
      </w:r>
      <w:r>
        <w:t xml:space="preserve"> (</w:t>
      </w:r>
      <w:r w:rsidR="001748D5">
        <w:t xml:space="preserve">81 </w:t>
      </w:r>
      <w:r>
        <w:t xml:space="preserve">FR </w:t>
      </w:r>
      <w:r w:rsidR="001748D5">
        <w:t>18692</w:t>
      </w:r>
      <w:r>
        <w:t>)</w:t>
      </w:r>
      <w:r w:rsidR="007722EB">
        <w:t xml:space="preserve">. </w:t>
      </w:r>
    </w:p>
    <w:p w:rsidR="007722EB" w:rsidRDefault="007722EB" w:rsidP="00257F49"/>
    <w:p w:rsidR="007722EB" w:rsidRDefault="007722EB" w:rsidP="009F0813">
      <w:pPr>
        <w:ind w:left="720" w:hanging="720"/>
        <w:rPr>
          <w:u w:val="single"/>
        </w:rPr>
      </w:pPr>
      <w:r>
        <w:t>9.</w:t>
      </w:r>
      <w:r>
        <w:tab/>
      </w:r>
      <w:r>
        <w:rPr>
          <w:u w:val="single"/>
        </w:rPr>
        <w:t>EXPLANATION OF DECISION TO PROVIDE ANY PAYMENT OR GIFT TO RESPONDENTS</w:t>
      </w:r>
    </w:p>
    <w:p w:rsidR="0029388F" w:rsidRDefault="0029388F" w:rsidP="009F0813">
      <w:pPr>
        <w:ind w:left="720" w:hanging="720"/>
      </w:pPr>
    </w:p>
    <w:p w:rsidR="007722EB" w:rsidRDefault="007722EB" w:rsidP="00257F49">
      <w:r>
        <w:tab/>
      </w:r>
      <w:r w:rsidR="0029388F">
        <w:t>No payment or gift has been provided to any respondents</w:t>
      </w:r>
      <w:r>
        <w:t>.</w:t>
      </w:r>
    </w:p>
    <w:p w:rsidR="007722EB" w:rsidRDefault="007722EB" w:rsidP="00257F49"/>
    <w:p w:rsidR="007722EB" w:rsidRDefault="007722EB" w:rsidP="00257F49">
      <w:pPr>
        <w:rPr>
          <w:u w:val="single"/>
        </w:rPr>
      </w:pPr>
      <w:r>
        <w:t>10.</w:t>
      </w:r>
      <w:r>
        <w:tab/>
      </w:r>
      <w:r>
        <w:rPr>
          <w:u w:val="single"/>
        </w:rPr>
        <w:t>ASSURANCE OF CONFIDENTIALITY OF RESPONSES</w:t>
      </w:r>
    </w:p>
    <w:p w:rsidR="001748D5" w:rsidRDefault="001748D5" w:rsidP="00257F49">
      <w:pPr>
        <w:rPr>
          <w:u w:val="single"/>
        </w:rPr>
      </w:pPr>
    </w:p>
    <w:p w:rsidR="007722EB" w:rsidRDefault="007722EB" w:rsidP="009F0813">
      <w:pPr>
        <w:ind w:left="720"/>
      </w:pPr>
      <w:r>
        <w:t>Generally, tax returns and tax return information are confidential as required by 26 USC 6103.</w:t>
      </w:r>
    </w:p>
    <w:p w:rsidR="007722EB" w:rsidRDefault="007722EB" w:rsidP="00257F49"/>
    <w:p w:rsidR="007722EB" w:rsidRDefault="007722EB" w:rsidP="00257F49">
      <w:pPr>
        <w:rPr>
          <w:u w:val="single"/>
        </w:rPr>
      </w:pPr>
      <w:r>
        <w:t>11.</w:t>
      </w:r>
      <w:r>
        <w:tab/>
      </w:r>
      <w:r>
        <w:rPr>
          <w:u w:val="single"/>
        </w:rPr>
        <w:t>JUSTIFICATION OF SENSITIVE QUESTIONS</w:t>
      </w:r>
    </w:p>
    <w:p w:rsidR="001748D5" w:rsidRDefault="001748D5" w:rsidP="00257F49">
      <w:pPr>
        <w:rPr>
          <w:u w:val="single"/>
        </w:rPr>
      </w:pPr>
    </w:p>
    <w:p w:rsidR="007722EB" w:rsidRDefault="007722EB" w:rsidP="00257F49">
      <w:r>
        <w:tab/>
      </w:r>
      <w:r w:rsidR="0029388F">
        <w:t>No personally identifiable information is collected</w:t>
      </w:r>
      <w:r>
        <w:t>.</w:t>
      </w:r>
    </w:p>
    <w:p w:rsidR="007722EB" w:rsidRDefault="007722EB" w:rsidP="00257F49"/>
    <w:p w:rsidR="007722EB" w:rsidRDefault="007722EB" w:rsidP="00257F49">
      <w:pPr>
        <w:rPr>
          <w:u w:val="single"/>
        </w:rPr>
      </w:pPr>
      <w:r>
        <w:t>12.</w:t>
      </w:r>
      <w:r>
        <w:tab/>
      </w:r>
      <w:r>
        <w:rPr>
          <w:u w:val="single"/>
        </w:rPr>
        <w:t>ESTIMATED BURDEN OF INFORMATION COLLECTION</w:t>
      </w:r>
    </w:p>
    <w:p w:rsidR="001748D5" w:rsidRDefault="001748D5" w:rsidP="00257F49">
      <w:pPr>
        <w:rPr>
          <w:u w:val="single"/>
        </w:rPr>
      </w:pPr>
    </w:p>
    <w:p w:rsidR="0049571F" w:rsidRDefault="004E297F" w:rsidP="0049571F">
      <w:pPr>
        <w:pStyle w:val="NormalWeb"/>
        <w:shd w:val="clear" w:color="auto" w:fill="FFFFFF"/>
        <w:rPr>
          <w:sz w:val="24"/>
          <w:szCs w:val="24"/>
          <w:lang w:val="en"/>
        </w:rPr>
      </w:pPr>
      <w:r>
        <w:tab/>
      </w:r>
      <w:r w:rsidR="0049571F" w:rsidRPr="0049571F">
        <w:rPr>
          <w:sz w:val="24"/>
          <w:szCs w:val="24"/>
          <w:lang w:val="en"/>
        </w:rPr>
        <w:t>The estimated burden is as follows:</w:t>
      </w:r>
    </w:p>
    <w:p w:rsidR="0049571F" w:rsidRPr="0049571F" w:rsidRDefault="0049571F" w:rsidP="0049571F">
      <w:pPr>
        <w:pStyle w:val="NormalWeb"/>
        <w:shd w:val="clear" w:color="auto" w:fill="FFFFFF"/>
        <w:ind w:firstLine="720"/>
        <w:rPr>
          <w:sz w:val="24"/>
          <w:szCs w:val="24"/>
          <w:lang w:val="en"/>
        </w:rPr>
      </w:pPr>
      <w:r>
        <w:rPr>
          <w:sz w:val="24"/>
          <w:szCs w:val="24"/>
          <w:lang w:val="en"/>
        </w:rPr>
        <w:t>Es</w:t>
      </w:r>
      <w:r w:rsidRPr="0049571F">
        <w:rPr>
          <w:sz w:val="24"/>
          <w:szCs w:val="24"/>
          <w:lang w:val="en"/>
        </w:rPr>
        <w:t xml:space="preserve">timated total annual reporting and/or recordkeeping burden: </w:t>
      </w:r>
      <w:r>
        <w:rPr>
          <w:sz w:val="24"/>
          <w:szCs w:val="24"/>
          <w:lang w:val="en"/>
        </w:rPr>
        <w:t>1000</w:t>
      </w:r>
      <w:r w:rsidRPr="0049571F">
        <w:rPr>
          <w:sz w:val="24"/>
          <w:szCs w:val="24"/>
          <w:lang w:val="en"/>
        </w:rPr>
        <w:t xml:space="preserve"> hours. </w:t>
      </w:r>
    </w:p>
    <w:p w:rsidR="0049571F" w:rsidRPr="0049571F" w:rsidRDefault="0049571F" w:rsidP="0049571F">
      <w:pPr>
        <w:pStyle w:val="NormalWeb"/>
        <w:shd w:val="clear" w:color="auto" w:fill="FFFFFF"/>
        <w:rPr>
          <w:sz w:val="24"/>
          <w:szCs w:val="24"/>
          <w:lang w:val="en"/>
        </w:rPr>
      </w:pPr>
    </w:p>
    <w:p w:rsidR="0049571F" w:rsidRDefault="0049571F" w:rsidP="0086365F">
      <w:pPr>
        <w:ind w:firstLine="720"/>
        <w:rPr>
          <w:lang w:val="en"/>
        </w:rPr>
      </w:pPr>
      <w:r w:rsidRPr="0049571F">
        <w:rPr>
          <w:lang w:val="en"/>
        </w:rPr>
        <w:lastRenderedPageBreak/>
        <w:t>Estimated average annual burden per respondent: 2 hours</w:t>
      </w:r>
    </w:p>
    <w:p w:rsidR="0086365F" w:rsidRDefault="0049571F" w:rsidP="0086365F">
      <w:pPr>
        <w:ind w:firstLine="720"/>
      </w:pPr>
      <w:r w:rsidRPr="0049571F">
        <w:rPr>
          <w:lang w:val="en"/>
        </w:rPr>
        <w:t xml:space="preserve">Estimated number of respondents: </w:t>
      </w:r>
      <w:r>
        <w:rPr>
          <w:lang w:val="en"/>
        </w:rPr>
        <w:t>500</w:t>
      </w:r>
      <w:r w:rsidRPr="0049571F">
        <w:rPr>
          <w:lang w:val="en"/>
        </w:rPr>
        <w:t>.</w:t>
      </w:r>
    </w:p>
    <w:p w:rsidR="007722EB" w:rsidRDefault="007722EB" w:rsidP="00257F49"/>
    <w:p w:rsidR="007722EB" w:rsidRDefault="0049571F" w:rsidP="0049571F">
      <w:pPr>
        <w:rPr>
          <w:u w:val="single"/>
        </w:rPr>
      </w:pPr>
      <w:r>
        <w:t>13</w:t>
      </w:r>
      <w:r w:rsidRPr="0049571F">
        <w:t>.</w:t>
      </w:r>
      <w:r>
        <w:tab/>
      </w:r>
      <w:r w:rsidR="009F0813" w:rsidRPr="0049571F">
        <w:t xml:space="preserve"> </w:t>
      </w:r>
      <w:r w:rsidR="007722EB">
        <w:rPr>
          <w:u w:val="single"/>
        </w:rPr>
        <w:t>ESTIMATED TOTAL ANNUAL COST BURDEN TO RESPONDENTS</w:t>
      </w:r>
    </w:p>
    <w:p w:rsidR="009F0813" w:rsidRDefault="009F0813" w:rsidP="009F0813">
      <w:pPr>
        <w:ind w:left="360"/>
        <w:rPr>
          <w:u w:val="single"/>
        </w:rPr>
      </w:pPr>
    </w:p>
    <w:p w:rsidR="007722EB" w:rsidRDefault="0029388F" w:rsidP="00272C0B">
      <w:pPr>
        <w:ind w:left="720" w:firstLine="30"/>
      </w:pPr>
      <w:r>
        <w:t>There is no estimated annual cost burden to the respondents</w:t>
      </w:r>
      <w:r w:rsidR="007722EB">
        <w:t>.</w:t>
      </w:r>
    </w:p>
    <w:p w:rsidR="007722EB" w:rsidRDefault="007722EB" w:rsidP="00257F49"/>
    <w:p w:rsidR="007722EB" w:rsidRDefault="007722EB" w:rsidP="00257F49">
      <w:pPr>
        <w:rPr>
          <w:u w:val="single"/>
        </w:rPr>
      </w:pPr>
      <w:r>
        <w:t>14.</w:t>
      </w:r>
      <w:r>
        <w:tab/>
      </w:r>
      <w:r>
        <w:rPr>
          <w:u w:val="single"/>
        </w:rPr>
        <w:t>ESTIMATED ANNUALIZED COST TO THE FEDERAL GOVERNMENT</w:t>
      </w:r>
    </w:p>
    <w:p w:rsidR="001748D5" w:rsidRDefault="001748D5" w:rsidP="00257F49">
      <w:pPr>
        <w:rPr>
          <w:u w:val="single"/>
        </w:rPr>
      </w:pPr>
    </w:p>
    <w:p w:rsidR="007722EB" w:rsidRDefault="007722EB" w:rsidP="00257F49">
      <w:r>
        <w:tab/>
      </w:r>
      <w:r w:rsidR="0029388F">
        <w:t>There is no estimated annualized cost to the federal government</w:t>
      </w:r>
      <w:r>
        <w:t>.</w:t>
      </w:r>
    </w:p>
    <w:p w:rsidR="007722EB" w:rsidRDefault="007722EB" w:rsidP="00257F49"/>
    <w:p w:rsidR="007722EB" w:rsidRDefault="007722EB" w:rsidP="00257F49">
      <w:pPr>
        <w:rPr>
          <w:u w:val="single"/>
        </w:rPr>
      </w:pPr>
      <w:r>
        <w:t>15.</w:t>
      </w:r>
      <w:r>
        <w:tab/>
      </w:r>
      <w:r>
        <w:rPr>
          <w:u w:val="single"/>
        </w:rPr>
        <w:t>REASONS FOR CHANGE IN BURDEN</w:t>
      </w:r>
    </w:p>
    <w:p w:rsidR="001748D5" w:rsidRDefault="001748D5" w:rsidP="00257F49">
      <w:pPr>
        <w:rPr>
          <w:u w:val="single"/>
        </w:rPr>
      </w:pPr>
    </w:p>
    <w:p w:rsidR="007722EB" w:rsidRDefault="001748D5" w:rsidP="009F0813">
      <w:pPr>
        <w:ind w:left="720"/>
      </w:pPr>
      <w:r>
        <w:t>There are no changes in the paperwork burden previously approved by OMB.  We are making this submission to renew the OMB approval</w:t>
      </w:r>
      <w:r w:rsidR="009F0813">
        <w:t>.</w:t>
      </w:r>
    </w:p>
    <w:p w:rsidR="007722EB" w:rsidRDefault="007722EB" w:rsidP="00257F49"/>
    <w:p w:rsidR="007722EB" w:rsidRDefault="007722EB" w:rsidP="00257F49">
      <w:pPr>
        <w:rPr>
          <w:u w:val="single"/>
        </w:rPr>
      </w:pPr>
      <w:r>
        <w:t>16.</w:t>
      </w:r>
      <w:r>
        <w:tab/>
      </w:r>
      <w:r>
        <w:rPr>
          <w:u w:val="single"/>
        </w:rPr>
        <w:t>PLANS FOR TABULATION, STATISTICAL ANALYSIS AND PUBLICATION</w:t>
      </w:r>
    </w:p>
    <w:p w:rsidR="001748D5" w:rsidRDefault="001748D5" w:rsidP="00257F49">
      <w:pPr>
        <w:rPr>
          <w:u w:val="single"/>
        </w:rPr>
      </w:pPr>
    </w:p>
    <w:p w:rsidR="007722EB" w:rsidRDefault="001748D5" w:rsidP="001748D5">
      <w:pPr>
        <w:ind w:left="720"/>
      </w:pPr>
      <w:r>
        <w:t>There are no plans for tabulation, statistical analysis and publication.</w:t>
      </w:r>
    </w:p>
    <w:p w:rsidR="007722EB" w:rsidRDefault="007722EB" w:rsidP="00257F49"/>
    <w:p w:rsidR="007722EB" w:rsidRDefault="007722EB" w:rsidP="009F0813">
      <w:pPr>
        <w:ind w:left="720" w:hanging="720"/>
        <w:rPr>
          <w:u w:val="single"/>
        </w:rPr>
      </w:pPr>
      <w:r>
        <w:t>17.</w:t>
      </w:r>
      <w:r>
        <w:tab/>
      </w:r>
      <w:r>
        <w:rPr>
          <w:u w:val="single"/>
        </w:rPr>
        <w:t>REASONS WHY DISPLAYING THE OMB EXPIRATION DATE IS INAPPROPIATE</w:t>
      </w:r>
    </w:p>
    <w:p w:rsidR="001748D5" w:rsidRDefault="001748D5" w:rsidP="009F0813">
      <w:pPr>
        <w:ind w:left="720" w:hanging="720"/>
      </w:pPr>
    </w:p>
    <w:p w:rsidR="007722EB" w:rsidRDefault="007722EB" w:rsidP="009F0813">
      <w:pPr>
        <w:ind w:left="720"/>
      </w:pPr>
      <w: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7722EB" w:rsidRDefault="007722EB" w:rsidP="00257F49"/>
    <w:p w:rsidR="007722EB" w:rsidRDefault="007722EB" w:rsidP="00257F49">
      <w:pPr>
        <w:rPr>
          <w:u w:val="single"/>
        </w:rPr>
      </w:pPr>
      <w:r>
        <w:t>18.</w:t>
      </w:r>
      <w:r>
        <w:tab/>
      </w:r>
      <w:r>
        <w:rPr>
          <w:u w:val="single"/>
        </w:rPr>
        <w:t>EXCEPTIONS TO THE CERTIFICATION STATEMENT</w:t>
      </w:r>
    </w:p>
    <w:p w:rsidR="001748D5" w:rsidRDefault="001748D5" w:rsidP="00257F49"/>
    <w:p w:rsidR="004E297F" w:rsidRDefault="004E297F" w:rsidP="00257F49">
      <w:r>
        <w:tab/>
      </w:r>
      <w:r w:rsidR="001748D5">
        <w:t>There are no exceptions to the certification statement</w:t>
      </w:r>
      <w:bookmarkStart w:id="0" w:name="_GoBack"/>
      <w:r w:rsidR="00982E2C">
        <w:t xml:space="preserve"> for this collection</w:t>
      </w:r>
      <w:bookmarkEnd w:id="0"/>
      <w:r>
        <w:t>.</w:t>
      </w:r>
    </w:p>
    <w:p w:rsidR="004E297F" w:rsidRDefault="004E297F" w:rsidP="00257F49"/>
    <w:p w:rsidR="004E297F" w:rsidRDefault="004E297F" w:rsidP="00257F49">
      <w:r>
        <w:rPr>
          <w:u w:val="single"/>
        </w:rPr>
        <w:t>Note:</w:t>
      </w:r>
      <w:r>
        <w:t xml:space="preserve">  The following paragraph applies to all of the collections of information in this submission:</w:t>
      </w:r>
    </w:p>
    <w:p w:rsidR="004E297F" w:rsidRDefault="004E297F" w:rsidP="00257F49"/>
    <w:p w:rsidR="004E297F" w:rsidRDefault="004E297F" w:rsidP="004E297F">
      <w:pPr>
        <w:rPr>
          <w:bCs/>
        </w:rPr>
      </w:pPr>
      <w:r>
        <w:tab/>
      </w:r>
      <w:r w:rsidRPr="00597766">
        <w:rPr>
          <w:bCs/>
        </w:rPr>
        <w:t>An agency may not conduct or</w:t>
      </w:r>
      <w:r>
        <w:rPr>
          <w:bCs/>
        </w:rPr>
        <w:t xml:space="preserve"> </w:t>
      </w:r>
      <w:r w:rsidRPr="00597766">
        <w:rPr>
          <w:bCs/>
        </w:rPr>
        <w:t xml:space="preserve">sponsor, and a person is not required to respond to, a collection of information unless the collection of information displays a valid </w:t>
      </w:r>
      <w:r>
        <w:rPr>
          <w:bCs/>
        </w:rPr>
        <w:t xml:space="preserve">OMB </w:t>
      </w:r>
      <w:r w:rsidRPr="00597766">
        <w:rPr>
          <w:bCs/>
        </w:rPr>
        <w:t>control number.</w:t>
      </w:r>
      <w:r>
        <w:rPr>
          <w:bCs/>
        </w:rPr>
        <w:t xml:space="preserve">  B</w:t>
      </w:r>
      <w:r w:rsidRPr="00597766">
        <w:rPr>
          <w:bCs/>
        </w:rPr>
        <w:t>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E297F" w:rsidRPr="00597766" w:rsidRDefault="004E297F" w:rsidP="004E297F">
      <w:pPr>
        <w:rPr>
          <w:bCs/>
        </w:rPr>
      </w:pPr>
    </w:p>
    <w:p w:rsidR="004E297F" w:rsidRPr="004E297F" w:rsidRDefault="004E297F" w:rsidP="00257F49"/>
    <w:sectPr w:rsidR="004E297F" w:rsidRPr="004E297F" w:rsidSect="00177D7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0E" w:rsidRDefault="004A570E">
      <w:r>
        <w:separator/>
      </w:r>
    </w:p>
  </w:endnote>
  <w:endnote w:type="continuationSeparator" w:id="0">
    <w:p w:rsidR="004A570E" w:rsidRDefault="004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5F" w:rsidRDefault="0086365F" w:rsidP="00663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65F" w:rsidRDefault="00863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5F" w:rsidRDefault="0086365F" w:rsidP="00663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2E2C">
      <w:rPr>
        <w:rStyle w:val="PageNumber"/>
        <w:noProof/>
      </w:rPr>
      <w:t>3</w:t>
    </w:r>
    <w:r>
      <w:rPr>
        <w:rStyle w:val="PageNumber"/>
      </w:rPr>
      <w:fldChar w:fldCharType="end"/>
    </w:r>
  </w:p>
  <w:p w:rsidR="0086365F" w:rsidRDefault="00863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0E" w:rsidRDefault="004A570E">
      <w:r>
        <w:separator/>
      </w:r>
    </w:p>
  </w:footnote>
  <w:footnote w:type="continuationSeparator" w:id="0">
    <w:p w:rsidR="004A570E" w:rsidRDefault="004A5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C577B"/>
    <w:multiLevelType w:val="hybridMultilevel"/>
    <w:tmpl w:val="847AA984"/>
    <w:lvl w:ilvl="0" w:tplc="184C614E">
      <w:start w:val="1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D70BDA"/>
    <w:multiLevelType w:val="hybridMultilevel"/>
    <w:tmpl w:val="2D00AF3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AB3BDA"/>
    <w:multiLevelType w:val="hybridMultilevel"/>
    <w:tmpl w:val="4F64FED0"/>
    <w:lvl w:ilvl="0" w:tplc="082CE9AE">
      <w:start w:val="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24A69"/>
    <w:rsid w:val="00037F5A"/>
    <w:rsid w:val="00046168"/>
    <w:rsid w:val="000C064B"/>
    <w:rsid w:val="001044E9"/>
    <w:rsid w:val="001748D5"/>
    <w:rsid w:val="00177D74"/>
    <w:rsid w:val="001807B6"/>
    <w:rsid w:val="00194B24"/>
    <w:rsid w:val="001B07C9"/>
    <w:rsid w:val="001D68D8"/>
    <w:rsid w:val="002428A5"/>
    <w:rsid w:val="00257F49"/>
    <w:rsid w:val="00263F95"/>
    <w:rsid w:val="00272C0B"/>
    <w:rsid w:val="0029388F"/>
    <w:rsid w:val="002E05E8"/>
    <w:rsid w:val="00357A71"/>
    <w:rsid w:val="004071E0"/>
    <w:rsid w:val="004232D8"/>
    <w:rsid w:val="0043199E"/>
    <w:rsid w:val="004917AB"/>
    <w:rsid w:val="0049571F"/>
    <w:rsid w:val="004A570E"/>
    <w:rsid w:val="004E297F"/>
    <w:rsid w:val="00513745"/>
    <w:rsid w:val="00515FFE"/>
    <w:rsid w:val="00542AAB"/>
    <w:rsid w:val="00572034"/>
    <w:rsid w:val="0058265E"/>
    <w:rsid w:val="00637CFC"/>
    <w:rsid w:val="0066355B"/>
    <w:rsid w:val="006B5E30"/>
    <w:rsid w:val="00713196"/>
    <w:rsid w:val="007722EB"/>
    <w:rsid w:val="00774ECA"/>
    <w:rsid w:val="00810FE5"/>
    <w:rsid w:val="00825AD4"/>
    <w:rsid w:val="0086365F"/>
    <w:rsid w:val="008930DB"/>
    <w:rsid w:val="00906135"/>
    <w:rsid w:val="00974945"/>
    <w:rsid w:val="00982E2C"/>
    <w:rsid w:val="00992732"/>
    <w:rsid w:val="009F0813"/>
    <w:rsid w:val="00A137CC"/>
    <w:rsid w:val="00AB767C"/>
    <w:rsid w:val="00AC1BAE"/>
    <w:rsid w:val="00B35E10"/>
    <w:rsid w:val="00B91F7A"/>
    <w:rsid w:val="00BA2378"/>
    <w:rsid w:val="00BC0346"/>
    <w:rsid w:val="00BD21D2"/>
    <w:rsid w:val="00C35A31"/>
    <w:rsid w:val="00C44A08"/>
    <w:rsid w:val="00C61E50"/>
    <w:rsid w:val="00C97367"/>
    <w:rsid w:val="00CF6D68"/>
    <w:rsid w:val="00D07F84"/>
    <w:rsid w:val="00D23E20"/>
    <w:rsid w:val="00D26958"/>
    <w:rsid w:val="00E144AC"/>
    <w:rsid w:val="00E4166C"/>
    <w:rsid w:val="00EB5B34"/>
    <w:rsid w:val="00EC688B"/>
    <w:rsid w:val="00EE5F67"/>
    <w:rsid w:val="00EF4EBE"/>
    <w:rsid w:val="00F21146"/>
    <w:rsid w:val="00FD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5E30"/>
    <w:pPr>
      <w:tabs>
        <w:tab w:val="center" w:pos="4320"/>
        <w:tab w:val="right" w:pos="8640"/>
      </w:tabs>
    </w:pPr>
  </w:style>
  <w:style w:type="character" w:styleId="PageNumber">
    <w:name w:val="page number"/>
    <w:basedOn w:val="DefaultParagraphFont"/>
    <w:rsid w:val="006B5E30"/>
  </w:style>
  <w:style w:type="paragraph" w:styleId="BalloonText">
    <w:name w:val="Balloon Text"/>
    <w:basedOn w:val="Normal"/>
    <w:link w:val="BalloonTextChar"/>
    <w:rsid w:val="00046168"/>
    <w:rPr>
      <w:rFonts w:ascii="Tahoma" w:hAnsi="Tahoma" w:cs="Tahoma"/>
      <w:sz w:val="16"/>
      <w:szCs w:val="16"/>
    </w:rPr>
  </w:style>
  <w:style w:type="character" w:customStyle="1" w:styleId="BalloonTextChar">
    <w:name w:val="Balloon Text Char"/>
    <w:link w:val="BalloonText"/>
    <w:rsid w:val="00046168"/>
    <w:rPr>
      <w:rFonts w:ascii="Tahoma" w:hAnsi="Tahoma" w:cs="Tahoma"/>
      <w:sz w:val="16"/>
      <w:szCs w:val="16"/>
    </w:rPr>
  </w:style>
  <w:style w:type="character" w:styleId="CommentReference">
    <w:name w:val="annotation reference"/>
    <w:rsid w:val="00825AD4"/>
    <w:rPr>
      <w:sz w:val="16"/>
      <w:szCs w:val="16"/>
    </w:rPr>
  </w:style>
  <w:style w:type="paragraph" w:styleId="CommentText">
    <w:name w:val="annotation text"/>
    <w:basedOn w:val="Normal"/>
    <w:link w:val="CommentTextChar"/>
    <w:rsid w:val="00825AD4"/>
    <w:rPr>
      <w:sz w:val="20"/>
      <w:szCs w:val="20"/>
    </w:rPr>
  </w:style>
  <w:style w:type="character" w:customStyle="1" w:styleId="CommentTextChar">
    <w:name w:val="Comment Text Char"/>
    <w:link w:val="CommentText"/>
    <w:rsid w:val="00825AD4"/>
    <w:rPr>
      <w:rFonts w:ascii="Arial" w:hAnsi="Arial"/>
    </w:rPr>
  </w:style>
  <w:style w:type="paragraph" w:styleId="CommentSubject">
    <w:name w:val="annotation subject"/>
    <w:basedOn w:val="CommentText"/>
    <w:next w:val="CommentText"/>
    <w:link w:val="CommentSubjectChar"/>
    <w:rsid w:val="00825AD4"/>
    <w:rPr>
      <w:b/>
      <w:bCs/>
    </w:rPr>
  </w:style>
  <w:style w:type="character" w:customStyle="1" w:styleId="CommentSubjectChar">
    <w:name w:val="Comment Subject Char"/>
    <w:link w:val="CommentSubject"/>
    <w:rsid w:val="00825AD4"/>
    <w:rPr>
      <w:rFonts w:ascii="Arial" w:hAnsi="Arial"/>
      <w:b/>
      <w:bCs/>
    </w:rPr>
  </w:style>
  <w:style w:type="paragraph" w:styleId="ListParagraph">
    <w:name w:val="List Paragraph"/>
    <w:basedOn w:val="Normal"/>
    <w:uiPriority w:val="34"/>
    <w:qFormat/>
    <w:rsid w:val="0029388F"/>
    <w:pPr>
      <w:ind w:left="720"/>
      <w:contextualSpacing/>
    </w:pPr>
  </w:style>
  <w:style w:type="paragraph" w:styleId="NormalWeb">
    <w:name w:val="Normal (Web)"/>
    <w:basedOn w:val="Normal"/>
    <w:uiPriority w:val="99"/>
    <w:unhideWhenUsed/>
    <w:rsid w:val="0049571F"/>
    <w:pPr>
      <w:spacing w:before="100" w:beforeAutospacing="1" w:after="100" w:afterAutospacing="1" w:line="210" w:lineRule="atLeast"/>
    </w:pPr>
    <w:rPr>
      <w:rFonts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5E30"/>
    <w:pPr>
      <w:tabs>
        <w:tab w:val="center" w:pos="4320"/>
        <w:tab w:val="right" w:pos="8640"/>
      </w:tabs>
    </w:pPr>
  </w:style>
  <w:style w:type="character" w:styleId="PageNumber">
    <w:name w:val="page number"/>
    <w:basedOn w:val="DefaultParagraphFont"/>
    <w:rsid w:val="006B5E30"/>
  </w:style>
  <w:style w:type="paragraph" w:styleId="BalloonText">
    <w:name w:val="Balloon Text"/>
    <w:basedOn w:val="Normal"/>
    <w:link w:val="BalloonTextChar"/>
    <w:rsid w:val="00046168"/>
    <w:rPr>
      <w:rFonts w:ascii="Tahoma" w:hAnsi="Tahoma" w:cs="Tahoma"/>
      <w:sz w:val="16"/>
      <w:szCs w:val="16"/>
    </w:rPr>
  </w:style>
  <w:style w:type="character" w:customStyle="1" w:styleId="BalloonTextChar">
    <w:name w:val="Balloon Text Char"/>
    <w:link w:val="BalloonText"/>
    <w:rsid w:val="00046168"/>
    <w:rPr>
      <w:rFonts w:ascii="Tahoma" w:hAnsi="Tahoma" w:cs="Tahoma"/>
      <w:sz w:val="16"/>
      <w:szCs w:val="16"/>
    </w:rPr>
  </w:style>
  <w:style w:type="character" w:styleId="CommentReference">
    <w:name w:val="annotation reference"/>
    <w:rsid w:val="00825AD4"/>
    <w:rPr>
      <w:sz w:val="16"/>
      <w:szCs w:val="16"/>
    </w:rPr>
  </w:style>
  <w:style w:type="paragraph" w:styleId="CommentText">
    <w:name w:val="annotation text"/>
    <w:basedOn w:val="Normal"/>
    <w:link w:val="CommentTextChar"/>
    <w:rsid w:val="00825AD4"/>
    <w:rPr>
      <w:sz w:val="20"/>
      <w:szCs w:val="20"/>
    </w:rPr>
  </w:style>
  <w:style w:type="character" w:customStyle="1" w:styleId="CommentTextChar">
    <w:name w:val="Comment Text Char"/>
    <w:link w:val="CommentText"/>
    <w:rsid w:val="00825AD4"/>
    <w:rPr>
      <w:rFonts w:ascii="Arial" w:hAnsi="Arial"/>
    </w:rPr>
  </w:style>
  <w:style w:type="paragraph" w:styleId="CommentSubject">
    <w:name w:val="annotation subject"/>
    <w:basedOn w:val="CommentText"/>
    <w:next w:val="CommentText"/>
    <w:link w:val="CommentSubjectChar"/>
    <w:rsid w:val="00825AD4"/>
    <w:rPr>
      <w:b/>
      <w:bCs/>
    </w:rPr>
  </w:style>
  <w:style w:type="character" w:customStyle="1" w:styleId="CommentSubjectChar">
    <w:name w:val="Comment Subject Char"/>
    <w:link w:val="CommentSubject"/>
    <w:rsid w:val="00825AD4"/>
    <w:rPr>
      <w:rFonts w:ascii="Arial" w:hAnsi="Arial"/>
      <w:b/>
      <w:bCs/>
    </w:rPr>
  </w:style>
  <w:style w:type="paragraph" w:styleId="ListParagraph">
    <w:name w:val="List Paragraph"/>
    <w:basedOn w:val="Normal"/>
    <w:uiPriority w:val="34"/>
    <w:qFormat/>
    <w:rsid w:val="0029388F"/>
    <w:pPr>
      <w:ind w:left="720"/>
      <w:contextualSpacing/>
    </w:pPr>
  </w:style>
  <w:style w:type="paragraph" w:styleId="NormalWeb">
    <w:name w:val="Normal (Web)"/>
    <w:basedOn w:val="Normal"/>
    <w:uiPriority w:val="99"/>
    <w:unhideWhenUsed/>
    <w:rsid w:val="0049571F"/>
    <w:pPr>
      <w:spacing w:before="100" w:beforeAutospacing="1" w:after="100" w:afterAutospacing="1" w:line="210" w:lineRule="atLeast"/>
    </w:pPr>
    <w:rPr>
      <w:rFonts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16795">
      <w:bodyDiv w:val="1"/>
      <w:marLeft w:val="0"/>
      <w:marRight w:val="0"/>
      <w:marTop w:val="0"/>
      <w:marBottom w:val="0"/>
      <w:divBdr>
        <w:top w:val="none" w:sz="0" w:space="0" w:color="auto"/>
        <w:left w:val="none" w:sz="0" w:space="0" w:color="auto"/>
        <w:bottom w:val="none" w:sz="0" w:space="0" w:color="auto"/>
        <w:right w:val="none" w:sz="0" w:space="0" w:color="auto"/>
      </w:divBdr>
      <w:divsChild>
        <w:div w:id="11759226">
          <w:marLeft w:val="0"/>
          <w:marRight w:val="0"/>
          <w:marTop w:val="0"/>
          <w:marBottom w:val="0"/>
          <w:divBdr>
            <w:top w:val="none" w:sz="0" w:space="0" w:color="auto"/>
            <w:left w:val="none" w:sz="0" w:space="0" w:color="auto"/>
            <w:bottom w:val="none" w:sz="0" w:space="0" w:color="auto"/>
            <w:right w:val="none" w:sz="0" w:space="0" w:color="auto"/>
          </w:divBdr>
          <w:divsChild>
            <w:div w:id="1746107167">
              <w:marLeft w:val="0"/>
              <w:marRight w:val="0"/>
              <w:marTop w:val="0"/>
              <w:marBottom w:val="0"/>
              <w:divBdr>
                <w:top w:val="none" w:sz="0" w:space="0" w:color="auto"/>
                <w:left w:val="none" w:sz="0" w:space="0" w:color="auto"/>
                <w:bottom w:val="none" w:sz="0" w:space="0" w:color="auto"/>
                <w:right w:val="none" w:sz="0" w:space="0" w:color="auto"/>
              </w:divBdr>
              <w:divsChild>
                <w:div w:id="1491561646">
                  <w:marLeft w:val="3960"/>
                  <w:marRight w:val="240"/>
                  <w:marTop w:val="240"/>
                  <w:marBottom w:val="0"/>
                  <w:divBdr>
                    <w:top w:val="none" w:sz="0" w:space="0" w:color="auto"/>
                    <w:left w:val="none" w:sz="0" w:space="0" w:color="auto"/>
                    <w:bottom w:val="none" w:sz="0" w:space="0" w:color="auto"/>
                    <w:right w:val="none" w:sz="0" w:space="0" w:color="auto"/>
                  </w:divBdr>
                  <w:divsChild>
                    <w:div w:id="1653288151">
                      <w:marLeft w:val="0"/>
                      <w:marRight w:val="0"/>
                      <w:marTop w:val="0"/>
                      <w:marBottom w:val="0"/>
                      <w:divBdr>
                        <w:top w:val="none" w:sz="0" w:space="0" w:color="auto"/>
                        <w:left w:val="none" w:sz="0" w:space="0" w:color="auto"/>
                        <w:bottom w:val="none" w:sz="0" w:space="0" w:color="auto"/>
                        <w:right w:val="none" w:sz="0" w:space="0" w:color="auto"/>
                      </w:divBdr>
                      <w:divsChild>
                        <w:div w:id="1827893038">
                          <w:marLeft w:val="0"/>
                          <w:marRight w:val="0"/>
                          <w:marTop w:val="0"/>
                          <w:marBottom w:val="0"/>
                          <w:divBdr>
                            <w:top w:val="none" w:sz="0" w:space="0" w:color="auto"/>
                            <w:left w:val="none" w:sz="0" w:space="0" w:color="auto"/>
                            <w:bottom w:val="none" w:sz="0" w:space="0" w:color="auto"/>
                            <w:right w:val="none" w:sz="0" w:space="0" w:color="auto"/>
                          </w:divBdr>
                          <w:divsChild>
                            <w:div w:id="20376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3210-70AF-4A17-B9CC-BD2B8A04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LocalUser</dc:creator>
  <cp:lastModifiedBy>Department of Treasury</cp:lastModifiedBy>
  <cp:revision>2</cp:revision>
  <dcterms:created xsi:type="dcterms:W3CDTF">2016-07-14T10:47:00Z</dcterms:created>
  <dcterms:modified xsi:type="dcterms:W3CDTF">2016-07-14T10:47:00Z</dcterms:modified>
</cp:coreProperties>
</file>