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margin" w:tblpY="2521"/>
        <w:tblOverlap w:val="never"/>
        <w:tblW w:w="0" w:type="auto"/>
        <w:tblLayout w:type="fixed"/>
        <w:tblCellMar>
          <w:left w:w="115" w:type="dxa"/>
          <w:right w:w="115" w:type="dxa"/>
        </w:tblCellMar>
        <w:tblLook w:val="04A0" w:firstRow="1" w:lastRow="0" w:firstColumn="1" w:lastColumn="0" w:noHBand="0" w:noVBand="1"/>
      </w:tblPr>
      <w:tblGrid>
        <w:gridCol w:w="3618"/>
        <w:gridCol w:w="4057"/>
      </w:tblGrid>
      <w:tr w:rsidR="00652A27" w:rsidRPr="00451D9C" w:rsidTr="00652A27">
        <w:tc>
          <w:tcPr>
            <w:tcW w:w="3618" w:type="dxa"/>
          </w:tcPr>
          <w:p w:rsidR="00652A27" w:rsidRPr="008A0FFF" w:rsidRDefault="00652A27" w:rsidP="00652A27">
            <w:pPr>
              <w:spacing w:line="240" w:lineRule="exact"/>
              <w:ind w:firstLine="0"/>
              <w:rPr>
                <w:rFonts w:ascii="Arial" w:hAnsi="Arial"/>
                <w:sz w:val="17"/>
                <w:szCs w:val="16"/>
              </w:rPr>
            </w:pPr>
          </w:p>
          <w:p w:rsidR="00652A27" w:rsidRPr="008A0FFF" w:rsidRDefault="00652A27" w:rsidP="00652A27">
            <w:pPr>
              <w:spacing w:line="240" w:lineRule="exact"/>
              <w:ind w:firstLine="0"/>
              <w:rPr>
                <w:rFonts w:ascii="Arial" w:hAnsi="Arial"/>
                <w:sz w:val="17"/>
                <w:szCs w:val="16"/>
              </w:rPr>
            </w:pPr>
            <w:r w:rsidRPr="008A0FFF">
              <w:rPr>
                <w:rFonts w:ascii="Arial" w:hAnsi="Arial"/>
                <w:sz w:val="17"/>
                <w:szCs w:val="16"/>
              </w:rPr>
              <w:t>U.S. Department of Health</w:t>
            </w:r>
            <w:r w:rsidRPr="008A0FFF">
              <w:rPr>
                <w:rFonts w:ascii="Arial" w:hAnsi="Arial"/>
                <w:sz w:val="17"/>
                <w:szCs w:val="16"/>
              </w:rPr>
              <w:br/>
              <w:t>and Human Services</w:t>
            </w:r>
          </w:p>
          <w:p w:rsidR="00652A27" w:rsidRDefault="00652A27" w:rsidP="00652A27">
            <w:pPr>
              <w:spacing w:line="240" w:lineRule="exact"/>
              <w:ind w:firstLine="0"/>
              <w:rPr>
                <w:rFonts w:ascii="Arial" w:hAnsi="Arial"/>
                <w:sz w:val="17"/>
                <w:szCs w:val="16"/>
              </w:rPr>
            </w:pPr>
            <w:r w:rsidRPr="008A0FFF">
              <w:rPr>
                <w:rFonts w:ascii="Arial" w:hAnsi="Arial"/>
                <w:sz w:val="17"/>
                <w:szCs w:val="16"/>
              </w:rPr>
              <w:t xml:space="preserve">Office of Planning, Research and Evaluation </w:t>
            </w:r>
            <w:r>
              <w:rPr>
                <w:rFonts w:ascii="Arial" w:hAnsi="Arial"/>
                <w:sz w:val="17"/>
                <w:szCs w:val="16"/>
              </w:rPr>
              <w:t>&amp; Family and Youth Services Bureau,</w:t>
            </w:r>
          </w:p>
          <w:p w:rsidR="00652A27" w:rsidRPr="008A0FFF" w:rsidRDefault="00652A27" w:rsidP="00652A27">
            <w:pPr>
              <w:spacing w:line="240" w:lineRule="exact"/>
              <w:ind w:firstLine="0"/>
              <w:rPr>
                <w:rFonts w:ascii="Arial" w:hAnsi="Arial"/>
                <w:sz w:val="17"/>
                <w:szCs w:val="16"/>
              </w:rPr>
            </w:pPr>
            <w:r w:rsidRPr="008A0FFF">
              <w:rPr>
                <w:rFonts w:ascii="Arial" w:hAnsi="Arial"/>
                <w:sz w:val="17"/>
                <w:szCs w:val="16"/>
              </w:rPr>
              <w:t xml:space="preserve">Administration for Children and Families </w:t>
            </w:r>
          </w:p>
          <w:p w:rsidR="00652A27" w:rsidRPr="008A0FFF" w:rsidRDefault="00652A27" w:rsidP="00652A27">
            <w:pPr>
              <w:spacing w:line="240" w:lineRule="exact"/>
              <w:ind w:firstLine="0"/>
              <w:rPr>
                <w:rFonts w:ascii="Arial" w:hAnsi="Arial"/>
                <w:sz w:val="17"/>
                <w:szCs w:val="16"/>
              </w:rPr>
            </w:pPr>
            <w:r w:rsidRPr="008A0FFF">
              <w:rPr>
                <w:rFonts w:ascii="Arial" w:hAnsi="Arial"/>
                <w:sz w:val="17"/>
                <w:szCs w:val="16"/>
              </w:rPr>
              <w:t>7th floor West Aerospace Building</w:t>
            </w:r>
          </w:p>
          <w:p w:rsidR="00652A27" w:rsidRPr="008A0FFF" w:rsidRDefault="00652A27" w:rsidP="00652A27">
            <w:pPr>
              <w:spacing w:line="240" w:lineRule="exact"/>
              <w:ind w:firstLine="0"/>
              <w:rPr>
                <w:rFonts w:ascii="Arial" w:hAnsi="Arial"/>
                <w:sz w:val="17"/>
                <w:szCs w:val="16"/>
              </w:rPr>
            </w:pPr>
            <w:r w:rsidRPr="008A0FFF">
              <w:rPr>
                <w:rFonts w:ascii="Arial" w:hAnsi="Arial"/>
                <w:sz w:val="17"/>
                <w:szCs w:val="16"/>
              </w:rPr>
              <w:t>370 L'Enfant Promenade, SW</w:t>
            </w:r>
          </w:p>
          <w:p w:rsidR="00652A27" w:rsidRPr="008A0FFF" w:rsidRDefault="00652A27" w:rsidP="00652A27">
            <w:pPr>
              <w:spacing w:line="240" w:lineRule="exact"/>
              <w:ind w:firstLine="0"/>
              <w:rPr>
                <w:rFonts w:ascii="Arial" w:hAnsi="Arial"/>
                <w:sz w:val="17"/>
                <w:szCs w:val="16"/>
              </w:rPr>
            </w:pPr>
            <w:r w:rsidRPr="008A0FFF">
              <w:rPr>
                <w:rFonts w:ascii="Arial" w:hAnsi="Arial"/>
                <w:sz w:val="17"/>
                <w:szCs w:val="16"/>
              </w:rPr>
              <w:t>Washington, DC 20047</w:t>
            </w:r>
          </w:p>
          <w:p w:rsidR="00652A27" w:rsidRPr="008A0FFF" w:rsidRDefault="00652A27" w:rsidP="00652A27">
            <w:pPr>
              <w:spacing w:after="180" w:line="240" w:lineRule="exact"/>
              <w:ind w:firstLine="0"/>
              <w:rPr>
                <w:rFonts w:ascii="Arial" w:hAnsi="Arial"/>
                <w:sz w:val="17"/>
                <w:szCs w:val="16"/>
              </w:rPr>
            </w:pPr>
            <w:r w:rsidRPr="008A0FFF">
              <w:rPr>
                <w:rFonts w:ascii="Arial" w:hAnsi="Arial"/>
                <w:sz w:val="17"/>
                <w:szCs w:val="16"/>
              </w:rPr>
              <w:t>Project Officer</w:t>
            </w:r>
            <w:r>
              <w:rPr>
                <w:rFonts w:ascii="Arial" w:hAnsi="Arial"/>
                <w:sz w:val="17"/>
                <w:szCs w:val="16"/>
              </w:rPr>
              <w:t>s</w:t>
            </w:r>
            <w:r w:rsidRPr="008A0FFF">
              <w:rPr>
                <w:rFonts w:ascii="Arial" w:hAnsi="Arial"/>
                <w:sz w:val="17"/>
                <w:szCs w:val="16"/>
              </w:rPr>
              <w:t>: Clare DiSalvo, Dirk Butler</w:t>
            </w:r>
          </w:p>
          <w:p w:rsidR="00652A27" w:rsidRPr="008A0FFF" w:rsidRDefault="00652A27" w:rsidP="00652A27">
            <w:pPr>
              <w:spacing w:line="240" w:lineRule="exact"/>
              <w:ind w:firstLine="0"/>
              <w:rPr>
                <w:rFonts w:ascii="Arial" w:hAnsi="Arial"/>
                <w:sz w:val="17"/>
                <w:szCs w:val="16"/>
              </w:rPr>
            </w:pPr>
          </w:p>
          <w:p w:rsidR="00652A27" w:rsidRPr="008A0FFF" w:rsidRDefault="00652A27" w:rsidP="00652A27">
            <w:pPr>
              <w:spacing w:line="240" w:lineRule="exact"/>
              <w:ind w:firstLine="0"/>
              <w:rPr>
                <w:rFonts w:ascii="Arial" w:hAnsi="Arial"/>
                <w:sz w:val="16"/>
                <w:szCs w:val="16"/>
              </w:rPr>
            </w:pPr>
          </w:p>
        </w:tc>
        <w:tc>
          <w:tcPr>
            <w:tcW w:w="4057" w:type="dxa"/>
          </w:tcPr>
          <w:p w:rsidR="00652A27" w:rsidRPr="009F7524" w:rsidRDefault="00652A27" w:rsidP="00652A27">
            <w:pPr>
              <w:spacing w:before="240" w:after="144" w:line="312" w:lineRule="auto"/>
              <w:ind w:left="58" w:firstLine="0"/>
              <w:rPr>
                <w:rFonts w:ascii="Arial" w:hAnsi="Arial"/>
                <w:b/>
                <w:sz w:val="22"/>
              </w:rPr>
            </w:pPr>
            <w:r w:rsidRPr="009F7524">
              <w:rPr>
                <w:rFonts w:ascii="Arial" w:hAnsi="Arial"/>
                <w:b/>
                <w:sz w:val="22"/>
              </w:rPr>
              <w:t xml:space="preserve">PART B: </w:t>
            </w:r>
            <w:r w:rsidRPr="008C4C5F">
              <w:rPr>
                <w:rFonts w:ascii="Arial" w:hAnsi="Arial"/>
                <w:b/>
              </w:rPr>
              <w:t xml:space="preserve"> Justification for the Collection of</w:t>
            </w:r>
            <w:r>
              <w:rPr>
                <w:rFonts w:ascii="Arial" w:hAnsi="Arial"/>
                <w:b/>
              </w:rPr>
              <w:t xml:space="preserve"> Implementation Survey Data</w:t>
            </w:r>
            <w:r w:rsidRPr="008C4C5F">
              <w:rPr>
                <w:rFonts w:ascii="Arial" w:hAnsi="Arial"/>
                <w:b/>
              </w:rPr>
              <w:t xml:space="preserve"> -  Personal Responsibility Education Program (PREP) Multi-Component Evaluation</w:t>
            </w:r>
          </w:p>
          <w:p w:rsidR="00652A27" w:rsidRPr="009F7524" w:rsidRDefault="00652A27" w:rsidP="00652A27">
            <w:pPr>
              <w:spacing w:after="144" w:line="312" w:lineRule="auto"/>
              <w:ind w:left="58" w:firstLine="0"/>
              <w:rPr>
                <w:rFonts w:ascii="Arial" w:hAnsi="Arial"/>
                <w:b/>
                <w:sz w:val="22"/>
              </w:rPr>
            </w:pPr>
            <w:r w:rsidRPr="009F7524">
              <w:rPr>
                <w:rFonts w:ascii="Arial" w:hAnsi="Arial"/>
                <w:b/>
                <w:sz w:val="22"/>
              </w:rPr>
              <w:t>0970-0398</w:t>
            </w:r>
          </w:p>
          <w:p w:rsidR="00652A27" w:rsidRPr="009F7524" w:rsidRDefault="00652A27" w:rsidP="00652A27">
            <w:pPr>
              <w:spacing w:after="144" w:line="312" w:lineRule="auto"/>
              <w:ind w:left="58" w:firstLine="0"/>
              <w:rPr>
                <w:rFonts w:ascii="Arial" w:hAnsi="Arial"/>
                <w:b/>
                <w:sz w:val="22"/>
              </w:rPr>
            </w:pPr>
            <w:r w:rsidRPr="009F7524">
              <w:rPr>
                <w:rFonts w:ascii="Arial" w:hAnsi="Arial"/>
                <w:b/>
                <w:sz w:val="22"/>
              </w:rPr>
              <w:t>Draft</w:t>
            </w:r>
          </w:p>
          <w:p w:rsidR="00652A27" w:rsidRPr="008A0FFF" w:rsidRDefault="00652A27" w:rsidP="00652A27">
            <w:pPr>
              <w:spacing w:before="144" w:after="288" w:line="360" w:lineRule="exact"/>
              <w:ind w:left="58" w:firstLine="0"/>
              <w:rPr>
                <w:rFonts w:ascii="Arial" w:hAnsi="Arial"/>
              </w:rPr>
            </w:pPr>
            <w:r>
              <w:rPr>
                <w:rFonts w:ascii="Arial" w:hAnsi="Arial"/>
                <w:sz w:val="22"/>
              </w:rPr>
              <w:t>August 2014</w:t>
            </w:r>
          </w:p>
          <w:p w:rsidR="00652A27" w:rsidRPr="008A0FFF" w:rsidRDefault="00652A27" w:rsidP="00652A27">
            <w:pPr>
              <w:spacing w:line="280" w:lineRule="exact"/>
              <w:ind w:left="58" w:firstLine="0"/>
              <w:rPr>
                <w:rFonts w:ascii="Arial" w:hAnsi="Arial"/>
                <w:sz w:val="20"/>
              </w:rPr>
            </w:pPr>
          </w:p>
          <w:p w:rsidR="00652A27" w:rsidRPr="008A0FFF" w:rsidRDefault="00652A27" w:rsidP="00652A27">
            <w:pPr>
              <w:spacing w:line="280" w:lineRule="exact"/>
              <w:ind w:left="58" w:firstLine="0"/>
              <w:rPr>
                <w:rFonts w:ascii="Arial" w:hAnsi="Arial"/>
                <w:sz w:val="20"/>
              </w:rPr>
            </w:pPr>
          </w:p>
          <w:p w:rsidR="00652A27" w:rsidRPr="008A0FFF" w:rsidRDefault="00652A27" w:rsidP="00652A27">
            <w:pPr>
              <w:spacing w:line="280" w:lineRule="exact"/>
              <w:ind w:left="58" w:firstLine="0"/>
              <w:rPr>
                <w:rFonts w:ascii="Arial" w:hAnsi="Arial"/>
                <w:sz w:val="20"/>
              </w:rPr>
            </w:pPr>
          </w:p>
          <w:p w:rsidR="00652A27" w:rsidRPr="008A0FFF" w:rsidRDefault="00652A27" w:rsidP="00652A27">
            <w:pPr>
              <w:spacing w:line="264" w:lineRule="auto"/>
              <w:ind w:left="58" w:firstLine="0"/>
              <w:rPr>
                <w:rFonts w:ascii="Arial" w:hAnsi="Arial"/>
                <w:sz w:val="20"/>
              </w:rPr>
            </w:pPr>
          </w:p>
          <w:p w:rsidR="00652A27" w:rsidRPr="008A0FFF" w:rsidRDefault="00652A27" w:rsidP="00652A27">
            <w:pPr>
              <w:spacing w:line="264" w:lineRule="auto"/>
              <w:ind w:left="58" w:firstLine="0"/>
              <w:rPr>
                <w:rFonts w:ascii="Arial" w:hAnsi="Arial"/>
              </w:rPr>
            </w:pPr>
          </w:p>
        </w:tc>
      </w:tr>
    </w:tbl>
    <w:p w:rsidR="00652A27" w:rsidRDefault="00652A27">
      <w:bookmarkStart w:id="0" w:name="_GoBack"/>
    </w:p>
    <w:p w:rsidR="009D4A09" w:rsidRDefault="009D4A09" w:rsidP="004A4AE7">
      <w:pPr>
        <w:pStyle w:val="covertext"/>
        <w:sectPr w:rsidR="009D4A09">
          <w:footerReference w:type="default" r:id="rId12"/>
          <w:headerReference w:type="first" r:id="rId13"/>
          <w:pgSz w:w="12240" w:h="15840"/>
          <w:pgMar w:top="1008" w:right="965" w:bottom="1195" w:left="3629" w:header="864" w:footer="576" w:gutter="0"/>
          <w:cols w:space="720"/>
          <w:docGrid w:linePitch="326"/>
        </w:sectPr>
      </w:pPr>
      <w:bookmarkStart w:id="1" w:name="_Toc384973496"/>
    </w:p>
    <w:bookmarkEnd w:id="0"/>
    <w:p w:rsidR="00C14883" w:rsidRDefault="004A4AE7" w:rsidP="009D4A09">
      <w:pPr>
        <w:spacing w:after="240" w:line="240" w:lineRule="auto"/>
        <w:ind w:firstLine="0"/>
        <w:rPr>
          <w:rFonts w:eastAsiaTheme="minorEastAsia"/>
          <w:noProof/>
        </w:rPr>
      </w:pPr>
      <w:r>
        <w:rPr>
          <w:rFonts w:ascii="Arial Black" w:eastAsiaTheme="minorEastAsia" w:hAnsi="Arial Black"/>
          <w:noProof/>
          <w:sz w:val="22"/>
        </w:rPr>
        <w:lastRenderedPageBreak/>
        <w:t>CONTENTS</w:t>
      </w:r>
    </w:p>
    <w:p w:rsidR="00C14883" w:rsidRDefault="00930D3C">
      <w:pPr>
        <w:pStyle w:val="TOC1"/>
        <w:rPr>
          <w:rFonts w:asciiTheme="minorHAnsi" w:eastAsiaTheme="minorEastAsia" w:hAnsiTheme="minorHAnsi" w:cstheme="minorBidi"/>
          <w:noProof/>
          <w:sz w:val="22"/>
          <w:szCs w:val="22"/>
        </w:rPr>
      </w:pPr>
      <w:r>
        <w:rPr>
          <w:rFonts w:eastAsiaTheme="minorEastAsia"/>
          <w:noProof/>
        </w:rPr>
        <w:fldChar w:fldCharType="begin"/>
      </w:r>
      <w:r w:rsidR="004A4AE7">
        <w:rPr>
          <w:rFonts w:eastAsiaTheme="minorEastAsia"/>
          <w:noProof/>
        </w:rPr>
        <w:instrText xml:space="preserve"> TOC \o "1-3" \z \t "Heading 1,1,Heading 2,2,Mark for Attachment Heading,8,Mark for Appendix Heading,8" </w:instrText>
      </w:r>
      <w:r>
        <w:rPr>
          <w:rFonts w:eastAsiaTheme="minorEastAsia"/>
          <w:noProof/>
        </w:rPr>
        <w:fldChar w:fldCharType="separate"/>
      </w:r>
      <w:r w:rsidR="004A4AE7">
        <w:rPr>
          <w:noProof/>
        </w:rPr>
        <w:t>Part b: STATISTICAL METHODS FOR THE COLLECTION OF DATA</w:t>
      </w:r>
      <w:r w:rsidR="004A4AE7">
        <w:rPr>
          <w:noProof/>
          <w:webHidden/>
        </w:rPr>
        <w:tab/>
      </w:r>
      <w:r>
        <w:rPr>
          <w:noProof/>
          <w:webHidden/>
        </w:rPr>
        <w:fldChar w:fldCharType="begin"/>
      </w:r>
      <w:r w:rsidR="004A4AE7">
        <w:rPr>
          <w:noProof/>
          <w:webHidden/>
        </w:rPr>
        <w:instrText xml:space="preserve"> PAGEREF _Toc392578961 \h </w:instrText>
      </w:r>
      <w:r>
        <w:rPr>
          <w:noProof/>
          <w:webHidden/>
        </w:rPr>
      </w:r>
      <w:r>
        <w:rPr>
          <w:noProof/>
          <w:webHidden/>
        </w:rPr>
        <w:fldChar w:fldCharType="separate"/>
      </w:r>
      <w:r w:rsidR="004A4AE7">
        <w:rPr>
          <w:noProof/>
          <w:webHidden/>
        </w:rPr>
        <w:t>1</w:t>
      </w:r>
      <w:r>
        <w:rPr>
          <w:noProof/>
          <w:webHidden/>
        </w:rPr>
        <w:fldChar w:fldCharType="end"/>
      </w:r>
    </w:p>
    <w:p w:rsidR="004A4AE7" w:rsidRDefault="004A4AE7">
      <w:pPr>
        <w:pStyle w:val="TOC2"/>
        <w:rPr>
          <w:rFonts w:asciiTheme="minorHAnsi" w:eastAsiaTheme="minorEastAsia" w:hAnsiTheme="minorHAnsi" w:cstheme="minorBidi"/>
          <w:sz w:val="22"/>
          <w:szCs w:val="22"/>
        </w:rPr>
      </w:pPr>
      <w:r>
        <w:t>B.1. Respondent universe and sampling methods</w:t>
      </w:r>
      <w:r>
        <w:rPr>
          <w:webHidden/>
        </w:rPr>
        <w:tab/>
      </w:r>
      <w:r w:rsidR="00930D3C">
        <w:rPr>
          <w:webHidden/>
        </w:rPr>
        <w:fldChar w:fldCharType="begin"/>
      </w:r>
      <w:r>
        <w:rPr>
          <w:webHidden/>
        </w:rPr>
        <w:instrText xml:space="preserve"> PAGEREF _Toc392578962 \h </w:instrText>
      </w:r>
      <w:r w:rsidR="00930D3C">
        <w:rPr>
          <w:webHidden/>
        </w:rPr>
      </w:r>
      <w:r w:rsidR="00930D3C">
        <w:rPr>
          <w:webHidden/>
        </w:rPr>
        <w:fldChar w:fldCharType="separate"/>
      </w:r>
      <w:r>
        <w:rPr>
          <w:webHidden/>
        </w:rPr>
        <w:t>1</w:t>
      </w:r>
      <w:r w:rsidR="00930D3C">
        <w:rPr>
          <w:webHidden/>
        </w:rPr>
        <w:fldChar w:fldCharType="end"/>
      </w:r>
    </w:p>
    <w:p w:rsidR="004A4AE7" w:rsidRDefault="004A4AE7">
      <w:pPr>
        <w:pStyle w:val="TOC2"/>
        <w:rPr>
          <w:rFonts w:asciiTheme="minorHAnsi" w:eastAsiaTheme="minorEastAsia" w:hAnsiTheme="minorHAnsi" w:cstheme="minorBidi"/>
          <w:sz w:val="22"/>
          <w:szCs w:val="22"/>
        </w:rPr>
      </w:pPr>
      <w:r>
        <w:t>B.2. Procedures for the collection of information</w:t>
      </w:r>
      <w:r>
        <w:rPr>
          <w:webHidden/>
        </w:rPr>
        <w:tab/>
      </w:r>
      <w:r w:rsidR="00930D3C">
        <w:rPr>
          <w:webHidden/>
        </w:rPr>
        <w:fldChar w:fldCharType="begin"/>
      </w:r>
      <w:r>
        <w:rPr>
          <w:webHidden/>
        </w:rPr>
        <w:instrText xml:space="preserve"> PAGEREF _Toc392578963 \h </w:instrText>
      </w:r>
      <w:r w:rsidR="00930D3C">
        <w:rPr>
          <w:webHidden/>
        </w:rPr>
      </w:r>
      <w:r w:rsidR="00930D3C">
        <w:rPr>
          <w:webHidden/>
        </w:rPr>
        <w:fldChar w:fldCharType="separate"/>
      </w:r>
      <w:r>
        <w:rPr>
          <w:webHidden/>
        </w:rPr>
        <w:t>3</w:t>
      </w:r>
      <w:r w:rsidR="00930D3C">
        <w:rPr>
          <w:webHidden/>
        </w:rPr>
        <w:fldChar w:fldCharType="end"/>
      </w:r>
    </w:p>
    <w:p w:rsidR="004A4AE7" w:rsidRDefault="004A4AE7">
      <w:pPr>
        <w:pStyle w:val="TOC3"/>
        <w:rPr>
          <w:rFonts w:asciiTheme="minorHAnsi" w:eastAsiaTheme="minorEastAsia" w:hAnsiTheme="minorHAnsi" w:cstheme="minorBidi"/>
          <w:sz w:val="22"/>
          <w:szCs w:val="22"/>
        </w:rPr>
      </w:pPr>
      <w:r>
        <w:t>1. Data collection</w:t>
      </w:r>
      <w:r>
        <w:rPr>
          <w:webHidden/>
        </w:rPr>
        <w:tab/>
      </w:r>
      <w:r w:rsidR="00930D3C">
        <w:rPr>
          <w:webHidden/>
        </w:rPr>
        <w:fldChar w:fldCharType="begin"/>
      </w:r>
      <w:r>
        <w:rPr>
          <w:webHidden/>
        </w:rPr>
        <w:instrText xml:space="preserve"> PAGEREF _Toc392578964 \h </w:instrText>
      </w:r>
      <w:r w:rsidR="00930D3C">
        <w:rPr>
          <w:webHidden/>
        </w:rPr>
      </w:r>
      <w:r w:rsidR="00930D3C">
        <w:rPr>
          <w:webHidden/>
        </w:rPr>
        <w:fldChar w:fldCharType="separate"/>
      </w:r>
      <w:r>
        <w:rPr>
          <w:webHidden/>
        </w:rPr>
        <w:t>3</w:t>
      </w:r>
      <w:r w:rsidR="00930D3C">
        <w:rPr>
          <w:webHidden/>
        </w:rPr>
        <w:fldChar w:fldCharType="end"/>
      </w:r>
    </w:p>
    <w:p w:rsidR="004A4AE7" w:rsidRDefault="004A4AE7">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 xml:space="preserve"> </w:t>
      </w:r>
      <w:r>
        <w:t>Statistical methodology, estimation, and degree of accuracy</w:t>
      </w:r>
      <w:r>
        <w:rPr>
          <w:webHidden/>
        </w:rPr>
        <w:tab/>
      </w:r>
      <w:r w:rsidR="00930D3C">
        <w:rPr>
          <w:webHidden/>
        </w:rPr>
        <w:fldChar w:fldCharType="begin"/>
      </w:r>
      <w:r>
        <w:rPr>
          <w:webHidden/>
        </w:rPr>
        <w:instrText xml:space="preserve"> PAGEREF _Toc392578965 \h </w:instrText>
      </w:r>
      <w:r w:rsidR="00930D3C">
        <w:rPr>
          <w:webHidden/>
        </w:rPr>
      </w:r>
      <w:r w:rsidR="00930D3C">
        <w:rPr>
          <w:webHidden/>
        </w:rPr>
        <w:fldChar w:fldCharType="separate"/>
      </w:r>
      <w:r>
        <w:rPr>
          <w:webHidden/>
        </w:rPr>
        <w:t>4</w:t>
      </w:r>
      <w:r w:rsidR="00930D3C">
        <w:rPr>
          <w:webHidden/>
        </w:rPr>
        <w:fldChar w:fldCharType="end"/>
      </w:r>
    </w:p>
    <w:p w:rsidR="004A4AE7" w:rsidRDefault="004A4AE7">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 xml:space="preserve"> </w:t>
      </w:r>
      <w:r>
        <w:t>Unusual problems requiring specialized sampling procedures</w:t>
      </w:r>
      <w:r>
        <w:rPr>
          <w:webHidden/>
        </w:rPr>
        <w:tab/>
      </w:r>
      <w:r w:rsidR="00930D3C">
        <w:rPr>
          <w:webHidden/>
        </w:rPr>
        <w:fldChar w:fldCharType="begin"/>
      </w:r>
      <w:r>
        <w:rPr>
          <w:webHidden/>
        </w:rPr>
        <w:instrText xml:space="preserve"> PAGEREF _Toc392578966 \h </w:instrText>
      </w:r>
      <w:r w:rsidR="00930D3C">
        <w:rPr>
          <w:webHidden/>
        </w:rPr>
      </w:r>
      <w:r w:rsidR="00930D3C">
        <w:rPr>
          <w:webHidden/>
        </w:rPr>
        <w:fldChar w:fldCharType="separate"/>
      </w:r>
      <w:r>
        <w:rPr>
          <w:webHidden/>
        </w:rPr>
        <w:t>4</w:t>
      </w:r>
      <w:r w:rsidR="00930D3C">
        <w:rPr>
          <w:webHidden/>
        </w:rPr>
        <w:fldChar w:fldCharType="end"/>
      </w:r>
    </w:p>
    <w:p w:rsidR="004A4AE7" w:rsidRDefault="004A4AE7">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 xml:space="preserve"> </w:t>
      </w:r>
      <w:r>
        <w:t>Periodic data collection cycles to reduce burden</w:t>
      </w:r>
      <w:r>
        <w:rPr>
          <w:webHidden/>
        </w:rPr>
        <w:tab/>
      </w:r>
      <w:r w:rsidR="00930D3C">
        <w:rPr>
          <w:webHidden/>
        </w:rPr>
        <w:fldChar w:fldCharType="begin"/>
      </w:r>
      <w:r>
        <w:rPr>
          <w:webHidden/>
        </w:rPr>
        <w:instrText xml:space="preserve"> PAGEREF _Toc392578967 \h </w:instrText>
      </w:r>
      <w:r w:rsidR="00930D3C">
        <w:rPr>
          <w:webHidden/>
        </w:rPr>
      </w:r>
      <w:r w:rsidR="00930D3C">
        <w:rPr>
          <w:webHidden/>
        </w:rPr>
        <w:fldChar w:fldCharType="separate"/>
      </w:r>
      <w:r>
        <w:rPr>
          <w:webHidden/>
        </w:rPr>
        <w:t>4</w:t>
      </w:r>
      <w:r w:rsidR="00930D3C">
        <w:rPr>
          <w:webHidden/>
        </w:rPr>
        <w:fldChar w:fldCharType="end"/>
      </w:r>
    </w:p>
    <w:p w:rsidR="004A4AE7" w:rsidRDefault="004A4AE7">
      <w:pPr>
        <w:pStyle w:val="TOC2"/>
        <w:rPr>
          <w:rFonts w:asciiTheme="minorHAnsi" w:eastAsiaTheme="minorEastAsia" w:hAnsiTheme="minorHAnsi" w:cstheme="minorBidi"/>
          <w:sz w:val="22"/>
          <w:szCs w:val="22"/>
        </w:rPr>
      </w:pPr>
      <w:r>
        <w:t>B.3. Methods to maximize response rates and deal with nonresponse</w:t>
      </w:r>
      <w:r>
        <w:rPr>
          <w:webHidden/>
        </w:rPr>
        <w:tab/>
      </w:r>
      <w:r w:rsidR="00930D3C">
        <w:rPr>
          <w:webHidden/>
        </w:rPr>
        <w:fldChar w:fldCharType="begin"/>
      </w:r>
      <w:r>
        <w:rPr>
          <w:webHidden/>
        </w:rPr>
        <w:instrText xml:space="preserve"> PAGEREF _Toc392578968 \h </w:instrText>
      </w:r>
      <w:r w:rsidR="00930D3C">
        <w:rPr>
          <w:webHidden/>
        </w:rPr>
      </w:r>
      <w:r w:rsidR="00930D3C">
        <w:rPr>
          <w:webHidden/>
        </w:rPr>
        <w:fldChar w:fldCharType="separate"/>
      </w:r>
      <w:r>
        <w:rPr>
          <w:webHidden/>
        </w:rPr>
        <w:t>4</w:t>
      </w:r>
      <w:r w:rsidR="00930D3C">
        <w:rPr>
          <w:webHidden/>
        </w:rPr>
        <w:fldChar w:fldCharType="end"/>
      </w:r>
    </w:p>
    <w:p w:rsidR="004A4AE7" w:rsidRDefault="004A4AE7">
      <w:pPr>
        <w:pStyle w:val="TOC2"/>
        <w:rPr>
          <w:rFonts w:asciiTheme="minorHAnsi" w:eastAsiaTheme="minorEastAsia" w:hAnsiTheme="minorHAnsi" w:cstheme="minorBidi"/>
          <w:sz w:val="22"/>
          <w:szCs w:val="22"/>
        </w:rPr>
      </w:pPr>
      <w:r>
        <w:t>B.4. Tests of procedures to be undertaken</w:t>
      </w:r>
      <w:r>
        <w:rPr>
          <w:webHidden/>
        </w:rPr>
        <w:tab/>
      </w:r>
      <w:r w:rsidR="00930D3C">
        <w:rPr>
          <w:webHidden/>
        </w:rPr>
        <w:fldChar w:fldCharType="begin"/>
      </w:r>
      <w:r>
        <w:rPr>
          <w:webHidden/>
        </w:rPr>
        <w:instrText xml:space="preserve"> PAGEREF _Toc392578969 \h </w:instrText>
      </w:r>
      <w:r w:rsidR="00930D3C">
        <w:rPr>
          <w:webHidden/>
        </w:rPr>
      </w:r>
      <w:r w:rsidR="00930D3C">
        <w:rPr>
          <w:webHidden/>
        </w:rPr>
        <w:fldChar w:fldCharType="separate"/>
      </w:r>
      <w:r>
        <w:rPr>
          <w:webHidden/>
        </w:rPr>
        <w:t>4</w:t>
      </w:r>
      <w:r w:rsidR="00930D3C">
        <w:rPr>
          <w:webHidden/>
        </w:rPr>
        <w:fldChar w:fldCharType="end"/>
      </w:r>
    </w:p>
    <w:p w:rsidR="004A4AE7" w:rsidRDefault="004A4AE7">
      <w:pPr>
        <w:pStyle w:val="TOC2"/>
        <w:rPr>
          <w:rFonts w:asciiTheme="minorHAnsi" w:eastAsiaTheme="minorEastAsia" w:hAnsiTheme="minorHAnsi" w:cstheme="minorBidi"/>
          <w:sz w:val="22"/>
          <w:szCs w:val="22"/>
        </w:rPr>
      </w:pPr>
      <w:r>
        <w:t>B.5. Individuals consulted on statistical aspects and individuals collecting and/or analyzing data</w:t>
      </w:r>
      <w:r>
        <w:rPr>
          <w:webHidden/>
        </w:rPr>
        <w:tab/>
      </w:r>
      <w:r w:rsidR="00930D3C">
        <w:rPr>
          <w:webHidden/>
        </w:rPr>
        <w:fldChar w:fldCharType="begin"/>
      </w:r>
      <w:r>
        <w:rPr>
          <w:webHidden/>
        </w:rPr>
        <w:instrText xml:space="preserve"> PAGEREF _Toc392578970 \h </w:instrText>
      </w:r>
      <w:r w:rsidR="00930D3C">
        <w:rPr>
          <w:webHidden/>
        </w:rPr>
      </w:r>
      <w:r w:rsidR="00930D3C">
        <w:rPr>
          <w:webHidden/>
        </w:rPr>
        <w:fldChar w:fldCharType="separate"/>
      </w:r>
      <w:r>
        <w:rPr>
          <w:webHidden/>
        </w:rPr>
        <w:t>5</w:t>
      </w:r>
      <w:r w:rsidR="00930D3C">
        <w:rPr>
          <w:webHidden/>
        </w:rPr>
        <w:fldChar w:fldCharType="end"/>
      </w:r>
    </w:p>
    <w:p w:rsidR="00C14883" w:rsidRDefault="00CD5773">
      <w:pPr>
        <w:pStyle w:val="TOC1"/>
        <w:rPr>
          <w:rFonts w:asciiTheme="minorHAnsi" w:eastAsiaTheme="minorEastAsia" w:hAnsiTheme="minorHAnsi" w:cstheme="minorBidi"/>
          <w:noProof/>
          <w:sz w:val="22"/>
          <w:szCs w:val="22"/>
        </w:rPr>
      </w:pPr>
      <w:r>
        <w:rPr>
          <w:noProof/>
        </w:rPr>
        <w:tab/>
      </w:r>
      <w:r w:rsidR="004A4AE7" w:rsidRPr="004A4AE7">
        <w:rPr>
          <w:noProof/>
        </w:rPr>
        <w:t>REFERENCES</w:t>
      </w:r>
      <w:r w:rsidR="004A4AE7">
        <w:rPr>
          <w:noProof/>
          <w:webHidden/>
        </w:rPr>
        <w:tab/>
      </w:r>
      <w:r w:rsidR="00930D3C">
        <w:rPr>
          <w:noProof/>
          <w:webHidden/>
        </w:rPr>
        <w:fldChar w:fldCharType="begin"/>
      </w:r>
      <w:r w:rsidR="004A4AE7">
        <w:rPr>
          <w:noProof/>
          <w:webHidden/>
        </w:rPr>
        <w:instrText xml:space="preserve"> PAGEREF _Toc392578971 \h </w:instrText>
      </w:r>
      <w:r w:rsidR="00930D3C">
        <w:rPr>
          <w:noProof/>
          <w:webHidden/>
        </w:rPr>
      </w:r>
      <w:r w:rsidR="00930D3C">
        <w:rPr>
          <w:noProof/>
          <w:webHidden/>
        </w:rPr>
        <w:fldChar w:fldCharType="separate"/>
      </w:r>
      <w:r w:rsidR="004A4AE7">
        <w:rPr>
          <w:noProof/>
          <w:webHidden/>
        </w:rPr>
        <w:t>6</w:t>
      </w:r>
      <w:r w:rsidR="00930D3C">
        <w:rPr>
          <w:noProof/>
          <w:webHidden/>
        </w:rPr>
        <w:fldChar w:fldCharType="end"/>
      </w:r>
    </w:p>
    <w:p w:rsidR="00C14883" w:rsidRDefault="00930D3C">
      <w:pPr>
        <w:spacing w:before="240" w:after="240" w:line="240" w:lineRule="auto"/>
        <w:ind w:firstLine="0"/>
        <w:jc w:val="both"/>
        <w:rPr>
          <w:rFonts w:ascii="Arial" w:eastAsiaTheme="minorEastAsia" w:hAnsi="Arial" w:cs="Arial"/>
          <w:noProof/>
          <w:sz w:val="20"/>
        </w:rPr>
      </w:pPr>
      <w:r>
        <w:rPr>
          <w:rFonts w:ascii="Arial" w:eastAsiaTheme="minorEastAsia" w:hAnsi="Arial" w:cs="Arial"/>
          <w:noProof/>
          <w:sz w:val="20"/>
        </w:rPr>
        <w:fldChar w:fldCharType="end"/>
      </w:r>
    </w:p>
    <w:p w:rsidR="004A4AE7" w:rsidRDefault="004A4AE7" w:rsidP="004A4AE7">
      <w:pPr>
        <w:pStyle w:val="Heading1"/>
        <w:rPr>
          <w:rFonts w:eastAsiaTheme="minorEastAsia"/>
          <w:noProof/>
        </w:rPr>
      </w:pPr>
      <w:bookmarkStart w:id="2" w:name="_Toc392578959"/>
      <w:r>
        <w:rPr>
          <w:rFonts w:eastAsiaTheme="minorEastAsia"/>
          <w:noProof/>
        </w:rPr>
        <w:t>ATTACHMENTS</w:t>
      </w:r>
      <w:bookmarkEnd w:id="2"/>
    </w:p>
    <w:p w:rsidR="00C14883" w:rsidRDefault="004A4AE7">
      <w:pPr>
        <w:pStyle w:val="TOC1"/>
        <w:rPr>
          <w:rFonts w:eastAsiaTheme="minorEastAsia"/>
          <w:noProof/>
        </w:rPr>
      </w:pPr>
      <w:r>
        <w:rPr>
          <w:rFonts w:eastAsiaTheme="minorEastAsia"/>
          <w:noProof/>
        </w:rPr>
        <w:t xml:space="preserve">ATTACHMENT A: </w:t>
      </w:r>
      <w:r w:rsidRPr="00073E32">
        <w:rPr>
          <w:rFonts w:eastAsiaTheme="minorEastAsia"/>
          <w:noProof/>
        </w:rPr>
        <w:t>60 Day Federal Register Notice</w:t>
      </w:r>
      <w:r>
        <w:rPr>
          <w:rFonts w:eastAsiaTheme="minorEastAsia"/>
          <w:noProof/>
        </w:rPr>
        <w:tab/>
        <w:t>a.1</w:t>
      </w:r>
    </w:p>
    <w:p w:rsidR="00C14883" w:rsidRDefault="004A4AE7">
      <w:pPr>
        <w:pStyle w:val="TOC1"/>
        <w:rPr>
          <w:rFonts w:eastAsiaTheme="minorEastAsia"/>
          <w:noProof/>
        </w:rPr>
      </w:pPr>
      <w:r>
        <w:rPr>
          <w:rFonts w:eastAsiaTheme="minorEastAsia"/>
          <w:noProof/>
        </w:rPr>
        <w:t xml:space="preserve">ATTACHMENT B: </w:t>
      </w:r>
      <w:r w:rsidRPr="00073E32">
        <w:rPr>
          <w:rFonts w:eastAsiaTheme="minorEastAsia"/>
          <w:noProof/>
        </w:rPr>
        <w:t>PREP Evaluation Description</w:t>
      </w:r>
      <w:r>
        <w:rPr>
          <w:rFonts w:eastAsiaTheme="minorEastAsia"/>
          <w:noProof/>
        </w:rPr>
        <w:tab/>
        <w:t>b.1</w:t>
      </w:r>
    </w:p>
    <w:p w:rsidR="004A4AE7" w:rsidRDefault="004A4AE7" w:rsidP="004A4AE7">
      <w:pPr>
        <w:pStyle w:val="Heading1"/>
        <w:rPr>
          <w:rFonts w:eastAsiaTheme="minorEastAsia"/>
          <w:noProof/>
        </w:rPr>
      </w:pPr>
    </w:p>
    <w:p w:rsidR="004A4AE7" w:rsidRDefault="004A4AE7" w:rsidP="004A4AE7">
      <w:pPr>
        <w:pStyle w:val="Heading1"/>
        <w:rPr>
          <w:rFonts w:eastAsiaTheme="minorEastAsia"/>
          <w:noProof/>
        </w:rPr>
      </w:pPr>
      <w:bookmarkStart w:id="3" w:name="_Toc392578960"/>
      <w:r>
        <w:rPr>
          <w:rFonts w:eastAsiaTheme="minorEastAsia"/>
          <w:noProof/>
        </w:rPr>
        <w:t>INSTRUMENTS</w:t>
      </w:r>
      <w:bookmarkEnd w:id="3"/>
    </w:p>
    <w:p w:rsidR="00C14883" w:rsidRDefault="004A4AE7">
      <w:pPr>
        <w:pStyle w:val="TOC1"/>
        <w:rPr>
          <w:rFonts w:eastAsiaTheme="minorEastAsia"/>
          <w:noProof/>
        </w:rPr>
      </w:pPr>
      <w:r>
        <w:rPr>
          <w:rFonts w:eastAsiaTheme="minorEastAsia"/>
          <w:noProof/>
        </w:rPr>
        <w:t xml:space="preserve">INSTRUMENT #1: </w:t>
      </w:r>
      <w:r w:rsidRPr="00073E32">
        <w:rPr>
          <w:rFonts w:eastAsiaTheme="minorEastAsia"/>
          <w:noProof/>
        </w:rPr>
        <w:t xml:space="preserve">Implementation Survey Interview Topic Guide </w:t>
      </w:r>
    </w:p>
    <w:p w:rsidR="004A4AE7" w:rsidRDefault="004A4AE7" w:rsidP="009E2CC3">
      <w:pPr>
        <w:pStyle w:val="Heading1"/>
      </w:pPr>
    </w:p>
    <w:p w:rsidR="00C14883" w:rsidRDefault="00C14883" w:rsidP="004A4AE7">
      <w:pPr>
        <w:pStyle w:val="NormalSS"/>
        <w:sectPr w:rsidR="00C14883" w:rsidSect="004A4AE7">
          <w:headerReference w:type="default" r:id="rId14"/>
          <w:footerReference w:type="default" r:id="rId15"/>
          <w:pgSz w:w="12240" w:h="15840"/>
          <w:pgMar w:top="1440" w:right="1440" w:bottom="1440" w:left="1440" w:header="720" w:footer="720" w:gutter="0"/>
          <w:pgNumType w:start="1"/>
          <w:cols w:space="720"/>
          <w:docGrid w:linePitch="360"/>
        </w:sectPr>
      </w:pPr>
    </w:p>
    <w:p w:rsidR="009E2CC3" w:rsidRDefault="009E2CC3" w:rsidP="009E2CC3">
      <w:pPr>
        <w:pStyle w:val="Heading1"/>
      </w:pPr>
      <w:bookmarkStart w:id="5" w:name="_Toc392578961"/>
      <w:r>
        <w:lastRenderedPageBreak/>
        <w:t xml:space="preserve">Part b: </w:t>
      </w:r>
      <w:bookmarkEnd w:id="1"/>
      <w:r>
        <w:t>STATISTICAL METHODS FOR THE COLLECTION OF DATA</w:t>
      </w:r>
      <w:bookmarkEnd w:id="5"/>
      <w:r>
        <w:t xml:space="preserve"> </w:t>
      </w:r>
    </w:p>
    <w:p w:rsidR="00A12644" w:rsidRDefault="00A12644" w:rsidP="00A12644">
      <w:pPr>
        <w:pStyle w:val="NormalSS"/>
      </w:pPr>
      <w:r>
        <w:t xml:space="preserve">The Family and Youth Services Bureau (FYB) </w:t>
      </w:r>
      <w:r w:rsidRPr="00132A78">
        <w:t xml:space="preserve">and the Office of Planning, Research and Evaluation </w:t>
      </w:r>
      <w:r>
        <w:t xml:space="preserve">(OPRE) </w:t>
      </w:r>
      <w:r w:rsidRPr="00132A78">
        <w:t xml:space="preserve">within </w:t>
      </w:r>
      <w:r>
        <w:t>the Administration for Children and Families (ACF) in the U.S. Department of Health and Human Services (HHS)</w:t>
      </w:r>
      <w:r w:rsidRPr="00132A78">
        <w:t xml:space="preserve"> have contracted with Mathematica Policy Research and its subcontractors </w:t>
      </w:r>
      <w:r>
        <w:t xml:space="preserve">conduct the </w:t>
      </w:r>
      <w:r w:rsidRPr="00132A78">
        <w:t>Personal Responsibility Education Program Multi-Component Ev</w:t>
      </w:r>
      <w:r>
        <w:t>aluation (PREP Evaluation)</w:t>
      </w:r>
      <w:r w:rsidRPr="00132A78">
        <w:t>. The purpose of the evaluation is to assess the implementation, outcomes, and impact of programs implemented as part of the Personal Responsibility Education Program</w:t>
      </w:r>
      <w:r>
        <w:t xml:space="preserve"> (PREP)</w:t>
      </w:r>
      <w:r w:rsidRPr="00132A78">
        <w:t xml:space="preserve">. This package requests clearance for </w:t>
      </w:r>
      <w:r w:rsidR="004A3B53">
        <w:t xml:space="preserve">a second round of </w:t>
      </w:r>
      <w:r w:rsidRPr="00132A78">
        <w:t xml:space="preserve">data collection conducted </w:t>
      </w:r>
      <w:r>
        <w:t>for</w:t>
      </w:r>
      <w:r w:rsidRPr="00132A78">
        <w:t xml:space="preserve"> the evaluation’s </w:t>
      </w:r>
      <w:r w:rsidR="004A3B53">
        <w:t>Design and Implementation Study</w:t>
      </w:r>
      <w:r w:rsidR="00536EC7">
        <w:t xml:space="preserve"> (DIS)</w:t>
      </w:r>
      <w:r w:rsidRPr="00132A78">
        <w:t>.</w:t>
      </w:r>
      <w:r>
        <w:t xml:space="preserve"> </w:t>
      </w:r>
      <w:r w:rsidR="00202CED">
        <w:t>For more information on statistical methods related to previously approved activities, see I</w:t>
      </w:r>
      <w:r w:rsidR="00103954">
        <w:t xml:space="preserve">nformation </w:t>
      </w:r>
      <w:r w:rsidR="00202CED">
        <w:t>C</w:t>
      </w:r>
      <w:r w:rsidR="00103954">
        <w:t xml:space="preserve">ollection </w:t>
      </w:r>
      <w:r w:rsidR="00202CED">
        <w:t>R</w:t>
      </w:r>
      <w:r w:rsidR="00103954">
        <w:t>equest</w:t>
      </w:r>
      <w:r w:rsidR="00202CED">
        <w:t>s</w:t>
      </w:r>
      <w:r w:rsidR="00103954">
        <w:t xml:space="preserve"> (ICRs)</w:t>
      </w:r>
      <w:r w:rsidR="00202CED">
        <w:t xml:space="preserve"> under OMB</w:t>
      </w:r>
      <w:r w:rsidR="00103954">
        <w:t xml:space="preserve"> Control</w:t>
      </w:r>
      <w:r w:rsidR="00202CED">
        <w:t xml:space="preserve"> #</w:t>
      </w:r>
      <w:r w:rsidR="00103954">
        <w:t xml:space="preserve"> </w:t>
      </w:r>
      <w:r w:rsidR="00202CED">
        <w:t>0970-0398.</w:t>
      </w:r>
    </w:p>
    <w:p w:rsidR="0068230E" w:rsidRDefault="009E2CC3" w:rsidP="009E2CC3">
      <w:pPr>
        <w:pStyle w:val="Heading2"/>
      </w:pPr>
      <w:bookmarkStart w:id="6" w:name="_Toc392578962"/>
      <w:r>
        <w:t>B.1. Respondent universe and sampling methods</w:t>
      </w:r>
      <w:bookmarkEnd w:id="6"/>
    </w:p>
    <w:p w:rsidR="00504A6F" w:rsidRDefault="00471EC5" w:rsidP="0099713B">
      <w:pPr>
        <w:pStyle w:val="NormalSS"/>
      </w:pPr>
      <w:r>
        <w:t>T</w:t>
      </w:r>
      <w:r w:rsidR="00504A6F">
        <w:t xml:space="preserve">he study team will </w:t>
      </w:r>
      <w:r>
        <w:t>interview staff from four states for the Implementation Survey</w:t>
      </w:r>
      <w:r w:rsidR="004A3B53">
        <w:t xml:space="preserve"> phase of the D</w:t>
      </w:r>
      <w:r w:rsidR="00536EC7">
        <w:t>IS</w:t>
      </w:r>
      <w:r>
        <w:t xml:space="preserve">. </w:t>
      </w:r>
      <w:r w:rsidR="00504A6F">
        <w:t xml:space="preserve">Through interviews with state grantee staff for the </w:t>
      </w:r>
      <w:r w:rsidR="0049278D">
        <w:t xml:space="preserve">previous </w:t>
      </w:r>
      <w:r w:rsidR="00504A6F">
        <w:t>Design Survey phase of the D</w:t>
      </w:r>
      <w:r w:rsidR="00536EC7">
        <w:t>IS</w:t>
      </w:r>
      <w:r w:rsidR="00AF2AF8">
        <w:t xml:space="preserve"> </w:t>
      </w:r>
      <w:r w:rsidR="00F029C0">
        <w:t>component</w:t>
      </w:r>
      <w:r w:rsidR="00504A6F">
        <w:t xml:space="preserve">, </w:t>
      </w:r>
      <w:r w:rsidR="0099713B">
        <w:t>we developed</w:t>
      </w:r>
      <w:r w:rsidR="00504A6F">
        <w:t xml:space="preserve"> </w:t>
      </w:r>
      <w:r w:rsidR="00504A6F" w:rsidRPr="0099713B">
        <w:rPr>
          <w:i/>
        </w:rPr>
        <w:t>a broad, across-state understanding</w:t>
      </w:r>
      <w:r w:rsidR="00504A6F" w:rsidRPr="00504A6F">
        <w:t xml:space="preserve"> </w:t>
      </w:r>
      <w:r w:rsidR="00504A6F">
        <w:t xml:space="preserve">of states’ plans </w:t>
      </w:r>
      <w:r w:rsidR="00A64950">
        <w:t xml:space="preserve">to </w:t>
      </w:r>
      <w:r w:rsidR="00504A6F" w:rsidRPr="00504A6F">
        <w:t>implement evidence-based programming under PREP</w:t>
      </w:r>
      <w:r w:rsidR="00410616">
        <w:t xml:space="preserve">. </w:t>
      </w:r>
      <w:r w:rsidR="0099713B">
        <w:t xml:space="preserve">For the next phase of the </w:t>
      </w:r>
      <w:r>
        <w:t>D</w:t>
      </w:r>
      <w:r w:rsidR="00536EC7">
        <w:t>IS</w:t>
      </w:r>
      <w:r>
        <w:t xml:space="preserve">, </w:t>
      </w:r>
      <w:r w:rsidR="0099713B">
        <w:t xml:space="preserve">we will focus more narrowly on providing </w:t>
      </w:r>
      <w:r w:rsidR="0099713B" w:rsidRPr="0099713B">
        <w:rPr>
          <w:i/>
        </w:rPr>
        <w:t>an in-depth description</w:t>
      </w:r>
      <w:r w:rsidR="0099713B">
        <w:t xml:space="preserve"> of how a sub-set of states ensure that program providers implement high quality programs </w:t>
      </w:r>
      <w:r w:rsidR="00A64950">
        <w:t>with fidelity to their</w:t>
      </w:r>
      <w:r w:rsidR="0099713B">
        <w:t xml:space="preserve"> evidence-based designs. </w:t>
      </w:r>
      <w:r w:rsidR="00CB689D">
        <w:t xml:space="preserve">Therefore, rather than interviewing </w:t>
      </w:r>
      <w:r w:rsidR="009005C1">
        <w:t>one respondent</w:t>
      </w:r>
      <w:r w:rsidR="00CB689D">
        <w:t xml:space="preserve"> from </w:t>
      </w:r>
      <w:r w:rsidR="00DE2DB3">
        <w:t xml:space="preserve">each </w:t>
      </w:r>
      <w:r w:rsidR="00DF0BE7">
        <w:t>state that received a PREP grant</w:t>
      </w:r>
      <w:r w:rsidR="009005C1">
        <w:t xml:space="preserve"> (as was the case for the Design Survey)</w:t>
      </w:r>
      <w:r w:rsidR="00CB689D">
        <w:t xml:space="preserve">, </w:t>
      </w:r>
      <w:r w:rsidR="009005C1">
        <w:t>the study team will identify four states for</w:t>
      </w:r>
      <w:r w:rsidR="00CB689D">
        <w:t xml:space="preserve"> in-depth analysis</w:t>
      </w:r>
      <w:r w:rsidR="00DE2DB3">
        <w:t xml:space="preserve"> and interview multiple respondents within each state. </w:t>
      </w:r>
    </w:p>
    <w:p w:rsidR="00810563" w:rsidRDefault="00CB689D" w:rsidP="0099713B">
      <w:pPr>
        <w:pStyle w:val="NormalSS"/>
        <w:ind w:firstLine="360"/>
      </w:pPr>
      <w:proofErr w:type="gramStart"/>
      <w:r w:rsidRPr="00CB689D">
        <w:rPr>
          <w:b/>
        </w:rPr>
        <w:t>Selecting states.</w:t>
      </w:r>
      <w:proofErr w:type="gramEnd"/>
      <w:r>
        <w:t xml:space="preserve"> </w:t>
      </w:r>
      <w:r w:rsidR="0099713B">
        <w:t xml:space="preserve">The study team will purposively select </w:t>
      </w:r>
      <w:r w:rsidR="00810563">
        <w:t xml:space="preserve">four </w:t>
      </w:r>
      <w:r w:rsidR="00A64950">
        <w:t xml:space="preserve">states for participation in the </w:t>
      </w:r>
      <w:r w:rsidR="0099713B">
        <w:t xml:space="preserve">Implementation Survey </w:t>
      </w:r>
      <w:r w:rsidR="00A64950">
        <w:t>to</w:t>
      </w:r>
      <w:r w:rsidR="0099713B">
        <w:t xml:space="preserve"> </w:t>
      </w:r>
      <w:r w:rsidR="00810563">
        <w:t xml:space="preserve">illustrate various structures and practices that may support PREP program implementation </w:t>
      </w:r>
      <w:r w:rsidR="00A64950">
        <w:t xml:space="preserve">using the </w:t>
      </w:r>
      <w:r>
        <w:t xml:space="preserve">key dimensions described below. </w:t>
      </w:r>
      <w:r w:rsidR="00810563">
        <w:t xml:space="preserve"> </w:t>
      </w:r>
    </w:p>
    <w:p w:rsidR="00810563" w:rsidRDefault="00143C11" w:rsidP="001218E4">
      <w:pPr>
        <w:pStyle w:val="NumberedBullet"/>
        <w:tabs>
          <w:tab w:val="clear" w:pos="792"/>
        </w:tabs>
        <w:ind w:left="432" w:hanging="432"/>
      </w:pPr>
      <w:r>
        <w:rPr>
          <w:b/>
        </w:rPr>
        <w:t xml:space="preserve">State </w:t>
      </w:r>
      <w:r w:rsidR="00810563" w:rsidRPr="00810563">
        <w:rPr>
          <w:b/>
        </w:rPr>
        <w:t>involvement in staff training, and program technical assistance and monitoring</w:t>
      </w:r>
      <w:r>
        <w:rPr>
          <w:b/>
        </w:rPr>
        <w:t xml:space="preserve"> </w:t>
      </w:r>
      <w:r w:rsidR="00CB689D">
        <w:t>will be the study team’s</w:t>
      </w:r>
      <w:r>
        <w:t xml:space="preserve"> </w:t>
      </w:r>
      <w:r w:rsidRPr="00810563">
        <w:t xml:space="preserve">primary consideration </w:t>
      </w:r>
      <w:r>
        <w:t xml:space="preserve">for state selection. </w:t>
      </w:r>
      <w:r w:rsidR="00810563">
        <w:t>During Design Survey interviews, s</w:t>
      </w:r>
      <w:r w:rsidR="00810563" w:rsidRPr="00B84499">
        <w:t>ome</w:t>
      </w:r>
      <w:r w:rsidR="00810563">
        <w:t xml:space="preserve"> states reported that they directly oversee training, technical assistance, and monitoring activities, while others have contracted with organizational partners to undertake this work.</w:t>
      </w:r>
      <w:r w:rsidR="00810563" w:rsidRPr="00AB58E5">
        <w:t xml:space="preserve"> </w:t>
      </w:r>
      <w:r w:rsidR="00810563">
        <w:t>By selecting states that vary with respect to where the level of implementation support is</w:t>
      </w:r>
      <w:r w:rsidR="00DE2DB3">
        <w:t xml:space="preserve"> directly coming from, the study team </w:t>
      </w:r>
      <w:r w:rsidR="00810563">
        <w:t>expect</w:t>
      </w:r>
      <w:r w:rsidR="00DE2DB3">
        <w:t>s</w:t>
      </w:r>
      <w:r w:rsidR="00810563">
        <w:t xml:space="preserve"> to be able to detail the exact approaches states have taken to support program implementation, and how the varying approaches may be perceived and experienced by the program providers. </w:t>
      </w:r>
      <w:r w:rsidR="00CB689D">
        <w:t>As a first step in state selection, the study team will sort states into these two categories—those that directly oversee training and those that contracted with third parties to do so—with the eventual goal to select two states in each category.</w:t>
      </w:r>
    </w:p>
    <w:p w:rsidR="00810563" w:rsidRDefault="00810563" w:rsidP="00810563">
      <w:pPr>
        <w:pStyle w:val="NormalSS"/>
      </w:pPr>
      <w:r>
        <w:t xml:space="preserve">To finalize the </w:t>
      </w:r>
      <w:r w:rsidR="00CB689D">
        <w:t xml:space="preserve">purposive </w:t>
      </w:r>
      <w:r>
        <w:t xml:space="preserve">selection of states, </w:t>
      </w:r>
      <w:r w:rsidR="00E20990">
        <w:t xml:space="preserve">and to the extent possible, </w:t>
      </w:r>
      <w:r w:rsidR="00CB689D">
        <w:t>the study team</w:t>
      </w:r>
      <w:r>
        <w:t xml:space="preserve"> will also look for variation among the states along the following additional dimensions: </w:t>
      </w:r>
    </w:p>
    <w:p w:rsidR="00810563" w:rsidRPr="000B77F1" w:rsidRDefault="00810563" w:rsidP="000B77F1">
      <w:pPr>
        <w:pStyle w:val="NumberedBullet"/>
        <w:tabs>
          <w:tab w:val="clear" w:pos="792"/>
        </w:tabs>
        <w:ind w:left="432" w:hanging="432"/>
      </w:pPr>
      <w:r w:rsidRPr="000B77F1">
        <w:rPr>
          <w:b/>
        </w:rPr>
        <w:t>Proportion of grant funds devoted to supporting implementation</w:t>
      </w:r>
      <w:r w:rsidRPr="000B77F1">
        <w:t xml:space="preserve">. Using information from the 2011-2012 and 2012-2013 performance measures (collected as part of the </w:t>
      </w:r>
      <w:r w:rsidR="00202CED">
        <w:t xml:space="preserve">previously approved </w:t>
      </w:r>
      <w:r w:rsidRPr="000B77F1">
        <w:t xml:space="preserve">Performance Analysis Study), the study team </w:t>
      </w:r>
      <w:r w:rsidR="00A64950">
        <w:t>will</w:t>
      </w:r>
      <w:r w:rsidR="00A64950" w:rsidRPr="000B77F1">
        <w:t xml:space="preserve"> </w:t>
      </w:r>
      <w:r w:rsidRPr="000B77F1">
        <w:t xml:space="preserve">calculate the proportion of grant funds devoted to supporting implementation for each state PREP grantee </w:t>
      </w:r>
      <w:r w:rsidRPr="000B77F1">
        <w:lastRenderedPageBreak/>
        <w:t>as a proxy for the relative importance placed on these efforts across the grantees. The variation in proportion devoted to these efforts is likely to result in different structures and intensity of practices. The study team will order states by the proportion of resources targeted to supporting implementation within the two categories above, with the intent to select states in each category that differ from each other in terms of the proportion of the grant devoted to these efforts.</w:t>
      </w:r>
    </w:p>
    <w:p w:rsidR="00810563" w:rsidRPr="000B77F1" w:rsidRDefault="00E22886" w:rsidP="000B77F1">
      <w:pPr>
        <w:pStyle w:val="NumberedBullet"/>
        <w:tabs>
          <w:tab w:val="clear" w:pos="792"/>
        </w:tabs>
        <w:ind w:left="432" w:hanging="432"/>
      </w:pPr>
      <w:r>
        <w:rPr>
          <w:b/>
        </w:rPr>
        <w:t>N</w:t>
      </w:r>
      <w:r w:rsidR="00810563" w:rsidRPr="000B77F1">
        <w:rPr>
          <w:b/>
        </w:rPr>
        <w:t>umber of allowable program models.</w:t>
      </w:r>
      <w:r w:rsidR="00810563" w:rsidRPr="000B77F1">
        <w:t xml:space="preserve"> Some states require that all </w:t>
      </w:r>
      <w:r w:rsidR="00A64950">
        <w:t xml:space="preserve">program </w:t>
      </w:r>
      <w:r w:rsidR="00810563" w:rsidRPr="000B77F1">
        <w:t xml:space="preserve">providers implement the same program model, while others have allowed providers to choose the programs they prefer to implement from among </w:t>
      </w:r>
      <w:r w:rsidR="00A64950">
        <w:t>a list of</w:t>
      </w:r>
      <w:r w:rsidR="00A64950" w:rsidRPr="000B77F1">
        <w:t xml:space="preserve"> </w:t>
      </w:r>
      <w:r w:rsidR="00810563" w:rsidRPr="000B77F1">
        <w:t xml:space="preserve">evidence-based programs. The states’ role in selecting the number of program models could influence the structures that states put in place to support program implementation, and their successes and challenges </w:t>
      </w:r>
      <w:r w:rsidR="00A64950">
        <w:t>in sustaining</w:t>
      </w:r>
      <w:r w:rsidR="00810563" w:rsidRPr="000B77F1">
        <w:t xml:space="preserve"> </w:t>
      </w:r>
      <w:r w:rsidR="00A64950">
        <w:t>effective support</w:t>
      </w:r>
      <w:r w:rsidR="00A64950" w:rsidRPr="000B77F1">
        <w:t xml:space="preserve"> </w:t>
      </w:r>
      <w:r w:rsidR="00810563" w:rsidRPr="000B77F1">
        <w:t>structures.</w:t>
      </w:r>
    </w:p>
    <w:p w:rsidR="00810563" w:rsidRPr="000B77F1" w:rsidRDefault="00810563" w:rsidP="000B77F1">
      <w:pPr>
        <w:pStyle w:val="NumberedBullet"/>
        <w:tabs>
          <w:tab w:val="clear" w:pos="792"/>
        </w:tabs>
        <w:ind w:left="432" w:hanging="432"/>
      </w:pPr>
      <w:r w:rsidRPr="000B77F1">
        <w:rPr>
          <w:b/>
        </w:rPr>
        <w:t>Implementation setting.</w:t>
      </w:r>
      <w:r w:rsidRPr="000B77F1">
        <w:t xml:space="preserve"> Most PREP programming is being implemented in schools. But in some states, program</w:t>
      </w:r>
      <w:r w:rsidR="006C6F9B">
        <w:t xml:space="preserve"> delivery</w:t>
      </w:r>
      <w:r w:rsidRPr="000B77F1">
        <w:t xml:space="preserve"> </w:t>
      </w:r>
      <w:r w:rsidR="006C6F9B">
        <w:t>occurs</w:t>
      </w:r>
      <w:r w:rsidRPr="000B77F1">
        <w:t xml:space="preserve"> exclusively in </w:t>
      </w:r>
      <w:r w:rsidR="00202CED" w:rsidRPr="000B77F1">
        <w:t xml:space="preserve">settings </w:t>
      </w:r>
      <w:r w:rsidRPr="000B77F1">
        <w:t xml:space="preserve">out of school.  Support for program implementation may vary across states that are </w:t>
      </w:r>
      <w:r w:rsidR="006C6F9B">
        <w:t xml:space="preserve">primarily </w:t>
      </w:r>
      <w:r w:rsidRPr="000B77F1">
        <w:t xml:space="preserve">providing </w:t>
      </w:r>
      <w:r w:rsidR="006C6F9B">
        <w:t>PREP programs</w:t>
      </w:r>
      <w:r w:rsidR="006C6F9B" w:rsidRPr="000B77F1">
        <w:t xml:space="preserve"> </w:t>
      </w:r>
      <w:r w:rsidRPr="000B77F1">
        <w:t xml:space="preserve">during the school day, versus those that are providing </w:t>
      </w:r>
      <w:r w:rsidR="006C6F9B">
        <w:t>PREP</w:t>
      </w:r>
      <w:r w:rsidR="006C6F9B" w:rsidRPr="000B77F1">
        <w:t xml:space="preserve"> </w:t>
      </w:r>
      <w:r w:rsidR="006C6F9B">
        <w:t>at</w:t>
      </w:r>
      <w:r w:rsidR="006C6F9B" w:rsidRPr="000B77F1">
        <w:t xml:space="preserve"> </w:t>
      </w:r>
      <w:r w:rsidRPr="000B77F1">
        <w:t xml:space="preserve">community based organizations, clinics, and other congregate youth settings. </w:t>
      </w:r>
    </w:p>
    <w:p w:rsidR="00810563" w:rsidRDefault="00810563" w:rsidP="00810563">
      <w:pPr>
        <w:pStyle w:val="NormalSS"/>
        <w:ind w:firstLine="360"/>
      </w:pPr>
      <w:r>
        <w:t xml:space="preserve">Until </w:t>
      </w:r>
      <w:r w:rsidR="00CB689D">
        <w:t>the study team</w:t>
      </w:r>
      <w:r w:rsidR="007151E9">
        <w:t xml:space="preserve"> examine</w:t>
      </w:r>
      <w:r w:rsidR="00CB689D">
        <w:t>s</w:t>
      </w:r>
      <w:r>
        <w:t xml:space="preserve"> states along these secondary dimensions, </w:t>
      </w:r>
      <w:r w:rsidR="00CB689D">
        <w:t>they</w:t>
      </w:r>
      <w:r>
        <w:t xml:space="preserve"> cannot predict the ways in which these dimensions will add variation across the states in the primary two categories (defined by the state role overseeing implementation). For example, </w:t>
      </w:r>
      <w:r w:rsidR="00CB689D">
        <w:t>they</w:t>
      </w:r>
      <w:r>
        <w:t xml:space="preserve"> cannot say that, among the states that are using state staff to provide training, technical assistance, and monitor implementation, </w:t>
      </w:r>
      <w:r w:rsidR="00CB689D">
        <w:t>that there will be</w:t>
      </w:r>
      <w:r>
        <w:t xml:space="preserve"> one state that devoted a larger proportion of their grant to these efforts, allowed just one program model and is implementing only in schools and one state that devoted a smaller proportion of their grant to these efforts, allowed all programs, and is implementing in a variety of settings.  In applying the secondary considerations, </w:t>
      </w:r>
      <w:r w:rsidR="00CB689D">
        <w:t>the</w:t>
      </w:r>
      <w:r>
        <w:t xml:space="preserve"> final goal</w:t>
      </w:r>
      <w:r w:rsidR="00DE2DB3">
        <w:t xml:space="preserve"> will be</w:t>
      </w:r>
      <w:r>
        <w:t xml:space="preserve"> to select four states that represent different compositions of the full set of dimensions described above in order to examine implementation supports within different contexts</w:t>
      </w:r>
      <w:r w:rsidR="00E20990">
        <w:t xml:space="preserve">, to the extent possible. </w:t>
      </w:r>
    </w:p>
    <w:p w:rsidR="00BE62F6" w:rsidRPr="00E22886" w:rsidRDefault="00A53EFB" w:rsidP="00D86CF4">
      <w:pPr>
        <w:autoSpaceDE w:val="0"/>
        <w:autoSpaceDN w:val="0"/>
        <w:adjustRightInd w:val="0"/>
        <w:spacing w:line="240" w:lineRule="auto"/>
        <w:ind w:firstLine="360"/>
      </w:pPr>
      <w:proofErr w:type="gramStart"/>
      <w:r>
        <w:rPr>
          <w:b/>
        </w:rPr>
        <w:t>Selecting program providers</w:t>
      </w:r>
      <w:r w:rsidR="00CB689D" w:rsidRPr="009005C1">
        <w:rPr>
          <w:b/>
        </w:rPr>
        <w:t>.</w:t>
      </w:r>
      <w:proofErr w:type="gramEnd"/>
      <w:r w:rsidR="00CB689D">
        <w:t xml:space="preserve"> </w:t>
      </w:r>
      <w:r w:rsidR="00E22886">
        <w:t xml:space="preserve"> The</w:t>
      </w:r>
      <w:r w:rsidR="009005C1" w:rsidRPr="0011126A">
        <w:t xml:space="preserve"> study team will select four </w:t>
      </w:r>
      <w:r>
        <w:t>program providers</w:t>
      </w:r>
      <w:r w:rsidR="009005C1" w:rsidRPr="0011126A">
        <w:t xml:space="preserve"> from </w:t>
      </w:r>
      <w:r w:rsidR="00E22886">
        <w:t xml:space="preserve">each state </w:t>
      </w:r>
      <w:r w:rsidR="009005C1" w:rsidRPr="0011126A">
        <w:t xml:space="preserve">to participate in </w:t>
      </w:r>
      <w:r w:rsidR="009E5E3E">
        <w:t xml:space="preserve">the </w:t>
      </w:r>
      <w:r w:rsidR="009005C1" w:rsidRPr="0011126A">
        <w:t>Implementation Survey interviews</w:t>
      </w:r>
      <w:r w:rsidR="00E22886">
        <w:t xml:space="preserve">. </w:t>
      </w:r>
      <w:r w:rsidR="00D86CF4">
        <w:t>S</w:t>
      </w:r>
      <w:r w:rsidR="00E22886">
        <w:t>electing four p</w:t>
      </w:r>
      <w:r>
        <w:t>roviders</w:t>
      </w:r>
      <w:r w:rsidR="00E22886">
        <w:t xml:space="preserve"> for interviews will help the study team </w:t>
      </w:r>
      <w:r w:rsidR="00D86CF4">
        <w:t xml:space="preserve">to capture variation in program experiences within states, in addition to </w:t>
      </w:r>
      <w:r w:rsidR="00DE2DB3">
        <w:t>capturing variation across them</w:t>
      </w:r>
      <w:r w:rsidR="00D86CF4">
        <w:t xml:space="preserve">. </w:t>
      </w:r>
      <w:r w:rsidR="00DE2DB3">
        <w:t>For</w:t>
      </w:r>
      <w:r w:rsidR="00E22886" w:rsidRPr="00BE62F6">
        <w:t xml:space="preserve"> the Performance Analysis Study component of the PREP Evaluation, the study team </w:t>
      </w:r>
      <w:r w:rsidR="009E5E3E">
        <w:t xml:space="preserve">is </w:t>
      </w:r>
      <w:r w:rsidR="00E22886" w:rsidRPr="00BE62F6">
        <w:t>collect</w:t>
      </w:r>
      <w:r w:rsidR="009E5E3E">
        <w:t>ing</w:t>
      </w:r>
      <w:r w:rsidR="00E22886" w:rsidRPr="00BE62F6">
        <w:t xml:space="preserve"> </w:t>
      </w:r>
      <w:r>
        <w:t>data from provider</w:t>
      </w:r>
      <w:r w:rsidR="00E22886">
        <w:t>s about</w:t>
      </w:r>
      <w:r w:rsidR="00E22886">
        <w:rPr>
          <w:rStyle w:val="CommentReference"/>
        </w:rPr>
        <w:t xml:space="preserve"> </w:t>
      </w:r>
      <w:r w:rsidR="00E22886">
        <w:t xml:space="preserve">key implementation challenges, and how often they request technical assistance or implementation support from the state during the first </w:t>
      </w:r>
      <w:r w:rsidR="00DE2DB3">
        <w:t xml:space="preserve">two years </w:t>
      </w:r>
      <w:r w:rsidR="00E22886">
        <w:t xml:space="preserve">of PREP program implementation. </w:t>
      </w:r>
      <w:r w:rsidR="00523EB4">
        <w:t xml:space="preserve">The study team will purposively select providers to capture a range in the implementation challenges and technical assistance needs they report. In making this selection, </w:t>
      </w:r>
      <w:proofErr w:type="gramStart"/>
      <w:r w:rsidR="00523EB4">
        <w:t>another criteria</w:t>
      </w:r>
      <w:proofErr w:type="gramEnd"/>
      <w:r w:rsidR="00523EB4">
        <w:t xml:space="preserve"> will also be considered. </w:t>
      </w:r>
      <w:r w:rsidR="00E22886">
        <w:t>The study team collected systematic data on the number and types of allowable PREP program models from states</w:t>
      </w:r>
      <w:r w:rsidR="009E5E3E">
        <w:t xml:space="preserve"> during the Design Survey</w:t>
      </w:r>
      <w:r w:rsidR="00A12644" w:rsidRPr="0011126A">
        <w:t>.</w:t>
      </w:r>
      <w:r w:rsidR="00D86CF4">
        <w:t xml:space="preserve"> </w:t>
      </w:r>
      <w:r w:rsidR="00523EB4">
        <w:t xml:space="preserve">In selecting the four program providers in each state, the study team will want to ensure inclusion of providers that together deliver a variety of PREP program models, although selection cannot ensure full coverage of all PREP models that may be implemented within each state. Ultimately, the four program providers selected within each study state will vary in </w:t>
      </w:r>
      <w:proofErr w:type="gramStart"/>
      <w:r w:rsidR="00523EB4">
        <w:t>both the</w:t>
      </w:r>
      <w:proofErr w:type="gramEnd"/>
      <w:r w:rsidR="00523EB4">
        <w:t xml:space="preserve"> implementation challenges and requests for technical assistance, as well as the program models they deliver.</w:t>
      </w:r>
    </w:p>
    <w:p w:rsidR="00BE62F6" w:rsidRDefault="00BE62F6" w:rsidP="00BE62F6">
      <w:pPr>
        <w:autoSpaceDE w:val="0"/>
        <w:autoSpaceDN w:val="0"/>
        <w:adjustRightInd w:val="0"/>
        <w:spacing w:line="240" w:lineRule="auto"/>
        <w:ind w:firstLine="0"/>
        <w:rPr>
          <w:rFonts w:eastAsiaTheme="minorEastAsia"/>
          <w:sz w:val="20"/>
        </w:rPr>
      </w:pPr>
    </w:p>
    <w:p w:rsidR="00143C11" w:rsidRPr="00512694" w:rsidRDefault="009005C1" w:rsidP="00FF39F4">
      <w:pPr>
        <w:pStyle w:val="NormalSS"/>
        <w:ind w:firstLine="360"/>
        <w:rPr>
          <w:b/>
        </w:rPr>
      </w:pPr>
      <w:proofErr w:type="gramStart"/>
      <w:r w:rsidRPr="009005C1">
        <w:rPr>
          <w:b/>
        </w:rPr>
        <w:t>Identifying respondents.</w:t>
      </w:r>
      <w:proofErr w:type="gramEnd"/>
      <w:r w:rsidRPr="009005C1">
        <w:rPr>
          <w:b/>
        </w:rPr>
        <w:t xml:space="preserve"> </w:t>
      </w:r>
      <w:r w:rsidR="00F172C6">
        <w:t xml:space="preserve">During Design Survey interviews, the study team collected </w:t>
      </w:r>
      <w:r w:rsidR="004A3B53">
        <w:t xml:space="preserve">information on who was overseeing the grant at the state level, and what other organizations </w:t>
      </w:r>
      <w:proofErr w:type="gramStart"/>
      <w:r w:rsidR="004A3B53">
        <w:t xml:space="preserve">were </w:t>
      </w:r>
      <w:r w:rsidR="00F172C6">
        <w:t xml:space="preserve"> </w:t>
      </w:r>
      <w:r w:rsidR="004A3B53">
        <w:t>providing</w:t>
      </w:r>
      <w:proofErr w:type="gramEnd"/>
      <w:r w:rsidR="00F172C6">
        <w:t xml:space="preserve"> implementation support, quality assurance, and/or technical</w:t>
      </w:r>
      <w:r w:rsidR="00FF39F4">
        <w:t xml:space="preserve"> assistance and </w:t>
      </w:r>
      <w:r w:rsidR="00F172C6">
        <w:t xml:space="preserve">evaluation activities. </w:t>
      </w:r>
      <w:r w:rsidR="00FF39F4">
        <w:t xml:space="preserve">During initial Implementation Survey discussions with states, the study team will ensure that these </w:t>
      </w:r>
      <w:r w:rsidR="00A53EFB">
        <w:t xml:space="preserve">data are accurate and complete and will adjust each state’s respondent list </w:t>
      </w:r>
      <w:r w:rsidR="00FA75ED">
        <w:t xml:space="preserve">for the training and technical assistance providers and program evaluators </w:t>
      </w:r>
      <w:r w:rsidR="00A53EFB">
        <w:t xml:space="preserve">as necessary. </w:t>
      </w:r>
      <w:r w:rsidR="00FA75ED">
        <w:t>The study team will work with the state grantee to obtain the proper contact for each of the selected program providers.</w:t>
      </w:r>
    </w:p>
    <w:p w:rsidR="00143C11" w:rsidRDefault="009E2CC3" w:rsidP="00143C11">
      <w:pPr>
        <w:pStyle w:val="Heading2"/>
      </w:pPr>
      <w:bookmarkStart w:id="7" w:name="_Toc392578963"/>
      <w:r>
        <w:t>B.2. Procedures for the collection of information</w:t>
      </w:r>
      <w:bookmarkEnd w:id="7"/>
    </w:p>
    <w:p w:rsidR="002A06FE" w:rsidRDefault="002A06FE" w:rsidP="002A06FE">
      <w:pPr>
        <w:pStyle w:val="Heading3"/>
      </w:pPr>
      <w:bookmarkStart w:id="8" w:name="_Toc392578964"/>
      <w:r>
        <w:t>1. Data collection</w:t>
      </w:r>
      <w:bookmarkEnd w:id="8"/>
      <w:r>
        <w:t xml:space="preserve"> </w:t>
      </w:r>
    </w:p>
    <w:p w:rsidR="00921F24" w:rsidRPr="00EC1D85" w:rsidRDefault="009005C1" w:rsidP="00921F24">
      <w:pPr>
        <w:pStyle w:val="NormalSS"/>
        <w:rPr>
          <w:bCs/>
        </w:rPr>
      </w:pPr>
      <w:r>
        <w:t xml:space="preserve">The study team will conduct </w:t>
      </w:r>
      <w:r w:rsidR="0029659A">
        <w:t xml:space="preserve">semi-structured </w:t>
      </w:r>
      <w:r>
        <w:t xml:space="preserve">telephone interviews with staff involved in </w:t>
      </w:r>
      <w:r w:rsidR="00EA2DFB">
        <w:t xml:space="preserve">PREP </w:t>
      </w:r>
      <w:r>
        <w:t xml:space="preserve">program </w:t>
      </w:r>
      <w:r w:rsidR="00EA2DFB">
        <w:t>implementation and support at a variety of levels t</w:t>
      </w:r>
      <w:r w:rsidR="00921F24" w:rsidRPr="00EC1D85">
        <w:rPr>
          <w:rFonts w:eastAsiaTheme="minorHAnsi"/>
        </w:rPr>
        <w:t>o capture multiple perspectives</w:t>
      </w:r>
      <w:r w:rsidR="00EA2DFB">
        <w:rPr>
          <w:rFonts w:eastAsiaTheme="minorHAnsi"/>
        </w:rPr>
        <w:t xml:space="preserve"> on the effec</w:t>
      </w:r>
      <w:r w:rsidR="00090D14">
        <w:rPr>
          <w:rFonts w:eastAsiaTheme="minorHAnsi"/>
        </w:rPr>
        <w:t>tiveness of the structures and practices that are in place</w:t>
      </w:r>
      <w:r w:rsidR="00921F24">
        <w:rPr>
          <w:rFonts w:eastAsiaTheme="minorHAnsi"/>
        </w:rPr>
        <w:t xml:space="preserve">. </w:t>
      </w:r>
      <w:r w:rsidR="00921F24" w:rsidRPr="00EC1D85">
        <w:rPr>
          <w:rFonts w:eastAsiaTheme="minorHAnsi"/>
        </w:rPr>
        <w:t xml:space="preserve">This will </w:t>
      </w:r>
      <w:r w:rsidR="00937F94">
        <w:rPr>
          <w:rFonts w:eastAsiaTheme="minorHAnsi"/>
        </w:rPr>
        <w:t xml:space="preserve">also </w:t>
      </w:r>
      <w:r w:rsidR="00921F24" w:rsidRPr="00EC1D85">
        <w:rPr>
          <w:rFonts w:eastAsiaTheme="minorHAnsi"/>
        </w:rPr>
        <w:t xml:space="preserve">ensure that </w:t>
      </w:r>
      <w:r w:rsidR="00921F24">
        <w:rPr>
          <w:rFonts w:eastAsiaTheme="minorHAnsi"/>
        </w:rPr>
        <w:t>the study team members</w:t>
      </w:r>
      <w:r w:rsidR="00921F24" w:rsidRPr="00EC1D85">
        <w:rPr>
          <w:rFonts w:eastAsiaTheme="minorHAnsi"/>
        </w:rPr>
        <w:t xml:space="preserve"> understand not only how service delivery and </w:t>
      </w:r>
      <w:r w:rsidR="005F1CC4">
        <w:rPr>
          <w:rFonts w:eastAsiaTheme="minorHAnsi"/>
        </w:rPr>
        <w:t>support</w:t>
      </w:r>
      <w:r w:rsidR="005F1CC4" w:rsidRPr="00EC1D85">
        <w:rPr>
          <w:rFonts w:eastAsiaTheme="minorHAnsi"/>
        </w:rPr>
        <w:t xml:space="preserve"> </w:t>
      </w:r>
      <w:r w:rsidR="00921F24" w:rsidRPr="00EC1D85">
        <w:rPr>
          <w:rFonts w:eastAsiaTheme="minorHAnsi"/>
        </w:rPr>
        <w:t xml:space="preserve">processes </w:t>
      </w:r>
      <w:r w:rsidR="00921F24" w:rsidRPr="00024C71">
        <w:rPr>
          <w:rFonts w:eastAsiaTheme="minorHAnsi"/>
        </w:rPr>
        <w:t xml:space="preserve">are </w:t>
      </w:r>
      <w:r w:rsidR="005F1CC4">
        <w:rPr>
          <w:rFonts w:eastAsiaTheme="minorHAnsi"/>
          <w:i/>
        </w:rPr>
        <w:t>intended</w:t>
      </w:r>
      <w:r w:rsidR="005F1CC4" w:rsidRPr="009005C1">
        <w:rPr>
          <w:rFonts w:eastAsiaTheme="minorHAnsi"/>
          <w:i/>
        </w:rPr>
        <w:t xml:space="preserve"> </w:t>
      </w:r>
      <w:r w:rsidR="00921F24" w:rsidRPr="009005C1">
        <w:rPr>
          <w:rFonts w:eastAsiaTheme="minorHAnsi"/>
          <w:i/>
        </w:rPr>
        <w:t>to work</w:t>
      </w:r>
      <w:r w:rsidR="00921F24" w:rsidRPr="00EC1D85">
        <w:rPr>
          <w:rFonts w:eastAsiaTheme="minorHAnsi"/>
        </w:rPr>
        <w:t xml:space="preserve">, but </w:t>
      </w:r>
      <w:r w:rsidR="00921F24">
        <w:rPr>
          <w:rFonts w:eastAsiaTheme="minorHAnsi"/>
        </w:rPr>
        <w:t xml:space="preserve">also </w:t>
      </w:r>
      <w:r w:rsidR="00921F24" w:rsidRPr="00EC1D85">
        <w:rPr>
          <w:rFonts w:eastAsiaTheme="minorHAnsi"/>
        </w:rPr>
        <w:t xml:space="preserve">how they </w:t>
      </w:r>
      <w:r w:rsidR="00921F24" w:rsidRPr="00024C71">
        <w:rPr>
          <w:rFonts w:ascii="Times New Roman Italic" w:eastAsiaTheme="minorHAnsi" w:hAnsi="Times New Roman Italic"/>
        </w:rPr>
        <w:t>actually</w:t>
      </w:r>
      <w:r w:rsidR="00921F24" w:rsidRPr="00073FB4">
        <w:rPr>
          <w:rFonts w:eastAsiaTheme="minorHAnsi"/>
          <w:i/>
        </w:rPr>
        <w:t xml:space="preserve"> </w:t>
      </w:r>
      <w:r w:rsidR="00921F24" w:rsidRPr="00024C71">
        <w:rPr>
          <w:rFonts w:eastAsiaTheme="minorHAnsi"/>
        </w:rPr>
        <w:t>work</w:t>
      </w:r>
      <w:r w:rsidR="00921F24" w:rsidRPr="00EC1D85">
        <w:rPr>
          <w:rFonts w:eastAsiaTheme="minorHAnsi"/>
        </w:rPr>
        <w:t xml:space="preserve">. </w:t>
      </w:r>
      <w:r w:rsidR="00921F24">
        <w:t>Based on program structure and staffing information collected during Design Survey interviews, we expect that interview respondents will include: (1) state grantee lead staff, (2) training and technical assistance staff, (</w:t>
      </w:r>
      <w:r w:rsidR="005F1CC4">
        <w:t>3</w:t>
      </w:r>
      <w:r w:rsidR="00921F24">
        <w:t>) evaluator staff, and (</w:t>
      </w:r>
      <w:r w:rsidR="005F1CC4">
        <w:t>4</w:t>
      </w:r>
      <w:r w:rsidR="00921F24">
        <w:t>) program provider managers.</w:t>
      </w:r>
      <w:r w:rsidR="002A06FE">
        <w:t xml:space="preserve"> </w:t>
      </w:r>
    </w:p>
    <w:p w:rsidR="00360D76" w:rsidRPr="00360D76" w:rsidRDefault="009005C1" w:rsidP="00360D76">
      <w:pPr>
        <w:pStyle w:val="NormalSS"/>
        <w:rPr>
          <w:rFonts w:eastAsiaTheme="minorHAnsi"/>
        </w:rPr>
      </w:pPr>
      <w:r>
        <w:rPr>
          <w:rFonts w:eastAsiaTheme="minorHAnsi"/>
        </w:rPr>
        <w:t xml:space="preserve">In total, we anticipate that the study team will interview an average of 8 respondents per state, for a total of 32 respondents across the 4 selected states. While the specific respondents in each state will likely vary, we expect that among these 8 respondents per state will be </w:t>
      </w:r>
      <w:r w:rsidR="005D5E15">
        <w:rPr>
          <w:rFonts w:eastAsiaTheme="minorHAnsi"/>
        </w:rPr>
        <w:t>four</w:t>
      </w:r>
      <w:r>
        <w:rPr>
          <w:rFonts w:eastAsiaTheme="minorHAnsi"/>
        </w:rPr>
        <w:t xml:space="preserve"> state-level staff—</w:t>
      </w:r>
      <w:r w:rsidR="005D5E15">
        <w:rPr>
          <w:rFonts w:eastAsiaTheme="minorHAnsi"/>
        </w:rPr>
        <w:t>one</w:t>
      </w:r>
      <w:r>
        <w:rPr>
          <w:rFonts w:eastAsiaTheme="minorHAnsi"/>
        </w:rPr>
        <w:t xml:space="preserve"> state grantee respondent, </w:t>
      </w:r>
      <w:r w:rsidR="005D5E15">
        <w:rPr>
          <w:rFonts w:eastAsiaTheme="minorHAnsi"/>
        </w:rPr>
        <w:t>two</w:t>
      </w:r>
      <w:r>
        <w:rPr>
          <w:rFonts w:eastAsiaTheme="minorHAnsi"/>
        </w:rPr>
        <w:t xml:space="preserve"> training and technical assistance respondent</w:t>
      </w:r>
      <w:r w:rsidR="005D5E15">
        <w:rPr>
          <w:rFonts w:eastAsiaTheme="minorHAnsi"/>
        </w:rPr>
        <w:t>s</w:t>
      </w:r>
      <w:r>
        <w:rPr>
          <w:rFonts w:eastAsiaTheme="minorHAnsi"/>
        </w:rPr>
        <w:t xml:space="preserve">, and </w:t>
      </w:r>
      <w:r w:rsidR="005D5E15">
        <w:rPr>
          <w:rFonts w:eastAsiaTheme="minorHAnsi"/>
        </w:rPr>
        <w:t>one</w:t>
      </w:r>
      <w:r>
        <w:rPr>
          <w:rFonts w:eastAsiaTheme="minorHAnsi"/>
        </w:rPr>
        <w:t xml:space="preserve"> evaluator respondent—and </w:t>
      </w:r>
      <w:r w:rsidR="005D5E15">
        <w:rPr>
          <w:rFonts w:eastAsiaTheme="minorHAnsi"/>
        </w:rPr>
        <w:t>one</w:t>
      </w:r>
      <w:r>
        <w:rPr>
          <w:rFonts w:eastAsiaTheme="minorHAnsi"/>
        </w:rPr>
        <w:t xml:space="preserve"> manager from each of </w:t>
      </w:r>
      <w:r w:rsidR="005D5E15">
        <w:rPr>
          <w:rFonts w:eastAsiaTheme="minorHAnsi"/>
        </w:rPr>
        <w:t>four</w:t>
      </w:r>
      <w:r>
        <w:rPr>
          <w:rFonts w:eastAsiaTheme="minorHAnsi"/>
        </w:rPr>
        <w:t xml:space="preserve"> program providers from around the state. </w:t>
      </w:r>
    </w:p>
    <w:p w:rsidR="002A06FE" w:rsidRDefault="00360D76" w:rsidP="002A06FE">
      <w:pPr>
        <w:pStyle w:val="NormalSS"/>
      </w:pPr>
      <w:r w:rsidRPr="00EC1D85">
        <w:t xml:space="preserve">The </w:t>
      </w:r>
      <w:r>
        <w:t xml:space="preserve">data collection instrument attached to this submission will guide interview </w:t>
      </w:r>
      <w:r w:rsidR="00300960">
        <w:t>arrangement</w:t>
      </w:r>
      <w:r>
        <w:t xml:space="preserve"> and execution</w:t>
      </w:r>
      <w:r w:rsidR="00512694">
        <w:t xml:space="preserve"> (see Instrument 1)</w:t>
      </w:r>
      <w:r>
        <w:t>. The study team will send the s</w:t>
      </w:r>
      <w:r w:rsidR="00300960">
        <w:t>t</w:t>
      </w:r>
      <w:r>
        <w:t xml:space="preserve">ate lead grantee </w:t>
      </w:r>
      <w:proofErr w:type="gramStart"/>
      <w:r>
        <w:t>from each selected state</w:t>
      </w:r>
      <w:r w:rsidR="004B2754">
        <w:t xml:space="preserve"> information</w:t>
      </w:r>
      <w:proofErr w:type="gramEnd"/>
      <w:r>
        <w:t xml:space="preserve"> about</w:t>
      </w:r>
      <w:r w:rsidR="004B2754">
        <w:t>: (1)</w:t>
      </w:r>
      <w:r>
        <w:t xml:space="preserve"> the PREP Evaluation</w:t>
      </w:r>
      <w:r w:rsidR="004B2754">
        <w:t xml:space="preserve"> and the importance of their</w:t>
      </w:r>
      <w:r>
        <w:t xml:space="preserve"> participat</w:t>
      </w:r>
      <w:r w:rsidR="004B2754">
        <w:t>ion</w:t>
      </w:r>
      <w:r>
        <w:t xml:space="preserve"> as </w:t>
      </w:r>
      <w:r w:rsidR="004B2754">
        <w:t>part of receipt of the</w:t>
      </w:r>
      <w:r>
        <w:t xml:space="preserve"> PREP grant, </w:t>
      </w:r>
      <w:r w:rsidR="004B2754">
        <w:t xml:space="preserve">(2) the specifics of </w:t>
      </w:r>
      <w:r>
        <w:t>the Implementation Survey, and</w:t>
      </w:r>
      <w:r w:rsidR="004B2754">
        <w:t>, (3)</w:t>
      </w:r>
      <w:r>
        <w:t xml:space="preserve"> </w:t>
      </w:r>
      <w:r w:rsidR="00B3785C">
        <w:t>proposals for interview dates and times</w:t>
      </w:r>
      <w:r>
        <w:t xml:space="preserve"> (see </w:t>
      </w:r>
      <w:r w:rsidR="001621CB">
        <w:t>Attachment C</w:t>
      </w:r>
      <w:r w:rsidR="00B3785C">
        <w:t>)</w:t>
      </w:r>
      <w:r>
        <w:t xml:space="preserve">. </w:t>
      </w:r>
      <w:r w:rsidR="00B3785C">
        <w:t>If the study team is unable to schedule the interview via</w:t>
      </w:r>
      <w:r>
        <w:t xml:space="preserve"> email, </w:t>
      </w:r>
      <w:r w:rsidR="00B3785C">
        <w:t>they</w:t>
      </w:r>
      <w:r>
        <w:t xml:space="preserve"> will call the </w:t>
      </w:r>
      <w:r w:rsidR="004A3B53">
        <w:t xml:space="preserve">state </w:t>
      </w:r>
      <w:r>
        <w:t>grantee</w:t>
      </w:r>
      <w:r w:rsidR="004A3B53">
        <w:t xml:space="preserve"> administrator</w:t>
      </w:r>
      <w:r w:rsidR="00702700">
        <w:t xml:space="preserve"> </w:t>
      </w:r>
      <w:r>
        <w:t>and establish an interview date and time. During this phone call</w:t>
      </w:r>
      <w:r w:rsidR="00E51D4A">
        <w:t xml:space="preserve"> or during the interview itself</w:t>
      </w:r>
      <w:r>
        <w:t xml:space="preserve">, the study team will also ensure that the list of other relevant respondents from the state—identified as part of the Design Survey—is accurate and complete. The study team will also confirm these respondents’ contact information, as well as the contact information </w:t>
      </w:r>
      <w:r w:rsidR="002A06FE">
        <w:t xml:space="preserve">for the selected program providers. </w:t>
      </w:r>
      <w:r w:rsidR="00E51D4A">
        <w:t>After the interview, the</w:t>
      </w:r>
      <w:r>
        <w:t xml:space="preserve"> study team will send similar emails to pertinent technical assistance provider staff, evaluator staff</w:t>
      </w:r>
      <w:r w:rsidR="002A06FE">
        <w:t xml:space="preserve">, and program providers (see </w:t>
      </w:r>
      <w:r w:rsidR="001621CB">
        <w:t>Attachment C</w:t>
      </w:r>
      <w:r w:rsidR="00B3785C">
        <w:t>)</w:t>
      </w:r>
      <w:r w:rsidR="002A06FE">
        <w:t xml:space="preserve">. Attached to all initial contact emails will be a summary of the PREP Evaluation (see </w:t>
      </w:r>
      <w:r w:rsidR="001621CB">
        <w:t>Attachment B</w:t>
      </w:r>
      <w:r w:rsidR="002A06FE">
        <w:t>).</w:t>
      </w:r>
    </w:p>
    <w:p w:rsidR="00937F94" w:rsidRDefault="00937F94" w:rsidP="002A06FE">
      <w:pPr>
        <w:pStyle w:val="NormalSS"/>
      </w:pPr>
      <w:r w:rsidRPr="00EC1D85">
        <w:rPr>
          <w:rFonts w:eastAsiaTheme="minorHAnsi"/>
        </w:rPr>
        <w:t xml:space="preserve">Part A of this submission lists the topics that the study team will explore during </w:t>
      </w:r>
      <w:r>
        <w:rPr>
          <w:rFonts w:eastAsiaTheme="minorHAnsi"/>
        </w:rPr>
        <w:t xml:space="preserve">the </w:t>
      </w:r>
      <w:r w:rsidR="0029659A">
        <w:rPr>
          <w:rFonts w:eastAsiaTheme="minorHAnsi"/>
        </w:rPr>
        <w:t xml:space="preserve">semi-structured </w:t>
      </w:r>
      <w:r w:rsidR="0098215A">
        <w:rPr>
          <w:rFonts w:eastAsiaTheme="minorHAnsi"/>
        </w:rPr>
        <w:t>tele</w:t>
      </w:r>
      <w:r>
        <w:rPr>
          <w:rFonts w:eastAsiaTheme="minorHAnsi"/>
        </w:rPr>
        <w:t>phone interviews</w:t>
      </w:r>
      <w:r w:rsidRPr="00EC1D85">
        <w:rPr>
          <w:rFonts w:eastAsiaTheme="minorHAnsi"/>
        </w:rPr>
        <w:t>.</w:t>
      </w:r>
      <w:r w:rsidR="00BC3FBA">
        <w:rPr>
          <w:rFonts w:eastAsiaTheme="minorHAnsi"/>
        </w:rPr>
        <w:t xml:space="preserve"> </w:t>
      </w:r>
      <w:r w:rsidR="00BC3FBA">
        <w:t>The</w:t>
      </w:r>
      <w:r w:rsidR="00BC3FBA" w:rsidRPr="003644F7">
        <w:t xml:space="preserve"> specific questions asked by the study team will vary by respondent type, </w:t>
      </w:r>
      <w:r w:rsidR="00BC3FBA">
        <w:t xml:space="preserve">but </w:t>
      </w:r>
      <w:r w:rsidR="00BC3FBA" w:rsidRPr="003644F7">
        <w:t xml:space="preserve">all questions will remain within the scope of the constructs detailed in attached </w:t>
      </w:r>
      <w:r w:rsidR="00BC3FBA">
        <w:t>Instrument 1.</w:t>
      </w:r>
      <w:r w:rsidR="00BC3FBA" w:rsidRPr="003644F7">
        <w:t xml:space="preserve"> </w:t>
      </w:r>
      <w:r w:rsidR="006D3D5F">
        <w:t>Each i</w:t>
      </w:r>
      <w:r w:rsidR="00BC3FBA" w:rsidRPr="003644F7">
        <w:t>nterview will last for an average of one hour.</w:t>
      </w:r>
    </w:p>
    <w:p w:rsidR="002A06FE" w:rsidRPr="00EC1D85" w:rsidRDefault="002A06FE" w:rsidP="002A06FE">
      <w:pPr>
        <w:pStyle w:val="Heading3"/>
        <w:spacing w:after="0"/>
      </w:pPr>
      <w:bookmarkStart w:id="9" w:name="_Toc392578965"/>
      <w:r w:rsidRPr="00EC1D85">
        <w:lastRenderedPageBreak/>
        <w:t>2.</w:t>
      </w:r>
      <w:r w:rsidR="004A4AE7">
        <w:t xml:space="preserve"> </w:t>
      </w:r>
      <w:r w:rsidRPr="00EC1D85">
        <w:t xml:space="preserve">Statistical </w:t>
      </w:r>
      <w:r>
        <w:t>m</w:t>
      </w:r>
      <w:r w:rsidRPr="00EC1D85">
        <w:t xml:space="preserve">ethodology, </w:t>
      </w:r>
      <w:r>
        <w:t>e</w:t>
      </w:r>
      <w:r w:rsidRPr="00EC1D85">
        <w:t xml:space="preserve">stimation, and </w:t>
      </w:r>
      <w:r>
        <w:t>d</w:t>
      </w:r>
      <w:r w:rsidRPr="00EC1D85">
        <w:t xml:space="preserve">egree of </w:t>
      </w:r>
      <w:r>
        <w:t>a</w:t>
      </w:r>
      <w:r w:rsidRPr="00EC1D85">
        <w:t>ccuracy</w:t>
      </w:r>
      <w:bookmarkEnd w:id="9"/>
    </w:p>
    <w:p w:rsidR="002A06FE" w:rsidRDefault="002A06FE" w:rsidP="002A06FE">
      <w:pPr>
        <w:pStyle w:val="NumberedBullet"/>
        <w:numPr>
          <w:ilvl w:val="0"/>
          <w:numId w:val="0"/>
        </w:numPr>
        <w:spacing w:after="0"/>
      </w:pPr>
    </w:p>
    <w:p w:rsidR="002A06FE" w:rsidRPr="00EC1D85" w:rsidRDefault="002A06FE" w:rsidP="002A06FE">
      <w:pPr>
        <w:pStyle w:val="NormalSS"/>
      </w:pPr>
      <w:r>
        <w:t>The Implementation Survey</w:t>
      </w:r>
      <w:r w:rsidRPr="00EC1D85">
        <w:t xml:space="preserve"> does not require statistical methodology or estimation. The data collected from </w:t>
      </w:r>
      <w:r w:rsidR="009B1EB1">
        <w:t>tele</w:t>
      </w:r>
      <w:r>
        <w:t xml:space="preserve">phone interviews </w:t>
      </w:r>
      <w:r w:rsidRPr="00EC1D85">
        <w:t>will be analyzed using qualitative and descriptive methods.</w:t>
      </w:r>
    </w:p>
    <w:p w:rsidR="002A06FE" w:rsidRPr="00EC1D85" w:rsidRDefault="002A06FE" w:rsidP="002A06FE">
      <w:pPr>
        <w:pStyle w:val="Heading3"/>
      </w:pPr>
      <w:bookmarkStart w:id="10" w:name="_Toc392578966"/>
      <w:r w:rsidRPr="00EC1D85">
        <w:t>3.</w:t>
      </w:r>
      <w:r w:rsidR="004A4AE7">
        <w:t xml:space="preserve"> </w:t>
      </w:r>
      <w:r w:rsidRPr="003B1C49">
        <w:t>Unusual</w:t>
      </w:r>
      <w:r w:rsidRPr="00EC1D85">
        <w:t xml:space="preserve"> </w:t>
      </w:r>
      <w:r>
        <w:t>p</w:t>
      </w:r>
      <w:r w:rsidRPr="00EC1D85">
        <w:t xml:space="preserve">roblems </w:t>
      </w:r>
      <w:r>
        <w:t>r</w:t>
      </w:r>
      <w:r w:rsidRPr="00EC1D85">
        <w:t xml:space="preserve">equiring </w:t>
      </w:r>
      <w:r>
        <w:t>s</w:t>
      </w:r>
      <w:r w:rsidRPr="00EC1D85">
        <w:t xml:space="preserve">pecialized </w:t>
      </w:r>
      <w:r>
        <w:t>s</w:t>
      </w:r>
      <w:r w:rsidRPr="00EC1D85">
        <w:t xml:space="preserve">ampling </w:t>
      </w:r>
      <w:r>
        <w:t>p</w:t>
      </w:r>
      <w:r w:rsidRPr="00EC1D85">
        <w:t>rocedures</w:t>
      </w:r>
      <w:bookmarkEnd w:id="10"/>
    </w:p>
    <w:p w:rsidR="002A06FE" w:rsidRPr="00EC1D85" w:rsidRDefault="002A06FE" w:rsidP="002A06FE">
      <w:pPr>
        <w:pStyle w:val="NormalSS"/>
      </w:pPr>
      <w:r w:rsidRPr="00EC1D85">
        <w:t>There are no unusual problems requiring specialized sampling procedures.</w:t>
      </w:r>
    </w:p>
    <w:p w:rsidR="00C14883" w:rsidRDefault="002A06FE">
      <w:pPr>
        <w:pStyle w:val="Heading3"/>
      </w:pPr>
      <w:bookmarkStart w:id="11" w:name="_Toc392578967"/>
      <w:r w:rsidRPr="00EC1D85">
        <w:t>4.</w:t>
      </w:r>
      <w:r w:rsidR="004A4AE7">
        <w:t xml:space="preserve"> </w:t>
      </w:r>
      <w:r w:rsidRPr="00EC1D85">
        <w:t xml:space="preserve">Periodic </w:t>
      </w:r>
      <w:r>
        <w:t>d</w:t>
      </w:r>
      <w:r w:rsidRPr="00EC1D85">
        <w:t xml:space="preserve">ata </w:t>
      </w:r>
      <w:r>
        <w:t>c</w:t>
      </w:r>
      <w:r w:rsidRPr="00EC1D85">
        <w:t xml:space="preserve">ollection </w:t>
      </w:r>
      <w:r>
        <w:t>c</w:t>
      </w:r>
      <w:r w:rsidRPr="00EC1D85">
        <w:t xml:space="preserve">ycles to </w:t>
      </w:r>
      <w:r>
        <w:t>r</w:t>
      </w:r>
      <w:r w:rsidRPr="00EC1D85">
        <w:t xml:space="preserve">educe </w:t>
      </w:r>
      <w:r>
        <w:t>b</w:t>
      </w:r>
      <w:r w:rsidRPr="00EC1D85">
        <w:t>urden</w:t>
      </w:r>
      <w:bookmarkEnd w:id="11"/>
    </w:p>
    <w:p w:rsidR="002A06FE" w:rsidRPr="00115B57" w:rsidRDefault="002A06FE" w:rsidP="002A06FE">
      <w:pPr>
        <w:pStyle w:val="NormalSS"/>
      </w:pPr>
      <w:r w:rsidRPr="00EC1D85">
        <w:t>There will be only one cycle of data collection.</w:t>
      </w:r>
    </w:p>
    <w:p w:rsidR="00442F15" w:rsidRDefault="009E2CC3" w:rsidP="00442F15">
      <w:pPr>
        <w:pStyle w:val="Heading2"/>
      </w:pPr>
      <w:bookmarkStart w:id="12" w:name="_Toc392578968"/>
      <w:r>
        <w:t>B.3. Methods to maximize response rates and deal with non</w:t>
      </w:r>
      <w:r w:rsidR="00F65C5D">
        <w:t>r</w:t>
      </w:r>
      <w:r>
        <w:t>esponse</w:t>
      </w:r>
      <w:bookmarkEnd w:id="12"/>
    </w:p>
    <w:p w:rsidR="00442F15" w:rsidRDefault="00576F71" w:rsidP="00FA744C">
      <w:pPr>
        <w:pStyle w:val="NormalSS"/>
        <w:spacing w:after="0"/>
      </w:pPr>
      <w:r>
        <w:t>We expect to achieve</w:t>
      </w:r>
      <w:r w:rsidR="00FA744C">
        <w:t xml:space="preserve"> a 100% response rate for the </w:t>
      </w:r>
      <w:r>
        <w:t>Implementation Survey</w:t>
      </w:r>
      <w:r w:rsidR="00FA744C">
        <w:t xml:space="preserve"> phase of the D</w:t>
      </w:r>
      <w:r>
        <w:t>esign and Implementation Study for a number of reasons. First</w:t>
      </w:r>
      <w:r w:rsidR="00FA744C">
        <w:t>, states agreed to participate in the PREP Evaluation as a requirement of receiving a PREP grant</w:t>
      </w:r>
      <w:r w:rsidR="00576BC9">
        <w:t xml:space="preserve"> and should therefore respond positively to </w:t>
      </w:r>
      <w:r>
        <w:t>Implementation</w:t>
      </w:r>
      <w:r w:rsidR="00576BC9">
        <w:t xml:space="preserve"> Survey interview requests</w:t>
      </w:r>
      <w:r w:rsidR="00FA744C">
        <w:t xml:space="preserve">. </w:t>
      </w:r>
      <w:r>
        <w:t xml:space="preserve">Second, </w:t>
      </w:r>
      <w:r w:rsidR="004D6B21">
        <w:t>the study</w:t>
      </w:r>
      <w:r>
        <w:t xml:space="preserve"> achieved a 100% response rate for </w:t>
      </w:r>
      <w:r w:rsidR="00CC46CF">
        <w:t>the Design Survey phase of the D</w:t>
      </w:r>
      <w:r w:rsidR="00F65C5D">
        <w:t>IS</w:t>
      </w:r>
      <w:r w:rsidR="004D6B21">
        <w:t>, which had a similar respondent population and data collection mode as will the Implementation Survey</w:t>
      </w:r>
      <w:r w:rsidR="00CC46CF">
        <w:t xml:space="preserve">.  Third, </w:t>
      </w:r>
      <w:r w:rsidR="00B45DB6">
        <w:t xml:space="preserve">the respondents who will be interviewed for the Implementation Survey have a vested interest in the success of the PREP program and might thus be motivated to participate in interviews about maintaining program quality and fidelity. Finally, </w:t>
      </w:r>
      <w:r w:rsidR="00442F15">
        <w:t>interviews</w:t>
      </w:r>
      <w:r w:rsidR="00442F15" w:rsidRPr="00023E80">
        <w:t xml:space="preserve"> will be </w:t>
      </w:r>
      <w:r w:rsidR="00FA744C">
        <w:t xml:space="preserve">scheduled </w:t>
      </w:r>
      <w:r w:rsidR="00442F15" w:rsidRPr="00023E80">
        <w:t xml:space="preserve">well in advance </w:t>
      </w:r>
      <w:r w:rsidR="00D64A12">
        <w:t xml:space="preserve">and around respondents’ schedules to ensure their availability. </w:t>
      </w:r>
      <w:r w:rsidR="00442F15" w:rsidRPr="00023E80">
        <w:t xml:space="preserve"> </w:t>
      </w:r>
    </w:p>
    <w:p w:rsidR="00442F15" w:rsidRDefault="00442F15" w:rsidP="00B45DB6">
      <w:pPr>
        <w:pStyle w:val="NormalSS"/>
        <w:spacing w:after="0"/>
        <w:ind w:firstLine="0"/>
      </w:pPr>
    </w:p>
    <w:p w:rsidR="009E2CC3" w:rsidRDefault="009E2CC3" w:rsidP="009E2CC3">
      <w:pPr>
        <w:pStyle w:val="Heading2"/>
      </w:pPr>
      <w:bookmarkStart w:id="13" w:name="_Toc392578969"/>
      <w:r>
        <w:t>B.4. Tests of procedures to be undertaken</w:t>
      </w:r>
      <w:bookmarkEnd w:id="13"/>
    </w:p>
    <w:p w:rsidR="00512694" w:rsidRDefault="006A6600" w:rsidP="00512694">
      <w:pPr>
        <w:pStyle w:val="NormalSS"/>
      </w:pPr>
      <w:r>
        <w:t xml:space="preserve">The Implementation Study discussion guide will be very similar </w:t>
      </w:r>
      <w:r w:rsidR="00637E6C">
        <w:t>in length and style</w:t>
      </w:r>
      <w:r>
        <w:t xml:space="preserve"> to the protocols used for the Design Survey, w</w:t>
      </w:r>
      <w:r w:rsidR="00FA744C">
        <w:t xml:space="preserve">hich were approved by OMB on March 7, 2012 (under OMB Control </w:t>
      </w:r>
      <w:r w:rsidR="00FA744C" w:rsidRPr="006E4F68">
        <w:t># 0970-0398</w:t>
      </w:r>
      <w:r w:rsidR="00FA744C">
        <w:t>) and achieved a 100% response rate</w:t>
      </w:r>
      <w:r w:rsidR="00637E6C">
        <w:t xml:space="preserve">.  </w:t>
      </w:r>
      <w:r w:rsidR="00512694">
        <w:t>Nonetheless</w:t>
      </w:r>
      <w:r w:rsidR="00637E6C">
        <w:t xml:space="preserve"> t</w:t>
      </w:r>
      <w:r w:rsidR="00512694" w:rsidRPr="00EC1D85">
        <w:t xml:space="preserve">o ensure that the </w:t>
      </w:r>
      <w:r w:rsidR="00637E6C">
        <w:t>Implementation Survey topic guide</w:t>
      </w:r>
      <w:r w:rsidR="00512694">
        <w:t xml:space="preserve"> is</w:t>
      </w:r>
      <w:r w:rsidR="00637E6C">
        <w:t xml:space="preserve"> used effectively, </w:t>
      </w:r>
      <w:r w:rsidR="00512694">
        <w:t xml:space="preserve">and that it </w:t>
      </w:r>
      <w:r w:rsidR="00512694" w:rsidRPr="00EC1D85">
        <w:t>yield</w:t>
      </w:r>
      <w:r w:rsidR="00512694">
        <w:t>s</w:t>
      </w:r>
      <w:r w:rsidR="00512694" w:rsidRPr="00EC1D85">
        <w:t xml:space="preserve"> comprehensive and comparable data across </w:t>
      </w:r>
      <w:r w:rsidR="00637E6C">
        <w:t>states</w:t>
      </w:r>
      <w:r w:rsidR="00512694" w:rsidRPr="00EC1D85">
        <w:t>, senior research team members will conduct</w:t>
      </w:r>
      <w:r w:rsidR="00F65C5D">
        <w:t xml:space="preserve"> </w:t>
      </w:r>
      <w:r w:rsidR="00512694" w:rsidRPr="00EC1D85">
        <w:t xml:space="preserve">pilot </w:t>
      </w:r>
      <w:r w:rsidR="00637E6C">
        <w:t>interview</w:t>
      </w:r>
      <w:r w:rsidR="00F65C5D">
        <w:t>s</w:t>
      </w:r>
      <w:r w:rsidR="00512694" w:rsidRPr="00EC1D85">
        <w:t xml:space="preserve"> </w:t>
      </w:r>
      <w:r w:rsidR="00F65C5D">
        <w:t xml:space="preserve">(with </w:t>
      </w:r>
      <w:r w:rsidR="008F6857">
        <w:t xml:space="preserve">fewer </w:t>
      </w:r>
      <w:r w:rsidR="00F65C5D">
        <w:t xml:space="preserve">than </w:t>
      </w:r>
      <w:r w:rsidR="00AF2AF8">
        <w:t>nine</w:t>
      </w:r>
      <w:r w:rsidR="00F65C5D">
        <w:t xml:space="preserve"> respondents total) </w:t>
      </w:r>
      <w:r w:rsidR="00512694" w:rsidRPr="00EC1D85">
        <w:t xml:space="preserve">before any other </w:t>
      </w:r>
      <w:r w:rsidR="00637E6C">
        <w:t>interviews</w:t>
      </w:r>
      <w:r w:rsidR="00512694" w:rsidRPr="00EC1D85">
        <w:t xml:space="preserve"> are conducted. The purpose of the pilot test is to</w:t>
      </w:r>
      <w:r w:rsidR="00512694">
        <w:t xml:space="preserve"> ensure that </w:t>
      </w:r>
      <w:r w:rsidR="00637E6C">
        <w:t xml:space="preserve">the topic guide </w:t>
      </w:r>
      <w:r w:rsidR="00512694" w:rsidRPr="00EC1D85">
        <w:t>include</w:t>
      </w:r>
      <w:r w:rsidR="00512694">
        <w:t>s</w:t>
      </w:r>
      <w:r w:rsidR="00512694" w:rsidRPr="00EC1D85">
        <w:t xml:space="preserve"> appropriate probes that assist </w:t>
      </w:r>
      <w:r w:rsidR="00637E6C">
        <w:t>interviewers</w:t>
      </w:r>
      <w:r w:rsidR="00512694" w:rsidRPr="00EC1D85">
        <w:t xml:space="preserve"> in delving deeply into topics of</w:t>
      </w:r>
      <w:r w:rsidR="00512694">
        <w:t xml:space="preserve"> interest, and that </w:t>
      </w:r>
      <w:r w:rsidR="00637E6C">
        <w:t>it</w:t>
      </w:r>
      <w:r w:rsidR="00512694" w:rsidRPr="00EC1D85">
        <w:t xml:space="preserve"> do</w:t>
      </w:r>
      <w:r w:rsidR="00512694">
        <w:t>es</w:t>
      </w:r>
      <w:r w:rsidR="00512694" w:rsidRPr="00EC1D85">
        <w:t xml:space="preserve"> not omit relevant topics of inquiry. F</w:t>
      </w:r>
      <w:r w:rsidR="00512694">
        <w:t xml:space="preserve">urthermore, use of the </w:t>
      </w:r>
      <w:r w:rsidR="00637E6C">
        <w:t>topic guide</w:t>
      </w:r>
      <w:r w:rsidR="00512694" w:rsidRPr="00EC1D85">
        <w:t xml:space="preserve"> during a pilot </w:t>
      </w:r>
      <w:r w:rsidR="00637E6C">
        <w:t>interview</w:t>
      </w:r>
      <w:r w:rsidR="00512694" w:rsidRPr="00EC1D85">
        <w:t xml:space="preserve"> can enable the research staff leading this task to assess that the </w:t>
      </w:r>
      <w:r w:rsidR="00637E6C">
        <w:t xml:space="preserve">topic guide </w:t>
      </w:r>
      <w:r w:rsidR="00512694" w:rsidRPr="00EC1D85">
        <w:t>is practical</w:t>
      </w:r>
      <w:r w:rsidR="00512694">
        <w:t>,</w:t>
      </w:r>
      <w:r w:rsidR="00512694" w:rsidRPr="00EC1D85">
        <w:t xml:space="preserve"> given the amount of data that is to be collected and the amount of time allotted for each </w:t>
      </w:r>
      <w:r w:rsidR="00637E6C">
        <w:t>interview</w:t>
      </w:r>
      <w:r w:rsidR="00512694" w:rsidRPr="00EC1D85">
        <w:t xml:space="preserve">. Adjustments to the </w:t>
      </w:r>
      <w:r w:rsidR="00637E6C">
        <w:t xml:space="preserve">topic guide </w:t>
      </w:r>
      <w:r w:rsidR="00512694" w:rsidRPr="00EC1D85">
        <w:t>will be made as necessary</w:t>
      </w:r>
      <w:r w:rsidR="008F6857">
        <w:t xml:space="preserve"> and updates submitted to OMB. </w:t>
      </w:r>
    </w:p>
    <w:p w:rsidR="00512694" w:rsidRDefault="00512694" w:rsidP="00637E6C">
      <w:pPr>
        <w:pStyle w:val="NormalSS"/>
      </w:pPr>
      <w:r w:rsidRPr="00EC1D85">
        <w:t xml:space="preserve">Based on the pilot experience, the study team will train all </w:t>
      </w:r>
      <w:r w:rsidR="00637E6C">
        <w:t>Implementation Survey interviewers on the topic guide</w:t>
      </w:r>
      <w:r w:rsidRPr="00EC1D85">
        <w:t xml:space="preserve"> to ensure </w:t>
      </w:r>
      <w:r w:rsidR="00205C64">
        <w:t xml:space="preserve">(a) </w:t>
      </w:r>
      <w:r w:rsidRPr="00EC1D85">
        <w:t xml:space="preserve">a common understanding of </w:t>
      </w:r>
      <w:r w:rsidR="00637E6C">
        <w:t>the key objectives and concepts</w:t>
      </w:r>
      <w:r w:rsidR="00205C64">
        <w:t xml:space="preserve">, </w:t>
      </w:r>
      <w:r w:rsidR="00637E6C">
        <w:t xml:space="preserve">and </w:t>
      </w:r>
      <w:r w:rsidR="00205C64">
        <w:t xml:space="preserve">(b) </w:t>
      </w:r>
      <w:r w:rsidR="00637E6C">
        <w:t xml:space="preserve">the </w:t>
      </w:r>
      <w:r w:rsidRPr="00EC1D85">
        <w:t xml:space="preserve">fidelity </w:t>
      </w:r>
      <w:r w:rsidR="00205C64">
        <w:t>of</w:t>
      </w:r>
      <w:r w:rsidRPr="00EC1D85">
        <w:t xml:space="preserve"> the</w:t>
      </w:r>
      <w:r w:rsidR="00637E6C">
        <w:t xml:space="preserve"> instrument</w:t>
      </w:r>
      <w:r w:rsidRPr="00EC1D85">
        <w:t xml:space="preserve">. The training session will cover topics such as the </w:t>
      </w:r>
      <w:r w:rsidR="00637E6C">
        <w:t>Implementation Survey’s</w:t>
      </w:r>
      <w:r w:rsidRPr="00EC1D85">
        <w:t xml:space="preserve"> purposes and research questions, </w:t>
      </w:r>
      <w:r w:rsidR="00637E6C">
        <w:t>the topic guide</w:t>
      </w:r>
      <w:r w:rsidRPr="00EC1D85">
        <w:t xml:space="preserve">, procedures for scheduling visits and conducting </w:t>
      </w:r>
      <w:r w:rsidR="00637E6C">
        <w:t>interviews</w:t>
      </w:r>
      <w:r w:rsidRPr="00EC1D85">
        <w:t xml:space="preserve"> (including a review of interview techniques and procedures for protecting confidentiality), and post-</w:t>
      </w:r>
      <w:r w:rsidR="00637E6C">
        <w:t xml:space="preserve">interview documentation. </w:t>
      </w:r>
    </w:p>
    <w:p w:rsidR="009E2CC3" w:rsidRDefault="009E2CC3" w:rsidP="009E2CC3">
      <w:pPr>
        <w:pStyle w:val="Heading2"/>
      </w:pPr>
      <w:bookmarkStart w:id="14" w:name="_Toc392578970"/>
      <w:r>
        <w:lastRenderedPageBreak/>
        <w:t>B.5. Individuals consulted on statistical aspects and individuals collecting and/or analyzing data</w:t>
      </w:r>
      <w:bookmarkEnd w:id="14"/>
    </w:p>
    <w:p w:rsidR="00205C64" w:rsidRPr="00205C64" w:rsidRDefault="00205C64" w:rsidP="00205C64">
      <w:pPr>
        <w:pStyle w:val="NormalSS"/>
      </w:pPr>
      <w:r w:rsidRPr="008C5B2E">
        <w:t xml:space="preserve">The names and contact information of the persons </w:t>
      </w:r>
      <w:r>
        <w:t xml:space="preserve">consulted on statistical aspects and individuals collecting and/or analyzing data for the Implementation Survey are: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05C64" w:rsidRPr="00A01B7F" w:rsidTr="00FA744C">
        <w:trPr>
          <w:jc w:val="center"/>
        </w:trPr>
        <w:tc>
          <w:tcPr>
            <w:tcW w:w="4788" w:type="dxa"/>
          </w:tcPr>
          <w:p w:rsidR="00205C64" w:rsidRPr="00A01B7F" w:rsidRDefault="00205C64" w:rsidP="00FA744C">
            <w:pPr>
              <w:pStyle w:val="TableText"/>
              <w:rPr>
                <w:rFonts w:ascii="Times New Roman" w:eastAsia="Lucida Sans" w:hAnsi="Times New Roman"/>
                <w:sz w:val="24"/>
                <w:szCs w:val="24"/>
              </w:rPr>
            </w:pPr>
            <w:r w:rsidRPr="00A01B7F">
              <w:rPr>
                <w:rFonts w:ascii="Times New Roman" w:eastAsia="Lucida Sans" w:hAnsi="Times New Roman"/>
                <w:sz w:val="24"/>
                <w:szCs w:val="24"/>
              </w:rPr>
              <w:t>Clare DiSalvo</w:t>
            </w:r>
          </w:p>
          <w:p w:rsidR="00205C64" w:rsidRPr="00A01B7F" w:rsidRDefault="00205C64" w:rsidP="00FA744C">
            <w:pPr>
              <w:pStyle w:val="TableText"/>
              <w:rPr>
                <w:rFonts w:ascii="Times New Roman" w:eastAsia="Lucida Sans" w:hAnsi="Times New Roman"/>
                <w:sz w:val="24"/>
                <w:szCs w:val="24"/>
              </w:rPr>
            </w:pPr>
            <w:r w:rsidRPr="00A01B7F">
              <w:rPr>
                <w:rFonts w:ascii="Times New Roman" w:eastAsia="Lucida Sans" w:hAnsi="Times New Roman"/>
                <w:sz w:val="24"/>
                <w:szCs w:val="24"/>
              </w:rPr>
              <w:t>Office of Planning, Research, and Evaluation</w:t>
            </w:r>
          </w:p>
          <w:p w:rsidR="00205C64" w:rsidRPr="00A01B7F" w:rsidRDefault="00205C64" w:rsidP="00FA744C">
            <w:pPr>
              <w:pStyle w:val="TableText"/>
              <w:rPr>
                <w:rFonts w:ascii="Times New Roman" w:eastAsia="Lucida Sans" w:hAnsi="Times New Roman"/>
                <w:sz w:val="24"/>
                <w:szCs w:val="24"/>
              </w:rPr>
            </w:pPr>
            <w:r w:rsidRPr="00A01B7F">
              <w:rPr>
                <w:rFonts w:ascii="Times New Roman" w:eastAsia="Lucida Sans" w:hAnsi="Times New Roman"/>
                <w:sz w:val="24"/>
                <w:szCs w:val="24"/>
              </w:rPr>
              <w:t>Administration for Children and Families</w:t>
            </w:r>
          </w:p>
          <w:p w:rsidR="00205C64" w:rsidRPr="00A01B7F" w:rsidRDefault="00205C64" w:rsidP="00FA744C">
            <w:pPr>
              <w:pStyle w:val="TableText"/>
              <w:rPr>
                <w:rFonts w:ascii="Times New Roman" w:eastAsia="Lucida Sans" w:hAnsi="Times New Roman"/>
                <w:sz w:val="24"/>
                <w:szCs w:val="24"/>
              </w:rPr>
            </w:pPr>
            <w:r w:rsidRPr="00A01B7F">
              <w:rPr>
                <w:rFonts w:ascii="Times New Roman" w:eastAsia="Lucida Sans" w:hAnsi="Times New Roman"/>
                <w:sz w:val="24"/>
                <w:szCs w:val="24"/>
              </w:rPr>
              <w:t>U.S. Department of Health and Human Services</w:t>
            </w:r>
          </w:p>
          <w:p w:rsidR="00205C64" w:rsidRPr="00A01B7F" w:rsidRDefault="00205C64" w:rsidP="00FA744C">
            <w:pPr>
              <w:pStyle w:val="TableText"/>
              <w:rPr>
                <w:rFonts w:ascii="Times New Roman" w:eastAsia="Lucida Sans" w:hAnsi="Times New Roman"/>
                <w:sz w:val="24"/>
                <w:szCs w:val="24"/>
              </w:rPr>
            </w:pPr>
            <w:r w:rsidRPr="00A01B7F">
              <w:rPr>
                <w:rFonts w:ascii="Times New Roman" w:eastAsia="Lucida Sans" w:hAnsi="Times New Roman"/>
                <w:sz w:val="24"/>
                <w:szCs w:val="24"/>
              </w:rPr>
              <w:t>370 L'Enfant Promenade, SW</w:t>
            </w:r>
          </w:p>
          <w:p w:rsidR="00205C64" w:rsidRPr="00A01B7F" w:rsidRDefault="00205C64" w:rsidP="00FA744C">
            <w:pPr>
              <w:pStyle w:val="TableText"/>
              <w:rPr>
                <w:rFonts w:ascii="Times New Roman" w:eastAsia="Lucida Sans" w:hAnsi="Times New Roman"/>
                <w:sz w:val="24"/>
                <w:szCs w:val="24"/>
              </w:rPr>
            </w:pPr>
            <w:r w:rsidRPr="00A01B7F">
              <w:rPr>
                <w:rFonts w:ascii="Times New Roman" w:eastAsia="Lucida Sans" w:hAnsi="Times New Roman"/>
                <w:sz w:val="24"/>
                <w:szCs w:val="24"/>
              </w:rPr>
              <w:t>7th Floor West</w:t>
            </w:r>
          </w:p>
          <w:p w:rsidR="00205C64" w:rsidRPr="00A01B7F" w:rsidRDefault="00205C64" w:rsidP="00FA744C">
            <w:pPr>
              <w:pStyle w:val="TableText"/>
              <w:rPr>
                <w:rFonts w:ascii="Times New Roman" w:eastAsia="Lucida Sans" w:hAnsi="Times New Roman"/>
                <w:sz w:val="24"/>
                <w:szCs w:val="24"/>
              </w:rPr>
            </w:pPr>
            <w:r w:rsidRPr="00A01B7F">
              <w:rPr>
                <w:rFonts w:ascii="Times New Roman" w:eastAsia="Lucida Sans" w:hAnsi="Times New Roman"/>
                <w:sz w:val="24"/>
                <w:szCs w:val="24"/>
              </w:rPr>
              <w:t>Washington, DC  20447</w:t>
            </w:r>
          </w:p>
          <w:p w:rsidR="00205C64" w:rsidRPr="00A01B7F" w:rsidRDefault="00205C64" w:rsidP="00FA744C">
            <w:pPr>
              <w:pStyle w:val="TableText"/>
              <w:rPr>
                <w:rFonts w:ascii="Times New Roman" w:eastAsia="Lucida Sans" w:hAnsi="Times New Roman"/>
                <w:sz w:val="24"/>
                <w:szCs w:val="24"/>
              </w:rPr>
            </w:pPr>
            <w:r w:rsidRPr="00A01B7F">
              <w:rPr>
                <w:rFonts w:ascii="Times New Roman" w:eastAsia="Lucida Sans" w:hAnsi="Times New Roman"/>
                <w:sz w:val="24"/>
                <w:szCs w:val="24"/>
              </w:rPr>
              <w:t>(202) 401-4537</w:t>
            </w:r>
          </w:p>
          <w:p w:rsidR="00205C64" w:rsidRPr="00A01B7F" w:rsidRDefault="00205C64" w:rsidP="00FA744C">
            <w:pPr>
              <w:pStyle w:val="TableText"/>
              <w:rPr>
                <w:rFonts w:ascii="Times New Roman" w:hAnsi="Times New Roman"/>
                <w:sz w:val="24"/>
                <w:szCs w:val="24"/>
              </w:rPr>
            </w:pPr>
          </w:p>
        </w:tc>
        <w:tc>
          <w:tcPr>
            <w:tcW w:w="4788" w:type="dxa"/>
          </w:tcPr>
          <w:p w:rsidR="00205C64" w:rsidRPr="00A01B7F" w:rsidRDefault="00205C64" w:rsidP="00FA744C">
            <w:pPr>
              <w:pStyle w:val="TableText"/>
              <w:rPr>
                <w:rFonts w:ascii="Times New Roman" w:eastAsia="Lucida Sans" w:hAnsi="Times New Roman"/>
                <w:sz w:val="24"/>
                <w:szCs w:val="24"/>
              </w:rPr>
            </w:pPr>
            <w:r w:rsidRPr="00A01B7F">
              <w:rPr>
                <w:rFonts w:ascii="Times New Roman" w:eastAsia="Lucida Sans" w:hAnsi="Times New Roman"/>
                <w:sz w:val="24"/>
                <w:szCs w:val="24"/>
              </w:rPr>
              <w:t>Dirk Butler</w:t>
            </w:r>
          </w:p>
          <w:p w:rsidR="00205C64" w:rsidRPr="00A01B7F" w:rsidRDefault="00205C64" w:rsidP="00FA744C">
            <w:pPr>
              <w:pStyle w:val="TableText"/>
              <w:rPr>
                <w:rFonts w:ascii="Times New Roman" w:eastAsia="Lucida Sans" w:hAnsi="Times New Roman"/>
                <w:sz w:val="24"/>
                <w:szCs w:val="24"/>
              </w:rPr>
            </w:pPr>
            <w:r w:rsidRPr="00A01B7F">
              <w:rPr>
                <w:rFonts w:ascii="Times New Roman" w:eastAsia="Lucida Sans" w:hAnsi="Times New Roman"/>
                <w:sz w:val="24"/>
                <w:szCs w:val="24"/>
              </w:rPr>
              <w:t>Family and Youth Services Bureau</w:t>
            </w:r>
          </w:p>
          <w:p w:rsidR="00205C64" w:rsidRPr="00A01B7F" w:rsidRDefault="00205C64" w:rsidP="00FA744C">
            <w:pPr>
              <w:pStyle w:val="TableText"/>
              <w:rPr>
                <w:rFonts w:ascii="Times New Roman" w:eastAsia="Lucida Sans" w:hAnsi="Times New Roman"/>
                <w:sz w:val="24"/>
                <w:szCs w:val="24"/>
              </w:rPr>
            </w:pPr>
            <w:r w:rsidRPr="00A01B7F">
              <w:rPr>
                <w:rFonts w:ascii="Times New Roman" w:eastAsia="Lucida Sans" w:hAnsi="Times New Roman"/>
                <w:sz w:val="24"/>
                <w:szCs w:val="24"/>
              </w:rPr>
              <w:t>Division of Abstinence Education</w:t>
            </w:r>
          </w:p>
          <w:p w:rsidR="00205C64" w:rsidRPr="00A01B7F" w:rsidRDefault="00205C64" w:rsidP="00FA744C">
            <w:pPr>
              <w:pStyle w:val="TableText"/>
              <w:rPr>
                <w:rFonts w:ascii="Times New Roman" w:eastAsia="Lucida Sans" w:hAnsi="Times New Roman"/>
                <w:sz w:val="24"/>
                <w:szCs w:val="24"/>
              </w:rPr>
            </w:pPr>
            <w:r w:rsidRPr="00A01B7F">
              <w:rPr>
                <w:rFonts w:ascii="Times New Roman" w:eastAsia="Lucida Sans" w:hAnsi="Times New Roman"/>
                <w:sz w:val="24"/>
                <w:szCs w:val="24"/>
              </w:rPr>
              <w:t>U.S. Department of Health and Human Services</w:t>
            </w:r>
          </w:p>
          <w:p w:rsidR="00205C64" w:rsidRPr="00A01B7F" w:rsidRDefault="00205C64" w:rsidP="00FA744C">
            <w:pPr>
              <w:pStyle w:val="TableText"/>
              <w:rPr>
                <w:rFonts w:ascii="Times New Roman" w:eastAsia="Lucida Sans" w:hAnsi="Times New Roman"/>
                <w:sz w:val="24"/>
                <w:szCs w:val="24"/>
              </w:rPr>
            </w:pPr>
            <w:r w:rsidRPr="00A01B7F">
              <w:rPr>
                <w:rFonts w:ascii="Times New Roman" w:eastAsia="Lucida Sans" w:hAnsi="Times New Roman"/>
                <w:sz w:val="24"/>
                <w:szCs w:val="24"/>
              </w:rPr>
              <w:t>370 L’Enfant Promenade, SW</w:t>
            </w:r>
          </w:p>
          <w:p w:rsidR="00205C64" w:rsidRPr="00A01B7F" w:rsidRDefault="00205C64" w:rsidP="00FA744C">
            <w:pPr>
              <w:pStyle w:val="TableText"/>
              <w:rPr>
                <w:rFonts w:ascii="Times New Roman" w:eastAsia="Lucida Sans" w:hAnsi="Times New Roman"/>
                <w:sz w:val="24"/>
                <w:szCs w:val="24"/>
              </w:rPr>
            </w:pPr>
            <w:r w:rsidRPr="00A01B7F">
              <w:rPr>
                <w:rFonts w:ascii="Times New Roman" w:eastAsia="Lucida Sans" w:hAnsi="Times New Roman"/>
                <w:sz w:val="24"/>
                <w:szCs w:val="24"/>
              </w:rPr>
              <w:t>Washington, DC 20477</w:t>
            </w:r>
          </w:p>
          <w:p w:rsidR="00205C64" w:rsidRPr="00A01B7F" w:rsidRDefault="00205C64" w:rsidP="00FA744C">
            <w:pPr>
              <w:pStyle w:val="TableText"/>
              <w:rPr>
                <w:rFonts w:ascii="Times New Roman" w:hAnsi="Times New Roman"/>
                <w:sz w:val="24"/>
                <w:szCs w:val="24"/>
              </w:rPr>
            </w:pPr>
            <w:r w:rsidRPr="00A01B7F">
              <w:rPr>
                <w:rFonts w:ascii="Times New Roman" w:eastAsia="Lucida Sans" w:hAnsi="Times New Roman"/>
                <w:sz w:val="24"/>
                <w:szCs w:val="24"/>
              </w:rPr>
              <w:t>(202) 260-2242</w:t>
            </w:r>
          </w:p>
        </w:tc>
      </w:tr>
      <w:tr w:rsidR="00205C64" w:rsidRPr="00A01B7F" w:rsidTr="00FA744C">
        <w:trPr>
          <w:jc w:val="center"/>
        </w:trPr>
        <w:tc>
          <w:tcPr>
            <w:tcW w:w="4788" w:type="dxa"/>
          </w:tcPr>
          <w:p w:rsidR="00205C64" w:rsidRPr="00A01B7F" w:rsidRDefault="00205C64" w:rsidP="00FA744C">
            <w:pPr>
              <w:pStyle w:val="TableText"/>
              <w:rPr>
                <w:rFonts w:ascii="Times New Roman" w:eastAsia="Lucida Sans" w:hAnsi="Times New Roman"/>
                <w:sz w:val="24"/>
                <w:szCs w:val="24"/>
              </w:rPr>
            </w:pPr>
            <w:r w:rsidRPr="00A01B7F">
              <w:rPr>
                <w:rFonts w:ascii="Times New Roman" w:eastAsia="Lucida Sans" w:hAnsi="Times New Roman"/>
                <w:sz w:val="24"/>
                <w:szCs w:val="24"/>
              </w:rPr>
              <w:t xml:space="preserve">Robert Wood </w:t>
            </w:r>
          </w:p>
          <w:p w:rsidR="00205C64" w:rsidRPr="00A01B7F" w:rsidRDefault="00205C64" w:rsidP="00FA744C">
            <w:pPr>
              <w:pStyle w:val="TableText"/>
              <w:rPr>
                <w:rFonts w:ascii="Times New Roman" w:eastAsia="Lucida Sans" w:hAnsi="Times New Roman"/>
                <w:sz w:val="24"/>
                <w:szCs w:val="24"/>
              </w:rPr>
            </w:pPr>
            <w:r w:rsidRPr="00A01B7F">
              <w:rPr>
                <w:rFonts w:ascii="Times New Roman" w:eastAsia="Lucida Sans" w:hAnsi="Times New Roman"/>
                <w:sz w:val="24"/>
                <w:szCs w:val="24"/>
              </w:rPr>
              <w:t>Mathematica Policy Research</w:t>
            </w:r>
          </w:p>
          <w:p w:rsidR="00205C64" w:rsidRPr="00A01B7F" w:rsidRDefault="00205C64" w:rsidP="00FA744C">
            <w:pPr>
              <w:pStyle w:val="TableText"/>
              <w:rPr>
                <w:rFonts w:ascii="Times New Roman" w:eastAsia="Lucida Sans" w:hAnsi="Times New Roman"/>
                <w:sz w:val="24"/>
                <w:szCs w:val="24"/>
              </w:rPr>
            </w:pPr>
            <w:r w:rsidRPr="00A01B7F">
              <w:rPr>
                <w:rFonts w:ascii="Times New Roman" w:eastAsia="Lucida Sans" w:hAnsi="Times New Roman"/>
                <w:sz w:val="24"/>
                <w:szCs w:val="24"/>
              </w:rPr>
              <w:t>P.O. Box 2393</w:t>
            </w:r>
          </w:p>
          <w:p w:rsidR="00205C64" w:rsidRPr="00A01B7F" w:rsidRDefault="00205C64" w:rsidP="00FA744C">
            <w:pPr>
              <w:pStyle w:val="TableText"/>
              <w:rPr>
                <w:rFonts w:ascii="Times New Roman" w:eastAsia="Lucida Sans" w:hAnsi="Times New Roman"/>
                <w:sz w:val="24"/>
                <w:szCs w:val="24"/>
              </w:rPr>
            </w:pPr>
            <w:r w:rsidRPr="00A01B7F">
              <w:rPr>
                <w:rFonts w:ascii="Times New Roman" w:eastAsia="Lucida Sans" w:hAnsi="Times New Roman"/>
                <w:sz w:val="24"/>
                <w:szCs w:val="24"/>
              </w:rPr>
              <w:t>Princeton, NJ 084543-2393</w:t>
            </w:r>
          </w:p>
          <w:p w:rsidR="00205C64" w:rsidRPr="00A01B7F" w:rsidRDefault="00205C64" w:rsidP="00FA744C">
            <w:pPr>
              <w:pStyle w:val="TableText"/>
              <w:rPr>
                <w:rFonts w:ascii="Times New Roman" w:eastAsia="Lucida Sans" w:hAnsi="Times New Roman"/>
                <w:sz w:val="24"/>
                <w:szCs w:val="24"/>
              </w:rPr>
            </w:pPr>
            <w:r w:rsidRPr="00A01B7F">
              <w:rPr>
                <w:rFonts w:ascii="Times New Roman" w:eastAsia="Lucida Sans" w:hAnsi="Times New Roman"/>
                <w:sz w:val="24"/>
                <w:szCs w:val="24"/>
              </w:rPr>
              <w:t>(609) 936-2776</w:t>
            </w:r>
          </w:p>
          <w:p w:rsidR="00205C64" w:rsidRPr="00A01B7F" w:rsidRDefault="00205C64" w:rsidP="00FA744C">
            <w:pPr>
              <w:pStyle w:val="TableText"/>
              <w:rPr>
                <w:rFonts w:ascii="Times New Roman" w:hAnsi="Times New Roman"/>
                <w:sz w:val="24"/>
                <w:szCs w:val="24"/>
              </w:rPr>
            </w:pPr>
          </w:p>
        </w:tc>
        <w:tc>
          <w:tcPr>
            <w:tcW w:w="4788" w:type="dxa"/>
          </w:tcPr>
          <w:p w:rsidR="00205C64" w:rsidRPr="00A01B7F" w:rsidRDefault="00205C64" w:rsidP="00FA744C">
            <w:pPr>
              <w:pStyle w:val="TableText"/>
              <w:rPr>
                <w:rFonts w:ascii="Times New Roman" w:eastAsia="Lucida Sans" w:hAnsi="Times New Roman"/>
                <w:sz w:val="24"/>
                <w:szCs w:val="24"/>
              </w:rPr>
            </w:pPr>
            <w:r w:rsidRPr="00A01B7F">
              <w:rPr>
                <w:rFonts w:ascii="Times New Roman" w:eastAsia="Lucida Sans" w:hAnsi="Times New Roman"/>
                <w:sz w:val="24"/>
                <w:szCs w:val="24"/>
              </w:rPr>
              <w:t xml:space="preserve">Susan Zief </w:t>
            </w:r>
          </w:p>
          <w:p w:rsidR="00205C64" w:rsidRPr="00A01B7F" w:rsidRDefault="00205C64" w:rsidP="00FA744C">
            <w:pPr>
              <w:pStyle w:val="TableText"/>
              <w:rPr>
                <w:rFonts w:ascii="Times New Roman" w:eastAsia="Lucida Sans" w:hAnsi="Times New Roman"/>
                <w:sz w:val="24"/>
                <w:szCs w:val="24"/>
              </w:rPr>
            </w:pPr>
            <w:r w:rsidRPr="00A01B7F">
              <w:rPr>
                <w:rFonts w:ascii="Times New Roman" w:eastAsia="Lucida Sans" w:hAnsi="Times New Roman"/>
                <w:sz w:val="24"/>
                <w:szCs w:val="24"/>
              </w:rPr>
              <w:t>Mathematica Policy Research</w:t>
            </w:r>
          </w:p>
          <w:p w:rsidR="00205C64" w:rsidRPr="00A01B7F" w:rsidRDefault="00205C64" w:rsidP="00FA744C">
            <w:pPr>
              <w:pStyle w:val="TableText"/>
              <w:rPr>
                <w:rFonts w:ascii="Times New Roman" w:eastAsia="Lucida Sans" w:hAnsi="Times New Roman"/>
                <w:sz w:val="24"/>
                <w:szCs w:val="24"/>
              </w:rPr>
            </w:pPr>
            <w:r w:rsidRPr="00A01B7F">
              <w:rPr>
                <w:rFonts w:ascii="Times New Roman" w:eastAsia="Lucida Sans" w:hAnsi="Times New Roman"/>
                <w:sz w:val="24"/>
                <w:szCs w:val="24"/>
              </w:rPr>
              <w:t>P.O. Box 2393</w:t>
            </w:r>
          </w:p>
          <w:p w:rsidR="00205C64" w:rsidRPr="00A01B7F" w:rsidRDefault="00205C64" w:rsidP="00FA744C">
            <w:pPr>
              <w:pStyle w:val="TableText"/>
              <w:rPr>
                <w:rFonts w:ascii="Times New Roman" w:eastAsia="Lucida Sans" w:hAnsi="Times New Roman"/>
                <w:sz w:val="24"/>
                <w:szCs w:val="24"/>
              </w:rPr>
            </w:pPr>
            <w:r w:rsidRPr="00A01B7F">
              <w:rPr>
                <w:rFonts w:ascii="Times New Roman" w:eastAsia="Lucida Sans" w:hAnsi="Times New Roman"/>
                <w:sz w:val="24"/>
                <w:szCs w:val="24"/>
              </w:rPr>
              <w:t>Princeton, NJ 084543-2393</w:t>
            </w:r>
          </w:p>
          <w:p w:rsidR="00205C64" w:rsidRPr="00A01B7F" w:rsidRDefault="00205C64" w:rsidP="00FA744C">
            <w:pPr>
              <w:pStyle w:val="TableText"/>
              <w:rPr>
                <w:rFonts w:ascii="Times New Roman" w:eastAsia="Lucida Sans" w:hAnsi="Times New Roman"/>
                <w:sz w:val="24"/>
                <w:szCs w:val="24"/>
              </w:rPr>
            </w:pPr>
            <w:r w:rsidRPr="00A01B7F">
              <w:rPr>
                <w:rFonts w:ascii="Times New Roman" w:eastAsia="Lucida Sans" w:hAnsi="Times New Roman"/>
                <w:sz w:val="24"/>
                <w:szCs w:val="24"/>
              </w:rPr>
              <w:t>(609) 275-2291</w:t>
            </w:r>
          </w:p>
          <w:p w:rsidR="00205C64" w:rsidRPr="00A01B7F" w:rsidRDefault="00205C64" w:rsidP="00FA744C">
            <w:pPr>
              <w:pStyle w:val="TableText"/>
              <w:rPr>
                <w:rFonts w:ascii="Times New Roman" w:hAnsi="Times New Roman"/>
                <w:sz w:val="24"/>
                <w:szCs w:val="24"/>
              </w:rPr>
            </w:pPr>
          </w:p>
        </w:tc>
      </w:tr>
      <w:tr w:rsidR="00205C64" w:rsidRPr="00A01B7F" w:rsidTr="00FA744C">
        <w:trPr>
          <w:jc w:val="center"/>
        </w:trPr>
        <w:tc>
          <w:tcPr>
            <w:tcW w:w="4788" w:type="dxa"/>
          </w:tcPr>
          <w:p w:rsidR="00205C64" w:rsidRPr="00A01B7F" w:rsidRDefault="00205C64" w:rsidP="00FA744C">
            <w:pPr>
              <w:pStyle w:val="TableText"/>
              <w:rPr>
                <w:rFonts w:ascii="Times New Roman" w:eastAsia="Lucida Sans" w:hAnsi="Times New Roman"/>
                <w:sz w:val="24"/>
                <w:szCs w:val="24"/>
              </w:rPr>
            </w:pPr>
            <w:r w:rsidRPr="00A01B7F">
              <w:rPr>
                <w:rFonts w:ascii="Times New Roman" w:eastAsia="Lucida Sans" w:hAnsi="Times New Roman"/>
                <w:sz w:val="24"/>
                <w:szCs w:val="24"/>
              </w:rPr>
              <w:t>Gretchen Kirby</w:t>
            </w:r>
          </w:p>
          <w:p w:rsidR="00205C64" w:rsidRDefault="00205C64" w:rsidP="00FA744C">
            <w:pPr>
              <w:pStyle w:val="TableText"/>
              <w:rPr>
                <w:rFonts w:ascii="Times New Roman" w:eastAsia="Lucida Sans" w:hAnsi="Times New Roman"/>
                <w:sz w:val="24"/>
                <w:szCs w:val="24"/>
              </w:rPr>
            </w:pPr>
            <w:r w:rsidRPr="00A01B7F">
              <w:rPr>
                <w:rFonts w:ascii="Times New Roman" w:eastAsia="Lucida Sans" w:hAnsi="Times New Roman"/>
                <w:sz w:val="24"/>
                <w:szCs w:val="24"/>
              </w:rPr>
              <w:t xml:space="preserve">1100 1st Street, NE, 12th Floor </w:t>
            </w:r>
            <w:r w:rsidRPr="00A01B7F">
              <w:rPr>
                <w:rFonts w:ascii="Times New Roman" w:eastAsia="Lucida Sans" w:hAnsi="Times New Roman"/>
                <w:sz w:val="24"/>
                <w:szCs w:val="24"/>
              </w:rPr>
              <w:br/>
              <w:t xml:space="preserve">Washington, DC 20002-4221 </w:t>
            </w:r>
          </w:p>
          <w:p w:rsidR="00205C64" w:rsidRPr="00A01B7F" w:rsidRDefault="00205C64" w:rsidP="00FA744C">
            <w:pPr>
              <w:pStyle w:val="TableText"/>
              <w:rPr>
                <w:rFonts w:ascii="Times New Roman" w:hAnsi="Times New Roman"/>
                <w:sz w:val="24"/>
                <w:szCs w:val="24"/>
              </w:rPr>
            </w:pPr>
            <w:r>
              <w:rPr>
                <w:rFonts w:ascii="Times New Roman" w:eastAsia="Lucida Sans" w:hAnsi="Times New Roman"/>
                <w:sz w:val="24"/>
                <w:szCs w:val="24"/>
              </w:rPr>
              <w:t xml:space="preserve">(202) </w:t>
            </w:r>
            <w:r w:rsidRPr="00A01B7F">
              <w:rPr>
                <w:rFonts w:ascii="Times New Roman" w:eastAsia="Lucida Sans" w:hAnsi="Times New Roman"/>
                <w:sz w:val="24"/>
                <w:szCs w:val="24"/>
              </w:rPr>
              <w:t>484-3470</w:t>
            </w:r>
          </w:p>
        </w:tc>
        <w:tc>
          <w:tcPr>
            <w:tcW w:w="4788" w:type="dxa"/>
          </w:tcPr>
          <w:p w:rsidR="00205C64" w:rsidRPr="00A01B7F" w:rsidRDefault="00205C64" w:rsidP="00FA744C">
            <w:pPr>
              <w:pStyle w:val="TableText"/>
              <w:rPr>
                <w:rFonts w:ascii="Times New Roman" w:hAnsi="Times New Roman"/>
                <w:sz w:val="24"/>
                <w:szCs w:val="24"/>
              </w:rPr>
            </w:pPr>
            <w:r w:rsidRPr="00A01B7F">
              <w:rPr>
                <w:rFonts w:ascii="Times New Roman" w:hAnsi="Times New Roman"/>
                <w:sz w:val="24"/>
                <w:szCs w:val="24"/>
              </w:rPr>
              <w:t>Jessica Ziegler</w:t>
            </w:r>
          </w:p>
          <w:p w:rsidR="00205C64" w:rsidRPr="00A01B7F" w:rsidRDefault="00205C64" w:rsidP="00FA744C">
            <w:pPr>
              <w:pStyle w:val="TableText"/>
              <w:rPr>
                <w:rFonts w:ascii="Times New Roman" w:eastAsia="Lucida Sans" w:hAnsi="Times New Roman"/>
                <w:sz w:val="24"/>
                <w:szCs w:val="24"/>
              </w:rPr>
            </w:pPr>
            <w:r w:rsidRPr="00A01B7F">
              <w:rPr>
                <w:rFonts w:ascii="Times New Roman" w:eastAsia="Lucida Sans" w:hAnsi="Times New Roman"/>
                <w:sz w:val="24"/>
                <w:szCs w:val="24"/>
              </w:rPr>
              <w:t>Mathematica Policy Research</w:t>
            </w:r>
          </w:p>
          <w:p w:rsidR="00205C64" w:rsidRPr="00A01B7F" w:rsidRDefault="00205C64" w:rsidP="00FA744C">
            <w:pPr>
              <w:pStyle w:val="TableText"/>
              <w:rPr>
                <w:rFonts w:ascii="Times New Roman" w:eastAsia="Lucida Sans" w:hAnsi="Times New Roman"/>
                <w:sz w:val="24"/>
                <w:szCs w:val="24"/>
              </w:rPr>
            </w:pPr>
            <w:r w:rsidRPr="00A01B7F">
              <w:rPr>
                <w:rFonts w:ascii="Times New Roman" w:eastAsia="Lucida Sans" w:hAnsi="Times New Roman"/>
                <w:sz w:val="24"/>
                <w:szCs w:val="24"/>
              </w:rPr>
              <w:t>P.O. Box 2393</w:t>
            </w:r>
          </w:p>
          <w:p w:rsidR="00205C64" w:rsidRPr="00A01B7F" w:rsidRDefault="00205C64" w:rsidP="00FA744C">
            <w:pPr>
              <w:pStyle w:val="TableText"/>
              <w:rPr>
                <w:rFonts w:ascii="Times New Roman" w:eastAsia="Lucida Sans" w:hAnsi="Times New Roman"/>
                <w:sz w:val="24"/>
                <w:szCs w:val="24"/>
              </w:rPr>
            </w:pPr>
            <w:r w:rsidRPr="00A01B7F">
              <w:rPr>
                <w:rFonts w:ascii="Times New Roman" w:eastAsia="Lucida Sans" w:hAnsi="Times New Roman"/>
                <w:sz w:val="24"/>
                <w:szCs w:val="24"/>
              </w:rPr>
              <w:t>Princeton, NJ 084543-2393</w:t>
            </w:r>
          </w:p>
          <w:p w:rsidR="00205C64" w:rsidRPr="00A01B7F" w:rsidRDefault="00205C64" w:rsidP="00205C64">
            <w:pPr>
              <w:pStyle w:val="TableText"/>
              <w:rPr>
                <w:rFonts w:ascii="Times New Roman" w:hAnsi="Times New Roman"/>
                <w:sz w:val="24"/>
                <w:szCs w:val="24"/>
              </w:rPr>
            </w:pPr>
            <w:r w:rsidRPr="00A01B7F">
              <w:rPr>
                <w:rFonts w:ascii="Times New Roman" w:eastAsia="Lucida Sans" w:hAnsi="Times New Roman"/>
                <w:sz w:val="24"/>
                <w:szCs w:val="24"/>
              </w:rPr>
              <w:t>(609) 275-2291</w:t>
            </w:r>
          </w:p>
        </w:tc>
      </w:tr>
    </w:tbl>
    <w:p w:rsidR="00180FFC" w:rsidRDefault="00180FFC" w:rsidP="00205C64">
      <w:pPr>
        <w:pStyle w:val="NormalSS"/>
        <w:ind w:firstLine="0"/>
        <w:sectPr w:rsidR="00180FFC" w:rsidSect="004A4AE7">
          <w:footerReference w:type="default" r:id="rId16"/>
          <w:pgSz w:w="12240" w:h="15840"/>
          <w:pgMar w:top="1440" w:right="1440" w:bottom="1440" w:left="1440" w:header="720" w:footer="720" w:gutter="0"/>
          <w:pgNumType w:start="1"/>
          <w:cols w:space="720"/>
          <w:docGrid w:linePitch="360"/>
        </w:sectPr>
      </w:pPr>
    </w:p>
    <w:p w:rsidR="00180FFC" w:rsidRDefault="00180FFC" w:rsidP="00180FFC">
      <w:pPr>
        <w:pStyle w:val="Heading1"/>
      </w:pPr>
      <w:bookmarkStart w:id="15" w:name="_Toc392578971"/>
      <w:r>
        <w:lastRenderedPageBreak/>
        <w:t>References</w:t>
      </w:r>
      <w:bookmarkEnd w:id="15"/>
    </w:p>
    <w:p w:rsidR="00180FFC" w:rsidRDefault="00180FFC" w:rsidP="00180FFC">
      <w:pPr>
        <w:pStyle w:val="NormalSS"/>
        <w:ind w:firstLine="0"/>
      </w:pPr>
      <w:r>
        <w:t xml:space="preserve">National Implementation Research Network (NIRN). </w:t>
      </w:r>
      <w:proofErr w:type="gramStart"/>
      <w:r>
        <w:t>FPG Child Development Institute, University of North Carolina, Chapel Hill.</w:t>
      </w:r>
      <w:proofErr w:type="gramEnd"/>
      <w:r>
        <w:t xml:space="preserve"> </w:t>
      </w:r>
      <w:proofErr w:type="gramStart"/>
      <w:r w:rsidRPr="0065502A">
        <w:rPr>
          <w:i/>
        </w:rPr>
        <w:t>Research and Resources</w:t>
      </w:r>
      <w:r>
        <w:t>.</w:t>
      </w:r>
      <w:proofErr w:type="gramEnd"/>
      <w:r>
        <w:t xml:space="preserve"> </w:t>
      </w:r>
      <w:proofErr w:type="gramStart"/>
      <w:r>
        <w:t xml:space="preserve">Retrieved from </w:t>
      </w:r>
      <w:hyperlink r:id="rId17" w:history="1">
        <w:r w:rsidRPr="00CF4E51">
          <w:rPr>
            <w:rStyle w:val="Hyperlink"/>
          </w:rPr>
          <w:t>http://nirn.fpg.unc.edu/resource-search</w:t>
        </w:r>
      </w:hyperlink>
      <w:r>
        <w:t xml:space="preserve"> </w:t>
      </w:r>
      <w:r w:rsidRPr="0065502A">
        <w:t>on 9 June 2014</w:t>
      </w:r>
      <w:r>
        <w:t>.</w:t>
      </w:r>
      <w:proofErr w:type="gramEnd"/>
      <w:r>
        <w:t xml:space="preserve"> </w:t>
      </w:r>
    </w:p>
    <w:p w:rsidR="00180FFC" w:rsidRDefault="00180FFC" w:rsidP="00180FFC">
      <w:pPr>
        <w:pStyle w:val="References"/>
        <w:ind w:left="0" w:firstLine="0"/>
      </w:pPr>
      <w:r>
        <w:t>Patton, M.Q. (2002).  Qualitative research and evaluation methods: Third edition.  Thousand Oaks, CA: Sage Publications.</w:t>
      </w:r>
    </w:p>
    <w:p w:rsidR="00180FFC" w:rsidRDefault="00180FFC" w:rsidP="00180FFC">
      <w:pPr>
        <w:pStyle w:val="NormalSS"/>
        <w:ind w:firstLine="0"/>
      </w:pPr>
      <w:proofErr w:type="gramStart"/>
      <w:r>
        <w:t>Ritchie, J., and Spencer, L. (2002).</w:t>
      </w:r>
      <w:proofErr w:type="gramEnd"/>
      <w:r>
        <w:t xml:space="preserve">  </w:t>
      </w:r>
      <w:proofErr w:type="gramStart"/>
      <w:r>
        <w:t>Qualitative data analysis for applied policy research.</w:t>
      </w:r>
      <w:proofErr w:type="gramEnd"/>
      <w:r>
        <w:t xml:space="preserve"> </w:t>
      </w:r>
      <w:proofErr w:type="gramStart"/>
      <w:r>
        <w:t xml:space="preserve">In </w:t>
      </w:r>
      <w:proofErr w:type="spellStart"/>
      <w:r>
        <w:t>Huberman</w:t>
      </w:r>
      <w:proofErr w:type="spellEnd"/>
      <w:r>
        <w:t>, A.M., and Miles, M.B.</w:t>
      </w:r>
      <w:proofErr w:type="gramEnd"/>
      <w:r>
        <w:t xml:space="preserve"> </w:t>
      </w:r>
      <w:proofErr w:type="gramStart"/>
      <w:r>
        <w:t>The qualitative researcher’s companion.</w:t>
      </w:r>
      <w:proofErr w:type="gramEnd"/>
      <w:r>
        <w:t xml:space="preserve">  Thousand Oaks, CA: Sage Publications.</w:t>
      </w:r>
    </w:p>
    <w:p w:rsidR="00180FFC" w:rsidRPr="008640F7" w:rsidRDefault="00180FFC" w:rsidP="00180FFC">
      <w:pPr>
        <w:pStyle w:val="NormalSS"/>
        <w:ind w:firstLine="0"/>
        <w:rPr>
          <w:rStyle w:val="FootnoteTextChar"/>
          <w:sz w:val="24"/>
        </w:rPr>
      </w:pPr>
      <w:proofErr w:type="gramStart"/>
      <w:r w:rsidRPr="008640F7">
        <w:rPr>
          <w:rStyle w:val="FootnoteTextChar"/>
          <w:sz w:val="24"/>
        </w:rPr>
        <w:t>Zief, Susan, Rachel Shapiro, and Debra Strong.</w:t>
      </w:r>
      <w:proofErr w:type="gramEnd"/>
      <w:r w:rsidRPr="008640F7">
        <w:rPr>
          <w:rStyle w:val="FootnoteTextChar"/>
          <w:sz w:val="24"/>
        </w:rPr>
        <w:t xml:space="preserve"> “The Personal Responsibility Education Program: Launching a Nationwide Adolescent Pregnancy Prevention Effort. </w:t>
      </w:r>
      <w:proofErr w:type="gramStart"/>
      <w:r w:rsidRPr="008640F7">
        <w:rPr>
          <w:rStyle w:val="FootnoteTextChar"/>
          <w:sz w:val="24"/>
        </w:rPr>
        <w:t>Final Report.”</w:t>
      </w:r>
      <w:proofErr w:type="gramEnd"/>
      <w:r w:rsidRPr="008640F7">
        <w:rPr>
          <w:rStyle w:val="FootnoteTextChar"/>
          <w:sz w:val="24"/>
        </w:rPr>
        <w:t xml:space="preserve"> Princeton, NJ: Mathematica Policy Research, October 2013.</w:t>
      </w:r>
    </w:p>
    <w:p w:rsidR="00205C64" w:rsidRPr="00205C64" w:rsidRDefault="00205C64" w:rsidP="00205C64">
      <w:pPr>
        <w:pStyle w:val="NormalSS"/>
        <w:ind w:firstLine="0"/>
      </w:pPr>
    </w:p>
    <w:sectPr w:rsidR="00205C64" w:rsidRPr="00205C64" w:rsidSect="00E409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F8E" w:rsidRDefault="00C87F8E" w:rsidP="002E3E35">
      <w:pPr>
        <w:spacing w:line="240" w:lineRule="auto"/>
      </w:pPr>
      <w:r>
        <w:separator/>
      </w:r>
    </w:p>
  </w:endnote>
  <w:endnote w:type="continuationSeparator" w:id="0">
    <w:p w:rsidR="00C87F8E" w:rsidRDefault="00C87F8E"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00000003" w:usb1="00000000" w:usb2="00000000" w:usb3="00000000" w:csb0="00000001" w:csb1="00000000"/>
  </w:font>
  <w:font w:name="Times New Roman Italic">
    <w:panose1 w:val="02020503050405090304"/>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700" w:rsidRPr="001A5310" w:rsidRDefault="00702700" w:rsidP="00702700">
    <w:pPr>
      <w:pStyle w:val="disclosure"/>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700" w:rsidRPr="00A12B64" w:rsidRDefault="00702700"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702700" w:rsidRDefault="00702700" w:rsidP="00455D47">
    <w:pPr>
      <w:pStyle w:val="Footer"/>
      <w:pBdr>
        <w:top w:val="single" w:sz="2" w:space="1" w:color="auto"/>
        <w:bottom w:val="none" w:sz="0" w:space="0" w:color="auto"/>
      </w:pBdr>
      <w:spacing w:line="192" w:lineRule="auto"/>
      <w:rPr>
        <w:rStyle w:val="PageNumber"/>
      </w:rPr>
    </w:pPr>
  </w:p>
  <w:p w:rsidR="00702700" w:rsidRPr="00964AB7" w:rsidRDefault="00702700" w:rsidP="00370BC5">
    <w:pPr>
      <w:pStyle w:val="Footer"/>
      <w:pBdr>
        <w:top w:val="single" w:sz="2" w:space="1" w:color="auto"/>
        <w:bottom w:val="none" w:sz="0" w:space="0" w:color="auto"/>
      </w:pBdr>
      <w:rPr>
        <w:rStyle w:val="PageNumber"/>
      </w:rPr>
    </w:pPr>
    <w:bookmarkStart w:id="4" w:name="Draft"/>
    <w:bookmarkEnd w:id="4"/>
    <w:r w:rsidRPr="00964AB7">
      <w:rPr>
        <w:rStyle w:val="PageNumber"/>
      </w:rPr>
      <w:tab/>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700" w:rsidRPr="00A12B64" w:rsidRDefault="00702700"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702700" w:rsidRDefault="00702700" w:rsidP="00455D47">
    <w:pPr>
      <w:pStyle w:val="Footer"/>
      <w:pBdr>
        <w:top w:val="single" w:sz="2" w:space="1" w:color="auto"/>
        <w:bottom w:val="none" w:sz="0" w:space="0" w:color="auto"/>
      </w:pBdr>
      <w:spacing w:line="192" w:lineRule="auto"/>
      <w:rPr>
        <w:rStyle w:val="PageNumber"/>
      </w:rPr>
    </w:pPr>
  </w:p>
  <w:p w:rsidR="00702700" w:rsidRPr="00964AB7" w:rsidRDefault="00702700" w:rsidP="00370BC5">
    <w:pPr>
      <w:pStyle w:val="Footer"/>
      <w:pBdr>
        <w:top w:val="single" w:sz="2" w:space="1" w:color="auto"/>
        <w:bottom w:val="none" w:sz="0" w:space="0" w:color="auto"/>
      </w:pBdr>
      <w:rPr>
        <w:rStyle w:val="PageNumber"/>
      </w:rPr>
    </w:pPr>
    <w:r w:rsidRPr="00964AB7">
      <w:rPr>
        <w:rStyle w:val="PageNumber"/>
      </w:rPr>
      <w:tab/>
    </w:r>
    <w:r w:rsidR="00930D3C" w:rsidRPr="00964AB7">
      <w:rPr>
        <w:rStyle w:val="PageNumber"/>
      </w:rPr>
      <w:fldChar w:fldCharType="begin"/>
    </w:r>
    <w:r w:rsidRPr="00964AB7">
      <w:rPr>
        <w:rStyle w:val="PageNumber"/>
      </w:rPr>
      <w:instrText xml:space="preserve"> PAGE </w:instrText>
    </w:r>
    <w:r w:rsidR="00930D3C" w:rsidRPr="00964AB7">
      <w:rPr>
        <w:rStyle w:val="PageNumber"/>
      </w:rPr>
      <w:fldChar w:fldCharType="separate"/>
    </w:r>
    <w:r w:rsidR="00652A27">
      <w:rPr>
        <w:rStyle w:val="PageNumber"/>
        <w:noProof/>
      </w:rPr>
      <w:t>6</w:t>
    </w:r>
    <w:r w:rsidR="00930D3C"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F8E" w:rsidRDefault="00C87F8E" w:rsidP="002E3E35">
      <w:pPr>
        <w:spacing w:line="240" w:lineRule="auto"/>
      </w:pPr>
      <w:r>
        <w:separator/>
      </w:r>
    </w:p>
  </w:footnote>
  <w:footnote w:type="continuationSeparator" w:id="0">
    <w:p w:rsidR="00C87F8E" w:rsidRDefault="00C87F8E" w:rsidP="002E3E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700" w:rsidRDefault="00E07A80">
    <w:pPr>
      <w:pStyle w:val="Header"/>
    </w:pPr>
    <w:r>
      <w:rPr>
        <w:noProof/>
      </w:rPr>
      <mc:AlternateContent>
        <mc:Choice Requires="wps">
          <w:drawing>
            <wp:anchor distT="0" distB="0" distL="114300" distR="114300" simplePos="0" relativeHeight="251660288" behindDoc="0" locked="0" layoutInCell="1" allowOverlap="1" wp14:anchorId="4B06595B" wp14:editId="4D9EC502">
              <wp:simplePos x="0" y="0"/>
              <wp:positionH relativeFrom="page">
                <wp:posOffset>91440</wp:posOffset>
              </wp:positionH>
              <wp:positionV relativeFrom="paragraph">
                <wp:posOffset>-456565</wp:posOffset>
              </wp:positionV>
              <wp:extent cx="701040" cy="724281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700" w:rsidRDefault="00702700" w:rsidP="00702700">
                          <w:pPr>
                            <w:pStyle w:val="Footer"/>
                            <w:spacing w:before="160"/>
                            <w:jc w:val="center"/>
                          </w:pPr>
                          <w:r>
                            <w:rPr>
                              <w:b/>
                            </w:rPr>
                            <w:t>B-</w:t>
                          </w:r>
                          <w:r w:rsidR="00FD7727">
                            <w:fldChar w:fldCharType="begin"/>
                          </w:r>
                          <w:r w:rsidR="00FD7727">
                            <w:instrText xml:space="preserve"> PAGE  \* MERGEFORMAT </w:instrText>
                          </w:r>
                          <w:r w:rsidR="00FD7727">
                            <w:fldChar w:fldCharType="separate"/>
                          </w:r>
                          <w:r>
                            <w:rPr>
                              <w:noProof/>
                            </w:rPr>
                            <w:t>2</w:t>
                          </w:r>
                          <w:r w:rsidR="00FD7727">
                            <w:rPr>
                              <w:noProof/>
                            </w:rPr>
                            <w:fldChar w:fldCharType="end"/>
                          </w:r>
                        </w:p>
                        <w:p w:rsidR="00702700" w:rsidRPr="00E844EF" w:rsidRDefault="00702700" w:rsidP="00702700">
                          <w:pPr>
                            <w:pStyle w:val="Footer"/>
                            <w:jc w:val="center"/>
                            <w:rPr>
                              <w:b/>
                              <w:sz w:val="17"/>
                            </w:rPr>
                          </w:pPr>
                          <w:r w:rsidRPr="00E844EF">
                            <w:rPr>
                              <w:b/>
                              <w:sz w:val="17"/>
                            </w:rPr>
                            <w:t xml:space="preserve">Use the </w:t>
                          </w:r>
                          <w:proofErr w:type="spellStart"/>
                          <w:r w:rsidRPr="00E844EF">
                            <w:rPr>
                              <w:b/>
                              <w:sz w:val="17"/>
                            </w:rPr>
                            <w:t>Hpropfed</w:t>
                          </w:r>
                          <w:proofErr w:type="spellEnd"/>
                          <w:r w:rsidRPr="00E844EF">
                            <w:rPr>
                              <w:b/>
                              <w:sz w:val="17"/>
                            </w:rPr>
                            <w:t xml:space="preserve"> or </w:t>
                          </w:r>
                          <w:proofErr w:type="spellStart"/>
                          <w:r w:rsidRPr="00E844EF">
                            <w:rPr>
                              <w:b/>
                              <w:sz w:val="17"/>
                            </w:rPr>
                            <w:t>Hproppri</w:t>
                          </w:r>
                          <w:proofErr w:type="spellEnd"/>
                          <w:r w:rsidRPr="00E844EF">
                            <w:rPr>
                              <w:b/>
                              <w:sz w:val="17"/>
                            </w:rPr>
                            <w:t xml:space="preserve"> macro to insert the appropriate footer.</w:t>
                          </w:r>
                        </w:p>
                        <w:p w:rsidR="00702700" w:rsidRPr="001301BA" w:rsidRDefault="00702700" w:rsidP="00702700">
                          <w:pPr>
                            <w:tabs>
                              <w:tab w:val="left" w:pos="1080"/>
                              <w:tab w:val="center" w:pos="5846"/>
                              <w:tab w:val="right" w:pos="10512"/>
                            </w:tabs>
                            <w:spacing w:before="240" w:line="240" w:lineRule="auto"/>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2pt;margin-top:-35.95pt;width:55.2pt;height:570.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" filled="f" stroked="f">
              <v:textbox style="layout-flow:vertical">
                <w:txbxContent>
                  <w:p w:rsidR="00702700" w:rsidRDefault="00702700" w:rsidP="00702700">
                    <w:pPr>
                      <w:pStyle w:val="Footer"/>
                      <w:spacing w:before="160"/>
                      <w:jc w:val="center"/>
                    </w:pPr>
                    <w:r>
                      <w:rPr>
                        <w:b/>
                      </w:rPr>
                      <w:t>B-</w:t>
                    </w:r>
                    <w:r w:rsidR="00FD7727">
                      <w:fldChar w:fldCharType="begin"/>
                    </w:r>
                    <w:r w:rsidR="00FD7727">
                      <w:instrText xml:space="preserve"> PAGE  \* MERGEFORMAT </w:instrText>
                    </w:r>
                    <w:r w:rsidR="00FD7727">
                      <w:fldChar w:fldCharType="separate"/>
                    </w:r>
                    <w:r>
                      <w:rPr>
                        <w:noProof/>
                      </w:rPr>
                      <w:t>2</w:t>
                    </w:r>
                    <w:r w:rsidR="00FD7727">
                      <w:rPr>
                        <w:noProof/>
                      </w:rPr>
                      <w:fldChar w:fldCharType="end"/>
                    </w:r>
                  </w:p>
                  <w:p w:rsidR="00702700" w:rsidRPr="00E844EF" w:rsidRDefault="00702700" w:rsidP="00702700">
                    <w:pPr>
                      <w:pStyle w:val="Footer"/>
                      <w:jc w:val="center"/>
                      <w:rPr>
                        <w:b/>
                        <w:sz w:val="17"/>
                      </w:rPr>
                    </w:pPr>
                    <w:r w:rsidRPr="00E844EF">
                      <w:rPr>
                        <w:b/>
                        <w:sz w:val="17"/>
                      </w:rPr>
                      <w:t xml:space="preserve">Use the </w:t>
                    </w:r>
                    <w:proofErr w:type="spellStart"/>
                    <w:r w:rsidRPr="00E844EF">
                      <w:rPr>
                        <w:b/>
                        <w:sz w:val="17"/>
                      </w:rPr>
                      <w:t>Hpropfed</w:t>
                    </w:r>
                    <w:proofErr w:type="spellEnd"/>
                    <w:r w:rsidRPr="00E844EF">
                      <w:rPr>
                        <w:b/>
                        <w:sz w:val="17"/>
                      </w:rPr>
                      <w:t xml:space="preserve"> or </w:t>
                    </w:r>
                    <w:proofErr w:type="spellStart"/>
                    <w:r w:rsidRPr="00E844EF">
                      <w:rPr>
                        <w:b/>
                        <w:sz w:val="17"/>
                      </w:rPr>
                      <w:t>Hproppri</w:t>
                    </w:r>
                    <w:proofErr w:type="spellEnd"/>
                    <w:r w:rsidRPr="00E844EF">
                      <w:rPr>
                        <w:b/>
                        <w:sz w:val="17"/>
                      </w:rPr>
                      <w:t xml:space="preserve"> macro to insert the appropriate footer.</w:t>
                    </w:r>
                  </w:p>
                  <w:p w:rsidR="00702700" w:rsidRPr="001301BA" w:rsidRDefault="00702700" w:rsidP="00702700">
                    <w:pPr>
                      <w:tabs>
                        <w:tab w:val="left" w:pos="1080"/>
                        <w:tab w:val="center" w:pos="5846"/>
                        <w:tab w:val="right" w:pos="10512"/>
                      </w:tabs>
                      <w:spacing w:before="240" w:line="240" w:lineRule="auto"/>
                    </w:pPr>
                  </w:p>
                </w:txbxContent>
              </v:textbox>
              <w10:wrap type="square"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700" w:rsidRPr="009E2CC3" w:rsidRDefault="00702700" w:rsidP="009E2CC3">
    <w:pPr>
      <w:pStyle w:val="Header"/>
      <w:rPr>
        <w:szCs w:val="14"/>
      </w:rPr>
    </w:pPr>
    <w:r>
      <w:t>PREP multi-component EVALUATION</w:t>
    </w:r>
    <w:r w:rsidR="00E51D4A">
      <w:t xml:space="preserve"> (0970-0398)</w:t>
    </w:r>
    <w:r>
      <w:tab/>
      <w:t>omb supporting statement: part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A65EE6"/>
    <w:multiLevelType w:val="hybridMultilevel"/>
    <w:tmpl w:val="B09C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E9D096FC"/>
    <w:lvl w:ilvl="0">
      <w:start w:val="1"/>
      <w:numFmt w:val="decimal"/>
      <w:pStyle w:val="NumberedBullet"/>
      <w:lvlText w:val="%1."/>
      <w:lvlJc w:val="left"/>
      <w:pPr>
        <w:tabs>
          <w:tab w:val="num" w:pos="792"/>
        </w:tabs>
        <w:ind w:left="792" w:hanging="360"/>
      </w:pPr>
      <w:rPr>
        <w:rFonts w:hint="default"/>
        <w:b w:val="0"/>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14009E"/>
    <w:multiLevelType w:val="hybridMultilevel"/>
    <w:tmpl w:val="D424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5DE677FC"/>
    <w:multiLevelType w:val="hybridMultilevel"/>
    <w:tmpl w:val="977CE9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5E2F7A91"/>
    <w:multiLevelType w:val="hybridMultilevel"/>
    <w:tmpl w:val="8E2A48EE"/>
    <w:lvl w:ilvl="0" w:tplc="40C29E5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080236"/>
    <w:multiLevelType w:val="hybridMultilevel"/>
    <w:tmpl w:val="420E603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14"/>
  </w:num>
  <w:num w:numId="3">
    <w:abstractNumId w:val="27"/>
  </w:num>
  <w:num w:numId="4">
    <w:abstractNumId w:val="7"/>
  </w:num>
  <w:num w:numId="5">
    <w:abstractNumId w:val="25"/>
  </w:num>
  <w:num w:numId="6">
    <w:abstractNumId w:val="28"/>
  </w:num>
  <w:num w:numId="7">
    <w:abstractNumId w:val="21"/>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5"/>
  </w:num>
  <w:num w:numId="21">
    <w:abstractNumId w:val="17"/>
  </w:num>
  <w:num w:numId="22">
    <w:abstractNumId w:val="2"/>
  </w:num>
  <w:num w:numId="23">
    <w:abstractNumId w:val="11"/>
  </w:num>
  <w:num w:numId="24">
    <w:abstractNumId w:val="23"/>
  </w:num>
  <w:num w:numId="25">
    <w:abstractNumId w:val="6"/>
  </w:num>
  <w:num w:numId="26">
    <w:abstractNumId w:val="1"/>
  </w:num>
  <w:num w:numId="27">
    <w:abstractNumId w:val="8"/>
  </w:num>
  <w:num w:numId="28">
    <w:abstractNumId w:val="12"/>
  </w:num>
  <w:num w:numId="29">
    <w:abstractNumId w:val="22"/>
  </w:num>
  <w:num w:numId="30">
    <w:abstractNumId w:val="18"/>
  </w:num>
  <w:num w:numId="31">
    <w:abstractNumId w:val="3"/>
  </w:num>
  <w:num w:numId="32">
    <w:abstractNumId w:val="13"/>
    <w:lvlOverride w:ilvl="0">
      <w:startOverride w:val="1"/>
    </w:lvlOverride>
  </w:num>
  <w:num w:numId="33">
    <w:abstractNumId w:val="9"/>
  </w:num>
  <w:num w:numId="34">
    <w:abstractNumId w:val="26"/>
  </w:num>
  <w:num w:numId="35">
    <w:abstractNumId w:val="20"/>
  </w:num>
  <w:num w:numId="36">
    <w:abstractNumId w:val="19"/>
  </w:num>
  <w:num w:numId="37">
    <w:abstractNumId w:val="4"/>
  </w:num>
  <w:num w:numId="38">
    <w:abstractNumId w:val="24"/>
  </w:num>
  <w:num w:numId="39">
    <w:abstractNumId w:val="24"/>
  </w:num>
  <w:num w:numId="40">
    <w:abstractNumId w:val="24"/>
  </w:num>
  <w:num w:numId="41">
    <w:abstractNumId w:val="24"/>
  </w:num>
  <w:num w:numId="42">
    <w:abstractNumId w:val="16"/>
  </w:num>
  <w:num w:numId="43">
    <w:abstractNumId w:val="24"/>
  </w:num>
  <w:num w:numId="44">
    <w:abstractNumId w:val="24"/>
  </w:num>
  <w:num w:numId="45">
    <w:abstractNumId w:val="13"/>
  </w:num>
  <w:num w:numId="46">
    <w:abstractNumId w:val="13"/>
  </w:num>
  <w:num w:numId="47">
    <w:abstractNumId w:val="13"/>
    <w:lvlOverride w:ilvl="0">
      <w:startOverride w:val="1"/>
    </w:lvlOverride>
  </w:num>
  <w:num w:numId="48">
    <w:abstractNumId w:val="13"/>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C3"/>
    <w:rsid w:val="000030B1"/>
    <w:rsid w:val="00010CEE"/>
    <w:rsid w:val="0001587F"/>
    <w:rsid w:val="0002322B"/>
    <w:rsid w:val="0002754E"/>
    <w:rsid w:val="0003063A"/>
    <w:rsid w:val="0003265D"/>
    <w:rsid w:val="00034667"/>
    <w:rsid w:val="00040B2C"/>
    <w:rsid w:val="000423BE"/>
    <w:rsid w:val="00042419"/>
    <w:rsid w:val="00042FA8"/>
    <w:rsid w:val="00043B27"/>
    <w:rsid w:val="00047BDD"/>
    <w:rsid w:val="00056BC1"/>
    <w:rsid w:val="000575D5"/>
    <w:rsid w:val="000578BB"/>
    <w:rsid w:val="00060579"/>
    <w:rsid w:val="000633AA"/>
    <w:rsid w:val="0007041A"/>
    <w:rsid w:val="000855BD"/>
    <w:rsid w:val="00086066"/>
    <w:rsid w:val="00090AF1"/>
    <w:rsid w:val="00090D14"/>
    <w:rsid w:val="0009143A"/>
    <w:rsid w:val="00097E8B"/>
    <w:rsid w:val="000A2330"/>
    <w:rsid w:val="000A5A8D"/>
    <w:rsid w:val="000A6591"/>
    <w:rsid w:val="000B555A"/>
    <w:rsid w:val="000B764C"/>
    <w:rsid w:val="000B77F1"/>
    <w:rsid w:val="000B782D"/>
    <w:rsid w:val="000C2E3B"/>
    <w:rsid w:val="000C413E"/>
    <w:rsid w:val="000C7D4D"/>
    <w:rsid w:val="000D5B34"/>
    <w:rsid w:val="000D6D88"/>
    <w:rsid w:val="000D751A"/>
    <w:rsid w:val="000E0694"/>
    <w:rsid w:val="000E1C2B"/>
    <w:rsid w:val="000E2169"/>
    <w:rsid w:val="000F677B"/>
    <w:rsid w:val="00103954"/>
    <w:rsid w:val="0011126A"/>
    <w:rsid w:val="001119F8"/>
    <w:rsid w:val="001218E4"/>
    <w:rsid w:val="00127CBB"/>
    <w:rsid w:val="00130C03"/>
    <w:rsid w:val="0013184F"/>
    <w:rsid w:val="00131F00"/>
    <w:rsid w:val="001328F8"/>
    <w:rsid w:val="00137ABF"/>
    <w:rsid w:val="00143C11"/>
    <w:rsid w:val="00147515"/>
    <w:rsid w:val="00147A74"/>
    <w:rsid w:val="00152292"/>
    <w:rsid w:val="001621CB"/>
    <w:rsid w:val="00163590"/>
    <w:rsid w:val="001649D5"/>
    <w:rsid w:val="00164BC2"/>
    <w:rsid w:val="001739F1"/>
    <w:rsid w:val="00180FFC"/>
    <w:rsid w:val="00181AC8"/>
    <w:rsid w:val="00184421"/>
    <w:rsid w:val="001921A4"/>
    <w:rsid w:val="00194A0E"/>
    <w:rsid w:val="001969F1"/>
    <w:rsid w:val="00196E5A"/>
    <w:rsid w:val="00197503"/>
    <w:rsid w:val="001B107D"/>
    <w:rsid w:val="001C6CDC"/>
    <w:rsid w:val="001C7FBE"/>
    <w:rsid w:val="001D3544"/>
    <w:rsid w:val="001D364B"/>
    <w:rsid w:val="001D39AA"/>
    <w:rsid w:val="001D39EC"/>
    <w:rsid w:val="001D7B65"/>
    <w:rsid w:val="001E6E5A"/>
    <w:rsid w:val="00201E7E"/>
    <w:rsid w:val="00202CED"/>
    <w:rsid w:val="00204AB9"/>
    <w:rsid w:val="00204B23"/>
    <w:rsid w:val="00205C64"/>
    <w:rsid w:val="00214E0B"/>
    <w:rsid w:val="00215C5A"/>
    <w:rsid w:val="00215E4D"/>
    <w:rsid w:val="00217FA0"/>
    <w:rsid w:val="00225954"/>
    <w:rsid w:val="0022714B"/>
    <w:rsid w:val="002272CB"/>
    <w:rsid w:val="00231607"/>
    <w:rsid w:val="002515A1"/>
    <w:rsid w:val="00254C89"/>
    <w:rsid w:val="00256D04"/>
    <w:rsid w:val="0026025C"/>
    <w:rsid w:val="0026713B"/>
    <w:rsid w:val="00271C83"/>
    <w:rsid w:val="0027245E"/>
    <w:rsid w:val="002733A4"/>
    <w:rsid w:val="00283304"/>
    <w:rsid w:val="0028360E"/>
    <w:rsid w:val="0029042C"/>
    <w:rsid w:val="00292A7F"/>
    <w:rsid w:val="0029659A"/>
    <w:rsid w:val="00297266"/>
    <w:rsid w:val="002A00E4"/>
    <w:rsid w:val="002A06FE"/>
    <w:rsid w:val="002A2808"/>
    <w:rsid w:val="002A4F27"/>
    <w:rsid w:val="002A6552"/>
    <w:rsid w:val="002B71CD"/>
    <w:rsid w:val="002B76AB"/>
    <w:rsid w:val="002B7C37"/>
    <w:rsid w:val="002C302F"/>
    <w:rsid w:val="002C3CA5"/>
    <w:rsid w:val="002D262A"/>
    <w:rsid w:val="002D7799"/>
    <w:rsid w:val="002E06F1"/>
    <w:rsid w:val="002E3E35"/>
    <w:rsid w:val="002F21C7"/>
    <w:rsid w:val="002F6E35"/>
    <w:rsid w:val="00300960"/>
    <w:rsid w:val="0030242C"/>
    <w:rsid w:val="00302890"/>
    <w:rsid w:val="00310CBE"/>
    <w:rsid w:val="00315DEC"/>
    <w:rsid w:val="0031740A"/>
    <w:rsid w:val="00317FDB"/>
    <w:rsid w:val="00326841"/>
    <w:rsid w:val="003308C3"/>
    <w:rsid w:val="00330B02"/>
    <w:rsid w:val="00331ADC"/>
    <w:rsid w:val="003336EB"/>
    <w:rsid w:val="00341682"/>
    <w:rsid w:val="00343450"/>
    <w:rsid w:val="00345556"/>
    <w:rsid w:val="00346E5F"/>
    <w:rsid w:val="00357B5C"/>
    <w:rsid w:val="00360D76"/>
    <w:rsid w:val="00363410"/>
    <w:rsid w:val="00363A19"/>
    <w:rsid w:val="003656C4"/>
    <w:rsid w:val="00366F93"/>
    <w:rsid w:val="00370490"/>
    <w:rsid w:val="00370BC5"/>
    <w:rsid w:val="00370D5B"/>
    <w:rsid w:val="00371052"/>
    <w:rsid w:val="00384A00"/>
    <w:rsid w:val="003914BD"/>
    <w:rsid w:val="003921CA"/>
    <w:rsid w:val="003969F2"/>
    <w:rsid w:val="00396FD7"/>
    <w:rsid w:val="003A501E"/>
    <w:rsid w:val="003A63C1"/>
    <w:rsid w:val="003B1893"/>
    <w:rsid w:val="003B20A5"/>
    <w:rsid w:val="003C3464"/>
    <w:rsid w:val="003C3D79"/>
    <w:rsid w:val="003D051A"/>
    <w:rsid w:val="003E1520"/>
    <w:rsid w:val="003E7979"/>
    <w:rsid w:val="003F670C"/>
    <w:rsid w:val="003F7D6D"/>
    <w:rsid w:val="00410616"/>
    <w:rsid w:val="00430A83"/>
    <w:rsid w:val="00431084"/>
    <w:rsid w:val="004328B1"/>
    <w:rsid w:val="00436BEA"/>
    <w:rsid w:val="00437868"/>
    <w:rsid w:val="00437CCC"/>
    <w:rsid w:val="004406E3"/>
    <w:rsid w:val="00442F15"/>
    <w:rsid w:val="0044335E"/>
    <w:rsid w:val="00451525"/>
    <w:rsid w:val="004518E6"/>
    <w:rsid w:val="004533DB"/>
    <w:rsid w:val="00455D47"/>
    <w:rsid w:val="004620FF"/>
    <w:rsid w:val="00462212"/>
    <w:rsid w:val="004655C1"/>
    <w:rsid w:val="00465789"/>
    <w:rsid w:val="004662C5"/>
    <w:rsid w:val="00471EC5"/>
    <w:rsid w:val="00480779"/>
    <w:rsid w:val="004867C2"/>
    <w:rsid w:val="0049195D"/>
    <w:rsid w:val="00491AB9"/>
    <w:rsid w:val="0049278D"/>
    <w:rsid w:val="004934BE"/>
    <w:rsid w:val="00495DE3"/>
    <w:rsid w:val="004A3B53"/>
    <w:rsid w:val="004A4935"/>
    <w:rsid w:val="004A4AE7"/>
    <w:rsid w:val="004B1811"/>
    <w:rsid w:val="004B2754"/>
    <w:rsid w:val="004B47D3"/>
    <w:rsid w:val="004C67B1"/>
    <w:rsid w:val="004C7F42"/>
    <w:rsid w:val="004D2C35"/>
    <w:rsid w:val="004D6B21"/>
    <w:rsid w:val="004D6B97"/>
    <w:rsid w:val="004E74D1"/>
    <w:rsid w:val="004F08B9"/>
    <w:rsid w:val="00501893"/>
    <w:rsid w:val="00504A6F"/>
    <w:rsid w:val="00506F79"/>
    <w:rsid w:val="00512694"/>
    <w:rsid w:val="00523EB4"/>
    <w:rsid w:val="005257EC"/>
    <w:rsid w:val="00526576"/>
    <w:rsid w:val="00526D08"/>
    <w:rsid w:val="00535221"/>
    <w:rsid w:val="00536804"/>
    <w:rsid w:val="00536EC7"/>
    <w:rsid w:val="00540352"/>
    <w:rsid w:val="005403E8"/>
    <w:rsid w:val="00551D48"/>
    <w:rsid w:val="00552A7A"/>
    <w:rsid w:val="005547CA"/>
    <w:rsid w:val="00555F68"/>
    <w:rsid w:val="00566375"/>
    <w:rsid w:val="00576BC9"/>
    <w:rsid w:val="00576F71"/>
    <w:rsid w:val="00580A6C"/>
    <w:rsid w:val="00585F60"/>
    <w:rsid w:val="00587865"/>
    <w:rsid w:val="005903AC"/>
    <w:rsid w:val="005975FE"/>
    <w:rsid w:val="005A151B"/>
    <w:rsid w:val="005A7F69"/>
    <w:rsid w:val="005C2E96"/>
    <w:rsid w:val="005C40D5"/>
    <w:rsid w:val="005D1DEB"/>
    <w:rsid w:val="005D4BDE"/>
    <w:rsid w:val="005D5D21"/>
    <w:rsid w:val="005D5E15"/>
    <w:rsid w:val="005E2B24"/>
    <w:rsid w:val="005E4757"/>
    <w:rsid w:val="005E6BB9"/>
    <w:rsid w:val="005F1CC4"/>
    <w:rsid w:val="005F28ED"/>
    <w:rsid w:val="005F7ADD"/>
    <w:rsid w:val="005F7FEA"/>
    <w:rsid w:val="006075CC"/>
    <w:rsid w:val="00616DE6"/>
    <w:rsid w:val="00623E13"/>
    <w:rsid w:val="006267EF"/>
    <w:rsid w:val="00631C1D"/>
    <w:rsid w:val="0063644E"/>
    <w:rsid w:val="00636D6D"/>
    <w:rsid w:val="006371A1"/>
    <w:rsid w:val="00637E6C"/>
    <w:rsid w:val="006404FF"/>
    <w:rsid w:val="00652A27"/>
    <w:rsid w:val="0065346B"/>
    <w:rsid w:val="00654123"/>
    <w:rsid w:val="00656B28"/>
    <w:rsid w:val="0066062F"/>
    <w:rsid w:val="0066273C"/>
    <w:rsid w:val="00671099"/>
    <w:rsid w:val="0067358F"/>
    <w:rsid w:val="0067395C"/>
    <w:rsid w:val="00676A56"/>
    <w:rsid w:val="0068230E"/>
    <w:rsid w:val="0069569C"/>
    <w:rsid w:val="0069799C"/>
    <w:rsid w:val="00697E5B"/>
    <w:rsid w:val="006A0D08"/>
    <w:rsid w:val="006A45B7"/>
    <w:rsid w:val="006A465C"/>
    <w:rsid w:val="006A4FFC"/>
    <w:rsid w:val="006A6600"/>
    <w:rsid w:val="006B1180"/>
    <w:rsid w:val="006B44F9"/>
    <w:rsid w:val="006B4E3F"/>
    <w:rsid w:val="006B6D4A"/>
    <w:rsid w:val="006C0AD6"/>
    <w:rsid w:val="006C2620"/>
    <w:rsid w:val="006C3304"/>
    <w:rsid w:val="006C6F9B"/>
    <w:rsid w:val="006C7956"/>
    <w:rsid w:val="006D03BB"/>
    <w:rsid w:val="006D21FF"/>
    <w:rsid w:val="006D3D5F"/>
    <w:rsid w:val="006E18D8"/>
    <w:rsid w:val="006E4164"/>
    <w:rsid w:val="006F0466"/>
    <w:rsid w:val="006F22FF"/>
    <w:rsid w:val="006F265F"/>
    <w:rsid w:val="006F4AFC"/>
    <w:rsid w:val="006F730C"/>
    <w:rsid w:val="006F73F3"/>
    <w:rsid w:val="00702700"/>
    <w:rsid w:val="007027E8"/>
    <w:rsid w:val="00702EB1"/>
    <w:rsid w:val="007043FD"/>
    <w:rsid w:val="00705B57"/>
    <w:rsid w:val="00707736"/>
    <w:rsid w:val="00711B96"/>
    <w:rsid w:val="007151E9"/>
    <w:rsid w:val="00716741"/>
    <w:rsid w:val="007222A0"/>
    <w:rsid w:val="00727268"/>
    <w:rsid w:val="0075488B"/>
    <w:rsid w:val="007614D4"/>
    <w:rsid w:val="00761C9D"/>
    <w:rsid w:val="007700B1"/>
    <w:rsid w:val="00774B95"/>
    <w:rsid w:val="00776AA1"/>
    <w:rsid w:val="00780B38"/>
    <w:rsid w:val="00781F52"/>
    <w:rsid w:val="007825D9"/>
    <w:rsid w:val="00787CE7"/>
    <w:rsid w:val="00797314"/>
    <w:rsid w:val="007A1493"/>
    <w:rsid w:val="007A2D95"/>
    <w:rsid w:val="007A4FD7"/>
    <w:rsid w:val="007B1192"/>
    <w:rsid w:val="007B1305"/>
    <w:rsid w:val="007C604A"/>
    <w:rsid w:val="007C6B92"/>
    <w:rsid w:val="007C74CC"/>
    <w:rsid w:val="007D2AD5"/>
    <w:rsid w:val="007D6AE7"/>
    <w:rsid w:val="007D6CFB"/>
    <w:rsid w:val="007E574B"/>
    <w:rsid w:val="007E5750"/>
    <w:rsid w:val="007E6923"/>
    <w:rsid w:val="007F15B4"/>
    <w:rsid w:val="0080264C"/>
    <w:rsid w:val="00810563"/>
    <w:rsid w:val="00815382"/>
    <w:rsid w:val="008206CA"/>
    <w:rsid w:val="00830296"/>
    <w:rsid w:val="008310C7"/>
    <w:rsid w:val="008321D0"/>
    <w:rsid w:val="00833FA8"/>
    <w:rsid w:val="008403EE"/>
    <w:rsid w:val="008405D8"/>
    <w:rsid w:val="00840ADE"/>
    <w:rsid w:val="00841251"/>
    <w:rsid w:val="00841793"/>
    <w:rsid w:val="00852D7A"/>
    <w:rsid w:val="008540D9"/>
    <w:rsid w:val="00854FD1"/>
    <w:rsid w:val="00862488"/>
    <w:rsid w:val="00865AD4"/>
    <w:rsid w:val="0086786D"/>
    <w:rsid w:val="00872A9C"/>
    <w:rsid w:val="00877B02"/>
    <w:rsid w:val="00884969"/>
    <w:rsid w:val="00893EC2"/>
    <w:rsid w:val="00894ADA"/>
    <w:rsid w:val="0089611E"/>
    <w:rsid w:val="008A705A"/>
    <w:rsid w:val="008B07B5"/>
    <w:rsid w:val="008B14D9"/>
    <w:rsid w:val="008B2BAC"/>
    <w:rsid w:val="008B4482"/>
    <w:rsid w:val="008B5ADA"/>
    <w:rsid w:val="008C0044"/>
    <w:rsid w:val="008C16FA"/>
    <w:rsid w:val="008C39E1"/>
    <w:rsid w:val="008C42DA"/>
    <w:rsid w:val="008C792F"/>
    <w:rsid w:val="008D19C5"/>
    <w:rsid w:val="008D680C"/>
    <w:rsid w:val="008E0151"/>
    <w:rsid w:val="008E725C"/>
    <w:rsid w:val="008F2984"/>
    <w:rsid w:val="008F6857"/>
    <w:rsid w:val="009005C1"/>
    <w:rsid w:val="009059B9"/>
    <w:rsid w:val="0091711A"/>
    <w:rsid w:val="00917F77"/>
    <w:rsid w:val="00921F24"/>
    <w:rsid w:val="0092292E"/>
    <w:rsid w:val="009250ED"/>
    <w:rsid w:val="009259C2"/>
    <w:rsid w:val="00930D3C"/>
    <w:rsid w:val="00931483"/>
    <w:rsid w:val="0093204A"/>
    <w:rsid w:val="00932E4E"/>
    <w:rsid w:val="00937F94"/>
    <w:rsid w:val="009555B9"/>
    <w:rsid w:val="00960FE9"/>
    <w:rsid w:val="00962492"/>
    <w:rsid w:val="009625E7"/>
    <w:rsid w:val="00966B49"/>
    <w:rsid w:val="009707FB"/>
    <w:rsid w:val="009766F4"/>
    <w:rsid w:val="00976BF5"/>
    <w:rsid w:val="00982052"/>
    <w:rsid w:val="0098215A"/>
    <w:rsid w:val="00982410"/>
    <w:rsid w:val="0099713B"/>
    <w:rsid w:val="009B1EB1"/>
    <w:rsid w:val="009B69E2"/>
    <w:rsid w:val="009C46B6"/>
    <w:rsid w:val="009D4A09"/>
    <w:rsid w:val="009D5271"/>
    <w:rsid w:val="009E2852"/>
    <w:rsid w:val="009E2CC3"/>
    <w:rsid w:val="009E5E3E"/>
    <w:rsid w:val="009E69BF"/>
    <w:rsid w:val="009E6C29"/>
    <w:rsid w:val="009E715C"/>
    <w:rsid w:val="009E7BEB"/>
    <w:rsid w:val="009E7C89"/>
    <w:rsid w:val="009F33C2"/>
    <w:rsid w:val="009F3AD7"/>
    <w:rsid w:val="009F5A62"/>
    <w:rsid w:val="009F5A80"/>
    <w:rsid w:val="009F726E"/>
    <w:rsid w:val="00A064A6"/>
    <w:rsid w:val="00A12644"/>
    <w:rsid w:val="00A12710"/>
    <w:rsid w:val="00A172D1"/>
    <w:rsid w:val="00A219A4"/>
    <w:rsid w:val="00A25844"/>
    <w:rsid w:val="00A26E0C"/>
    <w:rsid w:val="00A3715B"/>
    <w:rsid w:val="00A40FBE"/>
    <w:rsid w:val="00A4322F"/>
    <w:rsid w:val="00A469D3"/>
    <w:rsid w:val="00A52934"/>
    <w:rsid w:val="00A53EFB"/>
    <w:rsid w:val="00A606CF"/>
    <w:rsid w:val="00A64950"/>
    <w:rsid w:val="00A66515"/>
    <w:rsid w:val="00A66A4E"/>
    <w:rsid w:val="00A900BC"/>
    <w:rsid w:val="00A96CD2"/>
    <w:rsid w:val="00AA1231"/>
    <w:rsid w:val="00AB7AB9"/>
    <w:rsid w:val="00AB7DAD"/>
    <w:rsid w:val="00AC603E"/>
    <w:rsid w:val="00AD2206"/>
    <w:rsid w:val="00AD24F3"/>
    <w:rsid w:val="00AD7A23"/>
    <w:rsid w:val="00AE3DBB"/>
    <w:rsid w:val="00AF0545"/>
    <w:rsid w:val="00AF2AF8"/>
    <w:rsid w:val="00B01CB5"/>
    <w:rsid w:val="00B023D9"/>
    <w:rsid w:val="00B02C9E"/>
    <w:rsid w:val="00B04DDB"/>
    <w:rsid w:val="00B11C13"/>
    <w:rsid w:val="00B11F80"/>
    <w:rsid w:val="00B176FD"/>
    <w:rsid w:val="00B331F4"/>
    <w:rsid w:val="00B33BD4"/>
    <w:rsid w:val="00B3785C"/>
    <w:rsid w:val="00B42423"/>
    <w:rsid w:val="00B45B86"/>
    <w:rsid w:val="00B45DB6"/>
    <w:rsid w:val="00B518EB"/>
    <w:rsid w:val="00B57DCF"/>
    <w:rsid w:val="00B72C2C"/>
    <w:rsid w:val="00B73D4C"/>
    <w:rsid w:val="00B83B0B"/>
    <w:rsid w:val="00B83B64"/>
    <w:rsid w:val="00B86797"/>
    <w:rsid w:val="00B86E7E"/>
    <w:rsid w:val="00B9069A"/>
    <w:rsid w:val="00B9258B"/>
    <w:rsid w:val="00B949A7"/>
    <w:rsid w:val="00B973C9"/>
    <w:rsid w:val="00BA0343"/>
    <w:rsid w:val="00BA79D9"/>
    <w:rsid w:val="00BB000E"/>
    <w:rsid w:val="00BB4F8E"/>
    <w:rsid w:val="00BB5573"/>
    <w:rsid w:val="00BB5649"/>
    <w:rsid w:val="00BC2562"/>
    <w:rsid w:val="00BC3468"/>
    <w:rsid w:val="00BC3FBA"/>
    <w:rsid w:val="00BE2B07"/>
    <w:rsid w:val="00BE33C8"/>
    <w:rsid w:val="00BE62F6"/>
    <w:rsid w:val="00BE6894"/>
    <w:rsid w:val="00BF1812"/>
    <w:rsid w:val="00BF1CE7"/>
    <w:rsid w:val="00BF39D4"/>
    <w:rsid w:val="00BF70E6"/>
    <w:rsid w:val="00BF7326"/>
    <w:rsid w:val="00C06FD2"/>
    <w:rsid w:val="00C07478"/>
    <w:rsid w:val="00C14871"/>
    <w:rsid w:val="00C14883"/>
    <w:rsid w:val="00C2230D"/>
    <w:rsid w:val="00C247F2"/>
    <w:rsid w:val="00C2798C"/>
    <w:rsid w:val="00C37C00"/>
    <w:rsid w:val="00C4142C"/>
    <w:rsid w:val="00C42FE3"/>
    <w:rsid w:val="00C442E5"/>
    <w:rsid w:val="00C44D41"/>
    <w:rsid w:val="00C45A45"/>
    <w:rsid w:val="00C45D90"/>
    <w:rsid w:val="00C4755A"/>
    <w:rsid w:val="00C47A9D"/>
    <w:rsid w:val="00C536C6"/>
    <w:rsid w:val="00C54BFC"/>
    <w:rsid w:val="00C5662D"/>
    <w:rsid w:val="00C62485"/>
    <w:rsid w:val="00C6450B"/>
    <w:rsid w:val="00C73228"/>
    <w:rsid w:val="00C80EBB"/>
    <w:rsid w:val="00C81C15"/>
    <w:rsid w:val="00C83353"/>
    <w:rsid w:val="00C87F8E"/>
    <w:rsid w:val="00C90FA2"/>
    <w:rsid w:val="00C914F4"/>
    <w:rsid w:val="00C94B60"/>
    <w:rsid w:val="00C95148"/>
    <w:rsid w:val="00C971DE"/>
    <w:rsid w:val="00CA1754"/>
    <w:rsid w:val="00CA1FFC"/>
    <w:rsid w:val="00CA6471"/>
    <w:rsid w:val="00CA7F45"/>
    <w:rsid w:val="00CB3552"/>
    <w:rsid w:val="00CB4AFD"/>
    <w:rsid w:val="00CB5665"/>
    <w:rsid w:val="00CB689D"/>
    <w:rsid w:val="00CB77C1"/>
    <w:rsid w:val="00CB7E69"/>
    <w:rsid w:val="00CC2B56"/>
    <w:rsid w:val="00CC46CF"/>
    <w:rsid w:val="00CD0D49"/>
    <w:rsid w:val="00CD148B"/>
    <w:rsid w:val="00CD571E"/>
    <w:rsid w:val="00CD5773"/>
    <w:rsid w:val="00CD668F"/>
    <w:rsid w:val="00CE347E"/>
    <w:rsid w:val="00CE4B78"/>
    <w:rsid w:val="00CE614C"/>
    <w:rsid w:val="00CF5C19"/>
    <w:rsid w:val="00CF6E72"/>
    <w:rsid w:val="00CF773F"/>
    <w:rsid w:val="00D02FE6"/>
    <w:rsid w:val="00D04B5A"/>
    <w:rsid w:val="00D05BD4"/>
    <w:rsid w:val="00D12384"/>
    <w:rsid w:val="00D13A18"/>
    <w:rsid w:val="00D154AE"/>
    <w:rsid w:val="00D206F1"/>
    <w:rsid w:val="00D24BF3"/>
    <w:rsid w:val="00D3011C"/>
    <w:rsid w:val="00D31DD5"/>
    <w:rsid w:val="00D3206B"/>
    <w:rsid w:val="00D32D01"/>
    <w:rsid w:val="00D33025"/>
    <w:rsid w:val="00D409CF"/>
    <w:rsid w:val="00D426AD"/>
    <w:rsid w:val="00D441CC"/>
    <w:rsid w:val="00D44594"/>
    <w:rsid w:val="00D44D5C"/>
    <w:rsid w:val="00D46CC5"/>
    <w:rsid w:val="00D53F5E"/>
    <w:rsid w:val="00D541E7"/>
    <w:rsid w:val="00D64A12"/>
    <w:rsid w:val="00D71B98"/>
    <w:rsid w:val="00D854D7"/>
    <w:rsid w:val="00D8659F"/>
    <w:rsid w:val="00D86CF4"/>
    <w:rsid w:val="00D9439C"/>
    <w:rsid w:val="00DA0A8A"/>
    <w:rsid w:val="00DA116E"/>
    <w:rsid w:val="00DA4E74"/>
    <w:rsid w:val="00DB2324"/>
    <w:rsid w:val="00DC02C5"/>
    <w:rsid w:val="00DC0518"/>
    <w:rsid w:val="00DC1F96"/>
    <w:rsid w:val="00DC2044"/>
    <w:rsid w:val="00DD2ADB"/>
    <w:rsid w:val="00DE222B"/>
    <w:rsid w:val="00DE2DB3"/>
    <w:rsid w:val="00DF0BE7"/>
    <w:rsid w:val="00DF3111"/>
    <w:rsid w:val="00DF4330"/>
    <w:rsid w:val="00DF4F75"/>
    <w:rsid w:val="00DF7006"/>
    <w:rsid w:val="00E03DB4"/>
    <w:rsid w:val="00E07A80"/>
    <w:rsid w:val="00E141D5"/>
    <w:rsid w:val="00E15AD4"/>
    <w:rsid w:val="00E16443"/>
    <w:rsid w:val="00E202FA"/>
    <w:rsid w:val="00E20990"/>
    <w:rsid w:val="00E218CA"/>
    <w:rsid w:val="00E22886"/>
    <w:rsid w:val="00E2458E"/>
    <w:rsid w:val="00E253D5"/>
    <w:rsid w:val="00E25645"/>
    <w:rsid w:val="00E371E9"/>
    <w:rsid w:val="00E4054A"/>
    <w:rsid w:val="00E4096D"/>
    <w:rsid w:val="00E41FF2"/>
    <w:rsid w:val="00E42570"/>
    <w:rsid w:val="00E4482D"/>
    <w:rsid w:val="00E50862"/>
    <w:rsid w:val="00E51D4A"/>
    <w:rsid w:val="00E55240"/>
    <w:rsid w:val="00E57389"/>
    <w:rsid w:val="00E57A14"/>
    <w:rsid w:val="00E6337E"/>
    <w:rsid w:val="00E64671"/>
    <w:rsid w:val="00E67AF9"/>
    <w:rsid w:val="00E71EDC"/>
    <w:rsid w:val="00E72736"/>
    <w:rsid w:val="00E77EEF"/>
    <w:rsid w:val="00E81DAA"/>
    <w:rsid w:val="00E85F06"/>
    <w:rsid w:val="00E877DB"/>
    <w:rsid w:val="00EA2DFB"/>
    <w:rsid w:val="00EB372B"/>
    <w:rsid w:val="00EB7B14"/>
    <w:rsid w:val="00EC013F"/>
    <w:rsid w:val="00EC3587"/>
    <w:rsid w:val="00EC4A25"/>
    <w:rsid w:val="00ED365F"/>
    <w:rsid w:val="00ED71FE"/>
    <w:rsid w:val="00EE11F8"/>
    <w:rsid w:val="00EE352D"/>
    <w:rsid w:val="00EE3C1D"/>
    <w:rsid w:val="00EE3ED1"/>
    <w:rsid w:val="00EF14AC"/>
    <w:rsid w:val="00EF2082"/>
    <w:rsid w:val="00F029C0"/>
    <w:rsid w:val="00F04524"/>
    <w:rsid w:val="00F0490D"/>
    <w:rsid w:val="00F07599"/>
    <w:rsid w:val="00F1029B"/>
    <w:rsid w:val="00F12277"/>
    <w:rsid w:val="00F14FDC"/>
    <w:rsid w:val="00F172C6"/>
    <w:rsid w:val="00F17928"/>
    <w:rsid w:val="00F220AC"/>
    <w:rsid w:val="00F221BF"/>
    <w:rsid w:val="00F2315C"/>
    <w:rsid w:val="00F318F6"/>
    <w:rsid w:val="00F326A0"/>
    <w:rsid w:val="00F43593"/>
    <w:rsid w:val="00F44272"/>
    <w:rsid w:val="00F553C3"/>
    <w:rsid w:val="00F567E2"/>
    <w:rsid w:val="00F6274E"/>
    <w:rsid w:val="00F65C5D"/>
    <w:rsid w:val="00F67DA2"/>
    <w:rsid w:val="00F70118"/>
    <w:rsid w:val="00F7267F"/>
    <w:rsid w:val="00F770B2"/>
    <w:rsid w:val="00F81C42"/>
    <w:rsid w:val="00F85145"/>
    <w:rsid w:val="00F85583"/>
    <w:rsid w:val="00F86A52"/>
    <w:rsid w:val="00F92064"/>
    <w:rsid w:val="00F9218C"/>
    <w:rsid w:val="00F95994"/>
    <w:rsid w:val="00FA01A3"/>
    <w:rsid w:val="00FA744C"/>
    <w:rsid w:val="00FA75ED"/>
    <w:rsid w:val="00FB0524"/>
    <w:rsid w:val="00FB6C57"/>
    <w:rsid w:val="00FC6324"/>
    <w:rsid w:val="00FC7F31"/>
    <w:rsid w:val="00FD327B"/>
    <w:rsid w:val="00FD7727"/>
    <w:rsid w:val="00FE1900"/>
    <w:rsid w:val="00FE3270"/>
    <w:rsid w:val="00FE5257"/>
    <w:rsid w:val="00FF2257"/>
    <w:rsid w:val="00FF39F4"/>
    <w:rsid w:val="00FF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uiPriority="22" w:unhideWhenUsed="0" w:qFormat="1"/>
    <w:lsdException w:name="Emphasis"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57389"/>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872A9C"/>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qFormat/>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0B764C"/>
    <w:pPr>
      <w:spacing w:after="120" w:line="240" w:lineRule="auto"/>
    </w:pPr>
    <w:rPr>
      <w:sz w:val="20"/>
    </w:rPr>
  </w:style>
  <w:style w:type="character" w:customStyle="1" w:styleId="FootnoteTextChar">
    <w:name w:val="Footnote Text Char"/>
    <w:aliases w:val="F1 Char"/>
    <w:basedOn w:val="DefaultParagraphFont"/>
    <w:link w:val="FootnoteText"/>
    <w:rsid w:val="000B764C"/>
    <w:rPr>
      <w:rFonts w:ascii="Times New Roman" w:eastAsia="Times New Roman" w:hAnsi="Times New Roman" w:cs="Times New Roman"/>
      <w:sz w:val="20"/>
      <w:szCs w:val="20"/>
    </w:rPr>
  </w:style>
  <w:style w:type="paragraph" w:styleId="Header">
    <w:name w:val="header"/>
    <w:basedOn w:val="Normal"/>
    <w:link w:val="HeaderChar"/>
    <w:uiPriority w:val="99"/>
    <w:qFormat/>
    <w:rsid w:val="000B764C"/>
    <w:pPr>
      <w:pBdr>
        <w:bottom w:val="single" w:sz="2" w:space="3" w:color="auto"/>
      </w:pBdr>
      <w:tabs>
        <w:tab w:val="right" w:pos="9360"/>
      </w:tabs>
      <w:spacing w:line="240" w:lineRule="auto"/>
      <w:ind w:firstLine="0"/>
    </w:pPr>
    <w:rPr>
      <w:rFonts w:ascii="Arial" w:hAnsi="Arial"/>
      <w:caps/>
      <w:sz w:val="14"/>
    </w:rPr>
  </w:style>
  <w:style w:type="character" w:customStyle="1" w:styleId="HeaderChar">
    <w:name w:val="Header Char"/>
    <w:basedOn w:val="DefaultParagraphFont"/>
    <w:link w:val="Header"/>
    <w:uiPriority w:val="99"/>
    <w:rsid w:val="000B764C"/>
    <w:rPr>
      <w:rFonts w:ascii="Arial" w:eastAsia="Times New Roman" w:hAnsi="Arial" w:cs="Times New Roman"/>
      <w:caps/>
      <w:sz w:val="14"/>
      <w:szCs w:val="20"/>
    </w:rPr>
  </w:style>
  <w:style w:type="character" w:customStyle="1" w:styleId="Heading1Char">
    <w:name w:val="Heading 1 Char"/>
    <w:basedOn w:val="DefaultParagraphFont"/>
    <w:link w:val="Heading1"/>
    <w:rsid w:val="002B76AB"/>
    <w:rPr>
      <w:rFonts w:ascii="Arial Black" w:eastAsia="Times New Roman" w:hAnsi="Arial Black" w:cs="Times New Roman"/>
      <w:caps/>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2B76AB"/>
    <w:rPr>
      <w:rFonts w:ascii="Times New Roman" w:eastAsia="Times New Roman" w:hAnsi="Times New Roman" w:cs="Times New Roman"/>
      <w:sz w:val="24"/>
      <w:szCs w:val="20"/>
    </w:rPr>
  </w:style>
  <w:style w:type="paragraph" w:customStyle="1" w:styleId="MarkforAppendixHeading">
    <w:name w:val="Mark for Appendix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0B764C"/>
  </w:style>
  <w:style w:type="paragraph" w:customStyle="1" w:styleId="MarkforTableHeading">
    <w:name w:val="Mark for Table Heading"/>
    <w:basedOn w:val="Normal"/>
    <w:next w:val="NormalSS"/>
    <w:qFormat/>
    <w:rsid w:val="004867C2"/>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table" w:customStyle="1" w:styleId="Table">
    <w:name w:val="Table"/>
    <w:basedOn w:val="TableNormal"/>
    <w:uiPriority w:val="99"/>
    <w:qFormat/>
    <w:locked/>
    <w:rsid w:val="003A63C1"/>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CellMar>
        <w:top w:w="0" w:type="dxa"/>
        <w:left w:w="108" w:type="dxa"/>
        <w:bottom w:w="0" w:type="dxa"/>
        <w:right w:w="108" w:type="dxa"/>
      </w:tblCellMar>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2E3E35"/>
    <w:pPr>
      <w:spacing w:after="0"/>
    </w:pPr>
    <w:rPr>
      <w:rFonts w:ascii="Arial" w:eastAsia="Times New Roman" w:hAnsi="Arial"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4934BE"/>
    <w:pPr>
      <w:tabs>
        <w:tab w:val="left" w:pos="792"/>
      </w:tabs>
      <w:spacing w:before="60" w:after="0"/>
      <w:ind w:left="1080" w:hanging="1080"/>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4A4AE7"/>
    <w:pPr>
      <w:tabs>
        <w:tab w:val="right" w:leader="dot" w:pos="9360"/>
      </w:tabs>
      <w:spacing w:after="180" w:line="240" w:lineRule="exact"/>
      <w:ind w:left="1710" w:right="720" w:hanging="171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2E3E3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character" w:styleId="CommentReference">
    <w:name w:val="annotation reference"/>
    <w:basedOn w:val="DefaultParagraphFont"/>
    <w:uiPriority w:val="99"/>
    <w:semiHidden/>
    <w:unhideWhenUsed/>
    <w:rsid w:val="00810563"/>
    <w:rPr>
      <w:sz w:val="16"/>
      <w:szCs w:val="16"/>
    </w:rPr>
  </w:style>
  <w:style w:type="paragraph" w:styleId="CommentText">
    <w:name w:val="annotation text"/>
    <w:basedOn w:val="Normal"/>
    <w:link w:val="CommentTextChar"/>
    <w:uiPriority w:val="99"/>
    <w:unhideWhenUsed/>
    <w:rsid w:val="00810563"/>
    <w:pPr>
      <w:spacing w:line="240" w:lineRule="auto"/>
    </w:pPr>
    <w:rPr>
      <w:sz w:val="20"/>
    </w:rPr>
  </w:style>
  <w:style w:type="character" w:customStyle="1" w:styleId="CommentTextChar">
    <w:name w:val="Comment Text Char"/>
    <w:basedOn w:val="DefaultParagraphFont"/>
    <w:link w:val="CommentText"/>
    <w:uiPriority w:val="99"/>
    <w:rsid w:val="0081056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63"/>
    <w:rPr>
      <w:b/>
      <w:bCs/>
    </w:rPr>
  </w:style>
  <w:style w:type="character" w:customStyle="1" w:styleId="CommentSubjectChar">
    <w:name w:val="Comment Subject Char"/>
    <w:basedOn w:val="CommentTextChar"/>
    <w:link w:val="CommentSubject"/>
    <w:uiPriority w:val="99"/>
    <w:semiHidden/>
    <w:rsid w:val="00810563"/>
    <w:rPr>
      <w:rFonts w:eastAsia="Times New Roman" w:cs="Times New Roman"/>
      <w:b/>
      <w:bCs/>
      <w:sz w:val="20"/>
      <w:szCs w:val="20"/>
    </w:rPr>
  </w:style>
  <w:style w:type="character" w:customStyle="1" w:styleId="NormalSSChar">
    <w:name w:val="NormalSS Char"/>
    <w:basedOn w:val="DefaultParagraphFont"/>
    <w:link w:val="NormalSS"/>
    <w:rsid w:val="006A6600"/>
    <w:rPr>
      <w:rFonts w:eastAsia="Times New Roman" w:cs="Times New Roman"/>
      <w:szCs w:val="20"/>
    </w:rPr>
  </w:style>
  <w:style w:type="character" w:styleId="Hyperlink">
    <w:name w:val="Hyperlink"/>
    <w:basedOn w:val="DefaultParagraphFont"/>
    <w:uiPriority w:val="99"/>
    <w:unhideWhenUsed/>
    <w:rsid w:val="00180FFC"/>
    <w:rPr>
      <w:color w:val="0000FF" w:themeColor="hyperlink"/>
      <w:u w:val="single"/>
    </w:rPr>
  </w:style>
  <w:style w:type="paragraph" w:customStyle="1" w:styleId="backcovercities">
    <w:name w:val="back cover cities"/>
    <w:basedOn w:val="Normal"/>
    <w:qFormat/>
    <w:rsid w:val="004A4AE7"/>
    <w:pPr>
      <w:spacing w:line="240" w:lineRule="auto"/>
      <w:ind w:firstLine="0"/>
    </w:pPr>
    <w:rPr>
      <w:rFonts w:ascii="Arial Black" w:hAnsi="Arial Black"/>
      <w:caps/>
      <w:noProof/>
      <w:spacing w:val="-3"/>
      <w:sz w:val="14"/>
      <w:szCs w:val="19"/>
    </w:rPr>
  </w:style>
  <w:style w:type="paragraph" w:customStyle="1" w:styleId="covertitle">
    <w:name w:val="cover title"/>
    <w:basedOn w:val="Normal"/>
    <w:qFormat/>
    <w:rsid w:val="004A4AE7"/>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backcovertitle">
    <w:name w:val="back cover title"/>
    <w:basedOn w:val="covertitle"/>
    <w:qFormat/>
    <w:rsid w:val="004A4AE7"/>
    <w:pPr>
      <w:spacing w:line="280" w:lineRule="exact"/>
    </w:pPr>
    <w:rPr>
      <w:sz w:val="24"/>
    </w:rPr>
  </w:style>
  <w:style w:type="paragraph" w:customStyle="1" w:styleId="coverallcaps">
    <w:name w:val="cover all caps"/>
    <w:basedOn w:val="Normal"/>
    <w:qFormat/>
    <w:rsid w:val="004A4AE7"/>
    <w:pPr>
      <w:spacing w:line="560" w:lineRule="exact"/>
      <w:ind w:firstLine="0"/>
    </w:pPr>
    <w:rPr>
      <w:rFonts w:ascii="Arial" w:hAnsi="Arial"/>
      <w:caps/>
      <w:spacing w:val="28"/>
      <w:sz w:val="17"/>
      <w:szCs w:val="26"/>
    </w:rPr>
  </w:style>
  <w:style w:type="paragraph" w:customStyle="1" w:styleId="coverdate">
    <w:name w:val="cover date"/>
    <w:qFormat/>
    <w:rsid w:val="004A4AE7"/>
    <w:pPr>
      <w:spacing w:after="0" w:line="440" w:lineRule="exact"/>
    </w:pPr>
    <w:rPr>
      <w:rFonts w:ascii="Arial" w:eastAsia="Times New Roman" w:hAnsi="Arial" w:cs="Times New Roman"/>
      <w:sz w:val="34"/>
      <w:szCs w:val="26"/>
    </w:rPr>
  </w:style>
  <w:style w:type="paragraph" w:customStyle="1" w:styleId="covertext">
    <w:name w:val="cover text"/>
    <w:qFormat/>
    <w:rsid w:val="004A4AE7"/>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4A4AE7"/>
    <w:pPr>
      <w:pBdr>
        <w:bottom w:val="single" w:sz="2" w:space="1" w:color="auto"/>
      </w:pBdr>
      <w:spacing w:line="240" w:lineRule="auto"/>
    </w:pPr>
  </w:style>
  <w:style w:type="paragraph" w:customStyle="1" w:styleId="disclosure">
    <w:name w:val="disclosure"/>
    <w:basedOn w:val="Footer"/>
    <w:qFormat/>
    <w:rsid w:val="004A4AE7"/>
    <w:pPr>
      <w:pBdr>
        <w:bottom w:val="none" w:sz="0" w:space="0" w:color="auto"/>
      </w:pBdr>
      <w:tabs>
        <w:tab w:val="clear" w:pos="4320"/>
        <w:tab w:val="center" w:pos="4770"/>
      </w:tabs>
      <w:spacing w:before="120"/>
      <w:jc w:val="center"/>
    </w:pPr>
    <w:rPr>
      <w:sz w:val="17"/>
      <w:szCs w:val="24"/>
    </w:rPr>
  </w:style>
  <w:style w:type="paragraph" w:customStyle="1" w:styleId="reportcovername">
    <w:name w:val="report cover name"/>
    <w:basedOn w:val="covertext"/>
    <w:qFormat/>
    <w:rsid w:val="004A4AE7"/>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4A4AE7"/>
    <w:pPr>
      <w:spacing w:line="240" w:lineRule="auto"/>
      <w:ind w:firstLine="0"/>
    </w:pPr>
    <w:rPr>
      <w:rFonts w:ascii="Arial Black" w:hAnsi="Arial Black"/>
      <w:noProof/>
      <w:sz w:val="16"/>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uiPriority="22" w:unhideWhenUsed="0" w:qFormat="1"/>
    <w:lsdException w:name="Emphasis"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57389"/>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872A9C"/>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qFormat/>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0B764C"/>
    <w:pPr>
      <w:spacing w:after="120" w:line="240" w:lineRule="auto"/>
    </w:pPr>
    <w:rPr>
      <w:sz w:val="20"/>
    </w:rPr>
  </w:style>
  <w:style w:type="character" w:customStyle="1" w:styleId="FootnoteTextChar">
    <w:name w:val="Footnote Text Char"/>
    <w:aliases w:val="F1 Char"/>
    <w:basedOn w:val="DefaultParagraphFont"/>
    <w:link w:val="FootnoteText"/>
    <w:rsid w:val="000B764C"/>
    <w:rPr>
      <w:rFonts w:ascii="Times New Roman" w:eastAsia="Times New Roman" w:hAnsi="Times New Roman" w:cs="Times New Roman"/>
      <w:sz w:val="20"/>
      <w:szCs w:val="20"/>
    </w:rPr>
  </w:style>
  <w:style w:type="paragraph" w:styleId="Header">
    <w:name w:val="header"/>
    <w:basedOn w:val="Normal"/>
    <w:link w:val="HeaderChar"/>
    <w:uiPriority w:val="99"/>
    <w:qFormat/>
    <w:rsid w:val="000B764C"/>
    <w:pPr>
      <w:pBdr>
        <w:bottom w:val="single" w:sz="2" w:space="3" w:color="auto"/>
      </w:pBdr>
      <w:tabs>
        <w:tab w:val="right" w:pos="9360"/>
      </w:tabs>
      <w:spacing w:line="240" w:lineRule="auto"/>
      <w:ind w:firstLine="0"/>
    </w:pPr>
    <w:rPr>
      <w:rFonts w:ascii="Arial" w:hAnsi="Arial"/>
      <w:caps/>
      <w:sz w:val="14"/>
    </w:rPr>
  </w:style>
  <w:style w:type="character" w:customStyle="1" w:styleId="HeaderChar">
    <w:name w:val="Header Char"/>
    <w:basedOn w:val="DefaultParagraphFont"/>
    <w:link w:val="Header"/>
    <w:uiPriority w:val="99"/>
    <w:rsid w:val="000B764C"/>
    <w:rPr>
      <w:rFonts w:ascii="Arial" w:eastAsia="Times New Roman" w:hAnsi="Arial" w:cs="Times New Roman"/>
      <w:caps/>
      <w:sz w:val="14"/>
      <w:szCs w:val="20"/>
    </w:rPr>
  </w:style>
  <w:style w:type="character" w:customStyle="1" w:styleId="Heading1Char">
    <w:name w:val="Heading 1 Char"/>
    <w:basedOn w:val="DefaultParagraphFont"/>
    <w:link w:val="Heading1"/>
    <w:rsid w:val="002B76AB"/>
    <w:rPr>
      <w:rFonts w:ascii="Arial Black" w:eastAsia="Times New Roman" w:hAnsi="Arial Black" w:cs="Times New Roman"/>
      <w:caps/>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2B76AB"/>
    <w:rPr>
      <w:rFonts w:ascii="Times New Roman" w:eastAsia="Times New Roman" w:hAnsi="Times New Roman" w:cs="Times New Roman"/>
      <w:sz w:val="24"/>
      <w:szCs w:val="20"/>
    </w:rPr>
  </w:style>
  <w:style w:type="paragraph" w:customStyle="1" w:styleId="MarkforAppendixHeading">
    <w:name w:val="Mark for Appendix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0B764C"/>
  </w:style>
  <w:style w:type="paragraph" w:customStyle="1" w:styleId="MarkforTableHeading">
    <w:name w:val="Mark for Table Heading"/>
    <w:basedOn w:val="Normal"/>
    <w:next w:val="NormalSS"/>
    <w:qFormat/>
    <w:rsid w:val="004867C2"/>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table" w:customStyle="1" w:styleId="Table">
    <w:name w:val="Table"/>
    <w:basedOn w:val="TableNormal"/>
    <w:uiPriority w:val="99"/>
    <w:qFormat/>
    <w:locked/>
    <w:rsid w:val="003A63C1"/>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CellMar>
        <w:top w:w="0" w:type="dxa"/>
        <w:left w:w="108" w:type="dxa"/>
        <w:bottom w:w="0" w:type="dxa"/>
        <w:right w:w="108" w:type="dxa"/>
      </w:tblCellMar>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2E3E35"/>
    <w:pPr>
      <w:spacing w:after="0"/>
    </w:pPr>
    <w:rPr>
      <w:rFonts w:ascii="Arial" w:eastAsia="Times New Roman" w:hAnsi="Arial"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4934BE"/>
    <w:pPr>
      <w:tabs>
        <w:tab w:val="left" w:pos="792"/>
      </w:tabs>
      <w:spacing w:before="60" w:after="0"/>
      <w:ind w:left="1080" w:hanging="1080"/>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4A4AE7"/>
    <w:pPr>
      <w:tabs>
        <w:tab w:val="right" w:leader="dot" w:pos="9360"/>
      </w:tabs>
      <w:spacing w:after="180" w:line="240" w:lineRule="exact"/>
      <w:ind w:left="1710" w:right="720" w:hanging="171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2E3E3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character" w:styleId="CommentReference">
    <w:name w:val="annotation reference"/>
    <w:basedOn w:val="DefaultParagraphFont"/>
    <w:uiPriority w:val="99"/>
    <w:semiHidden/>
    <w:unhideWhenUsed/>
    <w:rsid w:val="00810563"/>
    <w:rPr>
      <w:sz w:val="16"/>
      <w:szCs w:val="16"/>
    </w:rPr>
  </w:style>
  <w:style w:type="paragraph" w:styleId="CommentText">
    <w:name w:val="annotation text"/>
    <w:basedOn w:val="Normal"/>
    <w:link w:val="CommentTextChar"/>
    <w:uiPriority w:val="99"/>
    <w:unhideWhenUsed/>
    <w:rsid w:val="00810563"/>
    <w:pPr>
      <w:spacing w:line="240" w:lineRule="auto"/>
    </w:pPr>
    <w:rPr>
      <w:sz w:val="20"/>
    </w:rPr>
  </w:style>
  <w:style w:type="character" w:customStyle="1" w:styleId="CommentTextChar">
    <w:name w:val="Comment Text Char"/>
    <w:basedOn w:val="DefaultParagraphFont"/>
    <w:link w:val="CommentText"/>
    <w:uiPriority w:val="99"/>
    <w:rsid w:val="0081056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63"/>
    <w:rPr>
      <w:b/>
      <w:bCs/>
    </w:rPr>
  </w:style>
  <w:style w:type="character" w:customStyle="1" w:styleId="CommentSubjectChar">
    <w:name w:val="Comment Subject Char"/>
    <w:basedOn w:val="CommentTextChar"/>
    <w:link w:val="CommentSubject"/>
    <w:uiPriority w:val="99"/>
    <w:semiHidden/>
    <w:rsid w:val="00810563"/>
    <w:rPr>
      <w:rFonts w:eastAsia="Times New Roman" w:cs="Times New Roman"/>
      <w:b/>
      <w:bCs/>
      <w:sz w:val="20"/>
      <w:szCs w:val="20"/>
    </w:rPr>
  </w:style>
  <w:style w:type="character" w:customStyle="1" w:styleId="NormalSSChar">
    <w:name w:val="NormalSS Char"/>
    <w:basedOn w:val="DefaultParagraphFont"/>
    <w:link w:val="NormalSS"/>
    <w:rsid w:val="006A6600"/>
    <w:rPr>
      <w:rFonts w:eastAsia="Times New Roman" w:cs="Times New Roman"/>
      <w:szCs w:val="20"/>
    </w:rPr>
  </w:style>
  <w:style w:type="character" w:styleId="Hyperlink">
    <w:name w:val="Hyperlink"/>
    <w:basedOn w:val="DefaultParagraphFont"/>
    <w:uiPriority w:val="99"/>
    <w:unhideWhenUsed/>
    <w:rsid w:val="00180FFC"/>
    <w:rPr>
      <w:color w:val="0000FF" w:themeColor="hyperlink"/>
      <w:u w:val="single"/>
    </w:rPr>
  </w:style>
  <w:style w:type="paragraph" w:customStyle="1" w:styleId="backcovercities">
    <w:name w:val="back cover cities"/>
    <w:basedOn w:val="Normal"/>
    <w:qFormat/>
    <w:rsid w:val="004A4AE7"/>
    <w:pPr>
      <w:spacing w:line="240" w:lineRule="auto"/>
      <w:ind w:firstLine="0"/>
    </w:pPr>
    <w:rPr>
      <w:rFonts w:ascii="Arial Black" w:hAnsi="Arial Black"/>
      <w:caps/>
      <w:noProof/>
      <w:spacing w:val="-3"/>
      <w:sz w:val="14"/>
      <w:szCs w:val="19"/>
    </w:rPr>
  </w:style>
  <w:style w:type="paragraph" w:customStyle="1" w:styleId="covertitle">
    <w:name w:val="cover title"/>
    <w:basedOn w:val="Normal"/>
    <w:qFormat/>
    <w:rsid w:val="004A4AE7"/>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backcovertitle">
    <w:name w:val="back cover title"/>
    <w:basedOn w:val="covertitle"/>
    <w:qFormat/>
    <w:rsid w:val="004A4AE7"/>
    <w:pPr>
      <w:spacing w:line="280" w:lineRule="exact"/>
    </w:pPr>
    <w:rPr>
      <w:sz w:val="24"/>
    </w:rPr>
  </w:style>
  <w:style w:type="paragraph" w:customStyle="1" w:styleId="coverallcaps">
    <w:name w:val="cover all caps"/>
    <w:basedOn w:val="Normal"/>
    <w:qFormat/>
    <w:rsid w:val="004A4AE7"/>
    <w:pPr>
      <w:spacing w:line="560" w:lineRule="exact"/>
      <w:ind w:firstLine="0"/>
    </w:pPr>
    <w:rPr>
      <w:rFonts w:ascii="Arial" w:hAnsi="Arial"/>
      <w:caps/>
      <w:spacing w:val="28"/>
      <w:sz w:val="17"/>
      <w:szCs w:val="26"/>
    </w:rPr>
  </w:style>
  <w:style w:type="paragraph" w:customStyle="1" w:styleId="coverdate">
    <w:name w:val="cover date"/>
    <w:qFormat/>
    <w:rsid w:val="004A4AE7"/>
    <w:pPr>
      <w:spacing w:after="0" w:line="440" w:lineRule="exact"/>
    </w:pPr>
    <w:rPr>
      <w:rFonts w:ascii="Arial" w:eastAsia="Times New Roman" w:hAnsi="Arial" w:cs="Times New Roman"/>
      <w:sz w:val="34"/>
      <w:szCs w:val="26"/>
    </w:rPr>
  </w:style>
  <w:style w:type="paragraph" w:customStyle="1" w:styleId="covertext">
    <w:name w:val="cover text"/>
    <w:qFormat/>
    <w:rsid w:val="004A4AE7"/>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4A4AE7"/>
    <w:pPr>
      <w:pBdr>
        <w:bottom w:val="single" w:sz="2" w:space="1" w:color="auto"/>
      </w:pBdr>
      <w:spacing w:line="240" w:lineRule="auto"/>
    </w:pPr>
  </w:style>
  <w:style w:type="paragraph" w:customStyle="1" w:styleId="disclosure">
    <w:name w:val="disclosure"/>
    <w:basedOn w:val="Footer"/>
    <w:qFormat/>
    <w:rsid w:val="004A4AE7"/>
    <w:pPr>
      <w:pBdr>
        <w:bottom w:val="none" w:sz="0" w:space="0" w:color="auto"/>
      </w:pBdr>
      <w:tabs>
        <w:tab w:val="clear" w:pos="4320"/>
        <w:tab w:val="center" w:pos="4770"/>
      </w:tabs>
      <w:spacing w:before="120"/>
      <w:jc w:val="center"/>
    </w:pPr>
    <w:rPr>
      <w:sz w:val="17"/>
      <w:szCs w:val="24"/>
    </w:rPr>
  </w:style>
  <w:style w:type="paragraph" w:customStyle="1" w:styleId="reportcovername">
    <w:name w:val="report cover name"/>
    <w:basedOn w:val="covertext"/>
    <w:qFormat/>
    <w:rsid w:val="004A4AE7"/>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4A4AE7"/>
    <w:pPr>
      <w:spacing w:line="240" w:lineRule="auto"/>
      <w:ind w:firstLine="0"/>
    </w:pPr>
    <w:rPr>
      <w:rFonts w:ascii="Arial Black" w:hAnsi="Arial Black"/>
      <w:noProof/>
      <w:sz w:val="16"/>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nirn.fpg.unc.edu/resource-search"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AB951E61383445BD3A472300E99A5C" ma:contentTypeVersion="0" ma:contentTypeDescription="Create a new document." ma:contentTypeScope="" ma:versionID="640eaf363dadf1c99f88742e721699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8A5402-3D43-4C69-BFA8-AAAFD81E45F8}">
  <ds:schemaRefs>
    <ds:schemaRef ds:uri="http://schemas.microsoft.com/sharepoint/v3/contenttype/forms"/>
  </ds:schemaRefs>
</ds:datastoreItem>
</file>

<file path=customXml/itemProps2.xml><?xml version="1.0" encoding="utf-8"?>
<ds:datastoreItem xmlns:ds="http://schemas.openxmlformats.org/officeDocument/2006/customXml" ds:itemID="{2C034B95-A3FE-488B-8E64-DEB68272A2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7A748F-7120-44FA-8540-F7F84336E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8F98CA1-DBEA-4F56-A23B-9CA226893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2614</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Ziegler</dc:creator>
  <cp:lastModifiedBy>Kathleen P McCoy</cp:lastModifiedBy>
  <cp:revision>2</cp:revision>
  <dcterms:created xsi:type="dcterms:W3CDTF">2014-08-19T15:12:00Z</dcterms:created>
  <dcterms:modified xsi:type="dcterms:W3CDTF">2014-08-19T15:12:00Z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0x01010073AB951E61383445BD3A472300E99A5C</vt:lpwstr>
  </property>
</Properties>
</file>