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17507D" w14:textId="77777777" w:rsidR="008E21CF" w:rsidRDefault="008E21CF" w:rsidP="000C6D43">
      <w:pPr>
        <w:jc w:val="center"/>
        <w:rPr>
          <w:rFonts w:ascii="Arial" w:hAnsi="Arial" w:cs="Arial"/>
          <w:b/>
          <w:sz w:val="32"/>
          <w:szCs w:val="32"/>
        </w:rPr>
      </w:pPr>
      <w:bookmarkStart w:id="0" w:name="_GoBack"/>
      <w:bookmarkEnd w:id="0"/>
    </w:p>
    <w:p w14:paraId="0017507E" w14:textId="77777777" w:rsidR="008E21CF" w:rsidRDefault="008E21CF" w:rsidP="000C6D43">
      <w:pPr>
        <w:jc w:val="center"/>
        <w:rPr>
          <w:rFonts w:ascii="Arial" w:hAnsi="Arial" w:cs="Arial"/>
          <w:b/>
          <w:sz w:val="32"/>
          <w:szCs w:val="32"/>
        </w:rPr>
      </w:pPr>
    </w:p>
    <w:p w14:paraId="0017507F" w14:textId="77777777" w:rsidR="000C6D43" w:rsidRDefault="000C6D43" w:rsidP="000C6D43">
      <w:pPr>
        <w:jc w:val="center"/>
        <w:rPr>
          <w:rFonts w:ascii="Arial" w:hAnsi="Arial" w:cs="Arial"/>
          <w:b/>
          <w:sz w:val="48"/>
          <w:szCs w:val="48"/>
        </w:rPr>
      </w:pPr>
      <w:r w:rsidRPr="008E21CF">
        <w:rPr>
          <w:rFonts w:ascii="Arial" w:hAnsi="Arial" w:cs="Arial"/>
          <w:b/>
          <w:sz w:val="48"/>
          <w:szCs w:val="48"/>
        </w:rPr>
        <w:t>Maternal and Infant Home Visiting Program Evaluation (MIHOPE)</w:t>
      </w:r>
      <w:r w:rsidR="00D46893">
        <w:rPr>
          <w:rFonts w:ascii="Arial" w:hAnsi="Arial" w:cs="Arial"/>
          <w:b/>
          <w:sz w:val="48"/>
          <w:szCs w:val="48"/>
        </w:rPr>
        <w:t>:</w:t>
      </w:r>
    </w:p>
    <w:p w14:paraId="00175080" w14:textId="77777777" w:rsidR="00D46893" w:rsidRPr="008E21CF" w:rsidRDefault="00D46893" w:rsidP="000C6D43">
      <w:pPr>
        <w:jc w:val="center"/>
        <w:rPr>
          <w:rFonts w:ascii="Arial" w:hAnsi="Arial" w:cs="Arial"/>
          <w:b/>
          <w:sz w:val="48"/>
          <w:szCs w:val="48"/>
        </w:rPr>
      </w:pPr>
      <w:r>
        <w:rPr>
          <w:rFonts w:ascii="Arial" w:hAnsi="Arial" w:cs="Arial"/>
          <w:b/>
          <w:sz w:val="48"/>
          <w:szCs w:val="48"/>
        </w:rPr>
        <w:t>MIHOPE Check-in</w:t>
      </w:r>
    </w:p>
    <w:p w14:paraId="00175081" w14:textId="77777777" w:rsidR="000C6D43" w:rsidRPr="002C4F75" w:rsidRDefault="000C6D43" w:rsidP="000C6D43">
      <w:pPr>
        <w:pStyle w:val="ReportCover-Title"/>
        <w:rPr>
          <w:rFonts w:ascii="Arial" w:hAnsi="Arial" w:cs="Arial"/>
          <w:color w:val="auto"/>
        </w:rPr>
      </w:pPr>
    </w:p>
    <w:p w14:paraId="00175082" w14:textId="77777777" w:rsidR="000C6D43" w:rsidRPr="002C4F75" w:rsidRDefault="000C6D43" w:rsidP="000C6D43">
      <w:pPr>
        <w:pStyle w:val="ReportCover-Title"/>
        <w:rPr>
          <w:rFonts w:ascii="Arial" w:hAnsi="Arial" w:cs="Arial"/>
          <w:color w:val="auto"/>
        </w:rPr>
      </w:pPr>
    </w:p>
    <w:p w14:paraId="00175083"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OMB Information Collection Request</w:t>
      </w:r>
    </w:p>
    <w:p w14:paraId="00175084" w14:textId="77777777" w:rsidR="000C6D43" w:rsidRPr="000C6D43" w:rsidRDefault="000C6D43" w:rsidP="000C6D43">
      <w:pPr>
        <w:pStyle w:val="ReportCover-Title"/>
        <w:jc w:val="center"/>
        <w:rPr>
          <w:rFonts w:ascii="Arial" w:hAnsi="Arial" w:cs="Arial"/>
          <w:color w:val="auto"/>
          <w:sz w:val="32"/>
          <w:szCs w:val="32"/>
        </w:rPr>
      </w:pPr>
      <w:r w:rsidRPr="000C6D43">
        <w:rPr>
          <w:rFonts w:ascii="Arial" w:hAnsi="Arial" w:cs="Arial"/>
          <w:color w:val="auto"/>
          <w:sz w:val="32"/>
          <w:szCs w:val="32"/>
        </w:rPr>
        <w:t>0970 - 0402</w:t>
      </w:r>
    </w:p>
    <w:p w14:paraId="00175085" w14:textId="77777777" w:rsidR="000C6D43" w:rsidRDefault="000C6D43" w:rsidP="000C6D43">
      <w:pPr>
        <w:pStyle w:val="ReportCover-Date"/>
        <w:spacing w:after="360" w:line="240" w:lineRule="auto"/>
        <w:jc w:val="center"/>
        <w:rPr>
          <w:rFonts w:ascii="Arial" w:hAnsi="Arial" w:cs="Arial"/>
          <w:color w:val="auto"/>
          <w:sz w:val="48"/>
          <w:szCs w:val="48"/>
        </w:rPr>
      </w:pPr>
    </w:p>
    <w:p w14:paraId="00175086"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00175087" w14:textId="77777777" w:rsidR="000C6D43" w:rsidRPr="002C4F75" w:rsidRDefault="000C6D43" w:rsidP="000C6D43">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Pr>
          <w:rFonts w:ascii="Arial" w:hAnsi="Arial" w:cs="Arial"/>
          <w:color w:val="auto"/>
          <w:sz w:val="48"/>
          <w:szCs w:val="48"/>
        </w:rPr>
        <w:t>B</w:t>
      </w:r>
    </w:p>
    <w:p w14:paraId="00175088" w14:textId="15C80F78" w:rsidR="000C6D43" w:rsidRPr="002C4F75" w:rsidRDefault="005E4C80" w:rsidP="000C6D43">
      <w:pPr>
        <w:pStyle w:val="ReportCover-Date"/>
        <w:jc w:val="center"/>
        <w:rPr>
          <w:rFonts w:ascii="Arial" w:hAnsi="Arial" w:cs="Arial"/>
          <w:color w:val="auto"/>
        </w:rPr>
      </w:pPr>
      <w:r>
        <w:rPr>
          <w:rFonts w:ascii="Arial" w:hAnsi="Arial" w:cs="Arial"/>
          <w:color w:val="auto"/>
        </w:rPr>
        <w:t>June</w:t>
      </w:r>
      <w:r w:rsidR="0010727A">
        <w:rPr>
          <w:rFonts w:ascii="Arial" w:hAnsi="Arial" w:cs="Arial"/>
          <w:color w:val="auto"/>
        </w:rPr>
        <w:t xml:space="preserve"> </w:t>
      </w:r>
      <w:r w:rsidR="0049559F">
        <w:rPr>
          <w:rFonts w:ascii="Arial" w:hAnsi="Arial" w:cs="Arial"/>
          <w:color w:val="auto"/>
        </w:rPr>
        <w:t>201</w:t>
      </w:r>
      <w:r w:rsidR="00735220">
        <w:rPr>
          <w:rFonts w:ascii="Arial" w:hAnsi="Arial" w:cs="Arial"/>
          <w:color w:val="auto"/>
        </w:rPr>
        <w:t>6</w:t>
      </w:r>
    </w:p>
    <w:p w14:paraId="00175089" w14:textId="77777777" w:rsidR="000C6D43" w:rsidRPr="002C4F75" w:rsidRDefault="000C6D43" w:rsidP="000C6D43">
      <w:pPr>
        <w:jc w:val="center"/>
        <w:rPr>
          <w:rFonts w:ascii="Arial" w:hAnsi="Arial" w:cs="Arial"/>
        </w:rPr>
      </w:pPr>
    </w:p>
    <w:p w14:paraId="0017508A" w14:textId="77777777" w:rsidR="000C6D43" w:rsidRPr="002C4F75" w:rsidRDefault="000C6D43" w:rsidP="000C6D43">
      <w:pPr>
        <w:jc w:val="center"/>
        <w:rPr>
          <w:rFonts w:ascii="Arial" w:hAnsi="Arial" w:cs="Arial"/>
        </w:rPr>
      </w:pPr>
      <w:r w:rsidRPr="002C4F75">
        <w:rPr>
          <w:rFonts w:ascii="Arial" w:hAnsi="Arial" w:cs="Arial"/>
        </w:rPr>
        <w:t>Submitted By:</w:t>
      </w:r>
    </w:p>
    <w:p w14:paraId="0017508B" w14:textId="77777777" w:rsidR="000C6D43" w:rsidRPr="002C4F75" w:rsidRDefault="000C6D43" w:rsidP="000C6D43">
      <w:pPr>
        <w:jc w:val="center"/>
        <w:rPr>
          <w:rFonts w:ascii="Arial" w:hAnsi="Arial" w:cs="Arial"/>
        </w:rPr>
      </w:pPr>
      <w:r w:rsidRPr="002C4F75">
        <w:rPr>
          <w:rFonts w:ascii="Arial" w:hAnsi="Arial" w:cs="Arial"/>
        </w:rPr>
        <w:t>Office of Planning, Research and Evaluation</w:t>
      </w:r>
    </w:p>
    <w:p w14:paraId="0017508C" w14:textId="77777777" w:rsidR="000C6D43" w:rsidRPr="002C4F75" w:rsidRDefault="000C6D43" w:rsidP="000C6D43">
      <w:pPr>
        <w:jc w:val="center"/>
        <w:rPr>
          <w:rFonts w:ascii="Arial" w:hAnsi="Arial" w:cs="Arial"/>
        </w:rPr>
      </w:pPr>
      <w:r w:rsidRPr="002C4F75">
        <w:rPr>
          <w:rFonts w:ascii="Arial" w:hAnsi="Arial" w:cs="Arial"/>
        </w:rPr>
        <w:t xml:space="preserve">Administration for Children and Families </w:t>
      </w:r>
    </w:p>
    <w:p w14:paraId="0017508D" w14:textId="77777777" w:rsidR="000C6D43" w:rsidRPr="002C4F75" w:rsidRDefault="000C6D43" w:rsidP="000C6D43">
      <w:pPr>
        <w:jc w:val="center"/>
        <w:rPr>
          <w:rFonts w:ascii="Arial" w:hAnsi="Arial" w:cs="Arial"/>
        </w:rPr>
      </w:pPr>
      <w:r w:rsidRPr="002C4F75">
        <w:rPr>
          <w:rFonts w:ascii="Arial" w:hAnsi="Arial" w:cs="Arial"/>
        </w:rPr>
        <w:t>U.S. Department of Health and Human Services</w:t>
      </w:r>
    </w:p>
    <w:p w14:paraId="0017508E" w14:textId="77777777" w:rsidR="000C6D43" w:rsidRPr="002C4F75" w:rsidRDefault="000C6D43" w:rsidP="000C6D43">
      <w:pPr>
        <w:jc w:val="center"/>
        <w:rPr>
          <w:rFonts w:ascii="Arial" w:hAnsi="Arial" w:cs="Arial"/>
        </w:rPr>
      </w:pPr>
    </w:p>
    <w:p w14:paraId="0017508F" w14:textId="77777777" w:rsidR="000C6D43" w:rsidRPr="002C4F75" w:rsidRDefault="000C6D43" w:rsidP="000C6D43">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14:paraId="00175090" w14:textId="77777777" w:rsidR="000C6D43" w:rsidRPr="002C4F75" w:rsidRDefault="000C6D43" w:rsidP="000C6D43">
      <w:pPr>
        <w:jc w:val="center"/>
        <w:rPr>
          <w:rFonts w:ascii="Arial" w:hAnsi="Arial" w:cs="Arial"/>
        </w:rPr>
      </w:pPr>
      <w:r w:rsidRPr="002C4F75">
        <w:rPr>
          <w:rFonts w:ascii="Arial" w:hAnsi="Arial" w:cs="Arial"/>
        </w:rPr>
        <w:t>370 L’Enfant Promenade, SW</w:t>
      </w:r>
    </w:p>
    <w:p w14:paraId="00175091" w14:textId="77777777" w:rsidR="000C6D43" w:rsidRPr="002C4F75" w:rsidRDefault="000C6D43" w:rsidP="000C6D43">
      <w:pPr>
        <w:jc w:val="center"/>
        <w:rPr>
          <w:rFonts w:ascii="Arial" w:hAnsi="Arial" w:cs="Arial"/>
        </w:rPr>
      </w:pPr>
      <w:r w:rsidRPr="002C4F75">
        <w:rPr>
          <w:rFonts w:ascii="Arial" w:hAnsi="Arial" w:cs="Arial"/>
        </w:rPr>
        <w:t>Washington, D.C. 20447</w:t>
      </w:r>
    </w:p>
    <w:p w14:paraId="00175092" w14:textId="77777777" w:rsidR="000C6D43" w:rsidRPr="002C4F75" w:rsidRDefault="000C6D43" w:rsidP="000C6D43">
      <w:pPr>
        <w:jc w:val="center"/>
        <w:rPr>
          <w:rFonts w:ascii="Arial" w:hAnsi="Arial" w:cs="Arial"/>
        </w:rPr>
      </w:pPr>
    </w:p>
    <w:p w14:paraId="00175093" w14:textId="77777777" w:rsidR="000C6D43" w:rsidRDefault="000C6D43" w:rsidP="000C6D43">
      <w:pPr>
        <w:jc w:val="center"/>
        <w:rPr>
          <w:rFonts w:ascii="Arial" w:hAnsi="Arial" w:cs="Arial"/>
        </w:rPr>
      </w:pPr>
      <w:r w:rsidRPr="00BE7952">
        <w:rPr>
          <w:rFonts w:ascii="Arial" w:hAnsi="Arial" w:cs="Arial"/>
        </w:rPr>
        <w:t>Project Officer:</w:t>
      </w:r>
    </w:p>
    <w:p w14:paraId="00175094" w14:textId="77777777" w:rsidR="000C6D43" w:rsidRDefault="0049559F" w:rsidP="000C6D43">
      <w:pPr>
        <w:jc w:val="center"/>
        <w:rPr>
          <w:rFonts w:ascii="Arial" w:hAnsi="Arial" w:cs="Arial"/>
        </w:rPr>
      </w:pPr>
      <w:r>
        <w:rPr>
          <w:rFonts w:ascii="Arial" w:hAnsi="Arial" w:cs="Arial"/>
        </w:rPr>
        <w:t xml:space="preserve">Nancy </w:t>
      </w:r>
      <w:proofErr w:type="spellStart"/>
      <w:r>
        <w:rPr>
          <w:rFonts w:ascii="Arial" w:hAnsi="Arial" w:cs="Arial"/>
        </w:rPr>
        <w:t>Geyelin</w:t>
      </w:r>
      <w:proofErr w:type="spellEnd"/>
      <w:r>
        <w:rPr>
          <w:rFonts w:ascii="Arial" w:hAnsi="Arial" w:cs="Arial"/>
        </w:rPr>
        <w:t xml:space="preserve"> Margie</w:t>
      </w:r>
    </w:p>
    <w:p w14:paraId="00175095" w14:textId="77777777" w:rsidR="000C6D43" w:rsidRDefault="000C6D43">
      <w:pPr>
        <w:spacing w:line="276" w:lineRule="auto"/>
        <w:rPr>
          <w:rFonts w:ascii="Arial" w:hAnsi="Arial" w:cs="Arial"/>
        </w:rPr>
      </w:pPr>
      <w:r>
        <w:rPr>
          <w:rFonts w:ascii="Arial" w:hAnsi="Arial" w:cs="Arial"/>
        </w:rPr>
        <w:br w:type="page"/>
      </w:r>
    </w:p>
    <w:p w14:paraId="00175096" w14:textId="77777777" w:rsidR="000C6D43" w:rsidRPr="00502114" w:rsidRDefault="000C6D43" w:rsidP="00502114">
      <w:pPr>
        <w:autoSpaceDE w:val="0"/>
        <w:autoSpaceDN w:val="0"/>
        <w:adjustRightInd w:val="0"/>
      </w:pPr>
      <w:r w:rsidRPr="00502114">
        <w:rPr>
          <w:b/>
          <w:bCs/>
          <w:u w:val="single"/>
        </w:rPr>
        <w:lastRenderedPageBreak/>
        <w:t xml:space="preserve">Part B. COLLECTION OF INFORMATION USING STATISTICAL METHODS </w:t>
      </w:r>
    </w:p>
    <w:p w14:paraId="00175097" w14:textId="77777777" w:rsidR="000C6D43" w:rsidRPr="00502114" w:rsidRDefault="000C6D43" w:rsidP="00502114">
      <w:pPr>
        <w:autoSpaceDE w:val="0"/>
        <w:autoSpaceDN w:val="0"/>
        <w:adjustRightInd w:val="0"/>
        <w:rPr>
          <w:b/>
        </w:rPr>
      </w:pPr>
    </w:p>
    <w:p w14:paraId="00175098" w14:textId="77777777" w:rsidR="000C6D43" w:rsidRPr="00502114" w:rsidRDefault="000C6D43" w:rsidP="00502114">
      <w:pPr>
        <w:autoSpaceDE w:val="0"/>
        <w:autoSpaceDN w:val="0"/>
        <w:adjustRightInd w:val="0"/>
        <w:rPr>
          <w:b/>
        </w:rPr>
      </w:pPr>
      <w:r w:rsidRPr="00502114">
        <w:rPr>
          <w:b/>
        </w:rPr>
        <w:t xml:space="preserve">B1. Sampling </w:t>
      </w:r>
    </w:p>
    <w:p w14:paraId="00175099" w14:textId="77777777" w:rsidR="000C6D43" w:rsidRPr="00502114" w:rsidRDefault="000C6D43" w:rsidP="00502114">
      <w:pPr>
        <w:rPr>
          <w:bCs/>
        </w:rPr>
      </w:pPr>
    </w:p>
    <w:p w14:paraId="0017509A" w14:textId="77777777" w:rsidR="00EB5DFD" w:rsidRPr="00502114" w:rsidRDefault="000C6D43" w:rsidP="00502114">
      <w:r w:rsidRPr="00502114">
        <w:rPr>
          <w:bCs/>
        </w:rPr>
        <w:t xml:space="preserve">The sampling plan for MIHOPE was described in the supporting statement for Phase 1 </w:t>
      </w:r>
      <w:r w:rsidR="009D3439" w:rsidRPr="00502114">
        <w:rPr>
          <w:bCs/>
        </w:rPr>
        <w:t xml:space="preserve">(MIHOPE 1) </w:t>
      </w:r>
      <w:r w:rsidRPr="00502114">
        <w:rPr>
          <w:bCs/>
        </w:rPr>
        <w:t>data collection activities</w:t>
      </w:r>
      <w:r w:rsidR="00AE3DBC" w:rsidRPr="00502114">
        <w:rPr>
          <w:bCs/>
        </w:rPr>
        <w:t xml:space="preserve"> (attached here)</w:t>
      </w:r>
      <w:r w:rsidRPr="00502114">
        <w:rPr>
          <w:bCs/>
        </w:rPr>
        <w:t xml:space="preserve">. MIHOPE </w:t>
      </w:r>
      <w:r w:rsidR="00241083" w:rsidRPr="00502114">
        <w:rPr>
          <w:bCs/>
        </w:rPr>
        <w:t>plans to recruit</w:t>
      </w:r>
      <w:r w:rsidRPr="00502114">
        <w:rPr>
          <w:bCs/>
        </w:rPr>
        <w:t xml:space="preserve"> </w:t>
      </w:r>
      <w:r w:rsidRPr="00502114">
        <w:t xml:space="preserve">approximately </w:t>
      </w:r>
      <w:r w:rsidR="00334CD9" w:rsidRPr="00502114">
        <w:t>4,300</w:t>
      </w:r>
      <w:r w:rsidRPr="00502114">
        <w:t xml:space="preserve"> </w:t>
      </w:r>
      <w:r w:rsidR="00241083" w:rsidRPr="00502114">
        <w:t xml:space="preserve">families from approximately 88 local programs (sites) in 12 states. Families will be randomly divided between a program group, which can be enrolled in one of the home visiting programs being studied, </w:t>
      </w:r>
      <w:proofErr w:type="gramStart"/>
      <w:r w:rsidR="00241083" w:rsidRPr="00502114">
        <w:t>or</w:t>
      </w:r>
      <w:proofErr w:type="gramEnd"/>
      <w:r w:rsidR="00241083" w:rsidRPr="00502114">
        <w:t xml:space="preserve"> a control group, which is being provided with referrals to other services in the community</w:t>
      </w:r>
      <w:r w:rsidRPr="00502114">
        <w:t xml:space="preserve">. Families </w:t>
      </w:r>
      <w:r w:rsidR="00D23BA4" w:rsidRPr="00502114">
        <w:t xml:space="preserve">are </w:t>
      </w:r>
      <w:r w:rsidRPr="00502114">
        <w:t xml:space="preserve">eligible for the study if the mother </w:t>
      </w:r>
      <w:r w:rsidR="00D23BA4" w:rsidRPr="00502114">
        <w:t xml:space="preserve">is </w:t>
      </w:r>
      <w:r w:rsidRPr="00502114">
        <w:t xml:space="preserve">pregnant or the family </w:t>
      </w:r>
      <w:r w:rsidR="00B975CC" w:rsidRPr="00502114">
        <w:t>ha</w:t>
      </w:r>
      <w:r w:rsidR="009D5E6A" w:rsidRPr="00502114">
        <w:t>s</w:t>
      </w:r>
      <w:r w:rsidR="00B975CC" w:rsidRPr="00502114">
        <w:t xml:space="preserve"> </w:t>
      </w:r>
      <w:r w:rsidRPr="00502114">
        <w:t>a child under six months old</w:t>
      </w:r>
      <w:r w:rsidR="00D23BA4" w:rsidRPr="00502114">
        <w:t xml:space="preserve"> when they were recruited for the study</w:t>
      </w:r>
      <w:r w:rsidRPr="00502114">
        <w:t xml:space="preserve">, the mother </w:t>
      </w:r>
      <w:r w:rsidR="009D5E6A" w:rsidRPr="00502114">
        <w:t>i</w:t>
      </w:r>
      <w:r w:rsidR="00B975CC" w:rsidRPr="00502114">
        <w:t xml:space="preserve">s </w:t>
      </w:r>
      <w:r w:rsidRPr="00502114">
        <w:t xml:space="preserve">15 years or older, and the mother </w:t>
      </w:r>
      <w:r w:rsidR="009D5E6A" w:rsidRPr="00502114">
        <w:t>i</w:t>
      </w:r>
      <w:r w:rsidR="00B975CC" w:rsidRPr="00502114">
        <w:t xml:space="preserve">s </w:t>
      </w:r>
      <w:r w:rsidRPr="00502114">
        <w:t>available to complete the baseline family survey. Local sites meet</w:t>
      </w:r>
      <w:r w:rsidR="00F21D97" w:rsidRPr="00502114">
        <w:t>ing</w:t>
      </w:r>
      <w:r w:rsidRPr="00502114">
        <w:t xml:space="preserve"> several criteria</w:t>
      </w:r>
      <w:r w:rsidR="00F21D97" w:rsidRPr="00502114">
        <w:t xml:space="preserve"> have been chosen</w:t>
      </w:r>
      <w:r w:rsidRPr="00502114">
        <w:t xml:space="preserve">: (1) operating programs that have existed for at least two years, (2) evidence of enough demand for home visiting services that they could provide a control group, (3) no evidence of severe implementation problems that would interfere with the program’s ability to participate in the study, and (4) a contribution to the diversity of sites and families for purposes of estimating effects for important subgroups of families. </w:t>
      </w:r>
      <w:r w:rsidR="00EB5DFD" w:rsidRPr="00502114">
        <w:t>The OMB supporting statement for</w:t>
      </w:r>
      <w:r w:rsidR="00F21D97" w:rsidRPr="00502114">
        <w:t xml:space="preserve"> the</w:t>
      </w:r>
      <w:r w:rsidR="00EB5DFD" w:rsidRPr="00502114">
        <w:t xml:space="preserve"> MIHOPE data collection</w:t>
      </w:r>
      <w:r w:rsidR="004E4FEB">
        <w:t xml:space="preserve"> (approved July 12, 2012)</w:t>
      </w:r>
      <w:r w:rsidR="00EB5DFD" w:rsidRPr="00502114">
        <w:t xml:space="preserve"> indicated that the sample is adequate to detect policy relevant impacts of home visiting, both overall, for key subgroups, and for each of the four evidence-based models included in the evaluation</w:t>
      </w:r>
      <w:r w:rsidR="00F21D97" w:rsidRPr="00502114">
        <w:t xml:space="preserve"> (see </w:t>
      </w:r>
      <w:r w:rsidR="00F53EC4" w:rsidRPr="00502114">
        <w:t>A</w:t>
      </w:r>
      <w:r w:rsidR="00BE79D4" w:rsidRPr="00502114">
        <w:t>ttachment</w:t>
      </w:r>
      <w:r w:rsidR="00F53EC4" w:rsidRPr="00502114">
        <w:t>s 1 and 2</w:t>
      </w:r>
      <w:r w:rsidR="00F21D97" w:rsidRPr="00502114">
        <w:t>)</w:t>
      </w:r>
      <w:r w:rsidR="00EB5DFD" w:rsidRPr="00502114">
        <w:t xml:space="preserve">. </w:t>
      </w:r>
    </w:p>
    <w:p w14:paraId="0017509B" w14:textId="77777777" w:rsidR="00EB5DFD" w:rsidRPr="00502114" w:rsidRDefault="00EB5DFD" w:rsidP="00502114"/>
    <w:p w14:paraId="0017509C" w14:textId="77777777" w:rsidR="00165F9F" w:rsidRDefault="000C6D43" w:rsidP="00502114">
      <w:r w:rsidRPr="00502114">
        <w:t xml:space="preserve">Families </w:t>
      </w:r>
      <w:r w:rsidR="00EB5DFD" w:rsidRPr="00502114">
        <w:t xml:space="preserve">are </w:t>
      </w:r>
      <w:r w:rsidRPr="00502114">
        <w:t xml:space="preserve">being recruited into the study by Mathematica’s survey research staff, who </w:t>
      </w:r>
      <w:r w:rsidR="00B975CC" w:rsidRPr="00502114">
        <w:t>visit</w:t>
      </w:r>
      <w:r w:rsidRPr="00502114">
        <w:t xml:space="preserve"> families to obtain informed consent when home visitors determine whether a family is eligible</w:t>
      </w:r>
      <w:r w:rsidR="00F21D97" w:rsidRPr="00502114">
        <w:t xml:space="preserve"> for the study</w:t>
      </w:r>
      <w:r w:rsidRPr="00502114">
        <w:t xml:space="preserve"> or soon after that determination has been made. </w:t>
      </w:r>
      <w:r w:rsidR="00165F9F" w:rsidRPr="00502114">
        <w:t xml:space="preserve">MIHOPE Check-in will collect additional information from families when the child is </w:t>
      </w:r>
      <w:r w:rsidR="00BE79D4" w:rsidRPr="00502114">
        <w:t xml:space="preserve">approximately </w:t>
      </w:r>
      <w:r w:rsidR="00165F9F" w:rsidRPr="00502114">
        <w:t>2.5, 3.5, and 4.5 years of age.</w:t>
      </w:r>
      <w:r w:rsidR="00230CE3" w:rsidRPr="00502114">
        <w:t xml:space="preserve"> </w:t>
      </w:r>
    </w:p>
    <w:p w14:paraId="0017509D" w14:textId="77777777" w:rsidR="004F04E2" w:rsidRDefault="004F04E2" w:rsidP="00502114"/>
    <w:p w14:paraId="0017509E" w14:textId="61AC3B0D" w:rsidR="004F04E2" w:rsidRPr="00502114" w:rsidRDefault="004F04E2" w:rsidP="00502114">
      <w:r>
        <w:t xml:space="preserve">As of May 13, 2015, 3,962 participants had completed the baseline survey (MIHOPE 1), with 1,976 participants randomized into the treatment group and 1,981 participants randomized into the control group. As of May 11, 2015, 1,529 participants were eligible for follow-up data collection activities </w:t>
      </w:r>
      <w:r w:rsidR="008A4CE8">
        <w:t xml:space="preserve">when children are 15 months old </w:t>
      </w:r>
      <w:r>
        <w:t xml:space="preserve">(MIHOPE 2), with 942 (455 treatment, 487 control) having completed the follow-up survey, 712 (352 treatment, 360 control) having completed the in-home assessments, and 670 participants having completed both the follow-up survey and the in-home assessments. Follow-up data collection </w:t>
      </w:r>
      <w:r w:rsidR="009007F0">
        <w:t xml:space="preserve">when children are 15 months old </w:t>
      </w:r>
      <w:r w:rsidR="008A4CE8">
        <w:t xml:space="preserve">(MIHOPE 2) </w:t>
      </w:r>
      <w:r>
        <w:t>has been challenging, with lower response rates and more in-person locating than expected, as discussed in the documentation submitted for the non-substantive change approved on April 22, 2015 (ICR Reference No: 201504-0970-001). As approved by OMB, the study plans to experiment with incentive amounts</w:t>
      </w:r>
      <w:r w:rsidR="00BE1C0C">
        <w:t xml:space="preserve"> on the 15-month data collection effort</w:t>
      </w:r>
      <w:r>
        <w:t xml:space="preserve"> </w:t>
      </w:r>
      <w:r w:rsidR="008A4CE8">
        <w:t xml:space="preserve">(MIHOPE 2) </w:t>
      </w:r>
      <w:r>
        <w:t xml:space="preserve">to see if they increase response rates. Specifically, the </w:t>
      </w:r>
      <w:r w:rsidR="009B340F">
        <w:t xml:space="preserve">15-month follow-up portion of the </w:t>
      </w:r>
      <w:r>
        <w:t>study will</w:t>
      </w:r>
      <w:r w:rsidR="009B340F">
        <w:t xml:space="preserve"> now</w:t>
      </w:r>
      <w:r>
        <w:t xml:space="preserve"> randomly assign potential respondents to one of three versions of incentives for the survey (current amount; greater amount; greater amount only if they call to complete the survey) and one of two levels of incentives for in-home data collection (current amount; double the current amount). Results will be reviewed with OMB in deciding which version of the incentives should be used once the experiment ends.</w:t>
      </w:r>
      <w:r w:rsidR="000C77BB">
        <w:t xml:space="preserve"> </w:t>
      </w:r>
      <w:r w:rsidR="00173A63">
        <w:t>As of July 2015, t</w:t>
      </w:r>
      <w:r w:rsidR="000C77BB">
        <w:t>his experiment is ongoing.</w:t>
      </w:r>
      <w:r w:rsidR="008A4CE8">
        <w:t xml:space="preserve"> </w:t>
      </w:r>
    </w:p>
    <w:p w14:paraId="0017509F" w14:textId="77777777" w:rsidR="000C6D43" w:rsidRPr="00502114" w:rsidRDefault="000C6D43" w:rsidP="00502114"/>
    <w:p w14:paraId="001750A0" w14:textId="77777777" w:rsidR="000C6D43" w:rsidRPr="00502114" w:rsidRDefault="000C6D43" w:rsidP="00502114">
      <w:pPr>
        <w:autoSpaceDE w:val="0"/>
        <w:autoSpaceDN w:val="0"/>
        <w:adjustRightInd w:val="0"/>
        <w:rPr>
          <w:b/>
        </w:rPr>
      </w:pPr>
      <w:r w:rsidRPr="00502114">
        <w:rPr>
          <w:b/>
        </w:rPr>
        <w:lastRenderedPageBreak/>
        <w:t xml:space="preserve">B2. Procedures for collection of information </w:t>
      </w:r>
    </w:p>
    <w:p w14:paraId="001750A1" w14:textId="77777777" w:rsidR="000C6D43" w:rsidRPr="00502114" w:rsidRDefault="000C6D43" w:rsidP="00502114"/>
    <w:p w14:paraId="001750A2" w14:textId="77777777" w:rsidR="000C6D43" w:rsidRPr="00502114" w:rsidRDefault="000C6D43" w:rsidP="00502114">
      <w:r w:rsidRPr="00502114">
        <w:t>This section describes the collection of follow</w:t>
      </w:r>
      <w:r w:rsidR="00712759" w:rsidRPr="00502114">
        <w:t>-</w:t>
      </w:r>
      <w:r w:rsidRPr="00502114">
        <w:t xml:space="preserve">up data for </w:t>
      </w:r>
      <w:r w:rsidR="00EB5DFD" w:rsidRPr="00502114">
        <w:t>MIHOPE Check-in</w:t>
      </w:r>
      <w:r w:rsidRPr="00502114">
        <w:t>. Best practices will be followed for conducting the data collection, including training and certifying staff on data collection procedures and monitoring data collection to ensure that high quality data are collected</w:t>
      </w:r>
      <w:r w:rsidR="00712759" w:rsidRPr="00502114">
        <w:t xml:space="preserve">, </w:t>
      </w:r>
      <w:r w:rsidRPr="00502114">
        <w:t>high response rates are achieved</w:t>
      </w:r>
      <w:r w:rsidR="00712759" w:rsidRPr="00502114">
        <w:t>, and differential response rates are avoided</w:t>
      </w:r>
      <w:r w:rsidRPr="00502114">
        <w:t>. Our follo</w:t>
      </w:r>
      <w:r w:rsidR="00EB5DFD" w:rsidRPr="00502114">
        <w:t>w</w:t>
      </w:r>
      <w:r w:rsidR="00712759" w:rsidRPr="00502114">
        <w:t>-</w:t>
      </w:r>
      <w:r w:rsidR="00EB5DFD" w:rsidRPr="00502114">
        <w:t>up data collection method</w:t>
      </w:r>
      <w:r w:rsidRPr="00502114">
        <w:t xml:space="preserve"> builds on the </w:t>
      </w:r>
      <w:r w:rsidR="00D23BA4" w:rsidRPr="00502114">
        <w:t xml:space="preserve">methods being used in </w:t>
      </w:r>
      <w:r w:rsidRPr="00502114">
        <w:t xml:space="preserve">MIHOPE </w:t>
      </w:r>
      <w:r w:rsidR="00D23BA4" w:rsidRPr="00502114">
        <w:t xml:space="preserve">to the extent possible. In particular, </w:t>
      </w:r>
    </w:p>
    <w:p w14:paraId="001750A3" w14:textId="77777777" w:rsidR="000C6D43" w:rsidRPr="00502114" w:rsidRDefault="000C6D43" w:rsidP="00502114"/>
    <w:p w14:paraId="001750A4" w14:textId="77777777" w:rsidR="003E3D37" w:rsidRPr="00502114" w:rsidRDefault="00165F9F"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Sample members </w:t>
      </w:r>
      <w:r w:rsidR="003E3D37" w:rsidRPr="00502114">
        <w:rPr>
          <w:sz w:val="24"/>
          <w:szCs w:val="24"/>
        </w:rPr>
        <w:t xml:space="preserve">will </w:t>
      </w:r>
      <w:r w:rsidR="00D66C94" w:rsidRPr="00502114">
        <w:rPr>
          <w:sz w:val="24"/>
          <w:szCs w:val="24"/>
        </w:rPr>
        <w:t>first be encouraged to complete the follow</w:t>
      </w:r>
      <w:r w:rsidR="004E0A1B" w:rsidRPr="00502114">
        <w:rPr>
          <w:sz w:val="24"/>
          <w:szCs w:val="24"/>
        </w:rPr>
        <w:t>-</w:t>
      </w:r>
      <w:r w:rsidR="00D66C94" w:rsidRPr="00502114">
        <w:rPr>
          <w:sz w:val="24"/>
          <w:szCs w:val="24"/>
        </w:rPr>
        <w:t xml:space="preserve">up survey </w:t>
      </w:r>
      <w:r w:rsidR="003E3D37" w:rsidRPr="00502114">
        <w:rPr>
          <w:sz w:val="24"/>
          <w:szCs w:val="24"/>
        </w:rPr>
        <w:t xml:space="preserve">online. </w:t>
      </w:r>
      <w:r w:rsidR="00D23BA4" w:rsidRPr="00502114">
        <w:rPr>
          <w:sz w:val="24"/>
          <w:szCs w:val="24"/>
        </w:rPr>
        <w:t xml:space="preserve">This option is being provided to increase response rates, reduce the level of effort needed to obtain survey responses, </w:t>
      </w:r>
      <w:r w:rsidR="006408CD" w:rsidRPr="00502114">
        <w:rPr>
          <w:sz w:val="24"/>
          <w:szCs w:val="24"/>
        </w:rPr>
        <w:t xml:space="preserve">reduce respondent burden, </w:t>
      </w:r>
      <w:r w:rsidR="00D23BA4" w:rsidRPr="00502114">
        <w:rPr>
          <w:sz w:val="24"/>
          <w:szCs w:val="24"/>
        </w:rPr>
        <w:t xml:space="preserve">and to provide </w:t>
      </w:r>
      <w:r w:rsidRPr="00502114">
        <w:rPr>
          <w:sz w:val="24"/>
          <w:szCs w:val="24"/>
        </w:rPr>
        <w:t xml:space="preserve">convenience and </w:t>
      </w:r>
      <w:r w:rsidR="00D50CC8" w:rsidRPr="00502114">
        <w:rPr>
          <w:sz w:val="24"/>
          <w:szCs w:val="24"/>
        </w:rPr>
        <w:t>privacy</w:t>
      </w:r>
      <w:r w:rsidR="00D23BA4" w:rsidRPr="00502114">
        <w:rPr>
          <w:sz w:val="24"/>
          <w:szCs w:val="24"/>
        </w:rPr>
        <w:t xml:space="preserve"> to respondents in completing the survey</w:t>
      </w:r>
      <w:r w:rsidR="003E3D37" w:rsidRPr="00502114">
        <w:rPr>
          <w:sz w:val="24"/>
          <w:szCs w:val="24"/>
        </w:rPr>
        <w:t>.</w:t>
      </w:r>
      <w:r w:rsidR="006408CD" w:rsidRPr="00502114">
        <w:rPr>
          <w:sz w:val="24"/>
          <w:szCs w:val="24"/>
        </w:rPr>
        <w:t xml:space="preserve"> </w:t>
      </w:r>
    </w:p>
    <w:p w14:paraId="001750A5" w14:textId="77777777" w:rsidR="000C6D43" w:rsidRPr="00502114" w:rsidRDefault="00D23BA4"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For those who do not complete the survey online, c</w:t>
      </w:r>
      <w:r w:rsidR="000C6D43" w:rsidRPr="00502114">
        <w:rPr>
          <w:sz w:val="24"/>
          <w:szCs w:val="24"/>
        </w:rPr>
        <w:t xml:space="preserve">omputer assisted telephone interviewing (CATI) will be used </w:t>
      </w:r>
      <w:r w:rsidR="00D66C94" w:rsidRPr="00502114">
        <w:rPr>
          <w:sz w:val="24"/>
          <w:szCs w:val="24"/>
        </w:rPr>
        <w:t>to conduct the survey</w:t>
      </w:r>
      <w:r w:rsidRPr="00502114">
        <w:rPr>
          <w:sz w:val="24"/>
          <w:szCs w:val="24"/>
        </w:rPr>
        <w:t xml:space="preserve">. </w:t>
      </w:r>
    </w:p>
    <w:p w14:paraId="001750A6" w14:textId="77777777" w:rsidR="000C6D43" w:rsidRPr="00502114" w:rsidRDefault="000C6D43" w:rsidP="00502114">
      <w:pPr>
        <w:pStyle w:val="ListParagraph"/>
        <w:numPr>
          <w:ilvl w:val="0"/>
          <w:numId w:val="5"/>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Tokens of appreciation will be provided to increase families’ willingness to respond to </w:t>
      </w:r>
      <w:r w:rsidR="00F04421" w:rsidRPr="00502114">
        <w:rPr>
          <w:sz w:val="24"/>
          <w:szCs w:val="24"/>
        </w:rPr>
        <w:t xml:space="preserve">each of </w:t>
      </w:r>
      <w:r w:rsidRPr="00502114">
        <w:rPr>
          <w:sz w:val="24"/>
          <w:szCs w:val="24"/>
        </w:rPr>
        <w:t>the follow</w:t>
      </w:r>
      <w:r w:rsidR="004E0A1B" w:rsidRPr="00502114">
        <w:rPr>
          <w:sz w:val="24"/>
          <w:szCs w:val="24"/>
        </w:rPr>
        <w:t>-</w:t>
      </w:r>
      <w:r w:rsidRPr="00502114">
        <w:rPr>
          <w:sz w:val="24"/>
          <w:szCs w:val="24"/>
        </w:rPr>
        <w:t>up survey</w:t>
      </w:r>
      <w:r w:rsidR="00165F9F" w:rsidRPr="00502114">
        <w:rPr>
          <w:sz w:val="24"/>
          <w:szCs w:val="24"/>
        </w:rPr>
        <w:t>s</w:t>
      </w:r>
      <w:r w:rsidR="00F67B4E" w:rsidRPr="00502114">
        <w:rPr>
          <w:sz w:val="24"/>
          <w:szCs w:val="24"/>
        </w:rPr>
        <w:t>.</w:t>
      </w:r>
    </w:p>
    <w:p w14:paraId="001750A7" w14:textId="77777777" w:rsidR="000C6D43" w:rsidRPr="00502114" w:rsidRDefault="000C6D43" w:rsidP="00502114">
      <w:pPr>
        <w:rPr>
          <w:i/>
        </w:rPr>
      </w:pPr>
    </w:p>
    <w:p w14:paraId="001750A8" w14:textId="77777777" w:rsidR="00D23BA4" w:rsidRPr="00502114" w:rsidRDefault="000C6D43" w:rsidP="00502114">
      <w:pPr>
        <w:keepNext/>
      </w:pPr>
      <w:r w:rsidRPr="00502114">
        <w:rPr>
          <w:u w:val="single"/>
        </w:rPr>
        <w:t>Conducting the Follow-Up Family Survey</w:t>
      </w:r>
    </w:p>
    <w:p w14:paraId="001750A9" w14:textId="77777777" w:rsidR="00D23BA4" w:rsidRPr="00502114" w:rsidRDefault="00D23BA4" w:rsidP="00502114">
      <w:pPr>
        <w:keepNext/>
      </w:pPr>
    </w:p>
    <w:p w14:paraId="001750AA" w14:textId="77777777" w:rsidR="006553F4" w:rsidRPr="00502114" w:rsidRDefault="007B78EC" w:rsidP="00502114">
      <w:pPr>
        <w:rPr>
          <w:rFonts w:eastAsiaTheme="minorHAnsi"/>
        </w:rPr>
      </w:pPr>
      <w:r w:rsidRPr="00502114">
        <w:t>Sample will be released for the follow-up family survey biannually. Each survey release will include families in which the focal child reached 2.5, 3.5, or 4.5 years of age during the prior 6 month period. Prior to each survey release, Mathematica will send the family an advance letter about the follow-up survey</w:t>
      </w:r>
      <w:r w:rsidR="00F53EC4" w:rsidRPr="00502114">
        <w:t xml:space="preserve"> (Attachment 4)</w:t>
      </w:r>
      <w:r w:rsidRPr="00502114">
        <w:t xml:space="preserve">. </w:t>
      </w:r>
      <w:r w:rsidRPr="00502114">
        <w:rPr>
          <w:rFonts w:eastAsiaTheme="minorHAnsi"/>
        </w:rPr>
        <w:t xml:space="preserve"> </w:t>
      </w:r>
      <w:r w:rsidR="00FB1D49" w:rsidRPr="00502114">
        <w:t xml:space="preserve">Families who provided an email address in </w:t>
      </w:r>
      <w:r w:rsidR="00457CF7" w:rsidRPr="00502114">
        <w:t>a prior round of the survey will also be sent an email</w:t>
      </w:r>
      <w:r w:rsidR="00F53EC4" w:rsidRPr="00502114">
        <w:t xml:space="preserve"> (Attachment </w:t>
      </w:r>
      <w:r w:rsidR="00F550E7" w:rsidRPr="00502114">
        <w:t>4</w:t>
      </w:r>
      <w:r w:rsidR="00F53EC4" w:rsidRPr="00502114">
        <w:t>)</w:t>
      </w:r>
      <w:r w:rsidR="00457CF7" w:rsidRPr="00502114">
        <w:t xml:space="preserve">. Both the email and the advance letter will contain information about the study, </w:t>
      </w:r>
      <w:r w:rsidR="003F5132" w:rsidRPr="00502114">
        <w:t xml:space="preserve">the web survey URL and the family’s unique username and password, </w:t>
      </w:r>
      <w:r w:rsidR="00457CF7" w:rsidRPr="0010727A">
        <w:t xml:space="preserve">the gift card amount </w:t>
      </w:r>
      <w:r w:rsidR="0010727A">
        <w:t xml:space="preserve">to be </w:t>
      </w:r>
      <w:r w:rsidR="00457CF7" w:rsidRPr="0010727A">
        <w:t>provided for completing the survey</w:t>
      </w:r>
      <w:r w:rsidR="00457CF7" w:rsidRPr="00502114">
        <w:t xml:space="preserve">, and a toll-free number to contact the study team. </w:t>
      </w:r>
      <w:r w:rsidR="00473212" w:rsidRPr="00502114">
        <w:t xml:space="preserve">Families </w:t>
      </w:r>
      <w:r w:rsidR="00982C12" w:rsidRPr="00502114">
        <w:t>who did not provide an email address will receive a postcard in the mail</w:t>
      </w:r>
      <w:r w:rsidR="00F53EC4" w:rsidRPr="00502114">
        <w:t xml:space="preserve"> </w:t>
      </w:r>
      <w:r w:rsidR="00FF63EC" w:rsidRPr="00502114">
        <w:t xml:space="preserve">one week after the advance letter is sent out, while those with email addresses will receive a second email </w:t>
      </w:r>
      <w:r w:rsidR="00F53EC4" w:rsidRPr="00502114">
        <w:t xml:space="preserve">(Attachment </w:t>
      </w:r>
      <w:r w:rsidR="00F550E7" w:rsidRPr="00502114">
        <w:t>4</w:t>
      </w:r>
      <w:r w:rsidR="00F53EC4" w:rsidRPr="00502114">
        <w:t>)</w:t>
      </w:r>
      <w:r w:rsidR="00807B61" w:rsidRPr="00502114">
        <w:t>, subsequent to their receipt of the advance letter</w:t>
      </w:r>
      <w:r w:rsidR="00982C12" w:rsidRPr="00502114">
        <w:t xml:space="preserve">. Telephone interviewers at Mathematica’s Survey Operations Center </w:t>
      </w:r>
      <w:r w:rsidR="00EA083F" w:rsidRPr="00502114">
        <w:t>(SOC)</w:t>
      </w:r>
      <w:r w:rsidR="00457CF7" w:rsidRPr="00502114">
        <w:t xml:space="preserve"> will begin trying to contact </w:t>
      </w:r>
      <w:r w:rsidR="00982C12" w:rsidRPr="00502114">
        <w:t>families who have not yet completed the survey</w:t>
      </w:r>
      <w:r w:rsidR="00FF63EC" w:rsidRPr="00502114">
        <w:t xml:space="preserve"> two weeks after the advance letter is mailed</w:t>
      </w:r>
      <w:r w:rsidR="00B712FC" w:rsidRPr="00502114">
        <w:t xml:space="preserve">. </w:t>
      </w:r>
      <w:r w:rsidR="00FF63EC" w:rsidRPr="00502114">
        <w:t xml:space="preserve">Telephone interviewers will call </w:t>
      </w:r>
      <w:proofErr w:type="spellStart"/>
      <w:r w:rsidR="00FF63EC" w:rsidRPr="00502114">
        <w:t>nonresponding</w:t>
      </w:r>
      <w:proofErr w:type="spellEnd"/>
      <w:r w:rsidR="00FF63EC" w:rsidRPr="00502114">
        <w:t xml:space="preserve"> families who do not have an email address for six weeks. If the family does have an email address, Mathematica telephone interviewers will begin trying to reach them four weeks after mailing the advance letter and will continue calling for an additional four weeks. These families will receive an additional email reminder about the survey three weeks after the initial email is sent. </w:t>
      </w:r>
      <w:r w:rsidR="00457CF7" w:rsidRPr="00502114">
        <w:t xml:space="preserve">Field locators will begin working cases if telephone attempts </w:t>
      </w:r>
      <w:r w:rsidR="0000766A" w:rsidRPr="00502114">
        <w:t xml:space="preserve">do </w:t>
      </w:r>
      <w:r w:rsidR="00457CF7" w:rsidRPr="00502114">
        <w:t xml:space="preserve">not yield successful contact </w:t>
      </w:r>
      <w:r w:rsidR="00EA083F" w:rsidRPr="00502114">
        <w:t xml:space="preserve">with the family </w:t>
      </w:r>
      <w:r w:rsidR="00457CF7" w:rsidRPr="00502114">
        <w:t>and completion of the survey</w:t>
      </w:r>
      <w:r w:rsidR="00FF63EC" w:rsidRPr="00502114">
        <w:t xml:space="preserve"> within eight weeks of the advance letter being mailed</w:t>
      </w:r>
      <w:r w:rsidR="00B712FC" w:rsidRPr="00502114">
        <w:t xml:space="preserve">. </w:t>
      </w:r>
      <w:r w:rsidR="003F5132" w:rsidRPr="00502114">
        <w:t xml:space="preserve">In addition to the methods mentioned above, we will utilize a variety of methods throughout the data collection period to remind respondents about completing the survey including additional postcards, letters, emails, </w:t>
      </w:r>
      <w:r w:rsidR="006553F4" w:rsidRPr="00502114">
        <w:t xml:space="preserve">and </w:t>
      </w:r>
      <w:r w:rsidR="003F5132" w:rsidRPr="00502114">
        <w:t>text messages</w:t>
      </w:r>
      <w:r w:rsidR="00F550E7" w:rsidRPr="00502114">
        <w:t xml:space="preserve"> (Attachment 4</w:t>
      </w:r>
      <w:r w:rsidR="00F53EC4" w:rsidRPr="00502114">
        <w:t>)</w:t>
      </w:r>
      <w:r w:rsidR="003F5132" w:rsidRPr="00502114">
        <w:t>.</w:t>
      </w:r>
      <w:r w:rsidR="00B712FC" w:rsidRPr="00502114">
        <w:t xml:space="preserve"> </w:t>
      </w:r>
      <w:r w:rsidRPr="00502114">
        <w:t>During each follow-up survey, we will ask families about their preferred method of contact (i.e., mail, phone, email, text message). We will concentrate our contacting efforts in future survey rounds on the preferred method o</w:t>
      </w:r>
      <w:r w:rsidR="0024796B" w:rsidRPr="00502114">
        <w:t>f contact for each family</w:t>
      </w:r>
      <w:r w:rsidR="00B712FC" w:rsidRPr="00502114">
        <w:t>.</w:t>
      </w:r>
      <w:r w:rsidR="003F5132" w:rsidRPr="00502114">
        <w:t xml:space="preserve"> </w:t>
      </w:r>
    </w:p>
    <w:p w14:paraId="001750AB" w14:textId="77777777" w:rsidR="00343086" w:rsidRDefault="00343086" w:rsidP="00502114">
      <w:pPr>
        <w:tabs>
          <w:tab w:val="left" w:pos="432"/>
        </w:tabs>
      </w:pPr>
    </w:p>
    <w:p w14:paraId="001750AC" w14:textId="77777777" w:rsidR="006553F4" w:rsidRPr="00502114" w:rsidRDefault="00CE6750" w:rsidP="00502114">
      <w:pPr>
        <w:tabs>
          <w:tab w:val="left" w:pos="432"/>
        </w:tabs>
      </w:pPr>
      <w:r w:rsidRPr="00502114">
        <w:lastRenderedPageBreak/>
        <w:t xml:space="preserve">We plan to develop and maintain a study Facebook profile to maintain contact and relay information about the study to participating families. We plan to use Facebook as a tool for directly contacting study participants who are not reachable through other means, </w:t>
      </w:r>
      <w:r w:rsidR="00FB4CD4" w:rsidRPr="00502114">
        <w:t xml:space="preserve">as </w:t>
      </w:r>
      <w:r w:rsidRPr="00502114">
        <w:t>well</w:t>
      </w:r>
      <w:r w:rsidR="00FB4CD4" w:rsidRPr="00502114">
        <w:t xml:space="preserve"> as using </w:t>
      </w:r>
      <w:r w:rsidRPr="00502114">
        <w:t>it as a locating tool. Facebook pages of participating families may contain contact information such as a phone number, email address, or mailing address that is not available through other sources. Facebook users tend to monitor and maintain</w:t>
      </w:r>
      <w:r w:rsidR="00DC127B" w:rsidRPr="00502114">
        <w:t xml:space="preserve"> their pages actively and consistently compared with other forms of contact, such as phone number or email address, which may be changed frequently or be used less often by members of a young, mobile population. </w:t>
      </w:r>
      <w:r w:rsidRPr="00502114">
        <w:t xml:space="preserve">During </w:t>
      </w:r>
      <w:r w:rsidR="00FB4CD4" w:rsidRPr="00502114">
        <w:t>each survey round</w:t>
      </w:r>
      <w:r w:rsidRPr="00502114">
        <w:t xml:space="preserve">, we will ask families if they have a Facebook profile, the email address they use on the profile, and </w:t>
      </w:r>
      <w:r w:rsidR="00BF5535" w:rsidRPr="00502114">
        <w:t xml:space="preserve">we </w:t>
      </w:r>
      <w:r w:rsidRPr="00502114">
        <w:t>will obtain their consent to contact them via Facebook. If the family has a Facebook profile and consents to be contacted this way, we will send the family a friend request</w:t>
      </w:r>
      <w:r w:rsidR="00FB4CD4" w:rsidRPr="00502114">
        <w:t xml:space="preserve"> (if the family is not our “friend” already)</w:t>
      </w:r>
      <w:r w:rsidRPr="00502114">
        <w:t xml:space="preserve">. Our study Facebook profile will have privacy settings such that families who friend the study cannot see each other. This will ensure </w:t>
      </w:r>
      <w:r w:rsidR="00FB4CD4" w:rsidRPr="00502114">
        <w:t xml:space="preserve">that </w:t>
      </w:r>
      <w:r w:rsidRPr="00502114">
        <w:t xml:space="preserve">the </w:t>
      </w:r>
      <w:r w:rsidR="00FB4CD4" w:rsidRPr="00502114">
        <w:t>identities</w:t>
      </w:r>
      <w:r w:rsidRPr="00502114">
        <w:t xml:space="preserve"> of families pa</w:t>
      </w:r>
      <w:r w:rsidR="00FB4CD4" w:rsidRPr="00502114">
        <w:t>rticipating in the study remain</w:t>
      </w:r>
      <w:r w:rsidRPr="00502114">
        <w:t xml:space="preserve"> private.</w:t>
      </w:r>
      <w:r w:rsidR="00FB4CD4" w:rsidRPr="00502114">
        <w:t xml:space="preserve"> Periodically we will post updates about the study to the Facebook profile to keep families informed about what’s happening </w:t>
      </w:r>
      <w:r w:rsidR="006649B1">
        <w:t>with</w:t>
      </w:r>
      <w:r w:rsidR="006649B1" w:rsidRPr="00502114">
        <w:t xml:space="preserve"> </w:t>
      </w:r>
      <w:r w:rsidR="00FB4CD4" w:rsidRPr="00502114">
        <w:t>the study.</w:t>
      </w:r>
    </w:p>
    <w:p w14:paraId="001750AD" w14:textId="77777777" w:rsidR="00CE6750" w:rsidRPr="00502114" w:rsidRDefault="00CE6750" w:rsidP="00502114"/>
    <w:p w14:paraId="001750AE" w14:textId="77777777" w:rsidR="00C06110" w:rsidRPr="00502114" w:rsidRDefault="00916118" w:rsidP="00502114">
      <w:r w:rsidRPr="00502114">
        <w:t xml:space="preserve">Prior to beginning administration of </w:t>
      </w:r>
      <w:r w:rsidR="00D40F4C" w:rsidRPr="00502114">
        <w:t xml:space="preserve">the 2.5 year survey, we will </w:t>
      </w:r>
      <w:r w:rsidR="00EA530F" w:rsidRPr="00502114">
        <w:t>obtain verbal consent for th</w:t>
      </w:r>
      <w:r w:rsidR="00D95396">
        <w:t>e</w:t>
      </w:r>
      <w:r w:rsidR="00EA530F" w:rsidRPr="00502114">
        <w:t xml:space="preserve"> survey </w:t>
      </w:r>
      <w:r w:rsidR="00D95396">
        <w:t xml:space="preserve">if </w:t>
      </w:r>
      <w:r w:rsidR="008F7246">
        <w:t>it will be</w:t>
      </w:r>
      <w:r w:rsidR="00D95396">
        <w:t xml:space="preserve"> conducted over the phone. The web version of the survey will contain the same language about the purpose of the survey, the expected time to complete the survey, and the voluntary nature of the survey. </w:t>
      </w:r>
      <w:proofErr w:type="gramStart"/>
      <w:r w:rsidR="00CD763E" w:rsidRPr="00502114">
        <w:t>(Attachment 3).</w:t>
      </w:r>
      <w:proofErr w:type="gramEnd"/>
      <w:r w:rsidR="00CD763E" w:rsidRPr="00502114">
        <w:t xml:space="preserve"> </w:t>
      </w:r>
    </w:p>
    <w:p w14:paraId="001750AF" w14:textId="77777777" w:rsidR="00C06110" w:rsidRPr="00502114" w:rsidRDefault="00C06110" w:rsidP="00502114"/>
    <w:p w14:paraId="001750B0" w14:textId="5FFB458A" w:rsidR="00314052" w:rsidRPr="00502114" w:rsidRDefault="00B31358" w:rsidP="00502114">
      <w:r w:rsidRPr="00502114">
        <w:t>To help inform future data collection for MIHOPE and other studies, we are conduct</w:t>
      </w:r>
      <w:r w:rsidR="00165D79">
        <w:t>ing</w:t>
      </w:r>
      <w:r w:rsidRPr="00502114">
        <w:t xml:space="preserve"> an experiment on incentives</w:t>
      </w:r>
      <w:r w:rsidR="003B79A0">
        <w:t>, as previously approved by OMB (</w:t>
      </w:r>
      <w:r w:rsidR="003B79A0" w:rsidRPr="00461151">
        <w:t xml:space="preserve">OMB Control No: 0970-0402, approved </w:t>
      </w:r>
      <w:r w:rsidR="003B79A0">
        <w:t>08/06/2015)</w:t>
      </w:r>
      <w:r w:rsidRPr="00502114">
        <w:t xml:space="preserve"> </w:t>
      </w:r>
      <w:r w:rsidR="00314052" w:rsidRPr="00502114">
        <w:t xml:space="preserve">We </w:t>
      </w:r>
      <w:r w:rsidR="00165D79">
        <w:t>are</w:t>
      </w:r>
      <w:r w:rsidR="00314052" w:rsidRPr="00502114">
        <w:t xml:space="preserve"> test</w:t>
      </w:r>
      <w:r w:rsidR="00165D79">
        <w:t>ing</w:t>
      </w:r>
      <w:r w:rsidR="00314052" w:rsidRPr="00502114">
        <w:t xml:space="preserve"> two commonly used incentive structures, prepaid incentives and early bird incentives, to examine the best method for maximizing survey response among a low-income</w:t>
      </w:r>
      <w:r w:rsidR="008F7246">
        <w:t>, highly mobile</w:t>
      </w:r>
      <w:r w:rsidR="00314052" w:rsidRPr="00502114">
        <w:t xml:space="preserve"> population. Researchers have long regarded prepaid incentives as having the potential to generate increased response rates to surveys (Cantor et al. 2008; Singer et al. 1999). </w:t>
      </w:r>
      <w:r w:rsidR="006649B1">
        <w:t>Furthermore, e</w:t>
      </w:r>
      <w:r w:rsidR="00314052" w:rsidRPr="00502114">
        <w:t>arly bird incentives have been shown to decrease the number of days to complete a survey, which can lead to a decrease in the total survey field period and potentially result in lower costs (</w:t>
      </w:r>
      <w:proofErr w:type="spellStart"/>
      <w:r w:rsidR="00314052" w:rsidRPr="00502114">
        <w:t>LeClere</w:t>
      </w:r>
      <w:proofErr w:type="spellEnd"/>
      <w:r w:rsidR="00314052" w:rsidRPr="00502114">
        <w:t xml:space="preserve"> et al. 2012).</w:t>
      </w:r>
    </w:p>
    <w:p w14:paraId="001750B1" w14:textId="77777777" w:rsidR="00314052" w:rsidRPr="00502114" w:rsidRDefault="00314052" w:rsidP="00502114"/>
    <w:p w14:paraId="001750B2" w14:textId="45A7A018" w:rsidR="00B31358" w:rsidRDefault="00314052" w:rsidP="00502114">
      <w:r w:rsidRPr="00502114">
        <w:t>I</w:t>
      </w:r>
      <w:r w:rsidR="00B31358" w:rsidRPr="00502114">
        <w:t xml:space="preserve">ndividuals </w:t>
      </w:r>
      <w:proofErr w:type="gramStart"/>
      <w:r w:rsidR="001C2D77">
        <w:t>are</w:t>
      </w:r>
      <w:r w:rsidR="00B31358" w:rsidRPr="00502114">
        <w:t xml:space="preserve"> divided</w:t>
      </w:r>
      <w:proofErr w:type="gramEnd"/>
      <w:r w:rsidR="00B31358" w:rsidRPr="00502114">
        <w:t xml:space="preserve"> into the following four groups, depending on whether they are offered an additional “early bird” incentive for completing the survey quickly or a prepaid incentive that would include $5 of the incentive as part of the advance letter and the remainder after completing the survey. </w:t>
      </w:r>
    </w:p>
    <w:p w14:paraId="1AE03F57" w14:textId="77777777" w:rsidR="000B1FD5" w:rsidRDefault="000B1FD5" w:rsidP="00502114"/>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B1FD5" w:rsidRPr="00502114" w14:paraId="2AB78684" w14:textId="77777777" w:rsidTr="000B1FD5">
        <w:tc>
          <w:tcPr>
            <w:tcW w:w="2952" w:type="dxa"/>
            <w:shd w:val="clear" w:color="auto" w:fill="auto"/>
          </w:tcPr>
          <w:p w14:paraId="26A1DF8B" w14:textId="77777777" w:rsidR="000B1FD5" w:rsidRPr="00502114" w:rsidRDefault="000B1FD5" w:rsidP="000B1FD5">
            <w:pPr>
              <w:jc w:val="center"/>
            </w:pPr>
            <w:r w:rsidRPr="00502114">
              <w:t>Early bird incentive</w:t>
            </w:r>
          </w:p>
        </w:tc>
        <w:tc>
          <w:tcPr>
            <w:tcW w:w="5904" w:type="dxa"/>
            <w:gridSpan w:val="2"/>
            <w:shd w:val="clear" w:color="auto" w:fill="auto"/>
          </w:tcPr>
          <w:p w14:paraId="2B099C22" w14:textId="77777777" w:rsidR="000B1FD5" w:rsidRPr="00502114" w:rsidRDefault="000B1FD5" w:rsidP="000B1FD5">
            <w:pPr>
              <w:jc w:val="center"/>
            </w:pPr>
            <w:r w:rsidRPr="00502114">
              <w:t>Prepaid incentive</w:t>
            </w:r>
          </w:p>
        </w:tc>
      </w:tr>
      <w:tr w:rsidR="000B1FD5" w:rsidRPr="00502114" w14:paraId="28F8531A" w14:textId="77777777" w:rsidTr="000B1FD5">
        <w:tc>
          <w:tcPr>
            <w:tcW w:w="2952" w:type="dxa"/>
            <w:shd w:val="clear" w:color="auto" w:fill="auto"/>
          </w:tcPr>
          <w:p w14:paraId="5DB03857" w14:textId="77777777" w:rsidR="000B1FD5" w:rsidRPr="000B1FD5" w:rsidRDefault="000B1FD5" w:rsidP="000B1FD5"/>
        </w:tc>
        <w:tc>
          <w:tcPr>
            <w:tcW w:w="2952" w:type="dxa"/>
            <w:shd w:val="clear" w:color="auto" w:fill="auto"/>
          </w:tcPr>
          <w:p w14:paraId="4C6E38E6" w14:textId="77777777" w:rsidR="000B1FD5" w:rsidRPr="000B1FD5" w:rsidRDefault="000B1FD5" w:rsidP="000B1FD5">
            <w:r w:rsidRPr="000B1FD5">
              <w:t>No</w:t>
            </w:r>
          </w:p>
        </w:tc>
        <w:tc>
          <w:tcPr>
            <w:tcW w:w="2952" w:type="dxa"/>
            <w:shd w:val="clear" w:color="auto" w:fill="auto"/>
          </w:tcPr>
          <w:p w14:paraId="3B899A7C" w14:textId="77777777" w:rsidR="000B1FD5" w:rsidRPr="000B1FD5" w:rsidRDefault="000B1FD5" w:rsidP="000B1FD5">
            <w:r w:rsidRPr="000B1FD5">
              <w:t>Yes</w:t>
            </w:r>
          </w:p>
        </w:tc>
      </w:tr>
      <w:tr w:rsidR="000B1FD5" w:rsidRPr="00502114" w14:paraId="145BF121" w14:textId="77777777" w:rsidTr="000B1FD5">
        <w:tc>
          <w:tcPr>
            <w:tcW w:w="2952" w:type="dxa"/>
            <w:shd w:val="clear" w:color="auto" w:fill="auto"/>
          </w:tcPr>
          <w:p w14:paraId="5998CDEE" w14:textId="77777777" w:rsidR="000B1FD5" w:rsidRPr="000B1FD5" w:rsidRDefault="000B1FD5" w:rsidP="000B1FD5">
            <w:r w:rsidRPr="000B1FD5">
              <w:t>No</w:t>
            </w:r>
          </w:p>
        </w:tc>
        <w:tc>
          <w:tcPr>
            <w:tcW w:w="2952" w:type="dxa"/>
            <w:shd w:val="clear" w:color="auto" w:fill="auto"/>
          </w:tcPr>
          <w:p w14:paraId="56211A39" w14:textId="77777777" w:rsidR="000B1FD5" w:rsidRPr="000B1FD5" w:rsidRDefault="000B1FD5" w:rsidP="000B1FD5">
            <w:r w:rsidRPr="000B1FD5">
              <w:t>$15 after completing the survey</w:t>
            </w:r>
          </w:p>
        </w:tc>
        <w:tc>
          <w:tcPr>
            <w:tcW w:w="2952" w:type="dxa"/>
            <w:shd w:val="clear" w:color="auto" w:fill="auto"/>
          </w:tcPr>
          <w:p w14:paraId="4EF7D2B9" w14:textId="77777777" w:rsidR="000B1FD5" w:rsidRPr="000B1FD5" w:rsidRDefault="000B1FD5" w:rsidP="000B1FD5">
            <w:r w:rsidRPr="000B1FD5">
              <w:t>$5 with advance letter, $10 after completing the survey</w:t>
            </w:r>
          </w:p>
        </w:tc>
      </w:tr>
      <w:tr w:rsidR="000B1FD5" w:rsidRPr="00502114" w14:paraId="6D251062" w14:textId="77777777" w:rsidTr="000B1FD5">
        <w:tc>
          <w:tcPr>
            <w:tcW w:w="2952" w:type="dxa"/>
            <w:shd w:val="clear" w:color="auto" w:fill="auto"/>
          </w:tcPr>
          <w:p w14:paraId="263E4460" w14:textId="77777777" w:rsidR="000B1FD5" w:rsidRPr="000B1FD5" w:rsidRDefault="000B1FD5" w:rsidP="000B1FD5">
            <w:r w:rsidRPr="000B1FD5">
              <w:t>Yes</w:t>
            </w:r>
          </w:p>
        </w:tc>
        <w:tc>
          <w:tcPr>
            <w:tcW w:w="2952" w:type="dxa"/>
            <w:shd w:val="clear" w:color="auto" w:fill="auto"/>
          </w:tcPr>
          <w:p w14:paraId="3DD1D1FE" w14:textId="77777777" w:rsidR="000B1FD5" w:rsidRPr="000B1FD5" w:rsidRDefault="000B1FD5" w:rsidP="000B1FD5">
            <w:r w:rsidRPr="000B1FD5">
              <w:t>$25 if survey completed within 8 weeks, $15 otherwise</w:t>
            </w:r>
          </w:p>
        </w:tc>
        <w:tc>
          <w:tcPr>
            <w:tcW w:w="2952" w:type="dxa"/>
            <w:shd w:val="clear" w:color="auto" w:fill="auto"/>
          </w:tcPr>
          <w:p w14:paraId="3571E32D" w14:textId="77777777" w:rsidR="000B1FD5" w:rsidRPr="000B1FD5" w:rsidRDefault="000B1FD5" w:rsidP="000B1FD5">
            <w:r w:rsidRPr="000B1FD5">
              <w:t>$5 with advance letter, remainder ($20 if survey completed within 8 weeks, $10 otherwise) after completing the survey</w:t>
            </w:r>
          </w:p>
        </w:tc>
      </w:tr>
    </w:tbl>
    <w:p w14:paraId="27EA9F7C" w14:textId="77777777" w:rsidR="000B1FD5" w:rsidRDefault="000B1FD5" w:rsidP="00502114"/>
    <w:p w14:paraId="6EF51855" w14:textId="77777777" w:rsidR="000B1FD5" w:rsidRDefault="000B1FD5" w:rsidP="00502114"/>
    <w:p w14:paraId="4BB36F3D" w14:textId="77777777" w:rsidR="000B1FD5" w:rsidRDefault="000B1FD5" w:rsidP="00502114"/>
    <w:p w14:paraId="001750B3" w14:textId="77777777" w:rsidR="009633AE" w:rsidRDefault="009633AE" w:rsidP="00502114"/>
    <w:p w14:paraId="41F2740A" w14:textId="77777777" w:rsidR="000B1FD5" w:rsidRDefault="000B1FD5" w:rsidP="00502114"/>
    <w:p w14:paraId="0D5A87F7" w14:textId="77777777" w:rsidR="000B1FD5" w:rsidRDefault="000B1FD5" w:rsidP="00502114"/>
    <w:p w14:paraId="651ECA85" w14:textId="77777777" w:rsidR="000B1FD5" w:rsidRDefault="000B1FD5" w:rsidP="00502114"/>
    <w:p w14:paraId="694C4E92" w14:textId="77777777" w:rsidR="000B1FD5" w:rsidRDefault="000B1FD5" w:rsidP="00502114"/>
    <w:p w14:paraId="2F6F135A" w14:textId="77777777" w:rsidR="000B1FD5" w:rsidRDefault="000B1FD5" w:rsidP="00502114"/>
    <w:p w14:paraId="53463524" w14:textId="77777777" w:rsidR="000B1FD5" w:rsidRDefault="000B1FD5" w:rsidP="00502114"/>
    <w:p w14:paraId="001750C6" w14:textId="4AB584D8" w:rsidR="00502114" w:rsidRDefault="000B1FD5" w:rsidP="000B1FD5">
      <w:r>
        <w:t xml:space="preserve"> </w:t>
      </w:r>
      <w:r w:rsidR="00165D79">
        <w:t>As we indicated in an earlier version of this Supporting Statement</w:t>
      </w:r>
      <w:r w:rsidR="001C4CE9">
        <w:t xml:space="preserve"> </w:t>
      </w:r>
      <w:r w:rsidR="001C4CE9" w:rsidRPr="00461151">
        <w:t xml:space="preserve">(OMB Control No: 0970-0402, approved </w:t>
      </w:r>
      <w:r w:rsidR="001C4CE9">
        <w:t>08/06/2015)</w:t>
      </w:r>
      <w:r w:rsidR="00165D79">
        <w:t>, we are proposing to use the interim results of the experiment to inform the incentive chosen for the second round of data collection (when children are 3½ years old). To make this decision, we looked at response rates in each of the experimental groups through week 8</w:t>
      </w:r>
      <w:r w:rsidR="001C2D77">
        <w:t xml:space="preserve"> for our current sample</w:t>
      </w:r>
      <w:r w:rsidR="00165D79">
        <w:t xml:space="preserve">. </w:t>
      </w:r>
      <w:r w:rsidR="001C2D77">
        <w:t>(We are particularly interested in maximizing response rates before field locating begins in week 9 since data collection efforts become much more costly at that point). Week 8 response rates</w:t>
      </w:r>
      <w:r w:rsidR="00165D79">
        <w:t xml:space="preserve"> are shown below for the first two sample releases of the 2½ year old survey round (n=688).</w:t>
      </w:r>
    </w:p>
    <w:p w14:paraId="0ADCAA61" w14:textId="77777777" w:rsidR="001C2D77" w:rsidRDefault="001C2D77" w:rsidP="00502114">
      <w:pPr>
        <w:autoSpaceDE w:val="0"/>
        <w:autoSpaceDN w:val="0"/>
        <w:adjustRightInd w:val="0"/>
      </w:pPr>
    </w:p>
    <w:p w14:paraId="44FDAC8F" w14:textId="77777777" w:rsidR="001C2D77" w:rsidRPr="00461151" w:rsidRDefault="001C2D77" w:rsidP="001C2D77"/>
    <w:tbl>
      <w:tblPr>
        <w:tblStyle w:val="TableGrid"/>
        <w:tblW w:w="0" w:type="auto"/>
        <w:tblInd w:w="570" w:type="dxa"/>
        <w:tblLook w:val="04A0" w:firstRow="1" w:lastRow="0" w:firstColumn="1" w:lastColumn="0" w:noHBand="0" w:noVBand="1"/>
      </w:tblPr>
      <w:tblGrid>
        <w:gridCol w:w="2448"/>
        <w:gridCol w:w="1782"/>
      </w:tblGrid>
      <w:tr w:rsidR="001C2D77" w:rsidRPr="00461151" w14:paraId="49A9341D" w14:textId="77777777" w:rsidTr="004E3797">
        <w:tc>
          <w:tcPr>
            <w:tcW w:w="2448" w:type="dxa"/>
            <w:vAlign w:val="center"/>
          </w:tcPr>
          <w:p w14:paraId="52D1C2AA" w14:textId="77777777" w:rsidR="001C2D77" w:rsidRPr="00461151" w:rsidRDefault="001C2D77" w:rsidP="004E3797">
            <w:pPr>
              <w:jc w:val="center"/>
              <w:rPr>
                <w:b/>
              </w:rPr>
            </w:pPr>
            <w:r w:rsidRPr="00461151">
              <w:rPr>
                <w:b/>
              </w:rPr>
              <w:t>Experimental Group</w:t>
            </w:r>
          </w:p>
        </w:tc>
        <w:tc>
          <w:tcPr>
            <w:tcW w:w="1782" w:type="dxa"/>
            <w:vAlign w:val="center"/>
          </w:tcPr>
          <w:p w14:paraId="5425CFFE" w14:textId="77777777" w:rsidR="001C2D77" w:rsidRPr="00461151" w:rsidRDefault="001C2D77" w:rsidP="004E3797">
            <w:pPr>
              <w:jc w:val="center"/>
              <w:rPr>
                <w:b/>
              </w:rPr>
            </w:pPr>
            <w:r w:rsidRPr="00461151">
              <w:rPr>
                <w:b/>
              </w:rPr>
              <w:t>Response Rate</w:t>
            </w:r>
          </w:p>
        </w:tc>
      </w:tr>
      <w:tr w:rsidR="001C2D77" w:rsidRPr="00461151" w14:paraId="34A4A36B" w14:textId="77777777" w:rsidTr="004E3797">
        <w:tc>
          <w:tcPr>
            <w:tcW w:w="2448" w:type="dxa"/>
            <w:vAlign w:val="center"/>
          </w:tcPr>
          <w:p w14:paraId="7B412B80" w14:textId="77777777" w:rsidR="001C2D77" w:rsidRPr="00461151" w:rsidRDefault="001C2D77" w:rsidP="004E3797">
            <w:pPr>
              <w:jc w:val="center"/>
            </w:pPr>
            <w:r w:rsidRPr="00461151">
              <w:t>Control</w:t>
            </w:r>
          </w:p>
        </w:tc>
        <w:tc>
          <w:tcPr>
            <w:tcW w:w="1782" w:type="dxa"/>
            <w:vAlign w:val="center"/>
          </w:tcPr>
          <w:p w14:paraId="0E2ECE15" w14:textId="77777777" w:rsidR="001C2D77" w:rsidRPr="00461151" w:rsidRDefault="001C2D77" w:rsidP="004E3797">
            <w:pPr>
              <w:jc w:val="center"/>
            </w:pPr>
            <w:r w:rsidRPr="00461151">
              <w:t>43%</w:t>
            </w:r>
          </w:p>
        </w:tc>
      </w:tr>
      <w:tr w:rsidR="001C2D77" w:rsidRPr="00461151" w14:paraId="1AF1DF80" w14:textId="77777777" w:rsidTr="004E3797">
        <w:tc>
          <w:tcPr>
            <w:tcW w:w="2448" w:type="dxa"/>
            <w:vAlign w:val="center"/>
          </w:tcPr>
          <w:p w14:paraId="2B1E04A8" w14:textId="77777777" w:rsidR="001C2D77" w:rsidRPr="00461151" w:rsidRDefault="001C2D77" w:rsidP="004E3797">
            <w:pPr>
              <w:jc w:val="center"/>
            </w:pPr>
            <w:r w:rsidRPr="00461151">
              <w:t>Prepay</w:t>
            </w:r>
          </w:p>
        </w:tc>
        <w:tc>
          <w:tcPr>
            <w:tcW w:w="1782" w:type="dxa"/>
            <w:vAlign w:val="center"/>
          </w:tcPr>
          <w:p w14:paraId="39A57121" w14:textId="77777777" w:rsidR="001C2D77" w:rsidRPr="00461151" w:rsidRDefault="001C2D77" w:rsidP="004E3797">
            <w:pPr>
              <w:jc w:val="center"/>
            </w:pPr>
            <w:r w:rsidRPr="00461151">
              <w:t>41%</w:t>
            </w:r>
          </w:p>
        </w:tc>
      </w:tr>
      <w:tr w:rsidR="001C2D77" w:rsidRPr="00461151" w14:paraId="1A8FF9CA" w14:textId="77777777" w:rsidTr="004E3797">
        <w:tc>
          <w:tcPr>
            <w:tcW w:w="2448" w:type="dxa"/>
            <w:vAlign w:val="center"/>
          </w:tcPr>
          <w:p w14:paraId="4C17E32D" w14:textId="77777777" w:rsidR="001C2D77" w:rsidRPr="00461151" w:rsidRDefault="001C2D77" w:rsidP="004E3797">
            <w:pPr>
              <w:jc w:val="center"/>
            </w:pPr>
            <w:r w:rsidRPr="00461151">
              <w:t>Early Bird</w:t>
            </w:r>
          </w:p>
        </w:tc>
        <w:tc>
          <w:tcPr>
            <w:tcW w:w="1782" w:type="dxa"/>
            <w:vAlign w:val="center"/>
          </w:tcPr>
          <w:p w14:paraId="4B731F98" w14:textId="77777777" w:rsidR="001C2D77" w:rsidRPr="00461151" w:rsidRDefault="001C2D77" w:rsidP="004E3797">
            <w:pPr>
              <w:jc w:val="center"/>
            </w:pPr>
            <w:r w:rsidRPr="00461151">
              <w:t>52%</w:t>
            </w:r>
          </w:p>
        </w:tc>
      </w:tr>
      <w:tr w:rsidR="001C2D77" w:rsidRPr="00461151" w14:paraId="2DF842B2" w14:textId="77777777" w:rsidTr="004E3797">
        <w:tc>
          <w:tcPr>
            <w:tcW w:w="2448" w:type="dxa"/>
            <w:vAlign w:val="center"/>
          </w:tcPr>
          <w:p w14:paraId="206E7F9E" w14:textId="77777777" w:rsidR="001C2D77" w:rsidRPr="00461151" w:rsidRDefault="001C2D77" w:rsidP="004E3797">
            <w:pPr>
              <w:jc w:val="center"/>
            </w:pPr>
            <w:r w:rsidRPr="00461151">
              <w:t>Prepay + Early Bird</w:t>
            </w:r>
          </w:p>
        </w:tc>
        <w:tc>
          <w:tcPr>
            <w:tcW w:w="1782" w:type="dxa"/>
            <w:vAlign w:val="center"/>
          </w:tcPr>
          <w:p w14:paraId="4A22A3F1" w14:textId="77777777" w:rsidR="001C2D77" w:rsidRPr="00461151" w:rsidRDefault="001C2D77" w:rsidP="004E3797">
            <w:pPr>
              <w:jc w:val="center"/>
            </w:pPr>
            <w:r w:rsidRPr="00461151">
              <w:t>48%</w:t>
            </w:r>
          </w:p>
        </w:tc>
      </w:tr>
    </w:tbl>
    <w:p w14:paraId="282380F4" w14:textId="77777777" w:rsidR="001C2D77" w:rsidRPr="00461151" w:rsidRDefault="001C2D77" w:rsidP="001C2D77"/>
    <w:p w14:paraId="7516E5C2" w14:textId="77777777" w:rsidR="001C2D77" w:rsidRDefault="001C2D77" w:rsidP="001C2D77">
      <w:pPr>
        <w:pStyle w:val="ListParagraph"/>
        <w:spacing w:line="240" w:lineRule="auto"/>
        <w:ind w:left="0"/>
        <w:rPr>
          <w:sz w:val="24"/>
          <w:szCs w:val="24"/>
        </w:rPr>
      </w:pPr>
    </w:p>
    <w:p w14:paraId="0A792A82" w14:textId="7277D40C" w:rsidR="001C2D77" w:rsidRPr="00461151" w:rsidRDefault="001C2D77" w:rsidP="001C2D77">
      <w:pPr>
        <w:pStyle w:val="ListParagraph"/>
        <w:spacing w:line="240" w:lineRule="auto"/>
        <w:ind w:left="0"/>
        <w:rPr>
          <w:sz w:val="24"/>
          <w:szCs w:val="24"/>
        </w:rPr>
      </w:pPr>
      <w:r w:rsidRPr="00461151">
        <w:rPr>
          <w:sz w:val="24"/>
          <w:szCs w:val="24"/>
        </w:rPr>
        <w:t>Although the difference in response rates across all of the groups is not statistically significant with the current sample, the factorial design of the experiment allows us to isolate the effects of the early bird incentive and the prepay incentive. This analysis shows that the early bird incentive increased the response rate by 8.1 percentage points, and this difference is statistic</w:t>
      </w:r>
      <w:r>
        <w:rPr>
          <w:sz w:val="24"/>
          <w:szCs w:val="24"/>
        </w:rPr>
        <w:t>ally significant (p-value=.03). T</w:t>
      </w:r>
      <w:r w:rsidRPr="00461151">
        <w:rPr>
          <w:sz w:val="24"/>
          <w:szCs w:val="24"/>
        </w:rPr>
        <w:t>he prepay incentive has not generated higher response rates, and the difference is not statistically significant (p-value=.45).</w:t>
      </w:r>
    </w:p>
    <w:p w14:paraId="65606769" w14:textId="77777777" w:rsidR="001C2D77" w:rsidRPr="00461151" w:rsidRDefault="001C2D77" w:rsidP="001C2D77"/>
    <w:p w14:paraId="4E80F9D8" w14:textId="0386869C" w:rsidR="001C2D77" w:rsidRDefault="001C2D77" w:rsidP="001C2D77">
      <w:r w:rsidRPr="00461151">
        <w:t xml:space="preserve">Given these results, we </w:t>
      </w:r>
      <w:r>
        <w:t>propose</w:t>
      </w:r>
      <w:r w:rsidRPr="00461151">
        <w:t xml:space="preserve"> offer</w:t>
      </w:r>
      <w:r>
        <w:t>ing</w:t>
      </w:r>
      <w:r w:rsidRPr="00461151">
        <w:t xml:space="preserve"> the early bird incentive ($25 if survey completed within 8 weeks, $15 otherwise) to all participants in the 3½</w:t>
      </w:r>
      <w:r>
        <w:t xml:space="preserve"> </w:t>
      </w:r>
      <w:r w:rsidRPr="00461151">
        <w:t>year-old survey round.</w:t>
      </w:r>
      <w:r>
        <w:t xml:space="preserve"> Updated respondent contact materials </w:t>
      </w:r>
      <w:r w:rsidR="00E4216F" w:rsidRPr="003B79A0">
        <w:t xml:space="preserve">to be used with the 3½ year old survey round </w:t>
      </w:r>
      <w:r w:rsidRPr="003B79A0">
        <w:t>are attached</w:t>
      </w:r>
      <w:r>
        <w:t xml:space="preserve"> (Attachment 5).</w:t>
      </w:r>
    </w:p>
    <w:p w14:paraId="7FC421EC" w14:textId="77777777" w:rsidR="00165D79" w:rsidRDefault="00165D79" w:rsidP="00502114">
      <w:pPr>
        <w:autoSpaceDE w:val="0"/>
        <w:autoSpaceDN w:val="0"/>
        <w:adjustRightInd w:val="0"/>
      </w:pPr>
    </w:p>
    <w:p w14:paraId="0A551542" w14:textId="46B07138" w:rsidR="00165D79" w:rsidRPr="000B1FD5" w:rsidRDefault="00165D79" w:rsidP="00502114">
      <w:pPr>
        <w:autoSpaceDE w:val="0"/>
        <w:autoSpaceDN w:val="0"/>
        <w:adjustRightInd w:val="0"/>
      </w:pPr>
      <w:r>
        <w:t>Once the incentive experiment has concluded, we will share the final results and use them to recommend an incentive for the remainder of the 2½ year old survey round. If the final results differ from the interim results, we will recommend a change to the incentive for the remainder of the 3½ year old survey round.</w:t>
      </w:r>
    </w:p>
    <w:p w14:paraId="74332082" w14:textId="77777777" w:rsidR="00165D79" w:rsidRDefault="00165D79" w:rsidP="00502114">
      <w:pPr>
        <w:autoSpaceDE w:val="0"/>
        <w:autoSpaceDN w:val="0"/>
        <w:adjustRightInd w:val="0"/>
        <w:rPr>
          <w:b/>
        </w:rPr>
      </w:pPr>
    </w:p>
    <w:p w14:paraId="001750C7" w14:textId="77777777" w:rsidR="000C6D43" w:rsidRPr="00502114" w:rsidRDefault="000C6D43" w:rsidP="00502114">
      <w:pPr>
        <w:autoSpaceDE w:val="0"/>
        <w:autoSpaceDN w:val="0"/>
        <w:adjustRightInd w:val="0"/>
        <w:rPr>
          <w:b/>
        </w:rPr>
      </w:pPr>
      <w:r w:rsidRPr="00502114">
        <w:rPr>
          <w:b/>
        </w:rPr>
        <w:t xml:space="preserve">B3. Maximizing response rates </w:t>
      </w:r>
    </w:p>
    <w:p w14:paraId="001750C8" w14:textId="77777777" w:rsidR="000C6D43" w:rsidRPr="00502114" w:rsidRDefault="000C6D43" w:rsidP="00502114"/>
    <w:p w14:paraId="001750C9" w14:textId="77777777" w:rsidR="00DF0E35" w:rsidRPr="00502114" w:rsidRDefault="000C6D43" w:rsidP="00502114">
      <w:pPr>
        <w:pStyle w:val="NumberedBullet"/>
        <w:numPr>
          <w:ilvl w:val="0"/>
          <w:numId w:val="0"/>
        </w:numPr>
        <w:tabs>
          <w:tab w:val="clear" w:pos="360"/>
        </w:tabs>
        <w:spacing w:after="0"/>
        <w:ind w:right="0"/>
        <w:jc w:val="left"/>
        <w:rPr>
          <w:rFonts w:ascii="Times New Roman" w:hAnsi="Times New Roman"/>
        </w:rPr>
      </w:pPr>
      <w:r w:rsidRPr="00502114">
        <w:rPr>
          <w:rFonts w:ascii="Times New Roman" w:hAnsi="Times New Roman"/>
        </w:rPr>
        <w:t xml:space="preserve">Minimizing sample attrition is of utmost importance to any longitudinal study. It is likely that many MIHOPE families will be highly mobile, and therefore there will be </w:t>
      </w:r>
      <w:r w:rsidR="00976DFA" w:rsidRPr="00502114">
        <w:rPr>
          <w:rFonts w:ascii="Times New Roman" w:hAnsi="Times New Roman"/>
        </w:rPr>
        <w:t>the risk of attrition at follow-</w:t>
      </w:r>
      <w:r w:rsidRPr="00502114">
        <w:rPr>
          <w:rFonts w:ascii="Times New Roman" w:hAnsi="Times New Roman"/>
        </w:rPr>
        <w:t xml:space="preserve">up. </w:t>
      </w:r>
    </w:p>
    <w:p w14:paraId="001750CA" w14:textId="77777777" w:rsidR="00DF0E35" w:rsidRPr="00502114" w:rsidRDefault="00DF0E35" w:rsidP="00502114">
      <w:pPr>
        <w:pStyle w:val="NumberedBullet"/>
        <w:numPr>
          <w:ilvl w:val="0"/>
          <w:numId w:val="0"/>
        </w:numPr>
        <w:tabs>
          <w:tab w:val="clear" w:pos="360"/>
        </w:tabs>
        <w:spacing w:after="0"/>
        <w:ind w:right="0"/>
        <w:jc w:val="left"/>
        <w:rPr>
          <w:rFonts w:ascii="Times New Roman" w:hAnsi="Times New Roman"/>
        </w:rPr>
      </w:pPr>
    </w:p>
    <w:p w14:paraId="001750CB" w14:textId="77777777" w:rsidR="00DF0E35" w:rsidRPr="00502114" w:rsidRDefault="00DF0E35" w:rsidP="00502114">
      <w:r w:rsidRPr="00502114">
        <w:t>We have already had some difficulty with sample attrition in MIHOPE 2. Response rates for the early cohorts in the MIHOPE 15-month follow-up data collection have not been as high as anticipated</w:t>
      </w:r>
      <w:r w:rsidR="00F4717D" w:rsidRPr="00502114">
        <w:t xml:space="preserve"> because we have</w:t>
      </w:r>
      <w:r w:rsidRPr="00502114">
        <w:t xml:space="preserve"> had some difficulty locating and contacting respondents. Response rates for the first few cohorts of the 15-month survey, for whom data collection has concluded, follow:</w:t>
      </w:r>
    </w:p>
    <w:p w14:paraId="7EE6153C" w14:textId="77777777" w:rsidR="003579F6" w:rsidRPr="00502114" w:rsidRDefault="003579F6" w:rsidP="00502114"/>
    <w:p w14:paraId="001750D0" w14:textId="48E4618F" w:rsidR="00DF0E35" w:rsidRPr="00502114" w:rsidRDefault="00DF0E35" w:rsidP="00502114">
      <w:pPr>
        <w:rPr>
          <w:rFonts w:eastAsiaTheme="minorHAnsi"/>
        </w:rPr>
      </w:pPr>
    </w:p>
    <w:tbl>
      <w:tblPr>
        <w:tblW w:w="5000" w:type="pct"/>
        <w:tblCellMar>
          <w:left w:w="0" w:type="dxa"/>
          <w:right w:w="0" w:type="dxa"/>
        </w:tblCellMar>
        <w:tblLook w:val="04A0" w:firstRow="1" w:lastRow="0" w:firstColumn="1" w:lastColumn="0" w:noHBand="0" w:noVBand="1"/>
      </w:tblPr>
      <w:tblGrid>
        <w:gridCol w:w="1286"/>
        <w:gridCol w:w="1036"/>
        <w:gridCol w:w="1036"/>
        <w:gridCol w:w="1036"/>
        <w:gridCol w:w="1036"/>
        <w:gridCol w:w="1036"/>
        <w:gridCol w:w="1038"/>
        <w:gridCol w:w="1038"/>
        <w:gridCol w:w="1034"/>
      </w:tblGrid>
      <w:tr w:rsidR="00410E68" w:rsidRPr="006E5C7C" w14:paraId="34814BC0" w14:textId="77777777" w:rsidTr="00EB4A3A">
        <w:trPr>
          <w:trHeight w:val="610"/>
        </w:trPr>
        <w:tc>
          <w:tcPr>
            <w:tcW w:w="6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406FE9" w14:textId="77777777" w:rsidR="00410E68" w:rsidRPr="006E5C7C" w:rsidRDefault="00410E68" w:rsidP="00EB4A3A">
            <w:r>
              <w:t>Response Rate</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21995" w14:textId="77777777" w:rsidR="00410E68" w:rsidRPr="006E5C7C" w:rsidRDefault="00410E68" w:rsidP="00EB4A3A">
            <w:r w:rsidRPr="006E5C7C">
              <w:t>Week 4</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C3E19" w14:textId="77777777" w:rsidR="00410E68" w:rsidRPr="006E5C7C" w:rsidRDefault="00410E68" w:rsidP="00EB4A3A">
            <w:r w:rsidRPr="006E5C7C">
              <w:t>Week 9</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71E2C" w14:textId="77777777" w:rsidR="00410E68" w:rsidRPr="006E5C7C" w:rsidRDefault="00410E68" w:rsidP="00EB4A3A">
            <w:r w:rsidRPr="006E5C7C">
              <w:t>Week 13</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D56B3" w14:textId="77777777" w:rsidR="00410E68" w:rsidRPr="006E5C7C" w:rsidRDefault="00410E68" w:rsidP="00EB4A3A">
            <w:r w:rsidRPr="006E5C7C">
              <w:t>Week 17</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3ED43" w14:textId="77777777" w:rsidR="00410E68" w:rsidRPr="006E5C7C" w:rsidRDefault="00410E68" w:rsidP="00EB4A3A">
            <w:r w:rsidRPr="006E5C7C">
              <w:t>Week 21</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2142E" w14:textId="77777777" w:rsidR="00410E68" w:rsidRPr="006E5C7C" w:rsidRDefault="00410E68" w:rsidP="00EB4A3A">
            <w:r w:rsidRPr="006E5C7C">
              <w:t>Week 25</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D17AF" w14:textId="77777777" w:rsidR="00410E68" w:rsidRPr="006E5C7C" w:rsidRDefault="00410E68" w:rsidP="00EB4A3A">
            <w:r w:rsidRPr="006E5C7C">
              <w:t>Week 29</w:t>
            </w:r>
          </w:p>
        </w:tc>
        <w:tc>
          <w:tcPr>
            <w:tcW w:w="5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62486C" w14:textId="77777777" w:rsidR="00410E68" w:rsidRPr="006E5C7C" w:rsidRDefault="00410E68" w:rsidP="00EB4A3A">
            <w:r w:rsidRPr="006E5C7C">
              <w:t>Final</w:t>
            </w:r>
          </w:p>
        </w:tc>
      </w:tr>
      <w:tr w:rsidR="00410E68" w:rsidRPr="006E5C7C" w14:paraId="31426F8E"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3D4FF" w14:textId="5985C3D8" w:rsidR="00410E68" w:rsidRPr="006E5C7C" w:rsidRDefault="00410E68" w:rsidP="00EB4A3A">
            <w:r w:rsidRPr="006E5C7C">
              <w:t xml:space="preserve">April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4F2915" w14:textId="77777777" w:rsidR="00410E68" w:rsidRPr="006E5C7C" w:rsidRDefault="00410E68" w:rsidP="00EB4A3A">
            <w:pPr>
              <w:jc w:val="right"/>
              <w:rPr>
                <w:bCs/>
              </w:rPr>
            </w:pPr>
            <w:r w:rsidRPr="006E5C7C">
              <w:rPr>
                <w:bCs/>
              </w:rPr>
              <w:t>26.7%</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E7DA6E" w14:textId="77777777" w:rsidR="00410E68" w:rsidRPr="006E5C7C" w:rsidRDefault="00410E68" w:rsidP="00EB4A3A">
            <w:pPr>
              <w:jc w:val="right"/>
              <w:rPr>
                <w:bCs/>
              </w:rPr>
            </w:pPr>
            <w:r w:rsidRPr="006E5C7C">
              <w:rPr>
                <w:bCs/>
              </w:rPr>
              <w:t>44.0%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B37299" w14:textId="77777777" w:rsidR="00410E68" w:rsidRPr="006E5C7C" w:rsidRDefault="00410E68" w:rsidP="00EB4A3A">
            <w:pPr>
              <w:jc w:val="right"/>
              <w:rPr>
                <w:bCs/>
              </w:rPr>
            </w:pPr>
            <w:r w:rsidRPr="006E5C7C">
              <w:rPr>
                <w:bCs/>
              </w:rPr>
              <w:t>45.3%</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4019BF" w14:textId="77777777" w:rsidR="00410E68" w:rsidRPr="006E5C7C" w:rsidRDefault="00410E68" w:rsidP="00EB4A3A">
            <w:pPr>
              <w:jc w:val="right"/>
              <w:rPr>
                <w:bCs/>
              </w:rPr>
            </w:pPr>
            <w:r w:rsidRPr="006E5C7C">
              <w:rPr>
                <w:bCs/>
              </w:rPr>
              <w:t>48.0%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2876C6" w14:textId="77777777" w:rsidR="00410E68" w:rsidRPr="006E5C7C" w:rsidRDefault="00410E68" w:rsidP="00EB4A3A">
            <w:pPr>
              <w:jc w:val="right"/>
              <w:rPr>
                <w:bCs/>
              </w:rPr>
            </w:pPr>
            <w:r w:rsidRPr="006E5C7C">
              <w:rPr>
                <w:bCs/>
              </w:rPr>
              <w:t>60.0%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61613A" w14:textId="77777777" w:rsidR="00410E68" w:rsidRPr="006E5C7C" w:rsidRDefault="00410E68" w:rsidP="00EB4A3A">
            <w:pPr>
              <w:jc w:val="right"/>
              <w:rPr>
                <w:bCs/>
              </w:rPr>
            </w:pPr>
            <w:r w:rsidRPr="006E5C7C">
              <w:rPr>
                <w:bCs/>
              </w:rPr>
              <w:t>64.0%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DB92A3" w14:textId="77777777" w:rsidR="00410E68" w:rsidRPr="006E5C7C" w:rsidRDefault="00410E68" w:rsidP="00EB4A3A">
            <w:pPr>
              <w:jc w:val="right"/>
              <w:rPr>
                <w:bCs/>
              </w:rPr>
            </w:pPr>
            <w:r w:rsidRPr="006E5C7C">
              <w:rPr>
                <w:bCs/>
              </w:rPr>
              <w:t>68.0%</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954345" w14:textId="77777777" w:rsidR="00410E68" w:rsidRPr="006E5C7C" w:rsidRDefault="00410E68" w:rsidP="00EB4A3A">
            <w:pPr>
              <w:jc w:val="right"/>
              <w:rPr>
                <w:bCs/>
              </w:rPr>
            </w:pPr>
            <w:r w:rsidRPr="006E5C7C">
              <w:rPr>
                <w:bCs/>
              </w:rPr>
              <w:t>70.7%</w:t>
            </w:r>
          </w:p>
        </w:tc>
      </w:tr>
      <w:tr w:rsidR="00410E68" w:rsidRPr="006E5C7C" w14:paraId="7D7E4211"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E6AFC" w14:textId="7BB72BA1" w:rsidR="00410E68" w:rsidRPr="006E5C7C" w:rsidRDefault="00410E68" w:rsidP="00EB4A3A">
            <w:r w:rsidRPr="006E5C7C">
              <w:t xml:space="preserve">May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01B1B91" w14:textId="77777777" w:rsidR="00410E68" w:rsidRPr="006E5C7C" w:rsidRDefault="00410E68" w:rsidP="00EB4A3A">
            <w:pPr>
              <w:jc w:val="right"/>
              <w:rPr>
                <w:bCs/>
              </w:rPr>
            </w:pPr>
            <w:r w:rsidRPr="006E5C7C">
              <w:rPr>
                <w:bCs/>
              </w:rPr>
              <w:t>37.0%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FD513B" w14:textId="77777777" w:rsidR="00410E68" w:rsidRPr="006E5C7C" w:rsidRDefault="00410E68" w:rsidP="00EB4A3A">
            <w:pPr>
              <w:jc w:val="right"/>
              <w:rPr>
                <w:bCs/>
              </w:rPr>
            </w:pPr>
            <w:r w:rsidRPr="006E5C7C">
              <w:rPr>
                <w:bCs/>
              </w:rPr>
              <w:t>44.4%</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22302E" w14:textId="77777777" w:rsidR="00410E68" w:rsidRPr="006E5C7C" w:rsidRDefault="00410E68" w:rsidP="00EB4A3A">
            <w:pPr>
              <w:jc w:val="right"/>
              <w:rPr>
                <w:bCs/>
              </w:rPr>
            </w:pPr>
            <w:r w:rsidRPr="006E5C7C">
              <w:rPr>
                <w:bCs/>
              </w:rPr>
              <w:t>48.1%</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9F3632" w14:textId="77777777" w:rsidR="00410E68" w:rsidRPr="006E5C7C" w:rsidRDefault="00410E68" w:rsidP="00EB4A3A">
            <w:pPr>
              <w:jc w:val="right"/>
              <w:rPr>
                <w:bCs/>
              </w:rPr>
            </w:pPr>
            <w:r w:rsidRPr="006E5C7C">
              <w:rPr>
                <w:bCs/>
              </w:rPr>
              <w:t>63.0%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EEDBB4" w14:textId="77777777" w:rsidR="00410E68" w:rsidRPr="006E5C7C" w:rsidRDefault="00410E68" w:rsidP="00EB4A3A">
            <w:pPr>
              <w:jc w:val="right"/>
              <w:rPr>
                <w:bCs/>
              </w:rPr>
            </w:pPr>
            <w:r w:rsidRPr="006E5C7C">
              <w:rPr>
                <w:bCs/>
              </w:rPr>
              <w:t>63.0%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F636E" w14:textId="77777777" w:rsidR="00410E68" w:rsidRPr="006E5C7C" w:rsidRDefault="00410E68" w:rsidP="00EB4A3A">
            <w:pPr>
              <w:jc w:val="right"/>
              <w:rPr>
                <w:bCs/>
              </w:rPr>
            </w:pPr>
            <w:r w:rsidRPr="006E5C7C">
              <w:rPr>
                <w:bCs/>
              </w:rPr>
              <w:t>63.0%</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464109" w14:textId="77777777" w:rsidR="00410E68" w:rsidRPr="006E5C7C" w:rsidRDefault="00410E68" w:rsidP="00EB4A3A">
            <w:pPr>
              <w:jc w:val="right"/>
              <w:rPr>
                <w:bCs/>
              </w:rPr>
            </w:pPr>
            <w:r w:rsidRPr="006E5C7C">
              <w:rPr>
                <w:bCs/>
              </w:rPr>
              <w:t>63.0%</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9DA73" w14:textId="77777777" w:rsidR="00410E68" w:rsidRPr="006E5C7C" w:rsidRDefault="00410E68" w:rsidP="00EB4A3A">
            <w:pPr>
              <w:jc w:val="right"/>
              <w:rPr>
                <w:bCs/>
              </w:rPr>
            </w:pPr>
            <w:r w:rsidRPr="006E5C7C">
              <w:rPr>
                <w:bCs/>
              </w:rPr>
              <w:t>70.4%</w:t>
            </w:r>
          </w:p>
        </w:tc>
      </w:tr>
      <w:tr w:rsidR="00410E68" w:rsidRPr="006E5C7C" w14:paraId="2171971D"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993A3" w14:textId="3D11AA7D" w:rsidR="00410E68" w:rsidRPr="006E5C7C" w:rsidRDefault="00410E68" w:rsidP="00EB4A3A">
            <w:r w:rsidRPr="006E5C7C">
              <w:t xml:space="preserve">June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D61D205" w14:textId="77777777" w:rsidR="00410E68" w:rsidRPr="006E5C7C" w:rsidRDefault="00410E68" w:rsidP="00EB4A3A">
            <w:pPr>
              <w:jc w:val="right"/>
              <w:rPr>
                <w:bCs/>
              </w:rPr>
            </w:pPr>
            <w:r w:rsidRPr="006E5C7C">
              <w:rPr>
                <w:bCs/>
              </w:rPr>
              <w:t>22.0%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C2E2C1" w14:textId="77777777" w:rsidR="00410E68" w:rsidRPr="006E5C7C" w:rsidRDefault="00410E68" w:rsidP="00EB4A3A">
            <w:pPr>
              <w:jc w:val="right"/>
              <w:rPr>
                <w:bCs/>
              </w:rPr>
            </w:pPr>
            <w:r w:rsidRPr="006E5C7C">
              <w:rPr>
                <w:bCs/>
              </w:rPr>
              <w:t>39.0%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81F742" w14:textId="77777777" w:rsidR="00410E68" w:rsidRPr="006E5C7C" w:rsidRDefault="00410E68" w:rsidP="00EB4A3A">
            <w:pPr>
              <w:jc w:val="right"/>
              <w:rPr>
                <w:bCs/>
              </w:rPr>
            </w:pPr>
            <w:r w:rsidRPr="006E5C7C">
              <w:rPr>
                <w:bCs/>
              </w:rPr>
              <w:t>39.0%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F75D18" w14:textId="77777777" w:rsidR="00410E68" w:rsidRPr="006E5C7C" w:rsidRDefault="00410E68" w:rsidP="00EB4A3A">
            <w:pPr>
              <w:jc w:val="right"/>
              <w:rPr>
                <w:bCs/>
              </w:rPr>
            </w:pPr>
            <w:r w:rsidRPr="006E5C7C">
              <w:rPr>
                <w:bCs/>
              </w:rPr>
              <w:t>41.5%</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BB2B74" w14:textId="77777777" w:rsidR="00410E68" w:rsidRPr="006E5C7C" w:rsidRDefault="00410E68" w:rsidP="00EB4A3A">
            <w:pPr>
              <w:jc w:val="right"/>
              <w:rPr>
                <w:bCs/>
              </w:rPr>
            </w:pPr>
            <w:r w:rsidRPr="006E5C7C">
              <w:rPr>
                <w:bCs/>
              </w:rPr>
              <w:t>41.5%</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7EAA6E" w14:textId="77777777" w:rsidR="00410E68" w:rsidRPr="006E5C7C" w:rsidRDefault="00410E68" w:rsidP="00EB4A3A">
            <w:pPr>
              <w:jc w:val="right"/>
              <w:rPr>
                <w:bCs/>
              </w:rPr>
            </w:pPr>
            <w:r w:rsidRPr="006E5C7C">
              <w:rPr>
                <w:bCs/>
              </w:rPr>
              <w:t>48.8%</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C5CF4A9" w14:textId="77777777" w:rsidR="00410E68" w:rsidRPr="006E5C7C" w:rsidRDefault="00410E68" w:rsidP="00EB4A3A">
            <w:pPr>
              <w:jc w:val="right"/>
              <w:rPr>
                <w:bCs/>
              </w:rPr>
            </w:pPr>
            <w:r w:rsidRPr="006E5C7C">
              <w:rPr>
                <w:bCs/>
              </w:rPr>
              <w:t>51.2%</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22C1CD" w14:textId="77777777" w:rsidR="00410E68" w:rsidRPr="006E5C7C" w:rsidRDefault="00410E68" w:rsidP="00EB4A3A">
            <w:pPr>
              <w:jc w:val="right"/>
              <w:rPr>
                <w:bCs/>
              </w:rPr>
            </w:pPr>
            <w:r w:rsidRPr="006E5C7C">
              <w:rPr>
                <w:bCs/>
              </w:rPr>
              <w:t>58.5%</w:t>
            </w:r>
          </w:p>
        </w:tc>
      </w:tr>
      <w:tr w:rsidR="00410E68" w:rsidRPr="006E5C7C" w14:paraId="4F63D5AA" w14:textId="77777777" w:rsidTr="00EB4A3A">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EEB82" w14:textId="69C63F92" w:rsidR="00410E68" w:rsidRPr="006E5C7C" w:rsidRDefault="00410E68" w:rsidP="00EB4A3A">
            <w:r w:rsidRPr="006E5C7C">
              <w:t xml:space="preserve">July </w:t>
            </w:r>
            <w:r w:rsidR="009007F0">
              <w:t xml:space="preserve">2014 </w:t>
            </w:r>
            <w:r w:rsidRPr="006E5C7C">
              <w:t>Cohort</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5DA801" w14:textId="77777777" w:rsidR="00410E68" w:rsidRPr="006E5C7C" w:rsidRDefault="00410E68" w:rsidP="00EB4A3A">
            <w:pPr>
              <w:jc w:val="right"/>
              <w:rPr>
                <w:bCs/>
              </w:rPr>
            </w:pPr>
            <w:r w:rsidRPr="006E5C7C">
              <w:rPr>
                <w:bCs/>
              </w:rPr>
              <w:t>31.3%</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02F6AB" w14:textId="77777777" w:rsidR="00410E68" w:rsidRPr="006E5C7C" w:rsidRDefault="00410E68" w:rsidP="00EB4A3A">
            <w:pPr>
              <w:jc w:val="right"/>
              <w:rPr>
                <w:bCs/>
              </w:rPr>
            </w:pPr>
            <w:r w:rsidRPr="006E5C7C">
              <w:rPr>
                <w:bCs/>
              </w:rPr>
              <w:t>47.9%</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BDE2D3" w14:textId="77777777" w:rsidR="00410E68" w:rsidRPr="006E5C7C" w:rsidRDefault="00410E68" w:rsidP="00EB4A3A">
            <w:pPr>
              <w:jc w:val="right"/>
              <w:rPr>
                <w:bCs/>
              </w:rPr>
            </w:pPr>
            <w:r w:rsidRPr="006E5C7C">
              <w:rPr>
                <w:bCs/>
              </w:rPr>
              <w:t>50.0%</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B39749" w14:textId="77777777" w:rsidR="00410E68" w:rsidRPr="006E5C7C" w:rsidRDefault="00410E68" w:rsidP="00EB4A3A">
            <w:pPr>
              <w:jc w:val="right"/>
              <w:rPr>
                <w:bCs/>
              </w:rPr>
            </w:pPr>
            <w:r w:rsidRPr="006E5C7C">
              <w:rPr>
                <w:bCs/>
              </w:rPr>
              <w:t>52.1%</w:t>
            </w:r>
          </w:p>
        </w:tc>
        <w:tc>
          <w:tcPr>
            <w:tcW w:w="54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BFB52B" w14:textId="77777777" w:rsidR="00410E68" w:rsidRPr="006E5C7C" w:rsidRDefault="00410E68" w:rsidP="00EB4A3A">
            <w:pPr>
              <w:jc w:val="right"/>
              <w:rPr>
                <w:bCs/>
              </w:rPr>
            </w:pPr>
            <w:r w:rsidRPr="006E5C7C">
              <w:rPr>
                <w:bCs/>
              </w:rPr>
              <w:t>54.2%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9610CE" w14:textId="77777777" w:rsidR="00410E68" w:rsidRPr="006E5C7C" w:rsidRDefault="00410E68" w:rsidP="00EB4A3A">
            <w:pPr>
              <w:jc w:val="right"/>
              <w:rPr>
                <w:bCs/>
              </w:rPr>
            </w:pPr>
            <w:r w:rsidRPr="006E5C7C">
              <w:rPr>
                <w:bCs/>
              </w:rPr>
              <w:t>54.2%</w:t>
            </w:r>
          </w:p>
        </w:tc>
        <w:tc>
          <w:tcPr>
            <w:tcW w:w="54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0F950A" w14:textId="77777777" w:rsidR="00410E68" w:rsidRPr="006E5C7C" w:rsidRDefault="00410E68" w:rsidP="00EB4A3A">
            <w:pPr>
              <w:jc w:val="right"/>
              <w:rPr>
                <w:bCs/>
              </w:rPr>
            </w:pPr>
            <w:r w:rsidRPr="006E5C7C">
              <w:rPr>
                <w:bCs/>
              </w:rPr>
              <w:t>58.3%</w:t>
            </w:r>
          </w:p>
        </w:tc>
        <w:tc>
          <w:tcPr>
            <w:tcW w:w="540"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D5712F" w14:textId="77777777" w:rsidR="00410E68" w:rsidRPr="006E5C7C" w:rsidRDefault="00410E68" w:rsidP="00EB4A3A">
            <w:pPr>
              <w:jc w:val="right"/>
              <w:rPr>
                <w:bCs/>
              </w:rPr>
            </w:pPr>
            <w:r w:rsidRPr="006E5C7C">
              <w:rPr>
                <w:bCs/>
              </w:rPr>
              <w:t>64.6%</w:t>
            </w:r>
          </w:p>
        </w:tc>
      </w:tr>
      <w:tr w:rsidR="00410E68" w:rsidRPr="006E5C7C" w14:paraId="79948E7F" w14:textId="77777777" w:rsidTr="00EB4A3A">
        <w:tc>
          <w:tcPr>
            <w:tcW w:w="67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408C070" w14:textId="77777777" w:rsidR="00410E68" w:rsidRPr="006E5C7C" w:rsidRDefault="00410E68" w:rsidP="00EB4A3A">
            <w:r w:rsidRPr="006E5C7C">
              <w:t>Average</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CB4ED3" w14:textId="77777777" w:rsidR="00410E68" w:rsidRPr="006E5C7C" w:rsidRDefault="00410E68" w:rsidP="00EB4A3A">
            <w:r w:rsidRPr="006E5C7C">
              <w:t>29.2%</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89BA8B9" w14:textId="77777777" w:rsidR="00410E68" w:rsidRPr="006E5C7C" w:rsidRDefault="00410E68" w:rsidP="00EB4A3A">
            <w:r w:rsidRPr="006E5C7C">
              <w:t>43.8%</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A4CAA1" w14:textId="77777777" w:rsidR="00410E68" w:rsidRPr="006E5C7C" w:rsidRDefault="00410E68" w:rsidP="00EB4A3A">
            <w:r w:rsidRPr="006E5C7C">
              <w:t>45.6%</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AFE3AE8" w14:textId="77777777" w:rsidR="00410E68" w:rsidRPr="006E5C7C" w:rsidRDefault="00410E68" w:rsidP="00EB4A3A">
            <w:r w:rsidRPr="006E5C7C">
              <w:t>51.1%</w:t>
            </w:r>
          </w:p>
        </w:tc>
        <w:tc>
          <w:tcPr>
            <w:tcW w:w="54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26CDDF" w14:textId="77777777" w:rsidR="00410E68" w:rsidRPr="006E5C7C" w:rsidRDefault="00410E68" w:rsidP="00EB4A3A">
            <w:r w:rsidRPr="006E5C7C">
              <w:t>54.6%</w:t>
            </w:r>
          </w:p>
        </w:tc>
        <w:tc>
          <w:tcPr>
            <w:tcW w:w="5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9B49398" w14:textId="77777777" w:rsidR="00410E68" w:rsidRPr="006E5C7C" w:rsidRDefault="00410E68" w:rsidP="00EB4A3A">
            <w:r w:rsidRPr="006E5C7C">
              <w:t>57.5%</w:t>
            </w:r>
          </w:p>
        </w:tc>
        <w:tc>
          <w:tcPr>
            <w:tcW w:w="542"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8EEECF" w14:textId="77777777" w:rsidR="00410E68" w:rsidRPr="006E5C7C" w:rsidRDefault="00410E68" w:rsidP="00EB4A3A">
            <w:r w:rsidRPr="006E5C7C">
              <w:t>60.1%</w:t>
            </w:r>
          </w:p>
        </w:tc>
        <w:tc>
          <w:tcPr>
            <w:tcW w:w="54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96C44B4" w14:textId="77777777" w:rsidR="00410E68" w:rsidRPr="006E5C7C" w:rsidRDefault="00410E68" w:rsidP="00EB4A3A">
            <w:r w:rsidRPr="006E5C7C">
              <w:t>66.0%</w:t>
            </w:r>
          </w:p>
        </w:tc>
      </w:tr>
      <w:tr w:rsidR="00410E68" w:rsidRPr="006E5C7C" w14:paraId="21C8424D" w14:textId="77777777" w:rsidTr="00EB4A3A">
        <w:tc>
          <w:tcPr>
            <w:tcW w:w="671"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2B878F" w14:textId="77777777" w:rsidR="00410E68" w:rsidRPr="006E5C7C" w:rsidRDefault="00410E68" w:rsidP="00EB4A3A">
            <w:r>
              <w:t>Expected</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7FC68AB" w14:textId="77777777" w:rsidR="00410E68" w:rsidRPr="006E5C7C" w:rsidRDefault="00410E68" w:rsidP="00EB4A3A">
            <w:r>
              <w:t>40.0%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9483B4B" w14:textId="77777777" w:rsidR="00410E68" w:rsidRPr="006E5C7C" w:rsidRDefault="00410E68" w:rsidP="00EB4A3A">
            <w:r>
              <w:t>51.0%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317778D" w14:textId="77777777" w:rsidR="00410E68" w:rsidRPr="006E5C7C" w:rsidRDefault="00410E68" w:rsidP="00EB4A3A">
            <w:r>
              <w:t>66.0%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65224C1" w14:textId="77777777" w:rsidR="00410E68" w:rsidRPr="006E5C7C" w:rsidRDefault="00410E68" w:rsidP="00EB4A3A">
            <w:r>
              <w:t>78.0%</w:t>
            </w:r>
          </w:p>
        </w:tc>
        <w:tc>
          <w:tcPr>
            <w:tcW w:w="541"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858D35C" w14:textId="77777777" w:rsidR="00410E68" w:rsidRPr="006E5C7C" w:rsidRDefault="00410E68" w:rsidP="00EB4A3A">
            <w:r>
              <w:t>85.0%</w:t>
            </w:r>
          </w:p>
        </w:tc>
        <w:tc>
          <w:tcPr>
            <w:tcW w:w="54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2B142B1" w14:textId="77777777" w:rsidR="00410E68" w:rsidRPr="006E5C7C" w:rsidRDefault="00410E68" w:rsidP="00EB4A3A">
            <w:r>
              <w:t>85.0%</w:t>
            </w:r>
          </w:p>
        </w:tc>
        <w:tc>
          <w:tcPr>
            <w:tcW w:w="54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5586B14" w14:textId="77777777" w:rsidR="00410E68" w:rsidRPr="006E5C7C" w:rsidRDefault="00410E68" w:rsidP="00EB4A3A">
            <w:r>
              <w:t>85.0%</w:t>
            </w:r>
          </w:p>
        </w:tc>
        <w:tc>
          <w:tcPr>
            <w:tcW w:w="54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C108B98" w14:textId="77777777" w:rsidR="00410E68" w:rsidRPr="006E5C7C" w:rsidRDefault="00410E68" w:rsidP="00EB4A3A">
            <w:r>
              <w:t>85.0%</w:t>
            </w:r>
          </w:p>
        </w:tc>
      </w:tr>
    </w:tbl>
    <w:p w14:paraId="001750D1" w14:textId="77777777" w:rsidR="00DF0E35" w:rsidRDefault="00DF0E35" w:rsidP="00502114">
      <w:pPr>
        <w:pStyle w:val="NumberedBullet"/>
        <w:numPr>
          <w:ilvl w:val="0"/>
          <w:numId w:val="0"/>
        </w:numPr>
        <w:tabs>
          <w:tab w:val="clear" w:pos="360"/>
        </w:tabs>
        <w:spacing w:after="0"/>
        <w:ind w:right="0"/>
        <w:jc w:val="left"/>
        <w:rPr>
          <w:rFonts w:ascii="Times New Roman" w:hAnsi="Times New Roman"/>
        </w:rPr>
      </w:pPr>
    </w:p>
    <w:p w14:paraId="779ADC09" w14:textId="156890FD" w:rsidR="009007F0" w:rsidRDefault="009007F0" w:rsidP="00502114">
      <w:pPr>
        <w:pStyle w:val="NumberedBullet"/>
        <w:numPr>
          <w:ilvl w:val="0"/>
          <w:numId w:val="0"/>
        </w:numPr>
        <w:tabs>
          <w:tab w:val="clear" w:pos="360"/>
        </w:tabs>
        <w:spacing w:after="0"/>
        <w:ind w:right="0"/>
        <w:jc w:val="left"/>
        <w:rPr>
          <w:rFonts w:ascii="Times New Roman" w:hAnsi="Times New Roman"/>
        </w:rPr>
      </w:pPr>
      <w:r>
        <w:rPr>
          <w:rFonts w:ascii="Times New Roman" w:hAnsi="Times New Roman"/>
        </w:rPr>
        <w:t xml:space="preserve">At this time, there is </w:t>
      </w:r>
      <w:proofErr w:type="spellStart"/>
      <w:r>
        <w:rPr>
          <w:rFonts w:ascii="Times New Roman" w:hAnsi="Times New Roman"/>
        </w:rPr>
        <w:t>not</w:t>
      </w:r>
      <w:proofErr w:type="spellEnd"/>
      <w:r>
        <w:rPr>
          <w:rFonts w:ascii="Times New Roman" w:hAnsi="Times New Roman"/>
        </w:rPr>
        <w:t xml:space="preserve"> evidence of differential non</w:t>
      </w:r>
      <w:r w:rsidR="003A537A">
        <w:rPr>
          <w:rFonts w:ascii="Times New Roman" w:hAnsi="Times New Roman"/>
        </w:rPr>
        <w:t>response. We continue to try to contact all families who enrolled in MIHOPE</w:t>
      </w:r>
      <w:r w:rsidR="00AD27DE">
        <w:rPr>
          <w:rFonts w:ascii="Times New Roman" w:hAnsi="Times New Roman"/>
        </w:rPr>
        <w:t xml:space="preserve"> for the 15-month follow-up</w:t>
      </w:r>
      <w:r w:rsidR="003A537A">
        <w:rPr>
          <w:rFonts w:ascii="Times New Roman" w:hAnsi="Times New Roman"/>
        </w:rPr>
        <w:t>.</w:t>
      </w:r>
    </w:p>
    <w:p w14:paraId="0AF8463A" w14:textId="77777777" w:rsidR="009007F0" w:rsidRPr="00502114" w:rsidRDefault="009007F0" w:rsidP="00502114">
      <w:pPr>
        <w:pStyle w:val="NumberedBullet"/>
        <w:numPr>
          <w:ilvl w:val="0"/>
          <w:numId w:val="0"/>
        </w:numPr>
        <w:tabs>
          <w:tab w:val="clear" w:pos="360"/>
        </w:tabs>
        <w:spacing w:after="0"/>
        <w:ind w:right="0"/>
        <w:jc w:val="left"/>
        <w:rPr>
          <w:rFonts w:ascii="Times New Roman" w:hAnsi="Times New Roman"/>
        </w:rPr>
      </w:pPr>
    </w:p>
    <w:p w14:paraId="001750D2" w14:textId="77777777" w:rsidR="000C6D43" w:rsidRPr="00502114" w:rsidRDefault="000C6D43" w:rsidP="00502114">
      <w:pPr>
        <w:pStyle w:val="NumberedBullet"/>
        <w:numPr>
          <w:ilvl w:val="0"/>
          <w:numId w:val="0"/>
        </w:numPr>
        <w:tabs>
          <w:tab w:val="clear" w:pos="360"/>
        </w:tabs>
        <w:spacing w:after="0"/>
        <w:ind w:right="0"/>
        <w:jc w:val="left"/>
        <w:rPr>
          <w:rFonts w:ascii="Times New Roman" w:hAnsi="Times New Roman"/>
        </w:rPr>
      </w:pPr>
      <w:r w:rsidRPr="00502114">
        <w:rPr>
          <w:rFonts w:ascii="Times New Roman" w:hAnsi="Times New Roman"/>
        </w:rPr>
        <w:t xml:space="preserve">Several strategies will be adopted to mitigate </w:t>
      </w:r>
      <w:r w:rsidR="00976DFA" w:rsidRPr="00502114">
        <w:rPr>
          <w:rFonts w:ascii="Times New Roman" w:hAnsi="Times New Roman"/>
        </w:rPr>
        <w:t>the risk of attrition at follow-</w:t>
      </w:r>
      <w:r w:rsidRPr="00502114">
        <w:rPr>
          <w:rFonts w:ascii="Times New Roman" w:hAnsi="Times New Roman"/>
        </w:rPr>
        <w:t>up:</w:t>
      </w:r>
    </w:p>
    <w:p w14:paraId="001750D3" w14:textId="77777777" w:rsidR="00CC34C7" w:rsidRPr="00502114" w:rsidRDefault="00CC34C7" w:rsidP="00502114">
      <w:pPr>
        <w:pStyle w:val="NumberedBullet"/>
        <w:numPr>
          <w:ilvl w:val="0"/>
          <w:numId w:val="0"/>
        </w:numPr>
        <w:tabs>
          <w:tab w:val="clear" w:pos="360"/>
        </w:tabs>
        <w:spacing w:after="0"/>
        <w:jc w:val="left"/>
        <w:rPr>
          <w:rFonts w:ascii="Times New Roman" w:hAnsi="Times New Roman"/>
        </w:rPr>
      </w:pPr>
    </w:p>
    <w:p w14:paraId="001750D4"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Use the </w:t>
      </w:r>
      <w:r w:rsidR="00685F0D" w:rsidRPr="00502114">
        <w:rPr>
          <w:sz w:val="24"/>
          <w:szCs w:val="24"/>
        </w:rPr>
        <w:t xml:space="preserve">detailed information collected in </w:t>
      </w:r>
      <w:r w:rsidR="00EB5DFD" w:rsidRPr="00502114">
        <w:rPr>
          <w:sz w:val="24"/>
          <w:szCs w:val="24"/>
        </w:rPr>
        <w:t>MIHOPE</w:t>
      </w:r>
      <w:r w:rsidR="00D46893" w:rsidRPr="00502114">
        <w:rPr>
          <w:sz w:val="24"/>
          <w:szCs w:val="24"/>
        </w:rPr>
        <w:t xml:space="preserve"> </w:t>
      </w:r>
      <w:r w:rsidR="00EB5DFD" w:rsidRPr="00502114">
        <w:rPr>
          <w:sz w:val="24"/>
          <w:szCs w:val="24"/>
        </w:rPr>
        <w:t>1 and MIHOPE 2</w:t>
      </w:r>
      <w:r w:rsidR="00F55C34" w:rsidRPr="00502114">
        <w:rPr>
          <w:sz w:val="24"/>
          <w:szCs w:val="24"/>
        </w:rPr>
        <w:t xml:space="preserve"> (including </w:t>
      </w:r>
      <w:r w:rsidR="00685F0D" w:rsidRPr="00502114">
        <w:rPr>
          <w:sz w:val="24"/>
          <w:szCs w:val="24"/>
        </w:rPr>
        <w:t>names, dates of birth, Social Security numbers, addresses and phone numbers (home and work)</w:t>
      </w:r>
      <w:r w:rsidR="00CC34C7" w:rsidRPr="00502114">
        <w:rPr>
          <w:sz w:val="24"/>
          <w:szCs w:val="24"/>
        </w:rPr>
        <w:t>, and email addresses</w:t>
      </w:r>
      <w:r w:rsidR="00685F0D" w:rsidRPr="00502114">
        <w:rPr>
          <w:sz w:val="24"/>
          <w:szCs w:val="24"/>
        </w:rPr>
        <w:t xml:space="preserve"> for the family, </w:t>
      </w:r>
      <w:r w:rsidR="00165F9F" w:rsidRPr="00502114">
        <w:rPr>
          <w:sz w:val="24"/>
          <w:szCs w:val="24"/>
        </w:rPr>
        <w:t xml:space="preserve">as well as </w:t>
      </w:r>
      <w:r w:rsidR="00685F0D" w:rsidRPr="00502114">
        <w:rPr>
          <w:sz w:val="24"/>
          <w:szCs w:val="24"/>
        </w:rPr>
        <w:t>addresses and phone numbers for up to three relatives or friends who will know how to reach the family</w:t>
      </w:r>
      <w:r w:rsidR="00F55C34" w:rsidRPr="00502114">
        <w:rPr>
          <w:sz w:val="24"/>
          <w:szCs w:val="24"/>
        </w:rPr>
        <w:t xml:space="preserve">) and </w:t>
      </w:r>
      <w:r w:rsidRPr="00502114">
        <w:rPr>
          <w:sz w:val="24"/>
          <w:szCs w:val="24"/>
        </w:rPr>
        <w:t>employ Mathematica’s highly effective locating techniques</w:t>
      </w:r>
      <w:r w:rsidR="00F55C34" w:rsidRPr="00502114">
        <w:rPr>
          <w:sz w:val="24"/>
          <w:szCs w:val="24"/>
        </w:rPr>
        <w:t xml:space="preserve"> to reach families</w:t>
      </w:r>
      <w:r w:rsidRPr="00502114">
        <w:rPr>
          <w:sz w:val="24"/>
          <w:szCs w:val="24"/>
        </w:rPr>
        <w:t>.</w:t>
      </w:r>
    </w:p>
    <w:p w14:paraId="001750D5" w14:textId="77777777" w:rsidR="000C6D43"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Train field staff in how to gain cooperation and avoid refusals. </w:t>
      </w:r>
    </w:p>
    <w:p w14:paraId="001750D6" w14:textId="77777777" w:rsidR="00CC34C7" w:rsidRPr="00502114" w:rsidRDefault="000C6D43"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 xml:space="preserve">Provide tokens of appreciation </w:t>
      </w:r>
      <w:r w:rsidR="0053652C" w:rsidRPr="00502114">
        <w:rPr>
          <w:sz w:val="24"/>
          <w:szCs w:val="24"/>
        </w:rPr>
        <w:t>for</w:t>
      </w:r>
      <w:r w:rsidR="00097DE0" w:rsidRPr="00502114">
        <w:rPr>
          <w:sz w:val="24"/>
          <w:szCs w:val="24"/>
        </w:rPr>
        <w:t xml:space="preserve"> </w:t>
      </w:r>
      <w:r w:rsidR="0053652C" w:rsidRPr="00502114">
        <w:rPr>
          <w:sz w:val="24"/>
          <w:szCs w:val="24"/>
        </w:rPr>
        <w:t>each</w:t>
      </w:r>
      <w:r w:rsidR="00976DFA" w:rsidRPr="00502114">
        <w:rPr>
          <w:sz w:val="24"/>
          <w:szCs w:val="24"/>
        </w:rPr>
        <w:t xml:space="preserve"> follow-</w:t>
      </w:r>
      <w:r w:rsidRPr="00502114">
        <w:rPr>
          <w:sz w:val="24"/>
          <w:szCs w:val="24"/>
        </w:rPr>
        <w:t xml:space="preserve">up </w:t>
      </w:r>
      <w:r w:rsidR="0053652C" w:rsidRPr="00502114">
        <w:rPr>
          <w:sz w:val="24"/>
          <w:szCs w:val="24"/>
        </w:rPr>
        <w:t xml:space="preserve">survey </w:t>
      </w:r>
      <w:r w:rsidRPr="00502114">
        <w:rPr>
          <w:sz w:val="24"/>
          <w:szCs w:val="24"/>
        </w:rPr>
        <w:t xml:space="preserve">to encourage participation. </w:t>
      </w:r>
    </w:p>
    <w:p w14:paraId="001750D7" w14:textId="77777777" w:rsidR="000C6D43" w:rsidRPr="00502114" w:rsidRDefault="0053652C"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Use t</w:t>
      </w:r>
      <w:r w:rsidR="0049559F" w:rsidRPr="00502114">
        <w:rPr>
          <w:sz w:val="24"/>
          <w:szCs w:val="24"/>
        </w:rPr>
        <w:t>he email</w:t>
      </w:r>
      <w:r w:rsidR="004F0092" w:rsidRPr="00502114">
        <w:rPr>
          <w:sz w:val="24"/>
          <w:szCs w:val="24"/>
        </w:rPr>
        <w:t xml:space="preserve"> addresses</w:t>
      </w:r>
      <w:r w:rsidR="0049559F" w:rsidRPr="00502114">
        <w:rPr>
          <w:sz w:val="24"/>
          <w:szCs w:val="24"/>
        </w:rPr>
        <w:t xml:space="preserve"> and cellular telephone numbers of participants </w:t>
      </w:r>
      <w:r w:rsidRPr="00502114">
        <w:rPr>
          <w:sz w:val="24"/>
          <w:szCs w:val="24"/>
        </w:rPr>
        <w:t>that have</w:t>
      </w:r>
      <w:r w:rsidR="0049559F" w:rsidRPr="00502114">
        <w:rPr>
          <w:sz w:val="24"/>
          <w:szCs w:val="24"/>
        </w:rPr>
        <w:t xml:space="preserve"> been collected</w:t>
      </w:r>
      <w:r w:rsidRPr="00502114">
        <w:rPr>
          <w:sz w:val="24"/>
          <w:szCs w:val="24"/>
        </w:rPr>
        <w:t xml:space="preserve"> in </w:t>
      </w:r>
      <w:r w:rsidR="00EB5DFD" w:rsidRPr="00502114">
        <w:rPr>
          <w:sz w:val="24"/>
          <w:szCs w:val="24"/>
        </w:rPr>
        <w:t>MIHOPE</w:t>
      </w:r>
      <w:r w:rsidR="00D46893" w:rsidRPr="00502114">
        <w:rPr>
          <w:sz w:val="24"/>
          <w:szCs w:val="24"/>
        </w:rPr>
        <w:t xml:space="preserve"> </w:t>
      </w:r>
      <w:r w:rsidR="00EB5DFD" w:rsidRPr="00502114">
        <w:rPr>
          <w:sz w:val="24"/>
          <w:szCs w:val="24"/>
        </w:rPr>
        <w:t xml:space="preserve">1 and MIHOPE 2 </w:t>
      </w:r>
      <w:r w:rsidR="00097DE0" w:rsidRPr="00502114">
        <w:rPr>
          <w:sz w:val="24"/>
          <w:szCs w:val="24"/>
        </w:rPr>
        <w:t>to send email and text mes</w:t>
      </w:r>
      <w:r w:rsidR="00976DFA" w:rsidRPr="00502114">
        <w:rPr>
          <w:sz w:val="24"/>
          <w:szCs w:val="24"/>
        </w:rPr>
        <w:t>sage reminders about the follow-</w:t>
      </w:r>
      <w:r w:rsidR="00097DE0" w:rsidRPr="00502114">
        <w:rPr>
          <w:sz w:val="24"/>
          <w:szCs w:val="24"/>
        </w:rPr>
        <w:t>up survey</w:t>
      </w:r>
      <w:r w:rsidR="00D16E87" w:rsidRPr="00502114">
        <w:rPr>
          <w:sz w:val="24"/>
          <w:szCs w:val="24"/>
        </w:rPr>
        <w:t xml:space="preserve"> during each survey field period</w:t>
      </w:r>
      <w:r w:rsidRPr="00502114">
        <w:rPr>
          <w:sz w:val="24"/>
          <w:szCs w:val="24"/>
        </w:rPr>
        <w:t xml:space="preserve">. </w:t>
      </w:r>
    </w:p>
    <w:p w14:paraId="001750D8" w14:textId="77777777" w:rsidR="006553F4" w:rsidRPr="00502114" w:rsidRDefault="00DC127B" w:rsidP="00502114">
      <w:pPr>
        <w:pStyle w:val="ListParagraph"/>
        <w:numPr>
          <w:ilvl w:val="0"/>
          <w:numId w:val="6"/>
        </w:numPr>
        <w:tabs>
          <w:tab w:val="clear" w:pos="720"/>
          <w:tab w:val="clear" w:pos="1080"/>
          <w:tab w:val="clear" w:pos="1440"/>
          <w:tab w:val="clear" w:pos="1800"/>
          <w:tab w:val="left" w:pos="432"/>
        </w:tabs>
        <w:spacing w:line="240" w:lineRule="auto"/>
        <w:rPr>
          <w:sz w:val="24"/>
          <w:szCs w:val="24"/>
        </w:rPr>
      </w:pPr>
      <w:r w:rsidRPr="00502114">
        <w:rPr>
          <w:sz w:val="24"/>
          <w:szCs w:val="24"/>
        </w:rPr>
        <w:t>Develop and maintain a study Facebook profile to maintain contact and relay information about the study to participating families.</w:t>
      </w:r>
    </w:p>
    <w:p w14:paraId="001750D9" w14:textId="77777777" w:rsidR="00CC34C7" w:rsidRPr="00502114" w:rsidRDefault="00CC34C7" w:rsidP="00502114"/>
    <w:p w14:paraId="001750DA" w14:textId="77777777" w:rsidR="00B63251" w:rsidRPr="00502114" w:rsidRDefault="00343086" w:rsidP="00502114">
      <w:proofErr w:type="gramStart"/>
      <w:r>
        <w:rPr>
          <w:u w:val="single"/>
        </w:rPr>
        <w:t xml:space="preserve">Updating </w:t>
      </w:r>
      <w:r w:rsidR="000C6D43" w:rsidRPr="00502114">
        <w:rPr>
          <w:u w:val="single"/>
        </w:rPr>
        <w:t>Participant</w:t>
      </w:r>
      <w:r>
        <w:rPr>
          <w:u w:val="single"/>
        </w:rPr>
        <w:t xml:space="preserve"> Contact Information</w:t>
      </w:r>
      <w:r w:rsidR="000C6D43" w:rsidRPr="00502114">
        <w:t>.</w:t>
      </w:r>
      <w:proofErr w:type="gramEnd"/>
      <w:r w:rsidR="000C6D43" w:rsidRPr="00502114">
        <w:t xml:space="preserve"> </w:t>
      </w:r>
      <w:r w:rsidR="00CC34C7" w:rsidRPr="00502114">
        <w:t xml:space="preserve">Mathematica’s Sample Management System (SMS) will be the central clearinghouse for all contact information on MIHOPE families, and </w:t>
      </w:r>
      <w:r w:rsidR="00165F9F" w:rsidRPr="00502114">
        <w:t xml:space="preserve">will also </w:t>
      </w:r>
      <w:r w:rsidR="00CC34C7" w:rsidRPr="00502114">
        <w:t xml:space="preserve">be used to track survey response rates and potential sample </w:t>
      </w:r>
      <w:r w:rsidR="00D40F4C" w:rsidRPr="00502114">
        <w:t>attrition. Contact</w:t>
      </w:r>
      <w:r w:rsidR="00005131" w:rsidRPr="00502114">
        <w:t xml:space="preserve"> between rounds of the survey will increase sample retention and reduce the level of effort</w:t>
      </w:r>
      <w:r w:rsidR="00C20A33" w:rsidRPr="00502114">
        <w:t xml:space="preserve"> </w:t>
      </w:r>
      <w:r w:rsidR="00005131" w:rsidRPr="00502114">
        <w:t xml:space="preserve">needed to locate families. To reduce the loss of families between rounds of the follow-up survey, we plan to send families a study information packet that will contain a </w:t>
      </w:r>
      <w:r w:rsidR="00980EC8" w:rsidRPr="00502114">
        <w:t>newsletter</w:t>
      </w:r>
      <w:r w:rsidR="00005131" w:rsidRPr="00502114">
        <w:t xml:space="preserve"> </w:t>
      </w:r>
      <w:r w:rsidR="003A15A7" w:rsidRPr="00502114">
        <w:t xml:space="preserve">with updates about the study </w:t>
      </w:r>
      <w:r w:rsidR="00005131" w:rsidRPr="00502114">
        <w:t xml:space="preserve">and a small gift such as a refrigerator magnet or book of sticky notes with the study’s name and toll-free number listed on it. We will send these between each survey round so we contact all sampled families at least once every six months. Additionally, we will send a birthday </w:t>
      </w:r>
      <w:r w:rsidR="002662A4">
        <w:t>post</w:t>
      </w:r>
      <w:r w:rsidR="00005131" w:rsidRPr="00502114">
        <w:t>card to each child and mother/caregiver on a yearly basis</w:t>
      </w:r>
      <w:r w:rsidR="00F550E7" w:rsidRPr="00502114">
        <w:t xml:space="preserve"> (Attachment</w:t>
      </w:r>
      <w:r w:rsidR="00F53EC4" w:rsidRPr="00502114">
        <w:t xml:space="preserve"> </w:t>
      </w:r>
      <w:r w:rsidR="00F550E7" w:rsidRPr="00502114">
        <w:t>4</w:t>
      </w:r>
      <w:r w:rsidR="003D57D5" w:rsidRPr="00502114">
        <w:t>)</w:t>
      </w:r>
      <w:r w:rsidR="00005131" w:rsidRPr="00502114">
        <w:t xml:space="preserve">. </w:t>
      </w:r>
      <w:r w:rsidR="001D4FFB" w:rsidRPr="00502114">
        <w:t xml:space="preserve">Since the newsletter will contain information about ongoing study activities, it has not yet been developed. </w:t>
      </w:r>
    </w:p>
    <w:p w14:paraId="001750DB" w14:textId="77777777" w:rsidR="00DF1C20" w:rsidRPr="00502114" w:rsidRDefault="00DF1C20" w:rsidP="00502114"/>
    <w:p w14:paraId="001750DC" w14:textId="77777777" w:rsidR="00DF1C20" w:rsidRPr="00502114" w:rsidRDefault="00DF1C20" w:rsidP="00502114">
      <w:r w:rsidRPr="00502114">
        <w:lastRenderedPageBreak/>
        <w:t xml:space="preserve">If any letters or birthday </w:t>
      </w:r>
      <w:r w:rsidR="002662A4">
        <w:t>post</w:t>
      </w:r>
      <w:r w:rsidRPr="00502114">
        <w:t>cards are returned to Mathematica from the post office with an updated address, we will document the new address for the family in the SMS and re</w:t>
      </w:r>
      <w:r w:rsidR="00850892" w:rsidRPr="00502114">
        <w:t>-</w:t>
      </w:r>
      <w:r w:rsidRPr="00502114">
        <w:t>mail the letter or birthday card to the updated address.</w:t>
      </w:r>
    </w:p>
    <w:p w14:paraId="001750DD" w14:textId="77777777" w:rsidR="000C6D43" w:rsidRPr="00502114" w:rsidRDefault="000C6D43" w:rsidP="00502114"/>
    <w:p w14:paraId="001750DE" w14:textId="77777777" w:rsidR="000C6D43" w:rsidRPr="00502114" w:rsidRDefault="000C6D43" w:rsidP="00502114">
      <w:proofErr w:type="gramStart"/>
      <w:r w:rsidRPr="00502114">
        <w:rPr>
          <w:u w:val="single"/>
        </w:rPr>
        <w:t>Locating Participants</w:t>
      </w:r>
      <w:r w:rsidRPr="00502114">
        <w:t>.</w:t>
      </w:r>
      <w:proofErr w:type="gramEnd"/>
      <w:r w:rsidRPr="00502114">
        <w:rPr>
          <w:i/>
        </w:rPr>
        <w:t xml:space="preserve"> </w:t>
      </w:r>
      <w:r w:rsidRPr="00502114">
        <w:t xml:space="preserve">Although the outlined strategies to track participants between follow-up </w:t>
      </w:r>
      <w:r w:rsidR="002678A8" w:rsidRPr="00502114">
        <w:t xml:space="preserve">rounds </w:t>
      </w:r>
      <w:r w:rsidRPr="00502114">
        <w:t xml:space="preserve">will likely result in lower attrition rates, additional techniques will be employed to ensure a high response rate is achieved at </w:t>
      </w:r>
      <w:r w:rsidR="002678A8" w:rsidRPr="00502114">
        <w:t xml:space="preserve">each </w:t>
      </w:r>
      <w:r w:rsidR="00976DFA" w:rsidRPr="00502114">
        <w:t>follow-</w:t>
      </w:r>
      <w:r w:rsidRPr="00502114">
        <w:t xml:space="preserve">up </w:t>
      </w:r>
      <w:r w:rsidR="001356D3" w:rsidRPr="00502114">
        <w:t>r</w:t>
      </w:r>
      <w:r w:rsidR="002678A8" w:rsidRPr="00502114">
        <w:t xml:space="preserve">ound </w:t>
      </w:r>
      <w:r w:rsidRPr="00502114">
        <w:t xml:space="preserve">from this mobile population. Mathematica has extensive experience conducting studies with mobile and hard-to-reach populations and has developed several techniques to locate these populations. Locating can be costly, depending on which methods are used. In general, mailing letters and receiving updated information via returned mail is less expensive than electronic database searches; electronic database searches are less expensive than locators calling neighbors or other contacts; and telephone </w:t>
      </w:r>
      <w:r w:rsidR="00546D9D" w:rsidRPr="00502114">
        <w:t>locating</w:t>
      </w:r>
      <w:r w:rsidRPr="00502114">
        <w:t xml:space="preserve"> is less expensive than in-person field locating. The least expensive methods (mailing and electronic </w:t>
      </w:r>
      <w:r w:rsidR="00546D9D" w:rsidRPr="00502114">
        <w:t>locating</w:t>
      </w:r>
      <w:r w:rsidRPr="00502114">
        <w:t xml:space="preserve">) will be used before moving to more expensive methods (telephone and in-person locating). As preparations to conduct </w:t>
      </w:r>
      <w:r w:rsidR="002678A8" w:rsidRPr="00502114">
        <w:t xml:space="preserve">each round of </w:t>
      </w:r>
      <w:r w:rsidRPr="00502114">
        <w:t xml:space="preserve">follow-up data collection get underway, the following process for locating participants will be employed: (1) pre-field mailing, (2) in-house </w:t>
      </w:r>
      <w:r w:rsidR="00546D9D" w:rsidRPr="00502114">
        <w:t>locating</w:t>
      </w:r>
      <w:r w:rsidRPr="00502114">
        <w:t>, and as needed, (3) field locating.</w:t>
      </w:r>
      <w:r w:rsidR="009633AE">
        <w:t xml:space="preserve"> All materials used for locating participants are included in Attachment 4. </w:t>
      </w:r>
    </w:p>
    <w:p w14:paraId="001750DF" w14:textId="77777777" w:rsidR="000C6D43" w:rsidRPr="00502114" w:rsidRDefault="000C6D43" w:rsidP="00502114">
      <w:pPr>
        <w:pStyle w:val="bullet"/>
        <w:numPr>
          <w:ilvl w:val="0"/>
          <w:numId w:val="0"/>
        </w:numPr>
        <w:spacing w:after="0"/>
        <w:ind w:left="360"/>
        <w:jc w:val="left"/>
        <w:rPr>
          <w:szCs w:val="24"/>
        </w:rPr>
      </w:pPr>
    </w:p>
    <w:p w14:paraId="001750E0" w14:textId="77777777" w:rsidR="003C5547" w:rsidRPr="00502114" w:rsidRDefault="000C6D43" w:rsidP="00502114">
      <w:pPr>
        <w:pStyle w:val="bullet"/>
        <w:numPr>
          <w:ilvl w:val="0"/>
          <w:numId w:val="4"/>
        </w:numPr>
        <w:spacing w:after="0"/>
        <w:jc w:val="left"/>
        <w:rPr>
          <w:szCs w:val="24"/>
        </w:rPr>
      </w:pPr>
      <w:r w:rsidRPr="00502114">
        <w:rPr>
          <w:bCs/>
          <w:i/>
          <w:iCs/>
          <w:szCs w:val="24"/>
        </w:rPr>
        <w:t xml:space="preserve">Pre-Field </w:t>
      </w:r>
      <w:r w:rsidR="001B658C" w:rsidRPr="00502114">
        <w:rPr>
          <w:bCs/>
          <w:i/>
          <w:iCs/>
          <w:szCs w:val="24"/>
        </w:rPr>
        <w:t>Mailing</w:t>
      </w:r>
      <w:r w:rsidRPr="00502114">
        <w:rPr>
          <w:i/>
          <w:szCs w:val="24"/>
        </w:rPr>
        <w:t>.</w:t>
      </w:r>
      <w:r w:rsidRPr="00502114">
        <w:rPr>
          <w:szCs w:val="24"/>
        </w:rPr>
        <w:t xml:space="preserve"> </w:t>
      </w:r>
      <w:r w:rsidR="001B658C" w:rsidRPr="00502114">
        <w:rPr>
          <w:szCs w:val="24"/>
        </w:rPr>
        <w:t xml:space="preserve">Prior to each sample release, families with a focal child that has reached 2.5, 3.5, or 4.5 years of age during the previous 6 months </w:t>
      </w:r>
      <w:r w:rsidR="003C5547" w:rsidRPr="00502114">
        <w:rPr>
          <w:szCs w:val="24"/>
        </w:rPr>
        <w:t>will be sent an advance letter about the follow-up survey. Any letters that are returned to Mathematica with updated information will be re-mailed to the new address</w:t>
      </w:r>
      <w:r w:rsidR="00E3536B" w:rsidRPr="00502114">
        <w:rPr>
          <w:szCs w:val="24"/>
        </w:rPr>
        <w:t xml:space="preserve"> and the new address will be entered into the SMS</w:t>
      </w:r>
      <w:r w:rsidR="003C5547" w:rsidRPr="00502114">
        <w:rPr>
          <w:szCs w:val="24"/>
        </w:rPr>
        <w:t>.</w:t>
      </w:r>
    </w:p>
    <w:p w14:paraId="001750E1" w14:textId="77777777" w:rsidR="000C6D43" w:rsidRPr="00502114" w:rsidRDefault="000C6D43" w:rsidP="00502114">
      <w:pPr>
        <w:pStyle w:val="bullet"/>
        <w:numPr>
          <w:ilvl w:val="0"/>
          <w:numId w:val="0"/>
        </w:numPr>
        <w:spacing w:after="0"/>
        <w:ind w:left="432"/>
        <w:jc w:val="left"/>
        <w:rPr>
          <w:szCs w:val="24"/>
        </w:rPr>
      </w:pPr>
      <w:r w:rsidRPr="00502114">
        <w:rPr>
          <w:szCs w:val="24"/>
        </w:rPr>
        <w:t xml:space="preserve"> </w:t>
      </w:r>
    </w:p>
    <w:p w14:paraId="001750E2" w14:textId="77777777" w:rsidR="000C6D43" w:rsidRPr="00502114" w:rsidRDefault="000C6D43" w:rsidP="00502114">
      <w:pPr>
        <w:pStyle w:val="BulletLAST"/>
        <w:numPr>
          <w:ilvl w:val="0"/>
          <w:numId w:val="4"/>
        </w:numPr>
        <w:tabs>
          <w:tab w:val="clear" w:pos="360"/>
        </w:tabs>
        <w:spacing w:after="0"/>
        <w:jc w:val="left"/>
      </w:pPr>
      <w:r w:rsidRPr="00502114">
        <w:rPr>
          <w:bCs/>
          <w:i/>
          <w:iCs/>
        </w:rPr>
        <w:t>In-House Locating</w:t>
      </w:r>
      <w:r w:rsidRPr="00502114">
        <w:t xml:space="preserve">. Custom database searches and telephone </w:t>
      </w:r>
      <w:r w:rsidR="00A03F01" w:rsidRPr="00502114">
        <w:t xml:space="preserve">calls to </w:t>
      </w:r>
      <w:r w:rsidRPr="00502114">
        <w:t xml:space="preserve">contacts </w:t>
      </w:r>
      <w:r w:rsidR="00A03F01" w:rsidRPr="00502114">
        <w:t xml:space="preserve">provided </w:t>
      </w:r>
      <w:r w:rsidR="00165F9F" w:rsidRPr="00502114">
        <w:t xml:space="preserve">by </w:t>
      </w:r>
      <w:r w:rsidRPr="00502114">
        <w:t xml:space="preserve">the family </w:t>
      </w:r>
      <w:r w:rsidR="00072188" w:rsidRPr="00502114">
        <w:t xml:space="preserve">during prior rounds of the survey </w:t>
      </w:r>
      <w:r w:rsidRPr="00502114">
        <w:t xml:space="preserve">will be </w:t>
      </w:r>
      <w:r w:rsidR="0052638C" w:rsidRPr="00502114">
        <w:t xml:space="preserve">conducted </w:t>
      </w:r>
      <w:r w:rsidRPr="00502114">
        <w:t xml:space="preserve">when </w:t>
      </w:r>
      <w:r w:rsidR="00A03F01" w:rsidRPr="00502114">
        <w:t xml:space="preserve">the existing contact information we have for a family is bad and </w:t>
      </w:r>
      <w:r w:rsidRPr="00502114">
        <w:t xml:space="preserve">pre-field </w:t>
      </w:r>
      <w:r w:rsidR="002662A4">
        <w:t>mailing</w:t>
      </w:r>
      <w:r w:rsidR="002662A4" w:rsidRPr="00502114">
        <w:t xml:space="preserve"> </w:t>
      </w:r>
      <w:r w:rsidRPr="00502114">
        <w:t>does not yield a</w:t>
      </w:r>
      <w:r w:rsidR="00A03F01" w:rsidRPr="00502114">
        <w:t xml:space="preserve">n updated </w:t>
      </w:r>
      <w:r w:rsidRPr="00502114">
        <w:t xml:space="preserve">telephone number or address. Mathematica’s specialized locating staff uses searchable databases, directory assistance services, reverse directories, and contacts with neighbors and community organizations to obtain current contact information. </w:t>
      </w:r>
      <w:r w:rsidR="00F46841" w:rsidRPr="00502114">
        <w:t>Mathematica’s locating staff will also search the Web and social networks such as Facebook, Myspace, and Instagram to find sample member contact information.</w:t>
      </w:r>
    </w:p>
    <w:p w14:paraId="001750E3" w14:textId="77777777" w:rsidR="000C6D43" w:rsidRPr="00502114" w:rsidRDefault="000C6D43" w:rsidP="00502114"/>
    <w:p w14:paraId="001750E4" w14:textId="77777777" w:rsidR="000C6D43" w:rsidRPr="00502114" w:rsidRDefault="000C6D43" w:rsidP="00502114">
      <w:pPr>
        <w:pStyle w:val="BulletLAST"/>
        <w:numPr>
          <w:ilvl w:val="0"/>
          <w:numId w:val="4"/>
        </w:numPr>
        <w:tabs>
          <w:tab w:val="clear" w:pos="360"/>
        </w:tabs>
        <w:spacing w:after="0"/>
        <w:jc w:val="left"/>
      </w:pPr>
      <w:r w:rsidRPr="00502114">
        <w:rPr>
          <w:i/>
        </w:rPr>
        <w:t>Field locating.</w:t>
      </w:r>
      <w:r w:rsidRPr="00502114">
        <w:rPr>
          <w:b/>
          <w:i/>
        </w:rPr>
        <w:t xml:space="preserve"> </w:t>
      </w:r>
      <w:r w:rsidR="00570BC2" w:rsidRPr="00502114">
        <w:t xml:space="preserve">Some families will not be locatable using in-house locating methods. These families will be </w:t>
      </w:r>
      <w:r w:rsidRPr="00502114">
        <w:t xml:space="preserve">assigned to field </w:t>
      </w:r>
      <w:r w:rsidR="00D40F4C" w:rsidRPr="00502114">
        <w:t xml:space="preserve">locators </w:t>
      </w:r>
      <w:r w:rsidR="00570BC2" w:rsidRPr="00502114">
        <w:t xml:space="preserve">who </w:t>
      </w:r>
      <w:r w:rsidRPr="00502114">
        <w:t xml:space="preserve">will employ proven techniques for finding hard-to-find populations. </w:t>
      </w:r>
      <w:r w:rsidR="00D46893" w:rsidRPr="00502114">
        <w:t>For instance, f</w:t>
      </w:r>
      <w:r w:rsidR="00570BC2" w:rsidRPr="00502114">
        <w:t xml:space="preserve">ield staff </w:t>
      </w:r>
      <w:r w:rsidRPr="00502114">
        <w:t xml:space="preserve">may approach neighbors residing in close proximity to the families’ last known address or the contact persons </w:t>
      </w:r>
      <w:r w:rsidR="0088332F" w:rsidRPr="00502114">
        <w:t>provided</w:t>
      </w:r>
      <w:r w:rsidR="00A03F01" w:rsidRPr="00502114">
        <w:t xml:space="preserve"> </w:t>
      </w:r>
      <w:r w:rsidR="00570BC2" w:rsidRPr="00502114">
        <w:t>during prior survey rounds</w:t>
      </w:r>
      <w:r w:rsidR="0088332F" w:rsidRPr="00502114">
        <w:t xml:space="preserve">. They will also </w:t>
      </w:r>
      <w:r w:rsidRPr="00502114">
        <w:t xml:space="preserve">rely on neighborhood resources such as local post offices, churches, bars, homeless shelters, or community centers as sources of information. </w:t>
      </w:r>
      <w:r w:rsidR="0027376E" w:rsidRPr="00502114">
        <w:t>F</w:t>
      </w:r>
      <w:r w:rsidR="0088332F" w:rsidRPr="00502114">
        <w:t>ield staff</w:t>
      </w:r>
      <w:r w:rsidRPr="00502114">
        <w:t xml:space="preserve"> will be trained not to reveal any </w:t>
      </w:r>
      <w:r w:rsidR="00E34E3E" w:rsidRPr="00502114">
        <w:t xml:space="preserve">private </w:t>
      </w:r>
      <w:r w:rsidRPr="00502114">
        <w:t>information about the participant to any informants</w:t>
      </w:r>
      <w:r w:rsidR="00E34E3E" w:rsidRPr="00502114">
        <w:t>, including the study’s name or unique details about the study</w:t>
      </w:r>
      <w:r w:rsidRPr="00502114">
        <w:t xml:space="preserve">. All field staff will be equipped with cellular telephones </w:t>
      </w:r>
      <w:r w:rsidR="00DD4A23" w:rsidRPr="00502114">
        <w:t>and will initiate the call to the SOC so that the family</w:t>
      </w:r>
      <w:r w:rsidR="00165F9F" w:rsidRPr="00502114">
        <w:t xml:space="preserve">, once found, </w:t>
      </w:r>
      <w:r w:rsidR="00DD4A23" w:rsidRPr="00502114">
        <w:t>can complete the survey</w:t>
      </w:r>
      <w:r w:rsidR="00165F9F" w:rsidRPr="00502114">
        <w:t xml:space="preserve"> by </w:t>
      </w:r>
      <w:r w:rsidR="0027376E" w:rsidRPr="00502114">
        <w:t>phone</w:t>
      </w:r>
      <w:r w:rsidRPr="00502114">
        <w:t xml:space="preserve">. </w:t>
      </w:r>
    </w:p>
    <w:p w14:paraId="001750E5" w14:textId="77777777" w:rsidR="000C6D43" w:rsidRPr="00502114" w:rsidRDefault="000C6D43" w:rsidP="00502114"/>
    <w:p w14:paraId="001750E6" w14:textId="77777777" w:rsidR="000C6D43" w:rsidRPr="00502114" w:rsidRDefault="000C6D43" w:rsidP="00502114">
      <w:proofErr w:type="gramStart"/>
      <w:r w:rsidRPr="00502114">
        <w:rPr>
          <w:u w:val="single"/>
        </w:rPr>
        <w:lastRenderedPageBreak/>
        <w:t>Non-response bias analysis</w:t>
      </w:r>
      <w:r w:rsidRPr="00502114">
        <w:rPr>
          <w:i/>
        </w:rPr>
        <w:t>.</w:t>
      </w:r>
      <w:proofErr w:type="gramEnd"/>
      <w:r w:rsidRPr="00502114">
        <w:rPr>
          <w:i/>
        </w:rPr>
        <w:t xml:space="preserve"> </w:t>
      </w:r>
      <w:r w:rsidRPr="00502114">
        <w:t>All efforts will be made to obtain information on a high proportion of families</w:t>
      </w:r>
      <w:r w:rsidR="009E6FBE" w:rsidRPr="00502114">
        <w:t>, including the maximum $25 incentive offered to respondents</w:t>
      </w:r>
      <w:r w:rsidR="00871E5C" w:rsidRPr="00502114">
        <w:t>, and the other steps listed in section B2</w:t>
      </w:r>
      <w:r w:rsidR="009E6FBE" w:rsidRPr="00502114">
        <w:t>. We will monitor response rates for the program and control groups throughout data collection.</w:t>
      </w:r>
      <w:r w:rsidRPr="00502114">
        <w:t xml:space="preserve"> </w:t>
      </w:r>
      <w:r w:rsidR="001D4FFB" w:rsidRPr="00502114">
        <w:t>The steps listed above for mitigating attrition will also be used to mitigate the potential for non-response bias by helping to ensure a high response rate</w:t>
      </w:r>
      <w:r w:rsidR="00681554">
        <w:t>.</w:t>
      </w:r>
      <w:r w:rsidR="001D4FFB" w:rsidRPr="00502114">
        <w:t xml:space="preserve"> </w:t>
      </w:r>
      <w:r w:rsidR="009E6FBE" w:rsidRPr="00502114">
        <w:t>A</w:t>
      </w:r>
      <w:r w:rsidRPr="00502114">
        <w:t xml:space="preserve"> non-response analysis will </w:t>
      </w:r>
      <w:r w:rsidR="009E6FBE" w:rsidRPr="00502114">
        <w:t xml:space="preserve">also </w:t>
      </w:r>
      <w:r w:rsidRPr="00502114">
        <w:t>be conducted</w:t>
      </w:r>
      <w:r w:rsidR="009E6FBE" w:rsidRPr="00502114">
        <w:t>, however,</w:t>
      </w:r>
      <w:r w:rsidRPr="00502114">
        <w:t xml:space="preserve"> to determine whether the results </w:t>
      </w:r>
      <w:r w:rsidR="00FA3A44" w:rsidRPr="00502114">
        <w:t xml:space="preserve">of the study </w:t>
      </w:r>
      <w:r w:rsidRPr="00502114">
        <w:t xml:space="preserve">may be biased by non-response. In particular, two types of bias will be assessed: (1) whether estimated effects among survey respondents apply to the full study sample, and (2) whether program group respondents are similar to control group respondents. The former type of bias affects whether results from the study can be generalized to the wider group of families involved in the study, while the second assesses whether the impacts of the programs are being confounded with pre-existing differences between program group and control group respondents. </w:t>
      </w:r>
    </w:p>
    <w:p w14:paraId="001750E7" w14:textId="77777777" w:rsidR="000C6D43" w:rsidRPr="00502114" w:rsidRDefault="000C6D43" w:rsidP="00502114"/>
    <w:p w14:paraId="001750E8" w14:textId="77777777" w:rsidR="000C6D43" w:rsidRPr="00502114" w:rsidRDefault="000C6D43" w:rsidP="00502114">
      <w:r w:rsidRPr="00502114">
        <w:t xml:space="preserve">To assess non-response bias, several tests will be conducted. </w:t>
      </w:r>
    </w:p>
    <w:p w14:paraId="001750E9" w14:textId="77777777" w:rsidR="000C6D43" w:rsidRPr="00502114" w:rsidRDefault="000C6D43" w:rsidP="00502114"/>
    <w:p w14:paraId="001750EA"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The proportion of program group and control group respondents will be compared to make sure the response rate is not significantly higher for one research group. </w:t>
      </w:r>
    </w:p>
    <w:p w14:paraId="001750EB" w14:textId="77777777" w:rsidR="00343086" w:rsidRDefault="00343086" w:rsidP="00343086">
      <w:pPr>
        <w:pStyle w:val="ListParagraph"/>
        <w:spacing w:line="240" w:lineRule="auto"/>
        <w:rPr>
          <w:sz w:val="24"/>
          <w:szCs w:val="24"/>
        </w:rPr>
      </w:pPr>
    </w:p>
    <w:p w14:paraId="001750EC"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A logistic regression will be conducted among respondents. The “left hand side” variable will be their assignment (program group or control group) while the explanatory variables will include a range of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program group and control group respondents are similar. </w:t>
      </w:r>
    </w:p>
    <w:p w14:paraId="001750ED" w14:textId="77777777" w:rsidR="00343086" w:rsidRDefault="00343086" w:rsidP="00343086">
      <w:pPr>
        <w:pStyle w:val="ListParagraph"/>
        <w:spacing w:line="240" w:lineRule="auto"/>
        <w:rPr>
          <w:sz w:val="24"/>
          <w:szCs w:val="24"/>
        </w:rPr>
      </w:pPr>
    </w:p>
    <w:p w14:paraId="001750EE" w14:textId="77777777" w:rsidR="000C6D43" w:rsidRPr="00502114" w:rsidRDefault="000C6D43" w:rsidP="00502114">
      <w:pPr>
        <w:pStyle w:val="ListParagraph"/>
        <w:numPr>
          <w:ilvl w:val="0"/>
          <w:numId w:val="7"/>
        </w:numPr>
        <w:spacing w:line="240" w:lineRule="auto"/>
        <w:rPr>
          <w:sz w:val="24"/>
          <w:szCs w:val="24"/>
        </w:rPr>
      </w:pPr>
      <w:r w:rsidRPr="00502114">
        <w:rPr>
          <w:sz w:val="24"/>
          <w:szCs w:val="24"/>
        </w:rPr>
        <w:t xml:space="preserve">Baseline characteristics of respondents will be compared to baseline characteristics of non-respondents. This will be done using a logistic regression where the outcome variable is whether someone is a respondent and the explanatory variables are baseline characteristics. An omnibus test such as a log-likelihood test will be used to test the hypothesis that the set of baseline characteristics are not significantly related to whether a respondent is in the program group. Not rejecting this null hypothesis will provide evidence that non-respondents and respondents are similar. </w:t>
      </w:r>
    </w:p>
    <w:p w14:paraId="001750EF" w14:textId="77777777" w:rsidR="00343086" w:rsidRDefault="00343086" w:rsidP="00343086">
      <w:pPr>
        <w:pStyle w:val="ListParagraph"/>
        <w:spacing w:line="240" w:lineRule="auto"/>
        <w:rPr>
          <w:sz w:val="24"/>
          <w:szCs w:val="24"/>
        </w:rPr>
      </w:pPr>
    </w:p>
    <w:p w14:paraId="001750F0" w14:textId="77777777" w:rsidR="00D46893" w:rsidRPr="00502114" w:rsidRDefault="00D46893" w:rsidP="00502114">
      <w:pPr>
        <w:pStyle w:val="ListParagraph"/>
        <w:numPr>
          <w:ilvl w:val="0"/>
          <w:numId w:val="7"/>
        </w:numPr>
        <w:spacing w:line="240" w:lineRule="auto"/>
        <w:rPr>
          <w:sz w:val="24"/>
          <w:szCs w:val="24"/>
        </w:rPr>
      </w:pPr>
      <w:r w:rsidRPr="00502114">
        <w:rPr>
          <w:sz w:val="24"/>
          <w:szCs w:val="24"/>
        </w:rPr>
        <w:t>Impacts from administrative records sources – which are available for the full sample – will be compared for the full sample and for respondents to determine whether there are substantial differences between the two.</w:t>
      </w:r>
      <w:r w:rsidR="00976DFA" w:rsidRPr="00502114">
        <w:rPr>
          <w:sz w:val="24"/>
          <w:szCs w:val="24"/>
        </w:rPr>
        <w:t xml:space="preserve"> This analysis can be done using </w:t>
      </w:r>
      <w:r w:rsidR="009E6FBE" w:rsidRPr="00502114">
        <w:rPr>
          <w:sz w:val="24"/>
          <w:szCs w:val="24"/>
        </w:rPr>
        <w:t xml:space="preserve">early impacts from administrative data from MIHOPE 2 or new administrative data collected </w:t>
      </w:r>
      <w:r w:rsidR="00A44AF8">
        <w:rPr>
          <w:sz w:val="24"/>
          <w:szCs w:val="24"/>
        </w:rPr>
        <w:t>during</w:t>
      </w:r>
      <w:r w:rsidR="00A44AF8" w:rsidRPr="00502114">
        <w:rPr>
          <w:sz w:val="24"/>
          <w:szCs w:val="24"/>
        </w:rPr>
        <w:t xml:space="preserve"> </w:t>
      </w:r>
      <w:r w:rsidR="009E6FBE" w:rsidRPr="00502114">
        <w:rPr>
          <w:sz w:val="24"/>
          <w:szCs w:val="24"/>
        </w:rPr>
        <w:t>MIHOPE Check-in.</w:t>
      </w:r>
      <w:r w:rsidR="00976DFA" w:rsidRPr="00502114">
        <w:rPr>
          <w:sz w:val="24"/>
          <w:szCs w:val="24"/>
        </w:rPr>
        <w:t xml:space="preserve"> </w:t>
      </w:r>
      <w:r w:rsidRPr="00502114">
        <w:rPr>
          <w:sz w:val="24"/>
          <w:szCs w:val="24"/>
        </w:rPr>
        <w:t xml:space="preserve"> </w:t>
      </w:r>
    </w:p>
    <w:p w14:paraId="001750F1" w14:textId="77777777" w:rsidR="000C6D43" w:rsidRPr="00502114" w:rsidRDefault="000C6D43" w:rsidP="00502114"/>
    <w:p w14:paraId="001750F2" w14:textId="77777777" w:rsidR="000C6D43" w:rsidRPr="00502114" w:rsidRDefault="00D40F4C" w:rsidP="00502114">
      <w:r w:rsidRPr="00502114">
        <w:t>If any of these tests indicate that non-response is providing biased impact estimates, a standard technique such as multiple imputation or weighting by the inverse probability of response will be used to determine the sensitivity of impact estimates to non-response.</w:t>
      </w:r>
      <w:r w:rsidR="00230CE3" w:rsidRPr="00502114">
        <w:t xml:space="preserve"> </w:t>
      </w:r>
    </w:p>
    <w:p w14:paraId="001750F3" w14:textId="77777777" w:rsidR="000C6D43" w:rsidRPr="00502114" w:rsidRDefault="000C6D43" w:rsidP="00502114">
      <w:pPr>
        <w:autoSpaceDE w:val="0"/>
        <w:autoSpaceDN w:val="0"/>
        <w:adjustRightInd w:val="0"/>
        <w:rPr>
          <w:b/>
        </w:rPr>
      </w:pPr>
    </w:p>
    <w:p w14:paraId="001750F4" w14:textId="77777777" w:rsidR="000C6D43" w:rsidRPr="00502114" w:rsidRDefault="000C6D43" w:rsidP="000B1FD5">
      <w:pPr>
        <w:keepNext/>
        <w:autoSpaceDE w:val="0"/>
        <w:autoSpaceDN w:val="0"/>
        <w:adjustRightInd w:val="0"/>
        <w:rPr>
          <w:b/>
        </w:rPr>
      </w:pPr>
      <w:r w:rsidRPr="00502114">
        <w:rPr>
          <w:b/>
        </w:rPr>
        <w:lastRenderedPageBreak/>
        <w:t xml:space="preserve">B4. Pre-testing </w:t>
      </w:r>
    </w:p>
    <w:p w14:paraId="001750F5" w14:textId="77777777" w:rsidR="000C6D43" w:rsidRPr="00502114" w:rsidRDefault="000C6D43" w:rsidP="000B1FD5">
      <w:pPr>
        <w:keepNext/>
      </w:pPr>
    </w:p>
    <w:p w14:paraId="001750F6" w14:textId="77777777" w:rsidR="000C6D43" w:rsidRPr="00502114" w:rsidRDefault="000C6D43" w:rsidP="00502114">
      <w:r w:rsidRPr="00502114">
        <w:t xml:space="preserve">As part of </w:t>
      </w:r>
      <w:r w:rsidR="00097D75" w:rsidRPr="00502114">
        <w:t>MIHOPE Check-</w:t>
      </w:r>
      <w:r w:rsidR="00D46893" w:rsidRPr="00502114">
        <w:t>i</w:t>
      </w:r>
      <w:r w:rsidR="00097D75" w:rsidRPr="00502114">
        <w:t>n</w:t>
      </w:r>
      <w:r w:rsidRPr="00502114">
        <w:t xml:space="preserve">, the study team will use pretesting to identify revisions to be made to materials, procedures, and instruments for follow-up data collection. We will reach out to home visiting programs in either the Washington, DC or New Jersey areas to identify </w:t>
      </w:r>
      <w:r w:rsidR="0068421D" w:rsidRPr="00502114">
        <w:t xml:space="preserve">9 </w:t>
      </w:r>
      <w:r w:rsidRPr="00502114">
        <w:t xml:space="preserve">families (including both English and Spanish-speaking participants) with a child aged </w:t>
      </w:r>
      <w:r w:rsidR="005207B5" w:rsidRPr="00502114">
        <w:t>2.5</w:t>
      </w:r>
      <w:r w:rsidR="00097D75" w:rsidRPr="00502114">
        <w:t xml:space="preserve"> </w:t>
      </w:r>
      <w:r w:rsidRPr="00502114">
        <w:t>months and recruit them to pretest the follow-up survey</w:t>
      </w:r>
      <w:r w:rsidR="0068421D" w:rsidRPr="00502114">
        <w:t xml:space="preserve"> via phone </w:t>
      </w:r>
      <w:r w:rsidR="00C5651E">
        <w:t xml:space="preserve">(6 pretests) </w:t>
      </w:r>
      <w:r w:rsidR="0068421D" w:rsidRPr="00502114">
        <w:t>or via web</w:t>
      </w:r>
      <w:r w:rsidR="00C5651E">
        <w:t xml:space="preserve"> (3 pretests)</w:t>
      </w:r>
      <w:r w:rsidRPr="00502114">
        <w:t xml:space="preserve">. The study team will attempt to recruit participants that represent the diversity of the MIHOPE sample (including linguistic, ethnic, racial, and geographic diversity). </w:t>
      </w:r>
    </w:p>
    <w:p w14:paraId="001750F7" w14:textId="77777777" w:rsidR="000C6D43" w:rsidRPr="00502114" w:rsidRDefault="000C6D43" w:rsidP="00502114"/>
    <w:p w14:paraId="001750F8" w14:textId="77777777" w:rsidR="000C6D43" w:rsidRPr="00502114" w:rsidRDefault="000C6D43" w:rsidP="00502114">
      <w:r w:rsidRPr="00502114">
        <w:t xml:space="preserve">The pretest </w:t>
      </w:r>
      <w:r w:rsidR="00976DFA" w:rsidRPr="00502114">
        <w:t xml:space="preserve">via phone </w:t>
      </w:r>
      <w:r w:rsidRPr="00502114">
        <w:t>will include debriefing</w:t>
      </w:r>
      <w:r w:rsidR="0036717C" w:rsidRPr="00502114">
        <w:t>s after the interview</w:t>
      </w:r>
      <w:r w:rsidRPr="00502114">
        <w:t xml:space="preserve"> </w:t>
      </w:r>
      <w:r w:rsidR="0036717C" w:rsidRPr="00502114">
        <w:t xml:space="preserve">to </w:t>
      </w:r>
      <w:r w:rsidRPr="00502114">
        <w:t>investigate parents’ understanding of questions, and ease or difficulty of responding</w:t>
      </w:r>
      <w:r w:rsidR="0036717C" w:rsidRPr="00502114">
        <w:t>, and any</w:t>
      </w:r>
      <w:r w:rsidR="00230CE3" w:rsidRPr="00502114">
        <w:t xml:space="preserve"> </w:t>
      </w:r>
      <w:r w:rsidR="0036717C" w:rsidRPr="00502114">
        <w:t>q</w:t>
      </w:r>
      <w:r w:rsidRPr="00502114">
        <w:t>uestions or confusion they may have had</w:t>
      </w:r>
      <w:r w:rsidR="00D3482E">
        <w:t>. In addition, we will</w:t>
      </w:r>
      <w:r w:rsidR="00976DFA" w:rsidRPr="00502114">
        <w:t xml:space="preserve"> collect information</w:t>
      </w:r>
      <w:r w:rsidR="003736C6" w:rsidRPr="00502114">
        <w:t xml:space="preserve"> about their ability and willingness to complete the survey on t</w:t>
      </w:r>
      <w:r w:rsidR="001974E7" w:rsidRPr="00502114">
        <w:t xml:space="preserve">he web. </w:t>
      </w:r>
      <w:r w:rsidRPr="00502114">
        <w:t xml:space="preserve">The </w:t>
      </w:r>
      <w:r w:rsidR="00165F9F" w:rsidRPr="00502114">
        <w:t xml:space="preserve">pretest </w:t>
      </w:r>
      <w:r w:rsidRPr="00502114">
        <w:t>interviews</w:t>
      </w:r>
      <w:r w:rsidR="00F53DAF">
        <w:t xml:space="preserve"> conducted by phone</w:t>
      </w:r>
      <w:r w:rsidRPr="00502114">
        <w:t xml:space="preserve"> will be recorded so that accurate estimates of the length of the interview </w:t>
      </w:r>
      <w:r w:rsidR="00976DFA" w:rsidRPr="00502114">
        <w:t>can be obtained</w:t>
      </w:r>
      <w:r w:rsidRPr="00502114">
        <w:t>.</w:t>
      </w:r>
    </w:p>
    <w:p w14:paraId="001750F9" w14:textId="77777777" w:rsidR="000C6D43" w:rsidRPr="00502114" w:rsidRDefault="000C6D43" w:rsidP="00502114"/>
    <w:p w14:paraId="001750FA" w14:textId="77777777" w:rsidR="00E34E3E" w:rsidRPr="00502114" w:rsidRDefault="0065162C" w:rsidP="00502114">
      <w:r>
        <w:t>Thus far, six pretests have been conducted with the phone survey. No issues have been raised during debriefing with pretest participants and the average time to complete the survey has been 2</w:t>
      </w:r>
      <w:r w:rsidR="00D95396">
        <w:t>4</w:t>
      </w:r>
      <w:r>
        <w:t xml:space="preserve"> minutes, which is lower than the estimated burden of 30 minutes. We therefore do not anticipate recommending any changes to the phone survey based on pretesting. </w:t>
      </w:r>
      <w:r w:rsidR="00E34E3E" w:rsidRPr="00502114">
        <w:t xml:space="preserve"> </w:t>
      </w:r>
      <w:r w:rsidR="00A44AF8">
        <w:t xml:space="preserve">If </w:t>
      </w:r>
      <w:r w:rsidR="00471592" w:rsidRPr="00502114">
        <w:t>any modifications</w:t>
      </w:r>
      <w:r w:rsidR="00E34E3E" w:rsidRPr="00502114">
        <w:t xml:space="preserve"> to </w:t>
      </w:r>
      <w:r>
        <w:t xml:space="preserve">the web </w:t>
      </w:r>
      <w:r w:rsidR="00E34E3E" w:rsidRPr="00502114">
        <w:t>instrument</w:t>
      </w:r>
      <w:r w:rsidR="00A44AF8">
        <w:t xml:space="preserve"> result from pretesting, we</w:t>
      </w:r>
      <w:r w:rsidR="00E34E3E" w:rsidRPr="00502114">
        <w:t xml:space="preserve"> will submit</w:t>
      </w:r>
      <w:r w:rsidR="00A44AF8">
        <w:t xml:space="preserve"> them </w:t>
      </w:r>
      <w:r w:rsidR="00E34E3E" w:rsidRPr="00502114">
        <w:t xml:space="preserve">as </w:t>
      </w:r>
      <w:proofErr w:type="spellStart"/>
      <w:r w:rsidR="00E34E3E" w:rsidRPr="00502114">
        <w:t>nonsubstantive</w:t>
      </w:r>
      <w:proofErr w:type="spellEnd"/>
      <w:r w:rsidR="00E34E3E" w:rsidRPr="00502114">
        <w:t xml:space="preserve"> changes</w:t>
      </w:r>
      <w:r w:rsidR="00A44AF8">
        <w:t xml:space="preserve"> (as appropriate)</w:t>
      </w:r>
      <w:r w:rsidR="00E34E3E" w:rsidRPr="00502114">
        <w:t xml:space="preserve"> for OMB approval. </w:t>
      </w:r>
    </w:p>
    <w:p w14:paraId="001750FB" w14:textId="77777777" w:rsidR="000C6D43" w:rsidRPr="00502114" w:rsidRDefault="000C6D43" w:rsidP="00502114"/>
    <w:p w14:paraId="001750FC" w14:textId="77777777" w:rsidR="006665DD" w:rsidRPr="00502114" w:rsidRDefault="000C6D43" w:rsidP="00502114">
      <w:pPr>
        <w:rPr>
          <w:b/>
        </w:rPr>
      </w:pPr>
      <w:r w:rsidRPr="00502114">
        <w:rPr>
          <w:b/>
        </w:rPr>
        <w:t>B5. Consultants on statistical aspects of the design</w:t>
      </w:r>
      <w:r w:rsidR="006665DD" w:rsidRPr="00502114">
        <w:rPr>
          <w:b/>
        </w:rPr>
        <w:t xml:space="preserve"> and Individuals Collecting and/or Analyzing Data</w:t>
      </w:r>
    </w:p>
    <w:p w14:paraId="001750FD" w14:textId="77777777" w:rsidR="000C6D43" w:rsidRPr="00502114" w:rsidRDefault="00976DFA" w:rsidP="00502114">
      <w:pPr>
        <w:pStyle w:val="BodyText"/>
        <w:numPr>
          <w:ilvl w:val="0"/>
          <w:numId w:val="9"/>
        </w:numPr>
        <w:spacing w:line="240" w:lineRule="auto"/>
        <w:rPr>
          <w:sz w:val="24"/>
          <w:szCs w:val="24"/>
        </w:rPr>
      </w:pPr>
      <w:r w:rsidRPr="00502114">
        <w:rPr>
          <w:sz w:val="24"/>
          <w:szCs w:val="24"/>
        </w:rPr>
        <w:t>MDRC</w:t>
      </w:r>
    </w:p>
    <w:p w14:paraId="001750FE"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Mathematica</w:t>
      </w:r>
    </w:p>
    <w:p w14:paraId="001750FF" w14:textId="77777777" w:rsidR="00976DFA" w:rsidRPr="00502114" w:rsidRDefault="00976DFA" w:rsidP="00502114">
      <w:pPr>
        <w:pStyle w:val="BodyText"/>
        <w:numPr>
          <w:ilvl w:val="0"/>
          <w:numId w:val="9"/>
        </w:numPr>
        <w:spacing w:line="240" w:lineRule="auto"/>
        <w:rPr>
          <w:sz w:val="24"/>
          <w:szCs w:val="24"/>
        </w:rPr>
      </w:pPr>
      <w:r w:rsidRPr="00502114">
        <w:rPr>
          <w:sz w:val="24"/>
          <w:szCs w:val="24"/>
        </w:rPr>
        <w:t xml:space="preserve">Nancy </w:t>
      </w:r>
      <w:proofErr w:type="spellStart"/>
      <w:r w:rsidRPr="00502114">
        <w:rPr>
          <w:sz w:val="24"/>
          <w:szCs w:val="24"/>
        </w:rPr>
        <w:t>Geyelin</w:t>
      </w:r>
      <w:proofErr w:type="spellEnd"/>
      <w:r w:rsidRPr="00502114">
        <w:rPr>
          <w:sz w:val="24"/>
          <w:szCs w:val="24"/>
        </w:rPr>
        <w:t xml:space="preserve"> Margie</w:t>
      </w:r>
      <w:r w:rsidR="00A44AF8">
        <w:rPr>
          <w:sz w:val="24"/>
          <w:szCs w:val="24"/>
        </w:rPr>
        <w:t xml:space="preserve"> (ACF/OPRE)</w:t>
      </w:r>
    </w:p>
    <w:p w14:paraId="00175100" w14:textId="5AF38029" w:rsidR="00976DFA" w:rsidRPr="00502114" w:rsidRDefault="000B1FD5" w:rsidP="00502114">
      <w:pPr>
        <w:pStyle w:val="BodyText"/>
        <w:numPr>
          <w:ilvl w:val="0"/>
          <w:numId w:val="9"/>
        </w:numPr>
        <w:spacing w:line="240" w:lineRule="auto"/>
        <w:rPr>
          <w:sz w:val="24"/>
          <w:szCs w:val="24"/>
        </w:rPr>
      </w:pPr>
      <w:r>
        <w:rPr>
          <w:sz w:val="24"/>
          <w:szCs w:val="24"/>
        </w:rPr>
        <w:t xml:space="preserve">Laura Nerenberg </w:t>
      </w:r>
      <w:r w:rsidR="00A44AF8">
        <w:rPr>
          <w:sz w:val="24"/>
          <w:szCs w:val="24"/>
        </w:rPr>
        <w:t>(ACF/OPRE)</w:t>
      </w:r>
    </w:p>
    <w:p w14:paraId="00175101" w14:textId="77777777" w:rsidR="000C6D43" w:rsidRPr="00502114" w:rsidRDefault="000C6D43" w:rsidP="00502114">
      <w:pPr>
        <w:pStyle w:val="BodyText"/>
        <w:spacing w:line="240" w:lineRule="auto"/>
        <w:rPr>
          <w:sz w:val="24"/>
          <w:szCs w:val="24"/>
        </w:rPr>
      </w:pPr>
    </w:p>
    <w:p w14:paraId="00175102" w14:textId="77777777" w:rsidR="000C6D43" w:rsidRPr="00502114" w:rsidRDefault="000C6D43" w:rsidP="00502114">
      <w:r w:rsidRPr="00502114">
        <w:br w:type="page"/>
      </w:r>
    </w:p>
    <w:p w14:paraId="00175103" w14:textId="77777777" w:rsidR="000C6D43" w:rsidRPr="00502114" w:rsidRDefault="000C6D43" w:rsidP="00502114">
      <w:pPr>
        <w:pStyle w:val="NormalSS"/>
        <w:ind w:firstLine="0"/>
        <w:jc w:val="center"/>
        <w:rPr>
          <w:b/>
        </w:rPr>
      </w:pPr>
      <w:r w:rsidRPr="00502114">
        <w:rPr>
          <w:b/>
        </w:rPr>
        <w:lastRenderedPageBreak/>
        <w:t>REFERENCES</w:t>
      </w:r>
    </w:p>
    <w:p w14:paraId="00175104" w14:textId="77777777" w:rsidR="000C6D43" w:rsidRPr="00502114" w:rsidRDefault="000C6D43" w:rsidP="00502114">
      <w:pPr>
        <w:pStyle w:val="References"/>
        <w:spacing w:after="0"/>
        <w:jc w:val="left"/>
      </w:pPr>
    </w:p>
    <w:p w14:paraId="00175105" w14:textId="77777777" w:rsidR="000C6D43" w:rsidRPr="00502114" w:rsidRDefault="000C6D43" w:rsidP="00502114">
      <w:bookmarkStart w:id="1" w:name="CC"/>
      <w:bookmarkEnd w:id="1"/>
    </w:p>
    <w:p w14:paraId="00175106" w14:textId="77777777" w:rsidR="0075388F" w:rsidRPr="00502114" w:rsidRDefault="0075388F" w:rsidP="00502114">
      <w:pPr>
        <w:pStyle w:val="References"/>
      </w:pPr>
      <w:proofErr w:type="gramStart"/>
      <w:r w:rsidRPr="00502114">
        <w:t>Cantor, D., B. O’Hare, and K. O’Connor.</w:t>
      </w:r>
      <w:proofErr w:type="gramEnd"/>
      <w:r w:rsidRPr="00502114">
        <w:t xml:space="preserve"> </w:t>
      </w:r>
      <w:proofErr w:type="gramStart"/>
      <w:r w:rsidRPr="00502114">
        <w:t>“The Use of Monetary Incentives to Reduce Non-Response in Random Digit Dial Telephone Surveys.”</w:t>
      </w:r>
      <w:proofErr w:type="gramEnd"/>
      <w:r w:rsidRPr="00502114">
        <w:t xml:space="preserve"> </w:t>
      </w:r>
      <w:proofErr w:type="gramStart"/>
      <w:r w:rsidRPr="00502114">
        <w:t xml:space="preserve">In Advances in Telephone Survey Methodology, edited by J.M. </w:t>
      </w:r>
      <w:proofErr w:type="spellStart"/>
      <w:r w:rsidRPr="00502114">
        <w:t>Lepkowski</w:t>
      </w:r>
      <w:proofErr w:type="spellEnd"/>
      <w:r w:rsidRPr="00502114">
        <w:t xml:space="preserve">, C. Tucker, J.M. Brick, E. De </w:t>
      </w:r>
      <w:proofErr w:type="spellStart"/>
      <w:r w:rsidRPr="00502114">
        <w:t>Leeuw</w:t>
      </w:r>
      <w:proofErr w:type="spellEnd"/>
      <w:r w:rsidRPr="00502114">
        <w:t xml:space="preserve">, L. </w:t>
      </w:r>
      <w:proofErr w:type="spellStart"/>
      <w:r w:rsidRPr="00502114">
        <w:t>Japec</w:t>
      </w:r>
      <w:proofErr w:type="spellEnd"/>
      <w:r w:rsidRPr="00502114">
        <w:t xml:space="preserve">, P.J. </w:t>
      </w:r>
      <w:proofErr w:type="spellStart"/>
      <w:r w:rsidRPr="00502114">
        <w:t>Lavrakas</w:t>
      </w:r>
      <w:proofErr w:type="spellEnd"/>
      <w:r w:rsidRPr="00502114">
        <w:t>, M.W. Link, and R.L. Sangster, pp. 471–498.</w:t>
      </w:r>
      <w:proofErr w:type="gramEnd"/>
      <w:r w:rsidRPr="00502114">
        <w:t xml:space="preserve"> New York: J.W. Wiley and Sons, Inc., 2007.</w:t>
      </w:r>
    </w:p>
    <w:p w14:paraId="00175107" w14:textId="77777777" w:rsidR="0075388F" w:rsidRPr="00502114" w:rsidRDefault="0075388F" w:rsidP="00502114">
      <w:pPr>
        <w:pStyle w:val="References"/>
        <w:rPr>
          <w:noProof/>
        </w:rPr>
      </w:pPr>
      <w:r w:rsidRPr="00502114">
        <w:rPr>
          <w:noProof/>
        </w:rPr>
        <w:t xml:space="preserve">James, T. (2001). </w:t>
      </w:r>
      <w:r w:rsidRPr="00502114">
        <w:rPr>
          <w:i/>
          <w:noProof/>
        </w:rPr>
        <w:t>Results of the Wave 1 incentive experiment in the 1996 survey of income and program participation.</w:t>
      </w:r>
      <w:r w:rsidRPr="00502114">
        <w:rPr>
          <w:noProof/>
        </w:rPr>
        <w:t xml:space="preserve"> Paper presented at the Proceedings of the Section of Survey Research Methods, Alexandria, VA.</w:t>
      </w:r>
    </w:p>
    <w:p w14:paraId="00175108" w14:textId="77777777" w:rsidR="0075388F" w:rsidRPr="00502114" w:rsidRDefault="0075388F" w:rsidP="00502114">
      <w:pPr>
        <w:pStyle w:val="References"/>
      </w:pPr>
      <w:proofErr w:type="spellStart"/>
      <w:proofErr w:type="gramStart"/>
      <w:r w:rsidRPr="00502114">
        <w:t>LeClere</w:t>
      </w:r>
      <w:proofErr w:type="spellEnd"/>
      <w:r w:rsidRPr="00502114">
        <w:t xml:space="preserve">, F., S. </w:t>
      </w:r>
      <w:proofErr w:type="spellStart"/>
      <w:r w:rsidRPr="00502114">
        <w:t>Plumme</w:t>
      </w:r>
      <w:proofErr w:type="spellEnd"/>
      <w:r w:rsidRPr="00502114">
        <w:t xml:space="preserve">, J. </w:t>
      </w:r>
      <w:proofErr w:type="spellStart"/>
      <w:r w:rsidRPr="00502114">
        <w:t>Vanicek</w:t>
      </w:r>
      <w:proofErr w:type="spellEnd"/>
      <w:r w:rsidRPr="00502114">
        <w:t xml:space="preserve">, A. Amaya, and K. </w:t>
      </w:r>
      <w:proofErr w:type="spellStart"/>
      <w:r w:rsidRPr="00502114">
        <w:t>Carris</w:t>
      </w:r>
      <w:proofErr w:type="spellEnd"/>
      <w:r w:rsidRPr="00502114">
        <w:t>.</w:t>
      </w:r>
      <w:proofErr w:type="gramEnd"/>
      <w:r w:rsidRPr="00502114">
        <w:t xml:space="preserve"> “Household Early Bird Incentives: Leveraging Family Influence to Improve Household Response Rates.” </w:t>
      </w:r>
      <w:proofErr w:type="gramStart"/>
      <w:r w:rsidRPr="00502114">
        <w:t>American Statistical Association Joint Statistical Meetings, Section on Survey Research, 2012.</w:t>
      </w:r>
      <w:proofErr w:type="gramEnd"/>
      <w:r w:rsidR="00A04474" w:rsidRPr="00502114">
        <w:fldChar w:fldCharType="begin"/>
      </w:r>
      <w:r w:rsidR="000C6D43" w:rsidRPr="00502114">
        <w:instrText xml:space="preserve"> ADDIN EN.REFLIST </w:instrText>
      </w:r>
      <w:r w:rsidR="00A04474" w:rsidRPr="00502114">
        <w:fldChar w:fldCharType="separate"/>
      </w:r>
    </w:p>
    <w:p w14:paraId="00175109" w14:textId="77777777" w:rsidR="000C6D43" w:rsidRPr="00502114" w:rsidRDefault="000C6D43" w:rsidP="00502114">
      <w:pPr>
        <w:pStyle w:val="References"/>
        <w:rPr>
          <w:noProof/>
        </w:rPr>
      </w:pPr>
      <w:r w:rsidRPr="00502114">
        <w:rPr>
          <w:noProof/>
        </w:rPr>
        <w:t xml:space="preserve">Mack, S., Huggins, V., Keathley, D., &amp; Sundukchi, M. (1998). </w:t>
      </w:r>
      <w:r w:rsidRPr="00502114">
        <w:rPr>
          <w:i/>
          <w:noProof/>
        </w:rPr>
        <w:t>Do monetary incentives improve response rates in the survey of income and program participation?</w:t>
      </w:r>
      <w:r w:rsidRPr="00502114">
        <w:rPr>
          <w:noProof/>
        </w:rPr>
        <w:t xml:space="preserve"> Paper presented at the Proceedings of the Section on Survey Research Methods, Alexandria, VA.</w:t>
      </w:r>
    </w:p>
    <w:p w14:paraId="0017510A" w14:textId="77777777" w:rsidR="000C6D43" w:rsidRPr="00502114" w:rsidRDefault="000C6D43" w:rsidP="00502114">
      <w:pPr>
        <w:ind w:left="720" w:hanging="720"/>
        <w:rPr>
          <w:noProof/>
        </w:rPr>
      </w:pPr>
      <w:r w:rsidRPr="00502114">
        <w:rPr>
          <w:noProof/>
        </w:rPr>
        <w:t xml:space="preserve">Martin, E., Abreu, D., &amp; Winters, F. (2001). Money and motive: Effects of incentives on panel attrition in the survey of income and program participation. </w:t>
      </w:r>
      <w:r w:rsidRPr="00502114">
        <w:rPr>
          <w:i/>
          <w:noProof/>
        </w:rPr>
        <w:t>Journal of Official Statistics, 17</w:t>
      </w:r>
      <w:r w:rsidRPr="00502114">
        <w:rPr>
          <w:noProof/>
        </w:rPr>
        <w:t xml:space="preserve">, 267-284. </w:t>
      </w:r>
    </w:p>
    <w:p w14:paraId="0017510B" w14:textId="77777777" w:rsidR="00C06F30" w:rsidRDefault="00C06F30" w:rsidP="00C06F30">
      <w:pPr>
        <w:pStyle w:val="References"/>
        <w:spacing w:after="0"/>
      </w:pPr>
    </w:p>
    <w:p w14:paraId="0017510C" w14:textId="77777777" w:rsidR="0075388F" w:rsidRPr="00502114" w:rsidRDefault="0075388F" w:rsidP="00502114">
      <w:pPr>
        <w:pStyle w:val="References"/>
      </w:pPr>
      <w:r w:rsidRPr="00502114">
        <w:t>Singer, Eleanor, John Van Hoewyk, Nancy Gebler, Trivellore Raghunathan, and Katherine McGonagle. “The Effect of Incentives on Response Rates in Interviewer-Mediated Surveys.” Journal of Official Statistics, vol. 15, 1999, pp. 217–230.</w:t>
      </w:r>
    </w:p>
    <w:p w14:paraId="0017510D" w14:textId="77777777" w:rsidR="000C6D43" w:rsidRPr="00502114" w:rsidRDefault="000C6D43" w:rsidP="00502114">
      <w:pPr>
        <w:ind w:left="720" w:hanging="720"/>
        <w:rPr>
          <w:noProof/>
        </w:rPr>
      </w:pPr>
    </w:p>
    <w:p w14:paraId="0017510E" w14:textId="77777777" w:rsidR="000C6D43" w:rsidRPr="00502114" w:rsidRDefault="00A04474" w:rsidP="00502114">
      <w:r w:rsidRPr="00502114">
        <w:fldChar w:fldCharType="end"/>
      </w:r>
    </w:p>
    <w:p w14:paraId="0017510F" w14:textId="77777777" w:rsidR="00982C12" w:rsidRPr="00502114" w:rsidRDefault="00982C12" w:rsidP="00502114"/>
    <w:sectPr w:rsidR="00982C12" w:rsidRPr="00502114" w:rsidSect="00B243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C2E1E" w14:textId="77777777" w:rsidR="006261BB" w:rsidRDefault="006261BB" w:rsidP="00F779B0">
      <w:r>
        <w:separator/>
      </w:r>
    </w:p>
  </w:endnote>
  <w:endnote w:type="continuationSeparator" w:id="0">
    <w:p w14:paraId="61258C3C" w14:textId="77777777" w:rsidR="006261BB" w:rsidRDefault="006261BB" w:rsidP="00F77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4126"/>
      <w:docPartObj>
        <w:docPartGallery w:val="Page Numbers (Bottom of Page)"/>
        <w:docPartUnique/>
      </w:docPartObj>
    </w:sdtPr>
    <w:sdtEndPr/>
    <w:sdtContent>
      <w:p w14:paraId="00175114" w14:textId="77777777" w:rsidR="006553F4" w:rsidRDefault="00471592">
        <w:pPr>
          <w:pStyle w:val="Footer"/>
          <w:jc w:val="center"/>
        </w:pPr>
        <w:r>
          <w:fldChar w:fldCharType="begin"/>
        </w:r>
        <w:r>
          <w:instrText xml:space="preserve"> PAGE   \* MERGEFORMAT </w:instrText>
        </w:r>
        <w:r>
          <w:fldChar w:fldCharType="separate"/>
        </w:r>
        <w:r w:rsidR="00896B21">
          <w:rPr>
            <w:noProof/>
          </w:rPr>
          <w:t>1</w:t>
        </w:r>
        <w:r>
          <w:rPr>
            <w:noProof/>
          </w:rPr>
          <w:fldChar w:fldCharType="end"/>
        </w:r>
      </w:p>
    </w:sdtContent>
  </w:sdt>
  <w:p w14:paraId="00175115" w14:textId="77777777" w:rsidR="006553F4" w:rsidRDefault="00655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8861B" w14:textId="77777777" w:rsidR="006261BB" w:rsidRDefault="006261BB" w:rsidP="00F779B0">
      <w:r>
        <w:separator/>
      </w:r>
    </w:p>
  </w:footnote>
  <w:footnote w:type="continuationSeparator" w:id="0">
    <w:p w14:paraId="62C6403C" w14:textId="77777777" w:rsidR="006261BB" w:rsidRDefault="006261BB" w:rsidP="00F77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768"/>
    <w:multiLevelType w:val="hybridMultilevel"/>
    <w:tmpl w:val="7CB6C162"/>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nsid w:val="07613738"/>
    <w:multiLevelType w:val="hybridMultilevel"/>
    <w:tmpl w:val="5AB0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3281F"/>
    <w:multiLevelType w:val="hybridMultilevel"/>
    <w:tmpl w:val="BAA287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356FC"/>
    <w:multiLevelType w:val="hybridMultilevel"/>
    <w:tmpl w:val="74F0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8230C"/>
    <w:multiLevelType w:val="multilevel"/>
    <w:tmpl w:val="8F1CC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6">
    <w:nsid w:val="5F226929"/>
    <w:multiLevelType w:val="hybridMultilevel"/>
    <w:tmpl w:val="87B00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40FEF"/>
    <w:multiLevelType w:val="hybridMultilevel"/>
    <w:tmpl w:val="DC3E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AE5989"/>
    <w:multiLevelType w:val="hybridMultilevel"/>
    <w:tmpl w:val="2640CE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E5853F8"/>
    <w:multiLevelType w:val="hybridMultilevel"/>
    <w:tmpl w:val="1606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3"/>
  </w:num>
  <w:num w:numId="6">
    <w:abstractNumId w:val="1"/>
  </w:num>
  <w:num w:numId="7">
    <w:abstractNumId w:val="7"/>
  </w:num>
  <w:num w:numId="8">
    <w:abstractNumId w:val="6"/>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43"/>
    <w:rsid w:val="00003948"/>
    <w:rsid w:val="00005131"/>
    <w:rsid w:val="00006187"/>
    <w:rsid w:val="0000766A"/>
    <w:rsid w:val="00016502"/>
    <w:rsid w:val="000274EB"/>
    <w:rsid w:val="0003159D"/>
    <w:rsid w:val="00040E9C"/>
    <w:rsid w:val="000632A0"/>
    <w:rsid w:val="00065F47"/>
    <w:rsid w:val="00072188"/>
    <w:rsid w:val="000756A9"/>
    <w:rsid w:val="0008773D"/>
    <w:rsid w:val="0009480D"/>
    <w:rsid w:val="00097D75"/>
    <w:rsid w:val="00097DE0"/>
    <w:rsid w:val="000A2DB4"/>
    <w:rsid w:val="000B1FD5"/>
    <w:rsid w:val="000B2187"/>
    <w:rsid w:val="000B4639"/>
    <w:rsid w:val="000C5C70"/>
    <w:rsid w:val="000C6D43"/>
    <w:rsid w:val="000C77BB"/>
    <w:rsid w:val="000D2292"/>
    <w:rsid w:val="000E4CDB"/>
    <w:rsid w:val="000F1509"/>
    <w:rsid w:val="0010727A"/>
    <w:rsid w:val="00107D5B"/>
    <w:rsid w:val="001100CC"/>
    <w:rsid w:val="00110F82"/>
    <w:rsid w:val="00116543"/>
    <w:rsid w:val="001356D3"/>
    <w:rsid w:val="00135C69"/>
    <w:rsid w:val="00152121"/>
    <w:rsid w:val="00155FA2"/>
    <w:rsid w:val="00165D79"/>
    <w:rsid w:val="00165F9F"/>
    <w:rsid w:val="00166223"/>
    <w:rsid w:val="00173A63"/>
    <w:rsid w:val="00175163"/>
    <w:rsid w:val="001809A9"/>
    <w:rsid w:val="001841B6"/>
    <w:rsid w:val="001974E7"/>
    <w:rsid w:val="001A268A"/>
    <w:rsid w:val="001A5754"/>
    <w:rsid w:val="001B06E5"/>
    <w:rsid w:val="001B658C"/>
    <w:rsid w:val="001C2D77"/>
    <w:rsid w:val="001C414B"/>
    <w:rsid w:val="001C4CE9"/>
    <w:rsid w:val="001D17F9"/>
    <w:rsid w:val="001D4FFB"/>
    <w:rsid w:val="001E2752"/>
    <w:rsid w:val="00203803"/>
    <w:rsid w:val="00210E2E"/>
    <w:rsid w:val="00211269"/>
    <w:rsid w:val="00230CE3"/>
    <w:rsid w:val="00241083"/>
    <w:rsid w:val="0024796B"/>
    <w:rsid w:val="00252B01"/>
    <w:rsid w:val="00262CB3"/>
    <w:rsid w:val="002662A4"/>
    <w:rsid w:val="002678A8"/>
    <w:rsid w:val="0027376E"/>
    <w:rsid w:val="00276F89"/>
    <w:rsid w:val="0029271C"/>
    <w:rsid w:val="0029297C"/>
    <w:rsid w:val="00297075"/>
    <w:rsid w:val="002A12FD"/>
    <w:rsid w:val="002A2172"/>
    <w:rsid w:val="002A65B2"/>
    <w:rsid w:val="002B335D"/>
    <w:rsid w:val="002C56CC"/>
    <w:rsid w:val="002C7F95"/>
    <w:rsid w:val="002D00B9"/>
    <w:rsid w:val="00304372"/>
    <w:rsid w:val="00312364"/>
    <w:rsid w:val="00314052"/>
    <w:rsid w:val="003216E9"/>
    <w:rsid w:val="0032277C"/>
    <w:rsid w:val="003334CA"/>
    <w:rsid w:val="00334CD9"/>
    <w:rsid w:val="00343086"/>
    <w:rsid w:val="0035248A"/>
    <w:rsid w:val="003579F6"/>
    <w:rsid w:val="003602CC"/>
    <w:rsid w:val="003631A7"/>
    <w:rsid w:val="003663F1"/>
    <w:rsid w:val="0036717C"/>
    <w:rsid w:val="003736C6"/>
    <w:rsid w:val="00375D4F"/>
    <w:rsid w:val="0037739A"/>
    <w:rsid w:val="003868A6"/>
    <w:rsid w:val="00387C4E"/>
    <w:rsid w:val="003A15A7"/>
    <w:rsid w:val="003A3508"/>
    <w:rsid w:val="003A537A"/>
    <w:rsid w:val="003B6089"/>
    <w:rsid w:val="003B79A0"/>
    <w:rsid w:val="003C28EA"/>
    <w:rsid w:val="003C3A19"/>
    <w:rsid w:val="003C5547"/>
    <w:rsid w:val="003C74A7"/>
    <w:rsid w:val="003D57D5"/>
    <w:rsid w:val="003D61DF"/>
    <w:rsid w:val="003E2797"/>
    <w:rsid w:val="003E3D37"/>
    <w:rsid w:val="003F37AA"/>
    <w:rsid w:val="003F5132"/>
    <w:rsid w:val="00410E68"/>
    <w:rsid w:val="00414135"/>
    <w:rsid w:val="00414B8D"/>
    <w:rsid w:val="004209B7"/>
    <w:rsid w:val="004220D6"/>
    <w:rsid w:val="00422FED"/>
    <w:rsid w:val="00430214"/>
    <w:rsid w:val="00433219"/>
    <w:rsid w:val="00437E6F"/>
    <w:rsid w:val="00441C23"/>
    <w:rsid w:val="00447D9E"/>
    <w:rsid w:val="004512D6"/>
    <w:rsid w:val="00452ABE"/>
    <w:rsid w:val="00453737"/>
    <w:rsid w:val="00455930"/>
    <w:rsid w:val="004579F7"/>
    <w:rsid w:val="00457CF7"/>
    <w:rsid w:val="00471592"/>
    <w:rsid w:val="00473212"/>
    <w:rsid w:val="00491D05"/>
    <w:rsid w:val="0049559F"/>
    <w:rsid w:val="004A706D"/>
    <w:rsid w:val="004B6B29"/>
    <w:rsid w:val="004C70DD"/>
    <w:rsid w:val="004E0A1B"/>
    <w:rsid w:val="004E4FEB"/>
    <w:rsid w:val="004F0092"/>
    <w:rsid w:val="004F04E2"/>
    <w:rsid w:val="004F4BCC"/>
    <w:rsid w:val="00502114"/>
    <w:rsid w:val="00514359"/>
    <w:rsid w:val="00517837"/>
    <w:rsid w:val="005207B5"/>
    <w:rsid w:val="0052638C"/>
    <w:rsid w:val="0052689F"/>
    <w:rsid w:val="00526A5E"/>
    <w:rsid w:val="0053652C"/>
    <w:rsid w:val="00536B3C"/>
    <w:rsid w:val="00546467"/>
    <w:rsid w:val="00546D9D"/>
    <w:rsid w:val="0055423E"/>
    <w:rsid w:val="00561B5E"/>
    <w:rsid w:val="00570BC2"/>
    <w:rsid w:val="0058073A"/>
    <w:rsid w:val="00585D0C"/>
    <w:rsid w:val="005902A9"/>
    <w:rsid w:val="00596993"/>
    <w:rsid w:val="005C744C"/>
    <w:rsid w:val="005E091F"/>
    <w:rsid w:val="005E4C80"/>
    <w:rsid w:val="005E5EF2"/>
    <w:rsid w:val="005E7198"/>
    <w:rsid w:val="00600177"/>
    <w:rsid w:val="00604EAE"/>
    <w:rsid w:val="0061145E"/>
    <w:rsid w:val="006261BB"/>
    <w:rsid w:val="00633943"/>
    <w:rsid w:val="006408CD"/>
    <w:rsid w:val="00640931"/>
    <w:rsid w:val="006417E2"/>
    <w:rsid w:val="00647350"/>
    <w:rsid w:val="0065162C"/>
    <w:rsid w:val="006553F4"/>
    <w:rsid w:val="00664212"/>
    <w:rsid w:val="006649B1"/>
    <w:rsid w:val="006659E4"/>
    <w:rsid w:val="006665DD"/>
    <w:rsid w:val="006706A1"/>
    <w:rsid w:val="00681554"/>
    <w:rsid w:val="00682AE3"/>
    <w:rsid w:val="0068421D"/>
    <w:rsid w:val="00685F0D"/>
    <w:rsid w:val="00686A48"/>
    <w:rsid w:val="00691666"/>
    <w:rsid w:val="00691BDE"/>
    <w:rsid w:val="00696505"/>
    <w:rsid w:val="006978FC"/>
    <w:rsid w:val="006A0883"/>
    <w:rsid w:val="006A1CDF"/>
    <w:rsid w:val="006A5D0D"/>
    <w:rsid w:val="006B0356"/>
    <w:rsid w:val="006B1D77"/>
    <w:rsid w:val="006B2403"/>
    <w:rsid w:val="006C313E"/>
    <w:rsid w:val="006E5477"/>
    <w:rsid w:val="006F5FD4"/>
    <w:rsid w:val="00712759"/>
    <w:rsid w:val="00714A4B"/>
    <w:rsid w:val="00733647"/>
    <w:rsid w:val="00735220"/>
    <w:rsid w:val="00736FD2"/>
    <w:rsid w:val="00742FE8"/>
    <w:rsid w:val="00744EE4"/>
    <w:rsid w:val="007453BA"/>
    <w:rsid w:val="00752D22"/>
    <w:rsid w:val="007537F5"/>
    <w:rsid w:val="0075388F"/>
    <w:rsid w:val="007546B8"/>
    <w:rsid w:val="0075753A"/>
    <w:rsid w:val="007673AC"/>
    <w:rsid w:val="00771DE2"/>
    <w:rsid w:val="0078477B"/>
    <w:rsid w:val="00792145"/>
    <w:rsid w:val="00794083"/>
    <w:rsid w:val="00796660"/>
    <w:rsid w:val="007A212A"/>
    <w:rsid w:val="007A51D6"/>
    <w:rsid w:val="007A6491"/>
    <w:rsid w:val="007B51AE"/>
    <w:rsid w:val="007B78EC"/>
    <w:rsid w:val="007C7444"/>
    <w:rsid w:val="007D3659"/>
    <w:rsid w:val="007F5FA6"/>
    <w:rsid w:val="00803A42"/>
    <w:rsid w:val="00807B61"/>
    <w:rsid w:val="00812FD9"/>
    <w:rsid w:val="00817EBC"/>
    <w:rsid w:val="00824124"/>
    <w:rsid w:val="00830815"/>
    <w:rsid w:val="00850892"/>
    <w:rsid w:val="00855542"/>
    <w:rsid w:val="00871E5C"/>
    <w:rsid w:val="00875C87"/>
    <w:rsid w:val="00882B62"/>
    <w:rsid w:val="0088332F"/>
    <w:rsid w:val="00893E6B"/>
    <w:rsid w:val="00896B21"/>
    <w:rsid w:val="008A2064"/>
    <w:rsid w:val="008A4CE8"/>
    <w:rsid w:val="008B38F8"/>
    <w:rsid w:val="008D0DFC"/>
    <w:rsid w:val="008D2FE2"/>
    <w:rsid w:val="008E21CF"/>
    <w:rsid w:val="008E21E2"/>
    <w:rsid w:val="008E2315"/>
    <w:rsid w:val="008F7246"/>
    <w:rsid w:val="009007F0"/>
    <w:rsid w:val="00916118"/>
    <w:rsid w:val="00923597"/>
    <w:rsid w:val="00923EE2"/>
    <w:rsid w:val="00925643"/>
    <w:rsid w:val="0092713F"/>
    <w:rsid w:val="00933D21"/>
    <w:rsid w:val="0095042D"/>
    <w:rsid w:val="00954CFC"/>
    <w:rsid w:val="0095558F"/>
    <w:rsid w:val="00962F4A"/>
    <w:rsid w:val="009633AE"/>
    <w:rsid w:val="00970089"/>
    <w:rsid w:val="00975D05"/>
    <w:rsid w:val="00976DFA"/>
    <w:rsid w:val="00980635"/>
    <w:rsid w:val="00980CAB"/>
    <w:rsid w:val="00980EC8"/>
    <w:rsid w:val="00982C12"/>
    <w:rsid w:val="0099451A"/>
    <w:rsid w:val="00995A32"/>
    <w:rsid w:val="009974C8"/>
    <w:rsid w:val="009A6A5A"/>
    <w:rsid w:val="009A7FA3"/>
    <w:rsid w:val="009B340F"/>
    <w:rsid w:val="009D3439"/>
    <w:rsid w:val="009D5E6A"/>
    <w:rsid w:val="009E6FBE"/>
    <w:rsid w:val="009F15E1"/>
    <w:rsid w:val="009F2390"/>
    <w:rsid w:val="00A03999"/>
    <w:rsid w:val="00A03F01"/>
    <w:rsid w:val="00A04474"/>
    <w:rsid w:val="00A06559"/>
    <w:rsid w:val="00A20D01"/>
    <w:rsid w:val="00A30CEB"/>
    <w:rsid w:val="00A401AF"/>
    <w:rsid w:val="00A41882"/>
    <w:rsid w:val="00A44AF8"/>
    <w:rsid w:val="00A513B8"/>
    <w:rsid w:val="00A61C78"/>
    <w:rsid w:val="00A64029"/>
    <w:rsid w:val="00A67D00"/>
    <w:rsid w:val="00A72044"/>
    <w:rsid w:val="00A769D5"/>
    <w:rsid w:val="00A84879"/>
    <w:rsid w:val="00A959F9"/>
    <w:rsid w:val="00A976E4"/>
    <w:rsid w:val="00AA1F98"/>
    <w:rsid w:val="00AB0E71"/>
    <w:rsid w:val="00AB3782"/>
    <w:rsid w:val="00AD27DE"/>
    <w:rsid w:val="00AD2D17"/>
    <w:rsid w:val="00AD74E0"/>
    <w:rsid w:val="00AE3DBC"/>
    <w:rsid w:val="00B22A51"/>
    <w:rsid w:val="00B243E1"/>
    <w:rsid w:val="00B26BE1"/>
    <w:rsid w:val="00B27287"/>
    <w:rsid w:val="00B30EC9"/>
    <w:rsid w:val="00B31358"/>
    <w:rsid w:val="00B40F05"/>
    <w:rsid w:val="00B450C4"/>
    <w:rsid w:val="00B536E3"/>
    <w:rsid w:val="00B63251"/>
    <w:rsid w:val="00B712FC"/>
    <w:rsid w:val="00B7768F"/>
    <w:rsid w:val="00B85298"/>
    <w:rsid w:val="00B91F85"/>
    <w:rsid w:val="00B95F34"/>
    <w:rsid w:val="00B95F82"/>
    <w:rsid w:val="00B975CC"/>
    <w:rsid w:val="00BB2765"/>
    <w:rsid w:val="00BB77D8"/>
    <w:rsid w:val="00BC69C3"/>
    <w:rsid w:val="00BD791C"/>
    <w:rsid w:val="00BE095B"/>
    <w:rsid w:val="00BE1C0C"/>
    <w:rsid w:val="00BE649B"/>
    <w:rsid w:val="00BE79D4"/>
    <w:rsid w:val="00BF5535"/>
    <w:rsid w:val="00C06110"/>
    <w:rsid w:val="00C06F30"/>
    <w:rsid w:val="00C102E8"/>
    <w:rsid w:val="00C20A33"/>
    <w:rsid w:val="00C24CF5"/>
    <w:rsid w:val="00C30F86"/>
    <w:rsid w:val="00C33C48"/>
    <w:rsid w:val="00C3642D"/>
    <w:rsid w:val="00C40F2F"/>
    <w:rsid w:val="00C42577"/>
    <w:rsid w:val="00C46317"/>
    <w:rsid w:val="00C5651E"/>
    <w:rsid w:val="00C74BE1"/>
    <w:rsid w:val="00C77F36"/>
    <w:rsid w:val="00C8260F"/>
    <w:rsid w:val="00C86AC4"/>
    <w:rsid w:val="00C95C19"/>
    <w:rsid w:val="00CA2415"/>
    <w:rsid w:val="00CA69A0"/>
    <w:rsid w:val="00CC34C7"/>
    <w:rsid w:val="00CC465F"/>
    <w:rsid w:val="00CD610A"/>
    <w:rsid w:val="00CD763E"/>
    <w:rsid w:val="00CE6750"/>
    <w:rsid w:val="00CF76D0"/>
    <w:rsid w:val="00CF77AA"/>
    <w:rsid w:val="00D16E87"/>
    <w:rsid w:val="00D20C46"/>
    <w:rsid w:val="00D23BA4"/>
    <w:rsid w:val="00D26852"/>
    <w:rsid w:val="00D3482E"/>
    <w:rsid w:val="00D40E73"/>
    <w:rsid w:val="00D40F4C"/>
    <w:rsid w:val="00D45529"/>
    <w:rsid w:val="00D46893"/>
    <w:rsid w:val="00D50CC8"/>
    <w:rsid w:val="00D51095"/>
    <w:rsid w:val="00D56957"/>
    <w:rsid w:val="00D65582"/>
    <w:rsid w:val="00D66C94"/>
    <w:rsid w:val="00D95396"/>
    <w:rsid w:val="00DA34EC"/>
    <w:rsid w:val="00DC127B"/>
    <w:rsid w:val="00DC6C4B"/>
    <w:rsid w:val="00DC7814"/>
    <w:rsid w:val="00DD4A23"/>
    <w:rsid w:val="00DF0E35"/>
    <w:rsid w:val="00DF1C20"/>
    <w:rsid w:val="00E02E38"/>
    <w:rsid w:val="00E34E3E"/>
    <w:rsid w:val="00E3536B"/>
    <w:rsid w:val="00E4216F"/>
    <w:rsid w:val="00E51F2B"/>
    <w:rsid w:val="00E543D8"/>
    <w:rsid w:val="00E5744B"/>
    <w:rsid w:val="00E72319"/>
    <w:rsid w:val="00E73310"/>
    <w:rsid w:val="00E73602"/>
    <w:rsid w:val="00E944F2"/>
    <w:rsid w:val="00E97D04"/>
    <w:rsid w:val="00EA083F"/>
    <w:rsid w:val="00EA530F"/>
    <w:rsid w:val="00EB5DFD"/>
    <w:rsid w:val="00EC1EA1"/>
    <w:rsid w:val="00EC2A01"/>
    <w:rsid w:val="00ED45D0"/>
    <w:rsid w:val="00ED46FE"/>
    <w:rsid w:val="00ED52D9"/>
    <w:rsid w:val="00ED5834"/>
    <w:rsid w:val="00EF7C5A"/>
    <w:rsid w:val="00F04421"/>
    <w:rsid w:val="00F054E3"/>
    <w:rsid w:val="00F10159"/>
    <w:rsid w:val="00F13526"/>
    <w:rsid w:val="00F15B45"/>
    <w:rsid w:val="00F21D97"/>
    <w:rsid w:val="00F268CD"/>
    <w:rsid w:val="00F46841"/>
    <w:rsid w:val="00F4717D"/>
    <w:rsid w:val="00F53DAF"/>
    <w:rsid w:val="00F53EC4"/>
    <w:rsid w:val="00F550E7"/>
    <w:rsid w:val="00F55C34"/>
    <w:rsid w:val="00F64478"/>
    <w:rsid w:val="00F67B4E"/>
    <w:rsid w:val="00F73426"/>
    <w:rsid w:val="00F743D6"/>
    <w:rsid w:val="00F7593C"/>
    <w:rsid w:val="00F779B0"/>
    <w:rsid w:val="00F813B1"/>
    <w:rsid w:val="00FA3A44"/>
    <w:rsid w:val="00FB0E3B"/>
    <w:rsid w:val="00FB1D49"/>
    <w:rsid w:val="00FB2CBE"/>
    <w:rsid w:val="00FB4CD4"/>
    <w:rsid w:val="00FC4F05"/>
    <w:rsid w:val="00FD3050"/>
    <w:rsid w:val="00FD5464"/>
    <w:rsid w:val="00FD725E"/>
    <w:rsid w:val="00FE1C83"/>
    <w:rsid w:val="00FE5B0E"/>
    <w:rsid w:val="00FF5364"/>
    <w:rsid w:val="00FF6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7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4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Date">
    <w:name w:val="ReportCover-Date"/>
    <w:basedOn w:val="Normal"/>
    <w:rsid w:val="000C6D43"/>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rsid w:val="000C6D43"/>
    <w:rPr>
      <w:sz w:val="16"/>
      <w:szCs w:val="16"/>
    </w:rPr>
  </w:style>
  <w:style w:type="paragraph" w:styleId="CommentText">
    <w:name w:val="annotation text"/>
    <w:basedOn w:val="Normal"/>
    <w:link w:val="CommentTextChar"/>
    <w:rsid w:val="000C6D43"/>
    <w:rPr>
      <w:sz w:val="20"/>
      <w:szCs w:val="20"/>
    </w:rPr>
  </w:style>
  <w:style w:type="character" w:customStyle="1" w:styleId="CommentTextChar">
    <w:name w:val="Comment Text Char"/>
    <w:basedOn w:val="DefaultParagraphFont"/>
    <w:link w:val="CommentText"/>
    <w:rsid w:val="000C6D43"/>
    <w:rPr>
      <w:rFonts w:ascii="Times New Roman" w:eastAsia="Times New Roman" w:hAnsi="Times New Roman" w:cs="Times New Roman"/>
      <w:sz w:val="20"/>
      <w:szCs w:val="20"/>
    </w:rPr>
  </w:style>
  <w:style w:type="paragraph" w:customStyle="1" w:styleId="ReportCover-Title">
    <w:name w:val="ReportCover-Title"/>
    <w:basedOn w:val="Normal"/>
    <w:rsid w:val="000C6D43"/>
    <w:pPr>
      <w:spacing w:line="420" w:lineRule="exact"/>
    </w:pPr>
    <w:rPr>
      <w:rFonts w:ascii="Franklin Gothic Medium" w:hAnsi="Franklin Gothic Medium"/>
      <w:b/>
      <w:color w:val="003C79"/>
      <w:sz w:val="40"/>
      <w:szCs w:val="40"/>
    </w:rPr>
  </w:style>
  <w:style w:type="paragraph" w:styleId="BalloonText">
    <w:name w:val="Balloon Text"/>
    <w:basedOn w:val="Normal"/>
    <w:link w:val="BalloonTextChar"/>
    <w:uiPriority w:val="99"/>
    <w:semiHidden/>
    <w:unhideWhenUsed/>
    <w:rsid w:val="000C6D43"/>
    <w:rPr>
      <w:rFonts w:ascii="Tahoma" w:hAnsi="Tahoma" w:cs="Tahoma"/>
      <w:sz w:val="16"/>
      <w:szCs w:val="16"/>
    </w:rPr>
  </w:style>
  <w:style w:type="character" w:customStyle="1" w:styleId="BalloonTextChar">
    <w:name w:val="Balloon Text Char"/>
    <w:basedOn w:val="DefaultParagraphFont"/>
    <w:link w:val="BalloonText"/>
    <w:uiPriority w:val="99"/>
    <w:semiHidden/>
    <w:rsid w:val="000C6D43"/>
    <w:rPr>
      <w:rFonts w:ascii="Tahoma" w:eastAsia="Times New Roman" w:hAnsi="Tahoma" w:cs="Tahoma"/>
      <w:sz w:val="16"/>
      <w:szCs w:val="16"/>
    </w:rPr>
  </w:style>
  <w:style w:type="paragraph" w:styleId="BodyText">
    <w:name w:val="Body Text"/>
    <w:basedOn w:val="Normal"/>
    <w:link w:val="BodyTextChar"/>
    <w:rsid w:val="000C6D43"/>
    <w:pPr>
      <w:tabs>
        <w:tab w:val="left" w:pos="720"/>
        <w:tab w:val="left" w:pos="1080"/>
        <w:tab w:val="left" w:pos="1440"/>
        <w:tab w:val="left" w:pos="1800"/>
      </w:tabs>
      <w:spacing w:line="264" w:lineRule="auto"/>
    </w:pPr>
    <w:rPr>
      <w:sz w:val="22"/>
      <w:szCs w:val="20"/>
    </w:rPr>
  </w:style>
  <w:style w:type="character" w:customStyle="1" w:styleId="BodyTextChar">
    <w:name w:val="Body Text Char"/>
    <w:basedOn w:val="DefaultParagraphFont"/>
    <w:link w:val="BodyText"/>
    <w:rsid w:val="000C6D43"/>
    <w:rPr>
      <w:rFonts w:ascii="Times New Roman" w:eastAsia="Times New Roman" w:hAnsi="Times New Roman" w:cs="Times New Roman"/>
      <w:szCs w:val="20"/>
    </w:rPr>
  </w:style>
  <w:style w:type="paragraph" w:styleId="ListParagraph">
    <w:name w:val="List Paragraph"/>
    <w:basedOn w:val="Normal"/>
    <w:uiPriority w:val="34"/>
    <w:qFormat/>
    <w:rsid w:val="000C6D43"/>
    <w:pPr>
      <w:tabs>
        <w:tab w:val="left" w:pos="720"/>
        <w:tab w:val="left" w:pos="1080"/>
        <w:tab w:val="left" w:pos="1440"/>
        <w:tab w:val="left" w:pos="1800"/>
      </w:tabs>
      <w:spacing w:line="264" w:lineRule="auto"/>
      <w:ind w:left="720"/>
      <w:contextualSpacing/>
    </w:pPr>
    <w:rPr>
      <w:sz w:val="22"/>
      <w:szCs w:val="20"/>
    </w:rPr>
  </w:style>
  <w:style w:type="paragraph" w:customStyle="1" w:styleId="Default">
    <w:name w:val="Default"/>
    <w:rsid w:val="000C6D4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C6D4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C6D43"/>
    <w:rPr>
      <w:rFonts w:ascii="Consolas" w:hAnsi="Consolas"/>
      <w:sz w:val="21"/>
      <w:szCs w:val="21"/>
    </w:rPr>
  </w:style>
  <w:style w:type="paragraph" w:customStyle="1" w:styleId="NumberedBullet">
    <w:name w:val="Numbered Bullet"/>
    <w:basedOn w:val="Normal"/>
    <w:qFormat/>
    <w:rsid w:val="000C6D43"/>
    <w:pPr>
      <w:numPr>
        <w:numId w:val="1"/>
      </w:numPr>
      <w:tabs>
        <w:tab w:val="clear" w:pos="792"/>
        <w:tab w:val="left" w:pos="360"/>
      </w:tabs>
      <w:spacing w:after="120"/>
      <w:ind w:left="720" w:right="360" w:hanging="288"/>
      <w:jc w:val="both"/>
    </w:pPr>
    <w:rPr>
      <w:rFonts w:ascii="Garamond" w:hAnsi="Garamond"/>
    </w:rPr>
  </w:style>
  <w:style w:type="paragraph" w:customStyle="1" w:styleId="BulletLAST">
    <w:name w:val="Bullet (LAST)"/>
    <w:basedOn w:val="bullet"/>
    <w:next w:val="Normal"/>
    <w:qFormat/>
    <w:rsid w:val="000C6D43"/>
    <w:pPr>
      <w:numPr>
        <w:numId w:val="2"/>
      </w:numPr>
      <w:tabs>
        <w:tab w:val="left" w:pos="360"/>
      </w:tabs>
      <w:spacing w:after="480"/>
      <w:ind w:hanging="288"/>
    </w:pPr>
    <w:rPr>
      <w:szCs w:val="24"/>
    </w:rPr>
  </w:style>
  <w:style w:type="paragraph" w:customStyle="1" w:styleId="bullet">
    <w:name w:val="bullet"/>
    <w:rsid w:val="000C6D43"/>
    <w:pPr>
      <w:numPr>
        <w:numId w:val="3"/>
      </w:numPr>
      <w:spacing w:after="180" w:line="240" w:lineRule="auto"/>
      <w:ind w:right="360"/>
      <w:jc w:val="both"/>
    </w:pPr>
    <w:rPr>
      <w:rFonts w:ascii="Times New Roman" w:eastAsia="Times New Roman" w:hAnsi="Times New Roman" w:cs="Times New Roman"/>
      <w:sz w:val="24"/>
      <w:szCs w:val="20"/>
    </w:rPr>
  </w:style>
  <w:style w:type="paragraph" w:customStyle="1" w:styleId="NormalSS">
    <w:name w:val="NormalSS"/>
    <w:basedOn w:val="Normal"/>
    <w:qFormat/>
    <w:rsid w:val="000C6D43"/>
    <w:pPr>
      <w:tabs>
        <w:tab w:val="left" w:pos="432"/>
      </w:tabs>
      <w:ind w:firstLine="432"/>
      <w:jc w:val="both"/>
    </w:pPr>
  </w:style>
  <w:style w:type="paragraph" w:customStyle="1" w:styleId="References">
    <w:name w:val="References"/>
    <w:basedOn w:val="Normal"/>
    <w:next w:val="Normal"/>
    <w:qFormat/>
    <w:rsid w:val="000C6D43"/>
    <w:pPr>
      <w:tabs>
        <w:tab w:val="left" w:pos="432"/>
      </w:tabs>
      <w:spacing w:after="240"/>
      <w:ind w:left="432" w:hanging="432"/>
      <w:jc w:val="both"/>
    </w:pPr>
  </w:style>
  <w:style w:type="paragraph" w:styleId="Header">
    <w:name w:val="header"/>
    <w:basedOn w:val="Normal"/>
    <w:link w:val="HeaderChar"/>
    <w:uiPriority w:val="99"/>
    <w:unhideWhenUsed/>
    <w:rsid w:val="00F779B0"/>
    <w:pPr>
      <w:tabs>
        <w:tab w:val="center" w:pos="4680"/>
        <w:tab w:val="right" w:pos="9360"/>
      </w:tabs>
    </w:pPr>
  </w:style>
  <w:style w:type="character" w:customStyle="1" w:styleId="HeaderChar">
    <w:name w:val="Header Char"/>
    <w:basedOn w:val="DefaultParagraphFont"/>
    <w:link w:val="Header"/>
    <w:uiPriority w:val="99"/>
    <w:rsid w:val="00F779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9B0"/>
    <w:pPr>
      <w:tabs>
        <w:tab w:val="center" w:pos="4680"/>
        <w:tab w:val="right" w:pos="9360"/>
      </w:tabs>
    </w:pPr>
  </w:style>
  <w:style w:type="character" w:customStyle="1" w:styleId="FooterChar">
    <w:name w:val="Footer Char"/>
    <w:basedOn w:val="DefaultParagraphFont"/>
    <w:link w:val="Footer"/>
    <w:uiPriority w:val="99"/>
    <w:rsid w:val="00F779B0"/>
    <w:rPr>
      <w:rFonts w:ascii="Times New Roman" w:eastAsia="Times New Roman" w:hAnsi="Times New Roman" w:cs="Times New Roman"/>
      <w:sz w:val="24"/>
      <w:szCs w:val="24"/>
    </w:rPr>
  </w:style>
  <w:style w:type="paragraph" w:styleId="Revision">
    <w:name w:val="Revision"/>
    <w:hidden/>
    <w:uiPriority w:val="99"/>
    <w:semiHidden/>
    <w:rsid w:val="00C102E8"/>
    <w:pPr>
      <w:spacing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975CC"/>
    <w:rPr>
      <w:b/>
      <w:bCs/>
    </w:rPr>
  </w:style>
  <w:style w:type="character" w:customStyle="1" w:styleId="CommentSubjectChar">
    <w:name w:val="Comment Subject Char"/>
    <w:basedOn w:val="CommentTextChar"/>
    <w:link w:val="CommentSubject"/>
    <w:uiPriority w:val="99"/>
    <w:semiHidden/>
    <w:rsid w:val="00B975C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B78EC"/>
    <w:rPr>
      <w:sz w:val="20"/>
      <w:szCs w:val="20"/>
    </w:rPr>
  </w:style>
  <w:style w:type="character" w:customStyle="1" w:styleId="FootnoteTextChar">
    <w:name w:val="Footnote Text Char"/>
    <w:basedOn w:val="DefaultParagraphFont"/>
    <w:link w:val="FootnoteText"/>
    <w:uiPriority w:val="99"/>
    <w:semiHidden/>
    <w:rsid w:val="007B78EC"/>
    <w:rPr>
      <w:rFonts w:ascii="Times New Roman" w:eastAsia="Times New Roman" w:hAnsi="Times New Roman" w:cs="Times New Roman"/>
      <w:sz w:val="20"/>
      <w:szCs w:val="20"/>
    </w:rPr>
  </w:style>
  <w:style w:type="character" w:customStyle="1" w:styleId="bodytextpsgCharChar">
    <w:name w:val="body text_psg Char Char"/>
    <w:basedOn w:val="DefaultParagraphFont"/>
    <w:link w:val="bodytextpsg"/>
    <w:locked/>
    <w:rsid w:val="007B78EC"/>
    <w:rPr>
      <w:rFonts w:ascii="Times New Roman" w:eastAsia="Times New Roman" w:hAnsi="Times New Roman" w:cs="Times New Roman"/>
      <w:szCs w:val="20"/>
    </w:rPr>
  </w:style>
  <w:style w:type="paragraph" w:customStyle="1" w:styleId="bodytextpsg">
    <w:name w:val="body text_psg"/>
    <w:basedOn w:val="Normal"/>
    <w:link w:val="bodytextpsgCharChar"/>
    <w:rsid w:val="007B78EC"/>
    <w:pPr>
      <w:spacing w:after="120"/>
      <w:ind w:firstLine="720"/>
    </w:pPr>
    <w:rPr>
      <w:sz w:val="22"/>
      <w:szCs w:val="20"/>
    </w:rPr>
  </w:style>
  <w:style w:type="character" w:styleId="FootnoteReference">
    <w:name w:val="footnote reference"/>
    <w:basedOn w:val="DefaultParagraphFont"/>
    <w:uiPriority w:val="99"/>
    <w:semiHidden/>
    <w:unhideWhenUsed/>
    <w:rsid w:val="007B78EC"/>
    <w:rPr>
      <w:vertAlign w:val="superscript"/>
    </w:rPr>
  </w:style>
  <w:style w:type="character" w:styleId="Hyperlink">
    <w:name w:val="Hyperlink"/>
    <w:basedOn w:val="DefaultParagraphFont"/>
    <w:uiPriority w:val="99"/>
    <w:semiHidden/>
    <w:unhideWhenUsed/>
    <w:rsid w:val="009A6A5A"/>
    <w:rPr>
      <w:color w:val="0000FF"/>
      <w:u w:val="single"/>
    </w:rPr>
  </w:style>
  <w:style w:type="paragraph" w:styleId="NormalWeb">
    <w:name w:val="Normal (Web)"/>
    <w:basedOn w:val="Normal"/>
    <w:uiPriority w:val="99"/>
    <w:unhideWhenUsed/>
    <w:rsid w:val="009A6A5A"/>
    <w:pPr>
      <w:spacing w:before="100" w:beforeAutospacing="1" w:after="100" w:afterAutospacing="1"/>
    </w:pPr>
    <w:rPr>
      <w:rFonts w:eastAsiaTheme="minorHAnsi"/>
    </w:rPr>
  </w:style>
  <w:style w:type="table" w:styleId="TableGrid">
    <w:name w:val="Table Grid"/>
    <w:basedOn w:val="TableNormal"/>
    <w:uiPriority w:val="59"/>
    <w:rsid w:val="003579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7846">
      <w:bodyDiv w:val="1"/>
      <w:marLeft w:val="0"/>
      <w:marRight w:val="0"/>
      <w:marTop w:val="0"/>
      <w:marBottom w:val="0"/>
      <w:divBdr>
        <w:top w:val="none" w:sz="0" w:space="0" w:color="auto"/>
        <w:left w:val="none" w:sz="0" w:space="0" w:color="auto"/>
        <w:bottom w:val="none" w:sz="0" w:space="0" w:color="auto"/>
        <w:right w:val="none" w:sz="0" w:space="0" w:color="auto"/>
      </w:divBdr>
    </w:div>
    <w:div w:id="289365794">
      <w:bodyDiv w:val="1"/>
      <w:marLeft w:val="0"/>
      <w:marRight w:val="0"/>
      <w:marTop w:val="0"/>
      <w:marBottom w:val="0"/>
      <w:divBdr>
        <w:top w:val="none" w:sz="0" w:space="0" w:color="auto"/>
        <w:left w:val="none" w:sz="0" w:space="0" w:color="auto"/>
        <w:bottom w:val="none" w:sz="0" w:space="0" w:color="auto"/>
        <w:right w:val="none" w:sz="0" w:space="0" w:color="auto"/>
      </w:divBdr>
    </w:div>
    <w:div w:id="516775613">
      <w:bodyDiv w:val="1"/>
      <w:marLeft w:val="0"/>
      <w:marRight w:val="0"/>
      <w:marTop w:val="0"/>
      <w:marBottom w:val="0"/>
      <w:divBdr>
        <w:top w:val="none" w:sz="0" w:space="0" w:color="auto"/>
        <w:left w:val="none" w:sz="0" w:space="0" w:color="auto"/>
        <w:bottom w:val="none" w:sz="0" w:space="0" w:color="auto"/>
        <w:right w:val="none" w:sz="0" w:space="0" w:color="auto"/>
      </w:divBdr>
    </w:div>
    <w:div w:id="570778649">
      <w:bodyDiv w:val="1"/>
      <w:marLeft w:val="0"/>
      <w:marRight w:val="0"/>
      <w:marTop w:val="0"/>
      <w:marBottom w:val="0"/>
      <w:divBdr>
        <w:top w:val="none" w:sz="0" w:space="0" w:color="auto"/>
        <w:left w:val="none" w:sz="0" w:space="0" w:color="auto"/>
        <w:bottom w:val="none" w:sz="0" w:space="0" w:color="auto"/>
        <w:right w:val="none" w:sz="0" w:space="0" w:color="auto"/>
      </w:divBdr>
    </w:div>
    <w:div w:id="799156357">
      <w:bodyDiv w:val="1"/>
      <w:marLeft w:val="0"/>
      <w:marRight w:val="0"/>
      <w:marTop w:val="0"/>
      <w:marBottom w:val="0"/>
      <w:divBdr>
        <w:top w:val="none" w:sz="0" w:space="0" w:color="auto"/>
        <w:left w:val="none" w:sz="0" w:space="0" w:color="auto"/>
        <w:bottom w:val="none" w:sz="0" w:space="0" w:color="auto"/>
        <w:right w:val="none" w:sz="0" w:space="0" w:color="auto"/>
      </w:divBdr>
    </w:div>
    <w:div w:id="1326586012">
      <w:bodyDiv w:val="1"/>
      <w:marLeft w:val="0"/>
      <w:marRight w:val="0"/>
      <w:marTop w:val="0"/>
      <w:marBottom w:val="0"/>
      <w:divBdr>
        <w:top w:val="none" w:sz="0" w:space="0" w:color="auto"/>
        <w:left w:val="none" w:sz="0" w:space="0" w:color="auto"/>
        <w:bottom w:val="none" w:sz="0" w:space="0" w:color="auto"/>
        <w:right w:val="none" w:sz="0" w:space="0" w:color="auto"/>
      </w:divBdr>
    </w:div>
    <w:div w:id="1568416352">
      <w:bodyDiv w:val="1"/>
      <w:marLeft w:val="0"/>
      <w:marRight w:val="0"/>
      <w:marTop w:val="0"/>
      <w:marBottom w:val="0"/>
      <w:divBdr>
        <w:top w:val="none" w:sz="0" w:space="0" w:color="auto"/>
        <w:left w:val="none" w:sz="0" w:space="0" w:color="auto"/>
        <w:bottom w:val="none" w:sz="0" w:space="0" w:color="auto"/>
        <w:right w:val="none" w:sz="0" w:space="0" w:color="auto"/>
      </w:divBdr>
    </w:div>
    <w:div w:id="1709260748">
      <w:bodyDiv w:val="1"/>
      <w:marLeft w:val="0"/>
      <w:marRight w:val="0"/>
      <w:marTop w:val="0"/>
      <w:marBottom w:val="0"/>
      <w:divBdr>
        <w:top w:val="none" w:sz="0" w:space="0" w:color="auto"/>
        <w:left w:val="none" w:sz="0" w:space="0" w:color="auto"/>
        <w:bottom w:val="none" w:sz="0" w:space="0" w:color="auto"/>
        <w:right w:val="none" w:sz="0" w:space="0" w:color="auto"/>
      </w:divBdr>
    </w:div>
    <w:div w:id="1732579341">
      <w:bodyDiv w:val="1"/>
      <w:marLeft w:val="0"/>
      <w:marRight w:val="0"/>
      <w:marTop w:val="0"/>
      <w:marBottom w:val="0"/>
      <w:divBdr>
        <w:top w:val="none" w:sz="0" w:space="0" w:color="auto"/>
        <w:left w:val="none" w:sz="0" w:space="0" w:color="auto"/>
        <w:bottom w:val="none" w:sz="0" w:space="0" w:color="auto"/>
        <w:right w:val="none" w:sz="0" w:space="0" w:color="auto"/>
      </w:divBdr>
    </w:div>
    <w:div w:id="192625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85146067-52ee-4a85-ae25-672b79f9df64">Data Collection &amp; Acquisition</Document_x0020_Type>
    <Team xmlns="f23c63e7-3264-4fa0-bbac-fd47573de8ba">
      <Value>Data</Value>
      <Value>Design</Value>
      <Value>Reports</Value>
    </Team>
    <Sub_x002d_Type xmlns="85146067-52ee-4a85-ae25-672b79f9df64">Drafts</Sub_x002d_Type>
    <Check_x002d_In_x0020_Document_x0020_Type xmlns="85146067-52ee-4a85-ae25-672b79f9df64">OMB Submissions</Check_x002d_In_x0020_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C0ED3A1CA2C5B46AAC209097F5D3E45" ma:contentTypeVersion="29" ma:contentTypeDescription="MDRC Project Documents - includes metadata - Document Type, Site, Team" ma:contentTypeScope="" ma:versionID="a10ce7681b86cd27c7934b57606b6607">
  <xsd:schema xmlns:xsd="http://www.w3.org/2001/XMLSchema" xmlns:p="http://schemas.microsoft.com/office/2006/metadata/properties" xmlns:ns2="85146067-52ee-4a85-ae25-672b79f9df64" xmlns:ns3="f23c63e7-3264-4fa0-bbac-fd47573de8ba" targetNamespace="http://schemas.microsoft.com/office/2006/metadata/properties" ma:root="true" ma:fieldsID="8cec3363abdbb54da8ce3e98c844c596" ns2:_="" ns3:_="">
    <xsd:import namespace="85146067-52ee-4a85-ae25-672b79f9df64"/>
    <xsd:import namespace="f23c63e7-3264-4fa0-bbac-fd47573de8ba"/>
    <xsd:element name="properties">
      <xsd:complexType>
        <xsd:sequence>
          <xsd:element name="documentManagement">
            <xsd:complexType>
              <xsd:all>
                <xsd:element ref="ns2:Check_x002d_In_x0020_Document_x0020_Type"/>
                <xsd:element ref="ns2:Sub_x002d_Type"/>
                <xsd:element ref="ns3:Team" minOccurs="0"/>
                <xsd:element ref="ns2:Document_x0020_Type" minOccurs="0"/>
              </xsd:all>
            </xsd:complexType>
          </xsd:element>
        </xsd:sequence>
      </xsd:complexType>
    </xsd:element>
  </xsd:schema>
  <xsd:schema xmlns:xsd="http://www.w3.org/2001/XMLSchema" xmlns:dms="http://schemas.microsoft.com/office/2006/documentManagement/types" targetNamespace="85146067-52ee-4a85-ae25-672b79f9df64" elementFormDefault="qualified">
    <xsd:import namespace="http://schemas.microsoft.com/office/2006/documentManagement/types"/>
    <xsd:element name="Check_x002d_In_x0020_Document_x0020_Type" ma:index="2" ma:displayName="Check-in Type" ma:format="Dropdown" ma:internalName="Check_x002d_In_x0020_Document_x0020_Type">
      <xsd:simpleType>
        <xsd:restriction base="dms:Choice">
          <xsd:enumeration value="Tracking Memo"/>
          <xsd:enumeration value="Survey (2.5)"/>
          <xsd:enumeration value="Survey (3.5)"/>
          <xsd:enumeration value="Survey (4.5)"/>
          <xsd:enumeration value="Memos to HHS"/>
          <xsd:enumeration value="OMB Submissions"/>
          <xsd:enumeration value="Workplans/Internal Memos"/>
        </xsd:restriction>
      </xsd:simpleType>
    </xsd:element>
    <xsd:element name="Sub_x002d_Type" ma:index="3" ma:displayName="Subtype" ma:format="Dropdown" ma:internalName="Sub_x002d_Type">
      <xsd:simpleType>
        <xsd:restriction base="dms:Choice">
          <xsd:enumeration value="Background Documents"/>
          <xsd:enumeration value="Call Summaries"/>
          <xsd:enumeration value="References"/>
          <xsd:enumeration value="Drafts"/>
          <xsd:enumeration value="Final Version"/>
          <xsd:enumeration value="Measures"/>
          <xsd:enumeration value="Pre-Testing"/>
          <xsd:enumeration value="Key Emails"/>
          <xsd:enumeration value="Authorization Documents"/>
          <xsd:enumeration value="Comments on Public Notices"/>
          <xsd:enumeration value="Progress Reports"/>
          <xsd:enumeration value="Timelines"/>
          <xsd:enumeration value="IRB"/>
        </xsd:restriction>
      </xsd:simpleType>
    </xsd:element>
    <xsd:element name="Document_x0020_Type" ma:index="11"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Team" ma:index="4" nillable="true" ma:displayName="Team" ma:internalName="Team">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13466-4485-45D0-9C7A-9A99280123A8}">
  <ds:schemaRefs>
    <ds:schemaRef ds:uri="http://schemas.microsoft.com/sharepoint/v3/contenttype/forms"/>
  </ds:schemaRefs>
</ds:datastoreItem>
</file>

<file path=customXml/itemProps2.xml><?xml version="1.0" encoding="utf-8"?>
<ds:datastoreItem xmlns:ds="http://schemas.openxmlformats.org/officeDocument/2006/customXml" ds:itemID="{07C3AC34-7120-4C54-B69C-70B3B409983E}">
  <ds:schemaRefs>
    <ds:schemaRef ds:uri="http://schemas.microsoft.com/office/2006/metadata/properties"/>
    <ds:schemaRef ds:uri="http://www.w3.org/XML/1998/namespace"/>
    <ds:schemaRef ds:uri="f23c63e7-3264-4fa0-bbac-fd47573de8ba"/>
    <ds:schemaRef ds:uri="http://schemas.microsoft.com/office/2006/documentManagement/types"/>
    <ds:schemaRef ds:uri="http://purl.org/dc/dcmitype/"/>
    <ds:schemaRef ds:uri="http://purl.org/dc/terms/"/>
    <ds:schemaRef ds:uri="http://schemas.openxmlformats.org/package/2006/metadata/core-properties"/>
    <ds:schemaRef ds:uri="85146067-52ee-4a85-ae25-672b79f9df64"/>
    <ds:schemaRef ds:uri="http://purl.org/dc/elements/1.1/"/>
  </ds:schemaRefs>
</ds:datastoreItem>
</file>

<file path=customXml/itemProps3.xml><?xml version="1.0" encoding="utf-8"?>
<ds:datastoreItem xmlns:ds="http://schemas.openxmlformats.org/officeDocument/2006/customXml" ds:itemID="{D4E7D994-900C-4B1E-A26A-CA32EAC07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6067-52ee-4a85-ae25-672b79f9df64"/>
    <ds:schemaRef ds:uri="f23c63e7-3264-4fa0-bbac-fd47573de8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BEBEE0-6BD9-4D5B-9FC8-0FBD9CC2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3835</Words>
  <Characters>21862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MIHOPE Check-in Supporting Statement B draft</vt:lpstr>
    </vt:vector>
  </TitlesOfParts>
  <Company>DHHS</Company>
  <LinksUpToDate>false</LinksUpToDate>
  <CharactersWithSpaces>25646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MIHOPE Check-in Supporting Statement B draft</dc:title>
  <dc:creator>Molly Buck</dc:creator>
  <cp:lastModifiedBy>Molly</cp:lastModifiedBy>
  <cp:revision>3</cp:revision>
  <cp:lastPrinted>2014-12-23T18:33:00Z</cp:lastPrinted>
  <dcterms:created xsi:type="dcterms:W3CDTF">2016-07-25T19:58:00Z</dcterms:created>
  <dcterms:modified xsi:type="dcterms:W3CDTF">2016-07-25T19:58:00Z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0x010100D810F6CF721EB04581547F468DAB7A7A001C0ED3A1CA2C5B46AAC209097F5D3E45</vt:lpwstr>
  </property>
</Properties>
</file>