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Default="005C4386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</w:p>
    <w:p w:rsidR="00855A2B" w:rsidRDefault="00A65F00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Consent Based Social Security Number Verification (CBSV) Service</w:t>
      </w:r>
    </w:p>
    <w:p w:rsidR="00CB00AB" w:rsidRDefault="00CB00AB" w:rsidP="00CB00AB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lang w:bidi="en-US"/>
        </w:rPr>
        <w:t>20</w:t>
      </w:r>
      <w:proofErr w:type="gramEnd"/>
      <w:r>
        <w:rPr>
          <w:rFonts w:ascii="Times New Roman" w:hAnsi="Times New Roman"/>
          <w:b/>
          <w:lang w:bidi="en-US"/>
        </w:rPr>
        <w:t xml:space="preserve"> </w:t>
      </w:r>
      <w:r>
        <w:rPr>
          <w:rFonts w:ascii="Times New Roman" w:hAnsi="Times New Roman"/>
          <w:b/>
        </w:rPr>
        <w:t xml:space="preserve">CFR </w:t>
      </w:r>
      <w:r>
        <w:rPr>
          <w:rFonts w:ascii="Times New Roman" w:hAnsi="Times New Roman"/>
          <w:b/>
          <w:lang w:bidi="en-US"/>
        </w:rPr>
        <w:t>41.100</w:t>
      </w:r>
    </w:p>
    <w:p w:rsidR="00855A2B" w:rsidRDefault="00855A2B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A65F00">
        <w:rPr>
          <w:rFonts w:ascii="Times New Roman" w:hAnsi="Times New Roman"/>
          <w:b/>
        </w:rPr>
        <w:t>0760</w:t>
      </w:r>
    </w:p>
    <w:p w:rsidR="00C03EDF" w:rsidRDefault="00C03EDF" w:rsidP="00C03EDF">
      <w:pPr>
        <w:rPr>
          <w:rFonts w:ascii="Times New Roman" w:hAnsi="Times New Roman"/>
        </w:rPr>
      </w:pPr>
    </w:p>
    <w:p w:rsidR="00183889" w:rsidRPr="00E511E1" w:rsidRDefault="00183889" w:rsidP="00183889">
      <w:pPr>
        <w:pStyle w:val="NormalWeb"/>
        <w:spacing w:before="0" w:beforeAutospacing="0" w:after="0" w:afterAutospacing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Explanation of Change:</w:t>
      </w:r>
    </w:p>
    <w:p w:rsidR="00183889" w:rsidRDefault="00183889" w:rsidP="00183889">
      <w:pPr>
        <w:pStyle w:val="NormalWeb"/>
        <w:spacing w:before="0" w:beforeAutospacing="0" w:after="0" w:afterAutospacing="0"/>
        <w:rPr>
          <w:color w:val="000000"/>
        </w:rPr>
      </w:pPr>
    </w:p>
    <w:p w:rsidR="00183889" w:rsidRPr="00E511E1" w:rsidRDefault="00183889" w:rsidP="00183889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>The Social Security Administration’s (SSA) consent based Social Security number v</w:t>
      </w:r>
      <w:r w:rsidRPr="00E511E1">
        <w:rPr>
          <w:color w:val="000000"/>
        </w:rPr>
        <w:t>erificat</w:t>
      </w:r>
      <w:r>
        <w:rPr>
          <w:color w:val="000000"/>
        </w:rPr>
        <w:t>ion (CBSV) service provides fee-based Social Security n</w:t>
      </w:r>
      <w:r w:rsidRPr="00E511E1">
        <w:rPr>
          <w:color w:val="000000"/>
        </w:rPr>
        <w:t xml:space="preserve">umber (SSN) verification to private businesses </w:t>
      </w:r>
      <w:r w:rsidRPr="00947192">
        <w:rPr>
          <w:color w:val="000000"/>
        </w:rPr>
        <w:t>and government agencies</w:t>
      </w:r>
      <w:r w:rsidRPr="00E511E1">
        <w:rPr>
          <w:color w:val="000000"/>
        </w:rPr>
        <w:t xml:space="preserve"> </w:t>
      </w:r>
      <w:r>
        <w:rPr>
          <w:color w:val="000000"/>
        </w:rPr>
        <w:t>that</w:t>
      </w:r>
      <w:r w:rsidRPr="00E511E1">
        <w:rPr>
          <w:color w:val="000000"/>
        </w:rPr>
        <w:t xml:space="preserve"> obtain a valid, signed consent form </w:t>
      </w:r>
      <w:r>
        <w:rPr>
          <w:color w:val="000000"/>
        </w:rPr>
        <w:t>from the SSN h</w:t>
      </w:r>
      <w:r w:rsidRPr="00E511E1">
        <w:rPr>
          <w:color w:val="000000"/>
        </w:rPr>
        <w:t>older.</w:t>
      </w:r>
      <w:r>
        <w:rPr>
          <w:color w:val="000000"/>
        </w:rPr>
        <w:t xml:space="preserve">  Participating businesses and agencies can use the </w:t>
      </w:r>
      <w:r w:rsidRPr="00E511E1">
        <w:rPr>
          <w:color w:val="000000"/>
        </w:rPr>
        <w:t>verifi</w:t>
      </w:r>
      <w:r>
        <w:rPr>
          <w:color w:val="000000"/>
        </w:rPr>
        <w:t>cation results</w:t>
      </w:r>
      <w:r w:rsidRPr="006A0AFD">
        <w:rPr>
          <w:color w:val="000000"/>
        </w:rPr>
        <w:t xml:space="preserve"> </w:t>
      </w:r>
      <w:r>
        <w:rPr>
          <w:color w:val="000000"/>
        </w:rPr>
        <w:t xml:space="preserve">only </w:t>
      </w:r>
      <w:r w:rsidRPr="00E511E1">
        <w:rPr>
          <w:color w:val="000000"/>
        </w:rPr>
        <w:t>for t</w:t>
      </w:r>
      <w:r>
        <w:rPr>
          <w:color w:val="000000"/>
        </w:rPr>
        <w:t>he reason the SSN</w:t>
      </w:r>
      <w:r w:rsidRPr="00E511E1">
        <w:rPr>
          <w:color w:val="000000"/>
        </w:rPr>
        <w:t xml:space="preserve"> holder specifies on the consent form. </w:t>
      </w:r>
      <w:r>
        <w:rPr>
          <w:color w:val="000000"/>
        </w:rPr>
        <w:t xml:space="preserve"> </w:t>
      </w:r>
      <w:r w:rsidRPr="00E511E1">
        <w:rPr>
          <w:color w:val="000000"/>
        </w:rPr>
        <w:t xml:space="preserve">CBSV provides </w:t>
      </w:r>
      <w:r w:rsidRPr="00E511E1">
        <w:rPr>
          <w:rStyle w:val="Strong"/>
          <w:b w:val="0"/>
          <w:color w:val="000000"/>
        </w:rPr>
        <w:t>instantaneous, automated verification results</w:t>
      </w:r>
      <w:r>
        <w:rPr>
          <w:rStyle w:val="Strong"/>
          <w:b w:val="0"/>
          <w:color w:val="000000"/>
        </w:rPr>
        <w:t>,</w:t>
      </w:r>
      <w:r w:rsidRPr="00E511E1">
        <w:rPr>
          <w:rStyle w:val="Strong"/>
          <w:b w:val="0"/>
          <w:color w:val="000000"/>
        </w:rPr>
        <w:t xml:space="preserve"> and handles large volume requests.  </w:t>
      </w:r>
    </w:p>
    <w:p w:rsidR="00183889" w:rsidRDefault="00183889" w:rsidP="00183889">
      <w:pPr>
        <w:pStyle w:val="NormalWeb"/>
        <w:rPr>
          <w:color w:val="000000"/>
        </w:rPr>
      </w:pPr>
      <w:r w:rsidRPr="00E511E1">
        <w:rPr>
          <w:color w:val="000000"/>
        </w:rPr>
        <w:t>SSA char</w:t>
      </w:r>
      <w:r>
        <w:rPr>
          <w:color w:val="000000"/>
        </w:rPr>
        <w:t>ges a fee to recover the costs we incur</w:t>
      </w:r>
      <w:r w:rsidRPr="00E511E1">
        <w:rPr>
          <w:color w:val="000000"/>
        </w:rPr>
        <w:t xml:space="preserve"> in providing this service</w:t>
      </w:r>
      <w:proofErr w:type="gramStart"/>
      <w:r w:rsidRPr="00E511E1">
        <w:rPr>
          <w:color w:val="000000"/>
        </w:rPr>
        <w:t xml:space="preserve">. </w:t>
      </w:r>
      <w:proofErr w:type="gramEnd"/>
      <w:r w:rsidRPr="00E511E1">
        <w:rPr>
          <w:color w:val="000000"/>
        </w:rPr>
        <w:t>To use CBSV</w:t>
      </w:r>
      <w:r>
        <w:rPr>
          <w:color w:val="000000"/>
        </w:rPr>
        <w:t>,</w:t>
      </w:r>
      <w:r w:rsidRPr="00E511E1">
        <w:rPr>
          <w:color w:val="000000"/>
        </w:rPr>
        <w:t xml:space="preserve"> companies must pay a one-time, non-refu</w:t>
      </w:r>
      <w:r>
        <w:rPr>
          <w:color w:val="000000"/>
        </w:rPr>
        <w:t xml:space="preserve">ndable enrollment fee of $5,000, </w:t>
      </w:r>
      <w:r w:rsidRPr="00E511E1">
        <w:rPr>
          <w:color w:val="000000"/>
        </w:rPr>
        <w:t>and pay a transaction fee per SSN verification request.  The</w:t>
      </w:r>
      <w:r>
        <w:rPr>
          <w:color w:val="000000"/>
        </w:rPr>
        <w:t xml:space="preserve"> SSN verification</w:t>
      </w:r>
      <w:r w:rsidRPr="00E511E1">
        <w:rPr>
          <w:color w:val="000000"/>
        </w:rPr>
        <w:t xml:space="preserve"> transaction fee</w:t>
      </w:r>
      <w:r>
        <w:rPr>
          <w:color w:val="000000"/>
        </w:rPr>
        <w:t xml:space="preserve"> currently approved by OMB</w:t>
      </w:r>
      <w:r w:rsidRPr="00E511E1">
        <w:rPr>
          <w:color w:val="000000"/>
        </w:rPr>
        <w:t xml:space="preserve"> is $</w:t>
      </w:r>
      <w:r>
        <w:rPr>
          <w:color w:val="000000"/>
        </w:rPr>
        <w:t>1.40</w:t>
      </w:r>
      <w:r w:rsidRPr="00E511E1">
        <w:rPr>
          <w:color w:val="000000"/>
        </w:rPr>
        <w:t xml:space="preserve">.  </w:t>
      </w:r>
      <w:r w:rsidRPr="00E47BFA">
        <w:rPr>
          <w:color w:val="000000"/>
        </w:rPr>
        <w:t xml:space="preserve">However, we are requesting to </w:t>
      </w:r>
      <w:r>
        <w:rPr>
          <w:color w:val="000000"/>
        </w:rPr>
        <w:t>decrease</w:t>
      </w:r>
      <w:r w:rsidRPr="00E47BFA">
        <w:rPr>
          <w:color w:val="000000"/>
        </w:rPr>
        <w:t xml:space="preserve"> the</w:t>
      </w:r>
      <w:r>
        <w:rPr>
          <w:color w:val="000000"/>
        </w:rPr>
        <w:t xml:space="preserve"> SSN verification</w:t>
      </w:r>
      <w:r w:rsidRPr="00E47BFA">
        <w:rPr>
          <w:color w:val="000000"/>
        </w:rPr>
        <w:t xml:space="preserve"> transaction fee to $</w:t>
      </w:r>
      <w:r>
        <w:rPr>
          <w:color w:val="000000"/>
        </w:rPr>
        <w:t xml:space="preserve">1.00, based on an annual projected cost analysis.  </w:t>
      </w:r>
    </w:p>
    <w:p w:rsidR="00183889" w:rsidRPr="00E511E1" w:rsidRDefault="00183889" w:rsidP="00183889">
      <w:pPr>
        <w:pStyle w:val="NormalWeb"/>
        <w:rPr>
          <w:color w:val="000000"/>
        </w:rPr>
      </w:pPr>
      <w:r>
        <w:rPr>
          <w:color w:val="000000"/>
        </w:rPr>
        <w:t xml:space="preserve">Periodically, SSA </w:t>
      </w:r>
      <w:r w:rsidRPr="00E511E1">
        <w:rPr>
          <w:color w:val="000000"/>
        </w:rPr>
        <w:t>recalculate</w:t>
      </w:r>
      <w:r>
        <w:rPr>
          <w:color w:val="000000"/>
        </w:rPr>
        <w:t>s incurred costs to operate</w:t>
      </w:r>
      <w:r w:rsidRPr="00E511E1">
        <w:rPr>
          <w:color w:val="000000"/>
        </w:rPr>
        <w:t xml:space="preserve"> the CBSV service</w:t>
      </w:r>
      <w:r>
        <w:rPr>
          <w:color w:val="000000"/>
        </w:rPr>
        <w:t xml:space="preserve"> and </w:t>
      </w:r>
      <w:r w:rsidRPr="00E511E1">
        <w:rPr>
          <w:color w:val="000000"/>
        </w:rPr>
        <w:t>adjust</w:t>
      </w:r>
      <w:r>
        <w:rPr>
          <w:color w:val="000000"/>
        </w:rPr>
        <w:t>s</w:t>
      </w:r>
      <w:r w:rsidRPr="00E511E1">
        <w:rPr>
          <w:color w:val="000000"/>
        </w:rPr>
        <w:t xml:space="preserve"> the transaction fee charged </w:t>
      </w:r>
      <w:r>
        <w:rPr>
          <w:color w:val="000000"/>
        </w:rPr>
        <w:t>when</w:t>
      </w:r>
      <w:r w:rsidRPr="00E511E1">
        <w:rPr>
          <w:color w:val="000000"/>
        </w:rPr>
        <w:t xml:space="preserve"> needed.</w:t>
      </w:r>
      <w:r>
        <w:rPr>
          <w:color w:val="000000"/>
        </w:rPr>
        <w:t xml:space="preserve">  </w:t>
      </w:r>
      <w:r w:rsidRPr="00947192">
        <w:rPr>
          <w:color w:val="000000"/>
        </w:rPr>
        <w:t xml:space="preserve">We notify </w:t>
      </w:r>
      <w:r>
        <w:rPr>
          <w:color w:val="000000"/>
        </w:rPr>
        <w:t>customers</w:t>
      </w:r>
      <w:r w:rsidRPr="00947192">
        <w:rPr>
          <w:color w:val="000000"/>
        </w:rPr>
        <w:t xml:space="preserve"> in writing about any change in the transaction fee, and publish a Federal Register Notice announcing the rate adjustment to the public.</w:t>
      </w:r>
      <w:r>
        <w:rPr>
          <w:color w:val="000000"/>
        </w:rPr>
        <w:t xml:space="preserve">  </w:t>
      </w:r>
    </w:p>
    <w:p w:rsidR="00340BF2" w:rsidRPr="00E511E1" w:rsidRDefault="00340BF2" w:rsidP="00340BF2">
      <w:pPr>
        <w:pStyle w:val="NormalWeb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Volume of Use Exceeds Expectations</w:t>
      </w:r>
    </w:p>
    <w:p w:rsidR="00340BF2" w:rsidRDefault="00042567" w:rsidP="00340BF2">
      <w:pPr>
        <w:pStyle w:val="NormalWeb"/>
      </w:pPr>
      <w:r>
        <w:t>During our most recent evaluation of</w:t>
      </w:r>
      <w:r w:rsidR="00340BF2">
        <w:t xml:space="preserve"> our operating costs and forecasted volume to determine the transaction rate for the use of the CBSV service</w:t>
      </w:r>
      <w:r>
        <w:t>, we</w:t>
      </w:r>
      <w:r w:rsidR="00340BF2">
        <w:t xml:space="preserve"> performed a projected cost analysis.  This analysis shows a steady increase in CBSV transactions (i.e., the number of SSN verifications) which will affect future fiscal years.  Concurrently, our reported costs continue to decrease.</w:t>
      </w:r>
    </w:p>
    <w:p w:rsidR="00340BF2" w:rsidRPr="00E511E1" w:rsidRDefault="00340BF2" w:rsidP="00340BF2">
      <w:pPr>
        <w:pStyle w:val="NormalWeb"/>
        <w:rPr>
          <w:color w:val="000000"/>
        </w:rPr>
      </w:pPr>
      <w:r>
        <w:t xml:space="preserve">We propose decreasing the transaction rate from $1.40 to $1.00. </w:t>
      </w:r>
      <w:r w:rsidR="00042567">
        <w:t xml:space="preserve"> </w:t>
      </w:r>
      <w:r>
        <w:t>This will ensure the fee revenue is sufficient to cover</w:t>
      </w:r>
      <w:r>
        <w:rPr>
          <w:color w:val="000000"/>
        </w:rPr>
        <w:t xml:space="preserve"> the associated costs of operating the CBSV service.  </w:t>
      </w:r>
      <w:r>
        <w:t xml:space="preserve">Keeping the rate at $1.40 would result in continued large end-of-the-year refunds to all enrolled companies.  We are required to review the costs each year to determine a rate that is as close to break-even as possible.  </w:t>
      </w:r>
      <w:r>
        <w:rPr>
          <w:color w:val="000000"/>
        </w:rPr>
        <w:t xml:space="preserve">This rate adjustment will allow us to </w:t>
      </w:r>
      <w:r>
        <w:t xml:space="preserve">continue compliance reviews, provide agency oversight, and make necessary system enhancements to sustain the CBSV service we provide. </w:t>
      </w:r>
    </w:p>
    <w:p w:rsidR="00340BF2" w:rsidRPr="00E511E1" w:rsidRDefault="00042567" w:rsidP="00340BF2">
      <w:pPr>
        <w:pStyle w:val="NormalWeb"/>
        <w:rPr>
          <w:b/>
          <w:color w:val="000000"/>
          <w:u w:val="single"/>
        </w:rPr>
      </w:pPr>
      <w:r>
        <w:rPr>
          <w:color w:val="000000"/>
        </w:rPr>
        <w:t>In addition to reducing the cost per transaction, w</w:t>
      </w:r>
      <w:r w:rsidR="00340BF2">
        <w:rPr>
          <w:color w:val="000000"/>
        </w:rPr>
        <w:t>ith expected growth in FY</w:t>
      </w:r>
      <w:r w:rsidR="00340BF2" w:rsidRPr="00E511E1">
        <w:rPr>
          <w:color w:val="000000"/>
        </w:rPr>
        <w:t xml:space="preserve"> </w:t>
      </w:r>
      <w:r w:rsidR="00340BF2">
        <w:rPr>
          <w:color w:val="000000"/>
        </w:rPr>
        <w:t>2017</w:t>
      </w:r>
      <w:r w:rsidR="00340BF2" w:rsidRPr="00E511E1">
        <w:rPr>
          <w:color w:val="000000"/>
        </w:rPr>
        <w:t xml:space="preserve">, </w:t>
      </w:r>
      <w:r w:rsidR="00340BF2">
        <w:rPr>
          <w:color w:val="000000"/>
        </w:rPr>
        <w:t xml:space="preserve">we anticipate the volume of transactions will increase.  This activity will increase the public burden by </w:t>
      </w:r>
      <w:r w:rsidR="0022191C">
        <w:rPr>
          <w:color w:val="000000"/>
        </w:rPr>
        <w:t>7,6</w:t>
      </w:r>
      <w:r w:rsidR="0084164B">
        <w:rPr>
          <w:color w:val="000000"/>
        </w:rPr>
        <w:t>38</w:t>
      </w:r>
      <w:r w:rsidR="00340BF2">
        <w:rPr>
          <w:color w:val="000000"/>
        </w:rPr>
        <w:t xml:space="preserve"> hours and decrease the cost to respondents by $</w:t>
      </w:r>
      <w:r w:rsidR="0022191C">
        <w:rPr>
          <w:color w:val="000000"/>
        </w:rPr>
        <w:t>942,300</w:t>
      </w:r>
      <w:r w:rsidR="00340BF2">
        <w:rPr>
          <w:color w:val="000000"/>
        </w:rPr>
        <w:t xml:space="preserve"> (decreased costs borne collectively by the</w:t>
      </w:r>
      <w:r w:rsidR="0066171F">
        <w:rPr>
          <w:color w:val="000000"/>
        </w:rPr>
        <w:t xml:space="preserve"> 90</w:t>
      </w:r>
      <w:r w:rsidR="00340BF2">
        <w:rPr>
          <w:color w:val="000000"/>
        </w:rPr>
        <w:t xml:space="preserve"> projected businesses enrolled in the CBSV service).</w:t>
      </w:r>
    </w:p>
    <w:p w:rsidR="00340BF2" w:rsidRDefault="00340BF2" w:rsidP="00340BF2">
      <w:pPr>
        <w:pStyle w:val="NormalWeb"/>
        <w:rPr>
          <w:color w:val="000000"/>
        </w:rPr>
      </w:pPr>
      <w:r w:rsidRPr="004F1D23">
        <w:rPr>
          <w:color w:val="000000"/>
        </w:rPr>
        <w:lastRenderedPageBreak/>
        <w:t>Estima</w:t>
      </w:r>
      <w:r>
        <w:rPr>
          <w:color w:val="000000"/>
        </w:rPr>
        <w:t xml:space="preserve">ted Per SSN Transaction Fee - $1.00 </w:t>
      </w:r>
      <w:r w:rsidRPr="004F1D23">
        <w:rPr>
          <w:color w:val="000000"/>
        </w:rPr>
        <w:t xml:space="preserve">x </w:t>
      </w:r>
      <w:r>
        <w:rPr>
          <w:color w:val="000000"/>
        </w:rPr>
        <w:t xml:space="preserve">2,700,000 SSN requests (2,700,000 responses per year) = $2,700,000 approximately. </w:t>
      </w:r>
    </w:p>
    <w:p w:rsidR="00340BF2" w:rsidRDefault="00340BF2" w:rsidP="00340BF2">
      <w:pPr>
        <w:pStyle w:val="NormalWeb"/>
        <w:rPr>
          <w:color w:val="000000"/>
        </w:rPr>
      </w:pPr>
      <w:r>
        <w:rPr>
          <w:color w:val="000000"/>
        </w:rPr>
        <w:t xml:space="preserve">Current burden under collection instrument Form SSA-89 (SSN Verification Consent Form) </w:t>
      </w:r>
      <w:r w:rsidR="00042567">
        <w:rPr>
          <w:color w:val="000000"/>
        </w:rPr>
        <w:t>shows</w:t>
      </w:r>
      <w:r>
        <w:rPr>
          <w:color w:val="000000"/>
        </w:rPr>
        <w:t xml:space="preserve"> </w:t>
      </w:r>
      <w:r w:rsidR="0022191C">
        <w:rPr>
          <w:color w:val="000000"/>
        </w:rPr>
        <w:t>2,500,000</w:t>
      </w:r>
      <w:r>
        <w:rPr>
          <w:color w:val="000000"/>
        </w:rPr>
        <w:t xml:space="preserve"> respondents with a burden of </w:t>
      </w:r>
      <w:r w:rsidR="0022191C">
        <w:rPr>
          <w:color w:val="000000"/>
        </w:rPr>
        <w:t>194,862</w:t>
      </w:r>
      <w:r>
        <w:rPr>
          <w:color w:val="000000"/>
        </w:rPr>
        <w:t xml:space="preserve"> burden hours.  This change </w:t>
      </w:r>
      <w:r w:rsidR="00042567">
        <w:rPr>
          <w:color w:val="000000"/>
        </w:rPr>
        <w:t xml:space="preserve">to our transaction fee </w:t>
      </w:r>
      <w:r>
        <w:rPr>
          <w:color w:val="000000"/>
        </w:rPr>
        <w:t>will increase the number of respondents for this collection instrument (SSA-89) to 2,700,000</w:t>
      </w:r>
      <w:r w:rsidR="00042567">
        <w:rPr>
          <w:color w:val="000000"/>
        </w:rPr>
        <w:t>, thus increasing</w:t>
      </w:r>
      <w:r>
        <w:rPr>
          <w:color w:val="000000"/>
        </w:rPr>
        <w:t xml:space="preserve"> the burden to </w:t>
      </w:r>
      <w:r w:rsidR="0022191C">
        <w:rPr>
          <w:color w:val="000000"/>
        </w:rPr>
        <w:t>202,5</w:t>
      </w:r>
      <w:r w:rsidR="00065B28">
        <w:rPr>
          <w:color w:val="000000"/>
        </w:rPr>
        <w:t>00</w:t>
      </w:r>
      <w:r>
        <w:rPr>
          <w:color w:val="000000"/>
        </w:rPr>
        <w:t xml:space="preserve"> hours.  See below for breakdown of the information collection’</w:t>
      </w:r>
      <w:r w:rsidR="00042567">
        <w:rPr>
          <w:color w:val="000000"/>
        </w:rPr>
        <w:t>s total annual burden and 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042567" w:rsidTr="00042567">
        <w:tc>
          <w:tcPr>
            <w:tcW w:w="2214" w:type="dxa"/>
          </w:tcPr>
          <w:p w:rsidR="00042567" w:rsidRDefault="00042567" w:rsidP="00340BF2">
            <w:pPr>
              <w:pStyle w:val="NormalWeb"/>
              <w:rPr>
                <w:b/>
                <w:color w:val="000000"/>
                <w:u w:val="single"/>
              </w:rPr>
            </w:pPr>
            <w:r w:rsidRPr="00983C63">
              <w:rPr>
                <w:b/>
                <w:color w:val="000000"/>
              </w:rPr>
              <w:t>B</w:t>
            </w:r>
            <w:r>
              <w:rPr>
                <w:b/>
                <w:color w:val="000000"/>
              </w:rPr>
              <w:t>urden</w:t>
            </w:r>
          </w:p>
        </w:tc>
        <w:tc>
          <w:tcPr>
            <w:tcW w:w="2214" w:type="dxa"/>
          </w:tcPr>
          <w:p w:rsidR="00042567" w:rsidRDefault="00042567" w:rsidP="00340BF2">
            <w:pPr>
              <w:pStyle w:val="NormalWeb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>Responses</w:t>
            </w:r>
          </w:p>
        </w:tc>
        <w:tc>
          <w:tcPr>
            <w:tcW w:w="2214" w:type="dxa"/>
          </w:tcPr>
          <w:p w:rsidR="00042567" w:rsidRDefault="00042567" w:rsidP="00340BF2">
            <w:pPr>
              <w:pStyle w:val="NormalWeb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>Hours</w:t>
            </w:r>
          </w:p>
        </w:tc>
        <w:tc>
          <w:tcPr>
            <w:tcW w:w="2214" w:type="dxa"/>
          </w:tcPr>
          <w:p w:rsidR="00042567" w:rsidRDefault="00042567" w:rsidP="00340BF2">
            <w:pPr>
              <w:pStyle w:val="NormalWeb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>Cost</w:t>
            </w:r>
          </w:p>
        </w:tc>
      </w:tr>
      <w:tr w:rsidR="00042567" w:rsidTr="00042567">
        <w:tc>
          <w:tcPr>
            <w:tcW w:w="2214" w:type="dxa"/>
          </w:tcPr>
          <w:p w:rsidR="00042567" w:rsidRDefault="00042567" w:rsidP="00340BF2">
            <w:pPr>
              <w:pStyle w:val="NormalWeb"/>
              <w:rPr>
                <w:b/>
                <w:color w:val="000000"/>
                <w:u w:val="single"/>
              </w:rPr>
            </w:pPr>
            <w:r w:rsidRPr="00042567">
              <w:rPr>
                <w:color w:val="000000"/>
              </w:rPr>
              <w:t>Current</w:t>
            </w:r>
          </w:p>
        </w:tc>
        <w:tc>
          <w:tcPr>
            <w:tcW w:w="2214" w:type="dxa"/>
          </w:tcPr>
          <w:p w:rsidR="00042567" w:rsidRDefault="00042567" w:rsidP="00042567">
            <w:pPr>
              <w:pStyle w:val="NormalWeb"/>
              <w:jc w:val="right"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2,500,000</w:t>
            </w:r>
          </w:p>
        </w:tc>
        <w:tc>
          <w:tcPr>
            <w:tcW w:w="2214" w:type="dxa"/>
          </w:tcPr>
          <w:p w:rsidR="00042567" w:rsidRDefault="00042567" w:rsidP="00042567">
            <w:pPr>
              <w:pStyle w:val="NormalWeb"/>
              <w:jc w:val="right"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194,862</w:t>
            </w:r>
          </w:p>
        </w:tc>
        <w:tc>
          <w:tcPr>
            <w:tcW w:w="2214" w:type="dxa"/>
          </w:tcPr>
          <w:p w:rsidR="00042567" w:rsidRDefault="00042567" w:rsidP="00042567">
            <w:pPr>
              <w:pStyle w:val="NormalWeb"/>
              <w:jc w:val="right"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4,539,300</w:t>
            </w:r>
          </w:p>
        </w:tc>
      </w:tr>
      <w:tr w:rsidR="00042567" w:rsidTr="00042567">
        <w:tc>
          <w:tcPr>
            <w:tcW w:w="2214" w:type="dxa"/>
          </w:tcPr>
          <w:p w:rsidR="00042567" w:rsidRPr="00042567" w:rsidRDefault="00042567" w:rsidP="00340BF2">
            <w:pPr>
              <w:pStyle w:val="NormalWeb"/>
              <w:rPr>
                <w:color w:val="000000"/>
                <w:u w:val="single"/>
              </w:rPr>
            </w:pPr>
            <w:r w:rsidRPr="00042567">
              <w:rPr>
                <w:color w:val="000000"/>
              </w:rPr>
              <w:t>New</w:t>
            </w:r>
          </w:p>
        </w:tc>
        <w:tc>
          <w:tcPr>
            <w:tcW w:w="2214" w:type="dxa"/>
          </w:tcPr>
          <w:p w:rsidR="00042567" w:rsidRPr="00042567" w:rsidRDefault="00042567" w:rsidP="00042567">
            <w:pPr>
              <w:pStyle w:val="NormalWeb"/>
              <w:jc w:val="right"/>
              <w:rPr>
                <w:color w:val="000000"/>
                <w:u w:val="single"/>
              </w:rPr>
            </w:pPr>
            <w:r w:rsidRPr="00042567">
              <w:rPr>
                <w:color w:val="000000"/>
              </w:rPr>
              <w:t>2,700,000</w:t>
            </w:r>
          </w:p>
        </w:tc>
        <w:tc>
          <w:tcPr>
            <w:tcW w:w="2214" w:type="dxa"/>
          </w:tcPr>
          <w:p w:rsidR="00042567" w:rsidRPr="00042567" w:rsidRDefault="00042567" w:rsidP="00042567">
            <w:pPr>
              <w:pStyle w:val="NormalWeb"/>
              <w:jc w:val="right"/>
              <w:rPr>
                <w:color w:val="000000"/>
                <w:u w:val="single"/>
              </w:rPr>
            </w:pPr>
            <w:r w:rsidRPr="00042567">
              <w:rPr>
                <w:color w:val="000000"/>
              </w:rPr>
              <w:t>202,500</w:t>
            </w:r>
          </w:p>
        </w:tc>
        <w:tc>
          <w:tcPr>
            <w:tcW w:w="2214" w:type="dxa"/>
          </w:tcPr>
          <w:p w:rsidR="00042567" w:rsidRPr="00042567" w:rsidRDefault="00042567" w:rsidP="00042567">
            <w:pPr>
              <w:pStyle w:val="NormalWeb"/>
              <w:jc w:val="right"/>
              <w:rPr>
                <w:color w:val="000000"/>
                <w:u w:val="single"/>
              </w:rPr>
            </w:pPr>
            <w:r w:rsidRPr="00042567">
              <w:rPr>
                <w:color w:val="000000"/>
              </w:rPr>
              <w:t>3,597,00</w:t>
            </w:r>
            <w:r w:rsidR="0075137D">
              <w:rPr>
                <w:color w:val="000000"/>
              </w:rPr>
              <w:t>6</w:t>
            </w:r>
          </w:p>
        </w:tc>
      </w:tr>
      <w:tr w:rsidR="00042567" w:rsidTr="00042567">
        <w:tc>
          <w:tcPr>
            <w:tcW w:w="2214" w:type="dxa"/>
          </w:tcPr>
          <w:p w:rsidR="00042567" w:rsidRPr="00042567" w:rsidRDefault="00042567" w:rsidP="00042567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Change due to </w:t>
            </w:r>
            <w:r w:rsidRPr="00983C63">
              <w:rPr>
                <w:b/>
                <w:color w:val="000000"/>
              </w:rPr>
              <w:t>Agency Adjustment</w:t>
            </w:r>
          </w:p>
        </w:tc>
        <w:tc>
          <w:tcPr>
            <w:tcW w:w="2214" w:type="dxa"/>
          </w:tcPr>
          <w:p w:rsidR="00042567" w:rsidRPr="00042567" w:rsidRDefault="00042567" w:rsidP="00042567">
            <w:pPr>
              <w:pStyle w:val="NormalWeb"/>
              <w:jc w:val="right"/>
              <w:rPr>
                <w:b/>
                <w:color w:val="000000"/>
                <w:u w:val="single"/>
              </w:rPr>
            </w:pPr>
            <w:r w:rsidRPr="00042567">
              <w:rPr>
                <w:b/>
                <w:color w:val="000000"/>
              </w:rPr>
              <w:t>200,000</w:t>
            </w:r>
          </w:p>
        </w:tc>
        <w:tc>
          <w:tcPr>
            <w:tcW w:w="2214" w:type="dxa"/>
          </w:tcPr>
          <w:p w:rsidR="00042567" w:rsidRPr="00042567" w:rsidRDefault="00042567" w:rsidP="00042567">
            <w:pPr>
              <w:pStyle w:val="NormalWeb"/>
              <w:jc w:val="right"/>
              <w:rPr>
                <w:b/>
                <w:color w:val="000000"/>
                <w:u w:val="single"/>
              </w:rPr>
            </w:pPr>
            <w:r w:rsidRPr="00042567">
              <w:rPr>
                <w:b/>
                <w:color w:val="000000"/>
              </w:rPr>
              <w:t>7,638</w:t>
            </w:r>
          </w:p>
        </w:tc>
        <w:tc>
          <w:tcPr>
            <w:tcW w:w="2214" w:type="dxa"/>
          </w:tcPr>
          <w:p w:rsidR="00042567" w:rsidRPr="00042567" w:rsidRDefault="00042567" w:rsidP="00042567">
            <w:pPr>
              <w:pStyle w:val="NormalWeb"/>
              <w:jc w:val="right"/>
              <w:rPr>
                <w:b/>
                <w:color w:val="000000"/>
                <w:u w:val="single"/>
              </w:rPr>
            </w:pPr>
            <w:r w:rsidRPr="00042567">
              <w:rPr>
                <w:b/>
                <w:color w:val="000000"/>
              </w:rPr>
              <w:t>-942,</w:t>
            </w:r>
            <w:r w:rsidR="0075137D">
              <w:rPr>
                <w:b/>
                <w:color w:val="000000"/>
              </w:rPr>
              <w:t>249</w:t>
            </w:r>
          </w:p>
        </w:tc>
      </w:tr>
    </w:tbl>
    <w:p w:rsidR="004C6216" w:rsidRDefault="004C6216" w:rsidP="004C6216">
      <w:pPr>
        <w:pStyle w:val="ListParagraph"/>
        <w:ind w:left="0"/>
        <w:rPr>
          <w:rFonts w:ascii="Times New Roman" w:hAnsi="Times New Roman"/>
          <w:snapToGrid w:val="0"/>
        </w:rPr>
      </w:pPr>
    </w:p>
    <w:p w:rsidR="00042567" w:rsidRPr="004C6216" w:rsidRDefault="00042567" w:rsidP="004C6216">
      <w:pPr>
        <w:pStyle w:val="ListParagraph"/>
        <w:ind w:left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adjusted our burden calculations within ROCIS acco</w:t>
      </w:r>
      <w:bookmarkStart w:id="0" w:name="_GoBack"/>
      <w:bookmarkEnd w:id="0"/>
      <w:r>
        <w:rPr>
          <w:rFonts w:ascii="Times New Roman" w:hAnsi="Times New Roman"/>
          <w:snapToGrid w:val="0"/>
        </w:rPr>
        <w:t>rdingly, and we intend to implement the new transaction fee on October 1, 2016, upon OMB’s approval.</w:t>
      </w:r>
    </w:p>
    <w:sectPr w:rsidR="00042567" w:rsidRPr="004C62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F135B"/>
    <w:multiLevelType w:val="hybridMultilevel"/>
    <w:tmpl w:val="87FA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675E4"/>
    <w:multiLevelType w:val="hybridMultilevel"/>
    <w:tmpl w:val="0F2C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2567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5B28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889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19A7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4F8F"/>
    <w:rsid w:val="0021729F"/>
    <w:rsid w:val="00217B79"/>
    <w:rsid w:val="002201A7"/>
    <w:rsid w:val="0022191C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0BF2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6216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14F2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171F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37D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64B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1589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5F00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0AB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45F6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NoSpacing">
    <w:name w:val="No Spacing"/>
    <w:basedOn w:val="Normal"/>
    <w:uiPriority w:val="1"/>
    <w:qFormat/>
    <w:rsid w:val="004C6216"/>
    <w:pPr>
      <w:widowControl/>
      <w:snapToGrid/>
    </w:pPr>
    <w:rPr>
      <w:rFonts w:ascii="Times New Roman" w:eastAsia="Calibri" w:hAnsi="Times New Roman"/>
    </w:rPr>
  </w:style>
  <w:style w:type="paragraph" w:styleId="NormalWeb">
    <w:name w:val="Normal (Web)"/>
    <w:basedOn w:val="Normal"/>
    <w:rsid w:val="00183889"/>
    <w:pPr>
      <w:widowControl/>
      <w:snapToGrid/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183889"/>
    <w:rPr>
      <w:b/>
      <w:bCs/>
    </w:rPr>
  </w:style>
  <w:style w:type="table" w:styleId="TableGrid">
    <w:name w:val="Table Grid"/>
    <w:basedOn w:val="TableNormal"/>
    <w:rsid w:val="00042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NoSpacing">
    <w:name w:val="No Spacing"/>
    <w:basedOn w:val="Normal"/>
    <w:uiPriority w:val="1"/>
    <w:qFormat/>
    <w:rsid w:val="004C6216"/>
    <w:pPr>
      <w:widowControl/>
      <w:snapToGrid/>
    </w:pPr>
    <w:rPr>
      <w:rFonts w:ascii="Times New Roman" w:eastAsia="Calibri" w:hAnsi="Times New Roman"/>
    </w:rPr>
  </w:style>
  <w:style w:type="paragraph" w:styleId="NormalWeb">
    <w:name w:val="Normal (Web)"/>
    <w:basedOn w:val="Normal"/>
    <w:rsid w:val="00183889"/>
    <w:pPr>
      <w:widowControl/>
      <w:snapToGrid/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183889"/>
    <w:rPr>
      <w:b/>
      <w:bCs/>
    </w:rPr>
  </w:style>
  <w:style w:type="table" w:styleId="TableGrid">
    <w:name w:val="Table Grid"/>
    <w:basedOn w:val="TableNormal"/>
    <w:rsid w:val="00042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889123</cp:lastModifiedBy>
  <cp:revision>2</cp:revision>
  <dcterms:created xsi:type="dcterms:W3CDTF">2016-08-12T17:29:00Z</dcterms:created>
  <dcterms:modified xsi:type="dcterms:W3CDTF">2016-08-12T17:29:00Z</dcterms:modified>
</cp:coreProperties>
</file>