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2D" w:rsidRPr="00E0737C" w:rsidRDefault="00FC102D" w:rsidP="00D517CD">
      <w:pPr>
        <w:tabs>
          <w:tab w:val="center" w:pos="4680"/>
        </w:tabs>
        <w:suppressAutoHyphens/>
        <w:spacing w:line="240" w:lineRule="atLeast"/>
        <w:ind w:right="-90"/>
        <w:jc w:val="center"/>
        <w:outlineLvl w:val="0"/>
        <w:rPr>
          <w:rFonts w:ascii="Times New Roman" w:hAnsi="Times New Roman"/>
          <w:b/>
        </w:rPr>
      </w:pPr>
      <w:r w:rsidRPr="00E0737C">
        <w:rPr>
          <w:rFonts w:ascii="Times New Roman" w:hAnsi="Times New Roman"/>
          <w:b/>
        </w:rPr>
        <w:t>Supporting Statement for Travel Expense Reimbursement</w:t>
      </w:r>
    </w:p>
    <w:p w:rsidR="00FC102D" w:rsidRPr="00E0737C" w:rsidRDefault="00FC102D" w:rsidP="00FC102D">
      <w:pPr>
        <w:tabs>
          <w:tab w:val="center" w:pos="4680"/>
        </w:tabs>
        <w:suppressAutoHyphens/>
        <w:spacing w:line="240" w:lineRule="atLeast"/>
        <w:jc w:val="center"/>
        <w:outlineLvl w:val="0"/>
        <w:rPr>
          <w:rFonts w:ascii="Times New Roman" w:hAnsi="Times New Roman"/>
          <w:b/>
        </w:rPr>
      </w:pPr>
      <w:r w:rsidRPr="00E0737C">
        <w:rPr>
          <w:rFonts w:ascii="Times New Roman" w:hAnsi="Times New Roman"/>
          <w:b/>
        </w:rPr>
        <w:t>20 CFR 404.999(d) and 416.1499</w:t>
      </w:r>
    </w:p>
    <w:p w:rsidR="00FC102D" w:rsidRPr="00E0737C" w:rsidRDefault="00DB40F0" w:rsidP="00FC102D">
      <w:pPr>
        <w:tabs>
          <w:tab w:val="center" w:pos="4680"/>
        </w:tabs>
        <w:suppressAutoHyphens/>
        <w:spacing w:line="240" w:lineRule="atLeast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0960-0434</w:t>
      </w:r>
    </w:p>
    <w:p w:rsidR="00962573" w:rsidRDefault="00962573" w:rsidP="00962573">
      <w:pPr>
        <w:tabs>
          <w:tab w:val="center" w:pos="4680"/>
        </w:tabs>
        <w:suppressAutoHyphens/>
        <w:spacing w:line="240" w:lineRule="atLeast"/>
        <w:outlineLvl w:val="0"/>
        <w:rPr>
          <w:rFonts w:ascii="Times New Roman" w:hAnsi="Times New Roman"/>
          <w:b/>
        </w:rPr>
      </w:pPr>
    </w:p>
    <w:p w:rsidR="00962573" w:rsidRPr="00E0737C" w:rsidRDefault="00E0737C" w:rsidP="00731A26">
      <w:pPr>
        <w:tabs>
          <w:tab w:val="left" w:pos="720"/>
          <w:tab w:val="center" w:pos="4680"/>
        </w:tabs>
        <w:suppressAutoHyphens/>
        <w:spacing w:line="240" w:lineRule="atLeast"/>
        <w:ind w:left="720" w:hanging="540"/>
        <w:outlineLvl w:val="0"/>
        <w:rPr>
          <w:rFonts w:ascii="Times New Roman" w:hAnsi="Times New Roman"/>
          <w:b/>
          <w:u w:val="single"/>
        </w:rPr>
      </w:pPr>
      <w:r w:rsidRPr="00E0737C">
        <w:rPr>
          <w:rFonts w:ascii="Times New Roman" w:hAnsi="Times New Roman"/>
          <w:b/>
        </w:rPr>
        <w:t xml:space="preserve">A.  </w:t>
      </w:r>
      <w:r>
        <w:rPr>
          <w:rFonts w:ascii="Times New Roman" w:hAnsi="Times New Roman"/>
          <w:b/>
        </w:rPr>
        <w:tab/>
      </w:r>
      <w:r w:rsidR="00962573" w:rsidRPr="00E0737C">
        <w:rPr>
          <w:rFonts w:ascii="Times New Roman" w:hAnsi="Times New Roman"/>
          <w:b/>
          <w:u w:val="single"/>
        </w:rPr>
        <w:t>Justification</w:t>
      </w:r>
    </w:p>
    <w:p w:rsidR="00FC102D" w:rsidRPr="00E0737C" w:rsidRDefault="00FC102D" w:rsidP="00FC102D">
      <w:pPr>
        <w:tabs>
          <w:tab w:val="center" w:pos="4680"/>
        </w:tabs>
        <w:suppressAutoHyphens/>
        <w:spacing w:line="240" w:lineRule="atLeast"/>
        <w:rPr>
          <w:rFonts w:ascii="Times New Roman" w:hAnsi="Times New Roman"/>
        </w:rPr>
      </w:pPr>
      <w:r w:rsidRPr="00E0737C">
        <w:rPr>
          <w:rFonts w:ascii="Times New Roman" w:hAnsi="Times New Roman"/>
        </w:rPr>
        <w:tab/>
      </w:r>
    </w:p>
    <w:p w:rsidR="002321B0" w:rsidRPr="00E0737C" w:rsidRDefault="002E18CF" w:rsidP="00731A26">
      <w:pPr>
        <w:numPr>
          <w:ilvl w:val="0"/>
          <w:numId w:val="48"/>
        </w:numPr>
        <w:ind w:left="1440" w:hanging="720"/>
        <w:rPr>
          <w:rFonts w:ascii="Times New Roman" w:hAnsi="Times New Roman"/>
          <w:b/>
        </w:rPr>
      </w:pPr>
      <w:r w:rsidRPr="00E0737C">
        <w:rPr>
          <w:rFonts w:ascii="Times New Roman" w:hAnsi="Times New Roman"/>
          <w:b/>
        </w:rPr>
        <w:t>Introduction/</w:t>
      </w:r>
      <w:r w:rsidR="00A45D82" w:rsidRPr="00E0737C">
        <w:rPr>
          <w:rFonts w:ascii="Times New Roman" w:hAnsi="Times New Roman"/>
          <w:b/>
        </w:rPr>
        <w:t>Authoring Laws and Regulations</w:t>
      </w:r>
    </w:p>
    <w:p w:rsidR="005E0DAA" w:rsidRDefault="00FC102D" w:rsidP="00731A26">
      <w:pPr>
        <w:tabs>
          <w:tab w:val="left" w:pos="1440"/>
        </w:tabs>
        <w:suppressAutoHyphens/>
        <w:spacing w:line="240" w:lineRule="atLeast"/>
        <w:ind w:left="1440" w:right="-180"/>
        <w:rPr>
          <w:rFonts w:ascii="Times New Roman" w:hAnsi="Times New Roman"/>
        </w:rPr>
      </w:pPr>
      <w:r w:rsidRPr="009D6182">
        <w:rPr>
          <w:rFonts w:ascii="Times New Roman" w:hAnsi="Times New Roman"/>
        </w:rPr>
        <w:t>Sections 2</w:t>
      </w:r>
      <w:r w:rsidRPr="00E0737C">
        <w:rPr>
          <w:rFonts w:ascii="Times New Roman" w:hAnsi="Times New Roman"/>
          <w:i/>
        </w:rPr>
        <w:t xml:space="preserve">01(j), 1631(h) </w:t>
      </w:r>
      <w:r w:rsidRPr="00E0737C">
        <w:rPr>
          <w:rFonts w:ascii="Times New Roman" w:hAnsi="Times New Roman"/>
        </w:rPr>
        <w:t>and</w:t>
      </w:r>
      <w:r w:rsidRPr="00E0737C">
        <w:rPr>
          <w:rFonts w:ascii="Times New Roman" w:hAnsi="Times New Roman"/>
          <w:i/>
        </w:rPr>
        <w:t xml:space="preserve"> 1817(i)</w:t>
      </w:r>
      <w:r w:rsidRPr="00E0737C">
        <w:rPr>
          <w:rFonts w:ascii="Times New Roman" w:hAnsi="Times New Roman"/>
        </w:rPr>
        <w:t xml:space="preserve"> of the </w:t>
      </w:r>
      <w:r w:rsidRPr="00E0737C">
        <w:rPr>
          <w:rFonts w:ascii="Times New Roman" w:hAnsi="Times New Roman"/>
          <w:i/>
        </w:rPr>
        <w:t>Social Security Act</w:t>
      </w:r>
      <w:r w:rsidR="009D6182">
        <w:rPr>
          <w:rFonts w:ascii="Times New Roman" w:hAnsi="Times New Roman"/>
          <w:i/>
        </w:rPr>
        <w:t xml:space="preserve"> (Act), </w:t>
      </w:r>
      <w:r w:rsidR="002A07F7" w:rsidRPr="00E0737C">
        <w:rPr>
          <w:rFonts w:ascii="Times New Roman" w:hAnsi="Times New Roman"/>
        </w:rPr>
        <w:t>establish</w:t>
      </w:r>
      <w:r w:rsidR="00531A56" w:rsidRPr="00E0737C">
        <w:rPr>
          <w:rFonts w:ascii="Times New Roman" w:hAnsi="Times New Roman"/>
        </w:rPr>
        <w:t xml:space="preserve"> </w:t>
      </w:r>
      <w:r w:rsidR="00C51E9F" w:rsidRPr="00E0737C">
        <w:rPr>
          <w:rFonts w:ascii="Times New Roman" w:hAnsi="Times New Roman"/>
        </w:rPr>
        <w:t xml:space="preserve">travel reimbursement by Federal and </w:t>
      </w:r>
      <w:r w:rsidR="009D6182">
        <w:rPr>
          <w:rFonts w:ascii="Times New Roman" w:hAnsi="Times New Roman"/>
        </w:rPr>
        <w:t>S</w:t>
      </w:r>
      <w:r w:rsidR="00C51E9F" w:rsidRPr="00E0737C">
        <w:rPr>
          <w:rFonts w:ascii="Times New Roman" w:hAnsi="Times New Roman"/>
        </w:rPr>
        <w:t>tate agencies for claimant travel incidental to medical examinations, and to parties, their representatives, and all reasonably necessary witnesses for travel exceeding 75 miles to attend medical examinations, reconsideration interviews</w:t>
      </w:r>
      <w:r w:rsidR="00A919A4" w:rsidRPr="00E0737C">
        <w:rPr>
          <w:rFonts w:ascii="Times New Roman" w:hAnsi="Times New Roman"/>
        </w:rPr>
        <w:t>,</w:t>
      </w:r>
      <w:r w:rsidR="00C51E9F" w:rsidRPr="00E0737C">
        <w:rPr>
          <w:rFonts w:ascii="Times New Roman" w:hAnsi="Times New Roman"/>
        </w:rPr>
        <w:t xml:space="preserve"> and proceedings before an a</w:t>
      </w:r>
      <w:r w:rsidR="00A32853" w:rsidRPr="00E0737C">
        <w:rPr>
          <w:rFonts w:ascii="Times New Roman" w:hAnsi="Times New Roman"/>
        </w:rPr>
        <w:t>dministrative law judge</w:t>
      </w:r>
      <w:r w:rsidR="00616CEE" w:rsidRPr="00E0737C">
        <w:rPr>
          <w:rFonts w:ascii="Times New Roman" w:hAnsi="Times New Roman"/>
        </w:rPr>
        <w:t xml:space="preserve">.  </w:t>
      </w:r>
    </w:p>
    <w:p w:rsidR="00FC102D" w:rsidRPr="00E0737C" w:rsidRDefault="005E0DAA" w:rsidP="00731A26">
      <w:pPr>
        <w:tabs>
          <w:tab w:val="left" w:pos="1440"/>
        </w:tabs>
        <w:suppressAutoHyphens/>
        <w:spacing w:line="240" w:lineRule="atLeast"/>
        <w:ind w:left="1440" w:right="-180"/>
        <w:rPr>
          <w:rFonts w:ascii="Times New Roman" w:hAnsi="Times New Roman"/>
        </w:rPr>
      </w:pPr>
      <w:r w:rsidRPr="00E0737C">
        <w:rPr>
          <w:rFonts w:ascii="Times New Roman" w:hAnsi="Times New Roman"/>
          <w:i/>
        </w:rPr>
        <w:t xml:space="preserve">20 CFR 404.999 (d) </w:t>
      </w:r>
      <w:r w:rsidRPr="00E0737C">
        <w:rPr>
          <w:rFonts w:ascii="Times New Roman" w:hAnsi="Times New Roman"/>
        </w:rPr>
        <w:t>and</w:t>
      </w:r>
      <w:r w:rsidRPr="00E0737C">
        <w:rPr>
          <w:rFonts w:ascii="Times New Roman" w:hAnsi="Times New Roman"/>
          <w:i/>
        </w:rPr>
        <w:t xml:space="preserve"> 416.1499</w:t>
      </w:r>
      <w:r w:rsidRPr="00E0737C">
        <w:rPr>
          <w:rFonts w:ascii="Times New Roman" w:hAnsi="Times New Roman"/>
        </w:rPr>
        <w:t xml:space="preserve"> of the </w:t>
      </w:r>
      <w:r w:rsidRPr="00E0737C">
        <w:rPr>
          <w:rFonts w:ascii="Times New Roman" w:hAnsi="Times New Roman"/>
          <w:i/>
        </w:rPr>
        <w:t>Code of Federal Regulations</w:t>
      </w:r>
      <w:r>
        <w:rPr>
          <w:rFonts w:ascii="Times New Roman" w:hAnsi="Times New Roman"/>
          <w:i/>
        </w:rPr>
        <w:t xml:space="preserve"> </w:t>
      </w:r>
      <w:r w:rsidRPr="005E0DAA">
        <w:rPr>
          <w:rFonts w:ascii="Times New Roman" w:hAnsi="Times New Roman"/>
        </w:rPr>
        <w:t>re</w:t>
      </w:r>
      <w:r w:rsidR="00FC102D" w:rsidRPr="005E0DAA">
        <w:rPr>
          <w:rFonts w:ascii="Times New Roman" w:hAnsi="Times New Roman"/>
        </w:rPr>
        <w:t xml:space="preserve">quire </w:t>
      </w:r>
      <w:r w:rsidR="00FC102D" w:rsidRPr="00E0737C">
        <w:rPr>
          <w:rFonts w:ascii="Times New Roman" w:hAnsi="Times New Roman"/>
        </w:rPr>
        <w:t>claimant</w:t>
      </w:r>
      <w:r w:rsidR="00C51E9F" w:rsidRPr="00E0737C">
        <w:rPr>
          <w:rFonts w:ascii="Times New Roman" w:hAnsi="Times New Roman"/>
        </w:rPr>
        <w:t>s</w:t>
      </w:r>
      <w:r w:rsidR="00FC102D" w:rsidRPr="00E0737C">
        <w:rPr>
          <w:rFonts w:ascii="Times New Roman" w:hAnsi="Times New Roman"/>
        </w:rPr>
        <w:t xml:space="preserve"> to submit proof of travel</w:t>
      </w:r>
      <w:r w:rsidR="00C51E9F" w:rsidRPr="00E0737C">
        <w:rPr>
          <w:rFonts w:ascii="Times New Roman" w:hAnsi="Times New Roman"/>
        </w:rPr>
        <w:t xml:space="preserve"> costs for </w:t>
      </w:r>
      <w:r w:rsidR="009D6182">
        <w:rPr>
          <w:rFonts w:ascii="Times New Roman" w:hAnsi="Times New Roman"/>
        </w:rPr>
        <w:t>the Social Security Administration (</w:t>
      </w:r>
      <w:r w:rsidR="00C51E9F" w:rsidRPr="00E0737C">
        <w:rPr>
          <w:rFonts w:ascii="Times New Roman" w:hAnsi="Times New Roman"/>
        </w:rPr>
        <w:t>SSA</w:t>
      </w:r>
      <w:r w:rsidR="009D6182">
        <w:rPr>
          <w:rFonts w:ascii="Times New Roman" w:hAnsi="Times New Roman"/>
        </w:rPr>
        <w:t>)</w:t>
      </w:r>
      <w:r w:rsidR="00C51E9F" w:rsidRPr="00E0737C">
        <w:rPr>
          <w:rFonts w:ascii="Times New Roman" w:hAnsi="Times New Roman"/>
        </w:rPr>
        <w:t xml:space="preserve"> to reimburse them</w:t>
      </w:r>
      <w:r>
        <w:rPr>
          <w:rFonts w:ascii="Times New Roman" w:hAnsi="Times New Roman"/>
        </w:rPr>
        <w:t>.</w:t>
      </w:r>
      <w:r w:rsidR="00C51E9F" w:rsidRPr="00E0737C">
        <w:rPr>
          <w:rFonts w:ascii="Times New Roman" w:hAnsi="Times New Roman"/>
        </w:rPr>
        <w:t xml:space="preserve"> </w:t>
      </w:r>
    </w:p>
    <w:p w:rsidR="00B87AF8" w:rsidRPr="00E0737C" w:rsidRDefault="00B87AF8" w:rsidP="00B87AF8">
      <w:pPr>
        <w:ind w:left="720"/>
        <w:rPr>
          <w:rFonts w:ascii="Times New Roman" w:hAnsi="Times New Roman"/>
        </w:rPr>
      </w:pPr>
    </w:p>
    <w:p w:rsidR="002E18CF" w:rsidRPr="00E0737C" w:rsidRDefault="00F56A74" w:rsidP="00731A26">
      <w:pPr>
        <w:numPr>
          <w:ilvl w:val="0"/>
          <w:numId w:val="20"/>
        </w:numPr>
        <w:tabs>
          <w:tab w:val="clear" w:pos="720"/>
          <w:tab w:val="num" w:pos="1440"/>
        </w:tabs>
        <w:ind w:left="1440"/>
        <w:rPr>
          <w:rFonts w:ascii="Times New Roman" w:hAnsi="Times New Roman"/>
        </w:rPr>
      </w:pPr>
      <w:r w:rsidRPr="00E0737C">
        <w:rPr>
          <w:rFonts w:ascii="Times New Roman" w:hAnsi="Times New Roman"/>
          <w:b/>
        </w:rPr>
        <w:t xml:space="preserve">Description of Collection </w:t>
      </w:r>
    </w:p>
    <w:p w:rsidR="00864D24" w:rsidRPr="00E0737C" w:rsidRDefault="00C51E9F" w:rsidP="00731A26">
      <w:pPr>
        <w:tabs>
          <w:tab w:val="left" w:pos="-720"/>
          <w:tab w:val="left" w:pos="1440"/>
        </w:tabs>
        <w:suppressAutoHyphens/>
        <w:spacing w:line="240" w:lineRule="atLeast"/>
        <w:ind w:left="1440"/>
        <w:rPr>
          <w:rFonts w:ascii="Times New Roman" w:hAnsi="Times New Roman"/>
        </w:rPr>
      </w:pPr>
      <w:r w:rsidRPr="00E0737C">
        <w:rPr>
          <w:rFonts w:ascii="Times New Roman" w:hAnsi="Times New Roman"/>
        </w:rPr>
        <w:t xml:space="preserve">Reimbursement procedures require the claimant to </w:t>
      </w:r>
      <w:r w:rsidR="000825E7" w:rsidRPr="00E0737C">
        <w:rPr>
          <w:rFonts w:ascii="Times New Roman" w:hAnsi="Times New Roman"/>
        </w:rPr>
        <w:t>provide</w:t>
      </w:r>
      <w:r w:rsidR="006B2C24">
        <w:rPr>
          <w:rFonts w:ascii="Times New Roman" w:hAnsi="Times New Roman"/>
        </w:rPr>
        <w:t>:</w:t>
      </w:r>
      <w:r w:rsidR="000825E7" w:rsidRPr="00E0737C">
        <w:rPr>
          <w:rFonts w:ascii="Times New Roman" w:hAnsi="Times New Roman"/>
        </w:rPr>
        <w:t xml:space="preserve"> </w:t>
      </w:r>
      <w:r w:rsidR="006B2C24">
        <w:rPr>
          <w:rFonts w:ascii="Times New Roman" w:hAnsi="Times New Roman"/>
        </w:rPr>
        <w:t xml:space="preserve"> </w:t>
      </w:r>
      <w:r w:rsidR="000825E7" w:rsidRPr="00E0737C">
        <w:rPr>
          <w:rFonts w:ascii="Times New Roman" w:hAnsi="Times New Roman"/>
        </w:rPr>
        <w:t xml:space="preserve">(1) a list of expenses incurred, and (2) receipts </w:t>
      </w:r>
      <w:r w:rsidR="009D6182">
        <w:rPr>
          <w:rFonts w:ascii="Times New Roman" w:hAnsi="Times New Roman"/>
        </w:rPr>
        <w:t>of such expenses.  Federal and S</w:t>
      </w:r>
      <w:r w:rsidR="000825E7" w:rsidRPr="00E0737C">
        <w:rPr>
          <w:rFonts w:ascii="Times New Roman" w:hAnsi="Times New Roman"/>
        </w:rPr>
        <w:t>tate personnel review the listings and receipts to verify the reimbursable amount</w:t>
      </w:r>
      <w:r w:rsidR="009D6182">
        <w:rPr>
          <w:rFonts w:ascii="Times New Roman" w:hAnsi="Times New Roman"/>
        </w:rPr>
        <w:t xml:space="preserve"> to the requestor.  </w:t>
      </w:r>
      <w:r w:rsidR="00864D24" w:rsidRPr="00E0737C">
        <w:rPr>
          <w:rFonts w:ascii="Times New Roman" w:hAnsi="Times New Roman"/>
        </w:rPr>
        <w:t>The respondents are claimants for Title II benefits and Title XVI payments</w:t>
      </w:r>
      <w:r w:rsidR="000825E7" w:rsidRPr="00E0737C">
        <w:rPr>
          <w:rFonts w:ascii="Times New Roman" w:hAnsi="Times New Roman"/>
        </w:rPr>
        <w:t>, their representatives</w:t>
      </w:r>
      <w:r w:rsidR="002A7056">
        <w:rPr>
          <w:rFonts w:ascii="Times New Roman" w:hAnsi="Times New Roman"/>
        </w:rPr>
        <w:t>,</w:t>
      </w:r>
      <w:r w:rsidR="000825E7" w:rsidRPr="00E0737C">
        <w:rPr>
          <w:rFonts w:ascii="Times New Roman" w:hAnsi="Times New Roman"/>
        </w:rPr>
        <w:t xml:space="preserve"> and witnesses</w:t>
      </w:r>
      <w:r w:rsidR="00864D24" w:rsidRPr="00E0737C">
        <w:rPr>
          <w:rFonts w:ascii="Times New Roman" w:hAnsi="Times New Roman"/>
        </w:rPr>
        <w:t>.</w:t>
      </w:r>
    </w:p>
    <w:p w:rsidR="00A45D82" w:rsidRPr="00E0737C" w:rsidRDefault="00A45D82" w:rsidP="00A45D82">
      <w:pPr>
        <w:rPr>
          <w:rFonts w:ascii="Times New Roman" w:hAnsi="Times New Roman"/>
        </w:rPr>
      </w:pPr>
    </w:p>
    <w:p w:rsidR="0036696D" w:rsidRPr="00E0737C" w:rsidRDefault="00A45D82" w:rsidP="00731A26">
      <w:pPr>
        <w:numPr>
          <w:ilvl w:val="0"/>
          <w:numId w:val="20"/>
        </w:numPr>
        <w:tabs>
          <w:tab w:val="clear" w:pos="720"/>
          <w:tab w:val="num" w:pos="1440"/>
        </w:tabs>
        <w:ind w:left="1440"/>
        <w:rPr>
          <w:rFonts w:ascii="Times New Roman" w:hAnsi="Times New Roman"/>
        </w:rPr>
      </w:pPr>
      <w:r w:rsidRPr="00E0737C">
        <w:rPr>
          <w:rFonts w:ascii="Times New Roman" w:hAnsi="Times New Roman"/>
          <w:b/>
        </w:rPr>
        <w:t>Use of Information Technology to Collect the Information</w:t>
      </w:r>
    </w:p>
    <w:p w:rsidR="0022682D" w:rsidRPr="00E0737C" w:rsidRDefault="0022682D" w:rsidP="00731A26">
      <w:pPr>
        <w:tabs>
          <w:tab w:val="left" w:pos="1440"/>
        </w:tabs>
        <w:ind w:left="1440"/>
        <w:rPr>
          <w:rFonts w:ascii="Times New Roman" w:hAnsi="Times New Roman"/>
          <w:i/>
        </w:rPr>
      </w:pPr>
      <w:r w:rsidRPr="00E0737C">
        <w:rPr>
          <w:rFonts w:ascii="Times New Roman" w:hAnsi="Times New Roman"/>
        </w:rPr>
        <w:t>SSA did not create an electronic version for Travel Expense Reimbursement under the agency’s Government P</w:t>
      </w:r>
      <w:r w:rsidR="002A07F7" w:rsidRPr="00E0737C">
        <w:rPr>
          <w:rFonts w:ascii="Times New Roman" w:hAnsi="Times New Roman"/>
        </w:rPr>
        <w:t xml:space="preserve">aperwork Elimination Act </w:t>
      </w:r>
      <w:r w:rsidRPr="00E0737C">
        <w:rPr>
          <w:rFonts w:ascii="Times New Roman" w:hAnsi="Times New Roman"/>
        </w:rPr>
        <w:t>plan because</w:t>
      </w:r>
      <w:r w:rsidR="000825E7" w:rsidRPr="00E0737C">
        <w:rPr>
          <w:rFonts w:ascii="Times New Roman" w:hAnsi="Times New Roman"/>
        </w:rPr>
        <w:t xml:space="preserve"> there is no form associated with the collection</w:t>
      </w:r>
      <w:r w:rsidRPr="00E0737C">
        <w:rPr>
          <w:rFonts w:ascii="Times New Roman" w:hAnsi="Times New Roman"/>
        </w:rPr>
        <w:t xml:space="preserve">.  </w:t>
      </w:r>
      <w:r w:rsidR="009D6182">
        <w:rPr>
          <w:rFonts w:ascii="Times New Roman" w:hAnsi="Times New Roman"/>
        </w:rPr>
        <w:t>SSA requires the r</w:t>
      </w:r>
      <w:r w:rsidRPr="00E0737C">
        <w:rPr>
          <w:rFonts w:ascii="Times New Roman" w:hAnsi="Times New Roman"/>
        </w:rPr>
        <w:t>espond</w:t>
      </w:r>
      <w:r w:rsidR="000825E7" w:rsidRPr="00E0737C">
        <w:rPr>
          <w:rFonts w:ascii="Times New Roman" w:hAnsi="Times New Roman"/>
        </w:rPr>
        <w:t xml:space="preserve">ents to submit </w:t>
      </w:r>
      <w:r w:rsidRPr="00E0737C">
        <w:rPr>
          <w:rFonts w:ascii="Times New Roman" w:hAnsi="Times New Roman"/>
        </w:rPr>
        <w:t xml:space="preserve">original receipts for the travel </w:t>
      </w:r>
      <w:r w:rsidR="00D517CD" w:rsidRPr="00E0737C">
        <w:rPr>
          <w:rFonts w:ascii="Times New Roman" w:hAnsi="Times New Roman"/>
        </w:rPr>
        <w:t>expenses;</w:t>
      </w:r>
      <w:r w:rsidRPr="00E0737C">
        <w:rPr>
          <w:rFonts w:ascii="Times New Roman" w:hAnsi="Times New Roman"/>
        </w:rPr>
        <w:t xml:space="preserve"> we are not able to make this collection available electronically at this time.  </w:t>
      </w:r>
    </w:p>
    <w:p w:rsidR="00864D24" w:rsidRPr="00E0737C" w:rsidRDefault="00864D24" w:rsidP="0022682D">
      <w:pPr>
        <w:rPr>
          <w:rFonts w:ascii="Times New Roman" w:hAnsi="Times New Roman"/>
        </w:rPr>
      </w:pPr>
    </w:p>
    <w:p w:rsidR="000C1D18" w:rsidRPr="00E0737C" w:rsidRDefault="00A45D82" w:rsidP="00731A26">
      <w:pPr>
        <w:numPr>
          <w:ilvl w:val="0"/>
          <w:numId w:val="20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b/>
        </w:rPr>
      </w:pPr>
      <w:r w:rsidRPr="00E0737C">
        <w:rPr>
          <w:rFonts w:ascii="Times New Roman" w:hAnsi="Times New Roman"/>
          <w:b/>
        </w:rPr>
        <w:t xml:space="preserve">Why </w:t>
      </w:r>
      <w:r w:rsidR="000C1D18" w:rsidRPr="00E0737C">
        <w:rPr>
          <w:rFonts w:ascii="Times New Roman" w:hAnsi="Times New Roman"/>
          <w:b/>
        </w:rPr>
        <w:t>We Cannot Use Duplicate Information</w:t>
      </w:r>
    </w:p>
    <w:p w:rsidR="00D517CD" w:rsidRDefault="00D517CD" w:rsidP="00731A26">
      <w:pPr>
        <w:tabs>
          <w:tab w:val="left" w:pos="1440"/>
        </w:tabs>
        <w:ind w:left="1440"/>
        <w:rPr>
          <w:rFonts w:ascii="Times New Roman" w:hAnsi="Times New Roman"/>
        </w:rPr>
      </w:pPr>
      <w:r w:rsidRPr="00D517CD">
        <w:rPr>
          <w:rFonts w:ascii="Times New Roman" w:hAnsi="Times New Roman"/>
        </w:rPr>
        <w:t xml:space="preserve">The nature of the information we </w:t>
      </w:r>
      <w:r w:rsidR="006B2C24">
        <w:rPr>
          <w:rFonts w:ascii="Times New Roman" w:hAnsi="Times New Roman"/>
        </w:rPr>
        <w:t>c</w:t>
      </w:r>
      <w:r w:rsidRPr="00D517CD">
        <w:rPr>
          <w:rFonts w:ascii="Times New Roman" w:hAnsi="Times New Roman"/>
        </w:rPr>
        <w:t>ollect</w:t>
      </w:r>
      <w:r w:rsidR="006B2C24">
        <w:rPr>
          <w:rFonts w:ascii="Times New Roman" w:hAnsi="Times New Roman"/>
        </w:rPr>
        <w:t xml:space="preserve"> </w:t>
      </w:r>
      <w:r w:rsidRPr="00D517CD">
        <w:rPr>
          <w:rFonts w:ascii="Times New Roman" w:hAnsi="Times New Roman"/>
        </w:rPr>
        <w:t>and the manner in which we</w:t>
      </w:r>
      <w:r w:rsidR="006B2C24">
        <w:rPr>
          <w:rFonts w:ascii="Times New Roman" w:hAnsi="Times New Roman"/>
        </w:rPr>
        <w:t xml:space="preserve"> </w:t>
      </w:r>
      <w:r w:rsidRPr="00D517CD">
        <w:rPr>
          <w:rFonts w:ascii="Times New Roman" w:hAnsi="Times New Roman"/>
        </w:rPr>
        <w:t>collect</w:t>
      </w:r>
      <w:r w:rsidR="006B2C24">
        <w:rPr>
          <w:rFonts w:ascii="Times New Roman" w:hAnsi="Times New Roman"/>
        </w:rPr>
        <w:t xml:space="preserve"> </w:t>
      </w:r>
      <w:r w:rsidRPr="00D517CD">
        <w:rPr>
          <w:rFonts w:ascii="Times New Roman" w:hAnsi="Times New Roman"/>
        </w:rPr>
        <w:t xml:space="preserve">it preclude duplication.  SSA does not use another collection instrument to obtain similar data.  </w:t>
      </w:r>
    </w:p>
    <w:p w:rsidR="00D517CD" w:rsidRPr="00D517CD" w:rsidRDefault="00D517CD" w:rsidP="00D517CD">
      <w:pPr>
        <w:ind w:left="720"/>
        <w:rPr>
          <w:rFonts w:ascii="Times New Roman" w:hAnsi="Times New Roman"/>
        </w:rPr>
      </w:pPr>
    </w:p>
    <w:p w:rsidR="00077E0E" w:rsidRPr="00E0737C" w:rsidRDefault="00077E0E" w:rsidP="00731A26">
      <w:pPr>
        <w:numPr>
          <w:ilvl w:val="0"/>
          <w:numId w:val="28"/>
        </w:numPr>
        <w:tabs>
          <w:tab w:val="clear" w:pos="360"/>
          <w:tab w:val="num" w:pos="1440"/>
        </w:tabs>
        <w:ind w:left="1440" w:hanging="720"/>
        <w:rPr>
          <w:rFonts w:ascii="Times New Roman" w:hAnsi="Times New Roman"/>
        </w:rPr>
      </w:pPr>
      <w:r w:rsidRPr="00E0737C">
        <w:rPr>
          <w:rFonts w:ascii="Times New Roman" w:hAnsi="Times New Roman"/>
          <w:b/>
        </w:rPr>
        <w:t>Minimizing Burden on Small Respondents</w:t>
      </w:r>
    </w:p>
    <w:p w:rsidR="0022682D" w:rsidRPr="00E0737C" w:rsidRDefault="0022682D" w:rsidP="00731A26">
      <w:pPr>
        <w:tabs>
          <w:tab w:val="left" w:pos="-720"/>
          <w:tab w:val="left" w:pos="1440"/>
        </w:tabs>
        <w:suppressAutoHyphens/>
        <w:spacing w:line="240" w:lineRule="atLeast"/>
        <w:ind w:left="1440"/>
        <w:rPr>
          <w:rFonts w:ascii="Times New Roman" w:hAnsi="Times New Roman"/>
        </w:rPr>
      </w:pPr>
      <w:r w:rsidRPr="00E0737C">
        <w:rPr>
          <w:rFonts w:ascii="Times New Roman" w:hAnsi="Times New Roman"/>
        </w:rPr>
        <w:t>This collection does</w:t>
      </w:r>
      <w:r w:rsidR="000825E7" w:rsidRPr="00E0737C">
        <w:rPr>
          <w:rFonts w:ascii="Times New Roman" w:hAnsi="Times New Roman"/>
        </w:rPr>
        <w:t xml:space="preserve"> not affect</w:t>
      </w:r>
      <w:r w:rsidRPr="00E0737C">
        <w:rPr>
          <w:rFonts w:ascii="Times New Roman" w:hAnsi="Times New Roman"/>
        </w:rPr>
        <w:t xml:space="preserve"> small businesses or other small entities.</w:t>
      </w:r>
    </w:p>
    <w:p w:rsidR="00E75DB0" w:rsidRPr="00E0737C" w:rsidRDefault="00E75DB0" w:rsidP="00077E0E">
      <w:pPr>
        <w:ind w:left="720"/>
        <w:rPr>
          <w:rFonts w:ascii="Times New Roman" w:hAnsi="Times New Roman"/>
          <w:b/>
          <w:u w:val="single"/>
        </w:rPr>
      </w:pPr>
    </w:p>
    <w:p w:rsidR="00D517CD" w:rsidRDefault="00A45D82" w:rsidP="00731A26">
      <w:pPr>
        <w:tabs>
          <w:tab w:val="left" w:pos="0"/>
          <w:tab w:val="num" w:pos="1440"/>
        </w:tabs>
        <w:suppressAutoHyphens/>
        <w:spacing w:line="240" w:lineRule="atLeast"/>
        <w:ind w:left="1440" w:hanging="720"/>
        <w:rPr>
          <w:rFonts w:ascii="Times New Roman" w:hAnsi="Times New Roman"/>
          <w:b/>
        </w:rPr>
      </w:pPr>
      <w:r w:rsidRPr="00E0737C">
        <w:rPr>
          <w:rFonts w:ascii="Times New Roman" w:hAnsi="Times New Roman"/>
          <w:b/>
        </w:rPr>
        <w:t>6.</w:t>
      </w:r>
      <w:r w:rsidRPr="00E0737C">
        <w:rPr>
          <w:rFonts w:ascii="Times New Roman" w:hAnsi="Times New Roman"/>
        </w:rPr>
        <w:tab/>
      </w:r>
      <w:r w:rsidRPr="00E0737C">
        <w:rPr>
          <w:rFonts w:ascii="Times New Roman" w:hAnsi="Times New Roman"/>
          <w:b/>
        </w:rPr>
        <w:t xml:space="preserve">Consequence of Not Collecting Information or </w:t>
      </w:r>
      <w:r w:rsidR="00E8780E" w:rsidRPr="00E0737C">
        <w:rPr>
          <w:rFonts w:ascii="Times New Roman" w:hAnsi="Times New Roman"/>
          <w:b/>
        </w:rPr>
        <w:t>collecting</w:t>
      </w:r>
      <w:r w:rsidRPr="00E0737C">
        <w:rPr>
          <w:rFonts w:ascii="Times New Roman" w:hAnsi="Times New Roman"/>
          <w:b/>
        </w:rPr>
        <w:t xml:space="preserve"> it Less Frequently </w:t>
      </w:r>
    </w:p>
    <w:p w:rsidR="0022682D" w:rsidRPr="00E0737C" w:rsidRDefault="00045C81" w:rsidP="00731A26">
      <w:pPr>
        <w:tabs>
          <w:tab w:val="left" w:pos="1440"/>
        </w:tabs>
        <w:suppressAutoHyphens/>
        <w:spacing w:line="240" w:lineRule="atLeast"/>
        <w:ind w:left="1440"/>
        <w:rPr>
          <w:rFonts w:ascii="Times New Roman" w:hAnsi="Times New Roman"/>
        </w:rPr>
      </w:pPr>
      <w:r w:rsidRPr="00E0737C">
        <w:rPr>
          <w:rFonts w:ascii="Times New Roman" w:hAnsi="Times New Roman"/>
        </w:rPr>
        <w:t>If</w:t>
      </w:r>
      <w:r w:rsidR="00D517CD">
        <w:rPr>
          <w:rFonts w:ascii="Times New Roman" w:hAnsi="Times New Roman"/>
        </w:rPr>
        <w:t xml:space="preserve"> </w:t>
      </w:r>
      <w:r w:rsidRPr="00E0737C">
        <w:rPr>
          <w:rFonts w:ascii="Times New Roman" w:hAnsi="Times New Roman"/>
        </w:rPr>
        <w:t>SSA were t</w:t>
      </w:r>
      <w:r w:rsidR="0022682D" w:rsidRPr="00E0737C">
        <w:rPr>
          <w:rFonts w:ascii="Times New Roman" w:hAnsi="Times New Roman"/>
        </w:rPr>
        <w:t xml:space="preserve">o collect this </w:t>
      </w:r>
      <w:r w:rsidRPr="00E0737C">
        <w:rPr>
          <w:rFonts w:ascii="Times New Roman" w:hAnsi="Times New Roman"/>
        </w:rPr>
        <w:t xml:space="preserve">information </w:t>
      </w:r>
      <w:r w:rsidR="0022682D" w:rsidRPr="00E0737C">
        <w:rPr>
          <w:rFonts w:ascii="Times New Roman" w:hAnsi="Times New Roman"/>
        </w:rPr>
        <w:t>less frequently</w:t>
      </w:r>
      <w:r w:rsidRPr="00E0737C">
        <w:rPr>
          <w:rFonts w:ascii="Times New Roman" w:hAnsi="Times New Roman"/>
        </w:rPr>
        <w:t>, it c</w:t>
      </w:r>
      <w:r w:rsidR="0022682D" w:rsidRPr="00E0737C">
        <w:rPr>
          <w:rFonts w:ascii="Times New Roman" w:hAnsi="Times New Roman"/>
        </w:rPr>
        <w:t xml:space="preserve">ould delay </w:t>
      </w:r>
      <w:r w:rsidRPr="00E0737C">
        <w:rPr>
          <w:rFonts w:ascii="Times New Roman" w:hAnsi="Times New Roman"/>
        </w:rPr>
        <w:t xml:space="preserve">reimbursement and </w:t>
      </w:r>
      <w:r w:rsidR="0022682D" w:rsidRPr="00E0737C">
        <w:rPr>
          <w:rFonts w:ascii="Times New Roman" w:hAnsi="Times New Roman"/>
        </w:rPr>
        <w:t>result in financial hardship to the claimant.  In advance payment cases, it would prevent the claimant from appearing at a medical examination or disability hearing, thus preventing adjudication of the claim.  Since</w:t>
      </w:r>
      <w:r w:rsidR="000825E7" w:rsidRPr="00E0737C">
        <w:rPr>
          <w:rFonts w:ascii="Times New Roman" w:hAnsi="Times New Roman"/>
        </w:rPr>
        <w:t xml:space="preserve"> we </w:t>
      </w:r>
      <w:r w:rsidR="00D517CD">
        <w:rPr>
          <w:rFonts w:ascii="Times New Roman" w:hAnsi="Times New Roman"/>
        </w:rPr>
        <w:t>collect the information on an as needed basis</w:t>
      </w:r>
      <w:r w:rsidR="000825E7" w:rsidRPr="00E0737C">
        <w:rPr>
          <w:rFonts w:ascii="Times New Roman" w:hAnsi="Times New Roman"/>
        </w:rPr>
        <w:t xml:space="preserve">, we cannot collect it </w:t>
      </w:r>
      <w:r w:rsidR="0022682D" w:rsidRPr="00E0737C">
        <w:rPr>
          <w:rFonts w:ascii="Times New Roman" w:hAnsi="Times New Roman"/>
        </w:rPr>
        <w:t>less frequently.</w:t>
      </w:r>
      <w:r w:rsidR="003F5E62">
        <w:rPr>
          <w:rFonts w:ascii="Times New Roman" w:hAnsi="Times New Roman"/>
        </w:rPr>
        <w:t xml:space="preserve">  </w:t>
      </w:r>
      <w:r w:rsidR="0022682D" w:rsidRPr="00E0737C">
        <w:rPr>
          <w:rFonts w:ascii="Times New Roman" w:hAnsi="Times New Roman"/>
        </w:rPr>
        <w:t xml:space="preserve">There are no technical or legal obstacles </w:t>
      </w:r>
      <w:r w:rsidR="00D517CD">
        <w:rPr>
          <w:rFonts w:ascii="Times New Roman" w:hAnsi="Times New Roman"/>
        </w:rPr>
        <w:t>to burden reduction.</w:t>
      </w:r>
    </w:p>
    <w:p w:rsidR="00B87AF8" w:rsidRPr="00E0737C" w:rsidRDefault="00B87AF8" w:rsidP="00A45D82">
      <w:pPr>
        <w:ind w:left="720" w:hanging="720"/>
        <w:rPr>
          <w:rFonts w:ascii="Times New Roman" w:hAnsi="Times New Roman"/>
          <w:b/>
        </w:rPr>
      </w:pPr>
    </w:p>
    <w:p w:rsidR="00127980" w:rsidRPr="00E0737C" w:rsidRDefault="00A45D82" w:rsidP="00731A26">
      <w:pPr>
        <w:tabs>
          <w:tab w:val="num" w:pos="1440"/>
        </w:tabs>
        <w:ind w:left="1440" w:hanging="720"/>
        <w:rPr>
          <w:rFonts w:ascii="Times New Roman" w:hAnsi="Times New Roman"/>
          <w:b/>
        </w:rPr>
      </w:pPr>
      <w:r w:rsidRPr="00E0737C">
        <w:rPr>
          <w:rFonts w:ascii="Times New Roman" w:hAnsi="Times New Roman"/>
          <w:b/>
        </w:rPr>
        <w:lastRenderedPageBreak/>
        <w:t>7.</w:t>
      </w:r>
      <w:r w:rsidRPr="00E0737C">
        <w:rPr>
          <w:rFonts w:ascii="Times New Roman" w:hAnsi="Times New Roman"/>
        </w:rPr>
        <w:tab/>
      </w:r>
      <w:r w:rsidRPr="00E0737C">
        <w:rPr>
          <w:rFonts w:ascii="Times New Roman" w:hAnsi="Times New Roman"/>
          <w:b/>
        </w:rPr>
        <w:t xml:space="preserve">Special Circumstances </w:t>
      </w:r>
    </w:p>
    <w:p w:rsidR="00D11171" w:rsidRPr="00D11171" w:rsidRDefault="00D11171" w:rsidP="00731A26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D11171">
        <w:rPr>
          <w:rFonts w:ascii="Times New Roman" w:hAnsi="Times New Roman"/>
          <w:b w:val="0"/>
          <w:i w:val="0"/>
        </w:rPr>
        <w:t xml:space="preserve">There are no special circumstances that would cause SSA to conduct this information collection in a manner inconsistent with </w:t>
      </w:r>
      <w:r w:rsidRPr="006B2C24">
        <w:rPr>
          <w:rFonts w:ascii="Times New Roman" w:hAnsi="Times New Roman"/>
          <w:b w:val="0"/>
        </w:rPr>
        <w:t>5 CFR 1320.5</w:t>
      </w:r>
      <w:r w:rsidRPr="00D11171">
        <w:rPr>
          <w:rFonts w:ascii="Times New Roman" w:hAnsi="Times New Roman"/>
          <w:b w:val="0"/>
          <w:i w:val="0"/>
        </w:rPr>
        <w:t>.</w:t>
      </w:r>
    </w:p>
    <w:p w:rsidR="00A45D82" w:rsidRPr="00E0737C" w:rsidRDefault="00A45D82" w:rsidP="00D1117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rFonts w:ascii="Times New Roman" w:hAnsi="Times New Roman"/>
          <w:b/>
          <w:i/>
        </w:rPr>
      </w:pPr>
    </w:p>
    <w:p w:rsidR="000825E7" w:rsidRPr="00E0737C" w:rsidRDefault="00A45D82" w:rsidP="00731A26">
      <w:pPr>
        <w:numPr>
          <w:ilvl w:val="0"/>
          <w:numId w:val="14"/>
        </w:numPr>
        <w:tabs>
          <w:tab w:val="clear" w:pos="720"/>
          <w:tab w:val="left" w:pos="0"/>
          <w:tab w:val="num" w:pos="1440"/>
        </w:tabs>
        <w:suppressAutoHyphens/>
        <w:spacing w:line="240" w:lineRule="atLeast"/>
        <w:ind w:left="1440"/>
        <w:rPr>
          <w:rFonts w:ascii="Times New Roman" w:hAnsi="Times New Roman"/>
        </w:rPr>
      </w:pPr>
      <w:r w:rsidRPr="00E0737C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20700B" w:rsidRDefault="0020700B" w:rsidP="00731A26">
      <w:pPr>
        <w:tabs>
          <w:tab w:val="left" w:pos="1440"/>
        </w:tabs>
        <w:ind w:left="1440"/>
        <w:rPr>
          <w:rFonts w:ascii="Times New Roman" w:hAnsi="Times New Roman"/>
        </w:rPr>
      </w:pPr>
      <w:r w:rsidRPr="0020700B">
        <w:rPr>
          <w:rFonts w:ascii="Times New Roman" w:hAnsi="Times New Roman"/>
        </w:rPr>
        <w:t xml:space="preserve">The 60-day advance Federal Register Notice published on </w:t>
      </w:r>
      <w:r>
        <w:rPr>
          <w:rFonts w:ascii="Times New Roman" w:hAnsi="Times New Roman"/>
        </w:rPr>
        <w:t>Ju</w:t>
      </w:r>
      <w:r w:rsidR="000A5742">
        <w:rPr>
          <w:rFonts w:ascii="Times New Roman" w:hAnsi="Times New Roman"/>
        </w:rPr>
        <w:t>ly 22</w:t>
      </w:r>
      <w:r w:rsidRPr="0020700B">
        <w:rPr>
          <w:rFonts w:ascii="Times New Roman" w:hAnsi="Times New Roman"/>
        </w:rPr>
        <w:t>, 20</w:t>
      </w:r>
      <w:r>
        <w:rPr>
          <w:rFonts w:ascii="Times New Roman" w:hAnsi="Times New Roman"/>
        </w:rPr>
        <w:t>1</w:t>
      </w:r>
      <w:r w:rsidR="000A5742">
        <w:rPr>
          <w:rFonts w:ascii="Times New Roman" w:hAnsi="Times New Roman"/>
        </w:rPr>
        <w:t>6</w:t>
      </w:r>
      <w:r w:rsidRPr="0020700B">
        <w:rPr>
          <w:rFonts w:ascii="Times New Roman" w:hAnsi="Times New Roman"/>
        </w:rPr>
        <w:t xml:space="preserve">, at </w:t>
      </w:r>
    </w:p>
    <w:p w:rsidR="0020700B" w:rsidRPr="0020700B" w:rsidRDefault="000A5742" w:rsidP="00731A26">
      <w:pPr>
        <w:tabs>
          <w:tab w:val="left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81</w:t>
      </w:r>
      <w:r w:rsidR="0020700B" w:rsidRPr="0020700B">
        <w:rPr>
          <w:rFonts w:ascii="Times New Roman" w:hAnsi="Times New Roman"/>
        </w:rPr>
        <w:t xml:space="preserve"> FR </w:t>
      </w:r>
      <w:r w:rsidR="00A44C56">
        <w:rPr>
          <w:rFonts w:ascii="Times New Roman" w:hAnsi="Times New Roman"/>
        </w:rPr>
        <w:t>47845,</w:t>
      </w:r>
      <w:r w:rsidR="0020700B" w:rsidRPr="0020700B">
        <w:rPr>
          <w:rFonts w:ascii="Times New Roman" w:hAnsi="Times New Roman"/>
        </w:rPr>
        <w:t xml:space="preserve"> and we received no public comment</w:t>
      </w:r>
      <w:r w:rsidR="000332B0">
        <w:rPr>
          <w:rFonts w:ascii="Times New Roman" w:hAnsi="Times New Roman"/>
        </w:rPr>
        <w:t xml:space="preserve">s.  The 30-day FRN published on </w:t>
      </w:r>
      <w:r w:rsidR="00332826">
        <w:rPr>
          <w:rFonts w:ascii="Times New Roman" w:hAnsi="Times New Roman"/>
        </w:rPr>
        <w:t>October 3, 2016</w:t>
      </w:r>
      <w:r w:rsidR="000332B0">
        <w:rPr>
          <w:rFonts w:ascii="Times New Roman" w:hAnsi="Times New Roman"/>
        </w:rPr>
        <w:t xml:space="preserve"> a</w:t>
      </w:r>
      <w:r w:rsidR="0020700B" w:rsidRPr="0020700B">
        <w:rPr>
          <w:rFonts w:ascii="Times New Roman" w:hAnsi="Times New Roman"/>
        </w:rPr>
        <w:t xml:space="preserve">t </w:t>
      </w:r>
      <w:r w:rsidR="00332826">
        <w:rPr>
          <w:rFonts w:ascii="Times New Roman" w:hAnsi="Times New Roman"/>
        </w:rPr>
        <w:t>81</w:t>
      </w:r>
      <w:r w:rsidR="000332B0">
        <w:rPr>
          <w:rFonts w:ascii="Times New Roman" w:hAnsi="Times New Roman"/>
        </w:rPr>
        <w:t xml:space="preserve"> FR </w:t>
      </w:r>
      <w:r w:rsidR="00332826">
        <w:rPr>
          <w:rFonts w:ascii="Times New Roman" w:hAnsi="Times New Roman"/>
        </w:rPr>
        <w:t>68091</w:t>
      </w:r>
      <w:r w:rsidR="0020700B" w:rsidRPr="0020700B">
        <w:rPr>
          <w:rFonts w:ascii="Times New Roman" w:hAnsi="Times New Roman"/>
        </w:rPr>
        <w:t xml:space="preserve">.  If we receive any comments in response to this Notice, we will forward them to OMB. </w:t>
      </w:r>
    </w:p>
    <w:p w:rsidR="00B87AF8" w:rsidRPr="00E0737C" w:rsidRDefault="00B87AF8" w:rsidP="0022682D">
      <w:pPr>
        <w:ind w:left="720"/>
        <w:rPr>
          <w:rFonts w:ascii="Times New Roman" w:hAnsi="Times New Roman"/>
        </w:rPr>
      </w:pPr>
    </w:p>
    <w:p w:rsidR="00640A26" w:rsidRPr="00E0737C" w:rsidRDefault="00A45D82" w:rsidP="00731A26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="Times New Roman" w:hAnsi="Times New Roman"/>
        </w:rPr>
      </w:pPr>
      <w:r w:rsidRPr="00E0737C">
        <w:rPr>
          <w:rFonts w:ascii="Times New Roman" w:hAnsi="Times New Roman"/>
          <w:b/>
        </w:rPr>
        <w:t>Payment or Gifts to Respondents</w:t>
      </w:r>
    </w:p>
    <w:p w:rsidR="00A45D82" w:rsidRPr="00E0737C" w:rsidRDefault="0022682D" w:rsidP="00731A26">
      <w:pPr>
        <w:tabs>
          <w:tab w:val="left" w:pos="1440"/>
        </w:tabs>
        <w:ind w:left="1440"/>
        <w:rPr>
          <w:rFonts w:ascii="Times New Roman" w:hAnsi="Times New Roman"/>
        </w:rPr>
      </w:pPr>
      <w:r w:rsidRPr="00E0737C">
        <w:rPr>
          <w:rFonts w:ascii="Times New Roman" w:hAnsi="Times New Roman"/>
        </w:rPr>
        <w:t xml:space="preserve">SSA </w:t>
      </w:r>
      <w:r w:rsidR="003F5E6E">
        <w:rPr>
          <w:rFonts w:ascii="Times New Roman" w:hAnsi="Times New Roman"/>
        </w:rPr>
        <w:t xml:space="preserve">does not provide payments or gifts </w:t>
      </w:r>
      <w:r w:rsidRPr="00E0737C">
        <w:rPr>
          <w:rFonts w:ascii="Times New Roman" w:hAnsi="Times New Roman"/>
        </w:rPr>
        <w:t>to the respondents</w:t>
      </w:r>
      <w:r w:rsidR="003F5E6E">
        <w:rPr>
          <w:rFonts w:ascii="Times New Roman" w:hAnsi="Times New Roman"/>
        </w:rPr>
        <w:t>.</w:t>
      </w:r>
    </w:p>
    <w:p w:rsidR="0022682D" w:rsidRPr="00E0737C" w:rsidRDefault="0022682D" w:rsidP="0022682D">
      <w:pPr>
        <w:ind w:firstLine="720"/>
        <w:rPr>
          <w:rFonts w:ascii="Times New Roman" w:hAnsi="Times New Roman"/>
        </w:rPr>
      </w:pPr>
    </w:p>
    <w:p w:rsidR="00795BAB" w:rsidRPr="00E0737C" w:rsidRDefault="00A45D82" w:rsidP="00731A26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b/>
        </w:rPr>
      </w:pPr>
      <w:r w:rsidRPr="00E0737C">
        <w:rPr>
          <w:rFonts w:ascii="Times New Roman" w:hAnsi="Times New Roman"/>
          <w:b/>
        </w:rPr>
        <w:t>Assurances of Confidentiality</w:t>
      </w:r>
    </w:p>
    <w:p w:rsidR="003F5E6E" w:rsidRPr="003F5E6E" w:rsidRDefault="003F5E6E" w:rsidP="00731A26">
      <w:pPr>
        <w:tabs>
          <w:tab w:val="left" w:pos="1440"/>
        </w:tabs>
        <w:ind w:left="1440"/>
        <w:rPr>
          <w:rFonts w:ascii="Times New Roman" w:hAnsi="Times New Roman"/>
        </w:rPr>
      </w:pPr>
      <w:r w:rsidRPr="003F5E6E">
        <w:rPr>
          <w:rFonts w:ascii="Times New Roman" w:hAnsi="Times New Roman"/>
        </w:rPr>
        <w:t xml:space="preserve">SSA protects and holds confidential the information it collects in accordance with </w:t>
      </w:r>
      <w:r w:rsidRPr="006B2C24">
        <w:rPr>
          <w:rFonts w:ascii="Times New Roman" w:hAnsi="Times New Roman"/>
          <w:i/>
        </w:rPr>
        <w:t>42 U.S.C. 1306, 20 CFR 401</w:t>
      </w:r>
      <w:r w:rsidRPr="003F5E6E">
        <w:rPr>
          <w:rFonts w:ascii="Times New Roman" w:hAnsi="Times New Roman"/>
        </w:rPr>
        <w:t xml:space="preserve"> and </w:t>
      </w:r>
      <w:r w:rsidRPr="006B2C24">
        <w:rPr>
          <w:rFonts w:ascii="Times New Roman" w:hAnsi="Times New Roman"/>
          <w:i/>
        </w:rPr>
        <w:t>402</w:t>
      </w:r>
      <w:r w:rsidRPr="003F5E6E">
        <w:rPr>
          <w:rFonts w:ascii="Times New Roman" w:hAnsi="Times New Roman"/>
        </w:rPr>
        <w:t xml:space="preserve">, </w:t>
      </w:r>
      <w:r w:rsidRPr="006B2C24">
        <w:rPr>
          <w:rFonts w:ascii="Times New Roman" w:hAnsi="Times New Roman"/>
          <w:i/>
        </w:rPr>
        <w:t>5 U.S.C. 552</w:t>
      </w:r>
      <w:r w:rsidRPr="003F5E6E">
        <w:rPr>
          <w:rFonts w:ascii="Times New Roman" w:hAnsi="Times New Roman"/>
        </w:rPr>
        <w:t xml:space="preserve"> (Freedom of Information Act), </w:t>
      </w:r>
      <w:r w:rsidRPr="006B2C24">
        <w:rPr>
          <w:rFonts w:ascii="Times New Roman" w:hAnsi="Times New Roman"/>
          <w:i/>
        </w:rPr>
        <w:t>5 U.S.C. 552a</w:t>
      </w:r>
      <w:r w:rsidRPr="003F5E6E">
        <w:rPr>
          <w:rFonts w:ascii="Times New Roman" w:hAnsi="Times New Roman"/>
        </w:rPr>
        <w:t xml:space="preserve"> (Privacy Act of 1974), and OMB Circular No. A-130</w:t>
      </w:r>
      <w:r w:rsidRPr="003F5E6E">
        <w:rPr>
          <w:rFonts w:ascii="Times New Roman" w:hAnsi="Times New Roman"/>
          <w:color w:val="0000FF"/>
        </w:rPr>
        <w:t>.</w:t>
      </w:r>
    </w:p>
    <w:p w:rsidR="0022682D" w:rsidRPr="00E0737C" w:rsidRDefault="0022682D" w:rsidP="0022682D">
      <w:pPr>
        <w:tabs>
          <w:tab w:val="left" w:pos="-720"/>
        </w:tabs>
        <w:suppressAutoHyphens/>
        <w:spacing w:line="240" w:lineRule="atLeast"/>
        <w:ind w:left="720"/>
        <w:rPr>
          <w:rFonts w:ascii="Times New Roman" w:hAnsi="Times New Roman"/>
        </w:rPr>
      </w:pPr>
    </w:p>
    <w:p w:rsidR="00D0011E" w:rsidRPr="00E0737C" w:rsidRDefault="00A45D82" w:rsidP="00731A26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b/>
        </w:rPr>
      </w:pPr>
      <w:r w:rsidRPr="00E0737C">
        <w:rPr>
          <w:rFonts w:ascii="Times New Roman" w:hAnsi="Times New Roman"/>
          <w:b/>
        </w:rPr>
        <w:t>Justification for Sensitive Questions</w:t>
      </w:r>
    </w:p>
    <w:p w:rsidR="00936190" w:rsidRPr="00E0737C" w:rsidRDefault="00936190" w:rsidP="00731A26">
      <w:pPr>
        <w:tabs>
          <w:tab w:val="left" w:pos="-720"/>
          <w:tab w:val="left" w:pos="0"/>
          <w:tab w:val="left" w:pos="1440"/>
        </w:tabs>
        <w:suppressAutoHyphens/>
        <w:spacing w:line="240" w:lineRule="atLeast"/>
        <w:ind w:left="1440"/>
        <w:rPr>
          <w:rFonts w:ascii="Times New Roman" w:hAnsi="Times New Roman"/>
        </w:rPr>
      </w:pPr>
      <w:r w:rsidRPr="00E0737C">
        <w:rPr>
          <w:rFonts w:ascii="Times New Roman" w:hAnsi="Times New Roman"/>
        </w:rPr>
        <w:t>This information collection does not contain any questions of a sensitive nature.</w:t>
      </w:r>
    </w:p>
    <w:p w:rsidR="00A45D82" w:rsidRPr="00E0737C" w:rsidRDefault="00A45D82" w:rsidP="00A45D82">
      <w:pPr>
        <w:rPr>
          <w:rFonts w:ascii="Times New Roman" w:hAnsi="Times New Roman"/>
        </w:rPr>
      </w:pPr>
    </w:p>
    <w:p w:rsidR="00F9405B" w:rsidRPr="00E0737C" w:rsidRDefault="00A45D82" w:rsidP="00731A26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color w:val="FF0000"/>
        </w:rPr>
      </w:pPr>
      <w:r w:rsidRPr="00E0737C">
        <w:rPr>
          <w:rFonts w:ascii="Times New Roman" w:hAnsi="Times New Roman"/>
          <w:b/>
        </w:rPr>
        <w:t>Estimates of Public Reporting Burden</w:t>
      </w:r>
    </w:p>
    <w:p w:rsidR="00FB66EA" w:rsidRDefault="00FB66EA" w:rsidP="00A55EBE">
      <w:pPr>
        <w:tabs>
          <w:tab w:val="left" w:pos="-720"/>
          <w:tab w:val="left" w:pos="0"/>
        </w:tabs>
        <w:suppressAutoHyphens/>
        <w:spacing w:line="240" w:lineRule="atLeast"/>
        <w:ind w:left="720"/>
        <w:rPr>
          <w:rFonts w:ascii="Times New Roman" w:hAnsi="Times New Roman"/>
        </w:rPr>
      </w:pPr>
    </w:p>
    <w:tbl>
      <w:tblPr>
        <w:tblW w:w="7830" w:type="dxa"/>
        <w:tblInd w:w="1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530"/>
        <w:gridCol w:w="1406"/>
        <w:gridCol w:w="1384"/>
        <w:gridCol w:w="1800"/>
      </w:tblGrid>
      <w:tr w:rsidR="00FB66EA" w:rsidRPr="00FB66EA" w:rsidTr="00731A26">
        <w:tc>
          <w:tcPr>
            <w:tcW w:w="1710" w:type="dxa"/>
            <w:shd w:val="clear" w:color="auto" w:fill="auto"/>
          </w:tcPr>
          <w:p w:rsidR="00FB66EA" w:rsidRPr="00FB66EA" w:rsidRDefault="00FB66EA" w:rsidP="00BE088A">
            <w:pPr>
              <w:tabs>
                <w:tab w:val="left" w:pos="0"/>
              </w:tabs>
              <w:autoSpaceDE w:val="0"/>
              <w:snapToGrid w:val="0"/>
              <w:spacing w:line="240" w:lineRule="atLeast"/>
              <w:rPr>
                <w:rFonts w:ascii="Times New Roman" w:hAnsi="Times New Roman"/>
                <w:b/>
              </w:rPr>
            </w:pPr>
            <w:r w:rsidRPr="00FB66EA">
              <w:rPr>
                <w:rFonts w:ascii="Times New Roman" w:hAnsi="Times New Roman"/>
                <w:b/>
                <w:bCs/>
                <w:iCs/>
              </w:rPr>
              <w:t>Modality of Completion</w:t>
            </w:r>
          </w:p>
        </w:tc>
        <w:tc>
          <w:tcPr>
            <w:tcW w:w="1530" w:type="dxa"/>
            <w:shd w:val="clear" w:color="auto" w:fill="auto"/>
          </w:tcPr>
          <w:p w:rsidR="00FB66EA" w:rsidRPr="00FB66EA" w:rsidRDefault="00FB66EA" w:rsidP="00BE088A">
            <w:pPr>
              <w:tabs>
                <w:tab w:val="left" w:pos="0"/>
              </w:tabs>
              <w:autoSpaceDE w:val="0"/>
              <w:snapToGrid w:val="0"/>
              <w:spacing w:line="240" w:lineRule="atLeast"/>
              <w:rPr>
                <w:rFonts w:ascii="Times New Roman" w:hAnsi="Times New Roman"/>
                <w:b/>
              </w:rPr>
            </w:pPr>
            <w:r w:rsidRPr="00FB66EA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406" w:type="dxa"/>
            <w:shd w:val="clear" w:color="auto" w:fill="auto"/>
          </w:tcPr>
          <w:p w:rsidR="00FB66EA" w:rsidRPr="00FB66EA" w:rsidRDefault="00FB66EA" w:rsidP="00BE088A">
            <w:pPr>
              <w:tabs>
                <w:tab w:val="left" w:pos="0"/>
              </w:tabs>
              <w:autoSpaceDE w:val="0"/>
              <w:snapToGrid w:val="0"/>
              <w:spacing w:line="240" w:lineRule="atLeast"/>
              <w:rPr>
                <w:rFonts w:ascii="Times New Roman" w:hAnsi="Times New Roman"/>
                <w:b/>
              </w:rPr>
            </w:pPr>
            <w:r w:rsidRPr="00FB66EA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384" w:type="dxa"/>
            <w:shd w:val="clear" w:color="auto" w:fill="auto"/>
          </w:tcPr>
          <w:p w:rsidR="00FB66EA" w:rsidRPr="00FB66EA" w:rsidRDefault="00FB66EA" w:rsidP="00BE088A">
            <w:pPr>
              <w:tabs>
                <w:tab w:val="left" w:pos="0"/>
              </w:tabs>
              <w:autoSpaceDE w:val="0"/>
              <w:snapToGrid w:val="0"/>
              <w:rPr>
                <w:rFonts w:ascii="Times New Roman" w:hAnsi="Times New Roman"/>
                <w:b/>
              </w:rPr>
            </w:pPr>
            <w:r w:rsidRPr="00FB66EA">
              <w:rPr>
                <w:rFonts w:ascii="Times New Roman" w:hAnsi="Times New Roman"/>
                <w:b/>
              </w:rPr>
              <w:t>Average Burden Per Response (minute)</w:t>
            </w:r>
          </w:p>
        </w:tc>
        <w:tc>
          <w:tcPr>
            <w:tcW w:w="1800" w:type="dxa"/>
            <w:shd w:val="clear" w:color="auto" w:fill="auto"/>
          </w:tcPr>
          <w:p w:rsidR="00FB66EA" w:rsidRPr="00FB66EA" w:rsidRDefault="00FB66EA" w:rsidP="00BE088A">
            <w:pPr>
              <w:tabs>
                <w:tab w:val="left" w:pos="0"/>
              </w:tabs>
              <w:autoSpaceDE w:val="0"/>
              <w:snapToGrid w:val="0"/>
              <w:spacing w:line="240" w:lineRule="atLeast"/>
              <w:rPr>
                <w:rFonts w:ascii="Times New Roman" w:hAnsi="Times New Roman"/>
                <w:b/>
              </w:rPr>
            </w:pPr>
            <w:r w:rsidRPr="00FB66EA">
              <w:rPr>
                <w:rFonts w:ascii="Times New Roman" w:hAnsi="Times New Roman"/>
                <w:b/>
              </w:rPr>
              <w:t>Estimated Annual Burden (hours)</w:t>
            </w:r>
          </w:p>
        </w:tc>
      </w:tr>
      <w:tr w:rsidR="00FB66EA" w:rsidRPr="00FB66EA" w:rsidTr="00731A26">
        <w:trPr>
          <w:trHeight w:val="422"/>
        </w:trPr>
        <w:tc>
          <w:tcPr>
            <w:tcW w:w="1710" w:type="dxa"/>
            <w:shd w:val="clear" w:color="auto" w:fill="auto"/>
          </w:tcPr>
          <w:p w:rsidR="00FB66EA" w:rsidRPr="00FB66EA" w:rsidRDefault="00FB66EA" w:rsidP="00EC391A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404.999(d) &amp; 416.1499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B66EA" w:rsidRPr="00FB66EA" w:rsidRDefault="00FB66EA" w:rsidP="00EC391A">
            <w:pPr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B66EA" w:rsidRPr="00FB66EA" w:rsidRDefault="00FB66EA" w:rsidP="00EC391A">
            <w:pPr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B66EA" w:rsidRPr="00FB66EA" w:rsidRDefault="00FB66EA" w:rsidP="00EC391A">
            <w:pPr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B66EA" w:rsidRPr="00FB66EA" w:rsidRDefault="00FB66EA" w:rsidP="00EC391A">
            <w:pPr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10,000</w:t>
            </w:r>
          </w:p>
        </w:tc>
      </w:tr>
    </w:tbl>
    <w:p w:rsidR="00FB66EA" w:rsidRPr="00FB66EA" w:rsidRDefault="00FB66EA" w:rsidP="00EC391A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</w:rPr>
      </w:pPr>
    </w:p>
    <w:p w:rsidR="00FB66EA" w:rsidRPr="00FB66EA" w:rsidRDefault="00FB66EA" w:rsidP="00731A26">
      <w:pPr>
        <w:pStyle w:val="ListParagraph"/>
        <w:tabs>
          <w:tab w:val="left" w:pos="1440"/>
        </w:tabs>
        <w:ind w:left="1440"/>
        <w:rPr>
          <w:rFonts w:ascii="Times New Roman" w:hAnsi="Times New Roman"/>
        </w:rPr>
      </w:pPr>
      <w:r w:rsidRPr="00FB66EA">
        <w:rPr>
          <w:rFonts w:ascii="Times New Roman" w:hAnsi="Times New Roman"/>
        </w:rPr>
        <w:t xml:space="preserve">The total burden for this ICR is </w:t>
      </w:r>
      <w:r w:rsidR="00EC391A">
        <w:rPr>
          <w:rFonts w:ascii="Times New Roman" w:hAnsi="Times New Roman"/>
        </w:rPr>
        <w:t>10,000.</w:t>
      </w:r>
      <w:r w:rsidRPr="00FB66EA">
        <w:rPr>
          <w:rFonts w:ascii="Times New Roman" w:hAnsi="Times New Roman"/>
        </w:rPr>
        <w:t xml:space="preserve">  This figure represents burden hours, </w:t>
      </w:r>
      <w:r w:rsidR="00EC391A" w:rsidRPr="00FB66EA">
        <w:rPr>
          <w:rFonts w:ascii="Times New Roman" w:hAnsi="Times New Roman"/>
        </w:rPr>
        <w:t xml:space="preserve">and </w:t>
      </w:r>
      <w:r w:rsidR="00EC391A" w:rsidRPr="00EC391A">
        <w:rPr>
          <w:rFonts w:ascii="Times New Roman" w:hAnsi="Times New Roman"/>
        </w:rPr>
        <w:t>we</w:t>
      </w:r>
      <w:r w:rsidRPr="00EC391A">
        <w:rPr>
          <w:rFonts w:ascii="Times New Roman" w:hAnsi="Times New Roman"/>
        </w:rPr>
        <w:t xml:space="preserve"> </w:t>
      </w:r>
      <w:r w:rsidR="00EC391A" w:rsidRPr="00EC391A">
        <w:rPr>
          <w:rFonts w:ascii="Times New Roman" w:hAnsi="Times New Roman"/>
        </w:rPr>
        <w:t>d</w:t>
      </w:r>
      <w:r w:rsidRPr="00FB66EA">
        <w:rPr>
          <w:rFonts w:ascii="Times New Roman" w:hAnsi="Times New Roman"/>
        </w:rPr>
        <w:t>id not calculate a separate cost burden.</w:t>
      </w:r>
    </w:p>
    <w:p w:rsidR="00FB66EA" w:rsidRPr="00FB66EA" w:rsidRDefault="00FB66EA" w:rsidP="00A55EBE">
      <w:pPr>
        <w:tabs>
          <w:tab w:val="left" w:pos="-720"/>
          <w:tab w:val="left" w:pos="0"/>
        </w:tabs>
        <w:suppressAutoHyphens/>
        <w:spacing w:line="240" w:lineRule="atLeast"/>
        <w:ind w:left="720"/>
        <w:rPr>
          <w:rFonts w:ascii="Times New Roman" w:hAnsi="Times New Roman"/>
        </w:rPr>
      </w:pPr>
    </w:p>
    <w:p w:rsidR="00121032" w:rsidRPr="00E0737C" w:rsidRDefault="00A45D82" w:rsidP="00731A26">
      <w:pPr>
        <w:tabs>
          <w:tab w:val="num" w:pos="1440"/>
        </w:tabs>
        <w:ind w:left="1440" w:hanging="720"/>
        <w:rPr>
          <w:rFonts w:ascii="Times New Roman" w:hAnsi="Times New Roman"/>
          <w:b/>
          <w:u w:val="single"/>
        </w:rPr>
      </w:pPr>
      <w:r w:rsidRPr="00E0737C">
        <w:rPr>
          <w:rFonts w:ascii="Times New Roman" w:hAnsi="Times New Roman"/>
          <w:b/>
        </w:rPr>
        <w:t>13.</w:t>
      </w:r>
      <w:r w:rsidRPr="00E0737C">
        <w:rPr>
          <w:rFonts w:ascii="Times New Roman" w:hAnsi="Times New Roman"/>
        </w:rPr>
        <w:t xml:space="preserve"> </w:t>
      </w:r>
      <w:r w:rsidRPr="00E0737C">
        <w:rPr>
          <w:rFonts w:ascii="Times New Roman" w:hAnsi="Times New Roman"/>
        </w:rPr>
        <w:tab/>
      </w:r>
      <w:r w:rsidRPr="00E0737C">
        <w:rPr>
          <w:rFonts w:ascii="Times New Roman" w:hAnsi="Times New Roman"/>
          <w:b/>
        </w:rPr>
        <w:t>Annual</w:t>
      </w:r>
      <w:r w:rsidRPr="00E0737C">
        <w:rPr>
          <w:rFonts w:ascii="Times New Roman" w:hAnsi="Times New Roman"/>
        </w:rPr>
        <w:t xml:space="preserve"> </w:t>
      </w:r>
      <w:r w:rsidRPr="00E0737C">
        <w:rPr>
          <w:rFonts w:ascii="Times New Roman" w:hAnsi="Times New Roman"/>
          <w:b/>
        </w:rPr>
        <w:t>Cost to the Respondents (Other)</w:t>
      </w:r>
      <w:r w:rsidRPr="00E0737C">
        <w:rPr>
          <w:rFonts w:ascii="Times New Roman" w:hAnsi="Times New Roman"/>
        </w:rPr>
        <w:t xml:space="preserve"> </w:t>
      </w:r>
    </w:p>
    <w:p w:rsidR="00A45D82" w:rsidRPr="00E0737C" w:rsidRDefault="00121032" w:rsidP="00731A26">
      <w:pPr>
        <w:tabs>
          <w:tab w:val="left" w:pos="1440"/>
        </w:tabs>
        <w:ind w:left="1440"/>
        <w:rPr>
          <w:rFonts w:ascii="Times New Roman" w:hAnsi="Times New Roman"/>
        </w:rPr>
      </w:pPr>
      <w:r w:rsidRPr="00E0737C">
        <w:rPr>
          <w:rFonts w:ascii="Times New Roman" w:hAnsi="Times New Roman"/>
        </w:rPr>
        <w:t xml:space="preserve">This collection does not impose a known cost burden to the respondents. </w:t>
      </w:r>
      <w:r w:rsidR="00A45D82" w:rsidRPr="00E0737C">
        <w:rPr>
          <w:rFonts w:ascii="Times New Roman" w:hAnsi="Times New Roman"/>
        </w:rPr>
        <w:t xml:space="preserve">  </w:t>
      </w:r>
    </w:p>
    <w:p w:rsidR="00A45D82" w:rsidRPr="00E0737C" w:rsidRDefault="00A45D82" w:rsidP="00A45D82">
      <w:pPr>
        <w:rPr>
          <w:rFonts w:ascii="Times New Roman" w:hAnsi="Times New Roman"/>
        </w:rPr>
      </w:pPr>
    </w:p>
    <w:p w:rsidR="00121032" w:rsidRPr="00E0737C" w:rsidRDefault="00A45D82" w:rsidP="00731A26">
      <w:pPr>
        <w:numPr>
          <w:ilvl w:val="0"/>
          <w:numId w:val="27"/>
        </w:numPr>
        <w:tabs>
          <w:tab w:val="clear" w:pos="360"/>
          <w:tab w:val="num" w:pos="1440"/>
        </w:tabs>
        <w:ind w:left="1440" w:hanging="720"/>
        <w:rPr>
          <w:rFonts w:ascii="Times New Roman" w:hAnsi="Times New Roman"/>
        </w:rPr>
      </w:pPr>
      <w:r w:rsidRPr="00E0737C">
        <w:rPr>
          <w:rFonts w:ascii="Times New Roman" w:hAnsi="Times New Roman"/>
          <w:b/>
        </w:rPr>
        <w:t>Annual Cost To Federal Government</w:t>
      </w:r>
    </w:p>
    <w:p w:rsidR="00936190" w:rsidRDefault="00936190" w:rsidP="00731A26">
      <w:pPr>
        <w:tabs>
          <w:tab w:val="left" w:pos="-720"/>
          <w:tab w:val="left" w:pos="0"/>
          <w:tab w:val="left" w:pos="1440"/>
        </w:tabs>
        <w:suppressAutoHyphens/>
        <w:spacing w:line="240" w:lineRule="atLeast"/>
        <w:ind w:left="1440"/>
        <w:rPr>
          <w:rFonts w:ascii="Times New Roman" w:hAnsi="Times New Roman"/>
        </w:rPr>
      </w:pPr>
      <w:r w:rsidRPr="00E0737C">
        <w:rPr>
          <w:rFonts w:ascii="Times New Roman" w:hAnsi="Times New Roman"/>
        </w:rPr>
        <w:t xml:space="preserve">The annual cost to the Federal Government </w:t>
      </w:r>
      <w:r w:rsidR="002A07F7" w:rsidRPr="00E0737C">
        <w:rPr>
          <w:rFonts w:ascii="Times New Roman" w:hAnsi="Times New Roman"/>
        </w:rPr>
        <w:t>is approximately $3</w:t>
      </w:r>
      <w:r w:rsidR="001A55B9" w:rsidRPr="00E0737C">
        <w:rPr>
          <w:rFonts w:ascii="Times New Roman" w:hAnsi="Times New Roman"/>
        </w:rPr>
        <w:t>6</w:t>
      </w:r>
      <w:r w:rsidR="002A07F7" w:rsidRPr="00E0737C">
        <w:rPr>
          <w:rFonts w:ascii="Times New Roman" w:hAnsi="Times New Roman"/>
        </w:rPr>
        <w:t>2,</w:t>
      </w:r>
      <w:r w:rsidR="001A55B9" w:rsidRPr="00E0737C">
        <w:rPr>
          <w:rFonts w:ascii="Times New Roman" w:hAnsi="Times New Roman"/>
        </w:rPr>
        <w:t>4</w:t>
      </w:r>
      <w:r w:rsidR="002A07F7" w:rsidRPr="00E0737C">
        <w:rPr>
          <w:rFonts w:ascii="Times New Roman" w:hAnsi="Times New Roman"/>
        </w:rPr>
        <w:t xml:space="preserve">00.  </w:t>
      </w:r>
      <w:r w:rsidR="00EC391A">
        <w:rPr>
          <w:rFonts w:ascii="Times New Roman" w:hAnsi="Times New Roman"/>
        </w:rPr>
        <w:t>This estimate is a projection of the cost for collectin</w:t>
      </w:r>
      <w:r w:rsidR="002A07F7" w:rsidRPr="00E0737C">
        <w:rPr>
          <w:rFonts w:ascii="Times New Roman" w:hAnsi="Times New Roman"/>
        </w:rPr>
        <w:t>g and processing the information.</w:t>
      </w:r>
    </w:p>
    <w:p w:rsidR="00EC391A" w:rsidRPr="00E0737C" w:rsidRDefault="00EC391A" w:rsidP="00B87AF8">
      <w:pPr>
        <w:tabs>
          <w:tab w:val="left" w:pos="-720"/>
          <w:tab w:val="left" w:pos="0"/>
        </w:tabs>
        <w:suppressAutoHyphens/>
        <w:spacing w:line="240" w:lineRule="atLeast"/>
        <w:ind w:left="720"/>
        <w:rPr>
          <w:rFonts w:ascii="Times New Roman" w:hAnsi="Times New Roman"/>
        </w:rPr>
      </w:pPr>
    </w:p>
    <w:p w:rsidR="00063A05" w:rsidRPr="00E0737C" w:rsidRDefault="00A45D82" w:rsidP="00731A26">
      <w:pPr>
        <w:tabs>
          <w:tab w:val="num" w:pos="1440"/>
        </w:tabs>
        <w:ind w:left="1440" w:hanging="720"/>
        <w:rPr>
          <w:rFonts w:ascii="Times New Roman" w:hAnsi="Times New Roman"/>
          <w:b/>
        </w:rPr>
      </w:pPr>
      <w:r w:rsidRPr="00E0737C">
        <w:rPr>
          <w:rFonts w:ascii="Times New Roman" w:hAnsi="Times New Roman"/>
          <w:b/>
        </w:rPr>
        <w:t>15.</w:t>
      </w:r>
      <w:r w:rsidRPr="00E0737C">
        <w:rPr>
          <w:rFonts w:ascii="Times New Roman" w:hAnsi="Times New Roman"/>
        </w:rPr>
        <w:tab/>
      </w:r>
      <w:r w:rsidRPr="00E0737C">
        <w:rPr>
          <w:rFonts w:ascii="Times New Roman" w:hAnsi="Times New Roman"/>
          <w:b/>
        </w:rPr>
        <w:t xml:space="preserve">Program Changes or Adjustments to the Information Collection </w:t>
      </w:r>
      <w:r w:rsidR="00063A05" w:rsidRPr="00E0737C">
        <w:rPr>
          <w:rFonts w:ascii="Times New Roman" w:hAnsi="Times New Roman"/>
          <w:b/>
        </w:rPr>
        <w:t>Request</w:t>
      </w:r>
      <w:r w:rsidR="00063A05" w:rsidRPr="00E0737C">
        <w:rPr>
          <w:rFonts w:ascii="Times New Roman" w:hAnsi="Times New Roman"/>
        </w:rPr>
        <w:tab/>
      </w:r>
    </w:p>
    <w:p w:rsidR="00A45D82" w:rsidRDefault="009D7ADB" w:rsidP="00731A26">
      <w:pPr>
        <w:tabs>
          <w:tab w:val="left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has been </w:t>
      </w:r>
      <w:r w:rsidR="004C2165">
        <w:rPr>
          <w:rFonts w:ascii="Times New Roman" w:hAnsi="Times New Roman"/>
        </w:rPr>
        <w:t>no change</w:t>
      </w:r>
      <w:r>
        <w:rPr>
          <w:rFonts w:ascii="Times New Roman" w:hAnsi="Times New Roman"/>
        </w:rPr>
        <w:t xml:space="preserve"> in burden</w:t>
      </w:r>
      <w:r w:rsidR="003E4E43">
        <w:rPr>
          <w:rFonts w:ascii="Times New Roman" w:hAnsi="Times New Roman"/>
        </w:rPr>
        <w:t xml:space="preserve"> hours.</w:t>
      </w:r>
    </w:p>
    <w:p w:rsidR="00936190" w:rsidRPr="00E0737C" w:rsidRDefault="00936190" w:rsidP="00A45D82">
      <w:pPr>
        <w:rPr>
          <w:rFonts w:ascii="Times New Roman" w:hAnsi="Times New Roman"/>
        </w:rPr>
      </w:pPr>
    </w:p>
    <w:p w:rsidR="00063A05" w:rsidRPr="00E0737C" w:rsidRDefault="00A45D82" w:rsidP="00731A26">
      <w:pPr>
        <w:tabs>
          <w:tab w:val="num" w:pos="1440"/>
        </w:tabs>
        <w:ind w:left="1440" w:hanging="720"/>
        <w:rPr>
          <w:rFonts w:ascii="Times New Roman" w:hAnsi="Times New Roman"/>
        </w:rPr>
      </w:pPr>
      <w:r w:rsidRPr="00E0737C">
        <w:rPr>
          <w:rFonts w:ascii="Times New Roman" w:hAnsi="Times New Roman"/>
          <w:b/>
        </w:rPr>
        <w:t>16.</w:t>
      </w:r>
      <w:r w:rsidRPr="00E0737C">
        <w:rPr>
          <w:rFonts w:ascii="Times New Roman" w:hAnsi="Times New Roman"/>
        </w:rPr>
        <w:t xml:space="preserve">  </w:t>
      </w:r>
      <w:r w:rsidRPr="00E0737C">
        <w:rPr>
          <w:rFonts w:ascii="Times New Roman" w:hAnsi="Times New Roman"/>
        </w:rPr>
        <w:tab/>
      </w:r>
      <w:r w:rsidRPr="00E0737C">
        <w:rPr>
          <w:rFonts w:ascii="Times New Roman" w:hAnsi="Times New Roman"/>
          <w:b/>
        </w:rPr>
        <w:t>Plans for Publication Information Collection</w:t>
      </w:r>
      <w:r w:rsidR="003B30B4" w:rsidRPr="00E0737C">
        <w:rPr>
          <w:rFonts w:ascii="Times New Roman" w:hAnsi="Times New Roman"/>
          <w:b/>
        </w:rPr>
        <w:t xml:space="preserve"> Results</w:t>
      </w:r>
    </w:p>
    <w:p w:rsidR="00A45D82" w:rsidRPr="00DB2EF9" w:rsidRDefault="003B30B4" w:rsidP="00DB2EF9">
      <w:pPr>
        <w:pStyle w:val="NoSpacing"/>
        <w:ind w:left="1440"/>
        <w:rPr>
          <w:snapToGrid w:val="0"/>
          <w:lang w:bidi="ar-SA"/>
        </w:rPr>
      </w:pPr>
      <w:r w:rsidRPr="00E0737C">
        <w:rPr>
          <w:snapToGrid w:val="0"/>
          <w:lang w:bidi="ar-SA"/>
        </w:rPr>
        <w:t>SSA will not publish the results of the information collection.</w:t>
      </w:r>
    </w:p>
    <w:p w:rsidR="003B30B4" w:rsidRPr="00E0737C" w:rsidRDefault="00A45D82" w:rsidP="00731A26">
      <w:pPr>
        <w:tabs>
          <w:tab w:val="num" w:pos="1440"/>
        </w:tabs>
        <w:ind w:left="1440" w:hanging="720"/>
        <w:rPr>
          <w:rFonts w:ascii="Times New Roman" w:hAnsi="Times New Roman"/>
        </w:rPr>
      </w:pPr>
      <w:r w:rsidRPr="00E0737C">
        <w:rPr>
          <w:rFonts w:ascii="Times New Roman" w:hAnsi="Times New Roman"/>
          <w:b/>
        </w:rPr>
        <w:lastRenderedPageBreak/>
        <w:t>17.</w:t>
      </w:r>
      <w:r w:rsidRPr="00E0737C">
        <w:rPr>
          <w:rFonts w:ascii="Times New Roman" w:hAnsi="Times New Roman"/>
        </w:rPr>
        <w:tab/>
      </w:r>
      <w:r w:rsidR="003B30B4" w:rsidRPr="00E0737C">
        <w:rPr>
          <w:rFonts w:ascii="Times New Roman" w:hAnsi="Times New Roman"/>
          <w:b/>
        </w:rPr>
        <w:t>Displaying the OMB Approval Expiration Date</w:t>
      </w:r>
    </w:p>
    <w:p w:rsidR="00936190" w:rsidRPr="00E0737C" w:rsidRDefault="00936190" w:rsidP="00731A26">
      <w:pPr>
        <w:tabs>
          <w:tab w:val="left" w:pos="-720"/>
          <w:tab w:val="left" w:pos="0"/>
        </w:tabs>
        <w:suppressAutoHyphens/>
        <w:spacing w:line="240" w:lineRule="atLeast"/>
        <w:ind w:left="1440"/>
        <w:rPr>
          <w:rFonts w:ascii="Times New Roman" w:hAnsi="Times New Roman"/>
        </w:rPr>
      </w:pPr>
      <w:r w:rsidRPr="00E0737C">
        <w:rPr>
          <w:rFonts w:ascii="Times New Roman" w:hAnsi="Times New Roman"/>
        </w:rPr>
        <w:t xml:space="preserve">SSA is not requesting an </w:t>
      </w:r>
      <w:r w:rsidR="00C51417">
        <w:rPr>
          <w:rFonts w:ascii="Times New Roman" w:hAnsi="Times New Roman"/>
        </w:rPr>
        <w:t>exception to the requirements t</w:t>
      </w:r>
      <w:r w:rsidRPr="00E0737C">
        <w:rPr>
          <w:rFonts w:ascii="Times New Roman" w:hAnsi="Times New Roman"/>
        </w:rPr>
        <w:t>o display the</w:t>
      </w:r>
      <w:r w:rsidR="00C51417">
        <w:rPr>
          <w:rFonts w:ascii="Times New Roman" w:hAnsi="Times New Roman"/>
        </w:rPr>
        <w:t xml:space="preserve"> OMB approval expiration date.</w:t>
      </w:r>
    </w:p>
    <w:p w:rsidR="003B30B4" w:rsidRPr="00E0737C" w:rsidRDefault="003B30B4" w:rsidP="003B30B4">
      <w:pPr>
        <w:pStyle w:val="NoSpacing"/>
        <w:rPr>
          <w:b/>
          <w:bCs/>
          <w:iCs/>
          <w:u w:val="single"/>
        </w:rPr>
      </w:pPr>
    </w:p>
    <w:p w:rsidR="003B30B4" w:rsidRPr="00E0737C" w:rsidRDefault="00A45D82" w:rsidP="00731A26">
      <w:pPr>
        <w:numPr>
          <w:ilvl w:val="0"/>
          <w:numId w:val="43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b/>
        </w:rPr>
      </w:pPr>
      <w:r w:rsidRPr="00E0737C">
        <w:rPr>
          <w:rFonts w:ascii="Times New Roman" w:hAnsi="Times New Roman"/>
          <w:b/>
        </w:rPr>
        <w:t>Exceptions to Certification Statement</w:t>
      </w:r>
    </w:p>
    <w:p w:rsidR="00451E50" w:rsidRPr="00E0737C" w:rsidRDefault="00936190" w:rsidP="00731A26">
      <w:pPr>
        <w:ind w:left="1440"/>
        <w:rPr>
          <w:rFonts w:ascii="Times New Roman" w:hAnsi="Times New Roman"/>
        </w:rPr>
      </w:pPr>
      <w:r w:rsidRPr="00E0737C">
        <w:rPr>
          <w:rFonts w:ascii="Times New Roman" w:hAnsi="Times New Roman"/>
        </w:rPr>
        <w:t xml:space="preserve">SSA is not requesting an exception to the certification requirements at </w:t>
      </w:r>
      <w:r w:rsidRPr="006B2C24">
        <w:rPr>
          <w:rFonts w:ascii="Times New Roman" w:hAnsi="Times New Roman"/>
          <w:i/>
        </w:rPr>
        <w:t>5 CFR 1320.9</w:t>
      </w:r>
      <w:r w:rsidRPr="00E0737C">
        <w:rPr>
          <w:rFonts w:ascii="Times New Roman" w:hAnsi="Times New Roman"/>
        </w:rPr>
        <w:t xml:space="preserve"> and related provisions at </w:t>
      </w:r>
      <w:r w:rsidRPr="006B2C24">
        <w:rPr>
          <w:rFonts w:ascii="Times New Roman" w:hAnsi="Times New Roman"/>
          <w:i/>
        </w:rPr>
        <w:t>5 CFR 1320.8(b)(3)</w:t>
      </w:r>
      <w:r w:rsidRPr="00E0737C">
        <w:rPr>
          <w:rFonts w:ascii="Times New Roman" w:hAnsi="Times New Roman"/>
        </w:rPr>
        <w:t>.</w:t>
      </w:r>
    </w:p>
    <w:p w:rsidR="00451E50" w:rsidRPr="00E0737C" w:rsidRDefault="00451E50" w:rsidP="00451E50">
      <w:pPr>
        <w:rPr>
          <w:rFonts w:ascii="Times New Roman" w:hAnsi="Times New Roman"/>
        </w:rPr>
      </w:pPr>
      <w:bookmarkStart w:id="0" w:name="_GoBack"/>
      <w:bookmarkEnd w:id="0"/>
    </w:p>
    <w:p w:rsidR="0041131C" w:rsidRPr="00E0737C" w:rsidRDefault="00451E50" w:rsidP="00755820">
      <w:pPr>
        <w:ind w:left="720" w:hanging="540"/>
        <w:rPr>
          <w:rFonts w:ascii="Times New Roman" w:hAnsi="Times New Roman"/>
        </w:rPr>
      </w:pPr>
      <w:r w:rsidRPr="00E0737C">
        <w:rPr>
          <w:rFonts w:ascii="Times New Roman" w:hAnsi="Times New Roman"/>
          <w:b/>
        </w:rPr>
        <w:t>B.</w:t>
      </w:r>
      <w:r w:rsidRPr="00E0737C">
        <w:rPr>
          <w:rFonts w:ascii="Times New Roman" w:hAnsi="Times New Roman"/>
          <w:b/>
        </w:rPr>
        <w:tab/>
      </w:r>
      <w:r w:rsidR="00A45D82" w:rsidRPr="00E0737C">
        <w:rPr>
          <w:rFonts w:ascii="Times New Roman" w:hAnsi="Times New Roman"/>
          <w:b/>
          <w:u w:val="single"/>
        </w:rPr>
        <w:t>Collections of Information Employing Statistical Methods</w:t>
      </w:r>
      <w:r w:rsidR="0041131C" w:rsidRPr="00E0737C">
        <w:rPr>
          <w:rFonts w:ascii="Times New Roman" w:hAnsi="Times New Roman"/>
        </w:rPr>
        <w:tab/>
      </w:r>
    </w:p>
    <w:p w:rsidR="00451E50" w:rsidRPr="00E0737C" w:rsidRDefault="00451E50" w:rsidP="00451E50">
      <w:pPr>
        <w:rPr>
          <w:rFonts w:ascii="Times New Roman" w:hAnsi="Times New Roman"/>
          <w:b/>
        </w:rPr>
      </w:pPr>
    </w:p>
    <w:p w:rsidR="0041131C" w:rsidRPr="00E0737C" w:rsidRDefault="0041131C" w:rsidP="00755820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bCs w:val="0"/>
          <w:i w:val="0"/>
          <w:iCs w:val="0"/>
        </w:rPr>
      </w:pPr>
      <w:r w:rsidRPr="00E0737C">
        <w:rPr>
          <w:rFonts w:ascii="Times New Roman" w:hAnsi="Times New Roman"/>
          <w:b w:val="0"/>
          <w:bCs w:val="0"/>
          <w:i w:val="0"/>
          <w:iCs w:val="0"/>
        </w:rPr>
        <w:t xml:space="preserve">SSA does not use statistical methods </w:t>
      </w:r>
      <w:r w:rsidR="00086985">
        <w:rPr>
          <w:rFonts w:ascii="Times New Roman" w:hAnsi="Times New Roman"/>
          <w:b w:val="0"/>
          <w:bCs w:val="0"/>
          <w:i w:val="0"/>
          <w:iCs w:val="0"/>
        </w:rPr>
        <w:t>for this information collection.</w:t>
      </w:r>
      <w:r w:rsidRPr="00E0737C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</w:p>
    <w:sectPr w:rsidR="0041131C" w:rsidRPr="00E0737C" w:rsidSect="00731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073" w:rsidRDefault="00FE6073">
      <w:r>
        <w:separator/>
      </w:r>
    </w:p>
  </w:endnote>
  <w:endnote w:type="continuationSeparator" w:id="0">
    <w:p w:rsidR="00FE6073" w:rsidRDefault="00FE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073" w:rsidRDefault="00FE6073">
      <w:r>
        <w:separator/>
      </w:r>
    </w:p>
  </w:footnote>
  <w:footnote w:type="continuationSeparator" w:id="0">
    <w:p w:rsidR="00FE6073" w:rsidRDefault="00FE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B031CB"/>
    <w:multiLevelType w:val="hybridMultilevel"/>
    <w:tmpl w:val="ED6E308A"/>
    <w:lvl w:ilvl="0" w:tplc="3AFC5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8" w15:restartNumberingAfterBreak="0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45D34"/>
    <w:multiLevelType w:val="hybridMultilevel"/>
    <w:tmpl w:val="A0CC2F10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835C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B1E30"/>
    <w:multiLevelType w:val="hybridMultilevel"/>
    <w:tmpl w:val="929E5D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9C3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FF90D5F"/>
    <w:multiLevelType w:val="singleLevel"/>
    <w:tmpl w:val="8B14E9A0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8" w15:restartNumberingAfterBreak="0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350B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1837325"/>
    <w:multiLevelType w:val="hybridMultilevel"/>
    <w:tmpl w:val="63F6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F06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DB132C"/>
    <w:multiLevelType w:val="hybridMultilevel"/>
    <w:tmpl w:val="439E855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C785F9C"/>
    <w:multiLevelType w:val="hybridMultilevel"/>
    <w:tmpl w:val="3A08A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1" w15:restartNumberingAfterBreak="0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82F9B"/>
    <w:multiLevelType w:val="singleLevel"/>
    <w:tmpl w:val="16A4E0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3" w15:restartNumberingAfterBreak="0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CE2404"/>
    <w:multiLevelType w:val="hybridMultilevel"/>
    <w:tmpl w:val="EDA45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D3D3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35608D6"/>
    <w:multiLevelType w:val="hybridMultilevel"/>
    <w:tmpl w:val="50182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D780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2" w15:restartNumberingAfterBreak="0">
    <w:nsid w:val="75F91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E50D95"/>
    <w:multiLevelType w:val="hybridMultilevel"/>
    <w:tmpl w:val="9BD6E22C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6" w15:restartNumberingAfterBreak="0">
    <w:nsid w:val="7A9B5E7D"/>
    <w:multiLevelType w:val="singleLevel"/>
    <w:tmpl w:val="2C2866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</w:abstractNum>
  <w:abstractNum w:abstractNumId="47" w15:restartNumberingAfterBreak="0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3"/>
  </w:num>
  <w:num w:numId="4">
    <w:abstractNumId w:val="19"/>
  </w:num>
  <w:num w:numId="5">
    <w:abstractNumId w:val="42"/>
  </w:num>
  <w:num w:numId="6">
    <w:abstractNumId w:val="8"/>
  </w:num>
  <w:num w:numId="7">
    <w:abstractNumId w:val="28"/>
  </w:num>
  <w:num w:numId="8">
    <w:abstractNumId w:val="34"/>
  </w:num>
  <w:num w:numId="9">
    <w:abstractNumId w:val="40"/>
  </w:num>
  <w:num w:numId="10">
    <w:abstractNumId w:val="4"/>
  </w:num>
  <w:num w:numId="11">
    <w:abstractNumId w:val="2"/>
  </w:num>
  <w:num w:numId="12">
    <w:abstractNumId w:val="16"/>
  </w:num>
  <w:num w:numId="13">
    <w:abstractNumId w:val="20"/>
  </w:num>
  <w:num w:numId="14">
    <w:abstractNumId w:val="46"/>
  </w:num>
  <w:num w:numId="15">
    <w:abstractNumId w:val="11"/>
  </w:num>
  <w:num w:numId="16">
    <w:abstractNumId w:val="14"/>
  </w:num>
  <w:num w:numId="17">
    <w:abstractNumId w:val="32"/>
  </w:num>
  <w:num w:numId="18">
    <w:abstractNumId w:val="7"/>
  </w:num>
  <w:num w:numId="19">
    <w:abstractNumId w:val="6"/>
  </w:num>
  <w:num w:numId="20">
    <w:abstractNumId w:val="45"/>
  </w:num>
  <w:num w:numId="21">
    <w:abstractNumId w:val="17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39"/>
  </w:num>
  <w:num w:numId="24">
    <w:abstractNumId w:val="37"/>
  </w:num>
  <w:num w:numId="25">
    <w:abstractNumId w:val="23"/>
  </w:num>
  <w:num w:numId="26">
    <w:abstractNumId w:val="21"/>
  </w:num>
  <w:num w:numId="27">
    <w:abstractNumId w:val="41"/>
  </w:num>
  <w:num w:numId="28">
    <w:abstractNumId w:val="30"/>
  </w:num>
  <w:num w:numId="29">
    <w:abstractNumId w:val="27"/>
  </w:num>
  <w:num w:numId="30">
    <w:abstractNumId w:val="38"/>
  </w:num>
  <w:num w:numId="31">
    <w:abstractNumId w:val="36"/>
  </w:num>
  <w:num w:numId="32">
    <w:abstractNumId w:val="13"/>
  </w:num>
  <w:num w:numId="33">
    <w:abstractNumId w:val="25"/>
  </w:num>
  <w:num w:numId="34">
    <w:abstractNumId w:val="33"/>
  </w:num>
  <w:num w:numId="35">
    <w:abstractNumId w:val="47"/>
  </w:num>
  <w:num w:numId="36">
    <w:abstractNumId w:val="43"/>
  </w:num>
  <w:num w:numId="37">
    <w:abstractNumId w:val="18"/>
  </w:num>
  <w:num w:numId="38">
    <w:abstractNumId w:val="35"/>
  </w:num>
  <w:num w:numId="39">
    <w:abstractNumId w:val="10"/>
  </w:num>
  <w:num w:numId="40">
    <w:abstractNumId w:val="29"/>
  </w:num>
  <w:num w:numId="41">
    <w:abstractNumId w:val="22"/>
  </w:num>
  <w:num w:numId="42">
    <w:abstractNumId w:val="9"/>
  </w:num>
  <w:num w:numId="43">
    <w:abstractNumId w:val="1"/>
  </w:num>
  <w:num w:numId="44">
    <w:abstractNumId w:val="12"/>
  </w:num>
  <w:num w:numId="45">
    <w:abstractNumId w:val="44"/>
  </w:num>
  <w:num w:numId="46">
    <w:abstractNumId w:val="24"/>
  </w:num>
  <w:num w:numId="47">
    <w:abstractNumId w:val="31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82"/>
    <w:rsid w:val="000222A7"/>
    <w:rsid w:val="00025216"/>
    <w:rsid w:val="0002677F"/>
    <w:rsid w:val="000332B0"/>
    <w:rsid w:val="00045C81"/>
    <w:rsid w:val="00063A05"/>
    <w:rsid w:val="0006715D"/>
    <w:rsid w:val="0007189E"/>
    <w:rsid w:val="0007638C"/>
    <w:rsid w:val="00077720"/>
    <w:rsid w:val="00077E0E"/>
    <w:rsid w:val="000825E7"/>
    <w:rsid w:val="00086985"/>
    <w:rsid w:val="00086E84"/>
    <w:rsid w:val="00092C29"/>
    <w:rsid w:val="000958AA"/>
    <w:rsid w:val="000A5742"/>
    <w:rsid w:val="000A6AE3"/>
    <w:rsid w:val="000B2B68"/>
    <w:rsid w:val="000B3B12"/>
    <w:rsid w:val="000C151C"/>
    <w:rsid w:val="000C1D18"/>
    <w:rsid w:val="000D5F5C"/>
    <w:rsid w:val="00121032"/>
    <w:rsid w:val="00122EE2"/>
    <w:rsid w:val="00127980"/>
    <w:rsid w:val="00144671"/>
    <w:rsid w:val="00146275"/>
    <w:rsid w:val="0015576E"/>
    <w:rsid w:val="00171608"/>
    <w:rsid w:val="00172168"/>
    <w:rsid w:val="001748E4"/>
    <w:rsid w:val="00185733"/>
    <w:rsid w:val="00192897"/>
    <w:rsid w:val="001A3317"/>
    <w:rsid w:val="001A544E"/>
    <w:rsid w:val="001A55B9"/>
    <w:rsid w:val="001B7CF4"/>
    <w:rsid w:val="001C6D3A"/>
    <w:rsid w:val="001E1076"/>
    <w:rsid w:val="001E6719"/>
    <w:rsid w:val="00206D68"/>
    <w:rsid w:val="0020700B"/>
    <w:rsid w:val="0022682D"/>
    <w:rsid w:val="002321B0"/>
    <w:rsid w:val="0026052B"/>
    <w:rsid w:val="00276AAF"/>
    <w:rsid w:val="00277796"/>
    <w:rsid w:val="002801F8"/>
    <w:rsid w:val="002A07F7"/>
    <w:rsid w:val="002A4C30"/>
    <w:rsid w:val="002A7056"/>
    <w:rsid w:val="002B0820"/>
    <w:rsid w:val="002B5578"/>
    <w:rsid w:val="002E18CF"/>
    <w:rsid w:val="002F1C11"/>
    <w:rsid w:val="00302545"/>
    <w:rsid w:val="00313B4C"/>
    <w:rsid w:val="00331821"/>
    <w:rsid w:val="00332826"/>
    <w:rsid w:val="00340BF1"/>
    <w:rsid w:val="003465DC"/>
    <w:rsid w:val="003469CA"/>
    <w:rsid w:val="003546A5"/>
    <w:rsid w:val="0036696D"/>
    <w:rsid w:val="0038050B"/>
    <w:rsid w:val="003B15EC"/>
    <w:rsid w:val="003B30B4"/>
    <w:rsid w:val="003C10BD"/>
    <w:rsid w:val="003E145C"/>
    <w:rsid w:val="003E4E43"/>
    <w:rsid w:val="003E6F6D"/>
    <w:rsid w:val="003F5E62"/>
    <w:rsid w:val="003F5E6E"/>
    <w:rsid w:val="004019AE"/>
    <w:rsid w:val="00405548"/>
    <w:rsid w:val="00407525"/>
    <w:rsid w:val="0041131C"/>
    <w:rsid w:val="00414CE0"/>
    <w:rsid w:val="00426425"/>
    <w:rsid w:val="00447EE9"/>
    <w:rsid w:val="0045065A"/>
    <w:rsid w:val="004509AD"/>
    <w:rsid w:val="00451E50"/>
    <w:rsid w:val="00475350"/>
    <w:rsid w:val="00481B44"/>
    <w:rsid w:val="00482CFB"/>
    <w:rsid w:val="00484662"/>
    <w:rsid w:val="004915B5"/>
    <w:rsid w:val="004C2165"/>
    <w:rsid w:val="004D664D"/>
    <w:rsid w:val="004D79A2"/>
    <w:rsid w:val="004E146D"/>
    <w:rsid w:val="0050197F"/>
    <w:rsid w:val="005040EC"/>
    <w:rsid w:val="00506486"/>
    <w:rsid w:val="00531A56"/>
    <w:rsid w:val="00536DFF"/>
    <w:rsid w:val="0056163C"/>
    <w:rsid w:val="00571C90"/>
    <w:rsid w:val="005721D4"/>
    <w:rsid w:val="00593A36"/>
    <w:rsid w:val="005A1198"/>
    <w:rsid w:val="005B15E5"/>
    <w:rsid w:val="005C2C39"/>
    <w:rsid w:val="005D4107"/>
    <w:rsid w:val="005E0DAA"/>
    <w:rsid w:val="005F208A"/>
    <w:rsid w:val="006002DD"/>
    <w:rsid w:val="006013A3"/>
    <w:rsid w:val="0060694D"/>
    <w:rsid w:val="006160ED"/>
    <w:rsid w:val="00616CEE"/>
    <w:rsid w:val="0062471F"/>
    <w:rsid w:val="00626C22"/>
    <w:rsid w:val="0063304D"/>
    <w:rsid w:val="00637AF5"/>
    <w:rsid w:val="00640A26"/>
    <w:rsid w:val="00663881"/>
    <w:rsid w:val="00664553"/>
    <w:rsid w:val="006806E1"/>
    <w:rsid w:val="00691C5F"/>
    <w:rsid w:val="00693BE1"/>
    <w:rsid w:val="0069667B"/>
    <w:rsid w:val="006A3F54"/>
    <w:rsid w:val="006B173F"/>
    <w:rsid w:val="006B17EF"/>
    <w:rsid w:val="006B297F"/>
    <w:rsid w:val="006B2C24"/>
    <w:rsid w:val="006E1650"/>
    <w:rsid w:val="006F4D0F"/>
    <w:rsid w:val="00712F1B"/>
    <w:rsid w:val="00722AA9"/>
    <w:rsid w:val="007245C9"/>
    <w:rsid w:val="007256B3"/>
    <w:rsid w:val="00731A26"/>
    <w:rsid w:val="00742B56"/>
    <w:rsid w:val="00745462"/>
    <w:rsid w:val="00755820"/>
    <w:rsid w:val="00795BAB"/>
    <w:rsid w:val="007A08D1"/>
    <w:rsid w:val="007A2DEE"/>
    <w:rsid w:val="007B007C"/>
    <w:rsid w:val="007D061D"/>
    <w:rsid w:val="007D22EB"/>
    <w:rsid w:val="007E17BD"/>
    <w:rsid w:val="00803831"/>
    <w:rsid w:val="00806984"/>
    <w:rsid w:val="00810485"/>
    <w:rsid w:val="00814772"/>
    <w:rsid w:val="00822BBE"/>
    <w:rsid w:val="00824D72"/>
    <w:rsid w:val="00825B97"/>
    <w:rsid w:val="0084775D"/>
    <w:rsid w:val="0086463A"/>
    <w:rsid w:val="00864D24"/>
    <w:rsid w:val="008754ED"/>
    <w:rsid w:val="00891CA8"/>
    <w:rsid w:val="00892E12"/>
    <w:rsid w:val="008B6774"/>
    <w:rsid w:val="008D158E"/>
    <w:rsid w:val="008E3A3A"/>
    <w:rsid w:val="00906892"/>
    <w:rsid w:val="009252AB"/>
    <w:rsid w:val="00936190"/>
    <w:rsid w:val="00942E91"/>
    <w:rsid w:val="00951258"/>
    <w:rsid w:val="00952C5B"/>
    <w:rsid w:val="00955EC4"/>
    <w:rsid w:val="00962573"/>
    <w:rsid w:val="00971657"/>
    <w:rsid w:val="009748B6"/>
    <w:rsid w:val="00975DD8"/>
    <w:rsid w:val="00990D9E"/>
    <w:rsid w:val="009A0B16"/>
    <w:rsid w:val="009A197D"/>
    <w:rsid w:val="009D6182"/>
    <w:rsid w:val="009D7ADB"/>
    <w:rsid w:val="009E0C7B"/>
    <w:rsid w:val="009E3C50"/>
    <w:rsid w:val="009F23D6"/>
    <w:rsid w:val="009F7BB3"/>
    <w:rsid w:val="00A32853"/>
    <w:rsid w:val="00A337E4"/>
    <w:rsid w:val="00A33C65"/>
    <w:rsid w:val="00A34222"/>
    <w:rsid w:val="00A44C56"/>
    <w:rsid w:val="00A45D82"/>
    <w:rsid w:val="00A55EBE"/>
    <w:rsid w:val="00A63787"/>
    <w:rsid w:val="00A651A7"/>
    <w:rsid w:val="00A67D76"/>
    <w:rsid w:val="00A919A4"/>
    <w:rsid w:val="00A96262"/>
    <w:rsid w:val="00AA06A4"/>
    <w:rsid w:val="00AA0858"/>
    <w:rsid w:val="00AA0C27"/>
    <w:rsid w:val="00AB0CA7"/>
    <w:rsid w:val="00AD0977"/>
    <w:rsid w:val="00AE0527"/>
    <w:rsid w:val="00B007C5"/>
    <w:rsid w:val="00B01D57"/>
    <w:rsid w:val="00B741F6"/>
    <w:rsid w:val="00B87AF8"/>
    <w:rsid w:val="00B92550"/>
    <w:rsid w:val="00BA1653"/>
    <w:rsid w:val="00BA401A"/>
    <w:rsid w:val="00BC5531"/>
    <w:rsid w:val="00BC7F42"/>
    <w:rsid w:val="00BE088A"/>
    <w:rsid w:val="00BE2D5E"/>
    <w:rsid w:val="00BF026F"/>
    <w:rsid w:val="00C0290B"/>
    <w:rsid w:val="00C22097"/>
    <w:rsid w:val="00C25FDC"/>
    <w:rsid w:val="00C34A91"/>
    <w:rsid w:val="00C377BC"/>
    <w:rsid w:val="00C5104E"/>
    <w:rsid w:val="00C51417"/>
    <w:rsid w:val="00C51E9F"/>
    <w:rsid w:val="00C5306B"/>
    <w:rsid w:val="00C60E61"/>
    <w:rsid w:val="00C67C8A"/>
    <w:rsid w:val="00C67F83"/>
    <w:rsid w:val="00C941E2"/>
    <w:rsid w:val="00CA0B15"/>
    <w:rsid w:val="00CA5F75"/>
    <w:rsid w:val="00CA6CAE"/>
    <w:rsid w:val="00CB7253"/>
    <w:rsid w:val="00CB7557"/>
    <w:rsid w:val="00CD07B4"/>
    <w:rsid w:val="00CD667A"/>
    <w:rsid w:val="00CE23C1"/>
    <w:rsid w:val="00D0011E"/>
    <w:rsid w:val="00D03E8A"/>
    <w:rsid w:val="00D11171"/>
    <w:rsid w:val="00D24BDF"/>
    <w:rsid w:val="00D42EFE"/>
    <w:rsid w:val="00D44900"/>
    <w:rsid w:val="00D46D25"/>
    <w:rsid w:val="00D5162D"/>
    <w:rsid w:val="00D517CD"/>
    <w:rsid w:val="00D5531A"/>
    <w:rsid w:val="00D678F8"/>
    <w:rsid w:val="00DB1697"/>
    <w:rsid w:val="00DB1DB4"/>
    <w:rsid w:val="00DB2EF9"/>
    <w:rsid w:val="00DB40F0"/>
    <w:rsid w:val="00DD494D"/>
    <w:rsid w:val="00DD4BF9"/>
    <w:rsid w:val="00DE417E"/>
    <w:rsid w:val="00DE6186"/>
    <w:rsid w:val="00E0137B"/>
    <w:rsid w:val="00E065DA"/>
    <w:rsid w:val="00E0737C"/>
    <w:rsid w:val="00E437C5"/>
    <w:rsid w:val="00E60C21"/>
    <w:rsid w:val="00E75DB0"/>
    <w:rsid w:val="00E80456"/>
    <w:rsid w:val="00E8780E"/>
    <w:rsid w:val="00E956F3"/>
    <w:rsid w:val="00EC391A"/>
    <w:rsid w:val="00EC7EFD"/>
    <w:rsid w:val="00ED36D8"/>
    <w:rsid w:val="00EE6086"/>
    <w:rsid w:val="00EF4071"/>
    <w:rsid w:val="00EF765F"/>
    <w:rsid w:val="00F028DE"/>
    <w:rsid w:val="00F0585C"/>
    <w:rsid w:val="00F107B7"/>
    <w:rsid w:val="00F11F57"/>
    <w:rsid w:val="00F15EF8"/>
    <w:rsid w:val="00F33E3A"/>
    <w:rsid w:val="00F36E53"/>
    <w:rsid w:val="00F4316C"/>
    <w:rsid w:val="00F46176"/>
    <w:rsid w:val="00F5149E"/>
    <w:rsid w:val="00F56A74"/>
    <w:rsid w:val="00F57AD9"/>
    <w:rsid w:val="00F832E5"/>
    <w:rsid w:val="00F870A3"/>
    <w:rsid w:val="00F91762"/>
    <w:rsid w:val="00F9405B"/>
    <w:rsid w:val="00FA34E8"/>
    <w:rsid w:val="00FA7D4E"/>
    <w:rsid w:val="00FB66EA"/>
    <w:rsid w:val="00FC102D"/>
    <w:rsid w:val="00FD549D"/>
    <w:rsid w:val="00FD6374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BB72625-68C8-46BD-8ABF-C9007B67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character" w:customStyle="1" w:styleId="FooterChar">
    <w:name w:val="Footer Char"/>
    <w:link w:val="Footer"/>
    <w:uiPriority w:val="99"/>
    <w:rsid w:val="001A55B9"/>
    <w:rPr>
      <w:rFonts w:ascii="Courier" w:eastAsia="Times New Roman" w:hAnsi="Courier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36740-09EF-44C6-B338-B3922A32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subject/>
  <dc:creator>Naomi</dc:creator>
  <cp:keywords/>
  <cp:lastModifiedBy>Sipple, Naomi</cp:lastModifiedBy>
  <cp:revision>2</cp:revision>
  <cp:lastPrinted>2013-06-18T12:20:00Z</cp:lastPrinted>
  <dcterms:created xsi:type="dcterms:W3CDTF">2016-10-28T15:28:00Z</dcterms:created>
  <dcterms:modified xsi:type="dcterms:W3CDTF">2016-10-28T15:28:00Z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