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A9874" w14:textId="77777777" w:rsidR="006845DD" w:rsidRDefault="006845DD">
      <w:pPr>
        <w:tabs>
          <w:tab w:val="center" w:pos="4680"/>
        </w:tabs>
        <w:jc w:val="center"/>
        <w:rPr>
          <w:rFonts w:ascii="Times New (W1)" w:hAnsi="Times New (W1)"/>
          <w:sz w:val="24"/>
        </w:rPr>
      </w:pPr>
      <w:bookmarkStart w:id="0" w:name="_GoBack"/>
      <w:bookmarkEnd w:id="0"/>
      <w:r>
        <w:rPr>
          <w:rFonts w:ascii="Times New (W1)" w:hAnsi="Times New (W1)"/>
          <w:sz w:val="24"/>
        </w:rPr>
        <w:t>Supporting Statement for Paperwork Reduction Act</w:t>
      </w:r>
    </w:p>
    <w:p w14:paraId="6BE76CEF" w14:textId="77777777" w:rsidR="006845DD" w:rsidRDefault="00D07E21">
      <w:pPr>
        <w:pStyle w:val="Heading1"/>
        <w:rPr>
          <w:rFonts w:ascii="Times New (W1)" w:hAnsi="Times New (W1)"/>
        </w:rPr>
      </w:pPr>
      <w:r>
        <w:rPr>
          <w:rFonts w:ascii="Times New (W1)" w:hAnsi="Times New (W1)"/>
        </w:rPr>
        <w:t xml:space="preserve">Recovery Act </w:t>
      </w:r>
      <w:r w:rsidR="00C658B5">
        <w:rPr>
          <w:rFonts w:ascii="Times New (W1)" w:hAnsi="Times New (W1)"/>
        </w:rPr>
        <w:t xml:space="preserve">- </w:t>
      </w:r>
      <w:r>
        <w:rPr>
          <w:rFonts w:ascii="Times New (W1)" w:hAnsi="Times New (W1)"/>
        </w:rPr>
        <w:t>Reporting Requirements for States</w:t>
      </w:r>
      <w:r w:rsidR="00A927A4">
        <w:rPr>
          <w:rFonts w:ascii="Times New (W1)" w:hAnsi="Times New (W1)"/>
        </w:rPr>
        <w:t xml:space="preserve"> </w:t>
      </w:r>
      <w:r w:rsidR="00E50DDD">
        <w:rPr>
          <w:rFonts w:ascii="Times New (W1)" w:hAnsi="Times New (W1)"/>
        </w:rPr>
        <w:t>u</w:t>
      </w:r>
      <w:r w:rsidR="00A927A4">
        <w:rPr>
          <w:rFonts w:ascii="Times New (W1)" w:hAnsi="Times New (W1)"/>
        </w:rPr>
        <w:t>nder TMA Provisions</w:t>
      </w:r>
    </w:p>
    <w:p w14:paraId="284B0204" w14:textId="77777777" w:rsidR="006845DD" w:rsidRDefault="008C4DC1">
      <w:pPr>
        <w:jc w:val="center"/>
        <w:rPr>
          <w:rFonts w:ascii="Times New (W1)" w:hAnsi="Times New (W1)"/>
          <w:sz w:val="24"/>
        </w:rPr>
      </w:pPr>
      <w:r>
        <w:rPr>
          <w:rFonts w:ascii="Times New (W1)" w:hAnsi="Times New (W1)"/>
          <w:sz w:val="24"/>
        </w:rPr>
        <w:t>CMS-</w:t>
      </w:r>
      <w:r w:rsidR="00A927A4">
        <w:rPr>
          <w:rFonts w:ascii="Times New (W1)" w:hAnsi="Times New (W1)"/>
          <w:sz w:val="24"/>
        </w:rPr>
        <w:t>10295</w:t>
      </w:r>
      <w:r w:rsidR="00B32186">
        <w:rPr>
          <w:rFonts w:ascii="Times New (W1)" w:hAnsi="Times New (W1)"/>
          <w:sz w:val="24"/>
        </w:rPr>
        <w:t>, OMB 0938-1073</w:t>
      </w:r>
    </w:p>
    <w:p w14:paraId="60990A39" w14:textId="77777777" w:rsidR="006845DD" w:rsidRDefault="006845DD">
      <w:pPr>
        <w:rPr>
          <w:rFonts w:ascii="Times New (W1)" w:hAnsi="Times New (W1)"/>
          <w:sz w:val="24"/>
        </w:rPr>
      </w:pPr>
    </w:p>
    <w:p w14:paraId="6A2A2471" w14:textId="77777777" w:rsidR="006845DD" w:rsidRPr="00CC4E7E" w:rsidRDefault="006845DD">
      <w:pPr>
        <w:rPr>
          <w:rFonts w:ascii="Times New (W1)" w:hAnsi="Times New (W1)"/>
          <w:b/>
          <w:sz w:val="24"/>
        </w:rPr>
      </w:pPr>
      <w:r w:rsidRPr="00CC4E7E">
        <w:rPr>
          <w:rFonts w:ascii="Times New (W1)" w:hAnsi="Times New (W1)"/>
          <w:b/>
          <w:sz w:val="24"/>
        </w:rPr>
        <w:tab/>
        <w:t>Background</w:t>
      </w:r>
    </w:p>
    <w:p w14:paraId="6DC4E6ED" w14:textId="77777777" w:rsidR="006845DD" w:rsidRDefault="006845DD">
      <w:pPr>
        <w:ind w:firstLine="720"/>
        <w:rPr>
          <w:rFonts w:ascii="Times New (W1)" w:hAnsi="Times New (W1)"/>
          <w:sz w:val="24"/>
        </w:rPr>
      </w:pPr>
    </w:p>
    <w:p w14:paraId="35DC172C" w14:textId="77777777" w:rsidR="006845DD" w:rsidRDefault="00B90CB0" w:rsidP="00C74A70">
      <w:pPr>
        <w:pStyle w:val="BodyTextIndent"/>
        <w:rPr>
          <w:sz w:val="24"/>
        </w:rPr>
      </w:pPr>
      <w:r>
        <w:rPr>
          <w:sz w:val="24"/>
        </w:rPr>
        <w:t xml:space="preserve">The </w:t>
      </w:r>
      <w:r w:rsidR="00D07E21">
        <w:rPr>
          <w:sz w:val="24"/>
        </w:rPr>
        <w:t>Excel spreadsheet</w:t>
      </w:r>
      <w:r w:rsidR="00575CA5">
        <w:rPr>
          <w:sz w:val="24"/>
        </w:rPr>
        <w:t xml:space="preserve"> outline</w:t>
      </w:r>
      <w:r>
        <w:rPr>
          <w:sz w:val="24"/>
        </w:rPr>
        <w:t>s</w:t>
      </w:r>
      <w:r w:rsidR="00575CA5">
        <w:rPr>
          <w:sz w:val="24"/>
        </w:rPr>
        <w:t xml:space="preserve"> the information each</w:t>
      </w:r>
      <w:r w:rsidR="008C4DC1">
        <w:rPr>
          <w:sz w:val="24"/>
        </w:rPr>
        <w:t xml:space="preserve"> S</w:t>
      </w:r>
      <w:r w:rsidR="006845DD">
        <w:rPr>
          <w:sz w:val="24"/>
        </w:rPr>
        <w:t>tat</w:t>
      </w:r>
      <w:r w:rsidR="008C4DC1">
        <w:rPr>
          <w:sz w:val="24"/>
        </w:rPr>
        <w:t xml:space="preserve">e must </w:t>
      </w:r>
      <w:r w:rsidR="0003467B">
        <w:rPr>
          <w:sz w:val="24"/>
        </w:rPr>
        <w:t xml:space="preserve">provide </w:t>
      </w:r>
      <w:r>
        <w:rPr>
          <w:sz w:val="24"/>
        </w:rPr>
        <w:t xml:space="preserve">to </w:t>
      </w:r>
      <w:r w:rsidR="0003467B">
        <w:rPr>
          <w:sz w:val="24"/>
        </w:rPr>
        <w:t xml:space="preserve">the appropriate </w:t>
      </w:r>
      <w:r w:rsidR="00575CA5">
        <w:rPr>
          <w:sz w:val="24"/>
        </w:rPr>
        <w:t xml:space="preserve">Regional Office </w:t>
      </w:r>
      <w:r w:rsidR="0003467B">
        <w:rPr>
          <w:sz w:val="24"/>
        </w:rPr>
        <w:t xml:space="preserve">of the Centers for Medicare &amp; Medicaid Services (CMS) </w:t>
      </w:r>
      <w:r w:rsidR="00575CA5">
        <w:rPr>
          <w:sz w:val="24"/>
        </w:rPr>
        <w:t xml:space="preserve">each </w:t>
      </w:r>
      <w:r w:rsidR="0003467B">
        <w:rPr>
          <w:sz w:val="24"/>
        </w:rPr>
        <w:t xml:space="preserve">calendar </w:t>
      </w:r>
      <w:r w:rsidR="00575CA5">
        <w:rPr>
          <w:sz w:val="24"/>
        </w:rPr>
        <w:t xml:space="preserve">quarter, in accordance with the reporting requirements </w:t>
      </w:r>
      <w:r>
        <w:rPr>
          <w:sz w:val="24"/>
        </w:rPr>
        <w:t xml:space="preserve">of </w:t>
      </w:r>
      <w:r w:rsidR="00575CA5">
        <w:rPr>
          <w:sz w:val="24"/>
        </w:rPr>
        <w:t xml:space="preserve">the </w:t>
      </w:r>
      <w:r w:rsidR="0003467B">
        <w:rPr>
          <w:sz w:val="24"/>
        </w:rPr>
        <w:t>American Recov</w:t>
      </w:r>
      <w:r w:rsidR="00C658B5">
        <w:rPr>
          <w:sz w:val="24"/>
        </w:rPr>
        <w:t>ery and Reinvestment Act of 2009</w:t>
      </w:r>
      <w:r w:rsidR="0003467B">
        <w:rPr>
          <w:sz w:val="24"/>
        </w:rPr>
        <w:t xml:space="preserve"> (Recovery Act, P.L. 111-5)</w:t>
      </w:r>
      <w:r w:rsidR="007279CA">
        <w:rPr>
          <w:sz w:val="24"/>
        </w:rPr>
        <w:t>, signed by President Obama on February 17, 2009</w:t>
      </w:r>
      <w:r w:rsidR="00010A31">
        <w:rPr>
          <w:sz w:val="24"/>
        </w:rPr>
        <w:t>:</w:t>
      </w:r>
    </w:p>
    <w:p w14:paraId="5771BD3D" w14:textId="77777777" w:rsidR="008C6BDA" w:rsidRDefault="008C6BDA" w:rsidP="00C74A70">
      <w:pPr>
        <w:pStyle w:val="BodyTextIndent"/>
        <w:rPr>
          <w:sz w:val="24"/>
        </w:rPr>
      </w:pPr>
    </w:p>
    <w:p w14:paraId="4175A739" w14:textId="77777777" w:rsidR="00010A31" w:rsidRDefault="00F237AE" w:rsidP="00010A31">
      <w:pPr>
        <w:pStyle w:val="BodyTextIndent"/>
        <w:numPr>
          <w:ilvl w:val="0"/>
          <w:numId w:val="9"/>
        </w:numPr>
        <w:rPr>
          <w:sz w:val="24"/>
        </w:rPr>
      </w:pPr>
      <w:r>
        <w:rPr>
          <w:rFonts w:ascii="Times New Roman" w:hAnsi="Times New Roman"/>
          <w:sz w:val="24"/>
        </w:rPr>
        <w:t>5004(d) E</w:t>
      </w:r>
      <w:r w:rsidR="00E742C5">
        <w:rPr>
          <w:rFonts w:ascii="Times New Roman" w:hAnsi="Times New Roman"/>
          <w:sz w:val="24"/>
        </w:rPr>
        <w:t>xtension of Transitional Medical A</w:t>
      </w:r>
      <w:r w:rsidR="00010A31" w:rsidRPr="00F1524F">
        <w:rPr>
          <w:rFonts w:ascii="Times New Roman" w:hAnsi="Times New Roman"/>
          <w:sz w:val="24"/>
        </w:rPr>
        <w:t>ssistance (TMA)</w:t>
      </w:r>
    </w:p>
    <w:p w14:paraId="599D1C48" w14:textId="77777777" w:rsidR="00C74A70" w:rsidRDefault="00C74A70" w:rsidP="00C74A70">
      <w:pPr>
        <w:pStyle w:val="BodyTextIndent"/>
        <w:rPr>
          <w:sz w:val="24"/>
        </w:rPr>
      </w:pPr>
    </w:p>
    <w:p w14:paraId="7B52E98B" w14:textId="77777777" w:rsidR="006845DD" w:rsidRPr="00CC4E7E" w:rsidRDefault="00C879FB">
      <w:pPr>
        <w:rPr>
          <w:rFonts w:ascii="Times New (W1)" w:hAnsi="Times New (W1)"/>
          <w:b/>
          <w:sz w:val="24"/>
        </w:rPr>
      </w:pPr>
      <w:r w:rsidRPr="00CC4E7E">
        <w:rPr>
          <w:rFonts w:ascii="Times New (W1)" w:hAnsi="Times New (W1)"/>
          <w:b/>
          <w:sz w:val="24"/>
        </w:rPr>
        <w:t>A</w:t>
      </w:r>
      <w:r w:rsidR="006845DD" w:rsidRPr="00CC4E7E">
        <w:rPr>
          <w:rFonts w:ascii="Times New (W1)" w:hAnsi="Times New (W1)"/>
          <w:b/>
          <w:sz w:val="24"/>
        </w:rPr>
        <w:t>.</w:t>
      </w:r>
      <w:r w:rsidR="006845DD" w:rsidRPr="00CC4E7E">
        <w:rPr>
          <w:rFonts w:ascii="Times New (W1)" w:hAnsi="Times New (W1)"/>
          <w:b/>
          <w:sz w:val="24"/>
        </w:rPr>
        <w:tab/>
        <w:t>Justification</w:t>
      </w:r>
    </w:p>
    <w:p w14:paraId="36D66F36" w14:textId="77777777" w:rsidR="006845DD" w:rsidRDefault="006845DD">
      <w:pPr>
        <w:rPr>
          <w:rFonts w:ascii="Times New (W1)" w:hAnsi="Times New (W1)"/>
          <w:sz w:val="24"/>
        </w:rPr>
      </w:pPr>
    </w:p>
    <w:p w14:paraId="5B752BE1" w14:textId="77777777" w:rsidR="006845DD" w:rsidRDefault="006845DD">
      <w:pPr>
        <w:numPr>
          <w:ilvl w:val="0"/>
          <w:numId w:val="2"/>
        </w:numPr>
        <w:rPr>
          <w:rFonts w:ascii="Times New (W1)" w:hAnsi="Times New (W1)"/>
          <w:sz w:val="24"/>
        </w:rPr>
      </w:pPr>
      <w:r>
        <w:rPr>
          <w:rFonts w:ascii="Times New (W1)" w:hAnsi="Times New (W1)"/>
          <w:sz w:val="24"/>
          <w:u w:val="single"/>
        </w:rPr>
        <w:t>Need and Legal Basis</w:t>
      </w:r>
    </w:p>
    <w:p w14:paraId="39213898" w14:textId="77777777" w:rsidR="00C05E27" w:rsidRDefault="00C05E27">
      <w:pPr>
        <w:pStyle w:val="BodyTextIndent2"/>
        <w:ind w:left="1080"/>
        <w:rPr>
          <w:rFonts w:ascii="Times New (W1)" w:hAnsi="Times New (W1)"/>
        </w:rPr>
      </w:pPr>
    </w:p>
    <w:p w14:paraId="4A850199" w14:textId="77777777" w:rsidR="00C74A70" w:rsidRDefault="00A9596C">
      <w:pPr>
        <w:pStyle w:val="BodyTextIndent2"/>
        <w:ind w:left="1080"/>
        <w:rPr>
          <w:rFonts w:ascii="Times New (W1)" w:hAnsi="Times New (W1)"/>
        </w:rPr>
      </w:pPr>
      <w:r>
        <w:rPr>
          <w:rFonts w:ascii="Times New (W1)" w:hAnsi="Times New (W1)"/>
        </w:rPr>
        <w:t>T</w:t>
      </w:r>
      <w:r w:rsidR="00902FAC">
        <w:rPr>
          <w:rFonts w:ascii="Times New (W1)" w:hAnsi="Times New (W1)"/>
        </w:rPr>
        <w:t xml:space="preserve">he Secretary of Health and Human Services </w:t>
      </w:r>
      <w:r>
        <w:rPr>
          <w:rFonts w:ascii="Times New (W1)" w:hAnsi="Times New (W1)"/>
        </w:rPr>
        <w:t xml:space="preserve">is required </w:t>
      </w:r>
      <w:r w:rsidR="00493EE1">
        <w:rPr>
          <w:rFonts w:ascii="Times New (W1)" w:hAnsi="Times New (W1)"/>
        </w:rPr>
        <w:t xml:space="preserve">to </w:t>
      </w:r>
      <w:r w:rsidR="00902FAC">
        <w:rPr>
          <w:rFonts w:ascii="Times New (W1)" w:hAnsi="Times New (W1)"/>
        </w:rPr>
        <w:t xml:space="preserve">submit </w:t>
      </w:r>
      <w:r w:rsidR="00F237AE">
        <w:rPr>
          <w:rFonts w:ascii="Times New (W1)" w:hAnsi="Times New (W1)"/>
        </w:rPr>
        <w:t xml:space="preserve">annual reports to Congress </w:t>
      </w:r>
      <w:r>
        <w:rPr>
          <w:rFonts w:ascii="Times New (W1)" w:hAnsi="Times New (W1)"/>
        </w:rPr>
        <w:t xml:space="preserve">with </w:t>
      </w:r>
      <w:r w:rsidR="00493EE1">
        <w:rPr>
          <w:rFonts w:ascii="Times New (W1)" w:hAnsi="Times New (W1)"/>
        </w:rPr>
        <w:t>information collected from States in accordance with section</w:t>
      </w:r>
      <w:r w:rsidR="00C05E27">
        <w:rPr>
          <w:rFonts w:ascii="Times New (W1)" w:hAnsi="Times New (W1)"/>
        </w:rPr>
        <w:t xml:space="preserve"> </w:t>
      </w:r>
      <w:r w:rsidR="00493EE1">
        <w:rPr>
          <w:rFonts w:ascii="Times New (W1)" w:hAnsi="Times New (W1)"/>
        </w:rPr>
        <w:t>5004(d) of the Recovery Act.</w:t>
      </w:r>
    </w:p>
    <w:p w14:paraId="6B9B3760" w14:textId="77777777" w:rsidR="00881466" w:rsidRDefault="00881466">
      <w:pPr>
        <w:pStyle w:val="BodyTextIndent2"/>
        <w:ind w:left="1080"/>
        <w:rPr>
          <w:rFonts w:ascii="Times New (W1)" w:hAnsi="Times New (W1)"/>
        </w:rPr>
      </w:pPr>
    </w:p>
    <w:p w14:paraId="3CA85430" w14:textId="77777777" w:rsidR="006845DD" w:rsidRDefault="006845DD">
      <w:pPr>
        <w:numPr>
          <w:ilvl w:val="0"/>
          <w:numId w:val="2"/>
        </w:numPr>
        <w:rPr>
          <w:rFonts w:ascii="Times New (W1)" w:hAnsi="Times New (W1)"/>
          <w:sz w:val="24"/>
        </w:rPr>
      </w:pPr>
      <w:r>
        <w:rPr>
          <w:rFonts w:ascii="Times New (W1)" w:hAnsi="Times New (W1)"/>
          <w:sz w:val="24"/>
          <w:u w:val="single"/>
        </w:rPr>
        <w:t>Information Users</w:t>
      </w:r>
    </w:p>
    <w:p w14:paraId="20B28816" w14:textId="77777777" w:rsidR="00C05E27" w:rsidRDefault="00C05E27" w:rsidP="0037208D">
      <w:pPr>
        <w:pStyle w:val="BodyTextIndent2"/>
        <w:ind w:left="1080"/>
        <w:rPr>
          <w:rFonts w:ascii="Times New (W1)" w:hAnsi="Times New (W1)"/>
        </w:rPr>
      </w:pPr>
    </w:p>
    <w:p w14:paraId="7C1B74E0" w14:textId="77777777" w:rsidR="006845DD" w:rsidRDefault="007279CA" w:rsidP="0037208D">
      <w:pPr>
        <w:pStyle w:val="BodyTextIndent2"/>
        <w:ind w:left="1080"/>
        <w:rPr>
          <w:rFonts w:ascii="Times New (W1)" w:hAnsi="Times New (W1)"/>
        </w:rPr>
      </w:pPr>
      <w:r>
        <w:rPr>
          <w:rFonts w:ascii="Times New (W1)" w:hAnsi="Times New (W1)"/>
        </w:rPr>
        <w:t>All</w:t>
      </w:r>
      <w:r w:rsidR="006845DD">
        <w:rPr>
          <w:rFonts w:ascii="Times New (W1)" w:hAnsi="Times New (W1)"/>
        </w:rPr>
        <w:t xml:space="preserve"> State Medicaid Agencies </w:t>
      </w:r>
      <w:r w:rsidR="00CF2EF6">
        <w:rPr>
          <w:rFonts w:ascii="Times New (W1)" w:hAnsi="Times New (W1)"/>
        </w:rPr>
        <w:t>in 50</w:t>
      </w:r>
      <w:r w:rsidR="006252B9">
        <w:rPr>
          <w:rFonts w:ascii="Times New (W1)" w:hAnsi="Times New (W1)"/>
        </w:rPr>
        <w:t xml:space="preserve"> States </w:t>
      </w:r>
      <w:r w:rsidR="00A9596C">
        <w:rPr>
          <w:rFonts w:ascii="Times New (W1)" w:hAnsi="Times New (W1)"/>
        </w:rPr>
        <w:t>will complete the reports</w:t>
      </w:r>
      <w:r w:rsidR="006845DD">
        <w:rPr>
          <w:rFonts w:ascii="Times New (W1)" w:hAnsi="Times New (W1)"/>
        </w:rPr>
        <w:t>.  CMS will review the i</w:t>
      </w:r>
      <w:r w:rsidR="00A9596C">
        <w:rPr>
          <w:rFonts w:ascii="Times New (W1)" w:hAnsi="Times New (W1)"/>
        </w:rPr>
        <w:t>nformation to determine if each</w:t>
      </w:r>
      <w:r w:rsidR="0037208D">
        <w:rPr>
          <w:rFonts w:ascii="Times New (W1)" w:hAnsi="Times New (W1)"/>
        </w:rPr>
        <w:t xml:space="preserve"> S</w:t>
      </w:r>
      <w:r w:rsidR="006845DD">
        <w:rPr>
          <w:rFonts w:ascii="Times New (W1)" w:hAnsi="Times New (W1)"/>
        </w:rPr>
        <w:t>tate has met all</w:t>
      </w:r>
      <w:r w:rsidR="00B90CB0">
        <w:rPr>
          <w:rFonts w:ascii="Times New (W1)" w:hAnsi="Times New (W1)"/>
        </w:rPr>
        <w:t xml:space="preserve"> of</w:t>
      </w:r>
      <w:r w:rsidR="006845DD">
        <w:rPr>
          <w:rFonts w:ascii="Times New (W1)" w:hAnsi="Times New (W1)"/>
        </w:rPr>
        <w:t xml:space="preserve"> the </w:t>
      </w:r>
      <w:r w:rsidR="00CF2EF6">
        <w:rPr>
          <w:rFonts w:ascii="Times New (W1)" w:hAnsi="Times New (W1)"/>
        </w:rPr>
        <w:t xml:space="preserve">reporting </w:t>
      </w:r>
      <w:r w:rsidR="006845DD">
        <w:rPr>
          <w:rFonts w:ascii="Times New (W1)" w:hAnsi="Times New (W1)"/>
        </w:rPr>
        <w:t xml:space="preserve">requirements </w:t>
      </w:r>
      <w:r w:rsidR="00CF4A5D">
        <w:rPr>
          <w:rFonts w:ascii="Times New (W1)" w:hAnsi="Times New (W1)"/>
        </w:rPr>
        <w:t xml:space="preserve">for </w:t>
      </w:r>
      <w:r w:rsidR="00276D32">
        <w:rPr>
          <w:rFonts w:ascii="Times New (W1)" w:hAnsi="Times New (W1)"/>
        </w:rPr>
        <w:t>section 5004(d)</w:t>
      </w:r>
      <w:r w:rsidR="0037208D">
        <w:rPr>
          <w:rFonts w:ascii="Times New (W1)" w:hAnsi="Times New (W1)"/>
        </w:rPr>
        <w:t xml:space="preserve"> of the </w:t>
      </w:r>
      <w:r w:rsidR="00276D32">
        <w:rPr>
          <w:rFonts w:ascii="Times New (W1)" w:hAnsi="Times New (W1)"/>
        </w:rPr>
        <w:t xml:space="preserve">Recovery </w:t>
      </w:r>
      <w:r w:rsidR="0037208D">
        <w:rPr>
          <w:rFonts w:ascii="Times New (W1)" w:hAnsi="Times New (W1)"/>
        </w:rPr>
        <w:t>Act</w:t>
      </w:r>
      <w:r w:rsidR="00276D32">
        <w:rPr>
          <w:rFonts w:ascii="Times New (W1)" w:hAnsi="Times New (W1)"/>
        </w:rPr>
        <w:t>.</w:t>
      </w:r>
    </w:p>
    <w:p w14:paraId="445FC11E" w14:textId="77777777" w:rsidR="006845DD" w:rsidRDefault="006845DD">
      <w:pPr>
        <w:pStyle w:val="BodyTextIndent2"/>
        <w:ind w:left="1080"/>
        <w:rPr>
          <w:rFonts w:ascii="Times New (W1)" w:hAnsi="Times New (W1)"/>
        </w:rPr>
      </w:pPr>
    </w:p>
    <w:p w14:paraId="28806C99" w14:textId="77777777" w:rsidR="006845DD" w:rsidRDefault="006845DD">
      <w:pPr>
        <w:numPr>
          <w:ilvl w:val="0"/>
          <w:numId w:val="2"/>
        </w:numPr>
        <w:rPr>
          <w:rFonts w:ascii="Times New (W1)" w:hAnsi="Times New (W1)"/>
          <w:sz w:val="24"/>
        </w:rPr>
      </w:pPr>
      <w:r>
        <w:rPr>
          <w:rFonts w:ascii="Times New (W1)" w:hAnsi="Times New (W1)"/>
          <w:sz w:val="24"/>
          <w:u w:val="single"/>
        </w:rPr>
        <w:t>Improved Information Technology</w:t>
      </w:r>
    </w:p>
    <w:p w14:paraId="61D2F51C" w14:textId="77777777" w:rsidR="00C05E27" w:rsidRDefault="00C05E27">
      <w:pPr>
        <w:pStyle w:val="BodyTextIndent3"/>
        <w:rPr>
          <w:rFonts w:ascii="Times New (W1)" w:hAnsi="Times New (W1)"/>
        </w:rPr>
      </w:pPr>
    </w:p>
    <w:p w14:paraId="7512109B" w14:textId="77777777" w:rsidR="006845DD" w:rsidRDefault="00CF2EF6">
      <w:pPr>
        <w:pStyle w:val="BodyTextIndent3"/>
        <w:rPr>
          <w:rFonts w:ascii="Times New (W1)" w:hAnsi="Times New (W1)"/>
        </w:rPr>
      </w:pPr>
      <w:r>
        <w:rPr>
          <w:rFonts w:ascii="Times New (W1)" w:hAnsi="Times New (W1)"/>
        </w:rPr>
        <w:t>The reporting forms are</w:t>
      </w:r>
      <w:r w:rsidR="006845DD">
        <w:rPr>
          <w:rFonts w:ascii="Times New (W1)" w:hAnsi="Times New (W1)"/>
        </w:rPr>
        <w:t xml:space="preserve"> available in electronic format</w:t>
      </w:r>
      <w:r>
        <w:rPr>
          <w:rFonts w:ascii="Times New (W1)" w:hAnsi="Times New (W1)"/>
        </w:rPr>
        <w:t xml:space="preserve"> as Excel spreadsheets</w:t>
      </w:r>
      <w:r w:rsidR="006845DD">
        <w:rPr>
          <w:rFonts w:ascii="Times New (W1)" w:hAnsi="Times New (W1)"/>
        </w:rPr>
        <w:t>.  We expect every submittal to be forwarded to our agency using the ele</w:t>
      </w:r>
      <w:r w:rsidR="00BB40D7">
        <w:rPr>
          <w:rFonts w:ascii="Times New (W1)" w:hAnsi="Times New (W1)"/>
        </w:rPr>
        <w:t>ctronic format.  The documents are</w:t>
      </w:r>
      <w:r w:rsidR="0044021A">
        <w:rPr>
          <w:rFonts w:ascii="Times New (W1)" w:hAnsi="Times New (W1)"/>
        </w:rPr>
        <w:t xml:space="preserve"> completed in a user-</w:t>
      </w:r>
      <w:r w:rsidR="00FB481D">
        <w:rPr>
          <w:rFonts w:ascii="Times New (W1)" w:hAnsi="Times New (W1)"/>
        </w:rPr>
        <w:t>friendly format via email.</w:t>
      </w:r>
    </w:p>
    <w:p w14:paraId="5113F78E" w14:textId="77777777" w:rsidR="004E14A6" w:rsidRDefault="004E14A6">
      <w:pPr>
        <w:rPr>
          <w:rFonts w:ascii="Times New (W1)" w:hAnsi="Times New (W1)"/>
          <w:sz w:val="24"/>
        </w:rPr>
      </w:pPr>
    </w:p>
    <w:p w14:paraId="060CD623" w14:textId="77777777" w:rsidR="006845DD" w:rsidRDefault="006845DD">
      <w:pPr>
        <w:numPr>
          <w:ilvl w:val="0"/>
          <w:numId w:val="2"/>
        </w:numPr>
        <w:rPr>
          <w:rFonts w:ascii="Times New (W1)" w:hAnsi="Times New (W1)"/>
          <w:sz w:val="24"/>
        </w:rPr>
      </w:pPr>
      <w:r>
        <w:rPr>
          <w:rFonts w:ascii="Times New (W1)" w:hAnsi="Times New (W1)"/>
          <w:sz w:val="24"/>
          <w:u w:val="single"/>
        </w:rPr>
        <w:t>Duplication of Similar Information</w:t>
      </w:r>
    </w:p>
    <w:p w14:paraId="357F9E22" w14:textId="77777777" w:rsidR="00C05E27" w:rsidRDefault="00C05E27">
      <w:pPr>
        <w:pStyle w:val="BodyTextIndent3"/>
        <w:rPr>
          <w:rFonts w:ascii="Times New (W1)" w:hAnsi="Times New (W1)"/>
        </w:rPr>
      </w:pPr>
    </w:p>
    <w:p w14:paraId="7BE258A3" w14:textId="77777777" w:rsidR="006845DD" w:rsidRDefault="004E14A6">
      <w:pPr>
        <w:pStyle w:val="BodyTextIndent3"/>
        <w:rPr>
          <w:rFonts w:ascii="Times New (W1)" w:hAnsi="Times New (W1)"/>
        </w:rPr>
      </w:pPr>
      <w:r>
        <w:rPr>
          <w:rFonts w:ascii="Times New (W1)" w:hAnsi="Times New (W1)"/>
        </w:rPr>
        <w:t xml:space="preserve">There is no duplication of similar information. </w:t>
      </w:r>
    </w:p>
    <w:p w14:paraId="356F60B3" w14:textId="77777777" w:rsidR="006845DD" w:rsidRDefault="006845DD">
      <w:pPr>
        <w:rPr>
          <w:rFonts w:ascii="Times New (W1)" w:hAnsi="Times New (W1)"/>
          <w:sz w:val="24"/>
        </w:rPr>
      </w:pPr>
    </w:p>
    <w:p w14:paraId="0CDD73B2" w14:textId="77777777" w:rsidR="006845DD" w:rsidRDefault="006845DD">
      <w:pPr>
        <w:numPr>
          <w:ilvl w:val="0"/>
          <w:numId w:val="2"/>
        </w:numPr>
        <w:rPr>
          <w:rFonts w:ascii="Times New (W1)" w:hAnsi="Times New (W1)"/>
          <w:sz w:val="24"/>
        </w:rPr>
      </w:pPr>
      <w:r>
        <w:rPr>
          <w:rFonts w:ascii="Times New (W1)" w:hAnsi="Times New (W1)"/>
          <w:sz w:val="24"/>
          <w:u w:val="single"/>
        </w:rPr>
        <w:t>Small Businesses</w:t>
      </w:r>
    </w:p>
    <w:p w14:paraId="26AC1DC7" w14:textId="77777777" w:rsidR="00C05E27" w:rsidRDefault="00C05E27">
      <w:pPr>
        <w:pStyle w:val="BodyTextIndent3"/>
        <w:rPr>
          <w:rFonts w:ascii="Times New (W1)" w:hAnsi="Times New (W1)"/>
        </w:rPr>
      </w:pPr>
    </w:p>
    <w:p w14:paraId="33FF11EB" w14:textId="77777777" w:rsidR="006845DD" w:rsidRDefault="004E14A6">
      <w:pPr>
        <w:pStyle w:val="BodyTextIndent3"/>
        <w:rPr>
          <w:rFonts w:ascii="Times New (W1)" w:hAnsi="Times New (W1)"/>
        </w:rPr>
      </w:pPr>
      <w:r>
        <w:rPr>
          <w:rFonts w:ascii="Times New (W1)" w:hAnsi="Times New (W1)"/>
        </w:rPr>
        <w:t>This collection does not impact small businesses.</w:t>
      </w:r>
    </w:p>
    <w:p w14:paraId="5B5F27CE" w14:textId="77777777" w:rsidR="006845DD" w:rsidRDefault="006845DD">
      <w:pPr>
        <w:rPr>
          <w:rFonts w:ascii="Times New (W1)" w:hAnsi="Times New (W1)"/>
          <w:sz w:val="24"/>
        </w:rPr>
      </w:pPr>
    </w:p>
    <w:p w14:paraId="6C86F5F4" w14:textId="77777777" w:rsidR="006845DD" w:rsidRDefault="006845DD">
      <w:pPr>
        <w:numPr>
          <w:ilvl w:val="0"/>
          <w:numId w:val="2"/>
        </w:numPr>
        <w:rPr>
          <w:rFonts w:ascii="Times New (W1)" w:hAnsi="Times New (W1)"/>
          <w:sz w:val="24"/>
        </w:rPr>
      </w:pPr>
      <w:r>
        <w:rPr>
          <w:rFonts w:ascii="Times New (W1)" w:hAnsi="Times New (W1)"/>
          <w:sz w:val="24"/>
          <w:u w:val="single"/>
        </w:rPr>
        <w:t>Less Frequent Collection</w:t>
      </w:r>
    </w:p>
    <w:p w14:paraId="109695F8" w14:textId="77777777" w:rsidR="00C05E27" w:rsidRDefault="00C05E27">
      <w:pPr>
        <w:pStyle w:val="BodyTextIndent3"/>
        <w:rPr>
          <w:rFonts w:ascii="Times New (W1)" w:hAnsi="Times New (W1)"/>
        </w:rPr>
      </w:pPr>
    </w:p>
    <w:p w14:paraId="7C03F62D" w14:textId="77777777" w:rsidR="006845DD" w:rsidRDefault="00276D32">
      <w:pPr>
        <w:pStyle w:val="BodyTextIndent3"/>
        <w:rPr>
          <w:rFonts w:ascii="Times New (W1)" w:hAnsi="Times New (W1)"/>
        </w:rPr>
      </w:pPr>
      <w:r>
        <w:rPr>
          <w:rFonts w:ascii="Times New (W1)" w:hAnsi="Times New (W1)"/>
        </w:rPr>
        <w:lastRenderedPageBreak/>
        <w:t>The Recovery Act requires that each State provide reports every calendar quarter</w:t>
      </w:r>
      <w:r w:rsidR="00431600">
        <w:rPr>
          <w:rFonts w:ascii="Times New (W1)" w:hAnsi="Times New (W1)"/>
        </w:rPr>
        <w:t xml:space="preserve"> with the information specified for collection in section 5004(d) of the Recovery Act</w:t>
      </w:r>
      <w:r w:rsidR="006845DD">
        <w:rPr>
          <w:rFonts w:ascii="Times New (W1)" w:hAnsi="Times New (W1)"/>
        </w:rPr>
        <w:t>.</w:t>
      </w:r>
    </w:p>
    <w:p w14:paraId="3F080732" w14:textId="77777777" w:rsidR="006845DD" w:rsidRDefault="006845DD">
      <w:pPr>
        <w:rPr>
          <w:rFonts w:ascii="Times New (W1)" w:hAnsi="Times New (W1)"/>
          <w:sz w:val="24"/>
        </w:rPr>
      </w:pPr>
    </w:p>
    <w:p w14:paraId="3208E3E7" w14:textId="77777777" w:rsidR="006845DD" w:rsidRDefault="006845DD">
      <w:pPr>
        <w:numPr>
          <w:ilvl w:val="0"/>
          <w:numId w:val="2"/>
        </w:numPr>
        <w:rPr>
          <w:rFonts w:ascii="Times New (W1)" w:hAnsi="Times New (W1)"/>
          <w:sz w:val="24"/>
        </w:rPr>
      </w:pPr>
      <w:r>
        <w:rPr>
          <w:rFonts w:ascii="Times New (W1)" w:hAnsi="Times New (W1)"/>
          <w:sz w:val="24"/>
          <w:u w:val="single"/>
        </w:rPr>
        <w:t>Special Circumstances</w:t>
      </w:r>
    </w:p>
    <w:p w14:paraId="1A1BED7C" w14:textId="77777777" w:rsidR="00C05E27" w:rsidRDefault="00C05E27">
      <w:pPr>
        <w:pStyle w:val="BodyTextIndent3"/>
        <w:rPr>
          <w:rFonts w:ascii="Times New (W1)" w:hAnsi="Times New (W1)"/>
        </w:rPr>
      </w:pPr>
    </w:p>
    <w:p w14:paraId="3C727C59" w14:textId="77777777" w:rsidR="00D021DC" w:rsidRPr="00D021DC" w:rsidRDefault="00D021DC" w:rsidP="00D021DC">
      <w:pPr>
        <w:ind w:left="1080"/>
        <w:rPr>
          <w:rFonts w:ascii="Times New (W1)" w:hAnsi="Times New (W1)"/>
          <w:sz w:val="24"/>
        </w:rPr>
      </w:pPr>
      <w:r w:rsidRPr="00D021DC">
        <w:rPr>
          <w:rFonts w:ascii="Times New (W1)" w:hAnsi="Times New (W1)"/>
          <w:sz w:val="24"/>
        </w:rPr>
        <w:t>There are no special circumstances that would require an information collection to be conducted in a manner that requires respondents to:</w:t>
      </w:r>
    </w:p>
    <w:p w14:paraId="0F19350E" w14:textId="77777777" w:rsidR="00D021DC" w:rsidRPr="00D021DC" w:rsidRDefault="00D021DC" w:rsidP="00D021DC">
      <w:pPr>
        <w:ind w:left="1080"/>
        <w:rPr>
          <w:rFonts w:ascii="Times New (W1)" w:hAnsi="Times New (W1)"/>
          <w:sz w:val="24"/>
        </w:rPr>
      </w:pPr>
    </w:p>
    <w:p w14:paraId="551521F1" w14:textId="77777777" w:rsidR="00D021DC" w:rsidRPr="00D021DC" w:rsidRDefault="00D021DC" w:rsidP="00D021DC">
      <w:pPr>
        <w:ind w:left="1080"/>
        <w:rPr>
          <w:rFonts w:ascii="Times New (W1)" w:hAnsi="Times New (W1)"/>
          <w:sz w:val="24"/>
        </w:rPr>
      </w:pPr>
      <w:r w:rsidRPr="00D021DC">
        <w:rPr>
          <w:rFonts w:ascii="Times New (W1)" w:hAnsi="Times New (W1)"/>
          <w:sz w:val="24"/>
        </w:rPr>
        <w:t>•</w:t>
      </w:r>
      <w:r w:rsidRPr="00D021DC">
        <w:rPr>
          <w:rFonts w:ascii="Times New (W1)" w:hAnsi="Times New (W1)"/>
          <w:sz w:val="24"/>
        </w:rPr>
        <w:tab/>
        <w:t>Report information to the agency more often than quarterly;</w:t>
      </w:r>
    </w:p>
    <w:p w14:paraId="26C3FBCF" w14:textId="77777777" w:rsidR="00D021DC" w:rsidRPr="00D021DC" w:rsidRDefault="00D021DC" w:rsidP="00D021DC">
      <w:pPr>
        <w:ind w:left="1080"/>
        <w:rPr>
          <w:rFonts w:ascii="Times New (W1)" w:hAnsi="Times New (W1)"/>
          <w:sz w:val="24"/>
        </w:rPr>
      </w:pPr>
      <w:r w:rsidRPr="00D021DC">
        <w:rPr>
          <w:rFonts w:ascii="Times New (W1)" w:hAnsi="Times New (W1)"/>
          <w:sz w:val="24"/>
        </w:rPr>
        <w:t>•</w:t>
      </w:r>
      <w:r w:rsidRPr="00D021DC">
        <w:rPr>
          <w:rFonts w:ascii="Times New (W1)" w:hAnsi="Times New (W1)"/>
          <w:sz w:val="24"/>
        </w:rPr>
        <w:tab/>
        <w:t xml:space="preserve">Prepare a written response to a collection of information in fewer than 30 days after receipt of it; </w:t>
      </w:r>
    </w:p>
    <w:p w14:paraId="47A00532" w14:textId="77777777" w:rsidR="00D021DC" w:rsidRPr="00D021DC" w:rsidRDefault="00D021DC" w:rsidP="00D021DC">
      <w:pPr>
        <w:ind w:left="1080"/>
        <w:rPr>
          <w:rFonts w:ascii="Times New (W1)" w:hAnsi="Times New (W1)"/>
          <w:sz w:val="24"/>
        </w:rPr>
      </w:pPr>
      <w:r w:rsidRPr="00D021DC">
        <w:rPr>
          <w:rFonts w:ascii="Times New (W1)" w:hAnsi="Times New (W1)"/>
          <w:sz w:val="24"/>
        </w:rPr>
        <w:t>•</w:t>
      </w:r>
      <w:r w:rsidRPr="00D021DC">
        <w:rPr>
          <w:rFonts w:ascii="Times New (W1)" w:hAnsi="Times New (W1)"/>
          <w:sz w:val="24"/>
        </w:rPr>
        <w:tab/>
        <w:t>Submit more than an original and two copies of any document;</w:t>
      </w:r>
    </w:p>
    <w:p w14:paraId="60F43690" w14:textId="77777777" w:rsidR="00D021DC" w:rsidRPr="00D021DC" w:rsidRDefault="00D021DC" w:rsidP="00D021DC">
      <w:pPr>
        <w:ind w:left="1080"/>
        <w:rPr>
          <w:rFonts w:ascii="Times New (W1)" w:hAnsi="Times New (W1)"/>
          <w:sz w:val="24"/>
        </w:rPr>
      </w:pPr>
      <w:r w:rsidRPr="00D021DC">
        <w:rPr>
          <w:rFonts w:ascii="Times New (W1)" w:hAnsi="Times New (W1)"/>
          <w:sz w:val="24"/>
        </w:rPr>
        <w:t>•</w:t>
      </w:r>
      <w:r w:rsidRPr="00D021DC">
        <w:rPr>
          <w:rFonts w:ascii="Times New (W1)" w:hAnsi="Times New (W1)"/>
          <w:sz w:val="24"/>
        </w:rPr>
        <w:tab/>
        <w:t>Retain records, other than health, medical, government contract, grant-in-aid, or tax records for more than three years;</w:t>
      </w:r>
    </w:p>
    <w:p w14:paraId="13DE25A1" w14:textId="77777777" w:rsidR="00D021DC" w:rsidRPr="00D021DC" w:rsidRDefault="00D021DC" w:rsidP="00D021DC">
      <w:pPr>
        <w:ind w:left="1080"/>
        <w:rPr>
          <w:rFonts w:ascii="Times New (W1)" w:hAnsi="Times New (W1)"/>
          <w:sz w:val="24"/>
        </w:rPr>
      </w:pPr>
      <w:r w:rsidRPr="00D021DC">
        <w:rPr>
          <w:rFonts w:ascii="Times New (W1)" w:hAnsi="Times New (W1)"/>
          <w:sz w:val="24"/>
        </w:rPr>
        <w:t>•</w:t>
      </w:r>
      <w:r w:rsidRPr="00D021DC">
        <w:rPr>
          <w:rFonts w:ascii="Times New (W1)" w:hAnsi="Times New (W1)"/>
          <w:sz w:val="24"/>
        </w:rPr>
        <w:tab/>
        <w:t>Collect data in connection with a statistical survey that is not designed to produce valid and reliable results that can be generalized to the universe of study,</w:t>
      </w:r>
    </w:p>
    <w:p w14:paraId="4C5659DE" w14:textId="77777777" w:rsidR="00D021DC" w:rsidRPr="00D021DC" w:rsidRDefault="00D021DC" w:rsidP="00D021DC">
      <w:pPr>
        <w:ind w:left="1080"/>
        <w:rPr>
          <w:rFonts w:ascii="Times New (W1)" w:hAnsi="Times New (W1)"/>
          <w:sz w:val="24"/>
        </w:rPr>
      </w:pPr>
      <w:r w:rsidRPr="00D021DC">
        <w:rPr>
          <w:rFonts w:ascii="Times New (W1)" w:hAnsi="Times New (W1)"/>
          <w:sz w:val="24"/>
        </w:rPr>
        <w:t>•</w:t>
      </w:r>
      <w:r w:rsidRPr="00D021DC">
        <w:rPr>
          <w:rFonts w:ascii="Times New (W1)" w:hAnsi="Times New (W1)"/>
          <w:sz w:val="24"/>
        </w:rPr>
        <w:tab/>
        <w:t>Use a statistical data classification that has not been reviewed and approved by OMB;</w:t>
      </w:r>
    </w:p>
    <w:p w14:paraId="27C28552" w14:textId="77777777" w:rsidR="00D021DC" w:rsidRPr="00D021DC" w:rsidRDefault="00D021DC" w:rsidP="00D021DC">
      <w:pPr>
        <w:ind w:left="1080"/>
        <w:rPr>
          <w:rFonts w:ascii="Times New (W1)" w:hAnsi="Times New (W1)"/>
          <w:sz w:val="24"/>
        </w:rPr>
      </w:pPr>
      <w:r w:rsidRPr="00D021DC">
        <w:rPr>
          <w:rFonts w:ascii="Times New (W1)" w:hAnsi="Times New (W1)"/>
          <w:sz w:val="24"/>
        </w:rPr>
        <w:t>•</w:t>
      </w:r>
      <w:r w:rsidRPr="00D021DC">
        <w:rPr>
          <w:rFonts w:ascii="Times New (W1)" w:hAnsi="Times New (W1)"/>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81754D" w14:textId="77777777" w:rsidR="006845DD" w:rsidRDefault="00D021DC" w:rsidP="00D021DC">
      <w:pPr>
        <w:ind w:left="1080"/>
        <w:rPr>
          <w:rFonts w:ascii="Times New (W1)" w:hAnsi="Times New (W1)"/>
          <w:sz w:val="24"/>
        </w:rPr>
      </w:pPr>
      <w:r w:rsidRPr="00D021DC">
        <w:rPr>
          <w:rFonts w:ascii="Times New (W1)" w:hAnsi="Times New (W1)"/>
          <w:sz w:val="24"/>
        </w:rPr>
        <w:t>•</w:t>
      </w:r>
      <w:r w:rsidRPr="00D021DC">
        <w:rPr>
          <w:rFonts w:ascii="Times New (W1)" w:hAnsi="Times New (W1)"/>
          <w:sz w:val="24"/>
        </w:rPr>
        <w:tab/>
        <w:t>Submit proprietary trade secret, or other confidential information unless the agency can demonstrate that it has instituted procedures to protect the information's confidentiality to the extent permitted by law.</w:t>
      </w:r>
    </w:p>
    <w:p w14:paraId="3D7DF4FF" w14:textId="77777777" w:rsidR="00D021DC" w:rsidRDefault="00D021DC" w:rsidP="00D021DC">
      <w:pPr>
        <w:ind w:left="1080"/>
        <w:rPr>
          <w:rFonts w:ascii="Times New (W1)" w:hAnsi="Times New (W1)"/>
          <w:sz w:val="24"/>
        </w:rPr>
      </w:pPr>
    </w:p>
    <w:p w14:paraId="242CB560" w14:textId="77777777" w:rsidR="006845DD" w:rsidRDefault="006845DD">
      <w:pPr>
        <w:numPr>
          <w:ilvl w:val="0"/>
          <w:numId w:val="2"/>
        </w:numPr>
        <w:rPr>
          <w:rFonts w:ascii="Times New (W1)" w:hAnsi="Times New (W1)"/>
          <w:sz w:val="24"/>
        </w:rPr>
      </w:pPr>
      <w:r>
        <w:rPr>
          <w:rFonts w:ascii="Times New (W1)" w:hAnsi="Times New (W1)"/>
          <w:sz w:val="24"/>
          <w:u w:val="single"/>
        </w:rPr>
        <w:t>Federal Register Notice/Outside Consultation</w:t>
      </w:r>
    </w:p>
    <w:p w14:paraId="6236FC70" w14:textId="77777777" w:rsidR="00B56A4B" w:rsidRDefault="00B56A4B">
      <w:pPr>
        <w:ind w:left="1080"/>
        <w:rPr>
          <w:rFonts w:ascii="Times New (W1)" w:hAnsi="Times New (W1)"/>
          <w:sz w:val="24"/>
        </w:rPr>
      </w:pPr>
    </w:p>
    <w:p w14:paraId="727F4959" w14:textId="77777777" w:rsidR="008518AC" w:rsidRDefault="007533BA">
      <w:pPr>
        <w:ind w:left="1080"/>
        <w:rPr>
          <w:rFonts w:ascii="Times New (W1)" w:hAnsi="Times New (W1)"/>
          <w:sz w:val="24"/>
        </w:rPr>
      </w:pPr>
      <w:r>
        <w:rPr>
          <w:rFonts w:ascii="Times New (W1)" w:hAnsi="Times New (W1)"/>
          <w:sz w:val="24"/>
        </w:rPr>
        <w:t xml:space="preserve">The </w:t>
      </w:r>
      <w:r w:rsidR="008518AC">
        <w:rPr>
          <w:rFonts w:ascii="Times New (W1)" w:hAnsi="Times New (W1)"/>
          <w:sz w:val="24"/>
        </w:rPr>
        <w:t xml:space="preserve">60-day Federal Register notice published on </w:t>
      </w:r>
      <w:r w:rsidR="00A53B7C" w:rsidRPr="00A53B7C">
        <w:rPr>
          <w:rFonts w:ascii="Times New (W1)" w:hAnsi="Times New (W1)"/>
          <w:sz w:val="24"/>
        </w:rPr>
        <w:t>Ma</w:t>
      </w:r>
      <w:r w:rsidR="00B56A4B">
        <w:rPr>
          <w:rFonts w:ascii="Times New (W1)" w:hAnsi="Times New (W1)"/>
          <w:sz w:val="24"/>
        </w:rPr>
        <w:t>y 11</w:t>
      </w:r>
      <w:r w:rsidR="00A53B7C" w:rsidRPr="00A53B7C">
        <w:rPr>
          <w:rFonts w:ascii="Times New (W1)" w:hAnsi="Times New (W1)"/>
          <w:sz w:val="24"/>
        </w:rPr>
        <w:t>, 201</w:t>
      </w:r>
      <w:r w:rsidR="00B56A4B">
        <w:rPr>
          <w:rFonts w:ascii="Times New (W1)" w:hAnsi="Times New (W1)"/>
          <w:sz w:val="24"/>
        </w:rPr>
        <w:t>6</w:t>
      </w:r>
      <w:r w:rsidR="00A53B7C">
        <w:rPr>
          <w:rFonts w:ascii="Times New (W1)" w:hAnsi="Times New (W1)"/>
          <w:sz w:val="24"/>
        </w:rPr>
        <w:t xml:space="preserve"> (8</w:t>
      </w:r>
      <w:r w:rsidR="00B56A4B">
        <w:rPr>
          <w:rFonts w:ascii="Times New (W1)" w:hAnsi="Times New (W1)"/>
          <w:sz w:val="24"/>
        </w:rPr>
        <w:t>1</w:t>
      </w:r>
      <w:r w:rsidR="00A53B7C">
        <w:rPr>
          <w:rFonts w:ascii="Times New (W1)" w:hAnsi="Times New (W1)"/>
          <w:sz w:val="24"/>
        </w:rPr>
        <w:t xml:space="preserve"> FR </w:t>
      </w:r>
      <w:r w:rsidR="00B56A4B">
        <w:rPr>
          <w:rFonts w:ascii="Times New (W1)" w:hAnsi="Times New (W1)"/>
          <w:sz w:val="24"/>
        </w:rPr>
        <w:t>29268</w:t>
      </w:r>
      <w:r w:rsidR="00A53B7C">
        <w:rPr>
          <w:rFonts w:ascii="Times New (W1)" w:hAnsi="Times New (W1)"/>
          <w:sz w:val="24"/>
        </w:rPr>
        <w:t>)</w:t>
      </w:r>
      <w:r w:rsidR="008518AC">
        <w:rPr>
          <w:rFonts w:ascii="Times New (W1)" w:hAnsi="Times New (W1)"/>
          <w:sz w:val="24"/>
        </w:rPr>
        <w:t>.</w:t>
      </w:r>
      <w:r w:rsidR="00A53B7C">
        <w:rPr>
          <w:rFonts w:ascii="Times New (W1)" w:hAnsi="Times New (W1)"/>
          <w:sz w:val="24"/>
        </w:rPr>
        <w:t xml:space="preserve"> No comments were received.</w:t>
      </w:r>
    </w:p>
    <w:p w14:paraId="182DD46B" w14:textId="77777777" w:rsidR="008518AC" w:rsidRDefault="008518AC">
      <w:pPr>
        <w:ind w:left="1080"/>
        <w:rPr>
          <w:rFonts w:ascii="Times New (W1)" w:hAnsi="Times New (W1)"/>
          <w:sz w:val="24"/>
        </w:rPr>
      </w:pPr>
    </w:p>
    <w:p w14:paraId="313AD4BB" w14:textId="77777777" w:rsidR="006845DD" w:rsidRDefault="006845DD">
      <w:pPr>
        <w:numPr>
          <w:ilvl w:val="0"/>
          <w:numId w:val="2"/>
        </w:numPr>
        <w:rPr>
          <w:rFonts w:ascii="Times New (W1)" w:hAnsi="Times New (W1)"/>
          <w:sz w:val="24"/>
        </w:rPr>
      </w:pPr>
      <w:r>
        <w:rPr>
          <w:rFonts w:ascii="Times New (W1)" w:hAnsi="Times New (W1)"/>
          <w:sz w:val="24"/>
          <w:u w:val="single"/>
        </w:rPr>
        <w:t>Payment/Gift To Respondent</w:t>
      </w:r>
    </w:p>
    <w:p w14:paraId="38FFC4D4" w14:textId="77777777" w:rsidR="00B56A4B" w:rsidRDefault="00B56A4B">
      <w:pPr>
        <w:pStyle w:val="BodyTextIndent2"/>
        <w:ind w:left="1080"/>
        <w:rPr>
          <w:rFonts w:ascii="Times New (W1)" w:hAnsi="Times New (W1)"/>
        </w:rPr>
      </w:pPr>
    </w:p>
    <w:p w14:paraId="472ECA03" w14:textId="77777777" w:rsidR="006845DD" w:rsidRDefault="004E14A6">
      <w:pPr>
        <w:pStyle w:val="BodyTextIndent2"/>
        <w:ind w:left="1080"/>
        <w:rPr>
          <w:rFonts w:ascii="Times New (W1)" w:hAnsi="Times New (W1)"/>
        </w:rPr>
      </w:pPr>
      <w:r>
        <w:rPr>
          <w:rFonts w:ascii="Times New (W1)" w:hAnsi="Times New (W1)"/>
        </w:rPr>
        <w:t>There is no payment/gift to respondent</w:t>
      </w:r>
      <w:r w:rsidR="006252B9">
        <w:rPr>
          <w:rFonts w:ascii="Times New (W1)" w:hAnsi="Times New (W1)"/>
        </w:rPr>
        <w:t>s</w:t>
      </w:r>
      <w:r>
        <w:rPr>
          <w:rFonts w:ascii="Times New (W1)" w:hAnsi="Times New (W1)"/>
        </w:rPr>
        <w:t>.</w:t>
      </w:r>
    </w:p>
    <w:p w14:paraId="6908BC7D" w14:textId="77777777" w:rsidR="006845DD" w:rsidRDefault="006845DD">
      <w:pPr>
        <w:rPr>
          <w:rFonts w:ascii="Times New (W1)" w:hAnsi="Times New (W1)"/>
          <w:sz w:val="24"/>
        </w:rPr>
      </w:pPr>
    </w:p>
    <w:p w14:paraId="0F33FABA" w14:textId="77777777" w:rsidR="006845DD" w:rsidRDefault="006845DD">
      <w:pPr>
        <w:numPr>
          <w:ilvl w:val="0"/>
          <w:numId w:val="2"/>
        </w:numPr>
        <w:rPr>
          <w:rFonts w:ascii="Times New (W1)" w:hAnsi="Times New (W1)"/>
          <w:sz w:val="24"/>
        </w:rPr>
      </w:pPr>
      <w:r>
        <w:rPr>
          <w:rFonts w:ascii="Times New (W1)" w:hAnsi="Times New (W1)"/>
          <w:sz w:val="24"/>
          <w:u w:val="single"/>
        </w:rPr>
        <w:t>Confidentiality</w:t>
      </w:r>
    </w:p>
    <w:p w14:paraId="582679F3" w14:textId="77777777" w:rsidR="00D021DC" w:rsidRDefault="00D021DC">
      <w:pPr>
        <w:pStyle w:val="BodyTextIndent3"/>
        <w:rPr>
          <w:rFonts w:ascii="Times New (W1)" w:hAnsi="Times New (W1)"/>
        </w:rPr>
      </w:pPr>
    </w:p>
    <w:p w14:paraId="57214AF3" w14:textId="77777777" w:rsidR="006845DD" w:rsidRDefault="006845DD">
      <w:pPr>
        <w:pStyle w:val="BodyTextIndent3"/>
        <w:rPr>
          <w:rFonts w:ascii="Times New (W1)" w:hAnsi="Times New (W1)"/>
        </w:rPr>
      </w:pPr>
      <w:r>
        <w:rPr>
          <w:rFonts w:ascii="Times New (W1)" w:hAnsi="Times New (W1)"/>
        </w:rPr>
        <w:t xml:space="preserve">There is no personal identifying information collected in the document.  All the information is available to the public. </w:t>
      </w:r>
    </w:p>
    <w:p w14:paraId="334526CB" w14:textId="77777777" w:rsidR="006845DD" w:rsidRDefault="006845DD">
      <w:pPr>
        <w:rPr>
          <w:rFonts w:ascii="Times New (W1)" w:hAnsi="Times New (W1)"/>
          <w:sz w:val="24"/>
        </w:rPr>
      </w:pPr>
    </w:p>
    <w:p w14:paraId="7EEDFD67" w14:textId="77777777" w:rsidR="006845DD" w:rsidRDefault="006845DD">
      <w:pPr>
        <w:numPr>
          <w:ilvl w:val="0"/>
          <w:numId w:val="2"/>
        </w:numPr>
        <w:rPr>
          <w:rFonts w:ascii="Times New (W1)" w:hAnsi="Times New (W1)"/>
          <w:sz w:val="24"/>
          <w:u w:val="single"/>
        </w:rPr>
      </w:pPr>
      <w:r>
        <w:rPr>
          <w:rFonts w:ascii="Times New (W1)" w:hAnsi="Times New (W1)"/>
          <w:sz w:val="24"/>
          <w:u w:val="single"/>
        </w:rPr>
        <w:t>Sensitive Questions</w:t>
      </w:r>
    </w:p>
    <w:p w14:paraId="0B1F5973" w14:textId="77777777" w:rsidR="00D021DC" w:rsidRDefault="00D021DC">
      <w:pPr>
        <w:pStyle w:val="BodyTextIndent3"/>
        <w:rPr>
          <w:rFonts w:ascii="Times New (W1)" w:hAnsi="Times New (W1)"/>
        </w:rPr>
      </w:pPr>
    </w:p>
    <w:p w14:paraId="4CB73C29" w14:textId="77777777" w:rsidR="006845DD" w:rsidRDefault="00D021DC" w:rsidP="00D021DC">
      <w:pPr>
        <w:ind w:left="1080"/>
        <w:rPr>
          <w:rFonts w:ascii="Times New (W1)" w:hAnsi="Times New (W1)"/>
          <w:sz w:val="24"/>
        </w:rPr>
      </w:pPr>
      <w:r w:rsidRPr="00D021DC">
        <w:rPr>
          <w:rFonts w:ascii="Times New (W1)" w:hAnsi="Times New (W1)"/>
          <w:sz w:val="24"/>
        </w:rPr>
        <w:t xml:space="preserve">There are no sensitive questions associated with this collection. Specifically, the collection does not solicit questions of a sensitive nature, such as sexual behavior and </w:t>
      </w:r>
      <w:r w:rsidRPr="00D021DC">
        <w:rPr>
          <w:rFonts w:ascii="Times New (W1)" w:hAnsi="Times New (W1)"/>
          <w:sz w:val="24"/>
        </w:rPr>
        <w:lastRenderedPageBreak/>
        <w:t>attitudes, religious beliefs, and other matters that are commonly considered private.</w:t>
      </w:r>
    </w:p>
    <w:p w14:paraId="2C8BD141" w14:textId="77777777" w:rsidR="00D021DC" w:rsidRDefault="00D021DC">
      <w:pPr>
        <w:rPr>
          <w:rFonts w:ascii="Times New (W1)" w:hAnsi="Times New (W1)"/>
          <w:sz w:val="24"/>
        </w:rPr>
      </w:pPr>
    </w:p>
    <w:p w14:paraId="0AE774B9" w14:textId="77777777" w:rsidR="006845DD" w:rsidRDefault="006845DD">
      <w:pPr>
        <w:numPr>
          <w:ilvl w:val="0"/>
          <w:numId w:val="2"/>
        </w:numPr>
        <w:rPr>
          <w:rFonts w:ascii="Times New (W1)" w:hAnsi="Times New (W1)"/>
          <w:sz w:val="24"/>
          <w:u w:val="single"/>
        </w:rPr>
      </w:pPr>
      <w:r>
        <w:rPr>
          <w:rFonts w:ascii="Times New (W1)" w:hAnsi="Times New (W1)"/>
          <w:sz w:val="24"/>
          <w:u w:val="single"/>
        </w:rPr>
        <w:t>Burden Estimate (Total Hours &amp; Wages)</w:t>
      </w:r>
    </w:p>
    <w:p w14:paraId="6C7582F8" w14:textId="77777777" w:rsidR="00DC0097" w:rsidRDefault="00DC0097" w:rsidP="00DC0097">
      <w:pPr>
        <w:ind w:left="1080"/>
        <w:rPr>
          <w:sz w:val="26"/>
          <w:szCs w:val="26"/>
        </w:rPr>
      </w:pPr>
    </w:p>
    <w:p w14:paraId="732E52E9" w14:textId="77777777" w:rsidR="00DC0097" w:rsidRPr="003F2437" w:rsidRDefault="00DC0097" w:rsidP="00DC0097">
      <w:pPr>
        <w:ind w:left="720"/>
        <w:rPr>
          <w:i/>
          <w:sz w:val="26"/>
          <w:szCs w:val="26"/>
        </w:rPr>
      </w:pPr>
      <w:r>
        <w:rPr>
          <w:i/>
          <w:sz w:val="26"/>
          <w:szCs w:val="26"/>
        </w:rPr>
        <w:t xml:space="preserve">12.1 </w:t>
      </w:r>
      <w:r w:rsidRPr="003F2437">
        <w:rPr>
          <w:i/>
          <w:sz w:val="26"/>
          <w:szCs w:val="26"/>
        </w:rPr>
        <w:t>Wage</w:t>
      </w:r>
      <w:r>
        <w:rPr>
          <w:i/>
          <w:sz w:val="26"/>
          <w:szCs w:val="26"/>
        </w:rPr>
        <w:t xml:space="preserve"> Estimates</w:t>
      </w:r>
    </w:p>
    <w:p w14:paraId="532FA75C" w14:textId="77777777" w:rsidR="00DC0097" w:rsidRDefault="00DC0097" w:rsidP="00DC0097">
      <w:pPr>
        <w:ind w:left="1080"/>
        <w:rPr>
          <w:sz w:val="26"/>
          <w:szCs w:val="26"/>
        </w:rPr>
      </w:pPr>
    </w:p>
    <w:p w14:paraId="663451DB" w14:textId="77777777" w:rsidR="00DC0097" w:rsidRDefault="00DC0097" w:rsidP="00DC0097">
      <w:pPr>
        <w:ind w:left="1080"/>
        <w:rPr>
          <w:sz w:val="24"/>
        </w:rPr>
      </w:pPr>
      <w:r w:rsidRPr="007B70DF">
        <w:rPr>
          <w:sz w:val="24"/>
        </w:rPr>
        <w:t>The following costs are based on the U.S. Bureau of Labor Statistics’ May 201</w:t>
      </w:r>
      <w:r>
        <w:rPr>
          <w:sz w:val="24"/>
        </w:rPr>
        <w:t>5</w:t>
      </w:r>
      <w:r w:rsidRPr="007B70DF">
        <w:rPr>
          <w:sz w:val="24"/>
        </w:rPr>
        <w:t xml:space="preserve"> National Occupational Employment and Wage Estimates for all salary estimates (</w:t>
      </w:r>
      <w:hyperlink r:id="rId7" w:history="1">
        <w:r w:rsidR="00266183" w:rsidRPr="00320505">
          <w:rPr>
            <w:rStyle w:val="Hyperlink"/>
            <w:sz w:val="24"/>
          </w:rPr>
          <w:t>http://www.bls.gov/oes/current/oes_nat.htm</w:t>
        </w:r>
      </w:hyperlink>
      <w:r w:rsidRPr="007B70DF">
        <w:rPr>
          <w:sz w:val="24"/>
        </w:rPr>
        <w:t xml:space="preserve">). </w:t>
      </w:r>
    </w:p>
    <w:p w14:paraId="00352BCF" w14:textId="77777777" w:rsidR="00DC0097" w:rsidRPr="007B70DF" w:rsidRDefault="00DC0097" w:rsidP="00DC0097">
      <w:pPr>
        <w:ind w:left="1080"/>
        <w:rPr>
          <w:sz w:val="24"/>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16"/>
        <w:gridCol w:w="1611"/>
        <w:gridCol w:w="1611"/>
        <w:gridCol w:w="1664"/>
      </w:tblGrid>
      <w:tr w:rsidR="00DC0097" w:rsidRPr="00496E73" w14:paraId="43CC5F90" w14:textId="77777777" w:rsidTr="00D71AF3">
        <w:tc>
          <w:tcPr>
            <w:tcW w:w="1800" w:type="dxa"/>
          </w:tcPr>
          <w:p w14:paraId="12DE513C" w14:textId="77777777" w:rsidR="00DC0097" w:rsidRPr="007B70DF" w:rsidRDefault="00DC0097" w:rsidP="00DC0097">
            <w:pPr>
              <w:jc w:val="both"/>
              <w:rPr>
                <w:sz w:val="24"/>
              </w:rPr>
            </w:pPr>
            <w:r w:rsidRPr="007B70DF">
              <w:rPr>
                <w:sz w:val="24"/>
              </w:rPr>
              <w:t>Occupation Title</w:t>
            </w:r>
          </w:p>
        </w:tc>
        <w:tc>
          <w:tcPr>
            <w:tcW w:w="1620" w:type="dxa"/>
          </w:tcPr>
          <w:p w14:paraId="75DF24A4" w14:textId="77777777" w:rsidR="00DC0097" w:rsidRPr="007B70DF" w:rsidRDefault="00DC0097" w:rsidP="00DC0097">
            <w:pPr>
              <w:jc w:val="both"/>
              <w:rPr>
                <w:sz w:val="24"/>
              </w:rPr>
            </w:pPr>
            <w:r w:rsidRPr="007B70DF">
              <w:rPr>
                <w:sz w:val="24"/>
              </w:rPr>
              <w:t>Occupation Code</w:t>
            </w:r>
          </w:p>
        </w:tc>
        <w:tc>
          <w:tcPr>
            <w:tcW w:w="1620" w:type="dxa"/>
          </w:tcPr>
          <w:p w14:paraId="0C8D987B" w14:textId="77777777" w:rsidR="00DC0097" w:rsidRPr="007B70DF" w:rsidRDefault="00DC0097" w:rsidP="00DC0097">
            <w:pPr>
              <w:jc w:val="both"/>
              <w:rPr>
                <w:sz w:val="24"/>
              </w:rPr>
            </w:pPr>
            <w:r w:rsidRPr="007B70DF">
              <w:rPr>
                <w:sz w:val="24"/>
              </w:rPr>
              <w:t>Mean Hourly Wage</w:t>
            </w:r>
            <w:r w:rsidR="00D71AF3">
              <w:rPr>
                <w:sz w:val="24"/>
              </w:rPr>
              <w:t xml:space="preserve"> ($/hr)</w:t>
            </w:r>
          </w:p>
        </w:tc>
        <w:tc>
          <w:tcPr>
            <w:tcW w:w="1620" w:type="dxa"/>
          </w:tcPr>
          <w:p w14:paraId="2F1F57C3" w14:textId="77777777" w:rsidR="00DC0097" w:rsidRPr="007B70DF" w:rsidRDefault="00D71AF3" w:rsidP="00DC0097">
            <w:pPr>
              <w:jc w:val="both"/>
              <w:rPr>
                <w:sz w:val="24"/>
              </w:rPr>
            </w:pPr>
            <w:r>
              <w:rPr>
                <w:sz w:val="24"/>
              </w:rPr>
              <w:t>Fringe Benefit ($/hr</w:t>
            </w:r>
            <w:r w:rsidR="00DC0097" w:rsidRPr="007B70DF">
              <w:rPr>
                <w:sz w:val="24"/>
              </w:rPr>
              <w:t>)</w:t>
            </w:r>
          </w:p>
        </w:tc>
        <w:tc>
          <w:tcPr>
            <w:tcW w:w="1671" w:type="dxa"/>
          </w:tcPr>
          <w:p w14:paraId="6076ACB4" w14:textId="77777777" w:rsidR="00DC0097" w:rsidRPr="007B70DF" w:rsidRDefault="00DC0097" w:rsidP="00DC0097">
            <w:pPr>
              <w:jc w:val="both"/>
              <w:rPr>
                <w:sz w:val="24"/>
              </w:rPr>
            </w:pPr>
            <w:r w:rsidRPr="007B70DF">
              <w:rPr>
                <w:sz w:val="24"/>
              </w:rPr>
              <w:t>Adjusted Hourly Wage</w:t>
            </w:r>
            <w:r w:rsidR="00D71AF3">
              <w:rPr>
                <w:sz w:val="24"/>
              </w:rPr>
              <w:t xml:space="preserve"> ($/hr)</w:t>
            </w:r>
          </w:p>
        </w:tc>
      </w:tr>
      <w:tr w:rsidR="00D71AF3" w:rsidRPr="00496E73" w14:paraId="487956AE" w14:textId="77777777" w:rsidTr="00D71AF3">
        <w:tc>
          <w:tcPr>
            <w:tcW w:w="1800" w:type="dxa"/>
          </w:tcPr>
          <w:p w14:paraId="127AFFEA" w14:textId="77777777" w:rsidR="00D71AF3" w:rsidRPr="00C276DA" w:rsidRDefault="00D71AF3" w:rsidP="00D71AF3">
            <w:pPr>
              <w:rPr>
                <w:szCs w:val="20"/>
              </w:rPr>
            </w:pPr>
            <w:r w:rsidRPr="00C276DA">
              <w:rPr>
                <w:szCs w:val="20"/>
              </w:rPr>
              <w:t>Other Healthcare Practitioners and Technical Occupations (hereinafter, “technical staff”</w:t>
            </w:r>
          </w:p>
        </w:tc>
        <w:tc>
          <w:tcPr>
            <w:tcW w:w="1620" w:type="dxa"/>
          </w:tcPr>
          <w:p w14:paraId="13B87D5E" w14:textId="77777777" w:rsidR="00D71AF3" w:rsidRPr="00C276DA" w:rsidRDefault="00D71AF3" w:rsidP="00D71AF3">
            <w:pPr>
              <w:rPr>
                <w:szCs w:val="20"/>
              </w:rPr>
            </w:pPr>
            <w:r w:rsidRPr="00C276DA">
              <w:rPr>
                <w:szCs w:val="20"/>
              </w:rPr>
              <w:t>29-9000</w:t>
            </w:r>
          </w:p>
        </w:tc>
        <w:tc>
          <w:tcPr>
            <w:tcW w:w="1620" w:type="dxa"/>
          </w:tcPr>
          <w:p w14:paraId="27AE2BF5" w14:textId="77777777" w:rsidR="00D71AF3" w:rsidRPr="00C276DA" w:rsidRDefault="00D71AF3" w:rsidP="00D71AF3">
            <w:pPr>
              <w:rPr>
                <w:szCs w:val="20"/>
              </w:rPr>
            </w:pPr>
            <w:r w:rsidRPr="00C276DA">
              <w:rPr>
                <w:szCs w:val="20"/>
              </w:rPr>
              <w:t>29.72</w:t>
            </w:r>
          </w:p>
        </w:tc>
        <w:tc>
          <w:tcPr>
            <w:tcW w:w="1620" w:type="dxa"/>
          </w:tcPr>
          <w:p w14:paraId="5FD9214E" w14:textId="77777777" w:rsidR="00D71AF3" w:rsidRPr="00C276DA" w:rsidRDefault="00D71AF3" w:rsidP="00D71AF3">
            <w:pPr>
              <w:rPr>
                <w:szCs w:val="20"/>
              </w:rPr>
            </w:pPr>
            <w:r w:rsidRPr="00C276DA">
              <w:rPr>
                <w:szCs w:val="20"/>
              </w:rPr>
              <w:t>29.72</w:t>
            </w:r>
          </w:p>
        </w:tc>
        <w:tc>
          <w:tcPr>
            <w:tcW w:w="1671" w:type="dxa"/>
          </w:tcPr>
          <w:p w14:paraId="27DF9C3B" w14:textId="77777777" w:rsidR="00D71AF3" w:rsidRPr="00C276DA" w:rsidRDefault="00D71AF3" w:rsidP="00D71AF3">
            <w:pPr>
              <w:rPr>
                <w:szCs w:val="20"/>
              </w:rPr>
            </w:pPr>
            <w:r w:rsidRPr="00C276DA">
              <w:rPr>
                <w:szCs w:val="20"/>
              </w:rPr>
              <w:t>59.44</w:t>
            </w:r>
          </w:p>
        </w:tc>
      </w:tr>
    </w:tbl>
    <w:p w14:paraId="71FF237B" w14:textId="77777777" w:rsidR="00DC0097" w:rsidRDefault="00DC0097" w:rsidP="00DC0097">
      <w:pPr>
        <w:jc w:val="both"/>
        <w:rPr>
          <w:sz w:val="24"/>
        </w:rPr>
      </w:pPr>
    </w:p>
    <w:p w14:paraId="64011074" w14:textId="77777777" w:rsidR="00DC0097" w:rsidRDefault="00DC0097" w:rsidP="00DC0097">
      <w:pPr>
        <w:ind w:left="1080"/>
        <w:rPr>
          <w:sz w:val="24"/>
        </w:rPr>
      </w:pPr>
      <w:r>
        <w:rPr>
          <w:sz w:val="24"/>
        </w:rPr>
        <w:t>W</w:t>
      </w:r>
      <w:r w:rsidRPr="007414F8">
        <w:rPr>
          <w:sz w:val="24"/>
        </w:rPr>
        <w:t>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7E12C34" w14:textId="77777777" w:rsidR="00DC0097" w:rsidRDefault="00DC0097" w:rsidP="00DC0097">
      <w:pPr>
        <w:ind w:left="1080"/>
        <w:rPr>
          <w:sz w:val="24"/>
        </w:rPr>
      </w:pPr>
    </w:p>
    <w:p w14:paraId="3469763F" w14:textId="77777777" w:rsidR="00DC0097" w:rsidRPr="003F2437" w:rsidRDefault="00DC0097" w:rsidP="00DC0097">
      <w:pPr>
        <w:ind w:left="720"/>
        <w:rPr>
          <w:i/>
          <w:sz w:val="24"/>
        </w:rPr>
      </w:pPr>
      <w:r>
        <w:rPr>
          <w:i/>
          <w:sz w:val="24"/>
        </w:rPr>
        <w:t xml:space="preserve">12.2 </w:t>
      </w:r>
      <w:r w:rsidRPr="003F2437">
        <w:rPr>
          <w:i/>
          <w:sz w:val="24"/>
        </w:rPr>
        <w:t>Burden</w:t>
      </w:r>
      <w:r>
        <w:rPr>
          <w:i/>
          <w:sz w:val="24"/>
        </w:rPr>
        <w:t xml:space="preserve"> Estimates</w:t>
      </w:r>
    </w:p>
    <w:p w14:paraId="4CEA20EF" w14:textId="77777777" w:rsidR="00DC0097" w:rsidRDefault="00DC0097" w:rsidP="00B87484">
      <w:pPr>
        <w:pStyle w:val="BodyTextIndent3"/>
        <w:rPr>
          <w:rFonts w:ascii="Times New (W1)" w:hAnsi="Times New (W1)"/>
        </w:rPr>
      </w:pPr>
    </w:p>
    <w:p w14:paraId="4CFE46B1" w14:textId="77777777" w:rsidR="006845DD" w:rsidRDefault="00CF4A5D" w:rsidP="00B87484">
      <w:pPr>
        <w:pStyle w:val="BodyTextIndent3"/>
        <w:rPr>
          <w:rFonts w:ascii="Times New (W1)" w:hAnsi="Times New (W1)"/>
        </w:rPr>
      </w:pPr>
      <w:r>
        <w:rPr>
          <w:rFonts w:ascii="Times New (W1)" w:hAnsi="Times New (W1)"/>
        </w:rPr>
        <w:t xml:space="preserve">The </w:t>
      </w:r>
      <w:r w:rsidR="00601D03">
        <w:rPr>
          <w:rFonts w:ascii="Times New (W1)" w:hAnsi="Times New (W1)"/>
        </w:rPr>
        <w:t>Excel spreadsheet will be completed for section 5004</w:t>
      </w:r>
      <w:r w:rsidR="006845DD">
        <w:rPr>
          <w:rFonts w:ascii="Times New (W1)" w:hAnsi="Times New (W1)"/>
        </w:rPr>
        <w:t xml:space="preserve">.  We estimate that it will take no longer than </w:t>
      </w:r>
      <w:r w:rsidR="00B52529">
        <w:rPr>
          <w:rFonts w:ascii="Times New (W1)" w:hAnsi="Times New (W1)"/>
        </w:rPr>
        <w:t>2</w:t>
      </w:r>
      <w:r w:rsidR="006B7E1F">
        <w:rPr>
          <w:rFonts w:ascii="Times New (W1)" w:hAnsi="Times New (W1)"/>
        </w:rPr>
        <w:t xml:space="preserve"> hour</w:t>
      </w:r>
      <w:r w:rsidR="004A1781">
        <w:rPr>
          <w:rFonts w:ascii="Times New (W1)" w:hAnsi="Times New (W1)"/>
        </w:rPr>
        <w:t>s</w:t>
      </w:r>
      <w:r w:rsidR="001A1F05">
        <w:rPr>
          <w:rFonts w:ascii="Times New (W1)" w:hAnsi="Times New (W1)"/>
        </w:rPr>
        <w:t xml:space="preserve"> </w:t>
      </w:r>
      <w:r w:rsidR="00D71AF3">
        <w:rPr>
          <w:rFonts w:ascii="Times New (W1)" w:hAnsi="Times New (W1)"/>
        </w:rPr>
        <w:t xml:space="preserve">at </w:t>
      </w:r>
      <w:r w:rsidR="00D71AF3" w:rsidRPr="00D71AF3">
        <w:rPr>
          <w:rFonts w:ascii="Times New Roman" w:hAnsi="Times New Roman"/>
        </w:rPr>
        <w:t>$59.44</w:t>
      </w:r>
      <w:r w:rsidR="00D71AF3">
        <w:rPr>
          <w:rFonts w:ascii="Times New Roman" w:hAnsi="Times New Roman"/>
        </w:rPr>
        <w:t>/hr</w:t>
      </w:r>
      <w:r w:rsidR="00D71AF3" w:rsidRPr="00D71AF3">
        <w:rPr>
          <w:rFonts w:ascii="Times New Roman" w:hAnsi="Times New Roman"/>
        </w:rPr>
        <w:t xml:space="preserve"> for </w:t>
      </w:r>
      <w:r w:rsidR="00D71AF3">
        <w:rPr>
          <w:rFonts w:ascii="Times New Roman" w:hAnsi="Times New Roman"/>
        </w:rPr>
        <w:t>State technical staff</w:t>
      </w:r>
      <w:r w:rsidR="00D71AF3">
        <w:rPr>
          <w:rFonts w:ascii="Times New (W1)" w:hAnsi="Times New (W1)"/>
        </w:rPr>
        <w:t xml:space="preserve"> </w:t>
      </w:r>
      <w:r w:rsidR="006845DD">
        <w:rPr>
          <w:rFonts w:ascii="Times New (W1)" w:hAnsi="Times New (W1)"/>
        </w:rPr>
        <w:t xml:space="preserve">to </w:t>
      </w:r>
      <w:r w:rsidR="00C81AFD">
        <w:rPr>
          <w:rFonts w:ascii="Times New (W1)" w:hAnsi="Times New (W1)"/>
        </w:rPr>
        <w:t>complete</w:t>
      </w:r>
      <w:r w:rsidR="006845DD">
        <w:rPr>
          <w:rFonts w:ascii="Times New (W1)" w:hAnsi="Times New (W1)"/>
        </w:rPr>
        <w:t xml:space="preserve"> and submit</w:t>
      </w:r>
      <w:r w:rsidR="004A1781">
        <w:rPr>
          <w:rFonts w:ascii="Times New (W1)" w:hAnsi="Times New (W1)"/>
        </w:rPr>
        <w:t xml:space="preserve"> the spreadsheet</w:t>
      </w:r>
      <w:r w:rsidR="00601D03">
        <w:rPr>
          <w:rFonts w:ascii="Times New (W1)" w:hAnsi="Times New (W1)"/>
        </w:rPr>
        <w:t xml:space="preserve"> to CMS</w:t>
      </w:r>
      <w:r w:rsidR="004A1781">
        <w:rPr>
          <w:rFonts w:ascii="Times New (W1)" w:hAnsi="Times New (W1)"/>
        </w:rPr>
        <w:t xml:space="preserve"> </w:t>
      </w:r>
      <w:r w:rsidR="00407593">
        <w:rPr>
          <w:rFonts w:ascii="Times New (W1)" w:hAnsi="Times New (W1)"/>
        </w:rPr>
        <w:t xml:space="preserve">for </w:t>
      </w:r>
      <w:r w:rsidR="004A1781">
        <w:rPr>
          <w:rFonts w:ascii="Times New (W1)" w:hAnsi="Times New (W1)"/>
        </w:rPr>
        <w:t xml:space="preserve">each of the four quarters </w:t>
      </w:r>
      <w:r w:rsidR="00407593">
        <w:rPr>
          <w:rFonts w:ascii="Times New (W1)" w:hAnsi="Times New (W1)"/>
        </w:rPr>
        <w:t xml:space="preserve">in </w:t>
      </w:r>
      <w:r w:rsidR="004A1781">
        <w:rPr>
          <w:rFonts w:ascii="Times New (W1)" w:hAnsi="Times New (W1)"/>
        </w:rPr>
        <w:t>each Federal fiscal year (FY)</w:t>
      </w:r>
      <w:r w:rsidR="00601D03">
        <w:rPr>
          <w:rFonts w:ascii="Times New (W1)" w:hAnsi="Times New (W1)"/>
        </w:rPr>
        <w:t>.  The required number of respondents is the 50</w:t>
      </w:r>
      <w:r w:rsidR="00273CC0">
        <w:rPr>
          <w:rFonts w:ascii="Times New (W1)" w:hAnsi="Times New (W1)"/>
        </w:rPr>
        <w:t xml:space="preserve"> States</w:t>
      </w:r>
      <w:r w:rsidR="00601D03">
        <w:rPr>
          <w:rFonts w:ascii="Times New (W1)" w:hAnsi="Times New (W1)"/>
        </w:rPr>
        <w:t xml:space="preserve">. </w:t>
      </w:r>
      <w:r w:rsidR="00C81AFD">
        <w:rPr>
          <w:rFonts w:ascii="Times New (W1)" w:hAnsi="Times New (W1)"/>
        </w:rPr>
        <w:t xml:space="preserve"> </w:t>
      </w:r>
      <w:r w:rsidR="00804D6E">
        <w:rPr>
          <w:rFonts w:ascii="Times New (W1)" w:hAnsi="Times New (W1)"/>
        </w:rPr>
        <w:t xml:space="preserve">In subsequent years, four quarterly reports will be required for section 5004, until the authority </w:t>
      </w:r>
      <w:r w:rsidR="00AC5BBF">
        <w:rPr>
          <w:rFonts w:ascii="Times New (W1)" w:hAnsi="Times New (W1)"/>
        </w:rPr>
        <w:t>under</w:t>
      </w:r>
      <w:r w:rsidR="00804D6E">
        <w:rPr>
          <w:rFonts w:ascii="Times New (W1)" w:hAnsi="Times New (W1)"/>
        </w:rPr>
        <w:t xml:space="preserve"> the Recovery Act sunsets. </w:t>
      </w:r>
      <w:r w:rsidR="00F173AC">
        <w:rPr>
          <w:rFonts w:ascii="Times New (W1)" w:hAnsi="Times New (W1)"/>
        </w:rPr>
        <w:t xml:space="preserve"> </w:t>
      </w:r>
      <w:r w:rsidR="00A55300">
        <w:rPr>
          <w:rFonts w:ascii="Times New (W1)" w:hAnsi="Times New (W1)"/>
        </w:rPr>
        <w:t xml:space="preserve">Until that time, </w:t>
      </w:r>
      <w:r w:rsidR="00A37C60">
        <w:rPr>
          <w:rFonts w:ascii="Times New (W1)" w:hAnsi="Times New (W1)"/>
        </w:rPr>
        <w:t>t</w:t>
      </w:r>
      <w:r w:rsidR="001E2231">
        <w:rPr>
          <w:rFonts w:ascii="Times New (W1)" w:hAnsi="Times New (W1)"/>
        </w:rPr>
        <w:t>he</w:t>
      </w:r>
      <w:r w:rsidR="00407593">
        <w:rPr>
          <w:rFonts w:ascii="Times New (W1)" w:hAnsi="Times New (W1)"/>
        </w:rPr>
        <w:t xml:space="preserve"> total </w:t>
      </w:r>
      <w:r w:rsidR="00A55300">
        <w:rPr>
          <w:rFonts w:ascii="Times New (W1)" w:hAnsi="Times New (W1)"/>
        </w:rPr>
        <w:t xml:space="preserve">annual </w:t>
      </w:r>
      <w:r w:rsidR="00407593">
        <w:rPr>
          <w:rFonts w:ascii="Times New (W1)" w:hAnsi="Times New (W1)"/>
        </w:rPr>
        <w:t xml:space="preserve">burden </w:t>
      </w:r>
      <w:r w:rsidR="00A55300">
        <w:rPr>
          <w:rFonts w:ascii="Times New (W1)" w:hAnsi="Times New (W1)"/>
        </w:rPr>
        <w:t xml:space="preserve">is </w:t>
      </w:r>
      <w:r w:rsidR="00AC5BBF">
        <w:rPr>
          <w:rFonts w:ascii="Times New (W1)" w:hAnsi="Times New (W1)"/>
        </w:rPr>
        <w:t>4</w:t>
      </w:r>
      <w:r w:rsidR="00C2114B">
        <w:rPr>
          <w:rFonts w:ascii="Times New (W1)" w:hAnsi="Times New (W1)"/>
        </w:rPr>
        <w:t>00</w:t>
      </w:r>
      <w:r w:rsidR="001E2231">
        <w:rPr>
          <w:rFonts w:ascii="Times New (W1)" w:hAnsi="Times New (W1)"/>
        </w:rPr>
        <w:t xml:space="preserve"> hours.</w:t>
      </w:r>
    </w:p>
    <w:p w14:paraId="51EAD448" w14:textId="77777777" w:rsidR="006845DD" w:rsidRPr="00D71AF3" w:rsidRDefault="006845DD">
      <w:pPr>
        <w:pStyle w:val="BodyTextIndent3"/>
        <w:rPr>
          <w:rFonts w:ascii="Times New Roman" w:hAnsi="Times New Roman"/>
        </w:rPr>
      </w:pPr>
    </w:p>
    <w:p w14:paraId="38DEC225" w14:textId="77777777" w:rsidR="006845DD" w:rsidRDefault="00D71AF3" w:rsidP="00B87484">
      <w:pPr>
        <w:pStyle w:val="BodyTextIndent3"/>
        <w:rPr>
          <w:rFonts w:ascii="Times New (W1)" w:hAnsi="Times New (W1)"/>
        </w:rPr>
      </w:pPr>
      <w:r>
        <w:rPr>
          <w:rFonts w:ascii="Times New Roman" w:hAnsi="Times New Roman"/>
        </w:rPr>
        <w:t>T</w:t>
      </w:r>
      <w:r w:rsidR="00E27A24" w:rsidRPr="00D71AF3">
        <w:rPr>
          <w:rFonts w:ascii="Times New Roman" w:hAnsi="Times New Roman"/>
        </w:rPr>
        <w:t xml:space="preserve">he </w:t>
      </w:r>
      <w:r w:rsidR="00A10BF8" w:rsidRPr="00D71AF3">
        <w:rPr>
          <w:rFonts w:ascii="Times New Roman" w:hAnsi="Times New Roman"/>
        </w:rPr>
        <w:t xml:space="preserve">total </w:t>
      </w:r>
      <w:r w:rsidR="00A55300" w:rsidRPr="00D71AF3">
        <w:rPr>
          <w:rFonts w:ascii="Times New Roman" w:hAnsi="Times New Roman"/>
        </w:rPr>
        <w:t xml:space="preserve">annual </w:t>
      </w:r>
      <w:r w:rsidR="00E27A24" w:rsidRPr="00D71AF3">
        <w:rPr>
          <w:rFonts w:ascii="Times New Roman" w:hAnsi="Times New Roman"/>
        </w:rPr>
        <w:t xml:space="preserve">cost is estimated </w:t>
      </w:r>
      <w:r>
        <w:rPr>
          <w:rFonts w:ascii="Times New Roman" w:hAnsi="Times New Roman"/>
        </w:rPr>
        <w:t xml:space="preserve">to be </w:t>
      </w:r>
      <w:r w:rsidR="00A10BF8" w:rsidRPr="00D71AF3">
        <w:rPr>
          <w:rFonts w:ascii="Times New Roman" w:hAnsi="Times New Roman"/>
        </w:rPr>
        <w:t>$</w:t>
      </w:r>
      <w:r w:rsidR="00A55300" w:rsidRPr="00D71AF3">
        <w:rPr>
          <w:rFonts w:ascii="Times New Roman" w:hAnsi="Times New Roman"/>
        </w:rPr>
        <w:t>2</w:t>
      </w:r>
      <w:r>
        <w:rPr>
          <w:rFonts w:ascii="Times New Roman" w:hAnsi="Times New Roman"/>
        </w:rPr>
        <w:t>3</w:t>
      </w:r>
      <w:r w:rsidR="00A10BF8">
        <w:rPr>
          <w:rFonts w:ascii="Times New (W1)" w:hAnsi="Times New (W1)"/>
        </w:rPr>
        <w:t>,</w:t>
      </w:r>
      <w:r>
        <w:rPr>
          <w:rFonts w:ascii="Times New (W1)" w:hAnsi="Times New (W1)"/>
        </w:rPr>
        <w:t>776</w:t>
      </w:r>
      <w:r w:rsidR="00A10BF8">
        <w:rPr>
          <w:rFonts w:ascii="Times New (W1)" w:hAnsi="Times New (W1)"/>
        </w:rPr>
        <w:t>.</w:t>
      </w:r>
    </w:p>
    <w:p w14:paraId="54CAE62C" w14:textId="77777777" w:rsidR="006845DD" w:rsidRDefault="006845DD">
      <w:pPr>
        <w:rPr>
          <w:rFonts w:ascii="Times New (W1)" w:hAnsi="Times New (W1)"/>
          <w:sz w:val="24"/>
        </w:rPr>
      </w:pPr>
    </w:p>
    <w:p w14:paraId="06ED12EF" w14:textId="77777777" w:rsidR="006845DD" w:rsidRDefault="006845DD">
      <w:pPr>
        <w:numPr>
          <w:ilvl w:val="0"/>
          <w:numId w:val="2"/>
        </w:numPr>
        <w:rPr>
          <w:rFonts w:ascii="Times New (W1)" w:hAnsi="Times New (W1)"/>
          <w:sz w:val="24"/>
          <w:u w:val="single"/>
        </w:rPr>
      </w:pPr>
      <w:r>
        <w:rPr>
          <w:rFonts w:ascii="Times New (W1)" w:hAnsi="Times New (W1)"/>
          <w:sz w:val="24"/>
          <w:u w:val="single"/>
        </w:rPr>
        <w:t>Capital Costs (Maintenance of Capital Costs)</w:t>
      </w:r>
    </w:p>
    <w:p w14:paraId="4FFC1258" w14:textId="77777777" w:rsidR="00572A5C" w:rsidRDefault="00572A5C">
      <w:pPr>
        <w:pStyle w:val="BodyTextIndent2"/>
        <w:ind w:left="1080"/>
        <w:rPr>
          <w:rFonts w:ascii="Times New (W1)" w:hAnsi="Times New (W1)"/>
        </w:rPr>
      </w:pPr>
    </w:p>
    <w:p w14:paraId="1458AAAA" w14:textId="77777777" w:rsidR="006845DD" w:rsidRDefault="004E14A6">
      <w:pPr>
        <w:pStyle w:val="BodyTextIndent2"/>
        <w:ind w:left="1080"/>
        <w:rPr>
          <w:rFonts w:ascii="Times New (W1)" w:hAnsi="Times New (W1)"/>
        </w:rPr>
      </w:pPr>
      <w:r>
        <w:rPr>
          <w:rFonts w:ascii="Times New (W1)" w:hAnsi="Times New (W1)"/>
        </w:rPr>
        <w:t>There are no capital costs.</w:t>
      </w:r>
    </w:p>
    <w:p w14:paraId="2897F66E" w14:textId="77777777" w:rsidR="006845DD" w:rsidRDefault="006845DD">
      <w:pPr>
        <w:ind w:left="720"/>
        <w:rPr>
          <w:rFonts w:ascii="Times New (W1)" w:hAnsi="Times New (W1)"/>
          <w:sz w:val="24"/>
        </w:rPr>
      </w:pPr>
    </w:p>
    <w:p w14:paraId="68D5960D" w14:textId="77777777" w:rsidR="006845DD" w:rsidRDefault="006845DD">
      <w:pPr>
        <w:numPr>
          <w:ilvl w:val="0"/>
          <w:numId w:val="2"/>
        </w:numPr>
        <w:rPr>
          <w:rFonts w:ascii="Times New (W1)" w:hAnsi="Times New (W1)"/>
          <w:sz w:val="24"/>
          <w:u w:val="single"/>
        </w:rPr>
      </w:pPr>
      <w:r>
        <w:rPr>
          <w:rFonts w:ascii="Times New (W1)" w:hAnsi="Times New (W1)"/>
          <w:sz w:val="24"/>
          <w:u w:val="single"/>
        </w:rPr>
        <w:t>Cost to Federal Government</w:t>
      </w:r>
    </w:p>
    <w:p w14:paraId="64EA647C" w14:textId="77777777" w:rsidR="00572A5C" w:rsidRDefault="00572A5C">
      <w:pPr>
        <w:pStyle w:val="BodyTextIndent3"/>
        <w:rPr>
          <w:rFonts w:ascii="Times New (W1)" w:hAnsi="Times New (W1)"/>
        </w:rPr>
      </w:pPr>
    </w:p>
    <w:p w14:paraId="0B98BDB8" w14:textId="77777777" w:rsidR="00055B5E" w:rsidRPr="00055B5E" w:rsidRDefault="00055B5E" w:rsidP="00055B5E">
      <w:pPr>
        <w:ind w:left="1080"/>
        <w:rPr>
          <w:sz w:val="24"/>
        </w:rPr>
      </w:pPr>
      <w:r w:rsidRPr="00055B5E">
        <w:rPr>
          <w:sz w:val="24"/>
        </w:rPr>
        <w:lastRenderedPageBreak/>
        <w:t>To derive average costs, we used data from OPM’s 2016 base salary for the Baltimore/Washington, D.C. region at the GS-13, step 5 level (</w:t>
      </w:r>
      <w:hyperlink r:id="rId8" w:history="1">
        <w:r w:rsidRPr="00055B5E">
          <w:rPr>
            <w:rStyle w:val="Hyperlink"/>
            <w:sz w:val="24"/>
          </w:rPr>
          <w:t>www.opm.gov/policy-data-oversight/pay-leave/salaries-wages/salary-tables/pdf/2016/DCB_h.pdf</w:t>
        </w:r>
      </w:hyperlink>
      <w:r w:rsidRPr="00055B5E">
        <w:rPr>
          <w:sz w:val="24"/>
        </w:rPr>
        <w:t>). In this regard, the following table presents the mean hourly wage, the cost of fringe benefits (calculated at 100 percent of salary), and the adjusted hourly wage.</w:t>
      </w:r>
    </w:p>
    <w:p w14:paraId="7DB30485" w14:textId="77777777" w:rsidR="00055B5E" w:rsidRPr="00055B5E" w:rsidRDefault="00055B5E" w:rsidP="00055B5E">
      <w:pPr>
        <w:ind w:left="1080" w:firstLine="720"/>
        <w:rPr>
          <w:sz w:val="24"/>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00"/>
        <w:gridCol w:w="1890"/>
        <w:gridCol w:w="1980"/>
      </w:tblGrid>
      <w:tr w:rsidR="00055B5E" w:rsidRPr="00055B5E" w14:paraId="2BD802A5" w14:textId="77777777" w:rsidTr="003C03CF">
        <w:tc>
          <w:tcPr>
            <w:tcW w:w="1800" w:type="dxa"/>
            <w:tcBorders>
              <w:top w:val="single" w:sz="4" w:space="0" w:color="auto"/>
              <w:left w:val="single" w:sz="4" w:space="0" w:color="auto"/>
              <w:bottom w:val="single" w:sz="4" w:space="0" w:color="auto"/>
              <w:right w:val="single" w:sz="4" w:space="0" w:color="auto"/>
            </w:tcBorders>
            <w:hideMark/>
          </w:tcPr>
          <w:p w14:paraId="57C169DC" w14:textId="77777777" w:rsidR="00055B5E" w:rsidRPr="00055B5E" w:rsidRDefault="00055B5E" w:rsidP="003C03CF">
            <w:pPr>
              <w:ind w:left="72"/>
              <w:rPr>
                <w:sz w:val="24"/>
              </w:rPr>
            </w:pPr>
            <w:r w:rsidRPr="00055B5E">
              <w:rPr>
                <w:sz w:val="24"/>
              </w:rPr>
              <w:t>Grade (Step)</w:t>
            </w:r>
          </w:p>
        </w:tc>
        <w:tc>
          <w:tcPr>
            <w:tcW w:w="1800" w:type="dxa"/>
            <w:tcBorders>
              <w:top w:val="single" w:sz="4" w:space="0" w:color="auto"/>
              <w:left w:val="single" w:sz="4" w:space="0" w:color="auto"/>
              <w:bottom w:val="single" w:sz="4" w:space="0" w:color="auto"/>
              <w:right w:val="single" w:sz="4" w:space="0" w:color="auto"/>
            </w:tcBorders>
            <w:hideMark/>
          </w:tcPr>
          <w:p w14:paraId="32070D64" w14:textId="77777777" w:rsidR="00055B5E" w:rsidRPr="00055B5E" w:rsidRDefault="00055B5E" w:rsidP="003C03CF">
            <w:pPr>
              <w:ind w:left="72"/>
              <w:rPr>
                <w:sz w:val="24"/>
              </w:rPr>
            </w:pPr>
            <w:r w:rsidRPr="00055B5E">
              <w:rPr>
                <w:sz w:val="24"/>
              </w:rPr>
              <w:t>Hourly Wage ($/hr)</w:t>
            </w:r>
          </w:p>
        </w:tc>
        <w:tc>
          <w:tcPr>
            <w:tcW w:w="1890" w:type="dxa"/>
            <w:tcBorders>
              <w:top w:val="single" w:sz="4" w:space="0" w:color="auto"/>
              <w:left w:val="single" w:sz="4" w:space="0" w:color="auto"/>
              <w:bottom w:val="single" w:sz="4" w:space="0" w:color="auto"/>
              <w:right w:val="single" w:sz="4" w:space="0" w:color="auto"/>
            </w:tcBorders>
            <w:hideMark/>
          </w:tcPr>
          <w:p w14:paraId="53998174" w14:textId="77777777" w:rsidR="00055B5E" w:rsidRPr="00055B5E" w:rsidRDefault="00055B5E" w:rsidP="003C03CF">
            <w:pPr>
              <w:ind w:left="72"/>
              <w:rPr>
                <w:sz w:val="24"/>
              </w:rPr>
            </w:pPr>
            <w:r w:rsidRPr="00055B5E">
              <w:rPr>
                <w:sz w:val="24"/>
              </w:rPr>
              <w:t>Fringe Benefit ($/hr)</w:t>
            </w:r>
          </w:p>
        </w:tc>
        <w:tc>
          <w:tcPr>
            <w:tcW w:w="1980" w:type="dxa"/>
            <w:tcBorders>
              <w:top w:val="single" w:sz="4" w:space="0" w:color="auto"/>
              <w:left w:val="single" w:sz="4" w:space="0" w:color="auto"/>
              <w:bottom w:val="single" w:sz="4" w:space="0" w:color="auto"/>
              <w:right w:val="single" w:sz="4" w:space="0" w:color="auto"/>
            </w:tcBorders>
            <w:hideMark/>
          </w:tcPr>
          <w:p w14:paraId="43082DF6" w14:textId="77777777" w:rsidR="00055B5E" w:rsidRPr="00055B5E" w:rsidRDefault="00055B5E" w:rsidP="003C03CF">
            <w:pPr>
              <w:ind w:left="72"/>
              <w:rPr>
                <w:sz w:val="24"/>
              </w:rPr>
            </w:pPr>
            <w:r w:rsidRPr="00055B5E">
              <w:rPr>
                <w:sz w:val="24"/>
              </w:rPr>
              <w:t>Adjusted Hourly Wage ($/hr)</w:t>
            </w:r>
          </w:p>
        </w:tc>
      </w:tr>
      <w:tr w:rsidR="00055B5E" w:rsidRPr="00055B5E" w14:paraId="690573E0" w14:textId="77777777" w:rsidTr="003C03CF">
        <w:tc>
          <w:tcPr>
            <w:tcW w:w="1800" w:type="dxa"/>
            <w:tcBorders>
              <w:top w:val="single" w:sz="4" w:space="0" w:color="auto"/>
              <w:left w:val="single" w:sz="4" w:space="0" w:color="auto"/>
              <w:bottom w:val="single" w:sz="4" w:space="0" w:color="auto"/>
              <w:right w:val="single" w:sz="4" w:space="0" w:color="auto"/>
            </w:tcBorders>
          </w:tcPr>
          <w:p w14:paraId="18EA4A56" w14:textId="77777777" w:rsidR="00055B5E" w:rsidRPr="00055B5E" w:rsidRDefault="00055B5E" w:rsidP="003C03CF">
            <w:pPr>
              <w:ind w:left="72"/>
              <w:rPr>
                <w:sz w:val="24"/>
              </w:rPr>
            </w:pPr>
            <w:r w:rsidRPr="00055B5E">
              <w:rPr>
                <w:sz w:val="24"/>
              </w:rPr>
              <w:t>GS-13 (step 5)</w:t>
            </w:r>
          </w:p>
        </w:tc>
        <w:tc>
          <w:tcPr>
            <w:tcW w:w="1800" w:type="dxa"/>
            <w:tcBorders>
              <w:top w:val="single" w:sz="4" w:space="0" w:color="auto"/>
              <w:left w:val="single" w:sz="4" w:space="0" w:color="auto"/>
              <w:bottom w:val="single" w:sz="4" w:space="0" w:color="auto"/>
              <w:right w:val="single" w:sz="4" w:space="0" w:color="auto"/>
            </w:tcBorders>
          </w:tcPr>
          <w:p w14:paraId="6F328946" w14:textId="77777777" w:rsidR="00055B5E" w:rsidRPr="00055B5E" w:rsidRDefault="00055B5E" w:rsidP="003C03CF">
            <w:pPr>
              <w:ind w:left="72"/>
              <w:rPr>
                <w:sz w:val="24"/>
              </w:rPr>
            </w:pPr>
            <w:r w:rsidRPr="00055B5E">
              <w:rPr>
                <w:sz w:val="24"/>
              </w:rPr>
              <w:t>50.04</w:t>
            </w:r>
          </w:p>
        </w:tc>
        <w:tc>
          <w:tcPr>
            <w:tcW w:w="1890" w:type="dxa"/>
            <w:tcBorders>
              <w:top w:val="single" w:sz="4" w:space="0" w:color="auto"/>
              <w:left w:val="single" w:sz="4" w:space="0" w:color="auto"/>
              <w:bottom w:val="single" w:sz="4" w:space="0" w:color="auto"/>
              <w:right w:val="single" w:sz="4" w:space="0" w:color="auto"/>
            </w:tcBorders>
            <w:hideMark/>
          </w:tcPr>
          <w:p w14:paraId="00C93FF0" w14:textId="77777777" w:rsidR="00055B5E" w:rsidRPr="00055B5E" w:rsidRDefault="00055B5E" w:rsidP="003C03CF">
            <w:pPr>
              <w:ind w:left="72"/>
              <w:rPr>
                <w:sz w:val="24"/>
              </w:rPr>
            </w:pPr>
            <w:r w:rsidRPr="00055B5E">
              <w:rPr>
                <w:sz w:val="24"/>
              </w:rPr>
              <w:t>50.04</w:t>
            </w:r>
          </w:p>
        </w:tc>
        <w:tc>
          <w:tcPr>
            <w:tcW w:w="1980" w:type="dxa"/>
            <w:tcBorders>
              <w:top w:val="single" w:sz="4" w:space="0" w:color="auto"/>
              <w:left w:val="single" w:sz="4" w:space="0" w:color="auto"/>
              <w:bottom w:val="single" w:sz="4" w:space="0" w:color="auto"/>
              <w:right w:val="single" w:sz="4" w:space="0" w:color="auto"/>
            </w:tcBorders>
            <w:hideMark/>
          </w:tcPr>
          <w:p w14:paraId="43A69741" w14:textId="77777777" w:rsidR="00055B5E" w:rsidRPr="00055B5E" w:rsidRDefault="00055B5E" w:rsidP="003C03CF">
            <w:pPr>
              <w:ind w:left="72"/>
              <w:rPr>
                <w:sz w:val="24"/>
              </w:rPr>
            </w:pPr>
            <w:r w:rsidRPr="00055B5E">
              <w:rPr>
                <w:sz w:val="24"/>
              </w:rPr>
              <w:t>100.08</w:t>
            </w:r>
          </w:p>
        </w:tc>
      </w:tr>
    </w:tbl>
    <w:p w14:paraId="113B46D3" w14:textId="77777777" w:rsidR="00055B5E" w:rsidRPr="00055B5E" w:rsidRDefault="00055B5E" w:rsidP="00055B5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p>
    <w:p w14:paraId="2A18B617" w14:textId="77777777" w:rsidR="00055B5E" w:rsidRPr="00055B5E" w:rsidRDefault="00055B5E" w:rsidP="00055B5E">
      <w:pPr>
        <w:ind w:left="1080"/>
        <w:rPr>
          <w:sz w:val="24"/>
        </w:rPr>
      </w:pPr>
      <w:r w:rsidRPr="00055B5E">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w:t>
      </w:r>
    </w:p>
    <w:p w14:paraId="110E54FE" w14:textId="77777777" w:rsidR="00055B5E" w:rsidRPr="00055B5E" w:rsidRDefault="00055B5E" w:rsidP="00055B5E">
      <w:pPr>
        <w:ind w:left="1080"/>
        <w:rPr>
          <w:sz w:val="24"/>
        </w:rPr>
      </w:pPr>
    </w:p>
    <w:p w14:paraId="6DDF566F" w14:textId="5697FAD2" w:rsidR="00055B5E" w:rsidRPr="00055B5E" w:rsidRDefault="00055B5E" w:rsidP="00055B5E">
      <w:pPr>
        <w:ind w:left="1080"/>
        <w:rPr>
          <w:sz w:val="24"/>
        </w:rPr>
      </w:pPr>
      <w:r w:rsidRPr="00055B5E">
        <w:rPr>
          <w:sz w:val="24"/>
        </w:rPr>
        <w:t>Th</w:t>
      </w:r>
      <w:r w:rsidR="004D6B0E">
        <w:rPr>
          <w:sz w:val="24"/>
        </w:rPr>
        <w:t>e</w:t>
      </w:r>
      <w:r w:rsidRPr="00055B5E">
        <w:rPr>
          <w:sz w:val="24"/>
        </w:rPr>
        <w:t xml:space="preserve"> following </w:t>
      </w:r>
      <w:r w:rsidR="004D6B0E">
        <w:rPr>
          <w:sz w:val="24"/>
        </w:rPr>
        <w:t>annualized</w:t>
      </w:r>
      <w:r w:rsidRPr="00055B5E">
        <w:rPr>
          <w:sz w:val="24"/>
        </w:rPr>
        <w:t xml:space="preserve"> cost </w:t>
      </w:r>
      <w:r w:rsidR="004D6B0E">
        <w:rPr>
          <w:sz w:val="24"/>
        </w:rPr>
        <w:t xml:space="preserve">to the federal government </w:t>
      </w:r>
      <w:r w:rsidRPr="00055B5E">
        <w:rPr>
          <w:sz w:val="24"/>
        </w:rPr>
        <w:t xml:space="preserve">is based on the </w:t>
      </w:r>
      <w:r w:rsidR="004D6B0E">
        <w:rPr>
          <w:sz w:val="24"/>
        </w:rPr>
        <w:t>estimated time required to compile and review data collected quarterly from each state and compile the results into an annual report to Congress.  This includes</w:t>
      </w:r>
      <w:r w:rsidRPr="00055B5E">
        <w:rPr>
          <w:sz w:val="24"/>
        </w:rPr>
        <w:t xml:space="preserve"> an estimate </w:t>
      </w:r>
      <w:r w:rsidR="004D6B0E">
        <w:rPr>
          <w:sz w:val="24"/>
        </w:rPr>
        <w:t xml:space="preserve">of </w:t>
      </w:r>
      <w:r w:rsidRPr="00055B5E">
        <w:rPr>
          <w:sz w:val="24"/>
        </w:rPr>
        <w:t xml:space="preserve">wages of key reviewers and support staff. </w:t>
      </w:r>
    </w:p>
    <w:p w14:paraId="2C03C913" w14:textId="77777777" w:rsidR="00055B5E" w:rsidRPr="00055B5E" w:rsidRDefault="00055B5E" w:rsidP="00055B5E">
      <w:pPr>
        <w:ind w:left="1080"/>
        <w:rPr>
          <w:sz w:val="24"/>
        </w:rPr>
      </w:pPr>
    </w:p>
    <w:p w14:paraId="2845B558" w14:textId="77777777" w:rsidR="00055B5E" w:rsidRPr="00055B5E" w:rsidRDefault="00055B5E" w:rsidP="00055B5E">
      <w:pPr>
        <w:ind w:left="1080"/>
        <w:jc w:val="center"/>
        <w:rPr>
          <w:b/>
          <w:sz w:val="24"/>
        </w:rPr>
      </w:pPr>
      <w:r w:rsidRPr="00055B5E">
        <w:rPr>
          <w:b/>
          <w:sz w:val="24"/>
        </w:rPr>
        <w:t>Annualized Cost to Federal Government</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150"/>
        <w:gridCol w:w="1620"/>
      </w:tblGrid>
      <w:tr w:rsidR="004D6B0E" w:rsidRPr="00055B5E" w14:paraId="60D1D701" w14:textId="77777777" w:rsidTr="004D6B0E">
        <w:tc>
          <w:tcPr>
            <w:tcW w:w="3240" w:type="dxa"/>
            <w:vAlign w:val="center"/>
          </w:tcPr>
          <w:p w14:paraId="154AC9D6" w14:textId="7AE4457B" w:rsidR="00055B5E" w:rsidRPr="00055B5E" w:rsidRDefault="004D6B0E" w:rsidP="004D6B0E">
            <w:pPr>
              <w:ind w:left="72"/>
              <w:rPr>
                <w:sz w:val="24"/>
              </w:rPr>
            </w:pPr>
            <w:r>
              <w:rPr>
                <w:sz w:val="24"/>
              </w:rPr>
              <w:t xml:space="preserve">CMS Staff Enter </w:t>
            </w:r>
            <w:r w:rsidR="00911676">
              <w:rPr>
                <w:sz w:val="24"/>
              </w:rPr>
              <w:t xml:space="preserve">States’ </w:t>
            </w:r>
            <w:r>
              <w:rPr>
                <w:sz w:val="24"/>
              </w:rPr>
              <w:t>Quarterly Reports into a Database</w:t>
            </w:r>
          </w:p>
        </w:tc>
        <w:tc>
          <w:tcPr>
            <w:tcW w:w="3150" w:type="dxa"/>
            <w:vAlign w:val="center"/>
          </w:tcPr>
          <w:p w14:paraId="712DDA8D" w14:textId="26E32B2B" w:rsidR="00055B5E" w:rsidRPr="00055B5E" w:rsidRDefault="00055B5E" w:rsidP="004D6B0E">
            <w:pPr>
              <w:ind w:left="72"/>
              <w:rPr>
                <w:sz w:val="24"/>
              </w:rPr>
            </w:pPr>
            <w:r w:rsidRPr="00055B5E">
              <w:rPr>
                <w:sz w:val="24"/>
              </w:rPr>
              <w:t>(</w:t>
            </w:r>
            <w:r w:rsidR="004D6B0E">
              <w:rPr>
                <w:sz w:val="24"/>
              </w:rPr>
              <w:t>1/4</w:t>
            </w:r>
            <w:r w:rsidRPr="00055B5E">
              <w:rPr>
                <w:sz w:val="24"/>
              </w:rPr>
              <w:t xml:space="preserve">) hour x $100.08/hr x </w:t>
            </w:r>
            <w:r w:rsidR="004D6B0E">
              <w:rPr>
                <w:sz w:val="24"/>
              </w:rPr>
              <w:t>50 states x 4 quarters</w:t>
            </w:r>
          </w:p>
        </w:tc>
        <w:tc>
          <w:tcPr>
            <w:tcW w:w="1620" w:type="dxa"/>
            <w:shd w:val="clear" w:color="auto" w:fill="auto"/>
            <w:vAlign w:val="center"/>
          </w:tcPr>
          <w:p w14:paraId="07263BD4" w14:textId="26DE5DBB" w:rsidR="00055B5E" w:rsidRPr="00055B5E" w:rsidRDefault="00055B5E" w:rsidP="00911676">
            <w:pPr>
              <w:ind w:left="72"/>
              <w:rPr>
                <w:sz w:val="24"/>
              </w:rPr>
            </w:pPr>
            <w:r w:rsidRPr="00055B5E">
              <w:rPr>
                <w:sz w:val="24"/>
              </w:rPr>
              <w:t>$</w:t>
            </w:r>
            <w:r w:rsidR="004D6B0E">
              <w:rPr>
                <w:sz w:val="24"/>
              </w:rPr>
              <w:t>5</w:t>
            </w:r>
            <w:r w:rsidRPr="00055B5E">
              <w:rPr>
                <w:sz w:val="24"/>
              </w:rPr>
              <w:t>,0</w:t>
            </w:r>
            <w:r w:rsidR="004D6B0E">
              <w:rPr>
                <w:sz w:val="24"/>
              </w:rPr>
              <w:t>04</w:t>
            </w:r>
          </w:p>
        </w:tc>
      </w:tr>
      <w:tr w:rsidR="004D6B0E" w:rsidRPr="00055B5E" w14:paraId="6C5FC941" w14:textId="77777777" w:rsidTr="004D6B0E">
        <w:tc>
          <w:tcPr>
            <w:tcW w:w="3240" w:type="dxa"/>
            <w:vAlign w:val="center"/>
          </w:tcPr>
          <w:p w14:paraId="6D323AE5" w14:textId="04DEF3F5" w:rsidR="00055B5E" w:rsidRPr="00055B5E" w:rsidRDefault="00055B5E" w:rsidP="004D6B0E">
            <w:pPr>
              <w:ind w:left="72"/>
              <w:rPr>
                <w:sz w:val="24"/>
              </w:rPr>
            </w:pPr>
            <w:r w:rsidRPr="00055B5E">
              <w:rPr>
                <w:sz w:val="24"/>
              </w:rPr>
              <w:t>CMS Staff</w:t>
            </w:r>
            <w:r w:rsidR="004D6B0E">
              <w:rPr>
                <w:sz w:val="24"/>
              </w:rPr>
              <w:t xml:space="preserve"> Review &amp; Analyze Data</w:t>
            </w:r>
          </w:p>
        </w:tc>
        <w:tc>
          <w:tcPr>
            <w:tcW w:w="3150" w:type="dxa"/>
            <w:vAlign w:val="center"/>
          </w:tcPr>
          <w:p w14:paraId="3B0A54DC" w14:textId="5E4CAB6A" w:rsidR="00055B5E" w:rsidRPr="00055B5E" w:rsidRDefault="00055B5E" w:rsidP="00911676">
            <w:pPr>
              <w:ind w:left="72"/>
              <w:rPr>
                <w:sz w:val="24"/>
              </w:rPr>
            </w:pPr>
            <w:r w:rsidRPr="00055B5E">
              <w:rPr>
                <w:sz w:val="24"/>
              </w:rPr>
              <w:t>(</w:t>
            </w:r>
            <w:r w:rsidR="00911676">
              <w:rPr>
                <w:sz w:val="24"/>
              </w:rPr>
              <w:t>2</w:t>
            </w:r>
            <w:r w:rsidRPr="00055B5E">
              <w:rPr>
                <w:sz w:val="24"/>
              </w:rPr>
              <w:t xml:space="preserve">) hours x $100.08/hr x </w:t>
            </w:r>
            <w:r w:rsidR="00911676">
              <w:rPr>
                <w:sz w:val="24"/>
              </w:rPr>
              <w:t>50</w:t>
            </w:r>
            <w:r w:rsidRPr="00055B5E">
              <w:rPr>
                <w:sz w:val="24"/>
              </w:rPr>
              <w:t xml:space="preserve"> </w:t>
            </w:r>
            <w:r w:rsidR="00911676">
              <w:rPr>
                <w:sz w:val="24"/>
              </w:rPr>
              <w:t>states</w:t>
            </w:r>
          </w:p>
        </w:tc>
        <w:tc>
          <w:tcPr>
            <w:tcW w:w="1620" w:type="dxa"/>
            <w:shd w:val="clear" w:color="auto" w:fill="auto"/>
            <w:vAlign w:val="center"/>
          </w:tcPr>
          <w:p w14:paraId="16664488" w14:textId="5D96F618" w:rsidR="00055B5E" w:rsidRPr="00055B5E" w:rsidRDefault="00055B5E" w:rsidP="00911676">
            <w:pPr>
              <w:ind w:left="72"/>
              <w:rPr>
                <w:sz w:val="24"/>
              </w:rPr>
            </w:pPr>
            <w:r w:rsidRPr="00055B5E">
              <w:rPr>
                <w:sz w:val="24"/>
              </w:rPr>
              <w:t>$</w:t>
            </w:r>
            <w:r w:rsidR="00911676">
              <w:rPr>
                <w:sz w:val="24"/>
              </w:rPr>
              <w:t>10,008</w:t>
            </w:r>
          </w:p>
        </w:tc>
      </w:tr>
      <w:tr w:rsidR="004D6B0E" w:rsidRPr="00055B5E" w14:paraId="7104DBF0" w14:textId="77777777" w:rsidTr="004D6B0E">
        <w:tc>
          <w:tcPr>
            <w:tcW w:w="3240" w:type="dxa"/>
            <w:vAlign w:val="center"/>
          </w:tcPr>
          <w:p w14:paraId="31B8B721" w14:textId="77777777" w:rsidR="00055B5E" w:rsidRPr="00055B5E" w:rsidRDefault="00055B5E" w:rsidP="003C03CF">
            <w:pPr>
              <w:ind w:left="72"/>
              <w:rPr>
                <w:sz w:val="24"/>
              </w:rPr>
            </w:pPr>
            <w:r w:rsidRPr="00055B5E">
              <w:rPr>
                <w:sz w:val="24"/>
              </w:rPr>
              <w:t>Total</w:t>
            </w:r>
          </w:p>
        </w:tc>
        <w:tc>
          <w:tcPr>
            <w:tcW w:w="3150" w:type="dxa"/>
            <w:vAlign w:val="center"/>
          </w:tcPr>
          <w:p w14:paraId="165631DA" w14:textId="77777777" w:rsidR="00055B5E" w:rsidRPr="00055B5E" w:rsidRDefault="00055B5E" w:rsidP="003C03CF">
            <w:pPr>
              <w:ind w:left="72"/>
              <w:rPr>
                <w:sz w:val="24"/>
              </w:rPr>
            </w:pPr>
          </w:p>
        </w:tc>
        <w:tc>
          <w:tcPr>
            <w:tcW w:w="1620" w:type="dxa"/>
            <w:vAlign w:val="center"/>
          </w:tcPr>
          <w:p w14:paraId="03C328E7" w14:textId="5966804D" w:rsidR="00055B5E" w:rsidRPr="00055B5E" w:rsidRDefault="00055B5E" w:rsidP="00911676">
            <w:pPr>
              <w:ind w:left="72"/>
              <w:rPr>
                <w:sz w:val="24"/>
              </w:rPr>
            </w:pPr>
            <w:r w:rsidRPr="00055B5E">
              <w:rPr>
                <w:sz w:val="24"/>
              </w:rPr>
              <w:t>$1</w:t>
            </w:r>
            <w:r w:rsidR="00911676">
              <w:rPr>
                <w:sz w:val="24"/>
              </w:rPr>
              <w:t>5</w:t>
            </w:r>
            <w:r w:rsidRPr="00055B5E">
              <w:rPr>
                <w:sz w:val="24"/>
              </w:rPr>
              <w:t>,</w:t>
            </w:r>
            <w:r w:rsidR="00911676">
              <w:rPr>
                <w:sz w:val="24"/>
              </w:rPr>
              <w:t>012</w:t>
            </w:r>
          </w:p>
        </w:tc>
      </w:tr>
    </w:tbl>
    <w:p w14:paraId="627684F7" w14:textId="77777777" w:rsidR="00055B5E" w:rsidRPr="00055B5E" w:rsidRDefault="00055B5E" w:rsidP="00055B5E">
      <w:pPr>
        <w:ind w:left="1080"/>
        <w:rPr>
          <w:sz w:val="24"/>
        </w:rPr>
      </w:pPr>
    </w:p>
    <w:p w14:paraId="77D7DE74" w14:textId="7DFFA6FF" w:rsidR="00055B5E" w:rsidRPr="00C276DA" w:rsidRDefault="00055B5E" w:rsidP="00055B5E">
      <w:pPr>
        <w:ind w:left="1080"/>
        <w:rPr>
          <w:sz w:val="24"/>
        </w:rPr>
      </w:pPr>
      <w:r w:rsidRPr="00055B5E">
        <w:rPr>
          <w:sz w:val="24"/>
        </w:rPr>
        <w:t xml:space="preserve">The estimated cost for the </w:t>
      </w:r>
      <w:r w:rsidR="00911676">
        <w:rPr>
          <w:sz w:val="24"/>
        </w:rPr>
        <w:t>entry, review, and analysis</w:t>
      </w:r>
      <w:r w:rsidRPr="00055B5E">
        <w:rPr>
          <w:sz w:val="24"/>
        </w:rPr>
        <w:t xml:space="preserve"> of </w:t>
      </w:r>
      <w:r w:rsidR="00911676">
        <w:rPr>
          <w:sz w:val="24"/>
        </w:rPr>
        <w:t xml:space="preserve">quarterly TMA enrollment data from </w:t>
      </w:r>
      <w:r w:rsidRPr="00055B5E">
        <w:rPr>
          <w:sz w:val="24"/>
        </w:rPr>
        <w:t xml:space="preserve">each </w:t>
      </w:r>
      <w:r w:rsidR="00911676">
        <w:rPr>
          <w:sz w:val="24"/>
        </w:rPr>
        <w:t>state</w:t>
      </w:r>
      <w:r w:rsidRPr="00055B5E">
        <w:rPr>
          <w:sz w:val="24"/>
        </w:rPr>
        <w:t xml:space="preserve"> is $</w:t>
      </w:r>
      <w:r w:rsidR="00911676">
        <w:rPr>
          <w:sz w:val="24"/>
        </w:rPr>
        <w:t>1</w:t>
      </w:r>
      <w:r w:rsidRPr="00055B5E">
        <w:rPr>
          <w:sz w:val="24"/>
        </w:rPr>
        <w:t>5,0</w:t>
      </w:r>
      <w:r w:rsidR="00911676">
        <w:rPr>
          <w:sz w:val="24"/>
        </w:rPr>
        <w:t>12</w:t>
      </w:r>
      <w:r w:rsidRPr="00055B5E">
        <w:rPr>
          <w:sz w:val="24"/>
        </w:rPr>
        <w:t>.</w:t>
      </w:r>
    </w:p>
    <w:p w14:paraId="306A468B" w14:textId="77777777" w:rsidR="009C7353" w:rsidRDefault="009C7353">
      <w:pPr>
        <w:rPr>
          <w:rFonts w:ascii="Times New (W1)" w:hAnsi="Times New (W1)"/>
          <w:sz w:val="24"/>
        </w:rPr>
      </w:pPr>
    </w:p>
    <w:p w14:paraId="02D59693" w14:textId="77777777" w:rsidR="006845DD" w:rsidRDefault="006845DD">
      <w:pPr>
        <w:numPr>
          <w:ilvl w:val="0"/>
          <w:numId w:val="2"/>
        </w:numPr>
        <w:rPr>
          <w:rFonts w:ascii="Times New (W1)" w:hAnsi="Times New (W1)"/>
          <w:sz w:val="24"/>
          <w:u w:val="single"/>
        </w:rPr>
      </w:pPr>
      <w:r>
        <w:rPr>
          <w:rFonts w:ascii="Times New (W1)" w:hAnsi="Times New (W1)"/>
          <w:sz w:val="24"/>
          <w:u w:val="single"/>
        </w:rPr>
        <w:t>Program or Burden Changes</w:t>
      </w:r>
    </w:p>
    <w:p w14:paraId="56FE33EF" w14:textId="77777777" w:rsidR="00572A5C" w:rsidRDefault="00572A5C">
      <w:pPr>
        <w:pStyle w:val="BodyTextIndent3"/>
        <w:rPr>
          <w:rFonts w:ascii="Times New (W1)" w:hAnsi="Times New (W1)"/>
        </w:rPr>
      </w:pPr>
    </w:p>
    <w:p w14:paraId="711B29F2" w14:textId="77777777" w:rsidR="006845DD" w:rsidRDefault="00084F58">
      <w:pPr>
        <w:pStyle w:val="BodyTextIndent3"/>
        <w:rPr>
          <w:rFonts w:ascii="Times New (W1)" w:hAnsi="Times New (W1)"/>
        </w:rPr>
      </w:pPr>
      <w:r>
        <w:rPr>
          <w:rFonts w:ascii="Times New (W1)" w:hAnsi="Times New (W1)"/>
        </w:rPr>
        <w:t>This 2016 iteration does not propose any program changes or burden adjustments</w:t>
      </w:r>
      <w:r w:rsidR="00E17947" w:rsidRPr="00E17947">
        <w:rPr>
          <w:rFonts w:ascii="Times New (W1)" w:hAnsi="Times New (W1)"/>
        </w:rPr>
        <w:t>.</w:t>
      </w:r>
    </w:p>
    <w:p w14:paraId="3A251CC1" w14:textId="77777777" w:rsidR="006845DD" w:rsidRDefault="006845DD">
      <w:pPr>
        <w:ind w:firstLine="720"/>
        <w:rPr>
          <w:rFonts w:ascii="Times New (W1)" w:hAnsi="Times New (W1)"/>
          <w:sz w:val="24"/>
        </w:rPr>
      </w:pPr>
    </w:p>
    <w:p w14:paraId="3CCCEB0F" w14:textId="77777777" w:rsidR="006845DD" w:rsidRDefault="006845DD">
      <w:pPr>
        <w:numPr>
          <w:ilvl w:val="0"/>
          <w:numId w:val="2"/>
        </w:numPr>
        <w:rPr>
          <w:rFonts w:ascii="Times New (W1)" w:hAnsi="Times New (W1)"/>
          <w:sz w:val="24"/>
          <w:u w:val="single"/>
        </w:rPr>
      </w:pPr>
      <w:r>
        <w:rPr>
          <w:rFonts w:ascii="Times New (W1)" w:hAnsi="Times New (W1)"/>
          <w:sz w:val="24"/>
          <w:u w:val="single"/>
        </w:rPr>
        <w:t>Publication and Tabulation Dates</w:t>
      </w:r>
    </w:p>
    <w:p w14:paraId="1C627B37" w14:textId="77777777" w:rsidR="00572A5C" w:rsidRDefault="00572A5C">
      <w:pPr>
        <w:pStyle w:val="BodyTextIndent3"/>
        <w:rPr>
          <w:rFonts w:ascii="Times New (W1)" w:hAnsi="Times New (W1)"/>
        </w:rPr>
      </w:pPr>
    </w:p>
    <w:p w14:paraId="091D9B84" w14:textId="77777777" w:rsidR="006845DD" w:rsidRDefault="00BC0B7C">
      <w:pPr>
        <w:pStyle w:val="BodyTextIndent3"/>
        <w:rPr>
          <w:rFonts w:ascii="Times New (W1)" w:hAnsi="Times New (W1)"/>
        </w:rPr>
      </w:pPr>
      <w:r>
        <w:rPr>
          <w:rFonts w:ascii="Times New (W1)" w:hAnsi="Times New (W1)"/>
        </w:rPr>
        <w:t>Summary reports are required to be submitted to Congress</w:t>
      </w:r>
      <w:r w:rsidR="00E45F55">
        <w:rPr>
          <w:rFonts w:ascii="Times New (W1)" w:hAnsi="Times New (W1)"/>
        </w:rPr>
        <w:t xml:space="preserve"> each year after States’ quarterly reports have been received and compiled</w:t>
      </w:r>
      <w:r w:rsidR="006845DD">
        <w:rPr>
          <w:rFonts w:ascii="Times New (W1)" w:hAnsi="Times New (W1)"/>
        </w:rPr>
        <w:t>.</w:t>
      </w:r>
    </w:p>
    <w:p w14:paraId="4FE3C2B6" w14:textId="77777777" w:rsidR="006845DD" w:rsidRDefault="006845DD">
      <w:pPr>
        <w:ind w:left="1080"/>
        <w:rPr>
          <w:rFonts w:ascii="Times New (W1)" w:hAnsi="Times New (W1)"/>
          <w:sz w:val="24"/>
        </w:rPr>
      </w:pPr>
    </w:p>
    <w:p w14:paraId="6FB19CF3" w14:textId="77777777" w:rsidR="006845DD" w:rsidRDefault="006845DD">
      <w:pPr>
        <w:numPr>
          <w:ilvl w:val="0"/>
          <w:numId w:val="2"/>
        </w:numPr>
        <w:rPr>
          <w:rFonts w:ascii="Times New (W1)" w:hAnsi="Times New (W1)"/>
          <w:sz w:val="24"/>
          <w:u w:val="single"/>
        </w:rPr>
      </w:pPr>
      <w:r>
        <w:rPr>
          <w:rFonts w:ascii="Times New (W1)" w:hAnsi="Times New (W1)"/>
          <w:sz w:val="24"/>
          <w:u w:val="single"/>
        </w:rPr>
        <w:t>Expiration Date</w:t>
      </w:r>
    </w:p>
    <w:p w14:paraId="0BDF1882" w14:textId="77777777" w:rsidR="00572A5C" w:rsidRDefault="00572A5C" w:rsidP="00572A5C">
      <w:pPr>
        <w:ind w:left="720"/>
        <w:rPr>
          <w:rFonts w:ascii="Times New (W1)" w:hAnsi="Times New (W1)"/>
          <w:sz w:val="24"/>
          <w:u w:val="single"/>
        </w:rPr>
      </w:pPr>
    </w:p>
    <w:p w14:paraId="08BBDB04" w14:textId="77777777" w:rsidR="00084F58" w:rsidRPr="00084F58" w:rsidRDefault="00084F58" w:rsidP="00084F58">
      <w:pPr>
        <w:ind w:left="1080"/>
        <w:rPr>
          <w:rFonts w:ascii="Times New (W1)" w:hAnsi="Times New (W1)"/>
          <w:sz w:val="24"/>
        </w:rPr>
      </w:pPr>
      <w:r w:rsidRPr="00084F58">
        <w:rPr>
          <w:rFonts w:ascii="Times New (W1)" w:hAnsi="Times New (W1)"/>
          <w:sz w:val="24"/>
        </w:rPr>
        <w:t>The expiration date is displayed on the spreadsheet.</w:t>
      </w:r>
    </w:p>
    <w:p w14:paraId="29CDED3D" w14:textId="77777777" w:rsidR="00084F58" w:rsidRDefault="00084F58" w:rsidP="00572A5C">
      <w:pPr>
        <w:ind w:left="720"/>
        <w:rPr>
          <w:rFonts w:ascii="Times New (W1)" w:hAnsi="Times New (W1)"/>
          <w:sz w:val="24"/>
          <w:u w:val="single"/>
        </w:rPr>
      </w:pPr>
    </w:p>
    <w:p w14:paraId="5C130D42" w14:textId="77777777" w:rsidR="006845DD" w:rsidRDefault="006845DD">
      <w:pPr>
        <w:numPr>
          <w:ilvl w:val="0"/>
          <w:numId w:val="2"/>
        </w:numPr>
        <w:rPr>
          <w:rFonts w:ascii="Times New (W1)" w:hAnsi="Times New (W1)"/>
          <w:sz w:val="24"/>
          <w:u w:val="single"/>
        </w:rPr>
      </w:pPr>
      <w:r>
        <w:rPr>
          <w:rFonts w:ascii="Times New (W1)" w:hAnsi="Times New (W1)"/>
          <w:sz w:val="24"/>
          <w:u w:val="single"/>
        </w:rPr>
        <w:t>Certification Statement</w:t>
      </w:r>
    </w:p>
    <w:p w14:paraId="61F07D7C" w14:textId="77777777" w:rsidR="00572A5C" w:rsidRDefault="00572A5C">
      <w:pPr>
        <w:pStyle w:val="BodyTextIndent3"/>
        <w:rPr>
          <w:rFonts w:ascii="Times New (W1)" w:hAnsi="Times New (W1)"/>
        </w:rPr>
      </w:pPr>
    </w:p>
    <w:p w14:paraId="620AD616" w14:textId="77777777" w:rsidR="006845DD" w:rsidRDefault="006845DD">
      <w:pPr>
        <w:pStyle w:val="BodyTextIndent3"/>
        <w:rPr>
          <w:rFonts w:ascii="Times New (W1)" w:hAnsi="Times New (W1)"/>
        </w:rPr>
      </w:pPr>
      <w:r>
        <w:rPr>
          <w:rFonts w:ascii="Times New (W1)" w:hAnsi="Times New (W1)"/>
        </w:rPr>
        <w:t>There are no exceptions to the certification statement.</w:t>
      </w:r>
    </w:p>
    <w:p w14:paraId="54C3F43D" w14:textId="77777777" w:rsidR="006845DD" w:rsidRDefault="006845DD">
      <w:pPr>
        <w:rPr>
          <w:rFonts w:ascii="Times New (W1)" w:hAnsi="Times New (W1)"/>
          <w:sz w:val="24"/>
        </w:rPr>
      </w:pPr>
    </w:p>
    <w:p w14:paraId="7C7DB7BA" w14:textId="77777777" w:rsidR="006845DD" w:rsidRPr="00CC4E7E" w:rsidRDefault="00C879FB">
      <w:pPr>
        <w:rPr>
          <w:rFonts w:ascii="Times New (W1)" w:hAnsi="Times New (W1)"/>
          <w:b/>
          <w:sz w:val="24"/>
        </w:rPr>
      </w:pPr>
      <w:r w:rsidRPr="00CC4E7E">
        <w:rPr>
          <w:rFonts w:ascii="Times New (W1)" w:hAnsi="Times New (W1)"/>
          <w:b/>
          <w:sz w:val="24"/>
        </w:rPr>
        <w:t>B</w:t>
      </w:r>
      <w:r w:rsidR="006845DD" w:rsidRPr="00CC4E7E">
        <w:rPr>
          <w:rFonts w:ascii="Times New (W1)" w:hAnsi="Times New (W1)"/>
          <w:b/>
          <w:sz w:val="24"/>
        </w:rPr>
        <w:t>.</w:t>
      </w:r>
      <w:r w:rsidR="006845DD" w:rsidRPr="00CC4E7E">
        <w:rPr>
          <w:rFonts w:ascii="Times New (W1)" w:hAnsi="Times New (W1)"/>
          <w:b/>
          <w:sz w:val="24"/>
        </w:rPr>
        <w:tab/>
        <w:t>Collection of Information Employing Statistical Methods</w:t>
      </w:r>
    </w:p>
    <w:p w14:paraId="7DFE462A" w14:textId="77777777" w:rsidR="00CC4E7E" w:rsidRDefault="00CC4E7E">
      <w:pPr>
        <w:ind w:firstLine="720"/>
        <w:rPr>
          <w:rFonts w:ascii="Times New (W1)" w:hAnsi="Times New (W1)"/>
          <w:sz w:val="24"/>
        </w:rPr>
      </w:pPr>
    </w:p>
    <w:p w14:paraId="1ED6B32B" w14:textId="77777777" w:rsidR="00C879FB" w:rsidRDefault="006845DD" w:rsidP="00084F58">
      <w:pPr>
        <w:ind w:left="1080"/>
        <w:rPr>
          <w:rFonts w:ascii="Times New (W1)" w:hAnsi="Times New (W1)"/>
          <w:sz w:val="24"/>
        </w:rPr>
      </w:pPr>
      <w:r>
        <w:rPr>
          <w:rFonts w:ascii="Times New (W1)" w:hAnsi="Times New (W1)"/>
          <w:sz w:val="24"/>
        </w:rPr>
        <w:t>The use of statistical methods does not apply to this form.</w:t>
      </w:r>
    </w:p>
    <w:p w14:paraId="2DA4407B" w14:textId="77777777" w:rsidR="006845DD" w:rsidRDefault="006845DD">
      <w:pPr>
        <w:ind w:firstLine="720"/>
        <w:rPr>
          <w:rFonts w:ascii="Times New (W1)" w:hAnsi="Times New (W1)"/>
          <w:sz w:val="24"/>
        </w:rPr>
      </w:pPr>
    </w:p>
    <w:sectPr w:rsidR="006845DD" w:rsidSect="00BB65EC">
      <w:footerReference w:type="default" r:id="rId9"/>
      <w:endnotePr>
        <w:numFmt w:val="decimal"/>
      </w:endnotePr>
      <w:type w:val="continuous"/>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B80F1" w14:textId="77777777" w:rsidR="006823FC" w:rsidRDefault="006823FC">
      <w:r>
        <w:separator/>
      </w:r>
    </w:p>
  </w:endnote>
  <w:endnote w:type="continuationSeparator" w:id="0">
    <w:p w14:paraId="420F21D5" w14:textId="77777777" w:rsidR="006823FC" w:rsidRDefault="0068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ACF9C" w14:textId="77777777" w:rsidR="0044021A" w:rsidRDefault="0044021A">
    <w:pPr>
      <w:spacing w:line="240" w:lineRule="exact"/>
    </w:pPr>
  </w:p>
  <w:p w14:paraId="4F0B57A2" w14:textId="77777777" w:rsidR="0044021A" w:rsidRDefault="00046348">
    <w:pPr>
      <w:framePr w:w="9361" w:wrap="notBeside" w:vAnchor="text" w:hAnchor="text" w:x="1" w:y="1"/>
      <w:jc w:val="center"/>
      <w:rPr>
        <w:sz w:val="24"/>
      </w:rPr>
    </w:pPr>
    <w:r>
      <w:rPr>
        <w:sz w:val="24"/>
      </w:rPr>
      <w:fldChar w:fldCharType="begin"/>
    </w:r>
    <w:r w:rsidR="0044021A">
      <w:rPr>
        <w:sz w:val="24"/>
      </w:rPr>
      <w:instrText xml:space="preserve">PAGE </w:instrText>
    </w:r>
    <w:r>
      <w:rPr>
        <w:sz w:val="24"/>
      </w:rPr>
      <w:fldChar w:fldCharType="separate"/>
    </w:r>
    <w:r w:rsidR="00E61E4B">
      <w:rPr>
        <w:noProof/>
        <w:sz w:val="24"/>
      </w:rPr>
      <w:t>4</w:t>
    </w:r>
    <w:r>
      <w:rPr>
        <w:sz w:val="24"/>
      </w:rPr>
      <w:fldChar w:fldCharType="end"/>
    </w:r>
  </w:p>
  <w:p w14:paraId="012DB207" w14:textId="77777777" w:rsidR="0044021A" w:rsidRDefault="0044021A">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CB042" w14:textId="77777777" w:rsidR="006823FC" w:rsidRDefault="006823FC">
      <w:r>
        <w:separator/>
      </w:r>
    </w:p>
  </w:footnote>
  <w:footnote w:type="continuationSeparator" w:id="0">
    <w:p w14:paraId="2A6F95F2" w14:textId="77777777" w:rsidR="006823FC" w:rsidRDefault="00682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A0A68"/>
    <w:multiLevelType w:val="hybridMultilevel"/>
    <w:tmpl w:val="1A56D040"/>
    <w:lvl w:ilvl="0" w:tplc="A654569C">
      <w:start w:val="1"/>
      <w:numFmt w:val="decimal"/>
      <w:lvlText w:val="%1."/>
      <w:lvlJc w:val="left"/>
      <w:pPr>
        <w:tabs>
          <w:tab w:val="num" w:pos="1080"/>
        </w:tabs>
        <w:ind w:left="1080" w:hanging="360"/>
      </w:pPr>
      <w:rPr>
        <w:rFonts w:hint="default"/>
      </w:rPr>
    </w:lvl>
    <w:lvl w:ilvl="1" w:tplc="4A68E0B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D44086"/>
    <w:multiLevelType w:val="hybridMultilevel"/>
    <w:tmpl w:val="218E8540"/>
    <w:lvl w:ilvl="0" w:tplc="4A68E0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A4E3690"/>
    <w:multiLevelType w:val="hybridMultilevel"/>
    <w:tmpl w:val="04581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176C8A"/>
    <w:multiLevelType w:val="hybridMultilevel"/>
    <w:tmpl w:val="6FFA5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4625DD"/>
    <w:multiLevelType w:val="hybridMultilevel"/>
    <w:tmpl w:val="98E4FC98"/>
    <w:lvl w:ilvl="0" w:tplc="4A68E0B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54CC6F42"/>
    <w:multiLevelType w:val="hybridMultilevel"/>
    <w:tmpl w:val="2BFA6CE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CAF640A"/>
    <w:multiLevelType w:val="hybridMultilevel"/>
    <w:tmpl w:val="034A9F5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884C48"/>
    <w:multiLevelType w:val="hybridMultilevel"/>
    <w:tmpl w:val="5E2AC944"/>
    <w:lvl w:ilvl="0" w:tplc="4A68E0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3527ABD"/>
    <w:multiLevelType w:val="hybridMultilevel"/>
    <w:tmpl w:val="016CD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1"/>
  </w:num>
  <w:num w:numId="6">
    <w:abstractNumId w:val="4"/>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2B"/>
    <w:rsid w:val="00010A31"/>
    <w:rsid w:val="00020E31"/>
    <w:rsid w:val="0003467B"/>
    <w:rsid w:val="00046348"/>
    <w:rsid w:val="00055B5E"/>
    <w:rsid w:val="00084F58"/>
    <w:rsid w:val="00094A4C"/>
    <w:rsid w:val="000D57D1"/>
    <w:rsid w:val="0011658C"/>
    <w:rsid w:val="00142C4E"/>
    <w:rsid w:val="001A1F05"/>
    <w:rsid w:val="001B2295"/>
    <w:rsid w:val="001D5635"/>
    <w:rsid w:val="001E1644"/>
    <w:rsid w:val="001E2231"/>
    <w:rsid w:val="00201D72"/>
    <w:rsid w:val="002141BE"/>
    <w:rsid w:val="00254785"/>
    <w:rsid w:val="002632F7"/>
    <w:rsid w:val="00266183"/>
    <w:rsid w:val="00273CC0"/>
    <w:rsid w:val="00276D32"/>
    <w:rsid w:val="00296D36"/>
    <w:rsid w:val="002C2F19"/>
    <w:rsid w:val="002D5377"/>
    <w:rsid w:val="002D59A9"/>
    <w:rsid w:val="002E7D14"/>
    <w:rsid w:val="002F1752"/>
    <w:rsid w:val="0031624D"/>
    <w:rsid w:val="003276E6"/>
    <w:rsid w:val="0037208D"/>
    <w:rsid w:val="003910C8"/>
    <w:rsid w:val="003A5C41"/>
    <w:rsid w:val="003B057F"/>
    <w:rsid w:val="00407593"/>
    <w:rsid w:val="004148B6"/>
    <w:rsid w:val="00431600"/>
    <w:rsid w:val="0044021A"/>
    <w:rsid w:val="00445F5B"/>
    <w:rsid w:val="00493EE1"/>
    <w:rsid w:val="004A1781"/>
    <w:rsid w:val="004B4F8C"/>
    <w:rsid w:val="004D6B0E"/>
    <w:rsid w:val="004E14A6"/>
    <w:rsid w:val="004F301F"/>
    <w:rsid w:val="004F46BC"/>
    <w:rsid w:val="004F5A41"/>
    <w:rsid w:val="00502AD0"/>
    <w:rsid w:val="00572A5C"/>
    <w:rsid w:val="00575CA5"/>
    <w:rsid w:val="00580D15"/>
    <w:rsid w:val="005A19F6"/>
    <w:rsid w:val="005E5645"/>
    <w:rsid w:val="00601D03"/>
    <w:rsid w:val="006252B9"/>
    <w:rsid w:val="00671B0E"/>
    <w:rsid w:val="00680F83"/>
    <w:rsid w:val="006823FC"/>
    <w:rsid w:val="006845DD"/>
    <w:rsid w:val="0069492B"/>
    <w:rsid w:val="006B7E1F"/>
    <w:rsid w:val="006D6CD4"/>
    <w:rsid w:val="006E0268"/>
    <w:rsid w:val="006F041C"/>
    <w:rsid w:val="006F1484"/>
    <w:rsid w:val="007279CA"/>
    <w:rsid w:val="007533BA"/>
    <w:rsid w:val="00784AAB"/>
    <w:rsid w:val="00804D6E"/>
    <w:rsid w:val="008518AC"/>
    <w:rsid w:val="0086577E"/>
    <w:rsid w:val="00881466"/>
    <w:rsid w:val="00884AD3"/>
    <w:rsid w:val="008A555A"/>
    <w:rsid w:val="008B20B7"/>
    <w:rsid w:val="008C4DC1"/>
    <w:rsid w:val="008C5943"/>
    <w:rsid w:val="008C6BDA"/>
    <w:rsid w:val="008F2FCE"/>
    <w:rsid w:val="00902FAC"/>
    <w:rsid w:val="00911676"/>
    <w:rsid w:val="00923C78"/>
    <w:rsid w:val="00950D19"/>
    <w:rsid w:val="00964A96"/>
    <w:rsid w:val="00966527"/>
    <w:rsid w:val="0097188D"/>
    <w:rsid w:val="00984335"/>
    <w:rsid w:val="009A13B7"/>
    <w:rsid w:val="009C17C9"/>
    <w:rsid w:val="009C7353"/>
    <w:rsid w:val="009E135B"/>
    <w:rsid w:val="009E2FAE"/>
    <w:rsid w:val="009F357F"/>
    <w:rsid w:val="00A011BD"/>
    <w:rsid w:val="00A10BF8"/>
    <w:rsid w:val="00A37C60"/>
    <w:rsid w:val="00A53B7C"/>
    <w:rsid w:val="00A55300"/>
    <w:rsid w:val="00A85BDA"/>
    <w:rsid w:val="00A927A4"/>
    <w:rsid w:val="00A92B32"/>
    <w:rsid w:val="00A93C2B"/>
    <w:rsid w:val="00A9596C"/>
    <w:rsid w:val="00AC1969"/>
    <w:rsid w:val="00AC5BBF"/>
    <w:rsid w:val="00AE4580"/>
    <w:rsid w:val="00AF2518"/>
    <w:rsid w:val="00AF4FEA"/>
    <w:rsid w:val="00AF665A"/>
    <w:rsid w:val="00B32186"/>
    <w:rsid w:val="00B42553"/>
    <w:rsid w:val="00B52529"/>
    <w:rsid w:val="00B56A4B"/>
    <w:rsid w:val="00B7278D"/>
    <w:rsid w:val="00B87484"/>
    <w:rsid w:val="00B90CB0"/>
    <w:rsid w:val="00BB40D7"/>
    <w:rsid w:val="00BB65EC"/>
    <w:rsid w:val="00BC0B7C"/>
    <w:rsid w:val="00BD1457"/>
    <w:rsid w:val="00C05E27"/>
    <w:rsid w:val="00C11604"/>
    <w:rsid w:val="00C12BBE"/>
    <w:rsid w:val="00C2114B"/>
    <w:rsid w:val="00C658B5"/>
    <w:rsid w:val="00C74A70"/>
    <w:rsid w:val="00C81AFD"/>
    <w:rsid w:val="00C879FB"/>
    <w:rsid w:val="00C9319D"/>
    <w:rsid w:val="00CB4C8A"/>
    <w:rsid w:val="00CC4E7E"/>
    <w:rsid w:val="00CF2EF6"/>
    <w:rsid w:val="00CF4A5D"/>
    <w:rsid w:val="00CF6B25"/>
    <w:rsid w:val="00D021DC"/>
    <w:rsid w:val="00D07E21"/>
    <w:rsid w:val="00D54C7B"/>
    <w:rsid w:val="00D612B4"/>
    <w:rsid w:val="00D71AF3"/>
    <w:rsid w:val="00D965DC"/>
    <w:rsid w:val="00DC0097"/>
    <w:rsid w:val="00DF4064"/>
    <w:rsid w:val="00E17947"/>
    <w:rsid w:val="00E27A24"/>
    <w:rsid w:val="00E43094"/>
    <w:rsid w:val="00E45F55"/>
    <w:rsid w:val="00E50DDD"/>
    <w:rsid w:val="00E61E4B"/>
    <w:rsid w:val="00E742C5"/>
    <w:rsid w:val="00EB1C52"/>
    <w:rsid w:val="00EC3B8E"/>
    <w:rsid w:val="00F1524F"/>
    <w:rsid w:val="00F173AC"/>
    <w:rsid w:val="00F237AE"/>
    <w:rsid w:val="00F32A32"/>
    <w:rsid w:val="00F337B3"/>
    <w:rsid w:val="00F678A0"/>
    <w:rsid w:val="00FB481D"/>
    <w:rsid w:val="00FC5615"/>
    <w:rsid w:val="00FC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A06D1"/>
  <w15:docId w15:val="{E53C55BF-27CC-41A2-8A7A-E07B8967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5EC"/>
    <w:pPr>
      <w:widowControl w:val="0"/>
      <w:autoSpaceDE w:val="0"/>
      <w:autoSpaceDN w:val="0"/>
      <w:adjustRightInd w:val="0"/>
    </w:pPr>
    <w:rPr>
      <w:szCs w:val="24"/>
    </w:rPr>
  </w:style>
  <w:style w:type="paragraph" w:styleId="Heading1">
    <w:name w:val="heading 1"/>
    <w:basedOn w:val="Normal"/>
    <w:next w:val="Normal"/>
    <w:qFormat/>
    <w:rsid w:val="00BB65EC"/>
    <w:pPr>
      <w:keepNext/>
      <w:tabs>
        <w:tab w:val="center" w:pos="468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5EC"/>
  </w:style>
  <w:style w:type="paragraph" w:styleId="BodyTextIndent">
    <w:name w:val="Body Text Indent"/>
    <w:basedOn w:val="Normal"/>
    <w:rsid w:val="00BB65EC"/>
    <w:pPr>
      <w:widowControl/>
      <w:autoSpaceDE/>
      <w:autoSpaceDN/>
      <w:adjustRightInd/>
      <w:ind w:left="720"/>
    </w:pPr>
    <w:rPr>
      <w:rFonts w:ascii="Times New (W1)" w:eastAsia="MS Mincho" w:hAnsi="Times New (W1)"/>
    </w:rPr>
  </w:style>
  <w:style w:type="paragraph" w:styleId="BodyTextIndent2">
    <w:name w:val="Body Text Indent 2"/>
    <w:basedOn w:val="Normal"/>
    <w:rsid w:val="00BB65EC"/>
    <w:pPr>
      <w:ind w:left="720"/>
    </w:pPr>
    <w:rPr>
      <w:sz w:val="24"/>
    </w:rPr>
  </w:style>
  <w:style w:type="paragraph" w:styleId="BodyTextIndent3">
    <w:name w:val="Body Text Indent 3"/>
    <w:basedOn w:val="Normal"/>
    <w:rsid w:val="00BB65EC"/>
    <w:pPr>
      <w:ind w:left="1080"/>
    </w:pPr>
    <w:rPr>
      <w:rFonts w:ascii="Baskerville Old Face" w:hAnsi="Baskerville Old Face"/>
      <w:sz w:val="24"/>
    </w:rPr>
  </w:style>
  <w:style w:type="paragraph" w:styleId="BodyText">
    <w:name w:val="Body Text"/>
    <w:basedOn w:val="Normal"/>
    <w:rsid w:val="00BB65EC"/>
    <w:rPr>
      <w:sz w:val="24"/>
    </w:rPr>
  </w:style>
  <w:style w:type="character" w:styleId="CommentReference">
    <w:name w:val="annotation reference"/>
    <w:basedOn w:val="DefaultParagraphFont"/>
    <w:uiPriority w:val="99"/>
    <w:rsid w:val="005A19F6"/>
    <w:rPr>
      <w:sz w:val="16"/>
      <w:szCs w:val="16"/>
    </w:rPr>
  </w:style>
  <w:style w:type="paragraph" w:styleId="CommentText">
    <w:name w:val="annotation text"/>
    <w:basedOn w:val="Normal"/>
    <w:link w:val="CommentTextChar"/>
    <w:uiPriority w:val="99"/>
    <w:rsid w:val="005A19F6"/>
    <w:rPr>
      <w:szCs w:val="20"/>
    </w:rPr>
  </w:style>
  <w:style w:type="character" w:customStyle="1" w:styleId="CommentTextChar">
    <w:name w:val="Comment Text Char"/>
    <w:basedOn w:val="DefaultParagraphFont"/>
    <w:link w:val="CommentText"/>
    <w:uiPriority w:val="99"/>
    <w:rsid w:val="005A19F6"/>
  </w:style>
  <w:style w:type="paragraph" w:styleId="CommentSubject">
    <w:name w:val="annotation subject"/>
    <w:basedOn w:val="CommentText"/>
    <w:next w:val="CommentText"/>
    <w:link w:val="CommentSubjectChar"/>
    <w:rsid w:val="005A19F6"/>
    <w:rPr>
      <w:b/>
      <w:bCs/>
    </w:rPr>
  </w:style>
  <w:style w:type="character" w:customStyle="1" w:styleId="CommentSubjectChar">
    <w:name w:val="Comment Subject Char"/>
    <w:basedOn w:val="CommentTextChar"/>
    <w:link w:val="CommentSubject"/>
    <w:rsid w:val="005A19F6"/>
    <w:rPr>
      <w:b/>
      <w:bCs/>
    </w:rPr>
  </w:style>
  <w:style w:type="paragraph" w:styleId="BalloonText">
    <w:name w:val="Balloon Text"/>
    <w:basedOn w:val="Normal"/>
    <w:link w:val="BalloonTextChar"/>
    <w:rsid w:val="005A19F6"/>
    <w:rPr>
      <w:rFonts w:ascii="Tahoma" w:hAnsi="Tahoma" w:cs="Tahoma"/>
      <w:sz w:val="16"/>
      <w:szCs w:val="16"/>
    </w:rPr>
  </w:style>
  <w:style w:type="character" w:customStyle="1" w:styleId="BalloonTextChar">
    <w:name w:val="Balloon Text Char"/>
    <w:basedOn w:val="DefaultParagraphFont"/>
    <w:link w:val="BalloonText"/>
    <w:rsid w:val="005A19F6"/>
    <w:rPr>
      <w:rFonts w:ascii="Tahoma" w:hAnsi="Tahoma" w:cs="Tahoma"/>
      <w:sz w:val="16"/>
      <w:szCs w:val="16"/>
    </w:rPr>
  </w:style>
  <w:style w:type="paragraph" w:styleId="Revision">
    <w:name w:val="Revision"/>
    <w:hidden/>
    <w:uiPriority w:val="99"/>
    <w:semiHidden/>
    <w:rsid w:val="00DC0097"/>
    <w:rPr>
      <w:szCs w:val="24"/>
    </w:rPr>
  </w:style>
  <w:style w:type="character" w:styleId="Hyperlink">
    <w:name w:val="Hyperlink"/>
    <w:basedOn w:val="DefaultParagraphFont"/>
    <w:unhideWhenUsed/>
    <w:rsid w:val="00266183"/>
    <w:rPr>
      <w:color w:val="0000FF" w:themeColor="hyperlink"/>
      <w:u w:val="single"/>
    </w:rPr>
  </w:style>
  <w:style w:type="character" w:styleId="FollowedHyperlink">
    <w:name w:val="FollowedHyperlink"/>
    <w:basedOn w:val="DefaultParagraphFont"/>
    <w:semiHidden/>
    <w:unhideWhenUsed/>
    <w:rsid w:val="002661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pdf/2016/DCB_h.pdf"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1109</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CMS</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CMS</dc:creator>
  <cp:lastModifiedBy>Mitch Bryman</cp:lastModifiedBy>
  <cp:revision>3</cp:revision>
  <cp:lastPrinted>2010-01-15T18:21:00Z</cp:lastPrinted>
  <dcterms:created xsi:type="dcterms:W3CDTF">2016-09-28T17:05:00Z</dcterms:created>
  <dcterms:modified xsi:type="dcterms:W3CDTF">2016-09-28T17:06:00Z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1190993909</vt:i4>
  </property>
  <property fmtid="{D5CDD505-2E9C-101B-9397-08002B2CF9AE}" pid="3" name="_NewReviewCycle">
    <vt:lpwstr/>
  </property>
  <property fmtid="{D5CDD505-2E9C-101B-9397-08002B2CF9AE}" pid="4" name="_EmailSubject">
    <vt:lpwstr>OMB Passback &gt; RE: ACTION NEEDED BY JULY 22 &gt; RE: IMMEDIATE ACTION NEEDED -  CMS-10295 (OMB 0938-1073) Recovery Act - Reporting Requirements for States Under FMAP Increase and TMA Provisions</vt:lpwstr>
  </property>
  <property fmtid="{D5CDD505-2E9C-101B-9397-08002B2CF9AE}" pid="5" name="_AuthorEmail">
    <vt:lpwstr>Stephanie.Bell@cms.hhs.gov</vt:lpwstr>
  </property>
  <property fmtid="{D5CDD505-2E9C-101B-9397-08002B2CF9AE}" pid="6" name="_AuthorEmailDisplayName">
    <vt:lpwstr>Bell, Stephanie G. (CMS/CMCS)</vt:lpwstr>
  </property>
  <property fmtid="{D5CDD505-2E9C-101B-9397-08002B2CF9AE}" pid="7" name="_PreviousAdHocReviewCycleID">
    <vt:i4>-1112769408</vt:i4>
  </property>
</Properties>
</file>