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2032C" w14:textId="1FDD7765" w:rsidR="007111E8" w:rsidRDefault="007111E8" w:rsidP="004C302A">
      <w:pPr>
        <w:pStyle w:val="Heading1"/>
      </w:pPr>
      <w:r>
        <w:t>Supporting Statement</w:t>
      </w:r>
      <w:r w:rsidR="00C8571B">
        <w:t>,</w:t>
      </w:r>
      <w:r>
        <w:t xml:space="preserve"> </w:t>
      </w:r>
      <w:r w:rsidR="00C8571B">
        <w:t>P</w:t>
      </w:r>
      <w:r w:rsidR="00BE08A5">
        <w:t>art A</w:t>
      </w:r>
    </w:p>
    <w:p w14:paraId="7B505798" w14:textId="29335528" w:rsidR="007111E8" w:rsidRDefault="00D12D1B" w:rsidP="004C302A">
      <w:pPr>
        <w:pStyle w:val="Heading1"/>
      </w:pPr>
      <w:r w:rsidRPr="002E448C">
        <w:t>Detailed Notice</w:t>
      </w:r>
      <w:r w:rsidR="007111E8" w:rsidRPr="002E448C">
        <w:t xml:space="preserve"> </w:t>
      </w:r>
      <w:r w:rsidR="001D4156">
        <w:t xml:space="preserve">of Discharge (DND) </w:t>
      </w:r>
      <w:r w:rsidR="007111E8" w:rsidRPr="002E448C">
        <w:t>and Supporting Regulations</w:t>
      </w:r>
      <w:r w:rsidR="007111E8">
        <w:t xml:space="preserve"> </w:t>
      </w:r>
    </w:p>
    <w:p w14:paraId="543D4D4A" w14:textId="06AE1F76" w:rsidR="007111E8" w:rsidRDefault="00D525E1" w:rsidP="004C302A">
      <w:pPr>
        <w:pStyle w:val="Heading1"/>
      </w:pPr>
      <w:r>
        <w:t xml:space="preserve">Contained in 42 CFR </w:t>
      </w:r>
      <w:r w:rsidR="008705DC">
        <w:t xml:space="preserve">405.1206 and </w:t>
      </w:r>
      <w:r w:rsidR="00CB3F9D">
        <w:t>422.622</w:t>
      </w:r>
      <w:r w:rsidR="007111E8">
        <w:t xml:space="preserve"> </w:t>
      </w:r>
    </w:p>
    <w:p w14:paraId="4ECAFF73" w14:textId="64C1AD35" w:rsidR="007E1C18" w:rsidRDefault="007E1C18" w:rsidP="004C302A">
      <w:pPr>
        <w:pStyle w:val="Heading1"/>
      </w:pPr>
      <w:r>
        <w:t>CMS</w:t>
      </w:r>
      <w:r w:rsidR="003436EE">
        <w:t xml:space="preserve"> </w:t>
      </w:r>
      <w:r>
        <w:t>10066</w:t>
      </w:r>
      <w:r w:rsidR="00BE08A5">
        <w:t xml:space="preserve">, </w:t>
      </w:r>
      <w:r>
        <w:t>OMB 0938-1019</w:t>
      </w:r>
    </w:p>
    <w:p w14:paraId="02F72A16" w14:textId="77777777" w:rsidR="00BE08A5" w:rsidRDefault="00BE08A5" w:rsidP="004C302A">
      <w:pPr>
        <w:pStyle w:val="Body1"/>
      </w:pPr>
    </w:p>
    <w:p w14:paraId="5F164B0F" w14:textId="1483614A" w:rsidR="007111E8" w:rsidRPr="00585621" w:rsidRDefault="007111E8" w:rsidP="004C302A">
      <w:pPr>
        <w:pStyle w:val="Body1"/>
        <w:rPr>
          <w:b/>
        </w:rPr>
      </w:pPr>
      <w:r w:rsidRPr="00585621">
        <w:rPr>
          <w:b/>
        </w:rPr>
        <w:t>Background</w:t>
      </w:r>
    </w:p>
    <w:p w14:paraId="302DC9DB" w14:textId="77777777" w:rsidR="00861F48" w:rsidRDefault="00861F48" w:rsidP="004C302A">
      <w:pPr>
        <w:pStyle w:val="Body1"/>
        <w:rPr>
          <w:rFonts w:cs="Courier New"/>
        </w:rPr>
      </w:pPr>
    </w:p>
    <w:p w14:paraId="04D704C5" w14:textId="5864B0AB" w:rsidR="00861F48" w:rsidRPr="00B92A12" w:rsidRDefault="001D4156" w:rsidP="004F009E">
      <w:r w:rsidRPr="00B47C5C">
        <w:rPr>
          <w:rFonts w:ascii="Century Gothic" w:hAnsi="Century Gothic" w:cs="Arial"/>
        </w:rPr>
        <w:t xml:space="preserve">The </w:t>
      </w:r>
      <w:r w:rsidR="006B6C90">
        <w:rPr>
          <w:rFonts w:ascii="Century Gothic" w:hAnsi="Century Gothic" w:cs="Arial"/>
        </w:rPr>
        <w:t>DND</w:t>
      </w:r>
      <w:r w:rsidRPr="00B47C5C">
        <w:rPr>
          <w:rFonts w:ascii="Century Gothic" w:hAnsi="Century Gothic" w:cs="Arial"/>
        </w:rPr>
        <w:t xml:space="preserve"> meets the requirements of </w:t>
      </w:r>
      <w:r>
        <w:rPr>
          <w:rFonts w:ascii="Century Gothic" w:hAnsi="Century Gothic" w:cs="Arial"/>
        </w:rPr>
        <w:t xml:space="preserve">our </w:t>
      </w:r>
      <w:r w:rsidRPr="00B47C5C">
        <w:rPr>
          <w:rFonts w:ascii="Century Gothic" w:hAnsi="Century Gothic" w:cs="Arial"/>
        </w:rPr>
        <w:t>Notification of</w:t>
      </w:r>
      <w:r>
        <w:rPr>
          <w:rFonts w:ascii="Century Gothic" w:hAnsi="Century Gothic" w:cs="Arial"/>
        </w:rPr>
        <w:t xml:space="preserve"> </w:t>
      </w:r>
      <w:r w:rsidRPr="00B47C5C">
        <w:rPr>
          <w:rFonts w:ascii="Century Gothic" w:hAnsi="Century Gothic" w:cs="Arial"/>
        </w:rPr>
        <w:t xml:space="preserve">Hospital Discharge </w:t>
      </w:r>
      <w:r w:rsidRPr="00B92A12">
        <w:rPr>
          <w:rFonts w:ascii="Century Gothic" w:hAnsi="Century Gothic" w:cs="Arial"/>
        </w:rPr>
        <w:t>Appeal Rights final rule (November 27, 2006; 71 FR 68708).</w:t>
      </w:r>
      <w:r w:rsidR="0058223B">
        <w:rPr>
          <w:rFonts w:ascii="Century Gothic" w:hAnsi="Century Gothic" w:cs="Arial"/>
        </w:rPr>
        <w:t xml:space="preserve"> </w:t>
      </w:r>
      <w:r w:rsidRPr="00B92A12">
        <w:rPr>
          <w:rFonts w:ascii="Century Gothic" w:hAnsi="Century Gothic" w:cs="Arial"/>
        </w:rPr>
        <w:t xml:space="preserve"> </w:t>
      </w:r>
      <w:r w:rsidR="00861F48" w:rsidRPr="00396634">
        <w:rPr>
          <w:rFonts w:ascii="Century Gothic" w:hAnsi="Century Gothic"/>
        </w:rPr>
        <w:t>Th</w:t>
      </w:r>
      <w:r w:rsidRPr="00396634">
        <w:rPr>
          <w:rFonts w:ascii="Century Gothic" w:hAnsi="Century Gothic"/>
        </w:rPr>
        <w:t>e</w:t>
      </w:r>
      <w:r w:rsidR="00861F48" w:rsidRPr="00396634">
        <w:rPr>
          <w:rFonts w:ascii="Century Gothic" w:hAnsi="Century Gothic"/>
        </w:rPr>
        <w:t xml:space="preserve"> rule set forth requirements for hospitals to deliver a DND to beneficiaries who request a Quality Improvement Organization (QIO) review of a discharge decision.  Hospitals and Medicare Advantage (MA) organizations are affected by this rule. </w:t>
      </w:r>
    </w:p>
    <w:p w14:paraId="47DEAD7E" w14:textId="77777777" w:rsidR="00861F48" w:rsidRPr="00B92A12" w:rsidRDefault="00861F48" w:rsidP="00861F48">
      <w:pPr>
        <w:pStyle w:val="Body1"/>
      </w:pPr>
    </w:p>
    <w:p w14:paraId="754A59B6" w14:textId="7A5E5179" w:rsidR="0066797A" w:rsidRDefault="00861F48" w:rsidP="004C302A">
      <w:pPr>
        <w:pStyle w:val="Body1"/>
        <w:rPr>
          <w:rFonts w:cs="Courier New"/>
        </w:rPr>
      </w:pPr>
      <w:r w:rsidRPr="00B92A12">
        <w:t>The DND has been minimally changed with this submission to include language informing beneficiaries of their rights under Section 504 of the Rehabilitation Act of 1973 (Section 504), by alerting the beneficiary to CMS’s nondiscrimination practices and the availability of alternate forms of this notice if needed.  There are no substantive changes to the DND form and instructions.</w:t>
      </w:r>
      <w:r w:rsidR="00F71473">
        <w:rPr>
          <w:rFonts w:cs="Courier New"/>
        </w:rPr>
        <w:tab/>
      </w:r>
    </w:p>
    <w:p w14:paraId="5444D532" w14:textId="77777777" w:rsidR="007111E8" w:rsidRPr="009C6A98" w:rsidRDefault="007111E8" w:rsidP="004C302A">
      <w:pPr>
        <w:pStyle w:val="Body1"/>
      </w:pPr>
    </w:p>
    <w:p w14:paraId="6FB3B554" w14:textId="50565879" w:rsidR="007111E8" w:rsidRPr="0072051E" w:rsidRDefault="00BE08A5" w:rsidP="004C302A">
      <w:pPr>
        <w:pStyle w:val="Heading3"/>
        <w:rPr>
          <w:b/>
        </w:rPr>
      </w:pPr>
      <w:r w:rsidRPr="0072051E">
        <w:rPr>
          <w:b/>
        </w:rPr>
        <w:t>A</w:t>
      </w:r>
      <w:r w:rsidR="007111E8" w:rsidRPr="0072051E">
        <w:rPr>
          <w:b/>
        </w:rPr>
        <w:t>.</w:t>
      </w:r>
      <w:r w:rsidR="007111E8" w:rsidRPr="0072051E">
        <w:rPr>
          <w:b/>
        </w:rPr>
        <w:tab/>
        <w:t>J</w:t>
      </w:r>
      <w:r w:rsidR="004C302A" w:rsidRPr="0072051E">
        <w:rPr>
          <w:b/>
        </w:rPr>
        <w:t>ustification</w:t>
      </w:r>
    </w:p>
    <w:p w14:paraId="5C40535F" w14:textId="77777777" w:rsidR="004C302A" w:rsidRPr="009C6A98" w:rsidRDefault="004C302A" w:rsidP="004C302A">
      <w:pPr>
        <w:pStyle w:val="Heading3"/>
      </w:pPr>
    </w:p>
    <w:p w14:paraId="2ACB4718" w14:textId="77777777" w:rsidR="007111E8" w:rsidRDefault="007111E8" w:rsidP="004C302A">
      <w:pPr>
        <w:pStyle w:val="Body2"/>
      </w:pPr>
      <w:r>
        <w:t>1.</w:t>
      </w:r>
      <w:r>
        <w:tab/>
      </w:r>
      <w:r w:rsidR="004C302A">
        <w:t>Need and Legal Basis</w:t>
      </w:r>
    </w:p>
    <w:p w14:paraId="5373268E" w14:textId="77777777" w:rsidR="007111E8" w:rsidRDefault="007111E8" w:rsidP="004C302A">
      <w:pPr>
        <w:pStyle w:val="Body2"/>
      </w:pPr>
    </w:p>
    <w:p w14:paraId="039AF054" w14:textId="15FD13D0" w:rsidR="008705DC" w:rsidRDefault="002362D4" w:rsidP="004C302A">
      <w:pPr>
        <w:pStyle w:val="Body2"/>
        <w:rPr>
          <w:rFonts w:cs="Courier New"/>
          <w:color w:val="000000"/>
          <w:szCs w:val="20"/>
        </w:rPr>
      </w:pPr>
      <w:r>
        <w:rPr>
          <w:rFonts w:cs="Courier New"/>
          <w:color w:val="000000"/>
          <w:szCs w:val="20"/>
        </w:rPr>
        <w:t>The authority for the right to an expedited determination is set forth at</w:t>
      </w:r>
      <w:r w:rsidR="00467641">
        <w:rPr>
          <w:rFonts w:cs="Courier New"/>
          <w:color w:val="000000"/>
          <w:szCs w:val="20"/>
        </w:rPr>
        <w:t xml:space="preserve"> §</w:t>
      </w:r>
      <w:r w:rsidR="004E697C" w:rsidRPr="001F134B">
        <w:rPr>
          <w:rFonts w:cs="Courier New"/>
          <w:color w:val="000000"/>
          <w:szCs w:val="20"/>
        </w:rPr>
        <w:t>1869(c)(3)(C)(iii)(III)</w:t>
      </w:r>
      <w:r w:rsidRPr="001F134B">
        <w:rPr>
          <w:rFonts w:cs="Courier New"/>
          <w:color w:val="000000"/>
          <w:szCs w:val="20"/>
        </w:rPr>
        <w:t xml:space="preserve"> </w:t>
      </w:r>
      <w:r w:rsidR="00F721DD">
        <w:rPr>
          <w:rFonts w:cs="Courier New"/>
          <w:color w:val="000000"/>
          <w:szCs w:val="20"/>
        </w:rPr>
        <w:t xml:space="preserve">and </w:t>
      </w:r>
      <w:r w:rsidR="00467641">
        <w:rPr>
          <w:rFonts w:cs="Courier New"/>
          <w:color w:val="000000"/>
          <w:szCs w:val="20"/>
        </w:rPr>
        <w:t>§</w:t>
      </w:r>
      <w:r w:rsidR="00F721DD">
        <w:rPr>
          <w:rFonts w:cs="Courier New"/>
          <w:color w:val="000000"/>
          <w:szCs w:val="20"/>
        </w:rPr>
        <w:t xml:space="preserve">1154(a) </w:t>
      </w:r>
      <w:r w:rsidRPr="001F134B">
        <w:rPr>
          <w:rFonts w:cs="Courier New"/>
          <w:color w:val="000000"/>
          <w:szCs w:val="20"/>
        </w:rPr>
        <w:t xml:space="preserve">of the </w:t>
      </w:r>
      <w:r w:rsidR="00316F11">
        <w:rPr>
          <w:rFonts w:cs="Courier New"/>
          <w:color w:val="000000"/>
          <w:szCs w:val="20"/>
        </w:rPr>
        <w:t xml:space="preserve">Social Security </w:t>
      </w:r>
      <w:r w:rsidRPr="001F134B">
        <w:rPr>
          <w:rFonts w:cs="Courier New"/>
          <w:color w:val="000000"/>
          <w:szCs w:val="20"/>
        </w:rPr>
        <w:t>Act</w:t>
      </w:r>
      <w:r w:rsidR="00211CE8" w:rsidRPr="001F134B">
        <w:rPr>
          <w:rFonts w:cs="Courier New"/>
          <w:color w:val="000000"/>
          <w:szCs w:val="20"/>
        </w:rPr>
        <w:t>.</w:t>
      </w:r>
      <w:r>
        <w:rPr>
          <w:rFonts w:cs="Courier New"/>
          <w:color w:val="000000"/>
          <w:szCs w:val="20"/>
        </w:rPr>
        <w:t xml:space="preserve"> </w:t>
      </w:r>
    </w:p>
    <w:p w14:paraId="6A0278B7" w14:textId="77777777" w:rsidR="008705DC" w:rsidRDefault="008705DC" w:rsidP="004C302A">
      <w:pPr>
        <w:pStyle w:val="Body2"/>
        <w:rPr>
          <w:rFonts w:cs="Courier New"/>
          <w:color w:val="000000"/>
          <w:szCs w:val="20"/>
        </w:rPr>
      </w:pPr>
    </w:p>
    <w:p w14:paraId="7BDDF924" w14:textId="448E4269" w:rsidR="007111E8" w:rsidRPr="008705DC" w:rsidRDefault="00E3506F" w:rsidP="004C302A">
      <w:pPr>
        <w:pStyle w:val="Body2"/>
        <w:rPr>
          <w:rFonts w:cs="Courier New"/>
          <w:color w:val="000000"/>
          <w:szCs w:val="20"/>
        </w:rPr>
      </w:pPr>
      <w:r>
        <w:t xml:space="preserve">42 CFR </w:t>
      </w:r>
      <w:r w:rsidR="00F9094A">
        <w:t>405.1206</w:t>
      </w:r>
      <w:r>
        <w:t xml:space="preserve"> and </w:t>
      </w:r>
      <w:r w:rsidR="00F9094A">
        <w:t>422.622</w:t>
      </w:r>
      <w:r>
        <w:t xml:space="preserve"> </w:t>
      </w:r>
      <w:r w:rsidR="007111E8">
        <w:t>–</w:t>
      </w:r>
      <w:r w:rsidR="00F9094A">
        <w:t xml:space="preserve"> When a QIO notifies a hospital or </w:t>
      </w:r>
      <w:r w:rsidR="000015D7">
        <w:t>MA</w:t>
      </w:r>
      <w:r w:rsidR="00F9094A">
        <w:t xml:space="preserve"> </w:t>
      </w:r>
      <w:r w:rsidR="00507097">
        <w:t xml:space="preserve">organization </w:t>
      </w:r>
      <w:r w:rsidR="007111E8">
        <w:t>that a beneficiary</w:t>
      </w:r>
      <w:r w:rsidR="00F9094A">
        <w:t>/enrollee</w:t>
      </w:r>
      <w:r w:rsidR="007111E8">
        <w:t xml:space="preserve"> has requested an expedited</w:t>
      </w:r>
      <w:r w:rsidR="00F9094A">
        <w:t xml:space="preserve"> determination, the hospital or </w:t>
      </w:r>
      <w:r w:rsidR="000015D7">
        <w:t>MA</w:t>
      </w:r>
      <w:r w:rsidR="00F9094A">
        <w:t xml:space="preserve"> organization</w:t>
      </w:r>
      <w:r w:rsidR="007111E8">
        <w:t xml:space="preserve"> must </w:t>
      </w:r>
      <w:r w:rsidR="00F706F9">
        <w:t xml:space="preserve">deliver </w:t>
      </w:r>
      <w:r w:rsidR="007111E8">
        <w:t xml:space="preserve">a </w:t>
      </w:r>
      <w:r w:rsidR="00AA10A5">
        <w:t xml:space="preserve">DND </w:t>
      </w:r>
      <w:r w:rsidR="007111E8">
        <w:t>to the beneficiary</w:t>
      </w:r>
      <w:r w:rsidR="00F9094A">
        <w:t>/enrollee</w:t>
      </w:r>
      <w:r>
        <w:t xml:space="preserve"> as soon as possible but no later than</w:t>
      </w:r>
      <w:r w:rsidR="007111E8">
        <w:t xml:space="preserve">  </w:t>
      </w:r>
      <w:r w:rsidR="004C24CF">
        <w:t xml:space="preserve">noon of the </w:t>
      </w:r>
      <w:r w:rsidR="007111E8">
        <w:t>day</w:t>
      </w:r>
      <w:r w:rsidR="004C24CF">
        <w:t xml:space="preserve"> after</w:t>
      </w:r>
      <w:r w:rsidR="007111E8">
        <w:t xml:space="preserve"> the QIO’s notification.</w:t>
      </w:r>
      <w:r w:rsidR="00A86C35">
        <w:t xml:space="preserve"> </w:t>
      </w:r>
    </w:p>
    <w:p w14:paraId="0DABD32A" w14:textId="77777777" w:rsidR="007111E8" w:rsidRDefault="007111E8" w:rsidP="004C302A">
      <w:pPr>
        <w:pStyle w:val="Body2"/>
      </w:pPr>
    </w:p>
    <w:p w14:paraId="13D0BA1E" w14:textId="77777777" w:rsidR="004C302A" w:rsidRDefault="007111E8" w:rsidP="004C302A">
      <w:pPr>
        <w:pStyle w:val="Body2"/>
      </w:pPr>
      <w:r w:rsidRPr="005A4564">
        <w:t>2.</w:t>
      </w:r>
      <w:r w:rsidRPr="005A4564">
        <w:tab/>
      </w:r>
      <w:r w:rsidRPr="004C302A">
        <w:t>I</w:t>
      </w:r>
      <w:r w:rsidR="004C302A">
        <w:t>nformation Users</w:t>
      </w:r>
    </w:p>
    <w:p w14:paraId="6D16FBBE" w14:textId="77777777" w:rsidR="00C27EE3" w:rsidRDefault="00C27EE3" w:rsidP="004C302A">
      <w:pPr>
        <w:pStyle w:val="Body2"/>
      </w:pPr>
    </w:p>
    <w:p w14:paraId="25C48F6D" w14:textId="1EDA556D" w:rsidR="00C27EE3" w:rsidRPr="005A4564" w:rsidRDefault="00C27EE3" w:rsidP="004C302A">
      <w:pPr>
        <w:pStyle w:val="Body2"/>
      </w:pPr>
      <w:r>
        <w:rPr>
          <w:rFonts w:cs="Courier New"/>
        </w:rPr>
        <w:t>A</w:t>
      </w:r>
      <w:r w:rsidRPr="00DD6217">
        <w:rPr>
          <w:rFonts w:cs="Courier New"/>
        </w:rPr>
        <w:t xml:space="preserve"> </w:t>
      </w:r>
      <w:r>
        <w:rPr>
          <w:rFonts w:cs="Courier New"/>
        </w:rPr>
        <w:t>beneficiary/</w:t>
      </w:r>
      <w:r w:rsidRPr="00DD6217">
        <w:rPr>
          <w:rFonts w:cs="Courier New"/>
        </w:rPr>
        <w:t xml:space="preserve">enrollee who wishes to appeal a determination by a Medicare health plan </w:t>
      </w:r>
      <w:r>
        <w:rPr>
          <w:rFonts w:cs="Courier New"/>
        </w:rPr>
        <w:t xml:space="preserve">(for a managed care enrollee) </w:t>
      </w:r>
      <w:r w:rsidRPr="00DD6217">
        <w:rPr>
          <w:rFonts w:cs="Courier New"/>
        </w:rPr>
        <w:t xml:space="preserve">or hospital </w:t>
      </w:r>
      <w:r>
        <w:rPr>
          <w:rFonts w:cs="Courier New"/>
        </w:rPr>
        <w:t xml:space="preserve">(for an original Medicare beneficiary) </w:t>
      </w:r>
      <w:r w:rsidRPr="00DD6217">
        <w:rPr>
          <w:rFonts w:cs="Courier New"/>
        </w:rPr>
        <w:t xml:space="preserve">that inpatient care is no longer necessary may request QIO review of the determination.  On the date the QIO receives the </w:t>
      </w:r>
      <w:r>
        <w:rPr>
          <w:rFonts w:cs="Courier New"/>
        </w:rPr>
        <w:t>beneficiary’s/</w:t>
      </w:r>
      <w:r w:rsidRPr="00DD6217">
        <w:rPr>
          <w:rFonts w:cs="Courier New"/>
        </w:rPr>
        <w:t xml:space="preserve">enrollee's request, it must notify the plan </w:t>
      </w:r>
      <w:r>
        <w:rPr>
          <w:rFonts w:cs="Courier New"/>
        </w:rPr>
        <w:t xml:space="preserve">and hospital </w:t>
      </w:r>
      <w:r w:rsidRPr="00DD6217">
        <w:rPr>
          <w:rFonts w:cs="Courier New"/>
        </w:rPr>
        <w:t xml:space="preserve">that the </w:t>
      </w:r>
      <w:r>
        <w:rPr>
          <w:rFonts w:cs="Courier New"/>
        </w:rPr>
        <w:t>beneficiary/</w:t>
      </w:r>
      <w:r w:rsidRPr="00DD6217">
        <w:rPr>
          <w:rFonts w:cs="Courier New"/>
        </w:rPr>
        <w:t xml:space="preserve">enrollee has filed a request for </w:t>
      </w:r>
      <w:r>
        <w:rPr>
          <w:rFonts w:cs="Courier New"/>
        </w:rPr>
        <w:t>an expedited determination</w:t>
      </w:r>
      <w:r w:rsidRPr="00DD6217">
        <w:rPr>
          <w:rFonts w:cs="Courier New"/>
        </w:rPr>
        <w:t>.</w:t>
      </w:r>
      <w:r>
        <w:rPr>
          <w:rFonts w:cs="Courier New"/>
        </w:rPr>
        <w:t xml:space="preserve"> </w:t>
      </w:r>
      <w:r w:rsidRPr="00DD6217">
        <w:rPr>
          <w:rFonts w:cs="Courier New"/>
        </w:rPr>
        <w:t xml:space="preserve"> The </w:t>
      </w:r>
      <w:r w:rsidR="00B92A12" w:rsidRPr="00DD6217">
        <w:rPr>
          <w:rFonts w:cs="Courier New"/>
        </w:rPr>
        <w:t xml:space="preserve">plan </w:t>
      </w:r>
      <w:r w:rsidR="00B92A12">
        <w:rPr>
          <w:rFonts w:cs="Courier New"/>
        </w:rPr>
        <w:t>or</w:t>
      </w:r>
      <w:r>
        <w:rPr>
          <w:rFonts w:cs="Courier New"/>
        </w:rPr>
        <w:t xml:space="preserve"> hospital, </w:t>
      </w:r>
      <w:r w:rsidRPr="00DD6217">
        <w:rPr>
          <w:rFonts w:cs="Courier New"/>
        </w:rPr>
        <w:t>in turn</w:t>
      </w:r>
      <w:r>
        <w:rPr>
          <w:rFonts w:cs="Courier New"/>
        </w:rPr>
        <w:t>,</w:t>
      </w:r>
      <w:r w:rsidRPr="00DD6217">
        <w:rPr>
          <w:rFonts w:cs="Courier New"/>
        </w:rPr>
        <w:t xml:space="preserve"> must deliver a </w:t>
      </w:r>
      <w:r>
        <w:rPr>
          <w:rFonts w:cs="Courier New"/>
        </w:rPr>
        <w:t>DND</w:t>
      </w:r>
      <w:r w:rsidRPr="00DD6217">
        <w:rPr>
          <w:rFonts w:cs="Courier New"/>
        </w:rPr>
        <w:t xml:space="preserve"> to the enrollee</w:t>
      </w:r>
      <w:r>
        <w:rPr>
          <w:rFonts w:cs="Courier New"/>
        </w:rPr>
        <w:t>/beneficiary</w:t>
      </w:r>
      <w:r w:rsidRPr="00DD6217">
        <w:rPr>
          <w:rFonts w:cs="Courier New"/>
        </w:rPr>
        <w:t>.</w:t>
      </w:r>
    </w:p>
    <w:p w14:paraId="07196C0F" w14:textId="0F687670" w:rsidR="00691BEA" w:rsidRDefault="008C557F" w:rsidP="004C302A">
      <w:pPr>
        <w:pStyle w:val="Body2"/>
      </w:pPr>
      <w:r>
        <w:t xml:space="preserve"> </w:t>
      </w:r>
    </w:p>
    <w:p w14:paraId="755339A3" w14:textId="77777777" w:rsidR="007111E8" w:rsidRDefault="007111E8" w:rsidP="004C302A">
      <w:pPr>
        <w:pStyle w:val="Body2"/>
      </w:pPr>
      <w:r>
        <w:lastRenderedPageBreak/>
        <w:t>3.</w:t>
      </w:r>
      <w:r>
        <w:tab/>
      </w:r>
      <w:r w:rsidR="004C302A">
        <w:t>Improved Information Technology</w:t>
      </w:r>
    </w:p>
    <w:p w14:paraId="14D71947" w14:textId="77777777" w:rsidR="001C571D" w:rsidRDefault="001C571D" w:rsidP="004C302A">
      <w:pPr>
        <w:pStyle w:val="Body2"/>
      </w:pPr>
    </w:p>
    <w:p w14:paraId="1AF18466" w14:textId="77777777" w:rsidR="007111E8" w:rsidRDefault="00211CE8" w:rsidP="004C302A">
      <w:pPr>
        <w:pStyle w:val="Body2"/>
      </w:pPr>
      <w:r>
        <w:t>Hospit</w:t>
      </w:r>
      <w:r w:rsidR="00E8449C">
        <w:t xml:space="preserve">als and </w:t>
      </w:r>
      <w:r w:rsidR="000015D7">
        <w:t>MA</w:t>
      </w:r>
      <w:r w:rsidR="00E8449C">
        <w:t xml:space="preserve"> organizations</w:t>
      </w:r>
      <w:r>
        <w:t xml:space="preserve"> must</w:t>
      </w:r>
      <w:r w:rsidR="007111E8">
        <w:t xml:space="preserve"> deliver </w:t>
      </w:r>
      <w:r>
        <w:t xml:space="preserve">a </w:t>
      </w:r>
      <w:r w:rsidR="002A5D24">
        <w:t xml:space="preserve">hard copy of the </w:t>
      </w:r>
      <w:r w:rsidR="00AA10A5">
        <w:t xml:space="preserve">DND </w:t>
      </w:r>
      <w:r w:rsidR="007111E8">
        <w:t>whenever beneficiaries</w:t>
      </w:r>
      <w:r w:rsidR="00E8449C">
        <w:t xml:space="preserve"> or enrollees</w:t>
      </w:r>
      <w:r>
        <w:t xml:space="preserve"> request a review of the discharge decision</w:t>
      </w:r>
      <w:r w:rsidR="00170378">
        <w:t xml:space="preserve"> by a QIO</w:t>
      </w:r>
      <w:r w:rsidR="007111E8">
        <w:t xml:space="preserve">.  </w:t>
      </w:r>
      <w:r w:rsidR="00176E5B">
        <w:t>There is no provision for alternative uses of information technology for the detailed notice, although hospitals may store a copy of the notice electronically.</w:t>
      </w:r>
    </w:p>
    <w:p w14:paraId="3E70FB19" w14:textId="77777777" w:rsidR="00176E5B" w:rsidRDefault="00176E5B" w:rsidP="004C302A">
      <w:pPr>
        <w:pStyle w:val="Body2"/>
      </w:pPr>
    </w:p>
    <w:p w14:paraId="0F5DB0D9" w14:textId="77777777" w:rsidR="007111E8" w:rsidRDefault="007111E8" w:rsidP="004C302A">
      <w:pPr>
        <w:pStyle w:val="Body2"/>
        <w:rPr>
          <w:u w:val="single"/>
        </w:rPr>
      </w:pPr>
      <w:r>
        <w:t>4.</w:t>
      </w:r>
      <w:r>
        <w:tab/>
      </w:r>
      <w:r w:rsidR="004C302A">
        <w:t>Duplication of Similar Information</w:t>
      </w:r>
    </w:p>
    <w:p w14:paraId="1856223E" w14:textId="77777777" w:rsidR="00ED1676" w:rsidRDefault="00ED1676" w:rsidP="004C302A">
      <w:pPr>
        <w:pStyle w:val="Body2"/>
      </w:pPr>
    </w:p>
    <w:p w14:paraId="3B6C5AD9" w14:textId="2D4F9DE0" w:rsidR="00D12D1B" w:rsidRDefault="00F721DD" w:rsidP="004C302A">
      <w:pPr>
        <w:pStyle w:val="Body2"/>
      </w:pPr>
      <w:r>
        <w:t>None.</w:t>
      </w:r>
      <w:r w:rsidR="00D12D1B">
        <w:t xml:space="preserve"> </w:t>
      </w:r>
    </w:p>
    <w:p w14:paraId="01515CB9" w14:textId="77777777" w:rsidR="008D4465" w:rsidRDefault="008D4465" w:rsidP="004C302A">
      <w:pPr>
        <w:pStyle w:val="Body2"/>
      </w:pPr>
    </w:p>
    <w:p w14:paraId="295EDB4F" w14:textId="77777777" w:rsidR="007111E8" w:rsidRPr="004C302A" w:rsidRDefault="007111E8" w:rsidP="004C302A">
      <w:pPr>
        <w:pStyle w:val="Body2"/>
      </w:pPr>
      <w:r>
        <w:t>5.</w:t>
      </w:r>
      <w:r>
        <w:tab/>
      </w:r>
      <w:r w:rsidRPr="004C302A">
        <w:t>S</w:t>
      </w:r>
      <w:r w:rsidR="004C302A" w:rsidRPr="004C302A">
        <w:t>mall Business</w:t>
      </w:r>
      <w:r w:rsidRPr="004C302A">
        <w:t xml:space="preserve"> </w:t>
      </w:r>
    </w:p>
    <w:p w14:paraId="37101EB9" w14:textId="77777777" w:rsidR="007111E8" w:rsidRDefault="007111E8" w:rsidP="004C302A">
      <w:pPr>
        <w:pStyle w:val="Body2"/>
      </w:pPr>
    </w:p>
    <w:p w14:paraId="007766F4" w14:textId="29DA768D" w:rsidR="007111E8" w:rsidRDefault="002D72C9" w:rsidP="004C302A">
      <w:pPr>
        <w:pStyle w:val="Body2"/>
      </w:pPr>
      <w:r>
        <w:t>All hospitals are expected to give the DND in relevant situations</w:t>
      </w:r>
      <w:r w:rsidR="00FA1ED6">
        <w:t xml:space="preserve">. </w:t>
      </w:r>
      <w:r w:rsidR="0058223B">
        <w:t xml:space="preserve"> </w:t>
      </w:r>
      <w:r>
        <w:t xml:space="preserve">The requirement does not impose any greater burden on small businesses than on large businesses since there is no difference in the information collected. </w:t>
      </w:r>
    </w:p>
    <w:p w14:paraId="7FB56239" w14:textId="77777777" w:rsidR="002D72C9" w:rsidRDefault="002D72C9" w:rsidP="004C302A">
      <w:pPr>
        <w:pStyle w:val="Body2"/>
      </w:pPr>
    </w:p>
    <w:p w14:paraId="6C861EC4" w14:textId="77777777" w:rsidR="007111E8" w:rsidRDefault="007111E8" w:rsidP="004C302A">
      <w:pPr>
        <w:pStyle w:val="Body2"/>
        <w:rPr>
          <w:u w:val="single"/>
        </w:rPr>
      </w:pPr>
      <w:r>
        <w:t>6.</w:t>
      </w:r>
      <w:r>
        <w:tab/>
      </w:r>
      <w:r w:rsidR="004C302A">
        <w:t>Less Frequent Collection</w:t>
      </w:r>
    </w:p>
    <w:p w14:paraId="70572688" w14:textId="77777777" w:rsidR="007111E8" w:rsidRDefault="007111E8" w:rsidP="004C302A">
      <w:pPr>
        <w:pStyle w:val="Body2"/>
        <w:rPr>
          <w:u w:val="single"/>
        </w:rPr>
      </w:pPr>
    </w:p>
    <w:p w14:paraId="165E6414" w14:textId="77777777" w:rsidR="00146EC4" w:rsidRDefault="00146EC4" w:rsidP="00146EC4">
      <w:pPr>
        <w:pStyle w:val="Body2"/>
      </w:pPr>
      <w:r>
        <w:t>The DND is</w:t>
      </w:r>
      <w:r w:rsidRPr="00E80A95">
        <w:t xml:space="preserve"> given on an as-needed basis as described under</w:t>
      </w:r>
      <w:r>
        <w:t xml:space="preserve"> 2</w:t>
      </w:r>
      <w:r w:rsidRPr="00E80A95">
        <w:t>, above.</w:t>
      </w:r>
    </w:p>
    <w:p w14:paraId="4FE04886" w14:textId="77777777" w:rsidR="002066D1" w:rsidRDefault="002066D1" w:rsidP="004C302A">
      <w:pPr>
        <w:pStyle w:val="Body2"/>
      </w:pPr>
    </w:p>
    <w:p w14:paraId="6A4B0CDA" w14:textId="20967F5A" w:rsidR="007111E8" w:rsidRDefault="007111E8" w:rsidP="004C302A">
      <w:pPr>
        <w:pStyle w:val="Body2"/>
        <w:rPr>
          <w:u w:val="single"/>
        </w:rPr>
      </w:pPr>
      <w:r>
        <w:t>7.</w:t>
      </w:r>
      <w:r>
        <w:tab/>
      </w:r>
      <w:r w:rsidRPr="004C302A">
        <w:t>S</w:t>
      </w:r>
      <w:r w:rsidR="004C302A" w:rsidRPr="004C302A">
        <w:t>pecial Circumstances</w:t>
      </w:r>
      <w:r w:rsidR="004C302A">
        <w:rPr>
          <w:u w:val="single"/>
        </w:rPr>
        <w:t xml:space="preserve"> </w:t>
      </w:r>
    </w:p>
    <w:p w14:paraId="33A0C4CB" w14:textId="77777777" w:rsidR="00332A67" w:rsidRPr="00124E27" w:rsidRDefault="00332A67" w:rsidP="00332A67">
      <w:pPr>
        <w:rPr>
          <w:rFonts w:ascii="Century Gothic" w:hAnsi="Century Gothic" w:cs="Arial"/>
        </w:rPr>
      </w:pPr>
    </w:p>
    <w:p w14:paraId="39AA5E16" w14:textId="77777777" w:rsidR="00332A67" w:rsidRPr="000F6BB9" w:rsidRDefault="00332A67" w:rsidP="00332A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sidRPr="000F6BB9">
        <w:rPr>
          <w:rFonts w:ascii="Century Gothic" w:hAnsi="Century Gothic"/>
        </w:rPr>
        <w:t>There are no special circumstances that would require an information collection to be conducted in a manner that requires respondents to:</w:t>
      </w:r>
    </w:p>
    <w:p w14:paraId="57E850A0" w14:textId="77777777" w:rsidR="00332A67" w:rsidRPr="000F6BB9" w:rsidRDefault="00332A67" w:rsidP="00332A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14:paraId="0669F3C7" w14:textId="77777777" w:rsidR="00332A67" w:rsidRPr="00396634" w:rsidRDefault="00332A67" w:rsidP="00396634">
      <w:pPr>
        <w:pStyle w:val="ListParagraph"/>
        <w:widowControl w:val="0"/>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396634">
        <w:rPr>
          <w:rFonts w:ascii="Century Gothic" w:hAnsi="Century Gothic"/>
        </w:rPr>
        <w:t>Report information to the agency more often than quarterly;</w:t>
      </w:r>
    </w:p>
    <w:p w14:paraId="29B9D11E" w14:textId="77777777" w:rsidR="00332A67" w:rsidRPr="00396634" w:rsidRDefault="00332A67" w:rsidP="00396634">
      <w:pPr>
        <w:pStyle w:val="ListParagraph"/>
        <w:widowControl w:val="0"/>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396634">
        <w:rPr>
          <w:rFonts w:ascii="Century Gothic" w:hAnsi="Century Gothic"/>
        </w:rPr>
        <w:t xml:space="preserve">Prepare a written response to a collection of information in fewer than 30 days after receipt of it; </w:t>
      </w:r>
    </w:p>
    <w:p w14:paraId="58982BBC" w14:textId="77777777" w:rsidR="00332A67" w:rsidRPr="00396634" w:rsidRDefault="00332A67" w:rsidP="00396634">
      <w:pPr>
        <w:pStyle w:val="ListParagraph"/>
        <w:widowControl w:val="0"/>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396634">
        <w:rPr>
          <w:rFonts w:ascii="Century Gothic" w:hAnsi="Century Gothic"/>
        </w:rPr>
        <w:t>Submit more than an original and two copies of any document;</w:t>
      </w:r>
    </w:p>
    <w:p w14:paraId="60D2C235" w14:textId="77777777" w:rsidR="00332A67" w:rsidRPr="00396634" w:rsidRDefault="00332A67" w:rsidP="00396634">
      <w:pPr>
        <w:pStyle w:val="ListParagraph"/>
        <w:widowControl w:val="0"/>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396634">
        <w:rPr>
          <w:rFonts w:ascii="Century Gothic" w:hAnsi="Century Gothic"/>
        </w:rPr>
        <w:t>Retain records, other than health, medical, government contract, grant-in-aid, or tax records for more than three years;</w:t>
      </w:r>
    </w:p>
    <w:p w14:paraId="10714F36" w14:textId="626874D0" w:rsidR="00332A67" w:rsidRPr="00396634" w:rsidRDefault="00332A67" w:rsidP="00396634">
      <w:pPr>
        <w:pStyle w:val="ListParagraph"/>
        <w:widowControl w:val="0"/>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396634">
        <w:rPr>
          <w:rFonts w:ascii="Century Gothic" w:hAnsi="Century Gothic"/>
        </w:rPr>
        <w:t>Collect data in connection with a statistical survey that is not designed to produce valid and reliable results that can be generalized to the universe of study</w:t>
      </w:r>
      <w:r w:rsidR="00E61588">
        <w:rPr>
          <w:rFonts w:ascii="Century Gothic" w:hAnsi="Century Gothic"/>
        </w:rPr>
        <w:t>;</w:t>
      </w:r>
    </w:p>
    <w:p w14:paraId="65F889EE" w14:textId="77777777" w:rsidR="00332A67" w:rsidRPr="00396634" w:rsidRDefault="00332A67" w:rsidP="00396634">
      <w:pPr>
        <w:pStyle w:val="ListParagraph"/>
        <w:widowControl w:val="0"/>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396634">
        <w:rPr>
          <w:rFonts w:ascii="Century Gothic" w:hAnsi="Century Gothic"/>
        </w:rPr>
        <w:t>Use a statistical data classification that has not been reviewed and approved by OMB;</w:t>
      </w:r>
    </w:p>
    <w:p w14:paraId="0AD05BF6" w14:textId="77777777" w:rsidR="00332A67" w:rsidRPr="00396634" w:rsidRDefault="00332A67" w:rsidP="00396634">
      <w:pPr>
        <w:pStyle w:val="ListParagraph"/>
        <w:widowControl w:val="0"/>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396634">
        <w:rPr>
          <w:rFonts w:ascii="Century Gothic" w:hAnsi="Century Gothic"/>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664A070" w14:textId="77777777" w:rsidR="00332A67" w:rsidRPr="00396634" w:rsidRDefault="00332A67" w:rsidP="00396634">
      <w:pPr>
        <w:pStyle w:val="ListParagraph"/>
        <w:widowControl w:val="0"/>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396634">
        <w:rPr>
          <w:rFonts w:ascii="Century Gothic" w:hAnsi="Century Gothic"/>
        </w:rPr>
        <w:t xml:space="preserve">Submit proprietary trade secret, or other confidential information </w:t>
      </w:r>
      <w:r w:rsidRPr="00396634">
        <w:rPr>
          <w:rFonts w:ascii="Century Gothic" w:hAnsi="Century Gothic"/>
        </w:rPr>
        <w:lastRenderedPageBreak/>
        <w:t>unless the agency can demonstrate that it has instituted procedures to protect the information's confidentiality to the extent permitted by law.</w:t>
      </w:r>
    </w:p>
    <w:p w14:paraId="06DCEC46" w14:textId="77777777" w:rsidR="009A4398" w:rsidRDefault="009A4398" w:rsidP="004C302A">
      <w:pPr>
        <w:pStyle w:val="Body2"/>
      </w:pPr>
    </w:p>
    <w:p w14:paraId="51C4ADAE" w14:textId="77777777" w:rsidR="007111E8" w:rsidRDefault="007111E8" w:rsidP="004C302A">
      <w:pPr>
        <w:pStyle w:val="Body2"/>
        <w:rPr>
          <w:u w:val="single"/>
        </w:rPr>
      </w:pPr>
      <w:r w:rsidRPr="002E448C">
        <w:t>8.</w:t>
      </w:r>
      <w:r w:rsidRPr="002E448C">
        <w:tab/>
      </w:r>
      <w:r w:rsidR="004C302A">
        <w:t>Federal Register Notice/ Outside Consultation</w:t>
      </w:r>
    </w:p>
    <w:p w14:paraId="0147C335" w14:textId="77777777" w:rsidR="007111E8" w:rsidRDefault="007111E8" w:rsidP="004C302A">
      <w:pPr>
        <w:pStyle w:val="Body2"/>
        <w:rPr>
          <w:u w:val="single"/>
        </w:rPr>
      </w:pPr>
    </w:p>
    <w:p w14:paraId="15A6AF18" w14:textId="5C56329E" w:rsidR="002130A1" w:rsidRPr="003B4449" w:rsidRDefault="00332A67" w:rsidP="00332A67">
      <w:pPr>
        <w:rPr>
          <w:rFonts w:ascii="Century Gothic" w:hAnsi="Century Gothic" w:cs="Arial"/>
          <w:u w:val="single"/>
        </w:rPr>
      </w:pPr>
      <w:r w:rsidRPr="003B4449">
        <w:rPr>
          <w:rFonts w:ascii="Century Gothic" w:hAnsi="Century Gothic"/>
        </w:rPr>
        <w:t xml:space="preserve">The 60-day notice published in the Federal Register on </w:t>
      </w:r>
      <w:r w:rsidR="001C3D6D" w:rsidRPr="003B4449">
        <w:rPr>
          <w:rFonts w:ascii="Century Gothic" w:hAnsi="Century Gothic"/>
        </w:rPr>
        <w:t>November 27</w:t>
      </w:r>
      <w:r w:rsidRPr="003B4449">
        <w:rPr>
          <w:rFonts w:ascii="Century Gothic" w:hAnsi="Century Gothic"/>
        </w:rPr>
        <w:t xml:space="preserve">, 2015 (80 FR </w:t>
      </w:r>
      <w:r w:rsidR="001C3D6D" w:rsidRPr="003B4449">
        <w:rPr>
          <w:rFonts w:ascii="Century Gothic" w:hAnsi="Century Gothic"/>
        </w:rPr>
        <w:t>74112</w:t>
      </w:r>
      <w:r w:rsidRPr="003B4449">
        <w:rPr>
          <w:rFonts w:ascii="Century Gothic" w:hAnsi="Century Gothic"/>
        </w:rPr>
        <w:t xml:space="preserve">). </w:t>
      </w:r>
      <w:r w:rsidR="000C58DB" w:rsidRPr="003B4449">
        <w:rPr>
          <w:rFonts w:ascii="Century Gothic" w:hAnsi="Century Gothic"/>
        </w:rPr>
        <w:t xml:space="preserve">No </w:t>
      </w:r>
      <w:r w:rsidRPr="003B4449">
        <w:rPr>
          <w:rFonts w:ascii="Century Gothic" w:hAnsi="Century Gothic"/>
        </w:rPr>
        <w:t>comment</w:t>
      </w:r>
      <w:r w:rsidR="000C58DB" w:rsidRPr="003B4449">
        <w:rPr>
          <w:rFonts w:ascii="Century Gothic" w:hAnsi="Century Gothic"/>
        </w:rPr>
        <w:t>s</w:t>
      </w:r>
      <w:r w:rsidRPr="003B4449">
        <w:rPr>
          <w:rFonts w:ascii="Century Gothic" w:hAnsi="Century Gothic"/>
        </w:rPr>
        <w:t xml:space="preserve"> w</w:t>
      </w:r>
      <w:r w:rsidR="000C58DB" w:rsidRPr="003B4449">
        <w:rPr>
          <w:rFonts w:ascii="Century Gothic" w:hAnsi="Century Gothic"/>
        </w:rPr>
        <w:t xml:space="preserve">ere </w:t>
      </w:r>
      <w:r w:rsidRPr="003B4449">
        <w:rPr>
          <w:rFonts w:ascii="Century Gothic" w:hAnsi="Century Gothic"/>
        </w:rPr>
        <w:t>received.</w:t>
      </w:r>
    </w:p>
    <w:p w14:paraId="550015BC" w14:textId="77777777" w:rsidR="008C2B34" w:rsidRDefault="008C2B34" w:rsidP="004C302A">
      <w:pPr>
        <w:pStyle w:val="Body2"/>
      </w:pPr>
    </w:p>
    <w:p w14:paraId="7F4EC28E" w14:textId="77777777" w:rsidR="007111E8" w:rsidRDefault="007111E8" w:rsidP="004C302A">
      <w:pPr>
        <w:pStyle w:val="Body2"/>
        <w:rPr>
          <w:u w:val="single"/>
        </w:rPr>
      </w:pPr>
      <w:r>
        <w:t>9.</w:t>
      </w:r>
      <w:r>
        <w:tab/>
      </w:r>
      <w:r w:rsidR="004C302A">
        <w:t>Payment/ Gift to Respondent</w:t>
      </w:r>
    </w:p>
    <w:p w14:paraId="0B8ACC0F" w14:textId="77777777" w:rsidR="007111E8" w:rsidRDefault="007111E8" w:rsidP="004C302A">
      <w:pPr>
        <w:pStyle w:val="Body2"/>
        <w:rPr>
          <w:u w:val="single"/>
        </w:rPr>
      </w:pPr>
    </w:p>
    <w:p w14:paraId="66C30256" w14:textId="77777777" w:rsidR="007111E8" w:rsidRDefault="007111E8" w:rsidP="004C302A">
      <w:pPr>
        <w:pStyle w:val="Body2"/>
      </w:pPr>
      <w:r>
        <w:t>We do not plan to provide any payment or gifts to respondents.</w:t>
      </w:r>
    </w:p>
    <w:p w14:paraId="623D817F" w14:textId="77777777" w:rsidR="007111E8" w:rsidRDefault="007111E8" w:rsidP="004C302A">
      <w:pPr>
        <w:pStyle w:val="Body2"/>
      </w:pPr>
    </w:p>
    <w:p w14:paraId="6C9DC052" w14:textId="77777777" w:rsidR="007111E8" w:rsidRPr="004C302A" w:rsidRDefault="007111E8" w:rsidP="004C302A">
      <w:pPr>
        <w:pStyle w:val="Body2"/>
      </w:pPr>
      <w:r>
        <w:t>10.</w:t>
      </w:r>
      <w:r>
        <w:tab/>
      </w:r>
      <w:r w:rsidR="004C302A" w:rsidRPr="004C302A">
        <w:t>C</w:t>
      </w:r>
      <w:r w:rsidR="004C302A">
        <w:t>onfidentiality</w:t>
      </w:r>
    </w:p>
    <w:p w14:paraId="7AE80C29" w14:textId="77777777" w:rsidR="007111E8" w:rsidRDefault="007111E8" w:rsidP="004C302A">
      <w:pPr>
        <w:pStyle w:val="Body2"/>
        <w:rPr>
          <w:u w:val="single"/>
        </w:rPr>
      </w:pPr>
    </w:p>
    <w:p w14:paraId="33278332" w14:textId="77777777" w:rsidR="007111E8" w:rsidRDefault="007111E8" w:rsidP="004C302A">
      <w:pPr>
        <w:pStyle w:val="Body2"/>
      </w:pPr>
      <w:r>
        <w:t>We are not collecting information.  The provider and QIO will maintain records of notices and decisions, but those records do not become part of a federal system of records.  Therefore, this item is not applicable.</w:t>
      </w:r>
    </w:p>
    <w:p w14:paraId="0DE0EA36" w14:textId="77777777" w:rsidR="007111E8" w:rsidRDefault="007111E8" w:rsidP="004C302A">
      <w:pPr>
        <w:pStyle w:val="Body2"/>
      </w:pPr>
    </w:p>
    <w:p w14:paraId="0885D351" w14:textId="77777777" w:rsidR="007111E8" w:rsidRPr="004C302A" w:rsidRDefault="007111E8" w:rsidP="004C302A">
      <w:pPr>
        <w:pStyle w:val="Body2"/>
      </w:pPr>
      <w:r>
        <w:t>11.</w:t>
      </w:r>
      <w:r>
        <w:tab/>
      </w:r>
      <w:r w:rsidRPr="004C302A">
        <w:t>S</w:t>
      </w:r>
      <w:r w:rsidR="004C302A">
        <w:t>ensitive Questions</w:t>
      </w:r>
    </w:p>
    <w:p w14:paraId="110878A9" w14:textId="77777777" w:rsidR="007111E8" w:rsidRDefault="007111E8" w:rsidP="004C302A">
      <w:pPr>
        <w:pStyle w:val="Body2"/>
        <w:rPr>
          <w:u w:val="single"/>
        </w:rPr>
      </w:pPr>
    </w:p>
    <w:p w14:paraId="0D09A1A5" w14:textId="77777777" w:rsidR="007111E8" w:rsidRPr="00DD6217" w:rsidRDefault="007111E8" w:rsidP="004C302A">
      <w:pPr>
        <w:pStyle w:val="Body2"/>
      </w:pPr>
      <w:r>
        <w:t xml:space="preserve">We do not require beneficiaries to answer any sensitive questions.  </w:t>
      </w:r>
      <w:r w:rsidRPr="00DD6217">
        <w:t>Therefore, this item is not applicable.</w:t>
      </w:r>
    </w:p>
    <w:p w14:paraId="458AFDE6" w14:textId="77777777" w:rsidR="007111E8" w:rsidRPr="00DD6217" w:rsidRDefault="007111E8" w:rsidP="004C302A">
      <w:pPr>
        <w:pStyle w:val="Body2"/>
      </w:pPr>
    </w:p>
    <w:p w14:paraId="4CB9DC69" w14:textId="70841707" w:rsidR="006E2A2B" w:rsidRPr="008247F1" w:rsidRDefault="004C302A" w:rsidP="004C302A">
      <w:pPr>
        <w:pStyle w:val="Body2"/>
      </w:pPr>
      <w:r w:rsidRPr="004C302A">
        <w:t xml:space="preserve">12. </w:t>
      </w:r>
      <w:r>
        <w:tab/>
      </w:r>
      <w:r w:rsidR="007111E8" w:rsidRPr="004C302A">
        <w:t>B</w:t>
      </w:r>
      <w:r>
        <w:t>urden Estimate</w:t>
      </w:r>
      <w:r w:rsidR="006D78F2">
        <w:t>s</w:t>
      </w:r>
      <w:r w:rsidR="007111E8" w:rsidRPr="004C302A">
        <w:t xml:space="preserve"> </w:t>
      </w:r>
    </w:p>
    <w:p w14:paraId="33BAE461" w14:textId="772F66B5" w:rsidR="00DA5FB4" w:rsidRDefault="00DA5FB4" w:rsidP="004C302A">
      <w:pPr>
        <w:pStyle w:val="Body2"/>
        <w:rPr>
          <w:rFonts w:cs="Courier New"/>
        </w:rPr>
      </w:pPr>
    </w:p>
    <w:p w14:paraId="3A9591F4" w14:textId="77777777" w:rsidR="00B65FA8" w:rsidRPr="000F6BB9" w:rsidRDefault="00B65FA8" w:rsidP="00B65FA8">
      <w:pPr>
        <w:pStyle w:val="Body2"/>
        <w:rPr>
          <w:i/>
          <w:u w:val="single"/>
        </w:rPr>
      </w:pPr>
      <w:r w:rsidRPr="000F6BB9">
        <w:rPr>
          <w:i/>
          <w:u w:val="single"/>
        </w:rPr>
        <w:t>Wages</w:t>
      </w:r>
    </w:p>
    <w:p w14:paraId="170D11F0" w14:textId="77777777" w:rsidR="00B65FA8" w:rsidRPr="000F6BB9" w:rsidRDefault="00B65FA8" w:rsidP="00B65FA8">
      <w:pPr>
        <w:pStyle w:val="Body2"/>
        <w:rPr>
          <w:i/>
        </w:rPr>
      </w:pPr>
    </w:p>
    <w:p w14:paraId="37C63B3E" w14:textId="2862D6A9" w:rsidR="00AB03DA" w:rsidRPr="000F6BB9" w:rsidRDefault="00B65FA8" w:rsidP="00B65FA8">
      <w:pPr>
        <w:rPr>
          <w:rFonts w:ascii="Century Gothic" w:hAnsi="Century Gothic"/>
        </w:rPr>
      </w:pPr>
      <w:r w:rsidRPr="000F6BB9">
        <w:rPr>
          <w:rFonts w:ascii="Century Gothic" w:hAnsi="Century Gothic"/>
        </w:rPr>
        <w:t>To derive average costs, we used data from the U.S. Bureau of Labor Statistics’ May 201</w:t>
      </w:r>
      <w:r>
        <w:rPr>
          <w:rFonts w:ascii="Century Gothic" w:hAnsi="Century Gothic"/>
        </w:rPr>
        <w:t>5</w:t>
      </w:r>
      <w:r w:rsidRPr="000F6BB9">
        <w:rPr>
          <w:rFonts w:ascii="Century Gothic" w:hAnsi="Century Gothic"/>
        </w:rPr>
        <w:t xml:space="preserve"> National Occupational Employment and Wage Estimates for all salary estimates (</w:t>
      </w:r>
      <w:hyperlink r:id="rId6" w:history="1">
        <w:r w:rsidR="0058223B" w:rsidRPr="00CE27FB">
          <w:rPr>
            <w:rStyle w:val="Hyperlink"/>
            <w:rFonts w:ascii="Century Gothic" w:hAnsi="Century Gothic"/>
          </w:rPr>
          <w:t>http://www.bls.gov/oes/current/oes_nat.htm</w:t>
        </w:r>
      </w:hyperlink>
      <w:r w:rsidRPr="000F6BB9">
        <w:rPr>
          <w:rFonts w:ascii="Century Gothic" w:hAnsi="Century Gothic"/>
        </w:rPr>
        <w:t>).</w:t>
      </w:r>
      <w:r w:rsidR="0058223B">
        <w:rPr>
          <w:rFonts w:ascii="Century Gothic" w:hAnsi="Century Gothic"/>
        </w:rPr>
        <w:t xml:space="preserve"> </w:t>
      </w:r>
      <w:r w:rsidRPr="000F6BB9">
        <w:rPr>
          <w:rFonts w:ascii="Century Gothic" w:hAnsi="Century Gothic"/>
        </w:rPr>
        <w:t xml:space="preserve"> In this regard, the following table presents the mean hourly wage, the cost of fringe benefits (calculated at 100 percent of salary), and the adjusted hourly wage.</w:t>
      </w:r>
    </w:p>
    <w:p w14:paraId="24DC2F8A" w14:textId="77777777" w:rsidR="00B65FA8" w:rsidRPr="000F6BB9" w:rsidRDefault="00B65FA8" w:rsidP="00B65FA8">
      <w:pPr>
        <w:ind w:firstLine="7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766"/>
        <w:gridCol w:w="1636"/>
        <w:gridCol w:w="1714"/>
        <w:gridCol w:w="1740"/>
      </w:tblGrid>
      <w:tr w:rsidR="00B65FA8" w:rsidRPr="000F6BB9" w14:paraId="471E4BD4" w14:textId="77777777" w:rsidTr="00396634">
        <w:tc>
          <w:tcPr>
            <w:tcW w:w="1774" w:type="dxa"/>
            <w:shd w:val="clear" w:color="auto" w:fill="auto"/>
          </w:tcPr>
          <w:p w14:paraId="2E189A13" w14:textId="77777777" w:rsidR="00B65FA8" w:rsidRPr="000F6BB9" w:rsidRDefault="00B65FA8" w:rsidP="004A0C31">
            <w:pPr>
              <w:rPr>
                <w:rFonts w:ascii="Century Gothic" w:hAnsi="Century Gothic"/>
                <w:sz w:val="20"/>
                <w:szCs w:val="20"/>
              </w:rPr>
            </w:pPr>
            <w:r w:rsidRPr="000F6BB9">
              <w:rPr>
                <w:rFonts w:ascii="Century Gothic" w:hAnsi="Century Gothic"/>
                <w:sz w:val="20"/>
                <w:szCs w:val="20"/>
              </w:rPr>
              <w:t>Occupation Title</w:t>
            </w:r>
          </w:p>
        </w:tc>
        <w:tc>
          <w:tcPr>
            <w:tcW w:w="1766" w:type="dxa"/>
            <w:shd w:val="clear" w:color="auto" w:fill="auto"/>
          </w:tcPr>
          <w:p w14:paraId="00DB95AF" w14:textId="77777777" w:rsidR="00B65FA8" w:rsidRPr="000F6BB9" w:rsidRDefault="00B65FA8" w:rsidP="004A0C31">
            <w:pPr>
              <w:rPr>
                <w:rFonts w:ascii="Century Gothic" w:hAnsi="Century Gothic"/>
                <w:sz w:val="20"/>
                <w:szCs w:val="20"/>
              </w:rPr>
            </w:pPr>
            <w:r w:rsidRPr="000F6BB9">
              <w:rPr>
                <w:rFonts w:ascii="Century Gothic" w:hAnsi="Century Gothic"/>
                <w:sz w:val="20"/>
                <w:szCs w:val="20"/>
              </w:rPr>
              <w:t>Occupation Code</w:t>
            </w:r>
          </w:p>
        </w:tc>
        <w:tc>
          <w:tcPr>
            <w:tcW w:w="1636" w:type="dxa"/>
            <w:shd w:val="clear" w:color="auto" w:fill="auto"/>
          </w:tcPr>
          <w:p w14:paraId="030A18B2" w14:textId="77777777" w:rsidR="00B65FA8" w:rsidRPr="000F6BB9" w:rsidRDefault="00B65FA8" w:rsidP="004A0C31">
            <w:pPr>
              <w:rPr>
                <w:rFonts w:ascii="Century Gothic" w:hAnsi="Century Gothic"/>
                <w:sz w:val="20"/>
                <w:szCs w:val="20"/>
              </w:rPr>
            </w:pPr>
            <w:r w:rsidRPr="000F6BB9">
              <w:rPr>
                <w:rFonts w:ascii="Century Gothic" w:hAnsi="Century Gothic"/>
                <w:sz w:val="20"/>
                <w:szCs w:val="20"/>
              </w:rPr>
              <w:t>Mean Hourly Wage ($/hr)</w:t>
            </w:r>
          </w:p>
        </w:tc>
        <w:tc>
          <w:tcPr>
            <w:tcW w:w="1714" w:type="dxa"/>
            <w:shd w:val="clear" w:color="auto" w:fill="auto"/>
          </w:tcPr>
          <w:p w14:paraId="35620808" w14:textId="77777777" w:rsidR="00B65FA8" w:rsidRPr="000F6BB9" w:rsidRDefault="00B65FA8" w:rsidP="004A0C31">
            <w:pPr>
              <w:rPr>
                <w:rFonts w:ascii="Century Gothic" w:hAnsi="Century Gothic"/>
                <w:sz w:val="20"/>
                <w:szCs w:val="20"/>
              </w:rPr>
            </w:pPr>
            <w:r w:rsidRPr="000F6BB9">
              <w:rPr>
                <w:rFonts w:ascii="Century Gothic" w:hAnsi="Century Gothic"/>
                <w:sz w:val="20"/>
                <w:szCs w:val="20"/>
              </w:rPr>
              <w:t>Fringe Benefit ($/hr)</w:t>
            </w:r>
          </w:p>
        </w:tc>
        <w:tc>
          <w:tcPr>
            <w:tcW w:w="1740" w:type="dxa"/>
            <w:shd w:val="clear" w:color="auto" w:fill="auto"/>
          </w:tcPr>
          <w:p w14:paraId="0CDAF60F" w14:textId="77777777" w:rsidR="00B65FA8" w:rsidRPr="000F6BB9" w:rsidRDefault="00B65FA8" w:rsidP="004A0C31">
            <w:pPr>
              <w:rPr>
                <w:rFonts w:ascii="Century Gothic" w:hAnsi="Century Gothic"/>
                <w:sz w:val="20"/>
                <w:szCs w:val="20"/>
              </w:rPr>
            </w:pPr>
            <w:r w:rsidRPr="000F6BB9">
              <w:rPr>
                <w:rFonts w:ascii="Century Gothic" w:hAnsi="Century Gothic"/>
                <w:sz w:val="20"/>
                <w:szCs w:val="20"/>
              </w:rPr>
              <w:t>Adjusted Hourly Wage ($/hr)</w:t>
            </w:r>
          </w:p>
        </w:tc>
      </w:tr>
      <w:tr w:rsidR="00B65FA8" w:rsidRPr="000F6BB9" w14:paraId="7873C529" w14:textId="77777777" w:rsidTr="00396634">
        <w:tc>
          <w:tcPr>
            <w:tcW w:w="1774" w:type="dxa"/>
            <w:shd w:val="clear" w:color="auto" w:fill="auto"/>
          </w:tcPr>
          <w:p w14:paraId="704FEE90" w14:textId="64D686C6" w:rsidR="00B65FA8" w:rsidRPr="000F6BB9" w:rsidRDefault="00AB03DA" w:rsidP="004A0C31">
            <w:pPr>
              <w:rPr>
                <w:rFonts w:ascii="Century Gothic" w:hAnsi="Century Gothic"/>
                <w:sz w:val="20"/>
                <w:szCs w:val="20"/>
              </w:rPr>
            </w:pPr>
            <w:r>
              <w:rPr>
                <w:rFonts w:ascii="Century Gothic" w:hAnsi="Century Gothic"/>
                <w:sz w:val="20"/>
                <w:szCs w:val="20"/>
              </w:rPr>
              <w:t xml:space="preserve">Other Healthcare Practitioners and Technical Occupations </w:t>
            </w:r>
          </w:p>
        </w:tc>
        <w:tc>
          <w:tcPr>
            <w:tcW w:w="1766" w:type="dxa"/>
            <w:shd w:val="clear" w:color="auto" w:fill="auto"/>
          </w:tcPr>
          <w:p w14:paraId="457FEF64" w14:textId="14FD4A7A" w:rsidR="00B65FA8" w:rsidRPr="000F6BB9" w:rsidRDefault="00AB03DA" w:rsidP="004A0C31">
            <w:pPr>
              <w:rPr>
                <w:rFonts w:ascii="Century Gothic" w:hAnsi="Century Gothic"/>
                <w:sz w:val="20"/>
                <w:szCs w:val="20"/>
              </w:rPr>
            </w:pPr>
            <w:r>
              <w:rPr>
                <w:rFonts w:ascii="Century Gothic" w:hAnsi="Century Gothic"/>
                <w:sz w:val="20"/>
                <w:szCs w:val="20"/>
              </w:rPr>
              <w:t>29-9000</w:t>
            </w:r>
          </w:p>
        </w:tc>
        <w:tc>
          <w:tcPr>
            <w:tcW w:w="1636" w:type="dxa"/>
            <w:shd w:val="clear" w:color="auto" w:fill="auto"/>
          </w:tcPr>
          <w:p w14:paraId="580FAA84" w14:textId="541ED70D" w:rsidR="00B65FA8" w:rsidRPr="000F6BB9" w:rsidRDefault="00AB03DA" w:rsidP="004A0C31">
            <w:pPr>
              <w:rPr>
                <w:rFonts w:ascii="Century Gothic" w:hAnsi="Century Gothic"/>
                <w:sz w:val="20"/>
                <w:szCs w:val="20"/>
              </w:rPr>
            </w:pPr>
            <w:r>
              <w:rPr>
                <w:rFonts w:ascii="Century Gothic" w:hAnsi="Century Gothic"/>
                <w:sz w:val="20"/>
                <w:szCs w:val="20"/>
              </w:rPr>
              <w:t>29.72</w:t>
            </w:r>
          </w:p>
        </w:tc>
        <w:tc>
          <w:tcPr>
            <w:tcW w:w="1714" w:type="dxa"/>
            <w:shd w:val="clear" w:color="auto" w:fill="auto"/>
          </w:tcPr>
          <w:p w14:paraId="6C0D65F6" w14:textId="2BC071B9" w:rsidR="00B65FA8" w:rsidRPr="000F6BB9" w:rsidRDefault="00AB03DA" w:rsidP="004A0C31">
            <w:pPr>
              <w:rPr>
                <w:rFonts w:ascii="Century Gothic" w:hAnsi="Century Gothic"/>
                <w:sz w:val="20"/>
                <w:szCs w:val="20"/>
              </w:rPr>
            </w:pPr>
            <w:r>
              <w:rPr>
                <w:rFonts w:ascii="Century Gothic" w:hAnsi="Century Gothic"/>
                <w:sz w:val="20"/>
                <w:szCs w:val="20"/>
              </w:rPr>
              <w:t>29.72</w:t>
            </w:r>
          </w:p>
        </w:tc>
        <w:tc>
          <w:tcPr>
            <w:tcW w:w="1740" w:type="dxa"/>
            <w:shd w:val="clear" w:color="auto" w:fill="auto"/>
          </w:tcPr>
          <w:p w14:paraId="590D90AB" w14:textId="39F02BDF" w:rsidR="00B65FA8" w:rsidRPr="000F6BB9" w:rsidRDefault="00AB03DA" w:rsidP="004A0C31">
            <w:pPr>
              <w:rPr>
                <w:rFonts w:ascii="Century Gothic" w:hAnsi="Century Gothic"/>
                <w:sz w:val="20"/>
                <w:szCs w:val="20"/>
              </w:rPr>
            </w:pPr>
            <w:r>
              <w:rPr>
                <w:rFonts w:ascii="Century Gothic" w:hAnsi="Century Gothic"/>
                <w:sz w:val="20"/>
                <w:szCs w:val="20"/>
              </w:rPr>
              <w:t>59.44</w:t>
            </w:r>
          </w:p>
        </w:tc>
      </w:tr>
    </w:tbl>
    <w:p w14:paraId="3BE1294E" w14:textId="77777777" w:rsidR="00B65FA8" w:rsidRPr="000F6BB9" w:rsidRDefault="00B65FA8" w:rsidP="00B65F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rPr>
      </w:pPr>
    </w:p>
    <w:p w14:paraId="7D590C41" w14:textId="72D1CB63" w:rsidR="00C910D2" w:rsidRPr="00C910D2" w:rsidRDefault="00B65FA8" w:rsidP="00C910D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rPr>
      </w:pPr>
      <w:r w:rsidRPr="000F6BB9">
        <w:rPr>
          <w:rFonts w:ascii="Century Gothic" w:hAnsi="Century Gothic"/>
        </w:rPr>
        <w:t xml:space="preserve">As indicated, we are adjusting our employee hourly wage estimates by a factor of 100 percent. </w:t>
      </w:r>
      <w:r w:rsidR="0058223B">
        <w:rPr>
          <w:rFonts w:ascii="Century Gothic" w:hAnsi="Century Gothic"/>
        </w:rPr>
        <w:t xml:space="preserve"> </w:t>
      </w:r>
      <w:r w:rsidRPr="000F6BB9">
        <w:rPr>
          <w:rFonts w:ascii="Century Gothic" w:hAnsi="Century Gothic"/>
        </w:rPr>
        <w:t xml:space="preserve">This is necessarily a rough adjustment, both because fringe benefits and overhead costs vary significantly from </w:t>
      </w:r>
      <w:r w:rsidRPr="000F6BB9">
        <w:rPr>
          <w:rFonts w:ascii="Century Gothic" w:hAnsi="Century Gothic"/>
        </w:rPr>
        <w:lastRenderedPageBreak/>
        <w:t>employer to employer, and because methods of estimating these costs vary widely from study to study.</w:t>
      </w:r>
      <w:r w:rsidR="0058223B">
        <w:rPr>
          <w:rFonts w:ascii="Century Gothic" w:hAnsi="Century Gothic"/>
        </w:rPr>
        <w:t xml:space="preserve"> </w:t>
      </w:r>
      <w:r w:rsidRPr="000F6BB9">
        <w:rPr>
          <w:rFonts w:ascii="Century Gothic" w:hAnsi="Century Gothic"/>
        </w:rPr>
        <w:t xml:space="preserve"> Nonetheless, there is no practical alternative and we believe that doubling the hourly wage to estimate total cost is a reasonably accurate estimation method.</w:t>
      </w:r>
    </w:p>
    <w:p w14:paraId="5C381A7D" w14:textId="77777777" w:rsidR="00C910D2" w:rsidRDefault="00C910D2" w:rsidP="004C302A">
      <w:pPr>
        <w:pStyle w:val="Body2"/>
        <w:rPr>
          <w:rFonts w:cs="Courier New"/>
        </w:rPr>
      </w:pPr>
    </w:p>
    <w:p w14:paraId="768F1EFD" w14:textId="65B3443F" w:rsidR="00DA5FB4" w:rsidRPr="00C910D2" w:rsidRDefault="00DA5FB4" w:rsidP="004C302A">
      <w:pPr>
        <w:pStyle w:val="Body2"/>
        <w:rPr>
          <w:rFonts w:cs="Courier New"/>
          <w:i/>
          <w:u w:val="single"/>
        </w:rPr>
      </w:pPr>
      <w:r w:rsidRPr="00C910D2">
        <w:rPr>
          <w:rFonts w:cs="Courier New"/>
          <w:i/>
          <w:u w:val="single"/>
        </w:rPr>
        <w:t>Burden Estimates</w:t>
      </w:r>
    </w:p>
    <w:p w14:paraId="103B84E2" w14:textId="77777777" w:rsidR="00DA5FB4" w:rsidRDefault="00DA5FB4" w:rsidP="004C302A">
      <w:pPr>
        <w:pStyle w:val="Body2"/>
        <w:rPr>
          <w:rFonts w:cs="Courier New"/>
        </w:rPr>
      </w:pPr>
    </w:p>
    <w:p w14:paraId="612CB1E5" w14:textId="77777777" w:rsidR="006D78F2" w:rsidRDefault="006D78F2" w:rsidP="006D78F2">
      <w:pPr>
        <w:pStyle w:val="Body2"/>
      </w:pPr>
      <w:r w:rsidRPr="00252B83">
        <w:t xml:space="preserve">According to </w:t>
      </w:r>
      <w:r>
        <w:t xml:space="preserve">2014 Medicare </w:t>
      </w:r>
      <w:r w:rsidRPr="00252B83">
        <w:t xml:space="preserve">CMS </w:t>
      </w:r>
      <w:r>
        <w:t>s</w:t>
      </w:r>
      <w:r w:rsidRPr="00252B83">
        <w:t>tatistics published</w:t>
      </w:r>
      <w:r>
        <w:t xml:space="preserve"> online</w:t>
      </w:r>
      <w:r w:rsidRPr="00252B83">
        <w:t xml:space="preserve"> by the U.S. Department of Health and Human Services</w:t>
      </w:r>
      <w:r>
        <w:t xml:space="preserve"> (See: </w:t>
      </w:r>
      <w:r w:rsidRPr="00252B83">
        <w:t xml:space="preserve"> </w:t>
      </w:r>
      <w:hyperlink r:id="rId7" w:history="1">
        <w:r>
          <w:rPr>
            <w:rStyle w:val="Hyperlink"/>
          </w:rPr>
          <w:t>2015 CMS Statistics</w:t>
        </w:r>
      </w:hyperlink>
      <w:r>
        <w:t>, Tables II.1 and V.6),</w:t>
      </w:r>
      <w:r w:rsidRPr="00252B83">
        <w:t xml:space="preserve"> </w:t>
      </w:r>
      <w:r>
        <w:t>there</w:t>
      </w:r>
      <w:r w:rsidRPr="00252B83">
        <w:t xml:space="preserve"> were approximately </w:t>
      </w:r>
      <w:r>
        <w:t>14.8 million</w:t>
      </w:r>
      <w:r w:rsidRPr="00252B83">
        <w:t xml:space="preserve"> </w:t>
      </w:r>
      <w:r>
        <w:t xml:space="preserve">Medicare hospital </w:t>
      </w:r>
      <w:r w:rsidRPr="00252B83">
        <w:t>discharges</w:t>
      </w:r>
      <w:r>
        <w:t xml:space="preserve"> and 6,142 </w:t>
      </w:r>
      <w:r w:rsidRPr="00252B83">
        <w:t>hospitals participating in Medicare that potentially</w:t>
      </w:r>
      <w:r>
        <w:t xml:space="preserve"> would need to issue the notice</w:t>
      </w:r>
      <w:r w:rsidRPr="00252B83">
        <w:t xml:space="preserve">.  </w:t>
      </w:r>
    </w:p>
    <w:p w14:paraId="0AB19B07" w14:textId="77777777" w:rsidR="006D78F2" w:rsidRDefault="006D78F2" w:rsidP="006D78F2">
      <w:pPr>
        <w:pStyle w:val="Body2"/>
      </w:pPr>
    </w:p>
    <w:p w14:paraId="5A95002E" w14:textId="77777777" w:rsidR="006D78F2" w:rsidRDefault="006D78F2" w:rsidP="006D78F2">
      <w:pPr>
        <w:pStyle w:val="Body2"/>
      </w:pPr>
      <w:r>
        <w:t xml:space="preserve">The DND is required whenever a beneficiary requests a discharge appeal; thus, we can accurately determine the number of DNDs delivered by using QIO inpatient hospital appeals data.  We collected calendar year 2013 QIO data from the Case Review Information System (CRIS), which is the results tracking system for all QIOs.  In 2015, 13,523 fee-for-service (FFS) Medicare beneficiaries and 8,992 Medicare Advantage (MA) beneficiaries requested a QIO review of their inpatient hospital discharge decision for a total of 22,515 appeal requests requiring DND delivery in 2013. </w:t>
      </w:r>
    </w:p>
    <w:p w14:paraId="2134DE19" w14:textId="77777777" w:rsidR="006D78F2" w:rsidRDefault="006D78F2" w:rsidP="006D78F2">
      <w:pPr>
        <w:pStyle w:val="Body2"/>
      </w:pPr>
    </w:p>
    <w:p w14:paraId="04392274" w14:textId="77777777" w:rsidR="006D78F2" w:rsidRDefault="006D78F2" w:rsidP="006D78F2">
      <w:pPr>
        <w:pStyle w:val="Body2"/>
        <w:rPr>
          <w:rFonts w:cs="Courier New"/>
        </w:rPr>
      </w:pPr>
      <w:r>
        <w:t>Based on the above, we can deduce that 0.1521% of hospital discharges require DND delivery (22,515 appeal requests ÷ 14.8 million inpatient discharges).  In addition, we estimate that each hospital would deliver an average of 3.67 notices annually (22,515 appeal requests ÷ 6,142 hospitals).</w:t>
      </w:r>
    </w:p>
    <w:p w14:paraId="1EEB668D" w14:textId="77777777" w:rsidR="006D78F2" w:rsidRDefault="006D78F2" w:rsidP="006D78F2">
      <w:pPr>
        <w:pStyle w:val="Body2"/>
        <w:rPr>
          <w:rFonts w:cs="Courier New"/>
        </w:rPr>
      </w:pPr>
    </w:p>
    <w:p w14:paraId="47CA01B8" w14:textId="77777777" w:rsidR="006D78F2" w:rsidRPr="00DD6217" w:rsidRDefault="006D78F2" w:rsidP="006D78F2">
      <w:pPr>
        <w:pStyle w:val="Body2"/>
        <w:rPr>
          <w:rFonts w:cs="Courier New"/>
        </w:rPr>
      </w:pPr>
      <w:r>
        <w:rPr>
          <w:rFonts w:cs="Courier New"/>
        </w:rPr>
        <w:t xml:space="preserve">The regulation set forth at 42 CFR </w:t>
      </w:r>
      <w:r w:rsidRPr="00DD6217">
        <w:rPr>
          <w:rFonts w:cs="Courier New"/>
        </w:rPr>
        <w:t xml:space="preserve">405.1206(b) requires any beneficiary wishing to exercise the right to an expedited determination to submit a request, in writing or by telephone, to the QIO that has an agreement with the hospital.  Section 405.1206(e) requires hospitals to deliver a </w:t>
      </w:r>
      <w:r>
        <w:rPr>
          <w:rFonts w:cs="Courier New"/>
        </w:rPr>
        <w:t xml:space="preserve">DND </w:t>
      </w:r>
      <w:r w:rsidRPr="00DD6217">
        <w:rPr>
          <w:rFonts w:cs="Courier New"/>
        </w:rPr>
        <w:t>to the beneficiary and to make available to the QIO (and to the beneficiary upon request) a copy of that notice and any necessary supporting documentation</w:t>
      </w:r>
      <w:r>
        <w:rPr>
          <w:rFonts w:cs="Courier New"/>
        </w:rPr>
        <w:t xml:space="preserve">.  </w:t>
      </w:r>
      <w:r w:rsidRPr="00DD6217">
        <w:rPr>
          <w:rFonts w:cs="Courier New"/>
        </w:rPr>
        <w:t xml:space="preserve">As specified in </w:t>
      </w:r>
      <w:r>
        <w:rPr>
          <w:rFonts w:cs="Courier New"/>
        </w:rPr>
        <w:t xml:space="preserve">42 CFR </w:t>
      </w:r>
      <w:r w:rsidRPr="00DD6217">
        <w:rPr>
          <w:rFonts w:cs="Courier New"/>
        </w:rPr>
        <w:t>422.622</w:t>
      </w:r>
      <w:r>
        <w:rPr>
          <w:rFonts w:cs="Courier New"/>
        </w:rPr>
        <w:t>(e)</w:t>
      </w:r>
      <w:r w:rsidRPr="00DD6217">
        <w:rPr>
          <w:rFonts w:cs="Courier New"/>
        </w:rPr>
        <w:t xml:space="preserve">, Medicare health plans </w:t>
      </w:r>
      <w:r>
        <w:rPr>
          <w:rFonts w:cs="Courier New"/>
        </w:rPr>
        <w:t xml:space="preserve">are </w:t>
      </w:r>
      <w:r w:rsidRPr="00DD6217">
        <w:rPr>
          <w:rFonts w:cs="Courier New"/>
        </w:rPr>
        <w:t xml:space="preserve">required to deliver </w:t>
      </w:r>
      <w:r>
        <w:rPr>
          <w:rFonts w:cs="Courier New"/>
        </w:rPr>
        <w:t>the DND</w:t>
      </w:r>
      <w:r w:rsidRPr="00DD6217">
        <w:rPr>
          <w:rFonts w:cs="Courier New"/>
        </w:rPr>
        <w:t xml:space="preserve"> to the enrollee and to make a copy of that notice and any necessary supporting documentation available to the QIO (and to the enrollee upon request).</w:t>
      </w:r>
    </w:p>
    <w:p w14:paraId="26A9F51A" w14:textId="77777777" w:rsidR="006D78F2" w:rsidRDefault="006D78F2" w:rsidP="004C302A">
      <w:pPr>
        <w:pStyle w:val="Body2"/>
        <w:rPr>
          <w:rFonts w:cs="Courier New"/>
        </w:rPr>
      </w:pPr>
    </w:p>
    <w:p w14:paraId="3E3E2FC5" w14:textId="33FEA8D5" w:rsidR="005D279C" w:rsidRDefault="00CC4505" w:rsidP="004C302A">
      <w:pPr>
        <w:pStyle w:val="Body2"/>
      </w:pPr>
      <w:r>
        <w:rPr>
          <w:rFonts w:cs="Courier New"/>
        </w:rPr>
        <w:t xml:space="preserve">Similar to </w:t>
      </w:r>
      <w:r w:rsidR="0082577E">
        <w:rPr>
          <w:rFonts w:cs="Courier New"/>
        </w:rPr>
        <w:t xml:space="preserve">the </w:t>
      </w:r>
      <w:r w:rsidR="002D2658">
        <w:rPr>
          <w:rFonts w:cs="Courier New"/>
        </w:rPr>
        <w:t xml:space="preserve">currently approved </w:t>
      </w:r>
      <w:r w:rsidR="0082577E">
        <w:rPr>
          <w:rFonts w:cs="Courier New"/>
        </w:rPr>
        <w:t>PRA submission</w:t>
      </w:r>
      <w:r w:rsidR="002D2658">
        <w:rPr>
          <w:rFonts w:cs="Courier New"/>
        </w:rPr>
        <w:t xml:space="preserve">, </w:t>
      </w:r>
      <w:r w:rsidR="0082577E">
        <w:rPr>
          <w:rFonts w:cs="Courier New"/>
        </w:rPr>
        <w:t xml:space="preserve">we </w:t>
      </w:r>
      <w:r w:rsidR="00AF2E9F">
        <w:rPr>
          <w:rFonts w:cs="Courier New"/>
        </w:rPr>
        <w:t xml:space="preserve">continue to </w:t>
      </w:r>
      <w:r>
        <w:rPr>
          <w:rFonts w:cs="Courier New"/>
        </w:rPr>
        <w:t>estimat</w:t>
      </w:r>
      <w:r w:rsidR="00AF2E9F">
        <w:rPr>
          <w:rFonts w:cs="Courier New"/>
        </w:rPr>
        <w:t>e</w:t>
      </w:r>
      <w:r>
        <w:rPr>
          <w:rFonts w:cs="Courier New"/>
        </w:rPr>
        <w:t xml:space="preserve"> </w:t>
      </w:r>
      <w:r w:rsidR="00343A87">
        <w:rPr>
          <w:rFonts w:cs="Courier New"/>
        </w:rPr>
        <w:t xml:space="preserve">that </w:t>
      </w:r>
      <w:r w:rsidR="00AF2E9F">
        <w:rPr>
          <w:rFonts w:cs="Courier New"/>
        </w:rPr>
        <w:t xml:space="preserve">the </w:t>
      </w:r>
      <w:r w:rsidR="00343A87">
        <w:rPr>
          <w:rFonts w:cs="Courier New"/>
        </w:rPr>
        <w:t>p</w:t>
      </w:r>
      <w:r w:rsidR="005A4448">
        <w:rPr>
          <w:rFonts w:cs="Courier New"/>
        </w:rPr>
        <w:t xml:space="preserve">reparation of the DND and the patient’s case file for the QIO </w:t>
      </w:r>
      <w:r>
        <w:rPr>
          <w:rFonts w:cs="Courier New"/>
        </w:rPr>
        <w:t xml:space="preserve">will </w:t>
      </w:r>
      <w:r w:rsidR="005A4448">
        <w:rPr>
          <w:rFonts w:cs="Courier New"/>
        </w:rPr>
        <w:t xml:space="preserve">take approximately </w:t>
      </w:r>
      <w:r>
        <w:rPr>
          <w:rFonts w:cs="Courier New"/>
        </w:rPr>
        <w:t>1</w:t>
      </w:r>
      <w:r w:rsidR="005A4448">
        <w:rPr>
          <w:rFonts w:cs="Courier New"/>
        </w:rPr>
        <w:t xml:space="preserve"> hour.  </w:t>
      </w:r>
      <w:r w:rsidR="00AF2E9F">
        <w:rPr>
          <w:rFonts w:cs="Courier New"/>
        </w:rPr>
        <w:t xml:space="preserve">We also estimate that the notice would be prepared by </w:t>
      </w:r>
      <w:r w:rsidR="00C56E33">
        <w:rPr>
          <w:rFonts w:cs="Courier New"/>
        </w:rPr>
        <w:t xml:space="preserve">other </w:t>
      </w:r>
      <w:r w:rsidR="00803A4F">
        <w:rPr>
          <w:rFonts w:cs="Courier New"/>
        </w:rPr>
        <w:t>healthcare practitioners and technical occupations with a</w:t>
      </w:r>
      <w:r w:rsidR="00A86C35">
        <w:rPr>
          <w:rFonts w:cs="Courier New"/>
        </w:rPr>
        <w:t>n adjusted salary of $59.44/hr.</w:t>
      </w:r>
    </w:p>
    <w:p w14:paraId="72BB7A45" w14:textId="77777777" w:rsidR="0057605E" w:rsidRDefault="0057605E" w:rsidP="004C302A">
      <w:pPr>
        <w:pStyle w:val="Body2"/>
      </w:pPr>
    </w:p>
    <w:p w14:paraId="1D4EA3E0" w14:textId="77777777" w:rsidR="00416AEC" w:rsidRDefault="00A13DFB" w:rsidP="004C302A">
      <w:pPr>
        <w:pStyle w:val="Body2"/>
        <w:rPr>
          <w:rFonts w:cs="Courier New"/>
        </w:rPr>
      </w:pPr>
      <w:r>
        <w:rPr>
          <w:rFonts w:cs="Courier New"/>
        </w:rPr>
        <w:t xml:space="preserve">Based on the above, we can surmise </w:t>
      </w:r>
      <w:r w:rsidR="00416AEC">
        <w:rPr>
          <w:rFonts w:cs="Courier New"/>
        </w:rPr>
        <w:t>the DND--</w:t>
      </w:r>
    </w:p>
    <w:p w14:paraId="6CF1971F" w14:textId="477B18E4" w:rsidR="00A15832" w:rsidRDefault="00416AEC" w:rsidP="00396634">
      <w:pPr>
        <w:pStyle w:val="Body2"/>
        <w:numPr>
          <w:ilvl w:val="0"/>
          <w:numId w:val="14"/>
        </w:numPr>
        <w:rPr>
          <w:rFonts w:cs="Courier New"/>
        </w:rPr>
      </w:pPr>
      <w:r>
        <w:rPr>
          <w:rFonts w:cs="Courier New"/>
        </w:rPr>
        <w:t>Y</w:t>
      </w:r>
      <w:r w:rsidR="0057605E">
        <w:rPr>
          <w:rFonts w:cs="Courier New"/>
        </w:rPr>
        <w:t xml:space="preserve">ields an annual burden of </w:t>
      </w:r>
      <w:r w:rsidR="00CE00D4">
        <w:rPr>
          <w:rFonts w:cs="Courier New"/>
        </w:rPr>
        <w:t>22,515</w:t>
      </w:r>
      <w:r w:rsidR="00A13DFB">
        <w:rPr>
          <w:rFonts w:cs="Courier New"/>
        </w:rPr>
        <w:t xml:space="preserve"> hours </w:t>
      </w:r>
    </w:p>
    <w:p w14:paraId="0B3F7CCC" w14:textId="403A15E7" w:rsidR="00416AEC" w:rsidRDefault="00A13DFB" w:rsidP="00396634">
      <w:pPr>
        <w:pStyle w:val="Body2"/>
        <w:ind w:left="720"/>
        <w:rPr>
          <w:rFonts w:cs="Courier New"/>
        </w:rPr>
      </w:pPr>
      <w:r>
        <w:rPr>
          <w:rFonts w:cs="Courier New"/>
        </w:rPr>
        <w:t>(</w:t>
      </w:r>
      <w:r w:rsidR="00CE00D4">
        <w:rPr>
          <w:rFonts w:cs="Courier New"/>
        </w:rPr>
        <w:t>22,515</w:t>
      </w:r>
      <w:r>
        <w:rPr>
          <w:rFonts w:cs="Courier New"/>
        </w:rPr>
        <w:t xml:space="preserve"> </w:t>
      </w:r>
      <w:r w:rsidR="00416AEC">
        <w:rPr>
          <w:rFonts w:cs="Courier New"/>
        </w:rPr>
        <w:t>appeal requests</w:t>
      </w:r>
      <w:r w:rsidR="0024409E">
        <w:rPr>
          <w:rFonts w:cs="Courier New"/>
        </w:rPr>
        <w:t xml:space="preserve"> </w:t>
      </w:r>
      <w:r w:rsidR="00416AEC">
        <w:rPr>
          <w:rFonts w:cs="Courier New"/>
        </w:rPr>
        <w:t>x 1 hour)</w:t>
      </w:r>
      <w:r w:rsidR="00A15832">
        <w:rPr>
          <w:rFonts w:cs="Courier New"/>
        </w:rPr>
        <w:t>;</w:t>
      </w:r>
    </w:p>
    <w:p w14:paraId="1DA34D64" w14:textId="5E087F9A" w:rsidR="00A15832" w:rsidRDefault="00416AEC" w:rsidP="00396634">
      <w:pPr>
        <w:pStyle w:val="Body2"/>
        <w:numPr>
          <w:ilvl w:val="0"/>
          <w:numId w:val="14"/>
        </w:numPr>
        <w:rPr>
          <w:rFonts w:cs="Courier New"/>
        </w:rPr>
      </w:pPr>
      <w:r>
        <w:rPr>
          <w:rFonts w:cs="Courier New"/>
        </w:rPr>
        <w:t xml:space="preserve">Costs </w:t>
      </w:r>
      <w:r w:rsidR="00A13DFB">
        <w:rPr>
          <w:rFonts w:cs="Courier New"/>
        </w:rPr>
        <w:t>$</w:t>
      </w:r>
      <w:r w:rsidR="00803A4F">
        <w:rPr>
          <w:rFonts w:cs="Courier New"/>
        </w:rPr>
        <w:t>59.44</w:t>
      </w:r>
      <w:r w:rsidR="00A13DFB">
        <w:rPr>
          <w:rFonts w:cs="Courier New"/>
        </w:rPr>
        <w:t xml:space="preserve"> per notice </w:t>
      </w:r>
    </w:p>
    <w:p w14:paraId="1CDCC069" w14:textId="071423AC" w:rsidR="00416AEC" w:rsidRDefault="00A13DFB" w:rsidP="00396634">
      <w:pPr>
        <w:pStyle w:val="Body2"/>
        <w:ind w:left="720"/>
        <w:rPr>
          <w:rFonts w:cs="Courier New"/>
        </w:rPr>
      </w:pPr>
      <w:r>
        <w:rPr>
          <w:rFonts w:cs="Courier New"/>
        </w:rPr>
        <w:t>($</w:t>
      </w:r>
      <w:r w:rsidR="00803A4F">
        <w:rPr>
          <w:rFonts w:cs="Courier New"/>
        </w:rPr>
        <w:t>59.44</w:t>
      </w:r>
      <w:r>
        <w:rPr>
          <w:rFonts w:cs="Courier New"/>
        </w:rPr>
        <w:t xml:space="preserve"> hourly wage x 1 hour to complete the form)</w:t>
      </w:r>
      <w:r w:rsidR="00A15832">
        <w:rPr>
          <w:rFonts w:cs="Courier New"/>
        </w:rPr>
        <w:t>;</w:t>
      </w:r>
    </w:p>
    <w:p w14:paraId="5BCE2FC5" w14:textId="2AA9201A" w:rsidR="00A15832" w:rsidRDefault="003976CA" w:rsidP="00396634">
      <w:pPr>
        <w:pStyle w:val="Body2"/>
        <w:numPr>
          <w:ilvl w:val="0"/>
          <w:numId w:val="14"/>
        </w:numPr>
        <w:rPr>
          <w:rFonts w:cs="Courier New"/>
        </w:rPr>
      </w:pPr>
      <w:r>
        <w:rPr>
          <w:rFonts w:cs="Courier New"/>
        </w:rPr>
        <w:t>Total a</w:t>
      </w:r>
      <w:r w:rsidR="00416AEC">
        <w:rPr>
          <w:rFonts w:cs="Courier New"/>
        </w:rPr>
        <w:t>nnual cost is $</w:t>
      </w:r>
      <w:r w:rsidR="00EB64A4">
        <w:rPr>
          <w:rFonts w:cs="Courier New"/>
        </w:rPr>
        <w:t>1,338,292</w:t>
      </w:r>
      <w:r w:rsidR="00416AEC">
        <w:rPr>
          <w:rFonts w:cs="Courier New"/>
        </w:rPr>
        <w:t xml:space="preserve"> </w:t>
      </w:r>
    </w:p>
    <w:p w14:paraId="100B782E" w14:textId="27788AA0" w:rsidR="00416AEC" w:rsidRDefault="00416AEC" w:rsidP="00396634">
      <w:pPr>
        <w:pStyle w:val="Body2"/>
        <w:ind w:left="720"/>
        <w:rPr>
          <w:rFonts w:cs="Courier New"/>
        </w:rPr>
      </w:pPr>
      <w:r>
        <w:rPr>
          <w:rFonts w:cs="Courier New"/>
        </w:rPr>
        <w:t>(</w:t>
      </w:r>
      <w:r w:rsidR="00EB64A4">
        <w:rPr>
          <w:rFonts w:cs="Courier New"/>
        </w:rPr>
        <w:t>22,515</w:t>
      </w:r>
      <w:r>
        <w:rPr>
          <w:rFonts w:cs="Courier New"/>
        </w:rPr>
        <w:t xml:space="preserve"> hours x $</w:t>
      </w:r>
      <w:r w:rsidR="00803A4F">
        <w:rPr>
          <w:rFonts w:cs="Courier New"/>
        </w:rPr>
        <w:t>59.44</w:t>
      </w:r>
      <w:r>
        <w:rPr>
          <w:rFonts w:cs="Courier New"/>
        </w:rPr>
        <w:t>)</w:t>
      </w:r>
      <w:r w:rsidR="00A15832">
        <w:rPr>
          <w:rFonts w:cs="Courier New"/>
        </w:rPr>
        <w:t>;</w:t>
      </w:r>
    </w:p>
    <w:p w14:paraId="230E277F" w14:textId="566AE2C8" w:rsidR="00A15832" w:rsidRPr="0024409E" w:rsidRDefault="00A15832" w:rsidP="00396634">
      <w:pPr>
        <w:pStyle w:val="Body2"/>
        <w:numPr>
          <w:ilvl w:val="0"/>
          <w:numId w:val="14"/>
        </w:numPr>
        <w:rPr>
          <w:rFonts w:cs="Courier New"/>
        </w:rPr>
      </w:pPr>
      <w:r>
        <w:t>On average, costs</w:t>
      </w:r>
      <w:r w:rsidR="0057605E">
        <w:t xml:space="preserve"> </w:t>
      </w:r>
      <w:r w:rsidR="00AE0F22">
        <w:t xml:space="preserve">for </w:t>
      </w:r>
      <w:r w:rsidR="0057605E">
        <w:t>each hospital</w:t>
      </w:r>
      <w:r>
        <w:t xml:space="preserve"> </w:t>
      </w:r>
      <w:r w:rsidR="0011041C">
        <w:t>are</w:t>
      </w:r>
      <w:r>
        <w:t xml:space="preserve"> $</w:t>
      </w:r>
      <w:r w:rsidR="00CE00D4">
        <w:t>218.14</w:t>
      </w:r>
      <w:r>
        <w:t xml:space="preserve"> </w:t>
      </w:r>
    </w:p>
    <w:p w14:paraId="710E021C" w14:textId="18B1CD85" w:rsidR="0057605E" w:rsidRDefault="00A15832" w:rsidP="00396634">
      <w:pPr>
        <w:pStyle w:val="Body2"/>
        <w:ind w:left="720"/>
        <w:rPr>
          <w:rFonts w:cs="Courier New"/>
        </w:rPr>
      </w:pPr>
      <w:r>
        <w:t>(</w:t>
      </w:r>
      <w:r w:rsidR="00CE00D4">
        <w:t>3.67</w:t>
      </w:r>
      <w:r>
        <w:t xml:space="preserve"> notices per </w:t>
      </w:r>
      <w:r w:rsidR="003976CA">
        <w:t>hospital/per year</w:t>
      </w:r>
      <w:r w:rsidR="0024409E">
        <w:t xml:space="preserve"> (per section </w:t>
      </w:r>
      <w:r w:rsidR="00CE00D4">
        <w:t>1</w:t>
      </w:r>
      <w:r w:rsidR="0024409E">
        <w:t>2)</w:t>
      </w:r>
      <w:r w:rsidR="003976CA">
        <w:t xml:space="preserve"> </w:t>
      </w:r>
      <w:r>
        <w:t>x $</w:t>
      </w:r>
      <w:r w:rsidR="00803A4F">
        <w:t>59.44</w:t>
      </w:r>
      <w:r>
        <w:t xml:space="preserve"> hourly wage)</w:t>
      </w:r>
      <w:r w:rsidR="0057605E">
        <w:t>.</w:t>
      </w:r>
    </w:p>
    <w:p w14:paraId="4173D73F" w14:textId="535F0243" w:rsidR="00C83B10" w:rsidRPr="00DD6217" w:rsidRDefault="00C83B10" w:rsidP="004C302A">
      <w:pPr>
        <w:pStyle w:val="Body2"/>
      </w:pPr>
    </w:p>
    <w:p w14:paraId="14155518" w14:textId="77777777" w:rsidR="007111E8" w:rsidRPr="00DD6217" w:rsidRDefault="007111E8" w:rsidP="004C302A">
      <w:pPr>
        <w:pStyle w:val="Body2"/>
      </w:pPr>
      <w:r w:rsidRPr="00DD6217">
        <w:t>13.</w:t>
      </w:r>
      <w:r w:rsidRPr="00DD6217">
        <w:tab/>
      </w:r>
      <w:r w:rsidR="00D55B6A">
        <w:t xml:space="preserve">Capital Costs </w:t>
      </w:r>
    </w:p>
    <w:p w14:paraId="116E3EF5" w14:textId="77777777" w:rsidR="007111E8" w:rsidRPr="00DD6217" w:rsidRDefault="007111E8" w:rsidP="004C302A">
      <w:pPr>
        <w:pStyle w:val="Body2"/>
      </w:pPr>
    </w:p>
    <w:p w14:paraId="4D71EA2F" w14:textId="77777777" w:rsidR="007111E8" w:rsidRPr="00DD6217" w:rsidRDefault="007111E8" w:rsidP="004C302A">
      <w:pPr>
        <w:pStyle w:val="Body2"/>
      </w:pPr>
      <w:r w:rsidRPr="00DD6217">
        <w:t>There are no capital costs associated with this collection.</w:t>
      </w:r>
    </w:p>
    <w:p w14:paraId="2631FB39" w14:textId="77777777" w:rsidR="007111E8" w:rsidRPr="00DD6217" w:rsidRDefault="007111E8" w:rsidP="004C302A">
      <w:pPr>
        <w:pStyle w:val="Body2"/>
      </w:pPr>
    </w:p>
    <w:p w14:paraId="667F6DA1" w14:textId="77777777" w:rsidR="00D55B6A" w:rsidRDefault="007111E8" w:rsidP="004C302A">
      <w:pPr>
        <w:pStyle w:val="Body2"/>
      </w:pPr>
      <w:r w:rsidRPr="00DD6217">
        <w:t xml:space="preserve">14. </w:t>
      </w:r>
      <w:r w:rsidR="007E08AB" w:rsidRPr="00DD6217">
        <w:tab/>
      </w:r>
      <w:r w:rsidR="00D55B6A">
        <w:t>Costs to Federal Government</w:t>
      </w:r>
    </w:p>
    <w:p w14:paraId="419DB4F8" w14:textId="77777777" w:rsidR="00D55B6A" w:rsidRDefault="00D55B6A" w:rsidP="004C302A">
      <w:pPr>
        <w:pStyle w:val="Body2"/>
      </w:pPr>
    </w:p>
    <w:p w14:paraId="5A34751E" w14:textId="77777777" w:rsidR="006C6A47" w:rsidRPr="00DD6217" w:rsidRDefault="007111E8" w:rsidP="004C302A">
      <w:pPr>
        <w:pStyle w:val="Body2"/>
      </w:pPr>
      <w:r w:rsidRPr="00DD6217">
        <w:t>There is no cost to the Federal Government for this collection</w:t>
      </w:r>
      <w:r w:rsidR="006C6A47" w:rsidRPr="00DD6217">
        <w:t>.</w:t>
      </w:r>
    </w:p>
    <w:p w14:paraId="297DF6BD" w14:textId="77777777" w:rsidR="006C6A47" w:rsidRPr="00DD6217" w:rsidRDefault="006C6A47" w:rsidP="004C302A">
      <w:pPr>
        <w:pStyle w:val="Body2"/>
      </w:pPr>
    </w:p>
    <w:p w14:paraId="606F6748" w14:textId="2B164C13" w:rsidR="00D55B6A" w:rsidRDefault="007111E8" w:rsidP="004C302A">
      <w:pPr>
        <w:pStyle w:val="Body2"/>
      </w:pPr>
      <w:r w:rsidRPr="00DD6217">
        <w:t>15.</w:t>
      </w:r>
      <w:r w:rsidRPr="00DD6217">
        <w:tab/>
      </w:r>
      <w:r w:rsidR="00FD49C4">
        <w:t xml:space="preserve"> Changes to </w:t>
      </w:r>
      <w:r w:rsidR="00D55B6A">
        <w:t xml:space="preserve">Burden </w:t>
      </w:r>
      <w:r w:rsidR="00FD49C4">
        <w:t>Estimates</w:t>
      </w:r>
    </w:p>
    <w:p w14:paraId="2CDA1EF5" w14:textId="77777777" w:rsidR="007111E8" w:rsidRPr="00DD6217" w:rsidRDefault="007111E8" w:rsidP="004C302A">
      <w:pPr>
        <w:pStyle w:val="Body2"/>
      </w:pPr>
      <w:r w:rsidRPr="00DD6217">
        <w:t xml:space="preserve"> </w:t>
      </w:r>
    </w:p>
    <w:p w14:paraId="46E262C3" w14:textId="606A65FD" w:rsidR="005C090E" w:rsidRDefault="007A35C6" w:rsidP="004C302A">
      <w:pPr>
        <w:pStyle w:val="Body2"/>
      </w:pPr>
      <w:r>
        <w:rPr>
          <w:rFonts w:cs="Courier New"/>
        </w:rPr>
        <w:t>T</w:t>
      </w:r>
      <w:r>
        <w:t xml:space="preserve">he non-substantive changes to the form </w:t>
      </w:r>
      <w:r w:rsidRPr="00850C3E">
        <w:t>will have little effect on burden for all users.</w:t>
      </w:r>
      <w:r w:rsidR="00E22D5A">
        <w:t xml:space="preserve">  </w:t>
      </w:r>
      <w:r w:rsidRPr="00850C3E">
        <w:t xml:space="preserve">The Section 504 requirement was in effect with the prior notice, and including standard CMS language to advise the beneficiary of </w:t>
      </w:r>
      <w:r>
        <w:t xml:space="preserve">CMS’s </w:t>
      </w:r>
      <w:r w:rsidRPr="00850C3E">
        <w:t xml:space="preserve">nondiscrimination </w:t>
      </w:r>
      <w:r>
        <w:t xml:space="preserve">policies </w:t>
      </w:r>
      <w:r w:rsidRPr="00850C3E">
        <w:t xml:space="preserve">and </w:t>
      </w:r>
      <w:r w:rsidR="005C090E">
        <w:t xml:space="preserve">the </w:t>
      </w:r>
      <w:r w:rsidRPr="00850C3E">
        <w:t xml:space="preserve">availability of alternate forms of this notice is not expected to </w:t>
      </w:r>
      <w:r>
        <w:t xml:space="preserve">greatly </w:t>
      </w:r>
      <w:r w:rsidRPr="00850C3E">
        <w:t xml:space="preserve">change </w:t>
      </w:r>
      <w:r>
        <w:t xml:space="preserve">respondent </w:t>
      </w:r>
      <w:r w:rsidRPr="00850C3E">
        <w:t xml:space="preserve">burden associated with the </w:t>
      </w:r>
      <w:r w:rsidR="005C090E">
        <w:t>DND</w:t>
      </w:r>
      <w:r w:rsidRPr="00850C3E">
        <w:t xml:space="preserve">. </w:t>
      </w:r>
    </w:p>
    <w:p w14:paraId="75F3B0CC" w14:textId="77777777" w:rsidR="005C090E" w:rsidRDefault="005C090E" w:rsidP="004C302A">
      <w:pPr>
        <w:pStyle w:val="Body2"/>
      </w:pPr>
    </w:p>
    <w:p w14:paraId="0F670F18" w14:textId="77777777" w:rsidR="003E787D" w:rsidRDefault="005C090E" w:rsidP="004C302A">
      <w:pPr>
        <w:pStyle w:val="Body2"/>
        <w:rPr>
          <w:rFonts w:cs="Courier New"/>
        </w:rPr>
      </w:pPr>
      <w:r>
        <w:t>In addition, t</w:t>
      </w:r>
      <w:r w:rsidR="007078C6">
        <w:rPr>
          <w:rFonts w:cs="Courier New"/>
        </w:rPr>
        <w:t xml:space="preserve">here are </w:t>
      </w:r>
      <w:r w:rsidR="005F4593">
        <w:rPr>
          <w:rFonts w:cs="Courier New"/>
        </w:rPr>
        <w:t xml:space="preserve">minor </w:t>
      </w:r>
      <w:r w:rsidR="006D2147">
        <w:rPr>
          <w:rFonts w:cs="Courier New"/>
        </w:rPr>
        <w:t xml:space="preserve">and </w:t>
      </w:r>
      <w:r w:rsidR="007078C6">
        <w:rPr>
          <w:rFonts w:cs="Courier New"/>
        </w:rPr>
        <w:t xml:space="preserve">expected differences in </w:t>
      </w:r>
      <w:r w:rsidR="005F4593">
        <w:rPr>
          <w:rFonts w:cs="Courier New"/>
        </w:rPr>
        <w:t xml:space="preserve">the </w:t>
      </w:r>
      <w:r w:rsidR="00613F4C">
        <w:rPr>
          <w:rFonts w:cs="Courier New"/>
        </w:rPr>
        <w:t>hospital and QIO</w:t>
      </w:r>
      <w:r w:rsidR="007078C6">
        <w:rPr>
          <w:rFonts w:cs="Courier New"/>
        </w:rPr>
        <w:t xml:space="preserve"> data </w:t>
      </w:r>
      <w:r w:rsidR="006D2147">
        <w:rPr>
          <w:rFonts w:cs="Courier New"/>
        </w:rPr>
        <w:t>used in</w:t>
      </w:r>
      <w:r w:rsidR="00613F4C">
        <w:rPr>
          <w:rFonts w:cs="Courier New"/>
        </w:rPr>
        <w:t xml:space="preserve"> </w:t>
      </w:r>
      <w:r w:rsidR="005F4593">
        <w:rPr>
          <w:rFonts w:cs="Courier New"/>
        </w:rPr>
        <w:t xml:space="preserve">this submission from the data used in </w:t>
      </w:r>
      <w:r w:rsidR="00613F4C">
        <w:rPr>
          <w:rFonts w:cs="Courier New"/>
        </w:rPr>
        <w:t>th</w:t>
      </w:r>
      <w:r w:rsidR="00F70231">
        <w:rPr>
          <w:rFonts w:cs="Courier New"/>
        </w:rPr>
        <w:t>e last PRA submission</w:t>
      </w:r>
      <w:r w:rsidR="005F4593">
        <w:rPr>
          <w:rFonts w:cs="Courier New"/>
        </w:rPr>
        <w:t>.</w:t>
      </w:r>
      <w:r w:rsidR="00E22D5A">
        <w:rPr>
          <w:rFonts w:cs="Courier New"/>
        </w:rPr>
        <w:t xml:space="preserve"> </w:t>
      </w:r>
      <w:r w:rsidR="00613F4C">
        <w:rPr>
          <w:rFonts w:cs="Courier New"/>
        </w:rPr>
        <w:t xml:space="preserve"> These </w:t>
      </w:r>
      <w:r w:rsidR="005F4593">
        <w:rPr>
          <w:rFonts w:cs="Courier New"/>
        </w:rPr>
        <w:t>minor</w:t>
      </w:r>
      <w:r w:rsidR="00263B4E">
        <w:rPr>
          <w:rFonts w:cs="Courier New"/>
        </w:rPr>
        <w:t xml:space="preserve"> </w:t>
      </w:r>
      <w:r w:rsidR="00613F4C">
        <w:rPr>
          <w:rFonts w:cs="Courier New"/>
        </w:rPr>
        <w:t xml:space="preserve">differences </w:t>
      </w:r>
      <w:r w:rsidR="007078C6">
        <w:rPr>
          <w:rFonts w:cs="Courier New"/>
        </w:rPr>
        <w:t>can be attributed to program and population variability</w:t>
      </w:r>
      <w:r w:rsidR="005F4593">
        <w:rPr>
          <w:rFonts w:cs="Courier New"/>
        </w:rPr>
        <w:t xml:space="preserve"> and result in </w:t>
      </w:r>
      <w:r w:rsidR="00176E5B">
        <w:rPr>
          <w:rFonts w:cs="Courier New"/>
        </w:rPr>
        <w:t>minimal</w:t>
      </w:r>
      <w:r w:rsidR="007078C6">
        <w:rPr>
          <w:rFonts w:cs="Courier New"/>
        </w:rPr>
        <w:t xml:space="preserve"> change in </w:t>
      </w:r>
      <w:r w:rsidR="006D2147">
        <w:rPr>
          <w:rFonts w:cs="Courier New"/>
        </w:rPr>
        <w:t xml:space="preserve">the </w:t>
      </w:r>
      <w:r w:rsidR="007078C6">
        <w:rPr>
          <w:rFonts w:cs="Courier New"/>
        </w:rPr>
        <w:t>burden estimates</w:t>
      </w:r>
      <w:r w:rsidR="005F4593">
        <w:rPr>
          <w:rFonts w:cs="Courier New"/>
        </w:rPr>
        <w:t>.</w:t>
      </w:r>
      <w:r w:rsidR="0005411A">
        <w:rPr>
          <w:rFonts w:cs="Courier New"/>
        </w:rPr>
        <w:t xml:space="preserve"> </w:t>
      </w:r>
      <w:r w:rsidR="007078C6">
        <w:rPr>
          <w:rFonts w:cs="Courier New"/>
        </w:rPr>
        <w:t xml:space="preserve"> </w:t>
      </w:r>
    </w:p>
    <w:p w14:paraId="3C50DB4D" w14:textId="77777777" w:rsidR="003E787D" w:rsidRDefault="003E787D" w:rsidP="004C302A">
      <w:pPr>
        <w:pStyle w:val="Body2"/>
        <w:rPr>
          <w:rFonts w:cs="Courier New"/>
        </w:rPr>
      </w:pPr>
    </w:p>
    <w:p w14:paraId="253F9958" w14:textId="11DF5000" w:rsidR="003E787D" w:rsidRDefault="003E787D" w:rsidP="004C302A">
      <w:pPr>
        <w:pStyle w:val="Body2"/>
        <w:rPr>
          <w:rFonts w:cs="Courier New"/>
        </w:rPr>
      </w:pPr>
      <w:r>
        <w:rPr>
          <w:rFonts w:cs="Courier New"/>
        </w:rPr>
        <w:t>T</w:t>
      </w:r>
      <w:r>
        <w:rPr>
          <w:rFonts w:cs="Courier New"/>
        </w:rPr>
        <w:t xml:space="preserve">he number of Medicare inpatient hospitals has </w:t>
      </w:r>
      <w:r w:rsidRPr="003E787D">
        <w:rPr>
          <w:rFonts w:cs="Courier New"/>
          <w:b/>
        </w:rPr>
        <w:t>decreased by 27 facilities</w:t>
      </w:r>
      <w:r>
        <w:rPr>
          <w:rFonts w:cs="Courier New"/>
        </w:rPr>
        <w:t>.</w:t>
      </w:r>
    </w:p>
    <w:p w14:paraId="13EA996A" w14:textId="77777777" w:rsidR="003E787D" w:rsidRDefault="003E787D" w:rsidP="004C302A">
      <w:pPr>
        <w:pStyle w:val="Body2"/>
        <w:rPr>
          <w:rFonts w:cs="Courier New"/>
        </w:rPr>
      </w:pPr>
    </w:p>
    <w:p w14:paraId="04F9DD3C" w14:textId="77777777" w:rsidR="003E787D" w:rsidRDefault="00D37D59" w:rsidP="004C302A">
      <w:pPr>
        <w:pStyle w:val="Body2"/>
        <w:rPr>
          <w:rFonts w:cs="Courier New"/>
        </w:rPr>
      </w:pPr>
      <w:r>
        <w:rPr>
          <w:rFonts w:cs="Courier New"/>
        </w:rPr>
        <w:t xml:space="preserve">Since our 2013 PRA submission, </w:t>
      </w:r>
      <w:r w:rsidR="00B2406E">
        <w:rPr>
          <w:rFonts w:cs="Courier New"/>
        </w:rPr>
        <w:t xml:space="preserve">the number of Medicare hospital discharges </w:t>
      </w:r>
      <w:r>
        <w:rPr>
          <w:rFonts w:cs="Courier New"/>
        </w:rPr>
        <w:t xml:space="preserve">have </w:t>
      </w:r>
      <w:r w:rsidRPr="003E787D">
        <w:rPr>
          <w:rFonts w:cs="Courier New"/>
          <w:b/>
        </w:rPr>
        <w:t xml:space="preserve">increased by </w:t>
      </w:r>
      <w:r w:rsidR="005B1F49" w:rsidRPr="003E787D">
        <w:rPr>
          <w:rFonts w:cs="Courier New"/>
          <w:b/>
        </w:rPr>
        <w:t>2.4</w:t>
      </w:r>
      <w:r w:rsidRPr="003E787D">
        <w:rPr>
          <w:rFonts w:cs="Courier New"/>
          <w:b/>
        </w:rPr>
        <w:t xml:space="preserve"> million</w:t>
      </w:r>
      <w:r w:rsidR="00456B59">
        <w:rPr>
          <w:rFonts w:cs="Courier New"/>
        </w:rPr>
        <w:t xml:space="preserve">, from </w:t>
      </w:r>
      <w:r w:rsidR="00B2406E">
        <w:rPr>
          <w:rFonts w:cs="Courier New"/>
        </w:rPr>
        <w:t xml:space="preserve">12.4 million </w:t>
      </w:r>
      <w:r w:rsidR="00456B59">
        <w:rPr>
          <w:rFonts w:cs="Courier New"/>
        </w:rPr>
        <w:t>to</w:t>
      </w:r>
      <w:r w:rsidR="00B2406E">
        <w:rPr>
          <w:rFonts w:cs="Courier New"/>
        </w:rPr>
        <w:t xml:space="preserve"> 14.8 million</w:t>
      </w:r>
      <w:r>
        <w:rPr>
          <w:rFonts w:cs="Courier New"/>
        </w:rPr>
        <w:t xml:space="preserve">; thus, the increase in discharge appeal requests by </w:t>
      </w:r>
      <w:r w:rsidR="00A74D3D" w:rsidRPr="003E787D">
        <w:rPr>
          <w:rFonts w:cs="Courier New"/>
          <w:b/>
        </w:rPr>
        <w:t>9,663</w:t>
      </w:r>
      <w:r>
        <w:rPr>
          <w:rFonts w:cs="Courier New"/>
        </w:rPr>
        <w:t xml:space="preserve"> is </w:t>
      </w:r>
      <w:r w:rsidR="00464691">
        <w:rPr>
          <w:rFonts w:cs="Courier New"/>
        </w:rPr>
        <w:t>likely</w:t>
      </w:r>
      <w:r>
        <w:rPr>
          <w:rFonts w:cs="Courier New"/>
        </w:rPr>
        <w:t xml:space="preserve"> due to program growth and increased utilization of inpatient hospitalizations. </w:t>
      </w:r>
      <w:r w:rsidR="00E22D5A">
        <w:rPr>
          <w:rFonts w:cs="Courier New"/>
        </w:rPr>
        <w:t xml:space="preserve"> This</w:t>
      </w:r>
      <w:r w:rsidR="0005411A">
        <w:rPr>
          <w:rFonts w:cs="Courier New"/>
        </w:rPr>
        <w:t xml:space="preserve"> increase in the number of appeals requests</w:t>
      </w:r>
      <w:r w:rsidR="00E22D5A">
        <w:rPr>
          <w:rFonts w:cs="Courier New"/>
        </w:rPr>
        <w:t xml:space="preserve"> results in a </w:t>
      </w:r>
      <w:r w:rsidR="00A74D3D" w:rsidRPr="003E787D">
        <w:rPr>
          <w:rFonts w:cs="Courier New"/>
          <w:b/>
        </w:rPr>
        <w:t>9,663</w:t>
      </w:r>
      <w:r w:rsidR="00E22D5A" w:rsidRPr="003E787D">
        <w:rPr>
          <w:rFonts w:cs="Courier New"/>
          <w:b/>
        </w:rPr>
        <w:t xml:space="preserve"> hour increase in</w:t>
      </w:r>
      <w:r w:rsidR="0005411A" w:rsidRPr="003E787D">
        <w:rPr>
          <w:rFonts w:cs="Courier New"/>
          <w:b/>
        </w:rPr>
        <w:t xml:space="preserve"> t</w:t>
      </w:r>
      <w:r w:rsidR="009B3969" w:rsidRPr="003E787D">
        <w:rPr>
          <w:rFonts w:cs="Courier New"/>
          <w:b/>
        </w:rPr>
        <w:t>he annual hour burden</w:t>
      </w:r>
      <w:r w:rsidR="00E22D5A">
        <w:rPr>
          <w:rFonts w:cs="Courier New"/>
        </w:rPr>
        <w:t xml:space="preserve"> (</w:t>
      </w:r>
      <w:r w:rsidR="00A74D3D">
        <w:rPr>
          <w:rFonts w:cs="Courier New"/>
        </w:rPr>
        <w:t>22</w:t>
      </w:r>
      <w:r w:rsidR="00447124">
        <w:rPr>
          <w:rFonts w:cs="Courier New"/>
        </w:rPr>
        <w:t>,</w:t>
      </w:r>
      <w:r w:rsidR="00A74D3D">
        <w:rPr>
          <w:rFonts w:cs="Courier New"/>
        </w:rPr>
        <w:t>515</w:t>
      </w:r>
      <w:r w:rsidR="00E22D5A">
        <w:rPr>
          <w:rFonts w:cs="Courier New"/>
        </w:rPr>
        <w:t xml:space="preserve"> current hour burden </w:t>
      </w:r>
      <w:r w:rsidR="00C910D2">
        <w:rPr>
          <w:rFonts w:cs="Courier New"/>
        </w:rPr>
        <w:t>estimate –</w:t>
      </w:r>
      <w:r w:rsidR="00E22D5A">
        <w:rPr>
          <w:rFonts w:cs="Courier New"/>
        </w:rPr>
        <w:t xml:space="preserve"> 12,852 hour burden estimate in 2013).</w:t>
      </w:r>
      <w:r w:rsidR="00613F4C">
        <w:rPr>
          <w:rFonts w:cs="Courier New"/>
        </w:rPr>
        <w:t xml:space="preserve"> </w:t>
      </w:r>
      <w:r w:rsidR="0005411A">
        <w:rPr>
          <w:rFonts w:cs="Courier New"/>
        </w:rPr>
        <w:t xml:space="preserve"> </w:t>
      </w:r>
    </w:p>
    <w:p w14:paraId="4A5475FF" w14:textId="77777777" w:rsidR="003E787D" w:rsidRDefault="003E787D" w:rsidP="004C302A">
      <w:pPr>
        <w:pStyle w:val="Body2"/>
        <w:rPr>
          <w:rFonts w:cs="Courier New"/>
        </w:rPr>
      </w:pPr>
    </w:p>
    <w:p w14:paraId="60573F44" w14:textId="77777777" w:rsidR="003E787D" w:rsidRDefault="005B1F49" w:rsidP="004C302A">
      <w:pPr>
        <w:pStyle w:val="Body2"/>
        <w:rPr>
          <w:rFonts w:cs="Courier New"/>
        </w:rPr>
      </w:pPr>
      <w:r>
        <w:rPr>
          <w:rFonts w:cs="Courier New"/>
        </w:rPr>
        <w:lastRenderedPageBreak/>
        <w:t>T</w:t>
      </w:r>
      <w:r w:rsidR="00866790">
        <w:rPr>
          <w:rFonts w:cs="Courier New"/>
        </w:rPr>
        <w:t xml:space="preserve">he </w:t>
      </w:r>
      <w:r w:rsidR="009B3969">
        <w:rPr>
          <w:rFonts w:cs="Courier New"/>
        </w:rPr>
        <w:t xml:space="preserve">annual cost burden </w:t>
      </w:r>
      <w:r w:rsidR="00866790">
        <w:rPr>
          <w:rFonts w:cs="Courier New"/>
        </w:rPr>
        <w:t>of $</w:t>
      </w:r>
      <w:r w:rsidR="00447124">
        <w:rPr>
          <w:rFonts w:cs="Courier New"/>
        </w:rPr>
        <w:t>1,338,292 (22,515</w:t>
      </w:r>
      <w:r w:rsidR="00456B59">
        <w:rPr>
          <w:rFonts w:cs="Courier New"/>
        </w:rPr>
        <w:t xml:space="preserve"> hours x $59.44 adjusted hourly wage)</w:t>
      </w:r>
      <w:r w:rsidR="00866790">
        <w:rPr>
          <w:rFonts w:cs="Courier New"/>
        </w:rPr>
        <w:t xml:space="preserve"> </w:t>
      </w:r>
      <w:r w:rsidR="00613F4C">
        <w:rPr>
          <w:rFonts w:cs="Courier New"/>
        </w:rPr>
        <w:t>is $</w:t>
      </w:r>
      <w:r w:rsidR="00447124">
        <w:rPr>
          <w:rFonts w:cs="Courier New"/>
        </w:rPr>
        <w:t>952,732</w:t>
      </w:r>
      <w:r w:rsidR="00613F4C">
        <w:rPr>
          <w:rFonts w:cs="Courier New"/>
        </w:rPr>
        <w:t xml:space="preserve"> </w:t>
      </w:r>
      <w:r w:rsidR="00D37D59">
        <w:rPr>
          <w:rFonts w:cs="Courier New"/>
        </w:rPr>
        <w:t xml:space="preserve">more </w:t>
      </w:r>
      <w:r w:rsidR="009B3969">
        <w:rPr>
          <w:rFonts w:cs="Courier New"/>
        </w:rPr>
        <w:t xml:space="preserve">than </w:t>
      </w:r>
      <w:r w:rsidR="00BC590C">
        <w:rPr>
          <w:rFonts w:cs="Courier New"/>
        </w:rPr>
        <w:t xml:space="preserve">the </w:t>
      </w:r>
      <w:r w:rsidR="0021223D">
        <w:rPr>
          <w:rFonts w:cs="Courier New"/>
        </w:rPr>
        <w:t xml:space="preserve">estimated burden </w:t>
      </w:r>
      <w:r w:rsidR="00BC590C">
        <w:rPr>
          <w:rFonts w:cs="Courier New"/>
        </w:rPr>
        <w:t>of $</w:t>
      </w:r>
      <w:r w:rsidR="005C090E">
        <w:rPr>
          <w:rFonts w:cs="Courier New"/>
        </w:rPr>
        <w:t>385,560</w:t>
      </w:r>
      <w:r w:rsidR="0021223D">
        <w:rPr>
          <w:rFonts w:cs="Courier New"/>
        </w:rPr>
        <w:t xml:space="preserve"> </w:t>
      </w:r>
      <w:r w:rsidR="00866790">
        <w:rPr>
          <w:rFonts w:cs="Courier New"/>
        </w:rPr>
        <w:t xml:space="preserve">included </w:t>
      </w:r>
      <w:r w:rsidR="0021223D">
        <w:rPr>
          <w:rFonts w:cs="Courier New"/>
        </w:rPr>
        <w:t>in the prior submission</w:t>
      </w:r>
      <w:r w:rsidR="00613F4C">
        <w:rPr>
          <w:rFonts w:cs="Courier New"/>
        </w:rPr>
        <w:t>.</w:t>
      </w:r>
      <w:r w:rsidR="005C090E">
        <w:rPr>
          <w:rFonts w:cs="Courier New"/>
        </w:rPr>
        <w:t xml:space="preserve"> </w:t>
      </w:r>
      <w:r w:rsidR="00C910D2">
        <w:rPr>
          <w:rFonts w:cs="Courier New"/>
        </w:rPr>
        <w:t xml:space="preserve"> </w:t>
      </w:r>
      <w:r>
        <w:rPr>
          <w:rFonts w:cs="Courier New"/>
        </w:rPr>
        <w:t xml:space="preserve">This significant increase is due to the wage adjustment which accounts for fringe benefits and overhead costs. </w:t>
      </w:r>
      <w:r w:rsidR="0005411A">
        <w:rPr>
          <w:rFonts w:cs="Courier New"/>
        </w:rPr>
        <w:t xml:space="preserve"> </w:t>
      </w:r>
    </w:p>
    <w:p w14:paraId="6F21E698" w14:textId="77777777" w:rsidR="003E787D" w:rsidRDefault="003E787D" w:rsidP="004C302A">
      <w:pPr>
        <w:pStyle w:val="Body2"/>
        <w:rPr>
          <w:rFonts w:cs="Courier New"/>
        </w:rPr>
      </w:pPr>
    </w:p>
    <w:p w14:paraId="20D279C6" w14:textId="069F6FBD" w:rsidR="007078C6" w:rsidRDefault="00C910D2" w:rsidP="004C302A">
      <w:pPr>
        <w:pStyle w:val="Body2"/>
        <w:rPr>
          <w:rFonts w:cs="Courier New"/>
        </w:rPr>
      </w:pPr>
      <w:r>
        <w:rPr>
          <w:rFonts w:cs="Courier New"/>
        </w:rPr>
        <w:t>Combining this</w:t>
      </w:r>
      <w:r w:rsidR="0005411A">
        <w:rPr>
          <w:rFonts w:cs="Courier New"/>
        </w:rPr>
        <w:t xml:space="preserve"> </w:t>
      </w:r>
      <w:r w:rsidR="00E22D5A">
        <w:rPr>
          <w:rFonts w:cs="Courier New"/>
        </w:rPr>
        <w:t xml:space="preserve">slight decrease in respondents </w:t>
      </w:r>
      <w:r w:rsidR="003E787D">
        <w:rPr>
          <w:rFonts w:cs="Courier New"/>
        </w:rPr>
        <w:t xml:space="preserve">(-27) </w:t>
      </w:r>
      <w:r w:rsidR="005C090E">
        <w:rPr>
          <w:rFonts w:cs="Courier New"/>
        </w:rPr>
        <w:t xml:space="preserve">with </w:t>
      </w:r>
      <w:r w:rsidR="00E22D5A">
        <w:rPr>
          <w:rFonts w:cs="Courier New"/>
        </w:rPr>
        <w:t>the</w:t>
      </w:r>
      <w:r w:rsidR="005C090E">
        <w:rPr>
          <w:rFonts w:cs="Courier New"/>
        </w:rPr>
        <w:t xml:space="preserve"> increase in annual </w:t>
      </w:r>
      <w:r w:rsidR="0005411A">
        <w:rPr>
          <w:rFonts w:cs="Courier New"/>
        </w:rPr>
        <w:t xml:space="preserve">discharge appeals requests </w:t>
      </w:r>
      <w:r w:rsidR="005E43C5">
        <w:rPr>
          <w:rFonts w:cs="Courier New"/>
        </w:rPr>
        <w:t xml:space="preserve">and the adjusted wages </w:t>
      </w:r>
      <w:r w:rsidR="0005411A">
        <w:rPr>
          <w:rFonts w:cs="Courier New"/>
        </w:rPr>
        <w:t>causes an increased burden per respondent of $</w:t>
      </w:r>
      <w:r w:rsidR="00447124">
        <w:rPr>
          <w:rFonts w:cs="Courier New"/>
        </w:rPr>
        <w:t>155.74</w:t>
      </w:r>
      <w:r w:rsidR="0005411A">
        <w:rPr>
          <w:rFonts w:cs="Courier New"/>
        </w:rPr>
        <w:t xml:space="preserve"> ($</w:t>
      </w:r>
      <w:r w:rsidR="00447124">
        <w:rPr>
          <w:rFonts w:cs="Courier New"/>
        </w:rPr>
        <w:t>218.14</w:t>
      </w:r>
      <w:r w:rsidR="0005411A">
        <w:rPr>
          <w:rFonts w:cs="Courier New"/>
        </w:rPr>
        <w:t xml:space="preserve"> per r</w:t>
      </w:r>
      <w:r>
        <w:rPr>
          <w:rFonts w:cs="Courier New"/>
        </w:rPr>
        <w:t>espondent with this submission – $</w:t>
      </w:r>
      <w:r w:rsidR="0005411A">
        <w:rPr>
          <w:rFonts w:cs="Courier New"/>
        </w:rPr>
        <w:t xml:space="preserve">62.40 per respondent with the prior submission). </w:t>
      </w:r>
    </w:p>
    <w:p w14:paraId="4596578D" w14:textId="77777777" w:rsidR="007078C6" w:rsidRDefault="007078C6" w:rsidP="004C302A">
      <w:pPr>
        <w:pStyle w:val="Body2"/>
        <w:rPr>
          <w:rFonts w:cs="Courier New"/>
        </w:rPr>
      </w:pPr>
    </w:p>
    <w:p w14:paraId="33A9A606" w14:textId="77777777" w:rsidR="007111E8" w:rsidRPr="00DD6217" w:rsidRDefault="007111E8" w:rsidP="004C302A">
      <w:pPr>
        <w:pStyle w:val="Body2"/>
        <w:rPr>
          <w:u w:val="single"/>
        </w:rPr>
      </w:pPr>
      <w:r w:rsidRPr="00DD6217">
        <w:t>16.</w:t>
      </w:r>
      <w:r w:rsidRPr="00DD6217">
        <w:tab/>
      </w:r>
      <w:r w:rsidR="00D55B6A">
        <w:t>Publication and Tabulation Dates</w:t>
      </w:r>
    </w:p>
    <w:p w14:paraId="0E52F9F1" w14:textId="77777777" w:rsidR="007111E8" w:rsidRPr="00DD6217" w:rsidRDefault="007111E8" w:rsidP="004C302A">
      <w:pPr>
        <w:pStyle w:val="Body2"/>
        <w:rPr>
          <w:u w:val="single"/>
        </w:rPr>
      </w:pPr>
    </w:p>
    <w:p w14:paraId="204B4A26" w14:textId="4FBBE106" w:rsidR="007111E8" w:rsidRPr="00DD6217" w:rsidRDefault="007111E8" w:rsidP="004C302A">
      <w:pPr>
        <w:pStyle w:val="Body2"/>
      </w:pPr>
      <w:r w:rsidRPr="00DD6217">
        <w:t>The</w:t>
      </w:r>
      <w:r w:rsidR="00EA2924">
        <w:t xml:space="preserve"> blank </w:t>
      </w:r>
      <w:r w:rsidRPr="00DD6217">
        <w:t xml:space="preserve">notices will be </w:t>
      </w:r>
      <w:r w:rsidR="00EA2924">
        <w:t xml:space="preserve">posted </w:t>
      </w:r>
      <w:r w:rsidRPr="00DD6217">
        <w:t>on the Internet</w:t>
      </w:r>
      <w:r w:rsidR="00EA2924">
        <w:t xml:space="preserve">. </w:t>
      </w:r>
      <w:r w:rsidR="0058223B">
        <w:t xml:space="preserve"> </w:t>
      </w:r>
      <w:r w:rsidR="00EA2924">
        <w:t>N</w:t>
      </w:r>
      <w:r w:rsidRPr="00DD6217">
        <w:t>o aggregate or individual data will be tabulated from the</w:t>
      </w:r>
      <w:r w:rsidR="00EA2924">
        <w:t xml:space="preserve"> completed forms.</w:t>
      </w:r>
    </w:p>
    <w:p w14:paraId="0368651B" w14:textId="77777777" w:rsidR="007111E8" w:rsidRPr="00DD6217" w:rsidRDefault="007111E8" w:rsidP="004C302A">
      <w:pPr>
        <w:pStyle w:val="Body2"/>
      </w:pPr>
    </w:p>
    <w:p w14:paraId="56FB735B" w14:textId="77777777" w:rsidR="007111E8" w:rsidRPr="00D55B6A" w:rsidRDefault="007111E8" w:rsidP="004C302A">
      <w:pPr>
        <w:pStyle w:val="Body2"/>
      </w:pPr>
      <w:r w:rsidRPr="00DD6217">
        <w:t>17.</w:t>
      </w:r>
      <w:r w:rsidRPr="00DD6217">
        <w:tab/>
      </w:r>
      <w:r w:rsidR="00D55B6A">
        <w:t>Expiration Date</w:t>
      </w:r>
    </w:p>
    <w:p w14:paraId="07854CE5" w14:textId="77777777" w:rsidR="007111E8" w:rsidRPr="00DD6217" w:rsidRDefault="007111E8" w:rsidP="004C302A">
      <w:pPr>
        <w:pStyle w:val="Body2"/>
        <w:rPr>
          <w:u w:val="single"/>
        </w:rPr>
      </w:pPr>
    </w:p>
    <w:p w14:paraId="1FE390B6" w14:textId="0F4BEED8" w:rsidR="007111E8" w:rsidRPr="00DD6217" w:rsidRDefault="007111E8" w:rsidP="004C302A">
      <w:pPr>
        <w:pStyle w:val="Body2"/>
      </w:pPr>
      <w:r w:rsidRPr="00DD6217">
        <w:t xml:space="preserve">We are not requesting </w:t>
      </w:r>
      <w:r w:rsidR="00367C1F">
        <w:t xml:space="preserve">an </w:t>
      </w:r>
      <w:bookmarkStart w:id="0" w:name="_GoBack"/>
      <w:bookmarkEnd w:id="0"/>
      <w:r w:rsidRPr="00DD6217">
        <w:t>exemption.</w:t>
      </w:r>
    </w:p>
    <w:p w14:paraId="78334D56" w14:textId="77777777" w:rsidR="007111E8" w:rsidRPr="00DD6217" w:rsidRDefault="007111E8" w:rsidP="004C302A">
      <w:pPr>
        <w:pStyle w:val="Body2"/>
      </w:pPr>
    </w:p>
    <w:p w14:paraId="632AD76C" w14:textId="77777777" w:rsidR="007111E8" w:rsidRPr="00D55B6A" w:rsidRDefault="007111E8" w:rsidP="004C302A">
      <w:pPr>
        <w:pStyle w:val="Body2"/>
      </w:pPr>
      <w:r w:rsidRPr="00DD6217">
        <w:t>18.</w:t>
      </w:r>
      <w:r w:rsidRPr="00DD6217">
        <w:tab/>
      </w:r>
      <w:r w:rsidR="00D55B6A">
        <w:t>Certification Statement</w:t>
      </w:r>
    </w:p>
    <w:p w14:paraId="7D973BBF" w14:textId="77777777" w:rsidR="007111E8" w:rsidRPr="00DD6217" w:rsidRDefault="007111E8" w:rsidP="004C302A">
      <w:pPr>
        <w:pStyle w:val="Body2"/>
      </w:pPr>
    </w:p>
    <w:p w14:paraId="2DDC15B5" w14:textId="77777777" w:rsidR="007111E8" w:rsidRDefault="007111E8" w:rsidP="004C302A">
      <w:pPr>
        <w:pStyle w:val="Body2"/>
      </w:pPr>
      <w:r>
        <w:t>There are no exceptions to the certification statement.</w:t>
      </w:r>
    </w:p>
    <w:p w14:paraId="6F399C63" w14:textId="77777777" w:rsidR="007111E8" w:rsidRDefault="007111E8" w:rsidP="004C302A">
      <w:pPr>
        <w:pStyle w:val="Body2"/>
      </w:pPr>
    </w:p>
    <w:p w14:paraId="103187CA" w14:textId="62CD0C8F" w:rsidR="007111E8" w:rsidRPr="0072051E" w:rsidRDefault="00BE08A5" w:rsidP="004C302A">
      <w:pPr>
        <w:pStyle w:val="Body2"/>
        <w:rPr>
          <w:b/>
        </w:rPr>
      </w:pPr>
      <w:r w:rsidRPr="0072051E">
        <w:rPr>
          <w:b/>
        </w:rPr>
        <w:t>B</w:t>
      </w:r>
      <w:r w:rsidR="007111E8" w:rsidRPr="0072051E">
        <w:rPr>
          <w:b/>
        </w:rPr>
        <w:t>.</w:t>
      </w:r>
      <w:r w:rsidR="007111E8" w:rsidRPr="0072051E">
        <w:rPr>
          <w:b/>
        </w:rPr>
        <w:tab/>
      </w:r>
      <w:r w:rsidR="00D55B6A" w:rsidRPr="0072051E">
        <w:rPr>
          <w:b/>
        </w:rPr>
        <w:t>Collection of Information Employing Statistical Methods</w:t>
      </w:r>
      <w:r w:rsidR="007111E8" w:rsidRPr="0072051E">
        <w:rPr>
          <w:b/>
        </w:rPr>
        <w:tab/>
      </w:r>
    </w:p>
    <w:p w14:paraId="573313BE" w14:textId="77777777" w:rsidR="007111E8" w:rsidRPr="00D55B6A" w:rsidRDefault="007111E8" w:rsidP="004C302A">
      <w:pPr>
        <w:pStyle w:val="Body2"/>
      </w:pPr>
    </w:p>
    <w:p w14:paraId="762FB16D" w14:textId="77DF019F" w:rsidR="00BE08A5" w:rsidRDefault="007111E8" w:rsidP="004C302A">
      <w:pPr>
        <w:pStyle w:val="Body2"/>
      </w:pPr>
      <w:r>
        <w:t>There are no statistical methods associated with this collection.</w:t>
      </w:r>
    </w:p>
    <w:p w14:paraId="6F86206B" w14:textId="77777777" w:rsidR="0072051E" w:rsidRDefault="0072051E" w:rsidP="004C302A">
      <w:pPr>
        <w:pStyle w:val="Body2"/>
      </w:pPr>
    </w:p>
    <w:sectPr w:rsidR="0072051E">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4FE6"/>
    <w:multiLevelType w:val="hybridMultilevel"/>
    <w:tmpl w:val="CF84909E"/>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4D6929"/>
    <w:multiLevelType w:val="hybridMultilevel"/>
    <w:tmpl w:val="3D82FBA0"/>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25269A4"/>
    <w:multiLevelType w:val="hybridMultilevel"/>
    <w:tmpl w:val="22382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86E32"/>
    <w:multiLevelType w:val="hybridMultilevel"/>
    <w:tmpl w:val="D8863E1E"/>
    <w:lvl w:ilvl="0" w:tplc="EEEEE06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C34422"/>
    <w:multiLevelType w:val="hybridMultilevel"/>
    <w:tmpl w:val="07DE1A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D022D4B"/>
    <w:multiLevelType w:val="hybridMultilevel"/>
    <w:tmpl w:val="A41E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E2C9D"/>
    <w:multiLevelType w:val="hybridMultilevel"/>
    <w:tmpl w:val="778E0EC6"/>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4792097"/>
    <w:multiLevelType w:val="hybridMultilevel"/>
    <w:tmpl w:val="FA1C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674BE"/>
    <w:multiLevelType w:val="hybridMultilevel"/>
    <w:tmpl w:val="CA220E62"/>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112455"/>
    <w:multiLevelType w:val="hybridMultilevel"/>
    <w:tmpl w:val="2D7C6938"/>
    <w:lvl w:ilvl="0" w:tplc="598251F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0" w15:restartNumberingAfterBreak="0">
    <w:nsid w:val="5A39118D"/>
    <w:multiLevelType w:val="hybridMultilevel"/>
    <w:tmpl w:val="F1EEE9BE"/>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954C6A"/>
    <w:multiLevelType w:val="hybridMultilevel"/>
    <w:tmpl w:val="C9FC5100"/>
    <w:lvl w:ilvl="0" w:tplc="CD747FFA">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BC786F"/>
    <w:multiLevelType w:val="hybridMultilevel"/>
    <w:tmpl w:val="00D4410C"/>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050871"/>
    <w:multiLevelType w:val="hybridMultilevel"/>
    <w:tmpl w:val="F8AA2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3DF0D92"/>
    <w:multiLevelType w:val="hybridMultilevel"/>
    <w:tmpl w:val="75D256DE"/>
    <w:lvl w:ilvl="0" w:tplc="F1A60392">
      <w:start w:val="1"/>
      <w:numFmt w:val="bullet"/>
      <w:lvlText w:val=""/>
      <w:lvlJc w:val="left"/>
      <w:pPr>
        <w:tabs>
          <w:tab w:val="num" w:pos="720"/>
        </w:tabs>
        <w:ind w:left="720" w:hanging="360"/>
      </w:pPr>
      <w:rPr>
        <w:rFonts w:ascii="Symbol" w:hAnsi="Symbol" w:hint="default"/>
        <w:sz w:val="20"/>
      </w:rPr>
    </w:lvl>
    <w:lvl w:ilvl="1" w:tplc="56789A42" w:tentative="1">
      <w:start w:val="1"/>
      <w:numFmt w:val="bullet"/>
      <w:lvlText w:val="o"/>
      <w:lvlJc w:val="left"/>
      <w:pPr>
        <w:tabs>
          <w:tab w:val="num" w:pos="1440"/>
        </w:tabs>
        <w:ind w:left="1440" w:hanging="360"/>
      </w:pPr>
      <w:rPr>
        <w:rFonts w:ascii="Courier New" w:hAnsi="Courier New" w:hint="default"/>
        <w:sz w:val="20"/>
      </w:rPr>
    </w:lvl>
    <w:lvl w:ilvl="2" w:tplc="5DF88A16" w:tentative="1">
      <w:start w:val="1"/>
      <w:numFmt w:val="bullet"/>
      <w:lvlText w:val=""/>
      <w:lvlJc w:val="left"/>
      <w:pPr>
        <w:tabs>
          <w:tab w:val="num" w:pos="2160"/>
        </w:tabs>
        <w:ind w:left="2160" w:hanging="360"/>
      </w:pPr>
      <w:rPr>
        <w:rFonts w:ascii="Wingdings" w:hAnsi="Wingdings" w:hint="default"/>
        <w:sz w:val="20"/>
      </w:rPr>
    </w:lvl>
    <w:lvl w:ilvl="3" w:tplc="EB12CBC2" w:tentative="1">
      <w:start w:val="1"/>
      <w:numFmt w:val="bullet"/>
      <w:lvlText w:val=""/>
      <w:lvlJc w:val="left"/>
      <w:pPr>
        <w:tabs>
          <w:tab w:val="num" w:pos="2880"/>
        </w:tabs>
        <w:ind w:left="2880" w:hanging="360"/>
      </w:pPr>
      <w:rPr>
        <w:rFonts w:ascii="Wingdings" w:hAnsi="Wingdings" w:hint="default"/>
        <w:sz w:val="20"/>
      </w:rPr>
    </w:lvl>
    <w:lvl w:ilvl="4" w:tplc="5BD6898A" w:tentative="1">
      <w:start w:val="1"/>
      <w:numFmt w:val="bullet"/>
      <w:lvlText w:val=""/>
      <w:lvlJc w:val="left"/>
      <w:pPr>
        <w:tabs>
          <w:tab w:val="num" w:pos="3600"/>
        </w:tabs>
        <w:ind w:left="3600" w:hanging="360"/>
      </w:pPr>
      <w:rPr>
        <w:rFonts w:ascii="Wingdings" w:hAnsi="Wingdings" w:hint="default"/>
        <w:sz w:val="20"/>
      </w:rPr>
    </w:lvl>
    <w:lvl w:ilvl="5" w:tplc="11CADA84" w:tentative="1">
      <w:start w:val="1"/>
      <w:numFmt w:val="bullet"/>
      <w:lvlText w:val=""/>
      <w:lvlJc w:val="left"/>
      <w:pPr>
        <w:tabs>
          <w:tab w:val="num" w:pos="4320"/>
        </w:tabs>
        <w:ind w:left="4320" w:hanging="360"/>
      </w:pPr>
      <w:rPr>
        <w:rFonts w:ascii="Wingdings" w:hAnsi="Wingdings" w:hint="default"/>
        <w:sz w:val="20"/>
      </w:rPr>
    </w:lvl>
    <w:lvl w:ilvl="6" w:tplc="7C287A50" w:tentative="1">
      <w:start w:val="1"/>
      <w:numFmt w:val="bullet"/>
      <w:lvlText w:val=""/>
      <w:lvlJc w:val="left"/>
      <w:pPr>
        <w:tabs>
          <w:tab w:val="num" w:pos="5040"/>
        </w:tabs>
        <w:ind w:left="5040" w:hanging="360"/>
      </w:pPr>
      <w:rPr>
        <w:rFonts w:ascii="Wingdings" w:hAnsi="Wingdings" w:hint="default"/>
        <w:sz w:val="20"/>
      </w:rPr>
    </w:lvl>
    <w:lvl w:ilvl="7" w:tplc="B6A8DF2E" w:tentative="1">
      <w:start w:val="1"/>
      <w:numFmt w:val="bullet"/>
      <w:lvlText w:val=""/>
      <w:lvlJc w:val="left"/>
      <w:pPr>
        <w:tabs>
          <w:tab w:val="num" w:pos="5760"/>
        </w:tabs>
        <w:ind w:left="5760" w:hanging="360"/>
      </w:pPr>
      <w:rPr>
        <w:rFonts w:ascii="Wingdings" w:hAnsi="Wingdings" w:hint="default"/>
        <w:sz w:val="20"/>
      </w:rPr>
    </w:lvl>
    <w:lvl w:ilvl="8" w:tplc="9F9A3FC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
  </w:num>
  <w:num w:numId="2">
    <w:abstractNumId w:val="2"/>
  </w:num>
  <w:num w:numId="3">
    <w:abstractNumId w:val="12"/>
  </w:num>
  <w:num w:numId="4">
    <w:abstractNumId w:val="10"/>
  </w:num>
  <w:num w:numId="5">
    <w:abstractNumId w:val="9"/>
  </w:num>
  <w:num w:numId="6">
    <w:abstractNumId w:val="14"/>
  </w:num>
  <w:num w:numId="7">
    <w:abstractNumId w:val="13"/>
  </w:num>
  <w:num w:numId="8">
    <w:abstractNumId w:val="6"/>
  </w:num>
  <w:num w:numId="9">
    <w:abstractNumId w:val="0"/>
  </w:num>
  <w:num w:numId="10">
    <w:abstractNumId w:val="8"/>
  </w:num>
  <w:num w:numId="11">
    <w:abstractNumId w:val="1"/>
  </w:num>
  <w:num w:numId="12">
    <w:abstractNumId w:val="3"/>
  </w:num>
  <w:num w:numId="13">
    <w:abstractNumId w:val="11"/>
  </w:num>
  <w:num w:numId="14">
    <w:abstractNumId w:val="7"/>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E1"/>
    <w:rsid w:val="000014A5"/>
    <w:rsid w:val="000015D7"/>
    <w:rsid w:val="00011D92"/>
    <w:rsid w:val="000302E6"/>
    <w:rsid w:val="0004153A"/>
    <w:rsid w:val="0004662C"/>
    <w:rsid w:val="00053C96"/>
    <w:rsid w:val="0005411A"/>
    <w:rsid w:val="0006288A"/>
    <w:rsid w:val="00066CAB"/>
    <w:rsid w:val="000B3863"/>
    <w:rsid w:val="000B5CFB"/>
    <w:rsid w:val="000C4DFD"/>
    <w:rsid w:val="000C58DB"/>
    <w:rsid w:val="000C61F3"/>
    <w:rsid w:val="001015B1"/>
    <w:rsid w:val="0011041C"/>
    <w:rsid w:val="00142D5B"/>
    <w:rsid w:val="00146EC4"/>
    <w:rsid w:val="0016111F"/>
    <w:rsid w:val="001667D4"/>
    <w:rsid w:val="00170281"/>
    <w:rsid w:val="00170378"/>
    <w:rsid w:val="0017090D"/>
    <w:rsid w:val="0017184D"/>
    <w:rsid w:val="0017693F"/>
    <w:rsid w:val="00176E5B"/>
    <w:rsid w:val="001812F3"/>
    <w:rsid w:val="00184AE1"/>
    <w:rsid w:val="001B57D6"/>
    <w:rsid w:val="001C3D6D"/>
    <w:rsid w:val="001C571D"/>
    <w:rsid w:val="001D061D"/>
    <w:rsid w:val="001D08FF"/>
    <w:rsid w:val="001D4156"/>
    <w:rsid w:val="001E3833"/>
    <w:rsid w:val="001F134B"/>
    <w:rsid w:val="001F13BD"/>
    <w:rsid w:val="001F1732"/>
    <w:rsid w:val="00201BF4"/>
    <w:rsid w:val="002066D1"/>
    <w:rsid w:val="00211CE8"/>
    <w:rsid w:val="0021223D"/>
    <w:rsid w:val="002130A1"/>
    <w:rsid w:val="002173F1"/>
    <w:rsid w:val="00224040"/>
    <w:rsid w:val="002320CE"/>
    <w:rsid w:val="002362D4"/>
    <w:rsid w:val="0024409E"/>
    <w:rsid w:val="00245880"/>
    <w:rsid w:val="0024739B"/>
    <w:rsid w:val="0025349C"/>
    <w:rsid w:val="00263B4E"/>
    <w:rsid w:val="00266CFE"/>
    <w:rsid w:val="00274D98"/>
    <w:rsid w:val="0028124E"/>
    <w:rsid w:val="0028671E"/>
    <w:rsid w:val="002A1AA5"/>
    <w:rsid w:val="002A316A"/>
    <w:rsid w:val="002A3848"/>
    <w:rsid w:val="002A5D24"/>
    <w:rsid w:val="002B7419"/>
    <w:rsid w:val="002C7E0D"/>
    <w:rsid w:val="002D2658"/>
    <w:rsid w:val="002D31AB"/>
    <w:rsid w:val="002D4441"/>
    <w:rsid w:val="002D6BBB"/>
    <w:rsid w:val="002D72C9"/>
    <w:rsid w:val="002E448C"/>
    <w:rsid w:val="002F43AC"/>
    <w:rsid w:val="00304E40"/>
    <w:rsid w:val="00305525"/>
    <w:rsid w:val="00316F11"/>
    <w:rsid w:val="00317428"/>
    <w:rsid w:val="00323EC8"/>
    <w:rsid w:val="00332A67"/>
    <w:rsid w:val="00336A4F"/>
    <w:rsid w:val="0034307C"/>
    <w:rsid w:val="003436EE"/>
    <w:rsid w:val="00343A87"/>
    <w:rsid w:val="00354ED5"/>
    <w:rsid w:val="00367C1F"/>
    <w:rsid w:val="00377079"/>
    <w:rsid w:val="003878A8"/>
    <w:rsid w:val="00394413"/>
    <w:rsid w:val="00396634"/>
    <w:rsid w:val="003976CA"/>
    <w:rsid w:val="003A09B9"/>
    <w:rsid w:val="003B4449"/>
    <w:rsid w:val="003B675F"/>
    <w:rsid w:val="003C26D8"/>
    <w:rsid w:val="003E787D"/>
    <w:rsid w:val="00401258"/>
    <w:rsid w:val="00416AEC"/>
    <w:rsid w:val="00423CB0"/>
    <w:rsid w:val="00447124"/>
    <w:rsid w:val="00456B59"/>
    <w:rsid w:val="00460232"/>
    <w:rsid w:val="00464691"/>
    <w:rsid w:val="004660B7"/>
    <w:rsid w:val="00467641"/>
    <w:rsid w:val="00467BB0"/>
    <w:rsid w:val="00491615"/>
    <w:rsid w:val="004945D9"/>
    <w:rsid w:val="00497D89"/>
    <w:rsid w:val="004A17A3"/>
    <w:rsid w:val="004C24CF"/>
    <w:rsid w:val="004C302A"/>
    <w:rsid w:val="004E697C"/>
    <w:rsid w:val="004F009E"/>
    <w:rsid w:val="004F201A"/>
    <w:rsid w:val="0050065F"/>
    <w:rsid w:val="005028EA"/>
    <w:rsid w:val="0050525C"/>
    <w:rsid w:val="00505AAB"/>
    <w:rsid w:val="00505F8E"/>
    <w:rsid w:val="00507097"/>
    <w:rsid w:val="00517529"/>
    <w:rsid w:val="00520F03"/>
    <w:rsid w:val="005225CE"/>
    <w:rsid w:val="0052348F"/>
    <w:rsid w:val="005239E6"/>
    <w:rsid w:val="00535A06"/>
    <w:rsid w:val="0056106A"/>
    <w:rsid w:val="0056593A"/>
    <w:rsid w:val="0057605E"/>
    <w:rsid w:val="0057747A"/>
    <w:rsid w:val="0058223B"/>
    <w:rsid w:val="00585621"/>
    <w:rsid w:val="005A4448"/>
    <w:rsid w:val="005A4564"/>
    <w:rsid w:val="005A7FD3"/>
    <w:rsid w:val="005B1F49"/>
    <w:rsid w:val="005C090E"/>
    <w:rsid w:val="005D0646"/>
    <w:rsid w:val="005D279C"/>
    <w:rsid w:val="005D2BC9"/>
    <w:rsid w:val="005E2756"/>
    <w:rsid w:val="005E43C5"/>
    <w:rsid w:val="005F4593"/>
    <w:rsid w:val="0061320C"/>
    <w:rsid w:val="00613F4C"/>
    <w:rsid w:val="0061438F"/>
    <w:rsid w:val="00617CEE"/>
    <w:rsid w:val="00617EEC"/>
    <w:rsid w:val="00623CA0"/>
    <w:rsid w:val="0063505F"/>
    <w:rsid w:val="00644769"/>
    <w:rsid w:val="00657169"/>
    <w:rsid w:val="0066797A"/>
    <w:rsid w:val="00667A10"/>
    <w:rsid w:val="006703FB"/>
    <w:rsid w:val="0067606A"/>
    <w:rsid w:val="00681027"/>
    <w:rsid w:val="006916C9"/>
    <w:rsid w:val="00691BEA"/>
    <w:rsid w:val="006B4304"/>
    <w:rsid w:val="006B4F34"/>
    <w:rsid w:val="006B6C90"/>
    <w:rsid w:val="006C6A47"/>
    <w:rsid w:val="006D2147"/>
    <w:rsid w:val="006D78F2"/>
    <w:rsid w:val="006E2A2B"/>
    <w:rsid w:val="006E7637"/>
    <w:rsid w:val="007078C6"/>
    <w:rsid w:val="007111E8"/>
    <w:rsid w:val="00716A18"/>
    <w:rsid w:val="0072051E"/>
    <w:rsid w:val="00735668"/>
    <w:rsid w:val="0073787B"/>
    <w:rsid w:val="00751333"/>
    <w:rsid w:val="007550AC"/>
    <w:rsid w:val="00763C92"/>
    <w:rsid w:val="00767774"/>
    <w:rsid w:val="007756EE"/>
    <w:rsid w:val="007834CA"/>
    <w:rsid w:val="00783BF6"/>
    <w:rsid w:val="0078786E"/>
    <w:rsid w:val="00790665"/>
    <w:rsid w:val="0079133F"/>
    <w:rsid w:val="007A24AD"/>
    <w:rsid w:val="007A35C6"/>
    <w:rsid w:val="007C1CFD"/>
    <w:rsid w:val="007C5CF4"/>
    <w:rsid w:val="007D28A0"/>
    <w:rsid w:val="007E01BD"/>
    <w:rsid w:val="007E08AB"/>
    <w:rsid w:val="007E1C18"/>
    <w:rsid w:val="008015D4"/>
    <w:rsid w:val="00803A4F"/>
    <w:rsid w:val="00811AEB"/>
    <w:rsid w:val="00817AD0"/>
    <w:rsid w:val="008247F1"/>
    <w:rsid w:val="0082577E"/>
    <w:rsid w:val="00857A1A"/>
    <w:rsid w:val="00861F48"/>
    <w:rsid w:val="00866790"/>
    <w:rsid w:val="008705DC"/>
    <w:rsid w:val="00880ECB"/>
    <w:rsid w:val="008A0F48"/>
    <w:rsid w:val="008C2AA6"/>
    <w:rsid w:val="008C2B34"/>
    <w:rsid w:val="008C42B7"/>
    <w:rsid w:val="008C557F"/>
    <w:rsid w:val="008D4465"/>
    <w:rsid w:val="008F0D5D"/>
    <w:rsid w:val="008F6A89"/>
    <w:rsid w:val="009100FE"/>
    <w:rsid w:val="00916639"/>
    <w:rsid w:val="00971AD0"/>
    <w:rsid w:val="00972521"/>
    <w:rsid w:val="0098465C"/>
    <w:rsid w:val="00991696"/>
    <w:rsid w:val="00991D5C"/>
    <w:rsid w:val="009A4398"/>
    <w:rsid w:val="009B3969"/>
    <w:rsid w:val="009C6A98"/>
    <w:rsid w:val="009C7474"/>
    <w:rsid w:val="009F6234"/>
    <w:rsid w:val="00A02B08"/>
    <w:rsid w:val="00A04D11"/>
    <w:rsid w:val="00A13DFB"/>
    <w:rsid w:val="00A15832"/>
    <w:rsid w:val="00A27043"/>
    <w:rsid w:val="00A52120"/>
    <w:rsid w:val="00A64164"/>
    <w:rsid w:val="00A64F3F"/>
    <w:rsid w:val="00A737BA"/>
    <w:rsid w:val="00A74D3D"/>
    <w:rsid w:val="00A77C6F"/>
    <w:rsid w:val="00A86C35"/>
    <w:rsid w:val="00A959A6"/>
    <w:rsid w:val="00AA10A5"/>
    <w:rsid w:val="00AA136B"/>
    <w:rsid w:val="00AA172C"/>
    <w:rsid w:val="00AB03DA"/>
    <w:rsid w:val="00AC76D6"/>
    <w:rsid w:val="00AE0F22"/>
    <w:rsid w:val="00AE4581"/>
    <w:rsid w:val="00AF15F9"/>
    <w:rsid w:val="00AF2E9F"/>
    <w:rsid w:val="00B00AAB"/>
    <w:rsid w:val="00B1761B"/>
    <w:rsid w:val="00B21D9D"/>
    <w:rsid w:val="00B2406E"/>
    <w:rsid w:val="00B434E9"/>
    <w:rsid w:val="00B65FA8"/>
    <w:rsid w:val="00B7147E"/>
    <w:rsid w:val="00B92A12"/>
    <w:rsid w:val="00B96137"/>
    <w:rsid w:val="00BA0215"/>
    <w:rsid w:val="00BA5B7A"/>
    <w:rsid w:val="00BC16A2"/>
    <w:rsid w:val="00BC590C"/>
    <w:rsid w:val="00BD0757"/>
    <w:rsid w:val="00BD6083"/>
    <w:rsid w:val="00BE04E7"/>
    <w:rsid w:val="00BE08A5"/>
    <w:rsid w:val="00BE28EB"/>
    <w:rsid w:val="00BF450C"/>
    <w:rsid w:val="00BF5BF7"/>
    <w:rsid w:val="00C030DC"/>
    <w:rsid w:val="00C05386"/>
    <w:rsid w:val="00C13DE9"/>
    <w:rsid w:val="00C27EE3"/>
    <w:rsid w:val="00C3796B"/>
    <w:rsid w:val="00C54AC1"/>
    <w:rsid w:val="00C56C3B"/>
    <w:rsid w:val="00C56E33"/>
    <w:rsid w:val="00C668E3"/>
    <w:rsid w:val="00C83B10"/>
    <w:rsid w:val="00C8571B"/>
    <w:rsid w:val="00C910D2"/>
    <w:rsid w:val="00CA7EA4"/>
    <w:rsid w:val="00CB3F9D"/>
    <w:rsid w:val="00CC1E1C"/>
    <w:rsid w:val="00CC4505"/>
    <w:rsid w:val="00CD5F89"/>
    <w:rsid w:val="00CE00D4"/>
    <w:rsid w:val="00CE0AAC"/>
    <w:rsid w:val="00CE59B0"/>
    <w:rsid w:val="00CF30B7"/>
    <w:rsid w:val="00D12D1B"/>
    <w:rsid w:val="00D3300A"/>
    <w:rsid w:val="00D361AD"/>
    <w:rsid w:val="00D37D59"/>
    <w:rsid w:val="00D525E1"/>
    <w:rsid w:val="00D52ACA"/>
    <w:rsid w:val="00D55B6A"/>
    <w:rsid w:val="00D62597"/>
    <w:rsid w:val="00D654FA"/>
    <w:rsid w:val="00D663C5"/>
    <w:rsid w:val="00D75F40"/>
    <w:rsid w:val="00D7668D"/>
    <w:rsid w:val="00D82670"/>
    <w:rsid w:val="00D9443C"/>
    <w:rsid w:val="00DA0DCF"/>
    <w:rsid w:val="00DA4224"/>
    <w:rsid w:val="00DA5FB4"/>
    <w:rsid w:val="00DD25B1"/>
    <w:rsid w:val="00DD34F0"/>
    <w:rsid w:val="00DD58E4"/>
    <w:rsid w:val="00DD6217"/>
    <w:rsid w:val="00DE7074"/>
    <w:rsid w:val="00DE799E"/>
    <w:rsid w:val="00E01CC5"/>
    <w:rsid w:val="00E04BF3"/>
    <w:rsid w:val="00E20A1F"/>
    <w:rsid w:val="00E22D5A"/>
    <w:rsid w:val="00E272E0"/>
    <w:rsid w:val="00E276DF"/>
    <w:rsid w:val="00E31C40"/>
    <w:rsid w:val="00E3506F"/>
    <w:rsid w:val="00E43160"/>
    <w:rsid w:val="00E571F8"/>
    <w:rsid w:val="00E61588"/>
    <w:rsid w:val="00E6747F"/>
    <w:rsid w:val="00E8449C"/>
    <w:rsid w:val="00EA2924"/>
    <w:rsid w:val="00EB64A4"/>
    <w:rsid w:val="00EB7657"/>
    <w:rsid w:val="00ED1676"/>
    <w:rsid w:val="00ED49BD"/>
    <w:rsid w:val="00EF6D73"/>
    <w:rsid w:val="00F10529"/>
    <w:rsid w:val="00F116C6"/>
    <w:rsid w:val="00F319C0"/>
    <w:rsid w:val="00F37E4B"/>
    <w:rsid w:val="00F53A93"/>
    <w:rsid w:val="00F550F3"/>
    <w:rsid w:val="00F60CDA"/>
    <w:rsid w:val="00F70231"/>
    <w:rsid w:val="00F706F9"/>
    <w:rsid w:val="00F71473"/>
    <w:rsid w:val="00F721DD"/>
    <w:rsid w:val="00F820F4"/>
    <w:rsid w:val="00F82E30"/>
    <w:rsid w:val="00F860DD"/>
    <w:rsid w:val="00F9094A"/>
    <w:rsid w:val="00F9327E"/>
    <w:rsid w:val="00F96F4E"/>
    <w:rsid w:val="00FA1ED6"/>
    <w:rsid w:val="00FA6E17"/>
    <w:rsid w:val="00FA6F5A"/>
    <w:rsid w:val="00FB00C1"/>
    <w:rsid w:val="00FB2CE4"/>
    <w:rsid w:val="00FB3D54"/>
    <w:rsid w:val="00FB6FA1"/>
    <w:rsid w:val="00FC686E"/>
    <w:rsid w:val="00FD49C4"/>
    <w:rsid w:val="00FE4680"/>
    <w:rsid w:val="00FE6BA7"/>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7FA07"/>
  <w15:docId w15:val="{602B25BC-2B58-43DF-91F8-5BAF52E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after="48"/>
    </w:pPr>
    <w:rPr>
      <w:rFonts w:ascii="Verdana" w:hAnsi="Verdana"/>
      <w:sz w:val="20"/>
      <w:szCs w:val="20"/>
    </w:rPr>
  </w:style>
  <w:style w:type="paragraph" w:styleId="PlainText">
    <w:name w:val="Plain Text"/>
    <w:basedOn w:val="Normal"/>
    <w:rPr>
      <w:rFonts w:ascii="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3">
    <w:name w:val="Body Text Indent 3"/>
    <w:basedOn w:val="Normal"/>
    <w:rsid w:val="00F550F3"/>
    <w:pPr>
      <w:spacing w:line="480" w:lineRule="auto"/>
      <w:ind w:firstLine="720"/>
    </w:pPr>
    <w:rPr>
      <w:rFonts w:ascii="Courier New" w:hAnsi="Courier New"/>
      <w:b/>
      <w:bCs/>
      <w:color w:val="000000"/>
      <w:u w:val="single"/>
    </w:rPr>
  </w:style>
  <w:style w:type="paragraph" w:styleId="BodyText2">
    <w:name w:val="Body Text 2"/>
    <w:basedOn w:val="Normal"/>
    <w:rsid w:val="0024739B"/>
    <w:pPr>
      <w:spacing w:after="120" w:line="480" w:lineRule="auto"/>
    </w:pPr>
  </w:style>
  <w:style w:type="character" w:styleId="Strong">
    <w:name w:val="Strong"/>
    <w:qFormat/>
    <w:rsid w:val="0024739B"/>
    <w:rPr>
      <w:b/>
      <w:bCs/>
    </w:rPr>
  </w:style>
  <w:style w:type="paragraph" w:styleId="BalloonText">
    <w:name w:val="Balloon Text"/>
    <w:basedOn w:val="Normal"/>
    <w:semiHidden/>
    <w:rsid w:val="00AE4581"/>
    <w:rPr>
      <w:rFonts w:ascii="Tahoma" w:hAnsi="Tahoma" w:cs="Tahoma"/>
      <w:sz w:val="16"/>
      <w:szCs w:val="16"/>
    </w:rPr>
  </w:style>
  <w:style w:type="character" w:styleId="CommentReference">
    <w:name w:val="annotation reference"/>
    <w:rsid w:val="00BA0215"/>
    <w:rPr>
      <w:sz w:val="16"/>
      <w:szCs w:val="16"/>
    </w:rPr>
  </w:style>
  <w:style w:type="paragraph" w:styleId="CommentText">
    <w:name w:val="annotation text"/>
    <w:basedOn w:val="Normal"/>
    <w:link w:val="CommentTextChar"/>
    <w:rsid w:val="00BA0215"/>
    <w:rPr>
      <w:sz w:val="20"/>
      <w:szCs w:val="20"/>
    </w:rPr>
  </w:style>
  <w:style w:type="character" w:customStyle="1" w:styleId="CommentTextChar">
    <w:name w:val="Comment Text Char"/>
    <w:basedOn w:val="DefaultParagraphFont"/>
    <w:link w:val="CommentText"/>
    <w:rsid w:val="00BA0215"/>
  </w:style>
  <w:style w:type="paragraph" w:styleId="CommentSubject">
    <w:name w:val="annotation subject"/>
    <w:basedOn w:val="CommentText"/>
    <w:next w:val="CommentText"/>
    <w:link w:val="CommentSubjectChar"/>
    <w:rsid w:val="00BA0215"/>
    <w:rPr>
      <w:b/>
      <w:bCs/>
    </w:rPr>
  </w:style>
  <w:style w:type="character" w:customStyle="1" w:styleId="CommentSubjectChar">
    <w:name w:val="Comment Subject Char"/>
    <w:link w:val="CommentSubject"/>
    <w:rsid w:val="00BA0215"/>
    <w:rPr>
      <w:b/>
      <w:bCs/>
    </w:rPr>
  </w:style>
  <w:style w:type="paragraph" w:customStyle="1" w:styleId="Heading1">
    <w:name w:val="Heading1"/>
    <w:basedOn w:val="Normal"/>
    <w:qFormat/>
    <w:rsid w:val="004C302A"/>
    <w:pPr>
      <w:jc w:val="center"/>
    </w:pPr>
    <w:rPr>
      <w:rFonts w:ascii="Century Gothic" w:hAnsi="Century Gothic" w:cs="Arial"/>
    </w:rPr>
  </w:style>
  <w:style w:type="paragraph" w:customStyle="1" w:styleId="Heading2">
    <w:name w:val="Heading2"/>
    <w:basedOn w:val="Normal"/>
    <w:qFormat/>
    <w:rsid w:val="004C302A"/>
    <w:rPr>
      <w:rFonts w:ascii="Century Gothic" w:hAnsi="Century Gothic" w:cs="Arial"/>
      <w:u w:val="single"/>
    </w:rPr>
  </w:style>
  <w:style w:type="paragraph" w:customStyle="1" w:styleId="Heading3">
    <w:name w:val="Heading3"/>
    <w:basedOn w:val="Normal"/>
    <w:qFormat/>
    <w:rsid w:val="004C302A"/>
    <w:rPr>
      <w:rFonts w:ascii="Century Gothic" w:hAnsi="Century Gothic" w:cs="Arial"/>
    </w:rPr>
  </w:style>
  <w:style w:type="paragraph" w:customStyle="1" w:styleId="Body1">
    <w:name w:val="Body1"/>
    <w:basedOn w:val="Normal"/>
    <w:qFormat/>
    <w:rsid w:val="004C302A"/>
    <w:rPr>
      <w:rFonts w:ascii="Century Gothic" w:hAnsi="Century Gothic" w:cs="Arial"/>
    </w:rPr>
  </w:style>
  <w:style w:type="paragraph" w:customStyle="1" w:styleId="Body2">
    <w:name w:val="Body2"/>
    <w:basedOn w:val="Heading3"/>
    <w:qFormat/>
    <w:rsid w:val="004C302A"/>
  </w:style>
  <w:style w:type="character" w:styleId="Hyperlink">
    <w:name w:val="Hyperlink"/>
    <w:rsid w:val="00D9443C"/>
    <w:rPr>
      <w:color w:val="0000FF"/>
      <w:u w:val="single"/>
    </w:rPr>
  </w:style>
  <w:style w:type="character" w:styleId="FollowedHyperlink">
    <w:name w:val="FollowedHyperlink"/>
    <w:rsid w:val="00D9443C"/>
    <w:rPr>
      <w:color w:val="800080"/>
      <w:u w:val="single"/>
    </w:rPr>
  </w:style>
  <w:style w:type="paragraph" w:styleId="Revision">
    <w:name w:val="Revision"/>
    <w:hidden/>
    <w:uiPriority w:val="99"/>
    <w:semiHidden/>
    <w:rsid w:val="00B00AAB"/>
    <w:rPr>
      <w:sz w:val="24"/>
      <w:szCs w:val="24"/>
    </w:rPr>
  </w:style>
  <w:style w:type="paragraph" w:styleId="ListParagraph">
    <w:name w:val="List Paragraph"/>
    <w:basedOn w:val="Normal"/>
    <w:uiPriority w:val="34"/>
    <w:qFormat/>
    <w:rsid w:val="0058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ms.gov/Research-Statistics-Data-and-Systems/Statistics-Trends-and-Reports/CMS-Statistics-Reference-Booklet/20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9152B-0FB3-43A0-A20F-F5C47CBA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of the Detailed Notice</vt:lpstr>
    </vt:vector>
  </TitlesOfParts>
  <Company>CMS</Company>
  <LinksUpToDate>false</LinksUpToDate>
  <CharactersWithSpaces>10957</CharactersWithSpaces>
  <SharedDoc>false</SharedDoc>
  <HLinks>
    <vt:vector size="6" baseType="variant">
      <vt:variant>
        <vt:i4>1704008</vt:i4>
      </vt:variant>
      <vt:variant>
        <vt:i4>0</vt:i4>
      </vt:variant>
      <vt:variant>
        <vt:i4>0</vt:i4>
      </vt:variant>
      <vt:variant>
        <vt:i4>5</vt:i4>
      </vt:variant>
      <vt:variant>
        <vt:lpwstr>http://www.cms.gov/Research-Statistics-Data-and-Systems/Statistics-Trends-and-Reports/DataCompendium/2011_Data_Compendium.html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of the Detailed Notice</dc:title>
  <dc:subject>Supporting Statement for PRA submission</dc:subject>
  <dc:creator>CMS/CPC/MEAG/DAP</dc:creator>
  <cp:keywords>Detailed Notice, Medicare appeals, DND,  supporting statement</cp:keywords>
  <cp:lastModifiedBy>Mitch Bryman</cp:lastModifiedBy>
  <cp:revision>7</cp:revision>
  <cp:lastPrinted>2009-11-19T19:55:00Z</cp:lastPrinted>
  <dcterms:created xsi:type="dcterms:W3CDTF">2016-07-18T18:28:00Z</dcterms:created>
  <dcterms:modified xsi:type="dcterms:W3CDTF">2016-07-18T18:59:00Z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-377520438</vt:i4>
  </property>
  <property fmtid="{D5CDD505-2E9C-101B-9397-08002B2CF9AE}" pid="4" name="_EmailSubject">
    <vt:lpwstr>Action Needed by May  20 - CMS-10066, OMB 0938-1019 (Detailed Notice of Discharge (DND))</vt:lpwstr>
  </property>
  <property fmtid="{D5CDD505-2E9C-101B-9397-08002B2CF9AE}" pid="5" name="_AuthorEmail">
    <vt:lpwstr>Sabrina.Sparkman@cms.hhs.gov</vt:lpwstr>
  </property>
  <property fmtid="{D5CDD505-2E9C-101B-9397-08002B2CF9AE}" pid="6" name="_AuthorEmailDisplayName">
    <vt:lpwstr>Sparkman, Sabrina M. (CMS/CM)</vt:lpwstr>
  </property>
  <property fmtid="{D5CDD505-2E9C-101B-9397-08002B2CF9AE}" pid="7" name="_PreviousAdHocReviewCycleID">
    <vt:i4>995855929</vt:i4>
  </property>
  <property fmtid="{D5CDD505-2E9C-101B-9397-08002B2CF9AE}" pid="8" name="_ReviewingToolsShownOnce">
    <vt:lpwstr/>
  </property>
</Properties>
</file>