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287DDF" w14:textId="77777777" w:rsidR="00A030E6" w:rsidRPr="00913EDB" w:rsidRDefault="00A030E6" w:rsidP="00A030E6">
      <w:pPr>
        <w:autoSpaceDE w:val="0"/>
        <w:autoSpaceDN w:val="0"/>
        <w:adjustRightInd w:val="0"/>
        <w:jc w:val="center"/>
        <w:rPr>
          <w:rFonts w:asciiTheme="minorHAnsi" w:hAnsiTheme="minorHAnsi"/>
          <w:b/>
          <w:bCs/>
          <w:color w:val="FF0000"/>
          <w:sz w:val="22"/>
          <w:szCs w:val="22"/>
        </w:rPr>
      </w:pPr>
    </w:p>
    <w:p w14:paraId="7DC442E3" w14:textId="77777777" w:rsidR="00A030E6" w:rsidRPr="00691454" w:rsidRDefault="00A030E6" w:rsidP="00A030E6">
      <w:pPr>
        <w:autoSpaceDE w:val="0"/>
        <w:autoSpaceDN w:val="0"/>
        <w:adjustRightInd w:val="0"/>
        <w:ind w:left="720"/>
        <w:jc w:val="center"/>
        <w:rPr>
          <w:b/>
          <w:bCs/>
        </w:rPr>
      </w:pPr>
    </w:p>
    <w:p w14:paraId="6D4704F5" w14:textId="77777777" w:rsidR="00A030E6" w:rsidRPr="00691454" w:rsidRDefault="00A030E6" w:rsidP="00A030E6">
      <w:pPr>
        <w:autoSpaceDE w:val="0"/>
        <w:autoSpaceDN w:val="0"/>
        <w:adjustRightInd w:val="0"/>
        <w:ind w:left="720"/>
        <w:jc w:val="center"/>
        <w:rPr>
          <w:b/>
          <w:bCs/>
        </w:rPr>
      </w:pPr>
    </w:p>
    <w:p w14:paraId="58962D01" w14:textId="77777777" w:rsidR="00A030E6" w:rsidRPr="00EA366E" w:rsidRDefault="00A030E6" w:rsidP="00A030E6">
      <w:pPr>
        <w:keepNext/>
        <w:keepLines/>
        <w:jc w:val="center"/>
        <w:outlineLvl w:val="6"/>
        <w:rPr>
          <w:rFonts w:asciiTheme="majorHAnsi" w:eastAsiaTheme="majorEastAsia" w:hAnsiTheme="majorHAnsi" w:cstheme="majorBidi"/>
          <w:i/>
          <w:iCs/>
          <w:color w:val="404040" w:themeColor="text1" w:themeTint="BF"/>
          <w:sz w:val="28"/>
          <w:szCs w:val="28"/>
        </w:rPr>
      </w:pPr>
      <w:r w:rsidRPr="00EA366E">
        <w:rPr>
          <w:rFonts w:eastAsiaTheme="majorEastAsia"/>
          <w:b/>
          <w:i/>
          <w:iCs/>
          <w:color w:val="404040" w:themeColor="text1" w:themeTint="BF"/>
          <w:sz w:val="28"/>
          <w:szCs w:val="28"/>
        </w:rPr>
        <w:t xml:space="preserve">SUPPORTING STATEMENT:  </w:t>
      </w:r>
      <w:r>
        <w:rPr>
          <w:rFonts w:asciiTheme="majorHAnsi" w:eastAsiaTheme="majorEastAsia" w:hAnsiTheme="majorHAnsi" w:cstheme="majorBidi"/>
          <w:i/>
          <w:iCs/>
          <w:color w:val="404040" w:themeColor="text1" w:themeTint="BF"/>
          <w:sz w:val="28"/>
          <w:szCs w:val="28"/>
        </w:rPr>
        <w:t>PART A</w:t>
      </w:r>
    </w:p>
    <w:p w14:paraId="14495EE6" w14:textId="77777777" w:rsidR="00A030E6" w:rsidRPr="00691454" w:rsidRDefault="00A030E6" w:rsidP="00A030E6">
      <w:pPr>
        <w:pStyle w:val="BalloonText"/>
        <w:jc w:val="center"/>
      </w:pPr>
    </w:p>
    <w:p w14:paraId="5DCA67BB" w14:textId="77777777" w:rsidR="00A030E6" w:rsidRPr="00691454" w:rsidRDefault="00A030E6" w:rsidP="00A030E6">
      <w:pPr>
        <w:autoSpaceDE w:val="0"/>
        <w:autoSpaceDN w:val="0"/>
        <w:adjustRightInd w:val="0"/>
        <w:jc w:val="center"/>
        <w:rPr>
          <w:b/>
          <w:bCs/>
        </w:rPr>
      </w:pPr>
    </w:p>
    <w:p w14:paraId="38FA6A65" w14:textId="77777777" w:rsidR="00A030E6" w:rsidRPr="00691454" w:rsidRDefault="00A030E6" w:rsidP="00A030E6">
      <w:pPr>
        <w:jc w:val="center"/>
        <w:rPr>
          <w:b/>
        </w:rPr>
      </w:pPr>
      <w:r w:rsidRPr="00691454">
        <w:rPr>
          <w:b/>
        </w:rPr>
        <w:t xml:space="preserve">OMB# </w:t>
      </w:r>
      <w:r>
        <w:rPr>
          <w:b/>
        </w:rPr>
        <w:t>XXX</w:t>
      </w:r>
    </w:p>
    <w:p w14:paraId="79D06906" w14:textId="77777777" w:rsidR="00A030E6" w:rsidRPr="00691454" w:rsidRDefault="00A030E6" w:rsidP="00A030E6">
      <w:pPr>
        <w:jc w:val="center"/>
        <w:rPr>
          <w:b/>
        </w:rPr>
      </w:pPr>
    </w:p>
    <w:p w14:paraId="4B59FE32" w14:textId="77777777" w:rsidR="00A030E6" w:rsidRPr="00691454" w:rsidRDefault="00A030E6" w:rsidP="00A030E6">
      <w:pPr>
        <w:jc w:val="center"/>
      </w:pPr>
    </w:p>
    <w:p w14:paraId="5679971C" w14:textId="530CE6B7" w:rsidR="00A030E6" w:rsidRPr="00691454" w:rsidRDefault="000C61E2" w:rsidP="00A030E6">
      <w:pPr>
        <w:jc w:val="center"/>
        <w:rPr>
          <w:b/>
        </w:rPr>
      </w:pPr>
      <w:r>
        <w:rPr>
          <w:b/>
        </w:rPr>
        <w:t>July 18, 2016</w:t>
      </w:r>
    </w:p>
    <w:p w14:paraId="11A6E9F0" w14:textId="77777777" w:rsidR="00A030E6" w:rsidRDefault="00A030E6" w:rsidP="00A030E6">
      <w:pPr>
        <w:jc w:val="center"/>
      </w:pPr>
    </w:p>
    <w:p w14:paraId="4B694AB8" w14:textId="77777777" w:rsidR="00A030E6" w:rsidRPr="00691454" w:rsidRDefault="00A030E6" w:rsidP="00A030E6">
      <w:pPr>
        <w:jc w:val="center"/>
      </w:pPr>
    </w:p>
    <w:p w14:paraId="216446F8" w14:textId="77777777" w:rsidR="00A030E6" w:rsidRPr="00691454" w:rsidRDefault="00A030E6" w:rsidP="00A030E6">
      <w:pPr>
        <w:jc w:val="center"/>
      </w:pPr>
    </w:p>
    <w:p w14:paraId="1F034E92" w14:textId="77777777" w:rsidR="00A030E6" w:rsidRDefault="00A030E6" w:rsidP="00A030E6">
      <w:pPr>
        <w:autoSpaceDE w:val="0"/>
        <w:autoSpaceDN w:val="0"/>
        <w:adjustRightInd w:val="0"/>
        <w:ind w:left="720"/>
        <w:jc w:val="center"/>
        <w:rPr>
          <w:b/>
          <w:bCs/>
        </w:rPr>
      </w:pPr>
      <w:r>
        <w:rPr>
          <w:b/>
          <w:bCs/>
        </w:rPr>
        <w:t>MONITORING AND REPORTING SYSTEM FOR THE</w:t>
      </w:r>
    </w:p>
    <w:p w14:paraId="5CE9EC89" w14:textId="77777777" w:rsidR="00A030E6" w:rsidRDefault="00A030E6" w:rsidP="00A030E6">
      <w:pPr>
        <w:autoSpaceDE w:val="0"/>
        <w:autoSpaceDN w:val="0"/>
        <w:adjustRightInd w:val="0"/>
        <w:ind w:left="720"/>
        <w:jc w:val="center"/>
        <w:rPr>
          <w:b/>
          <w:bCs/>
        </w:rPr>
      </w:pPr>
      <w:r>
        <w:rPr>
          <w:b/>
          <w:bCs/>
        </w:rPr>
        <w:t>PRESCRIPTION DRUG OVERDOSE PREVENTION FOR STATES</w:t>
      </w:r>
    </w:p>
    <w:p w14:paraId="15243823" w14:textId="77777777" w:rsidR="00A030E6" w:rsidRPr="00691454" w:rsidRDefault="00A030E6" w:rsidP="00A030E6">
      <w:pPr>
        <w:autoSpaceDE w:val="0"/>
        <w:autoSpaceDN w:val="0"/>
        <w:adjustRightInd w:val="0"/>
        <w:ind w:left="720"/>
        <w:jc w:val="center"/>
        <w:rPr>
          <w:b/>
          <w:bCs/>
        </w:rPr>
      </w:pPr>
      <w:r>
        <w:rPr>
          <w:b/>
          <w:bCs/>
        </w:rPr>
        <w:t>COOPERATIVE AGREEMENT</w:t>
      </w:r>
    </w:p>
    <w:p w14:paraId="298A4D90" w14:textId="77777777" w:rsidR="00A030E6" w:rsidRPr="00691454" w:rsidRDefault="00A030E6" w:rsidP="00A030E6">
      <w:pPr>
        <w:jc w:val="center"/>
      </w:pPr>
    </w:p>
    <w:p w14:paraId="39CE65A7" w14:textId="77777777" w:rsidR="00A030E6" w:rsidRDefault="00A030E6" w:rsidP="00A030E6">
      <w:pPr>
        <w:jc w:val="center"/>
        <w:rPr>
          <w:bCs/>
        </w:rPr>
      </w:pPr>
    </w:p>
    <w:p w14:paraId="3E1E976D" w14:textId="77777777" w:rsidR="00A030E6" w:rsidRDefault="00A030E6" w:rsidP="00A030E6">
      <w:pPr>
        <w:jc w:val="center"/>
        <w:rPr>
          <w:bCs/>
        </w:rPr>
      </w:pPr>
    </w:p>
    <w:p w14:paraId="36A40FAF" w14:textId="77777777" w:rsidR="00A030E6" w:rsidRPr="00691454" w:rsidRDefault="00A030E6" w:rsidP="00A030E6">
      <w:pPr>
        <w:jc w:val="center"/>
        <w:rPr>
          <w:bCs/>
        </w:rPr>
      </w:pPr>
      <w:r w:rsidRPr="00691454">
        <w:rPr>
          <w:bCs/>
        </w:rPr>
        <w:t>Supported by:</w:t>
      </w:r>
    </w:p>
    <w:p w14:paraId="4EFA734E" w14:textId="77777777" w:rsidR="00A030E6" w:rsidRPr="00691454" w:rsidRDefault="00A030E6" w:rsidP="00A030E6">
      <w:pPr>
        <w:jc w:val="center"/>
        <w:rPr>
          <w:bCs/>
        </w:rPr>
      </w:pPr>
    </w:p>
    <w:p w14:paraId="79266328" w14:textId="77777777" w:rsidR="00A030E6" w:rsidRPr="00691454" w:rsidRDefault="00A030E6" w:rsidP="00A030E6">
      <w:pPr>
        <w:jc w:val="center"/>
      </w:pPr>
      <w:r w:rsidRPr="00691454">
        <w:t>Department of Health and Human Services</w:t>
      </w:r>
    </w:p>
    <w:p w14:paraId="50B6DDFB" w14:textId="77777777" w:rsidR="00A030E6" w:rsidRPr="00691454" w:rsidRDefault="00A030E6" w:rsidP="00A030E6">
      <w:pPr>
        <w:jc w:val="center"/>
      </w:pPr>
      <w:r w:rsidRPr="00691454">
        <w:t>Centers for Disease Control and Prevention</w:t>
      </w:r>
    </w:p>
    <w:p w14:paraId="126EC81E" w14:textId="77777777" w:rsidR="00A030E6" w:rsidRPr="00691454" w:rsidRDefault="00A030E6" w:rsidP="00A030E6">
      <w:pPr>
        <w:jc w:val="center"/>
      </w:pPr>
      <w:r w:rsidRPr="00691454">
        <w:t>National Center for Injury Prevention and Control</w:t>
      </w:r>
    </w:p>
    <w:p w14:paraId="3EFFE9E2" w14:textId="77777777" w:rsidR="00A030E6" w:rsidRPr="00A93EB5" w:rsidRDefault="00A030E6" w:rsidP="00A030E6">
      <w:pPr>
        <w:jc w:val="center"/>
      </w:pPr>
      <w:r>
        <w:t>Division of Unintentional Injury Prevention</w:t>
      </w:r>
    </w:p>
    <w:p w14:paraId="7ABC6BC6" w14:textId="77777777" w:rsidR="00A030E6" w:rsidRPr="00691454" w:rsidRDefault="00A030E6" w:rsidP="00A030E6">
      <w:pPr>
        <w:jc w:val="center"/>
      </w:pPr>
    </w:p>
    <w:p w14:paraId="297F819E" w14:textId="77777777" w:rsidR="00A030E6" w:rsidRPr="00691454" w:rsidRDefault="00A030E6" w:rsidP="00A030E6">
      <w:pPr>
        <w:jc w:val="center"/>
      </w:pPr>
    </w:p>
    <w:p w14:paraId="1B9C5973" w14:textId="77777777" w:rsidR="00A030E6" w:rsidRPr="00691454" w:rsidRDefault="00A030E6" w:rsidP="00A030E6">
      <w:pPr>
        <w:jc w:val="center"/>
      </w:pPr>
    </w:p>
    <w:p w14:paraId="58205C74" w14:textId="77777777" w:rsidR="00A030E6" w:rsidRPr="00691454" w:rsidRDefault="00A030E6" w:rsidP="00A030E6">
      <w:pPr>
        <w:jc w:val="center"/>
      </w:pPr>
    </w:p>
    <w:p w14:paraId="6C87B983" w14:textId="77777777" w:rsidR="00A030E6" w:rsidRPr="00691454" w:rsidRDefault="00A030E6" w:rsidP="00A030E6">
      <w:pPr>
        <w:jc w:val="center"/>
      </w:pPr>
    </w:p>
    <w:p w14:paraId="2DE4BB98" w14:textId="77777777" w:rsidR="00A030E6" w:rsidRPr="00691454" w:rsidRDefault="00A030E6" w:rsidP="00A030E6">
      <w:pPr>
        <w:jc w:val="center"/>
      </w:pPr>
    </w:p>
    <w:p w14:paraId="3AFD8A5D" w14:textId="77777777" w:rsidR="00A030E6" w:rsidRPr="00691454" w:rsidRDefault="00A030E6" w:rsidP="00A030E6">
      <w:pPr>
        <w:jc w:val="center"/>
      </w:pPr>
    </w:p>
    <w:p w14:paraId="2BB1EAF4" w14:textId="77777777" w:rsidR="00A030E6" w:rsidRPr="00A93EB5" w:rsidRDefault="00A030E6" w:rsidP="00A030E6">
      <w:pPr>
        <w:ind w:left="720"/>
        <w:jc w:val="right"/>
      </w:pPr>
      <w:r w:rsidRPr="00A93EB5">
        <w:rPr>
          <w:b/>
        </w:rPr>
        <w:t>Point of Contact:</w:t>
      </w:r>
      <w:r w:rsidRPr="00A93EB5">
        <w:t xml:space="preserve"> </w:t>
      </w:r>
      <w:r>
        <w:rPr>
          <w:b/>
        </w:rPr>
        <w:t>Sarah Bacon</w:t>
      </w:r>
    </w:p>
    <w:p w14:paraId="638F4BF5" w14:textId="77777777" w:rsidR="00A030E6" w:rsidRPr="00A93EB5" w:rsidRDefault="00A030E6" w:rsidP="00A030E6">
      <w:pPr>
        <w:pStyle w:val="E-mailSignature"/>
        <w:ind w:left="720"/>
        <w:jc w:val="right"/>
        <w:rPr>
          <w:i/>
          <w:noProof/>
        </w:rPr>
      </w:pPr>
      <w:bookmarkStart w:id="0" w:name="_MailAutoSig"/>
      <w:r w:rsidRPr="00A93EB5">
        <w:rPr>
          <w:i/>
          <w:noProof/>
        </w:rPr>
        <w:t>Centers for Disease Control and Prevention</w:t>
      </w:r>
    </w:p>
    <w:p w14:paraId="0B61F47D" w14:textId="77777777" w:rsidR="00A030E6" w:rsidRPr="00A93EB5" w:rsidRDefault="00A030E6" w:rsidP="00A030E6">
      <w:pPr>
        <w:pStyle w:val="E-mailSignature"/>
        <w:ind w:left="720"/>
        <w:jc w:val="right"/>
        <w:rPr>
          <w:i/>
          <w:noProof/>
        </w:rPr>
      </w:pPr>
      <w:r w:rsidRPr="00A93EB5">
        <w:rPr>
          <w:i/>
          <w:noProof/>
        </w:rPr>
        <w:t>National Center for Injury Prevention and Control</w:t>
      </w:r>
    </w:p>
    <w:p w14:paraId="47ED03E6" w14:textId="77777777" w:rsidR="00A030E6" w:rsidRPr="00A93EB5" w:rsidRDefault="00A030E6" w:rsidP="00A030E6">
      <w:pPr>
        <w:pStyle w:val="E-mailSignature"/>
        <w:ind w:left="720"/>
        <w:jc w:val="right"/>
        <w:rPr>
          <w:noProof/>
        </w:rPr>
      </w:pPr>
    </w:p>
    <w:p w14:paraId="6ABB7A00" w14:textId="77777777" w:rsidR="00A030E6" w:rsidRPr="00A93EB5" w:rsidRDefault="00A030E6" w:rsidP="00A030E6">
      <w:pPr>
        <w:pStyle w:val="E-mailSignature"/>
        <w:ind w:left="720"/>
        <w:jc w:val="right"/>
        <w:rPr>
          <w:noProof/>
        </w:rPr>
      </w:pPr>
      <w:r w:rsidRPr="00A93EB5">
        <w:rPr>
          <w:noProof/>
        </w:rPr>
        <w:t>4770 Buford Highway NE  MS F-64</w:t>
      </w:r>
    </w:p>
    <w:p w14:paraId="35443DF9" w14:textId="77777777" w:rsidR="00A030E6" w:rsidRPr="00A93EB5" w:rsidRDefault="00A030E6" w:rsidP="00A030E6">
      <w:pPr>
        <w:pStyle w:val="E-mailSignature"/>
        <w:ind w:left="720"/>
        <w:jc w:val="right"/>
        <w:rPr>
          <w:noProof/>
        </w:rPr>
      </w:pPr>
      <w:r w:rsidRPr="00A93EB5">
        <w:rPr>
          <w:noProof/>
        </w:rPr>
        <w:t>Atlanta, GA 30341-3724</w:t>
      </w:r>
    </w:p>
    <w:p w14:paraId="160A497C" w14:textId="77777777" w:rsidR="00A030E6" w:rsidRPr="00A93EB5" w:rsidRDefault="00A030E6" w:rsidP="00A030E6">
      <w:pPr>
        <w:pStyle w:val="E-mailSignature"/>
        <w:ind w:left="720"/>
        <w:jc w:val="right"/>
        <w:rPr>
          <w:noProof/>
        </w:rPr>
      </w:pPr>
      <w:r w:rsidRPr="00A93EB5">
        <w:rPr>
          <w:noProof/>
        </w:rPr>
        <w:t xml:space="preserve">phone: </w:t>
      </w:r>
      <w:r w:rsidRPr="004429B6">
        <w:rPr>
          <w:noProof/>
        </w:rPr>
        <w:t>770-488-</w:t>
      </w:r>
      <w:r>
        <w:rPr>
          <w:noProof/>
        </w:rPr>
        <w:t>0520</w:t>
      </w:r>
    </w:p>
    <w:p w14:paraId="23B1CD3A" w14:textId="77777777" w:rsidR="00A030E6" w:rsidRPr="00A93EB5" w:rsidRDefault="00A030E6" w:rsidP="00A030E6">
      <w:pPr>
        <w:pStyle w:val="E-mailSignature"/>
        <w:ind w:left="720"/>
        <w:jc w:val="right"/>
        <w:rPr>
          <w:noProof/>
        </w:rPr>
      </w:pPr>
      <w:r w:rsidRPr="00A93EB5">
        <w:rPr>
          <w:noProof/>
        </w:rPr>
        <w:t xml:space="preserve">fax: </w:t>
      </w:r>
      <w:r w:rsidRPr="004429B6">
        <w:rPr>
          <w:noProof/>
        </w:rPr>
        <w:t>770-488-8305</w:t>
      </w:r>
    </w:p>
    <w:p w14:paraId="771ADFDE" w14:textId="77777777" w:rsidR="00A030E6" w:rsidRPr="00A93EB5" w:rsidRDefault="00A030E6" w:rsidP="00A030E6">
      <w:pPr>
        <w:pStyle w:val="E-mailSignature"/>
        <w:ind w:left="720"/>
        <w:jc w:val="right"/>
        <w:rPr>
          <w:noProof/>
        </w:rPr>
      </w:pPr>
      <w:r w:rsidRPr="00A93EB5">
        <w:rPr>
          <w:noProof/>
        </w:rPr>
        <w:t xml:space="preserve">email: </w:t>
      </w:r>
      <w:bookmarkEnd w:id="0"/>
      <w:r>
        <w:rPr>
          <w:noProof/>
        </w:rPr>
        <w:t>jfy5</w:t>
      </w:r>
      <w:r w:rsidRPr="004429B6">
        <w:rPr>
          <w:noProof/>
        </w:rPr>
        <w:t>@cdc.gov</w:t>
      </w:r>
    </w:p>
    <w:p w14:paraId="5D0B3185" w14:textId="77777777" w:rsidR="00A030E6" w:rsidRPr="00691454" w:rsidRDefault="00A030E6" w:rsidP="00A030E6">
      <w:pPr>
        <w:jc w:val="right"/>
      </w:pPr>
    </w:p>
    <w:p w14:paraId="1177AE7C" w14:textId="77777777" w:rsidR="00A030E6" w:rsidRPr="00691454" w:rsidRDefault="00A030E6" w:rsidP="00A030E6"/>
    <w:p w14:paraId="376D857E" w14:textId="77777777" w:rsidR="00A030E6" w:rsidRPr="00691454" w:rsidRDefault="00A030E6" w:rsidP="00A030E6">
      <w:pPr>
        <w:jc w:val="center"/>
      </w:pPr>
    </w:p>
    <w:p w14:paraId="7FA70052" w14:textId="77777777" w:rsidR="00A030E6" w:rsidRPr="00691454" w:rsidRDefault="00A030E6" w:rsidP="00A030E6">
      <w:pPr>
        <w:jc w:val="center"/>
      </w:pPr>
      <w:r w:rsidRPr="00691454">
        <w:br w:type="page"/>
      </w:r>
    </w:p>
    <w:p w14:paraId="44C449EB" w14:textId="77777777" w:rsidR="00A030E6" w:rsidRPr="00691454" w:rsidRDefault="00A030E6" w:rsidP="00A030E6">
      <w:pPr>
        <w:jc w:val="center"/>
      </w:pPr>
    </w:p>
    <w:p w14:paraId="3954873A" w14:textId="77777777" w:rsidR="00A030E6" w:rsidRPr="00691454" w:rsidRDefault="00A030E6" w:rsidP="00A030E6">
      <w:pPr>
        <w:ind w:firstLine="720"/>
        <w:jc w:val="center"/>
        <w:rPr>
          <w:b/>
          <w:bCs/>
          <w:noProof/>
        </w:rPr>
      </w:pPr>
      <w:r w:rsidRPr="00691454">
        <w:rPr>
          <w:b/>
          <w:bCs/>
        </w:rPr>
        <w:t>CONTE</w:t>
      </w:r>
      <w:r w:rsidRPr="00691454">
        <w:rPr>
          <w:b/>
          <w:bCs/>
          <w:noProof/>
        </w:rPr>
        <w:t>NTS</w:t>
      </w:r>
    </w:p>
    <w:p w14:paraId="7AD48127" w14:textId="77777777" w:rsidR="00A030E6" w:rsidRPr="00691454" w:rsidRDefault="00A030E6" w:rsidP="00A030E6">
      <w:pPr>
        <w:pStyle w:val="T0-ChapPgHd"/>
        <w:jc w:val="left"/>
        <w:rPr>
          <w:noProof/>
        </w:rPr>
      </w:pPr>
      <w:r w:rsidRPr="00691454">
        <w:rPr>
          <w:noProof/>
        </w:rPr>
        <w:t>Section</w:t>
      </w:r>
      <w:r w:rsidRPr="00691454">
        <w:rPr>
          <w:noProof/>
        </w:rPr>
        <w:tab/>
        <w:t>Page</w:t>
      </w:r>
    </w:p>
    <w:p w14:paraId="456BA124" w14:textId="77777777" w:rsidR="00A030E6" w:rsidRPr="00691454" w:rsidRDefault="00A030E6" w:rsidP="00A030E6">
      <w:pPr>
        <w:pStyle w:val="T0-ChapPgHd"/>
        <w:jc w:val="left"/>
        <w:rPr>
          <w:noProof/>
        </w:rPr>
      </w:pPr>
    </w:p>
    <w:p w14:paraId="4D11B22D" w14:textId="77777777" w:rsidR="00A030E6" w:rsidRPr="00691454" w:rsidRDefault="00A030E6" w:rsidP="00A030E6">
      <w:pPr>
        <w:pStyle w:val="TOC1"/>
        <w:rPr>
          <w:noProof/>
        </w:rPr>
      </w:pPr>
      <w:r w:rsidRPr="00691454">
        <w:rPr>
          <w:noProof/>
        </w:rPr>
        <w:t>A.</w:t>
      </w:r>
      <w:r w:rsidRPr="00691454">
        <w:rPr>
          <w:noProof/>
        </w:rPr>
        <w:tab/>
      </w:r>
      <w:r>
        <w:rPr>
          <w:noProof/>
        </w:rPr>
        <w:t>Summary table</w:t>
      </w:r>
      <w:r w:rsidRPr="00691454">
        <w:rPr>
          <w:noProof/>
        </w:rPr>
        <w:tab/>
      </w:r>
      <w:r w:rsidRPr="00691454">
        <w:rPr>
          <w:noProof/>
        </w:rPr>
        <w:tab/>
      </w:r>
      <w:r>
        <w:rPr>
          <w:noProof/>
        </w:rPr>
        <w:t>3</w:t>
      </w:r>
    </w:p>
    <w:p w14:paraId="3AED48DB" w14:textId="77777777" w:rsidR="00A030E6" w:rsidRDefault="00A030E6" w:rsidP="00A030E6">
      <w:pPr>
        <w:pStyle w:val="TOC1"/>
        <w:rPr>
          <w:noProof/>
        </w:rPr>
      </w:pPr>
    </w:p>
    <w:p w14:paraId="3C10D19A" w14:textId="77777777" w:rsidR="00A030E6" w:rsidRPr="00691454" w:rsidRDefault="00A030E6" w:rsidP="00A030E6">
      <w:pPr>
        <w:pStyle w:val="TOC1"/>
        <w:rPr>
          <w:noProof/>
        </w:rPr>
      </w:pPr>
      <w:r>
        <w:rPr>
          <w:noProof/>
        </w:rPr>
        <w:tab/>
      </w:r>
      <w:r w:rsidRPr="00691454">
        <w:rPr>
          <w:noProof/>
        </w:rPr>
        <w:t>Justification</w:t>
      </w:r>
      <w:r w:rsidRPr="00691454">
        <w:rPr>
          <w:noProof/>
        </w:rPr>
        <w:tab/>
      </w:r>
      <w:r w:rsidRPr="00691454">
        <w:rPr>
          <w:noProof/>
        </w:rPr>
        <w:tab/>
      </w:r>
      <w:r>
        <w:rPr>
          <w:noProof/>
        </w:rPr>
        <w:t>3</w:t>
      </w:r>
    </w:p>
    <w:p w14:paraId="6C45C4D4" w14:textId="77777777" w:rsidR="00A030E6" w:rsidRPr="00691454" w:rsidRDefault="00A030E6" w:rsidP="00A030E6">
      <w:pPr>
        <w:pStyle w:val="TOC1"/>
        <w:rPr>
          <w:noProof/>
        </w:rPr>
      </w:pPr>
    </w:p>
    <w:p w14:paraId="4B9CE895" w14:textId="77777777" w:rsidR="00A030E6" w:rsidRDefault="00A030E6" w:rsidP="00A030E6">
      <w:pPr>
        <w:pStyle w:val="TOC2"/>
        <w:rPr>
          <w:noProof/>
        </w:rPr>
      </w:pPr>
      <w:r w:rsidRPr="00691454">
        <w:rPr>
          <w:noProof/>
        </w:rPr>
        <w:t>A.1.</w:t>
      </w:r>
      <w:r w:rsidRPr="00691454">
        <w:rPr>
          <w:noProof/>
        </w:rPr>
        <w:tab/>
        <w:t>Circumstances Making the Collection of Information Necessary</w:t>
      </w:r>
      <w:r w:rsidRPr="00691454">
        <w:rPr>
          <w:noProof/>
        </w:rPr>
        <w:tab/>
      </w:r>
      <w:r>
        <w:rPr>
          <w:noProof/>
        </w:rPr>
        <w:t>3</w:t>
      </w:r>
    </w:p>
    <w:p w14:paraId="5D9387CD" w14:textId="77777777" w:rsidR="00A030E6" w:rsidRPr="00691454" w:rsidRDefault="00A030E6" w:rsidP="00A030E6">
      <w:pPr>
        <w:pStyle w:val="TOC2"/>
        <w:rPr>
          <w:noProof/>
        </w:rPr>
      </w:pPr>
      <w:r w:rsidRPr="00691454">
        <w:rPr>
          <w:noProof/>
        </w:rPr>
        <w:t>A.2.</w:t>
      </w:r>
      <w:r w:rsidRPr="00691454">
        <w:rPr>
          <w:noProof/>
        </w:rPr>
        <w:tab/>
        <w:t>Purpose and Use of Information Collection</w:t>
      </w:r>
      <w:r w:rsidRPr="00691454">
        <w:rPr>
          <w:noProof/>
        </w:rPr>
        <w:tab/>
      </w:r>
      <w:r w:rsidRPr="00691454">
        <w:rPr>
          <w:noProof/>
        </w:rPr>
        <w:tab/>
      </w:r>
    </w:p>
    <w:p w14:paraId="7FCD9DFC" w14:textId="77777777" w:rsidR="00A030E6" w:rsidRPr="00691454" w:rsidRDefault="00A030E6" w:rsidP="00A030E6">
      <w:pPr>
        <w:pStyle w:val="TOC2"/>
        <w:rPr>
          <w:noProof/>
        </w:rPr>
      </w:pPr>
      <w:r w:rsidRPr="00691454">
        <w:rPr>
          <w:noProof/>
        </w:rPr>
        <w:t>A.3.</w:t>
      </w:r>
      <w:r w:rsidRPr="00691454">
        <w:rPr>
          <w:noProof/>
        </w:rPr>
        <w:tab/>
        <w:t>Use of Improved Information Technology and Burden Reduction</w:t>
      </w:r>
      <w:r w:rsidRPr="00691454">
        <w:rPr>
          <w:noProof/>
        </w:rPr>
        <w:tab/>
      </w:r>
      <w:r>
        <w:rPr>
          <w:noProof/>
        </w:rPr>
        <w:t>8</w:t>
      </w:r>
    </w:p>
    <w:p w14:paraId="0E32B693" w14:textId="77777777" w:rsidR="00A030E6" w:rsidRPr="00691454" w:rsidRDefault="00A030E6" w:rsidP="00A030E6">
      <w:pPr>
        <w:pStyle w:val="TOC2"/>
        <w:rPr>
          <w:noProof/>
        </w:rPr>
      </w:pPr>
      <w:r w:rsidRPr="00691454">
        <w:rPr>
          <w:noProof/>
        </w:rPr>
        <w:t>A.4.</w:t>
      </w:r>
      <w:r w:rsidRPr="00691454">
        <w:rPr>
          <w:noProof/>
        </w:rPr>
        <w:tab/>
        <w:t>Efforts to Identify Duplication and Use of Similar Information</w:t>
      </w:r>
      <w:r w:rsidRPr="00691454">
        <w:rPr>
          <w:noProof/>
        </w:rPr>
        <w:tab/>
      </w:r>
      <w:r w:rsidRPr="00691454">
        <w:rPr>
          <w:noProof/>
        </w:rPr>
        <w:tab/>
      </w:r>
      <w:r>
        <w:rPr>
          <w:noProof/>
        </w:rPr>
        <w:t>8</w:t>
      </w:r>
    </w:p>
    <w:p w14:paraId="4A92D9C7" w14:textId="77777777" w:rsidR="00A030E6" w:rsidRPr="00691454" w:rsidRDefault="00A030E6" w:rsidP="00A030E6">
      <w:pPr>
        <w:pStyle w:val="TOC2"/>
        <w:rPr>
          <w:noProof/>
        </w:rPr>
      </w:pPr>
      <w:r w:rsidRPr="00691454">
        <w:rPr>
          <w:noProof/>
        </w:rPr>
        <w:t>A.5.</w:t>
      </w:r>
      <w:r w:rsidRPr="00691454">
        <w:rPr>
          <w:noProof/>
        </w:rPr>
        <w:tab/>
        <w:t>Impact on Small Businesses or Other Small Entities</w:t>
      </w:r>
      <w:r w:rsidRPr="00691454">
        <w:rPr>
          <w:noProof/>
        </w:rPr>
        <w:tab/>
      </w:r>
      <w:r w:rsidRPr="00691454">
        <w:rPr>
          <w:noProof/>
        </w:rPr>
        <w:tab/>
      </w:r>
      <w:r>
        <w:rPr>
          <w:noProof/>
        </w:rPr>
        <w:t>8</w:t>
      </w:r>
    </w:p>
    <w:p w14:paraId="7EB97FDB" w14:textId="77777777" w:rsidR="00A030E6" w:rsidRPr="00691454" w:rsidRDefault="00A030E6" w:rsidP="00A030E6">
      <w:pPr>
        <w:pStyle w:val="TOC2"/>
        <w:rPr>
          <w:noProof/>
        </w:rPr>
      </w:pPr>
      <w:r w:rsidRPr="00691454">
        <w:rPr>
          <w:noProof/>
        </w:rPr>
        <w:t>A.6.</w:t>
      </w:r>
      <w:r w:rsidRPr="00691454">
        <w:rPr>
          <w:noProof/>
        </w:rPr>
        <w:tab/>
        <w:t>Consequences of Collecting the Information Less Frequently</w:t>
      </w:r>
      <w:r w:rsidRPr="00691454">
        <w:rPr>
          <w:noProof/>
        </w:rPr>
        <w:tab/>
      </w:r>
      <w:r w:rsidRPr="00691454">
        <w:rPr>
          <w:noProof/>
        </w:rPr>
        <w:tab/>
      </w:r>
      <w:r>
        <w:rPr>
          <w:noProof/>
        </w:rPr>
        <w:t>8</w:t>
      </w:r>
    </w:p>
    <w:p w14:paraId="2D6AE939" w14:textId="77777777" w:rsidR="00A030E6" w:rsidRPr="00691454" w:rsidRDefault="00A030E6" w:rsidP="00A030E6">
      <w:pPr>
        <w:pStyle w:val="TOC2"/>
        <w:rPr>
          <w:noProof/>
        </w:rPr>
      </w:pPr>
      <w:r w:rsidRPr="00691454">
        <w:rPr>
          <w:noProof/>
        </w:rPr>
        <w:t>A.7.</w:t>
      </w:r>
      <w:r w:rsidRPr="00691454">
        <w:rPr>
          <w:noProof/>
        </w:rPr>
        <w:tab/>
        <w:t xml:space="preserve">Special Circumstances Relating to the Guidelines of </w:t>
      </w:r>
    </w:p>
    <w:p w14:paraId="79820280" w14:textId="77777777" w:rsidR="00A030E6" w:rsidRPr="00691454" w:rsidRDefault="00A030E6" w:rsidP="00A030E6">
      <w:pPr>
        <w:pStyle w:val="TOC2"/>
        <w:rPr>
          <w:noProof/>
        </w:rPr>
      </w:pPr>
      <w:r w:rsidRPr="00691454">
        <w:rPr>
          <w:noProof/>
        </w:rPr>
        <w:tab/>
        <w:t>5 CFR 1320.5(d)2</w:t>
      </w:r>
      <w:r w:rsidRPr="00691454">
        <w:rPr>
          <w:noProof/>
        </w:rPr>
        <w:tab/>
      </w:r>
      <w:r w:rsidRPr="00691454">
        <w:rPr>
          <w:noProof/>
        </w:rPr>
        <w:tab/>
      </w:r>
      <w:r>
        <w:rPr>
          <w:noProof/>
        </w:rPr>
        <w:t>8</w:t>
      </w:r>
    </w:p>
    <w:p w14:paraId="0BA6DDB1" w14:textId="77777777" w:rsidR="00A030E6" w:rsidRPr="00691454" w:rsidRDefault="00A030E6" w:rsidP="00A030E6">
      <w:pPr>
        <w:pStyle w:val="TOC2"/>
        <w:rPr>
          <w:noProof/>
        </w:rPr>
      </w:pPr>
      <w:r w:rsidRPr="00691454">
        <w:rPr>
          <w:noProof/>
        </w:rPr>
        <w:t>A.8.</w:t>
      </w:r>
      <w:r w:rsidRPr="00691454">
        <w:rPr>
          <w:noProof/>
        </w:rPr>
        <w:tab/>
        <w:t xml:space="preserve">Comments in Response to the Federal Register Notice and </w:t>
      </w:r>
    </w:p>
    <w:p w14:paraId="1B938613" w14:textId="77777777" w:rsidR="00A030E6" w:rsidRPr="00691454" w:rsidRDefault="00A030E6" w:rsidP="00A030E6">
      <w:pPr>
        <w:pStyle w:val="TOC2"/>
        <w:rPr>
          <w:noProof/>
        </w:rPr>
      </w:pPr>
      <w:r w:rsidRPr="00691454">
        <w:rPr>
          <w:noProof/>
        </w:rPr>
        <w:tab/>
        <w:t>Efforts to Consult Outside the Agency</w:t>
      </w:r>
      <w:r w:rsidRPr="00691454">
        <w:rPr>
          <w:noProof/>
        </w:rPr>
        <w:tab/>
      </w:r>
      <w:r w:rsidRPr="00691454">
        <w:rPr>
          <w:noProof/>
        </w:rPr>
        <w:tab/>
      </w:r>
      <w:r>
        <w:rPr>
          <w:noProof/>
        </w:rPr>
        <w:t>8</w:t>
      </w:r>
    </w:p>
    <w:p w14:paraId="058B5847" w14:textId="77777777" w:rsidR="00A030E6" w:rsidRPr="00691454" w:rsidRDefault="00A030E6" w:rsidP="00A030E6">
      <w:pPr>
        <w:pStyle w:val="TOC2"/>
        <w:rPr>
          <w:noProof/>
        </w:rPr>
      </w:pPr>
      <w:r w:rsidRPr="00691454">
        <w:rPr>
          <w:noProof/>
        </w:rPr>
        <w:t>A.9.</w:t>
      </w:r>
      <w:r w:rsidRPr="00691454">
        <w:rPr>
          <w:noProof/>
        </w:rPr>
        <w:tab/>
        <w:t>Explanation of Any Payment or Gift to Respondents</w:t>
      </w:r>
      <w:r w:rsidRPr="00691454">
        <w:rPr>
          <w:noProof/>
        </w:rPr>
        <w:tab/>
      </w:r>
      <w:r w:rsidRPr="00691454">
        <w:rPr>
          <w:noProof/>
        </w:rPr>
        <w:tab/>
      </w:r>
      <w:r>
        <w:rPr>
          <w:noProof/>
        </w:rPr>
        <w:t>8</w:t>
      </w:r>
    </w:p>
    <w:p w14:paraId="4DC6594F" w14:textId="1CE627C7" w:rsidR="00A030E6" w:rsidRPr="00691454" w:rsidRDefault="00A030E6" w:rsidP="00A030E6">
      <w:pPr>
        <w:pStyle w:val="TOC2"/>
        <w:rPr>
          <w:noProof/>
        </w:rPr>
      </w:pPr>
      <w:r w:rsidRPr="00691454">
        <w:rPr>
          <w:noProof/>
        </w:rPr>
        <w:t>A.10.</w:t>
      </w:r>
      <w:r w:rsidRPr="00691454">
        <w:rPr>
          <w:noProof/>
        </w:rPr>
        <w:tab/>
      </w:r>
      <w:r w:rsidR="00FD5A1E" w:rsidRPr="00FD5A1E">
        <w:rPr>
          <w:noProof/>
        </w:rPr>
        <w:t>Protection of the   Pri</w:t>
      </w:r>
      <w:r w:rsidR="00FD5A1E">
        <w:rPr>
          <w:noProof/>
        </w:rPr>
        <w:t xml:space="preserve">vacy and Confidentiality of </w:t>
      </w:r>
      <w:r w:rsidR="00FD5A1E" w:rsidRPr="00FD5A1E">
        <w:rPr>
          <w:noProof/>
        </w:rPr>
        <w:t xml:space="preserve">Information  </w:t>
      </w:r>
      <w:r w:rsidR="00FD5A1E">
        <w:rPr>
          <w:noProof/>
        </w:rPr>
        <w:t xml:space="preserve">     </w:t>
      </w:r>
      <w:r w:rsidR="00FD5A1E" w:rsidRPr="00FD5A1E">
        <w:rPr>
          <w:noProof/>
        </w:rPr>
        <w:t xml:space="preserve"> Provided    by  Respondents</w:t>
      </w:r>
      <w:r w:rsidR="00FD5A1E" w:rsidRPr="00FD5A1E" w:rsidDel="00FD5A1E">
        <w:rPr>
          <w:noProof/>
        </w:rPr>
        <w:t xml:space="preserve"> </w:t>
      </w:r>
      <w:r w:rsidRPr="00691454">
        <w:rPr>
          <w:noProof/>
        </w:rPr>
        <w:tab/>
      </w:r>
      <w:r w:rsidRPr="00691454">
        <w:rPr>
          <w:noProof/>
        </w:rPr>
        <w:tab/>
      </w:r>
      <w:r>
        <w:rPr>
          <w:noProof/>
        </w:rPr>
        <w:t>9</w:t>
      </w:r>
    </w:p>
    <w:p w14:paraId="4D5D0A68" w14:textId="4490AE72" w:rsidR="00A030E6" w:rsidRPr="00691454" w:rsidRDefault="00A030E6" w:rsidP="00A030E6">
      <w:pPr>
        <w:pStyle w:val="TOC2"/>
        <w:rPr>
          <w:noProof/>
        </w:rPr>
      </w:pPr>
      <w:r w:rsidRPr="00691454">
        <w:rPr>
          <w:noProof/>
        </w:rPr>
        <w:t>A.11.</w:t>
      </w:r>
      <w:r w:rsidRPr="00691454">
        <w:rPr>
          <w:noProof/>
        </w:rPr>
        <w:tab/>
      </w:r>
      <w:r w:rsidR="00127C16" w:rsidRPr="00127C16">
        <w:rPr>
          <w:noProof/>
        </w:rPr>
        <w:t>Institutional Review Board (IRB) and  Justification for Sensitive Questions</w:t>
      </w:r>
      <w:r w:rsidRPr="00691454">
        <w:rPr>
          <w:noProof/>
        </w:rPr>
        <w:tab/>
      </w:r>
      <w:r w:rsidRPr="00691454">
        <w:rPr>
          <w:noProof/>
        </w:rPr>
        <w:tab/>
      </w:r>
      <w:r>
        <w:rPr>
          <w:noProof/>
        </w:rPr>
        <w:t>11</w:t>
      </w:r>
    </w:p>
    <w:p w14:paraId="05652867" w14:textId="77777777" w:rsidR="00A030E6" w:rsidRPr="00691454" w:rsidRDefault="00A030E6" w:rsidP="00A030E6">
      <w:pPr>
        <w:pStyle w:val="TOC2"/>
        <w:rPr>
          <w:noProof/>
        </w:rPr>
      </w:pPr>
      <w:r w:rsidRPr="00691454">
        <w:rPr>
          <w:noProof/>
        </w:rPr>
        <w:t>A.12.</w:t>
      </w:r>
      <w:r w:rsidRPr="00691454">
        <w:rPr>
          <w:noProof/>
        </w:rPr>
        <w:tab/>
        <w:t>Estimates of Annualized Burden Hours and Costs</w:t>
      </w:r>
      <w:r w:rsidRPr="00691454">
        <w:rPr>
          <w:noProof/>
        </w:rPr>
        <w:tab/>
      </w:r>
      <w:r w:rsidRPr="00691454">
        <w:rPr>
          <w:noProof/>
        </w:rPr>
        <w:tab/>
      </w:r>
      <w:r>
        <w:rPr>
          <w:noProof/>
        </w:rPr>
        <w:t>11</w:t>
      </w:r>
    </w:p>
    <w:p w14:paraId="14CBAB1F" w14:textId="77777777" w:rsidR="00A030E6" w:rsidRPr="00691454" w:rsidRDefault="00A030E6" w:rsidP="00A030E6">
      <w:pPr>
        <w:pStyle w:val="TOC2"/>
        <w:rPr>
          <w:noProof/>
        </w:rPr>
      </w:pPr>
      <w:r w:rsidRPr="00691454">
        <w:rPr>
          <w:noProof/>
        </w:rPr>
        <w:t>A.13.</w:t>
      </w:r>
      <w:r w:rsidRPr="00691454">
        <w:rPr>
          <w:noProof/>
        </w:rPr>
        <w:tab/>
        <w:t xml:space="preserve">Estimates of Other Total Annual Cost Burden to Respondents </w:t>
      </w:r>
    </w:p>
    <w:p w14:paraId="64708479" w14:textId="77777777" w:rsidR="00A030E6" w:rsidRPr="00691454" w:rsidRDefault="00A030E6" w:rsidP="00A030E6">
      <w:pPr>
        <w:pStyle w:val="TOC2"/>
        <w:rPr>
          <w:noProof/>
        </w:rPr>
      </w:pPr>
      <w:r w:rsidRPr="00691454">
        <w:rPr>
          <w:noProof/>
        </w:rPr>
        <w:tab/>
        <w:t>or Record Keepers</w:t>
      </w:r>
      <w:r w:rsidRPr="00691454">
        <w:rPr>
          <w:noProof/>
        </w:rPr>
        <w:tab/>
      </w:r>
      <w:r w:rsidRPr="00691454">
        <w:rPr>
          <w:noProof/>
        </w:rPr>
        <w:tab/>
      </w:r>
      <w:r>
        <w:rPr>
          <w:noProof/>
        </w:rPr>
        <w:t>13</w:t>
      </w:r>
    </w:p>
    <w:p w14:paraId="4B970959" w14:textId="77777777" w:rsidR="00A030E6" w:rsidRPr="00691454" w:rsidRDefault="00A030E6" w:rsidP="00A030E6">
      <w:pPr>
        <w:pStyle w:val="TOC2"/>
        <w:rPr>
          <w:noProof/>
        </w:rPr>
      </w:pPr>
      <w:r w:rsidRPr="00691454">
        <w:rPr>
          <w:noProof/>
        </w:rPr>
        <w:t>A.14.</w:t>
      </w:r>
      <w:r w:rsidRPr="00691454">
        <w:rPr>
          <w:noProof/>
        </w:rPr>
        <w:tab/>
        <w:t>Annualized Cost to the Government</w:t>
      </w:r>
      <w:r w:rsidRPr="00691454">
        <w:rPr>
          <w:noProof/>
        </w:rPr>
        <w:tab/>
      </w:r>
      <w:r w:rsidRPr="00691454">
        <w:rPr>
          <w:noProof/>
        </w:rPr>
        <w:tab/>
      </w:r>
      <w:r>
        <w:rPr>
          <w:noProof/>
        </w:rPr>
        <w:t>13</w:t>
      </w:r>
    </w:p>
    <w:p w14:paraId="7C4E6AAE" w14:textId="77777777" w:rsidR="00A030E6" w:rsidRPr="00691454" w:rsidRDefault="00A030E6" w:rsidP="00A030E6">
      <w:pPr>
        <w:pStyle w:val="TOC2"/>
        <w:rPr>
          <w:noProof/>
        </w:rPr>
      </w:pPr>
      <w:r w:rsidRPr="00691454">
        <w:rPr>
          <w:noProof/>
        </w:rPr>
        <w:t>A.15.</w:t>
      </w:r>
      <w:r w:rsidRPr="00691454">
        <w:rPr>
          <w:noProof/>
        </w:rPr>
        <w:tab/>
        <w:t>Explanation for Program Changes or Adjustments</w:t>
      </w:r>
      <w:r w:rsidRPr="00691454">
        <w:rPr>
          <w:noProof/>
        </w:rPr>
        <w:tab/>
      </w:r>
      <w:r w:rsidRPr="00691454">
        <w:rPr>
          <w:noProof/>
        </w:rPr>
        <w:tab/>
      </w:r>
      <w:r>
        <w:rPr>
          <w:noProof/>
        </w:rPr>
        <w:t>13</w:t>
      </w:r>
    </w:p>
    <w:p w14:paraId="675F7CC3" w14:textId="77777777" w:rsidR="00A030E6" w:rsidRPr="00691454" w:rsidRDefault="00A030E6" w:rsidP="00A030E6">
      <w:pPr>
        <w:pStyle w:val="TOC2"/>
        <w:rPr>
          <w:noProof/>
        </w:rPr>
      </w:pPr>
      <w:r w:rsidRPr="00691454">
        <w:rPr>
          <w:noProof/>
        </w:rPr>
        <w:t>A.16.</w:t>
      </w:r>
      <w:r w:rsidRPr="00691454">
        <w:rPr>
          <w:noProof/>
        </w:rPr>
        <w:tab/>
        <w:t>Plans for Tabulation and Publication and Project Time Schedule</w:t>
      </w:r>
      <w:r w:rsidRPr="00691454">
        <w:rPr>
          <w:noProof/>
        </w:rPr>
        <w:tab/>
      </w:r>
      <w:r>
        <w:rPr>
          <w:noProof/>
        </w:rPr>
        <w:t>13</w:t>
      </w:r>
    </w:p>
    <w:p w14:paraId="55421FE0" w14:textId="77777777" w:rsidR="00A030E6" w:rsidRPr="00691454" w:rsidRDefault="00A030E6" w:rsidP="00A030E6">
      <w:pPr>
        <w:pStyle w:val="TOC2"/>
        <w:rPr>
          <w:noProof/>
        </w:rPr>
      </w:pPr>
      <w:r w:rsidRPr="00691454">
        <w:rPr>
          <w:noProof/>
        </w:rPr>
        <w:t>A.17.</w:t>
      </w:r>
      <w:r w:rsidRPr="00691454">
        <w:rPr>
          <w:noProof/>
        </w:rPr>
        <w:tab/>
        <w:t>Reason(s) Display of OMB Expiration Date is Inappropriate</w:t>
      </w:r>
      <w:r w:rsidRPr="00691454">
        <w:rPr>
          <w:noProof/>
        </w:rPr>
        <w:tab/>
      </w:r>
      <w:r w:rsidRPr="00691454">
        <w:rPr>
          <w:noProof/>
        </w:rPr>
        <w:tab/>
      </w:r>
      <w:r>
        <w:rPr>
          <w:noProof/>
        </w:rPr>
        <w:t>13</w:t>
      </w:r>
    </w:p>
    <w:p w14:paraId="64CDC8D0" w14:textId="77777777" w:rsidR="00A030E6" w:rsidRPr="00691454" w:rsidRDefault="00A030E6" w:rsidP="00A030E6">
      <w:pPr>
        <w:pStyle w:val="TOC2"/>
        <w:rPr>
          <w:noProof/>
        </w:rPr>
      </w:pPr>
      <w:r w:rsidRPr="00691454">
        <w:rPr>
          <w:noProof/>
        </w:rPr>
        <w:t>A.18.</w:t>
      </w:r>
      <w:r w:rsidRPr="00691454">
        <w:rPr>
          <w:noProof/>
        </w:rPr>
        <w:tab/>
        <w:t xml:space="preserve">Exceptions to Certification for Paperwork Reducation Act </w:t>
      </w:r>
    </w:p>
    <w:p w14:paraId="459DB7BE" w14:textId="77777777" w:rsidR="00A030E6" w:rsidRPr="00691454" w:rsidRDefault="00A030E6" w:rsidP="00A030E6">
      <w:pPr>
        <w:pStyle w:val="TOC2"/>
        <w:rPr>
          <w:noProof/>
        </w:rPr>
      </w:pPr>
      <w:r w:rsidRPr="00691454">
        <w:rPr>
          <w:noProof/>
        </w:rPr>
        <w:tab/>
        <w:t>Submissions</w:t>
      </w:r>
      <w:r w:rsidRPr="00691454">
        <w:rPr>
          <w:noProof/>
        </w:rPr>
        <w:tab/>
      </w:r>
      <w:r w:rsidRPr="00691454">
        <w:rPr>
          <w:noProof/>
        </w:rPr>
        <w:tab/>
      </w:r>
      <w:r>
        <w:rPr>
          <w:noProof/>
        </w:rPr>
        <w:t>14</w:t>
      </w:r>
    </w:p>
    <w:p w14:paraId="4E9EC83E" w14:textId="77777777" w:rsidR="00A030E6" w:rsidRPr="00691454" w:rsidRDefault="00A030E6" w:rsidP="00A030E6">
      <w:pPr>
        <w:pStyle w:val="TOC1"/>
        <w:rPr>
          <w:noProof/>
        </w:rPr>
      </w:pPr>
    </w:p>
    <w:p w14:paraId="3C74D2A8" w14:textId="77777777" w:rsidR="00A030E6" w:rsidRPr="00691454" w:rsidRDefault="00A030E6" w:rsidP="00A030E6">
      <w:pPr>
        <w:pStyle w:val="TOC5"/>
        <w:ind w:left="0"/>
        <w:jc w:val="left"/>
        <w:rPr>
          <w:noProof/>
        </w:rPr>
      </w:pPr>
    </w:p>
    <w:p w14:paraId="68C25297" w14:textId="77777777" w:rsidR="00A030E6" w:rsidRPr="00691454" w:rsidRDefault="00A030E6" w:rsidP="00A030E6">
      <w:pPr>
        <w:pStyle w:val="TOC5"/>
      </w:pPr>
    </w:p>
    <w:p w14:paraId="01E769B7" w14:textId="77777777" w:rsidR="00A030E6" w:rsidRPr="00691454" w:rsidRDefault="00A030E6" w:rsidP="00A030E6">
      <w:pPr>
        <w:pStyle w:val="C2-CtrSglSp"/>
        <w:spacing w:after="100" w:afterAutospacing="1"/>
        <w:jc w:val="left"/>
      </w:pPr>
      <w:r w:rsidRPr="00691454">
        <w:t>Attachments</w:t>
      </w:r>
    </w:p>
    <w:p w14:paraId="25CF3273" w14:textId="77777777" w:rsidR="00A030E6" w:rsidRPr="001C5D55" w:rsidRDefault="00A030E6" w:rsidP="00A030E6">
      <w:pPr>
        <w:numPr>
          <w:ilvl w:val="0"/>
          <w:numId w:val="7"/>
        </w:numPr>
        <w:ind w:left="1440"/>
        <w:contextualSpacing/>
        <w:rPr>
          <w:color w:val="000000" w:themeColor="text1"/>
        </w:rPr>
      </w:pPr>
      <w:r w:rsidRPr="001C5D55">
        <w:t xml:space="preserve">Public Health Service Act (PHSA) </w:t>
      </w:r>
      <w:r w:rsidRPr="001C5D55">
        <w:rPr>
          <w:color w:val="000000" w:themeColor="text1"/>
        </w:rPr>
        <w:t>42 U.S.C. 241(a)</w:t>
      </w:r>
      <w:r w:rsidRPr="001C5D55">
        <w:t xml:space="preserve">, </w:t>
      </w:r>
      <w:r w:rsidRPr="001C5D55">
        <w:rPr>
          <w:color w:val="000000" w:themeColor="text1"/>
        </w:rPr>
        <w:t>Section 301(a)</w:t>
      </w:r>
    </w:p>
    <w:p w14:paraId="18CF3CA0" w14:textId="77777777" w:rsidR="00A030E6" w:rsidRPr="001C5D55" w:rsidRDefault="00A030E6" w:rsidP="00A030E6">
      <w:pPr>
        <w:numPr>
          <w:ilvl w:val="0"/>
          <w:numId w:val="7"/>
        </w:numPr>
        <w:ind w:left="1440"/>
        <w:contextualSpacing/>
      </w:pPr>
      <w:r w:rsidRPr="001C5D55">
        <w:t>Published 60-Day Federal Register Notice</w:t>
      </w:r>
    </w:p>
    <w:p w14:paraId="61557E3F" w14:textId="77777777" w:rsidR="00A030E6" w:rsidRPr="001C5D55" w:rsidRDefault="00A030E6" w:rsidP="00A030E6">
      <w:pPr>
        <w:pStyle w:val="ListParagraph"/>
        <w:numPr>
          <w:ilvl w:val="0"/>
          <w:numId w:val="7"/>
        </w:numPr>
        <w:ind w:firstLine="360"/>
      </w:pPr>
      <w:r w:rsidRPr="001C5D55">
        <w:t>Information Collection Tools</w:t>
      </w:r>
    </w:p>
    <w:p w14:paraId="27D9129A" w14:textId="77777777" w:rsidR="00A030E6" w:rsidRPr="001C5D55" w:rsidRDefault="00A030E6" w:rsidP="00A030E6">
      <w:pPr>
        <w:numPr>
          <w:ilvl w:val="1"/>
          <w:numId w:val="7"/>
        </w:numPr>
        <w:ind w:left="2160"/>
        <w:contextualSpacing/>
      </w:pPr>
      <w:r>
        <w:t>Annual Progress Report</w:t>
      </w:r>
      <w:r w:rsidRPr="001C5D55">
        <w:t xml:space="preserve"> </w:t>
      </w:r>
      <w:r>
        <w:t>Tool</w:t>
      </w:r>
    </w:p>
    <w:p w14:paraId="4DAB5E02" w14:textId="440A6094" w:rsidR="00A030E6" w:rsidRPr="001C5D55" w:rsidRDefault="00A030E6" w:rsidP="00A030E6">
      <w:pPr>
        <w:numPr>
          <w:ilvl w:val="1"/>
          <w:numId w:val="7"/>
        </w:numPr>
        <w:ind w:left="2160"/>
        <w:contextualSpacing/>
      </w:pPr>
      <w:r>
        <w:t xml:space="preserve">Plan Tool </w:t>
      </w:r>
      <w:r w:rsidRPr="001C5D55">
        <w:t xml:space="preserve"> </w:t>
      </w:r>
    </w:p>
    <w:p w14:paraId="0F2FAEAE" w14:textId="77777777" w:rsidR="0061192B" w:rsidRDefault="006C6A1A" w:rsidP="005A18D1">
      <w:pPr>
        <w:pStyle w:val="ListParagraph"/>
        <w:numPr>
          <w:ilvl w:val="0"/>
          <w:numId w:val="7"/>
        </w:numPr>
        <w:ind w:firstLine="360"/>
      </w:pPr>
      <w:r w:rsidRPr="00CC0112">
        <w:t xml:space="preserve">NCIPC </w:t>
      </w:r>
      <w:r>
        <w:t xml:space="preserve">Research </w:t>
      </w:r>
      <w:r w:rsidRPr="00CC0112">
        <w:t>Determination</w:t>
      </w:r>
    </w:p>
    <w:p w14:paraId="48DED2A0" w14:textId="77777777" w:rsidR="00AC37B4" w:rsidRPr="00647952" w:rsidRDefault="00AC37B4" w:rsidP="00AC37B4">
      <w:pPr>
        <w:pStyle w:val="ListParagraph"/>
        <w:numPr>
          <w:ilvl w:val="0"/>
          <w:numId w:val="7"/>
        </w:numPr>
        <w:spacing w:line="480" w:lineRule="auto"/>
        <w:ind w:left="1440"/>
      </w:pPr>
      <w:r w:rsidRPr="00647952">
        <w:t>List of Awardees</w:t>
      </w:r>
    </w:p>
    <w:p w14:paraId="633023EB" w14:textId="77777777" w:rsidR="00AC37B4" w:rsidRDefault="00AC37B4" w:rsidP="00413F4A">
      <w:pPr>
        <w:pStyle w:val="ListParagraph"/>
        <w:ind w:left="1080"/>
      </w:pPr>
    </w:p>
    <w:p w14:paraId="5731C4E1" w14:textId="77777777" w:rsidR="0061192B" w:rsidRDefault="0061192B" w:rsidP="00413F4A">
      <w:pPr>
        <w:rPr>
          <w:noProof/>
        </w:rPr>
      </w:pPr>
    </w:p>
    <w:p w14:paraId="55DD2F01" w14:textId="77777777" w:rsidR="0061192B" w:rsidRDefault="0061192B" w:rsidP="00413F4A">
      <w:pPr>
        <w:rPr>
          <w:noProof/>
        </w:rPr>
      </w:pPr>
    </w:p>
    <w:p w14:paraId="4C92828D" w14:textId="0E7F4A41" w:rsidR="0061192B" w:rsidRDefault="0061192B" w:rsidP="00413F4A">
      <w:r>
        <w:rPr>
          <w:noProof/>
        </w:rPr>
        <w:t xml:space="preserve">SUMMARY TABLE </w:t>
      </w:r>
    </w:p>
    <w:p w14:paraId="74F02143" w14:textId="2BA72C26" w:rsidR="00A71F4D" w:rsidRDefault="001C5E44" w:rsidP="00413F4A">
      <w:pPr>
        <w:pStyle w:val="ListParagraph"/>
        <w:ind w:left="1080"/>
      </w:pPr>
      <w:r>
        <w:rPr>
          <w:noProof/>
        </w:rPr>
        <mc:AlternateContent>
          <mc:Choice Requires="wps">
            <w:drawing>
              <wp:anchor distT="0" distB="0" distL="114300" distR="114300" simplePos="0" relativeHeight="251659264" behindDoc="0" locked="0" layoutInCell="1" allowOverlap="1" wp14:anchorId="62A7ECAC" wp14:editId="675D56F6">
                <wp:simplePos x="0" y="0"/>
                <wp:positionH relativeFrom="margin">
                  <wp:align>left</wp:align>
                </wp:positionH>
                <wp:positionV relativeFrom="paragraph">
                  <wp:posOffset>90805</wp:posOffset>
                </wp:positionV>
                <wp:extent cx="6162675" cy="3680460"/>
                <wp:effectExtent l="0" t="0" r="28575"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3680460"/>
                        </a:xfrm>
                        <a:prstGeom prst="rect">
                          <a:avLst/>
                        </a:prstGeom>
                        <a:solidFill>
                          <a:srgbClr val="FFFFFF"/>
                        </a:solidFill>
                        <a:ln w="9525">
                          <a:solidFill>
                            <a:srgbClr val="000000"/>
                          </a:solidFill>
                          <a:miter lim="800000"/>
                          <a:headEnd/>
                          <a:tailEnd/>
                        </a:ln>
                      </wps:spPr>
                      <wps:txbx>
                        <w:txbxContent>
                          <w:p w14:paraId="3E489785" w14:textId="7D804449" w:rsidR="00D465DB" w:rsidRDefault="00D465DB" w:rsidP="00413F4A">
                            <w:pPr>
                              <w:pStyle w:val="ListParagraph"/>
                              <w:numPr>
                                <w:ilvl w:val="0"/>
                                <w:numId w:val="6"/>
                              </w:numPr>
                              <w:spacing w:after="200" w:line="276" w:lineRule="auto"/>
                            </w:pPr>
                            <w:r w:rsidRPr="00413F4A">
                              <w:rPr>
                                <w:rFonts w:asciiTheme="majorHAnsi" w:hAnsiTheme="majorHAnsi"/>
                                <w:color w:val="000000" w:themeColor="text1"/>
                              </w:rPr>
                              <w:t>The</w:t>
                            </w:r>
                            <w:r w:rsidRPr="00365F86">
                              <w:rPr>
                                <w:color w:val="000000" w:themeColor="text1"/>
                              </w:rPr>
                              <w:t xml:space="preserve"> goal of this ICR is to collect</w:t>
                            </w:r>
                            <w:r>
                              <w:rPr>
                                <w:color w:val="000000" w:themeColor="text1"/>
                              </w:rPr>
                              <w:t xml:space="preserve">, </w:t>
                            </w:r>
                            <w:r w:rsidRPr="00365F86">
                              <w:rPr>
                                <w:color w:val="000000" w:themeColor="text1"/>
                              </w:rPr>
                              <w:t>from awardees</w:t>
                            </w:r>
                            <w:r>
                              <w:rPr>
                                <w:color w:val="000000" w:themeColor="text1"/>
                              </w:rPr>
                              <w:t>,</w:t>
                            </w:r>
                            <w:r w:rsidRPr="00365F86">
                              <w:rPr>
                                <w:color w:val="000000" w:themeColor="text1"/>
                              </w:rPr>
                              <w:t xml:space="preserve"> information </w:t>
                            </w:r>
                            <w:r w:rsidRPr="009C2FDE">
                              <w:t xml:space="preserve">needed to monitor cooperative agreement programs </w:t>
                            </w:r>
                            <w:r w:rsidRPr="00365F86">
                              <w:rPr>
                                <w:color w:val="000000" w:themeColor="text1"/>
                              </w:rPr>
                              <w:t>funded under Prescription Drug Overdose Prevention for States (CDC-RFA-CE15-1501)</w:t>
                            </w:r>
                            <w:r>
                              <w:rPr>
                                <w:color w:val="000000" w:themeColor="text1"/>
                              </w:rPr>
                              <w:t>.</w:t>
                            </w:r>
                            <w:r w:rsidRPr="00365F86">
                              <w:rPr>
                                <w:color w:val="000000" w:themeColor="text1"/>
                              </w:rPr>
                              <w:t xml:space="preserve"> </w:t>
                            </w:r>
                          </w:p>
                          <w:p w14:paraId="3C669E0C" w14:textId="77777777" w:rsidR="00D465DB" w:rsidRPr="005708A7" w:rsidRDefault="00D465DB" w:rsidP="00A030E6">
                            <w:pPr>
                              <w:pStyle w:val="ListParagraph"/>
                              <w:ind w:left="360"/>
                            </w:pPr>
                          </w:p>
                          <w:p w14:paraId="64248AF0" w14:textId="054F00A0" w:rsidR="00D465DB" w:rsidRDefault="00D465DB" w:rsidP="00413F4A">
                            <w:pPr>
                              <w:pStyle w:val="ListParagraph"/>
                              <w:numPr>
                                <w:ilvl w:val="0"/>
                                <w:numId w:val="6"/>
                              </w:numPr>
                              <w:spacing w:after="200" w:line="276" w:lineRule="auto"/>
                              <w:rPr>
                                <w:rFonts w:asciiTheme="majorHAnsi" w:hAnsiTheme="majorHAnsi"/>
                                <w:color w:val="000000" w:themeColor="text1"/>
                              </w:rPr>
                            </w:pPr>
                            <w:r w:rsidRPr="00711D6C">
                              <w:rPr>
                                <w:rFonts w:asciiTheme="majorHAnsi" w:hAnsiTheme="majorHAnsi"/>
                                <w:color w:val="000000" w:themeColor="text1"/>
                              </w:rPr>
                              <w:t>Information to be collected will provide crucial data for program performance monitoring and budget tracking, and provide CDC with the capacity to respond in a timely manner to requests for information about the program from the Department of Health and Human Services (HHS), the White House, Congress, and other sources.</w:t>
                            </w:r>
                          </w:p>
                          <w:p w14:paraId="2F4B1ACB" w14:textId="77777777" w:rsidR="00D465DB" w:rsidRPr="005708A7" w:rsidRDefault="00D465DB" w:rsidP="00E466A4">
                            <w:pPr>
                              <w:pStyle w:val="ListParagraph"/>
                              <w:spacing w:after="200" w:line="276" w:lineRule="auto"/>
                              <w:ind w:left="360"/>
                            </w:pPr>
                          </w:p>
                          <w:p w14:paraId="6F4FA620" w14:textId="694A6AE2" w:rsidR="00D465DB" w:rsidRPr="005708A7" w:rsidRDefault="00D465DB" w:rsidP="00A030E6">
                            <w:pPr>
                              <w:pStyle w:val="ListParagraph"/>
                              <w:numPr>
                                <w:ilvl w:val="0"/>
                                <w:numId w:val="6"/>
                              </w:numPr>
                              <w:spacing w:after="200" w:line="276" w:lineRule="auto"/>
                            </w:pPr>
                            <w:r w:rsidRPr="00711D6C">
                              <w:rPr>
                                <w:rFonts w:asciiTheme="majorHAnsi" w:hAnsiTheme="majorHAnsi"/>
                                <w:color w:val="000000" w:themeColor="text1"/>
                              </w:rPr>
                              <w:t>Awardees will report progress and activity information to CDC on an annual schedule using a</w:t>
                            </w:r>
                            <w:r>
                              <w:rPr>
                                <w:rFonts w:asciiTheme="majorHAnsi" w:hAnsiTheme="majorHAnsi"/>
                                <w:color w:val="000000" w:themeColor="text1"/>
                              </w:rPr>
                              <w:t>n Excel-based</w:t>
                            </w:r>
                            <w:r w:rsidRPr="00711D6C">
                              <w:rPr>
                                <w:rFonts w:asciiTheme="majorHAnsi" w:hAnsiTheme="majorHAnsi"/>
                                <w:color w:val="000000" w:themeColor="text1"/>
                              </w:rPr>
                              <w:t xml:space="preserve"> </w:t>
                            </w:r>
                            <w:r>
                              <w:t>fillable electronic templates, pre-populated to the extent possible by CDC staff, and submitted via Grant Solutions.  No research design or human subjects involved.</w:t>
                            </w:r>
                            <w:r>
                              <w:br/>
                            </w:r>
                          </w:p>
                          <w:p w14:paraId="5DA5054C" w14:textId="66F33FB5" w:rsidR="00D465DB" w:rsidRPr="005708A7" w:rsidRDefault="00D465DB" w:rsidP="00A030E6">
                            <w:pPr>
                              <w:pStyle w:val="ListParagraph"/>
                              <w:numPr>
                                <w:ilvl w:val="0"/>
                                <w:numId w:val="6"/>
                              </w:numPr>
                              <w:spacing w:after="200" w:line="276" w:lineRule="auto"/>
                            </w:pPr>
                            <w:r>
                              <w:t>100% of population, no sampling.</w:t>
                            </w:r>
                          </w:p>
                          <w:p w14:paraId="1EC90F33" w14:textId="77777777" w:rsidR="00D465DB" w:rsidRPr="005708A7" w:rsidRDefault="00D465DB" w:rsidP="00A030E6">
                            <w:pPr>
                              <w:pStyle w:val="ListParagraph"/>
                              <w:ind w:left="360"/>
                            </w:pPr>
                          </w:p>
                          <w:p w14:paraId="46E8EF13" w14:textId="69C8C4EB" w:rsidR="00D465DB" w:rsidRDefault="00D465DB" w:rsidP="00413F4A">
                            <w:pPr>
                              <w:pStyle w:val="ListParagraph"/>
                              <w:spacing w:after="200" w:line="276" w:lineRule="auto"/>
                              <w:ind w:left="360"/>
                            </w:pPr>
                            <w:r>
                              <w:t xml:space="preserve">The data will be analyzed using descriptive and summary statistics, qualitative summary.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A7ECAC" id="_x0000_t202" coordsize="21600,21600" o:spt="202" path="m,l,21600r21600,l21600,xe">
                <v:stroke joinstyle="miter"/>
                <v:path gradientshapeok="t" o:connecttype="rect"/>
              </v:shapetype>
              <v:shape id="Text Box 2" o:spid="_x0000_s1026" type="#_x0000_t202" style="position:absolute;left:0;text-align:left;margin-left:0;margin-top:7.15pt;width:485.25pt;height:289.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">
                <v:textbox>
                  <w:txbxContent>
                    <w:p w14:paraId="3E489785" w14:textId="7D804449" w:rsidR="00D465DB" w:rsidRDefault="00D465DB" w:rsidP="00413F4A">
                      <w:pPr>
                        <w:pStyle w:val="ListParagraph"/>
                        <w:numPr>
                          <w:ilvl w:val="0"/>
                          <w:numId w:val="6"/>
                        </w:numPr>
                        <w:spacing w:after="200" w:line="276" w:lineRule="auto"/>
                      </w:pPr>
                      <w:r w:rsidRPr="00413F4A">
                        <w:rPr>
                          <w:rFonts w:asciiTheme="majorHAnsi" w:hAnsiTheme="majorHAnsi"/>
                          <w:color w:val="000000" w:themeColor="text1"/>
                        </w:rPr>
                        <w:t>The</w:t>
                      </w:r>
                      <w:r w:rsidRPr="00365F86">
                        <w:rPr>
                          <w:color w:val="000000" w:themeColor="text1"/>
                        </w:rPr>
                        <w:t xml:space="preserve"> goal of this ICR is to collect</w:t>
                      </w:r>
                      <w:r>
                        <w:rPr>
                          <w:color w:val="000000" w:themeColor="text1"/>
                        </w:rPr>
                        <w:t xml:space="preserve">, </w:t>
                      </w:r>
                      <w:r w:rsidRPr="00365F86">
                        <w:rPr>
                          <w:color w:val="000000" w:themeColor="text1"/>
                        </w:rPr>
                        <w:t>from awardees</w:t>
                      </w:r>
                      <w:r>
                        <w:rPr>
                          <w:color w:val="000000" w:themeColor="text1"/>
                        </w:rPr>
                        <w:t>,</w:t>
                      </w:r>
                      <w:r w:rsidRPr="00365F86">
                        <w:rPr>
                          <w:color w:val="000000" w:themeColor="text1"/>
                        </w:rPr>
                        <w:t xml:space="preserve"> information </w:t>
                      </w:r>
                      <w:r w:rsidRPr="009C2FDE">
                        <w:t xml:space="preserve">needed to monitor cooperative agreement programs </w:t>
                      </w:r>
                      <w:r w:rsidRPr="00365F86">
                        <w:rPr>
                          <w:color w:val="000000" w:themeColor="text1"/>
                        </w:rPr>
                        <w:t>funded under Prescription Drug Overdose Prevention for States (CDC-RFA-CE15-1501)</w:t>
                      </w:r>
                      <w:r>
                        <w:rPr>
                          <w:color w:val="000000" w:themeColor="text1"/>
                        </w:rPr>
                        <w:t>.</w:t>
                      </w:r>
                      <w:r w:rsidRPr="00365F86">
                        <w:rPr>
                          <w:color w:val="000000" w:themeColor="text1"/>
                        </w:rPr>
                        <w:t xml:space="preserve"> </w:t>
                      </w:r>
                    </w:p>
                    <w:p w14:paraId="3C669E0C" w14:textId="77777777" w:rsidR="00D465DB" w:rsidRPr="005708A7" w:rsidRDefault="00D465DB" w:rsidP="00A030E6">
                      <w:pPr>
                        <w:pStyle w:val="ListParagraph"/>
                        <w:ind w:left="360"/>
                      </w:pPr>
                    </w:p>
                    <w:p w14:paraId="64248AF0" w14:textId="054F00A0" w:rsidR="00D465DB" w:rsidRDefault="00D465DB" w:rsidP="00413F4A">
                      <w:pPr>
                        <w:pStyle w:val="ListParagraph"/>
                        <w:numPr>
                          <w:ilvl w:val="0"/>
                          <w:numId w:val="6"/>
                        </w:numPr>
                        <w:spacing w:after="200" w:line="276" w:lineRule="auto"/>
                        <w:rPr>
                          <w:rFonts w:asciiTheme="majorHAnsi" w:hAnsiTheme="majorHAnsi"/>
                          <w:color w:val="000000" w:themeColor="text1"/>
                        </w:rPr>
                      </w:pPr>
                      <w:r w:rsidRPr="00711D6C">
                        <w:rPr>
                          <w:rFonts w:asciiTheme="majorHAnsi" w:hAnsiTheme="majorHAnsi"/>
                          <w:color w:val="000000" w:themeColor="text1"/>
                        </w:rPr>
                        <w:t>Information to be collected will provide crucial data for program performance monitoring and budget tracking, and provide CDC with the capacity to respond in a timely manner to requests for information about the program from the Department of Health and Human Services (HHS), the White House, Congress, and other sources.</w:t>
                      </w:r>
                    </w:p>
                    <w:p w14:paraId="2F4B1ACB" w14:textId="77777777" w:rsidR="00D465DB" w:rsidRPr="005708A7" w:rsidRDefault="00D465DB" w:rsidP="00E466A4">
                      <w:pPr>
                        <w:pStyle w:val="ListParagraph"/>
                        <w:spacing w:after="200" w:line="276" w:lineRule="auto"/>
                        <w:ind w:left="360"/>
                      </w:pPr>
                    </w:p>
                    <w:p w14:paraId="6F4FA620" w14:textId="694A6AE2" w:rsidR="00D465DB" w:rsidRPr="005708A7" w:rsidRDefault="00D465DB" w:rsidP="00A030E6">
                      <w:pPr>
                        <w:pStyle w:val="ListParagraph"/>
                        <w:numPr>
                          <w:ilvl w:val="0"/>
                          <w:numId w:val="6"/>
                        </w:numPr>
                        <w:spacing w:after="200" w:line="276" w:lineRule="auto"/>
                      </w:pPr>
                      <w:r w:rsidRPr="00711D6C">
                        <w:rPr>
                          <w:rFonts w:asciiTheme="majorHAnsi" w:hAnsiTheme="majorHAnsi"/>
                          <w:color w:val="000000" w:themeColor="text1"/>
                        </w:rPr>
                        <w:t>Awardees will report progress and activity information to CDC on an annual schedule using a</w:t>
                      </w:r>
                      <w:r>
                        <w:rPr>
                          <w:rFonts w:asciiTheme="majorHAnsi" w:hAnsiTheme="majorHAnsi"/>
                          <w:color w:val="000000" w:themeColor="text1"/>
                        </w:rPr>
                        <w:t>n Excel-based</w:t>
                      </w:r>
                      <w:r w:rsidRPr="00711D6C">
                        <w:rPr>
                          <w:rFonts w:asciiTheme="majorHAnsi" w:hAnsiTheme="majorHAnsi"/>
                          <w:color w:val="000000" w:themeColor="text1"/>
                        </w:rPr>
                        <w:t xml:space="preserve"> </w:t>
                      </w:r>
                      <w:r>
                        <w:t>fillable electronic templates, pre-populated to the extent possible by CDC staff, and submitted via Grant Solutions.  No research design or human subjects involved.</w:t>
                      </w:r>
                      <w:r>
                        <w:br/>
                      </w:r>
                    </w:p>
                    <w:p w14:paraId="5DA5054C" w14:textId="66F33FB5" w:rsidR="00D465DB" w:rsidRPr="005708A7" w:rsidRDefault="00D465DB" w:rsidP="00A030E6">
                      <w:pPr>
                        <w:pStyle w:val="ListParagraph"/>
                        <w:numPr>
                          <w:ilvl w:val="0"/>
                          <w:numId w:val="6"/>
                        </w:numPr>
                        <w:spacing w:after="200" w:line="276" w:lineRule="auto"/>
                      </w:pPr>
                      <w:r>
                        <w:t>100% of population, no sampling.</w:t>
                      </w:r>
                    </w:p>
                    <w:p w14:paraId="1EC90F33" w14:textId="77777777" w:rsidR="00D465DB" w:rsidRPr="005708A7" w:rsidRDefault="00D465DB" w:rsidP="00A030E6">
                      <w:pPr>
                        <w:pStyle w:val="ListParagraph"/>
                        <w:ind w:left="360"/>
                      </w:pPr>
                    </w:p>
                    <w:p w14:paraId="46E8EF13" w14:textId="69C8C4EB" w:rsidR="00D465DB" w:rsidRDefault="00D465DB" w:rsidP="00413F4A">
                      <w:pPr>
                        <w:pStyle w:val="ListParagraph"/>
                        <w:spacing w:after="200" w:line="276" w:lineRule="auto"/>
                        <w:ind w:left="360"/>
                      </w:pPr>
                      <w:r>
                        <w:t xml:space="preserve">The data will be analyzed using descriptive and summary statistics, qualitative summary. </w:t>
                      </w:r>
                    </w:p>
                  </w:txbxContent>
                </v:textbox>
                <w10:wrap anchorx="margin"/>
              </v:shape>
            </w:pict>
          </mc:Fallback>
        </mc:AlternateContent>
      </w:r>
    </w:p>
    <w:p w14:paraId="2B58BF33" w14:textId="77777777" w:rsidR="0007680B" w:rsidRDefault="0007680B" w:rsidP="00413F4A">
      <w:pPr>
        <w:pStyle w:val="ListParagraph"/>
        <w:ind w:left="1080"/>
      </w:pPr>
    </w:p>
    <w:p w14:paraId="06ABCCB1" w14:textId="77777777" w:rsidR="0007680B" w:rsidRDefault="0007680B" w:rsidP="00413F4A">
      <w:pPr>
        <w:pStyle w:val="ListParagraph"/>
        <w:ind w:left="1080"/>
      </w:pPr>
    </w:p>
    <w:p w14:paraId="07D84885" w14:textId="77777777" w:rsidR="0007680B" w:rsidRDefault="0007680B" w:rsidP="00413F4A">
      <w:pPr>
        <w:pStyle w:val="ListParagraph"/>
        <w:ind w:left="1080"/>
      </w:pPr>
    </w:p>
    <w:p w14:paraId="4655794D" w14:textId="716D8333" w:rsidR="0007680B" w:rsidRPr="00CC0112" w:rsidRDefault="0007680B" w:rsidP="00413F4A">
      <w:pPr>
        <w:pStyle w:val="ListParagraph"/>
        <w:ind w:left="1080"/>
      </w:pPr>
    </w:p>
    <w:p w14:paraId="083AD4C7" w14:textId="5F64F5F0" w:rsidR="00A030E6" w:rsidRDefault="00A030E6" w:rsidP="00A030E6"/>
    <w:p w14:paraId="452BF048" w14:textId="77777777" w:rsidR="00365F86" w:rsidRDefault="00365F86" w:rsidP="00A030E6">
      <w:pPr>
        <w:rPr>
          <w:b/>
          <w:bCs/>
        </w:rPr>
      </w:pPr>
    </w:p>
    <w:p w14:paraId="41ADDC50" w14:textId="77777777" w:rsidR="00365F86" w:rsidRDefault="00365F86" w:rsidP="00A030E6">
      <w:pPr>
        <w:rPr>
          <w:b/>
          <w:bCs/>
        </w:rPr>
      </w:pPr>
    </w:p>
    <w:p w14:paraId="2923AD97" w14:textId="77777777" w:rsidR="00365F86" w:rsidRDefault="00365F86" w:rsidP="00A030E6">
      <w:pPr>
        <w:rPr>
          <w:b/>
          <w:bCs/>
        </w:rPr>
      </w:pPr>
    </w:p>
    <w:p w14:paraId="507F298D" w14:textId="77777777" w:rsidR="0061192B" w:rsidRDefault="0061192B" w:rsidP="00A030E6">
      <w:pPr>
        <w:rPr>
          <w:b/>
          <w:bCs/>
        </w:rPr>
      </w:pPr>
    </w:p>
    <w:p w14:paraId="3969E190" w14:textId="77777777" w:rsidR="0061192B" w:rsidRDefault="0061192B" w:rsidP="00A030E6">
      <w:pPr>
        <w:rPr>
          <w:b/>
          <w:bCs/>
        </w:rPr>
      </w:pPr>
    </w:p>
    <w:p w14:paraId="2DFF14E6" w14:textId="77777777" w:rsidR="0061192B" w:rsidRDefault="0061192B" w:rsidP="00A030E6">
      <w:pPr>
        <w:rPr>
          <w:b/>
          <w:bCs/>
        </w:rPr>
      </w:pPr>
    </w:p>
    <w:p w14:paraId="2DD18F40" w14:textId="77777777" w:rsidR="0061192B" w:rsidRDefault="0061192B" w:rsidP="00A030E6">
      <w:pPr>
        <w:rPr>
          <w:b/>
          <w:bCs/>
        </w:rPr>
      </w:pPr>
    </w:p>
    <w:p w14:paraId="5B715FF7" w14:textId="77777777" w:rsidR="0061192B" w:rsidRDefault="0061192B" w:rsidP="00A030E6">
      <w:pPr>
        <w:rPr>
          <w:b/>
          <w:bCs/>
        </w:rPr>
      </w:pPr>
    </w:p>
    <w:p w14:paraId="277B7F24" w14:textId="77777777" w:rsidR="0061192B" w:rsidRDefault="0061192B" w:rsidP="00A030E6">
      <w:pPr>
        <w:rPr>
          <w:b/>
          <w:bCs/>
        </w:rPr>
      </w:pPr>
    </w:p>
    <w:p w14:paraId="47C95DF2" w14:textId="77777777" w:rsidR="0061192B" w:rsidRDefault="0061192B" w:rsidP="00A030E6">
      <w:pPr>
        <w:rPr>
          <w:b/>
          <w:bCs/>
        </w:rPr>
      </w:pPr>
    </w:p>
    <w:p w14:paraId="1325ECE6" w14:textId="77777777" w:rsidR="0061192B" w:rsidRDefault="0061192B" w:rsidP="00A030E6">
      <w:pPr>
        <w:rPr>
          <w:b/>
          <w:bCs/>
        </w:rPr>
      </w:pPr>
    </w:p>
    <w:p w14:paraId="30FE012F" w14:textId="77777777" w:rsidR="0061192B" w:rsidRDefault="0061192B" w:rsidP="00A030E6">
      <w:pPr>
        <w:rPr>
          <w:b/>
          <w:bCs/>
        </w:rPr>
      </w:pPr>
    </w:p>
    <w:p w14:paraId="1B802272" w14:textId="77777777" w:rsidR="0061192B" w:rsidRDefault="0061192B" w:rsidP="00A030E6">
      <w:pPr>
        <w:rPr>
          <w:b/>
          <w:bCs/>
        </w:rPr>
      </w:pPr>
    </w:p>
    <w:p w14:paraId="1DB63600" w14:textId="77777777" w:rsidR="0061192B" w:rsidRDefault="0061192B" w:rsidP="00A030E6">
      <w:pPr>
        <w:rPr>
          <w:b/>
          <w:bCs/>
        </w:rPr>
      </w:pPr>
    </w:p>
    <w:p w14:paraId="72425585" w14:textId="77777777" w:rsidR="0061192B" w:rsidRDefault="0061192B" w:rsidP="00A030E6">
      <w:pPr>
        <w:rPr>
          <w:b/>
          <w:bCs/>
        </w:rPr>
      </w:pPr>
    </w:p>
    <w:p w14:paraId="75D7C001" w14:textId="77777777" w:rsidR="0061192B" w:rsidRDefault="0061192B" w:rsidP="00A030E6">
      <w:pPr>
        <w:rPr>
          <w:b/>
          <w:bCs/>
        </w:rPr>
      </w:pPr>
    </w:p>
    <w:p w14:paraId="70EDEDC2" w14:textId="77777777" w:rsidR="0061192B" w:rsidRDefault="0061192B" w:rsidP="00A030E6">
      <w:pPr>
        <w:rPr>
          <w:b/>
          <w:bCs/>
        </w:rPr>
      </w:pPr>
    </w:p>
    <w:p w14:paraId="6D3E5590" w14:textId="77777777" w:rsidR="00A030E6" w:rsidRPr="00691454" w:rsidRDefault="00A030E6" w:rsidP="00A030E6">
      <w:pPr>
        <w:rPr>
          <w:b/>
          <w:bCs/>
        </w:rPr>
      </w:pPr>
      <w:r w:rsidRPr="00691454">
        <w:rPr>
          <w:b/>
          <w:bCs/>
        </w:rPr>
        <w:t xml:space="preserve">A.  JUSTIFICATION </w:t>
      </w:r>
    </w:p>
    <w:p w14:paraId="0B6557EC" w14:textId="77777777" w:rsidR="00A030E6" w:rsidRPr="00691454" w:rsidRDefault="00A030E6" w:rsidP="00A030E6">
      <w:pPr>
        <w:autoSpaceDE w:val="0"/>
        <w:autoSpaceDN w:val="0"/>
        <w:adjustRightInd w:val="0"/>
        <w:rPr>
          <w:b/>
          <w:bCs/>
        </w:rPr>
      </w:pPr>
    </w:p>
    <w:p w14:paraId="49EAADB5" w14:textId="77777777" w:rsidR="00A030E6" w:rsidRPr="00691454" w:rsidRDefault="00A030E6" w:rsidP="00A030E6">
      <w:pPr>
        <w:tabs>
          <w:tab w:val="left" w:pos="360"/>
        </w:tabs>
        <w:autoSpaceDE w:val="0"/>
        <w:autoSpaceDN w:val="0"/>
        <w:adjustRightInd w:val="0"/>
        <w:rPr>
          <w:b/>
          <w:bCs/>
        </w:rPr>
      </w:pPr>
      <w:r w:rsidRPr="00691454">
        <w:rPr>
          <w:b/>
          <w:bCs/>
        </w:rPr>
        <w:t xml:space="preserve">A.1. </w:t>
      </w:r>
      <w:r w:rsidRPr="00691454">
        <w:rPr>
          <w:b/>
          <w:bCs/>
        </w:rPr>
        <w:tab/>
        <w:t>Circumstances Making the Collection of Information Necessary</w:t>
      </w:r>
    </w:p>
    <w:p w14:paraId="4B16E2B4" w14:textId="77777777" w:rsidR="00A030E6" w:rsidRPr="00691454" w:rsidRDefault="00A030E6" w:rsidP="00A030E6"/>
    <w:p w14:paraId="4803E716" w14:textId="4AEFE980" w:rsidR="00A030E6" w:rsidRDefault="00A030E6" w:rsidP="00A030E6">
      <w:pPr>
        <w:rPr>
          <w:color w:val="000000" w:themeColor="text1"/>
        </w:rPr>
      </w:pPr>
      <w:r w:rsidRPr="00A93EB5">
        <w:t>The Centers for Disease Control and Prevention (CDC)</w:t>
      </w:r>
      <w:r w:rsidRPr="00A93EB5">
        <w:rPr>
          <w:color w:val="000000" w:themeColor="text1"/>
        </w:rPr>
        <w:t xml:space="preserve"> seeks OMB approval to collect information from awardees funded under </w:t>
      </w:r>
      <w:r>
        <w:rPr>
          <w:color w:val="000000" w:themeColor="text1"/>
        </w:rPr>
        <w:t xml:space="preserve">Prescription Drug Overdose </w:t>
      </w:r>
      <w:r w:rsidR="00FB1DE0">
        <w:rPr>
          <w:color w:val="000000" w:themeColor="text1"/>
        </w:rPr>
        <w:t xml:space="preserve">(PDO) </w:t>
      </w:r>
      <w:r>
        <w:rPr>
          <w:color w:val="000000" w:themeColor="text1"/>
        </w:rPr>
        <w:t>Prevention for States (CDC-RFA-CE15-1501)</w:t>
      </w:r>
      <w:r w:rsidRPr="00A93EB5">
        <w:rPr>
          <w:color w:val="000000" w:themeColor="text1"/>
        </w:rPr>
        <w:t xml:space="preserve">.  This program is a new initiative.  OMB approval is requested for the </w:t>
      </w:r>
      <w:r>
        <w:rPr>
          <w:color w:val="000000" w:themeColor="text1"/>
        </w:rPr>
        <w:t xml:space="preserve">first three years of the four year funding period.  An extension will be sought to cover the fourth year. </w:t>
      </w:r>
      <w:r w:rsidRPr="00A93EB5">
        <w:rPr>
          <w:color w:val="000000" w:themeColor="text1"/>
        </w:rPr>
        <w:t xml:space="preserve">Awardees will report progress and activity information to CDC on an annual schedule using an Excel-based </w:t>
      </w:r>
      <w:r>
        <w:rPr>
          <w:b/>
          <w:i/>
          <w:color w:val="000000" w:themeColor="text1"/>
        </w:rPr>
        <w:t>Annual Progress Report</w:t>
      </w:r>
      <w:r w:rsidRPr="00A93EB5">
        <w:rPr>
          <w:b/>
          <w:i/>
          <w:color w:val="000000" w:themeColor="text1"/>
        </w:rPr>
        <w:t xml:space="preserve"> </w:t>
      </w:r>
      <w:r>
        <w:rPr>
          <w:b/>
          <w:i/>
          <w:color w:val="000000" w:themeColor="text1"/>
        </w:rPr>
        <w:t xml:space="preserve">Tool </w:t>
      </w:r>
      <w:r>
        <w:rPr>
          <w:color w:val="000000" w:themeColor="text1"/>
        </w:rPr>
        <w:t>compo</w:t>
      </w:r>
      <w:r w:rsidRPr="00A93EB5">
        <w:rPr>
          <w:color w:val="000000" w:themeColor="text1"/>
        </w:rPr>
        <w:t xml:space="preserve">sed of </w:t>
      </w:r>
      <w:r>
        <w:rPr>
          <w:color w:val="000000" w:themeColor="text1"/>
        </w:rPr>
        <w:t xml:space="preserve">performance measures for monitoring program implementation and impact, as well as </w:t>
      </w:r>
      <w:r w:rsidRPr="00A93EB5">
        <w:rPr>
          <w:color w:val="000000" w:themeColor="text1"/>
        </w:rPr>
        <w:t xml:space="preserve">a </w:t>
      </w:r>
      <w:r w:rsidRPr="008066BE">
        <w:rPr>
          <w:color w:val="000000" w:themeColor="text1"/>
        </w:rPr>
        <w:t>work plan tool that links activities and tasks to outcomes</w:t>
      </w:r>
      <w:r>
        <w:rPr>
          <w:color w:val="000000" w:themeColor="text1"/>
        </w:rPr>
        <w:t xml:space="preserve">. </w:t>
      </w:r>
      <w:r w:rsidRPr="00A93EB5">
        <w:rPr>
          <w:color w:val="000000" w:themeColor="text1"/>
        </w:rPr>
        <w:t xml:space="preserve">In addition, awardees will develop and report </w:t>
      </w:r>
      <w:r w:rsidR="006D7FB7" w:rsidRPr="00A93EB5">
        <w:rPr>
          <w:color w:val="000000" w:themeColor="text1"/>
        </w:rPr>
        <w:t>assessment</w:t>
      </w:r>
      <w:r w:rsidRPr="00A93EB5">
        <w:rPr>
          <w:color w:val="000000" w:themeColor="text1"/>
        </w:rPr>
        <w:t xml:space="preserve"> progress using a writable MS Word </w:t>
      </w:r>
      <w:r w:rsidRPr="00A93EB5">
        <w:rPr>
          <w:b/>
          <w:i/>
          <w:color w:val="000000" w:themeColor="text1"/>
        </w:rPr>
        <w:t>Plan Tool.</w:t>
      </w:r>
      <w:r w:rsidRPr="00A93EB5">
        <w:rPr>
          <w:color w:val="000000" w:themeColor="text1"/>
        </w:rPr>
        <w:t xml:space="preserve">  Information to be collected will provide crucial data for program performance monitoring</w:t>
      </w:r>
      <w:r w:rsidR="006D7FB7">
        <w:rPr>
          <w:color w:val="000000" w:themeColor="text1"/>
        </w:rPr>
        <w:t>.</w:t>
      </w:r>
      <w:r w:rsidRPr="00A93EB5">
        <w:rPr>
          <w:color w:val="000000" w:themeColor="text1"/>
        </w:rPr>
        <w:t xml:space="preserve"> Information to be collected will improve real-</w:t>
      </w:r>
      <w:r>
        <w:rPr>
          <w:color w:val="000000" w:themeColor="text1"/>
        </w:rPr>
        <w:t>time CDC-awardee communications,</w:t>
      </w:r>
      <w:r w:rsidRPr="00A93EB5">
        <w:rPr>
          <w:color w:val="000000" w:themeColor="text1"/>
        </w:rPr>
        <w:t xml:space="preserve"> and strengthen CDC’s abili</w:t>
      </w:r>
      <w:r>
        <w:rPr>
          <w:color w:val="000000" w:themeColor="text1"/>
        </w:rPr>
        <w:t>ty to monitor awardee progress</w:t>
      </w:r>
      <w:r w:rsidRPr="00A93EB5">
        <w:rPr>
          <w:color w:val="000000" w:themeColor="text1"/>
        </w:rPr>
        <w:t xml:space="preserve">.  </w:t>
      </w:r>
    </w:p>
    <w:p w14:paraId="2970B575" w14:textId="77777777" w:rsidR="00DA6B78" w:rsidRDefault="00DA6B78" w:rsidP="00A030E6">
      <w:pPr>
        <w:rPr>
          <w:color w:val="000000" w:themeColor="text1"/>
        </w:rPr>
      </w:pPr>
    </w:p>
    <w:p w14:paraId="1A85742B" w14:textId="77777777" w:rsidR="00A030E6" w:rsidRPr="00691454" w:rsidRDefault="00A030E6" w:rsidP="00A030E6">
      <w:pPr>
        <w:spacing w:after="120"/>
        <w:rPr>
          <w:rFonts w:eastAsia="SimSun"/>
        </w:rPr>
      </w:pPr>
      <w:r w:rsidRPr="00691454">
        <w:rPr>
          <w:rFonts w:eastAsia="SimSun"/>
          <w:u w:val="single"/>
        </w:rPr>
        <w:t xml:space="preserve">Background </w:t>
      </w:r>
    </w:p>
    <w:p w14:paraId="0CC64521" w14:textId="77777777" w:rsidR="00A030E6" w:rsidRDefault="00A030E6" w:rsidP="00A030E6">
      <w:pPr>
        <w:pStyle w:val="CommentText"/>
      </w:pPr>
      <w:r>
        <w:rPr>
          <w:bCs/>
        </w:rPr>
        <w:t>Drug overdose is the leading cause of injury death in the United States.</w:t>
      </w:r>
      <w:r w:rsidRPr="00F21134">
        <w:rPr>
          <w:bCs/>
          <w:sz w:val="20"/>
          <w:vertAlign w:val="superscript"/>
        </w:rPr>
        <w:t>1</w:t>
      </w:r>
      <w:r>
        <w:rPr>
          <w:bCs/>
          <w:sz w:val="20"/>
          <w:vertAlign w:val="superscript"/>
        </w:rPr>
        <w:t>, 2</w:t>
      </w:r>
      <w:r>
        <w:rPr>
          <w:bCs/>
        </w:rPr>
        <w:t xml:space="preserve"> </w:t>
      </w:r>
      <w:r w:rsidRPr="00BF196A">
        <w:rPr>
          <w:rFonts w:eastAsia="Calibri"/>
        </w:rPr>
        <w:t>Opioid</w:t>
      </w:r>
      <w:r>
        <w:rPr>
          <w:rFonts w:eastAsia="Calibri"/>
        </w:rPr>
        <w:t>-prescribing behavior</w:t>
      </w:r>
      <w:r w:rsidRPr="00B61142">
        <w:rPr>
          <w:rFonts w:eastAsia="Calibri"/>
        </w:rPr>
        <w:t xml:space="preserve">s </w:t>
      </w:r>
      <w:r>
        <w:rPr>
          <w:rFonts w:eastAsia="Calibri"/>
        </w:rPr>
        <w:t xml:space="preserve">are </w:t>
      </w:r>
      <w:r w:rsidRPr="00B61142">
        <w:rPr>
          <w:rFonts w:eastAsia="Calibri"/>
        </w:rPr>
        <w:t xml:space="preserve">associated with an increased risk for morbidity and mortality. </w:t>
      </w:r>
      <w:r w:rsidRPr="00B61142">
        <w:t xml:space="preserve">While opioid pain relievers can play an important role in the management of some types of pain, the </w:t>
      </w:r>
      <w:r w:rsidRPr="00B61142">
        <w:lastRenderedPageBreak/>
        <w:t xml:space="preserve">overprescribing of these powerful drugs has </w:t>
      </w:r>
      <w:r>
        <w:t xml:space="preserve">fueled </w:t>
      </w:r>
      <w:r w:rsidRPr="00B61142">
        <w:t xml:space="preserve">a national epidemic of prescription drug abuse and overdose. To reverse this complex epidemic and prevent future overdose, abuse, and misuse, CDC emphasizes </w:t>
      </w:r>
      <w:r>
        <w:t xml:space="preserve">improving surveillance, providing support to states, and changing health system practices. </w:t>
      </w:r>
      <w:r w:rsidRPr="00B61142">
        <w:t>Improving the way opioids are prescribed can promote safer, more effective treatment while reducing opioid-related abuse</w:t>
      </w:r>
      <w:r>
        <w:t>, misuse,</w:t>
      </w:r>
      <w:r w:rsidRPr="00B61142">
        <w:t xml:space="preserve"> and overdose.</w:t>
      </w:r>
    </w:p>
    <w:p w14:paraId="2D56BC9C" w14:textId="77777777" w:rsidR="00A030E6" w:rsidRDefault="00A030E6" w:rsidP="00A030E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738E7A4B" w14:textId="714B1FE0" w:rsidR="00A030E6" w:rsidRDefault="00A030E6" w:rsidP="00A030E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Cs/>
        </w:rPr>
        <w:t>T</w:t>
      </w:r>
      <w:r w:rsidRPr="00A93EB5">
        <w:t xml:space="preserve">he Public Health Service Act (PHS Act) provides </w:t>
      </w:r>
      <w:r>
        <w:t>the legislative means</w:t>
      </w:r>
      <w:r w:rsidRPr="00A93EB5">
        <w:t xml:space="preserve"> for states to advance public health across the lifespan and to reduce health disparities. Section 301(a) of the PHS Act 42 U.S.C. 241(a), authorizes grants to aid other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w:t>
      </w:r>
      <w:r w:rsidRPr="00A93EB5">
        <w:rPr>
          <w:b/>
        </w:rPr>
        <w:t>Attachment 1</w:t>
      </w:r>
      <w:r w:rsidRPr="00A93EB5">
        <w:t>)</w:t>
      </w:r>
      <w:r>
        <w:t>.</w:t>
      </w:r>
    </w:p>
    <w:p w14:paraId="3BF69658" w14:textId="77777777" w:rsidR="00A030E6" w:rsidRDefault="00A030E6" w:rsidP="00A030E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7DF2749F" w14:textId="2101E7B3" w:rsidR="00A030E6" w:rsidRPr="00A93EB5" w:rsidRDefault="00A030E6" w:rsidP="00A030E6">
      <w:pPr>
        <w:spacing w:after="120"/>
      </w:pPr>
      <w:r w:rsidRPr="00A93EB5">
        <w:t xml:space="preserve">The new </w:t>
      </w:r>
      <w:r>
        <w:t>PDO Prevention for States</w:t>
      </w:r>
      <w:r w:rsidRPr="00A93EB5">
        <w:t xml:space="preserve"> program is a collaborative effort involving </w:t>
      </w:r>
      <w:r w:rsidR="00FB1DE0" w:rsidRPr="00FB1DE0">
        <w:t>National Center for Injury Prevention and Control</w:t>
      </w:r>
      <w:r w:rsidR="00FB1DE0">
        <w:t>’s (</w:t>
      </w:r>
      <w:r w:rsidRPr="00A93EB5">
        <w:t>NCIPC</w:t>
      </w:r>
      <w:r w:rsidR="00FB1DE0">
        <w:t>)</w:t>
      </w:r>
      <w:r w:rsidRPr="00A93EB5">
        <w:t xml:space="preserve"> Division of Unintent</w:t>
      </w:r>
      <w:r>
        <w:t xml:space="preserve">ional Injury Prevention (DUIP) and the </w:t>
      </w:r>
      <w:r w:rsidRPr="00A93EB5">
        <w:t>Division of Analysis, Research, a</w:t>
      </w:r>
      <w:r>
        <w:t xml:space="preserve">nd Practice Integration (DARPI). </w:t>
      </w:r>
      <w:r w:rsidRPr="00A93EB5">
        <w:t xml:space="preserve">Collectively, these units have a rich history of working with </w:t>
      </w:r>
      <w:r w:rsidR="006D7FB7">
        <w:t>State He</w:t>
      </w:r>
      <w:r w:rsidR="00EF3B85">
        <w:t xml:space="preserve">alth </w:t>
      </w:r>
      <w:r w:rsidR="006D7FB7">
        <w:t>Departments (</w:t>
      </w:r>
      <w:r w:rsidRPr="00A93EB5">
        <w:t>SHDs</w:t>
      </w:r>
      <w:r w:rsidR="006D7FB7">
        <w:t>)</w:t>
      </w:r>
      <w:r w:rsidRPr="00A93EB5">
        <w:t xml:space="preserve"> to (i) increase thei</w:t>
      </w:r>
      <w:r>
        <w:t>r ability to implement evidence-</w:t>
      </w:r>
      <w:r w:rsidRPr="00A93EB5">
        <w:t xml:space="preserve">based strategies and activities aimed at reducing risk factors associated with </w:t>
      </w:r>
      <w:r>
        <w:t>preventing or reducing prescription drug misuse, abuse, or overdose</w:t>
      </w:r>
      <w:r w:rsidRPr="00A93EB5">
        <w:t xml:space="preserve">, and (ii) assist SHDs in building capacity for implementing and evaluating </w:t>
      </w:r>
      <w:r>
        <w:t>PDO strategies.</w:t>
      </w:r>
    </w:p>
    <w:p w14:paraId="6CAE74AE" w14:textId="50822CCF" w:rsidR="00A030E6" w:rsidRPr="00A93EB5" w:rsidRDefault="00A030E6" w:rsidP="00A030E6">
      <w:pPr>
        <w:rPr>
          <w:bCs/>
        </w:rPr>
      </w:pPr>
      <w:r w:rsidRPr="00A93EB5">
        <w:rPr>
          <w:bCs/>
        </w:rPr>
        <w:t xml:space="preserve">Funded </w:t>
      </w:r>
      <w:r>
        <w:rPr>
          <w:bCs/>
        </w:rPr>
        <w:t>awardees</w:t>
      </w:r>
      <w:r w:rsidRPr="00A93EB5">
        <w:rPr>
          <w:bCs/>
        </w:rPr>
        <w:t xml:space="preserve"> will monitor and report progress on their work plan objectives, activities, and performance measures. </w:t>
      </w:r>
      <w:r>
        <w:rPr>
          <w:bCs/>
        </w:rPr>
        <w:t>The Annual Progress Report Tool will capture this information through the use of performance measures (indicators that signify progress</w:t>
      </w:r>
      <w:r w:rsidR="00866BE9">
        <w:rPr>
          <w:bCs/>
        </w:rPr>
        <w:t xml:space="preserve"> towards an objective</w:t>
      </w:r>
      <w:r>
        <w:rPr>
          <w:bCs/>
        </w:rPr>
        <w:t xml:space="preserve">) and development of a work plan that links activities and tasks to desired outcomes </w:t>
      </w:r>
      <w:r w:rsidRPr="00A93EB5">
        <w:rPr>
          <w:bCs/>
        </w:rPr>
        <w:t>(</w:t>
      </w:r>
      <w:r>
        <w:rPr>
          <w:b/>
          <w:bCs/>
        </w:rPr>
        <w:t>Attachment 3</w:t>
      </w:r>
      <w:r w:rsidRPr="00332273">
        <w:rPr>
          <w:b/>
          <w:bCs/>
        </w:rPr>
        <w:t>a</w:t>
      </w:r>
      <w:r>
        <w:rPr>
          <w:bCs/>
        </w:rPr>
        <w:t>)</w:t>
      </w:r>
      <w:r w:rsidRPr="00A93EB5">
        <w:rPr>
          <w:bCs/>
        </w:rPr>
        <w:t xml:space="preserve">. In addition, each awardee will develop an </w:t>
      </w:r>
      <w:r w:rsidR="00EF3B85">
        <w:rPr>
          <w:bCs/>
        </w:rPr>
        <w:t>assement</w:t>
      </w:r>
      <w:r w:rsidR="00EF3B85" w:rsidRPr="00A93EB5">
        <w:rPr>
          <w:bCs/>
        </w:rPr>
        <w:t xml:space="preserve"> </w:t>
      </w:r>
      <w:r w:rsidRPr="00A93EB5">
        <w:rPr>
          <w:bCs/>
        </w:rPr>
        <w:t xml:space="preserve">plan and report relevant information using </w:t>
      </w:r>
      <w:r>
        <w:rPr>
          <w:bCs/>
        </w:rPr>
        <w:t>the</w:t>
      </w:r>
      <w:r w:rsidRPr="00A93EB5">
        <w:rPr>
          <w:bCs/>
        </w:rPr>
        <w:t xml:space="preserve"> Plan Tool (</w:t>
      </w:r>
      <w:r>
        <w:rPr>
          <w:b/>
          <w:bCs/>
        </w:rPr>
        <w:t>Attachment 3b</w:t>
      </w:r>
      <w:r w:rsidRPr="00A93EB5">
        <w:rPr>
          <w:bCs/>
        </w:rPr>
        <w:t xml:space="preserve">).  Information will be transmitted to CDC electronically through </w:t>
      </w:r>
      <w:r w:rsidR="00866BE9">
        <w:rPr>
          <w:bCs/>
        </w:rPr>
        <w:t>Grant Solutions and through emails from awardees to their Project Officers.</w:t>
      </w:r>
    </w:p>
    <w:p w14:paraId="7BBF30E4" w14:textId="77777777" w:rsidR="00A030E6" w:rsidRDefault="00A030E6" w:rsidP="00A030E6">
      <w:pPr>
        <w:rPr>
          <w:bCs/>
        </w:rPr>
      </w:pPr>
    </w:p>
    <w:p w14:paraId="70C39A6E" w14:textId="77777777" w:rsidR="00A030E6" w:rsidRPr="00A93EB5" w:rsidRDefault="00A030E6" w:rsidP="00A030E6">
      <w:pPr>
        <w:rPr>
          <w:bCs/>
        </w:rPr>
      </w:pPr>
      <w:r w:rsidRPr="00A93EB5">
        <w:rPr>
          <w:bCs/>
        </w:rPr>
        <w:t>CDC plans to begin using the proposed performance monitoring tools immediately upon receipt of OMB approval.  CDC is authorized to collect information for public health purposes by Section 301(a) of the Public Health Service Act (</w:t>
      </w:r>
      <w:r w:rsidRPr="00332273">
        <w:rPr>
          <w:b/>
          <w:bCs/>
        </w:rPr>
        <w:t>Attachment 1</w:t>
      </w:r>
      <w:r w:rsidRPr="00A93EB5">
        <w:rPr>
          <w:bCs/>
        </w:rPr>
        <w:t>).</w:t>
      </w:r>
    </w:p>
    <w:p w14:paraId="1B0854B1" w14:textId="77777777" w:rsidR="00A030E6" w:rsidRDefault="00A030E6" w:rsidP="00A030E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2196E1A9" w14:textId="77777777" w:rsidR="00866BE9" w:rsidRDefault="00866BE9" w:rsidP="00A030E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29A5BEFA" w14:textId="77777777" w:rsidR="00A030E6" w:rsidRPr="00691454" w:rsidRDefault="00A030E6" w:rsidP="00A030E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91454">
        <w:rPr>
          <w:b/>
          <w:bCs/>
        </w:rPr>
        <w:t xml:space="preserve">A.2. Purpose and Use of Information Collection </w:t>
      </w:r>
    </w:p>
    <w:p w14:paraId="569C4AE5" w14:textId="77777777" w:rsidR="00A030E6" w:rsidRDefault="00A030E6" w:rsidP="00A030E6"/>
    <w:p w14:paraId="44F2175F" w14:textId="77777777" w:rsidR="00A030E6" w:rsidRPr="00A93EB5" w:rsidRDefault="00A030E6" w:rsidP="00A030E6">
      <w:r w:rsidRPr="00A93EB5">
        <w:t>The information collection will enable the accurate, reliable, uniform</w:t>
      </w:r>
      <w:r>
        <w:t>,</w:t>
      </w:r>
      <w:r w:rsidRPr="00A93EB5">
        <w:t xml:space="preserve"> and timely submission to CDC of each awardee’s work plans and progress reports, including strategies and performance measures.  The information collection and reporting requirements have been carefully designed to align with and support the </w:t>
      </w:r>
      <w:r>
        <w:t xml:space="preserve">specific </w:t>
      </w:r>
      <w:r w:rsidRPr="00A93EB5">
        <w:t xml:space="preserve">goals </w:t>
      </w:r>
      <w:r>
        <w:t xml:space="preserve">and outcomes </w:t>
      </w:r>
      <w:r w:rsidRPr="00A93EB5">
        <w:t xml:space="preserve">outlined in the </w:t>
      </w:r>
      <w:r>
        <w:t>PDO Prevention for States cooperative agreement</w:t>
      </w:r>
      <w:r w:rsidRPr="00A93EB5">
        <w:t xml:space="preserve">. The information collection plan will enable collection and reporting of the information in an efficient, standardized, and user-friendly manner that will generate a variety of routine and customizable reports.  Local level reports will allow each awardee to summarize activities and progress towards meeting work plan strategies and performance measure targets.  CDC will also have the capacity to generate reports that describe activities across multiple awardees.  CDC will also use the information collection to respond to </w:t>
      </w:r>
      <w:r w:rsidRPr="00A93EB5">
        <w:lastRenderedPageBreak/>
        <w:t xml:space="preserve">inquiries from the HHS, the White House, Congress and other stakeholder inquiries about program activities and their impact.  </w:t>
      </w:r>
    </w:p>
    <w:p w14:paraId="16776BBC" w14:textId="77777777" w:rsidR="00A030E6" w:rsidRPr="00A93EB5" w:rsidRDefault="00A030E6" w:rsidP="00A030E6"/>
    <w:p w14:paraId="7E6CC510" w14:textId="77777777" w:rsidR="00A030E6" w:rsidRPr="00A93EB5" w:rsidRDefault="00A030E6" w:rsidP="00A030E6">
      <w:pPr>
        <w:spacing w:after="120"/>
      </w:pPr>
      <w:r w:rsidRPr="00A93EB5">
        <w:t>There are significant advantages to collecting information with these reporting tools:</w:t>
      </w:r>
    </w:p>
    <w:p w14:paraId="2DD0F8BD" w14:textId="77777777" w:rsidR="00A030E6" w:rsidRPr="00A93EB5" w:rsidRDefault="00A030E6" w:rsidP="00A030E6">
      <w:pPr>
        <w:pStyle w:val="ListParagraph"/>
        <w:numPr>
          <w:ilvl w:val="0"/>
          <w:numId w:val="12"/>
        </w:numPr>
        <w:spacing w:after="120"/>
      </w:pPr>
      <w:r>
        <w:t xml:space="preserve">The data structures </w:t>
      </w:r>
      <w:r w:rsidRPr="00A93EB5">
        <w:t>will help awardees formulate performance measures that are specific, measurable, achievable, relevant</w:t>
      </w:r>
      <w:r>
        <w:t>,</w:t>
      </w:r>
      <w:r w:rsidRPr="00A93EB5">
        <w:t xml:space="preserve"> and time-framed (SMART).  This formulation is intended to facilitate successful achievement of performance measures and is integral to CDC’s program evaluation strategy for the program.</w:t>
      </w:r>
    </w:p>
    <w:p w14:paraId="44E3434D" w14:textId="77777777" w:rsidR="00A030E6" w:rsidRPr="00C6295A" w:rsidRDefault="00A030E6" w:rsidP="00A030E6">
      <w:pPr>
        <w:pStyle w:val="ListParagraph"/>
        <w:numPr>
          <w:ilvl w:val="0"/>
          <w:numId w:val="12"/>
        </w:numPr>
        <w:spacing w:after="120"/>
      </w:pPr>
      <w:r w:rsidRPr="00A93EB5">
        <w:t xml:space="preserve">The information being collected provides crucial information about each awardee’s work </w:t>
      </w:r>
      <w:r w:rsidRPr="00C6295A">
        <w:t>plan, activities, partnerships</w:t>
      </w:r>
      <w:r>
        <w:t>,</w:t>
      </w:r>
      <w:r w:rsidRPr="00C6295A">
        <w:t xml:space="preserve"> and progress over the award period.  </w:t>
      </w:r>
    </w:p>
    <w:p w14:paraId="5D99B63D" w14:textId="77777777" w:rsidR="00A030E6" w:rsidRPr="00C6295A" w:rsidRDefault="00A030E6" w:rsidP="00A030E6">
      <w:pPr>
        <w:pStyle w:val="ListParagraph"/>
        <w:numPr>
          <w:ilvl w:val="0"/>
          <w:numId w:val="12"/>
        </w:numPr>
        <w:spacing w:after="120"/>
      </w:pPr>
      <w:r w:rsidRPr="00C6295A">
        <w:t>Capturing the required information uniformly will allow CDC to formulate ad hoc analyses and reports.</w:t>
      </w:r>
    </w:p>
    <w:p w14:paraId="6CF1371F" w14:textId="77777777" w:rsidR="00A030E6" w:rsidRPr="00A93EB5" w:rsidRDefault="00A030E6" w:rsidP="00A030E6">
      <w:pPr>
        <w:pStyle w:val="ListParagraph"/>
        <w:spacing w:after="120"/>
      </w:pPr>
    </w:p>
    <w:p w14:paraId="7CDC8EDA" w14:textId="77777777" w:rsidR="00A030E6" w:rsidRPr="00A93EB5" w:rsidRDefault="00A030E6" w:rsidP="00A030E6">
      <w:pPr>
        <w:rPr>
          <w:color w:val="000000" w:themeColor="text1"/>
        </w:rPr>
      </w:pPr>
      <w:r w:rsidRPr="00A93EB5">
        <w:t xml:space="preserve">CDC will use the information collected to monitor each awardee’s progress and to identify facilitators and </w:t>
      </w:r>
      <w:r>
        <w:t xml:space="preserve">barriers </w:t>
      </w:r>
      <w:r w:rsidRPr="00A93EB5">
        <w:t xml:space="preserve">to program implementation and achievement of outcomes.  Monitoring allows CDC to determine whether an awardee is meeting performance and budget goals and to make adjustments in the type and level of technical assistance provided to them, as needed, to support attainment of their performance measures.  Program monitoring and evaluation activities also allow CDC to identify and disseminate information about successful prevention and control strategies implemented by awardees.  These functions are central to the NCIPC’s broad mission of protecting Americans from violence and injury threats.  </w:t>
      </w:r>
      <w:r>
        <w:t>T</w:t>
      </w:r>
      <w:r w:rsidRPr="00A93EB5">
        <w:t>he information collection will allow CDC to monitor the increased emphasis on strategies that affect health outcomes and impact, and is expected to reduce duplication of effort, enhance program impact and maximize the use of federal funds.</w:t>
      </w:r>
    </w:p>
    <w:p w14:paraId="3461454C" w14:textId="77777777" w:rsidR="00A030E6" w:rsidRPr="00A93EB5" w:rsidRDefault="00A030E6" w:rsidP="00A030E6"/>
    <w:p w14:paraId="12AC3114" w14:textId="77777777" w:rsidR="00A030E6" w:rsidRDefault="00A030E6" w:rsidP="00A030E6">
      <w:r>
        <w:t xml:space="preserve">Working with </w:t>
      </w:r>
      <w:r w:rsidRPr="00A93EB5">
        <w:t xml:space="preserve">CDC </w:t>
      </w:r>
      <w:r>
        <w:t>staff</w:t>
      </w:r>
      <w:r w:rsidRPr="00A93EB5">
        <w:t xml:space="preserve">, program awardees will use the information collected to manage and coordinate their activities and to improve their efforts to prevent and control </w:t>
      </w:r>
      <w:r>
        <w:t>prescription drug misuse, abuse, and overdose</w:t>
      </w:r>
      <w:r w:rsidRPr="00A93EB5">
        <w:t xml:space="preserve">.  The tools will allow awardees to fulfill their annual reporting obligations under the </w:t>
      </w:r>
      <w:r>
        <w:t>funding opportunity announcement</w:t>
      </w:r>
      <w:r w:rsidRPr="00A93EB5">
        <w:t xml:space="preserve"> in an efficient manner by employing user-friendly instruments to collect necessary information for both progress reports and continuation applications including work plans.  This approach, which enables awardees to save pertinent information from one reporting period to the next, will reduce the administrative burden on the yearly continuation application and the progress review process.  Awardee program staff will be able to review the completeness of data needed to generate required reports, enter basic summary data for reports at least annually, and finalize and save required reports for upload into other reporting systems as required. </w:t>
      </w:r>
    </w:p>
    <w:p w14:paraId="72E39624" w14:textId="77777777" w:rsidR="00A030E6" w:rsidRDefault="00A030E6" w:rsidP="00A030E6"/>
    <w:p w14:paraId="2003E707" w14:textId="77777777" w:rsidR="00A030E6" w:rsidRPr="00A93EB5" w:rsidRDefault="00A030E6" w:rsidP="00A030E6">
      <w:r>
        <w:t xml:space="preserve">Although program evaluation is an essential public health function, limitations of this type of data collection are the generalizability of results and the certainty of causation. The conclusions drawn from awarded states may not generalize to the entire country due to differences in demographics, policies, and implementing agencies. In addition, because this is not a research cooperative agreement, states are not required to implement rigorous research designs that have strong internal validity and produce generalizable knowledge. As such, the information we gather may make a strong inference of correlation, but causation cannot be inferred. </w:t>
      </w:r>
    </w:p>
    <w:p w14:paraId="50C2CC70" w14:textId="77777777" w:rsidR="00A030E6" w:rsidRPr="00691454" w:rsidRDefault="00A030E6" w:rsidP="00A030E6">
      <w:pPr>
        <w:autoSpaceDE w:val="0"/>
        <w:autoSpaceDN w:val="0"/>
        <w:adjustRightInd w:val="0"/>
      </w:pPr>
    </w:p>
    <w:p w14:paraId="5C29B6CF" w14:textId="77777777" w:rsidR="00A030E6" w:rsidRPr="00691454" w:rsidRDefault="00A030E6" w:rsidP="00A030E6">
      <w:pPr>
        <w:autoSpaceDE w:val="0"/>
        <w:autoSpaceDN w:val="0"/>
        <w:adjustRightInd w:val="0"/>
        <w:rPr>
          <w:b/>
          <w:bCs/>
        </w:rPr>
      </w:pPr>
      <w:r w:rsidRPr="00691454">
        <w:rPr>
          <w:b/>
          <w:bCs/>
        </w:rPr>
        <w:lastRenderedPageBreak/>
        <w:t xml:space="preserve">A.3. </w:t>
      </w:r>
      <w:r w:rsidRPr="00691454">
        <w:rPr>
          <w:b/>
          <w:bCs/>
        </w:rPr>
        <w:tab/>
        <w:t>Use of Improved Information Technology and Burden Reduction</w:t>
      </w:r>
    </w:p>
    <w:p w14:paraId="47570009" w14:textId="77777777" w:rsidR="00A030E6" w:rsidRDefault="00A030E6" w:rsidP="00A030E6"/>
    <w:p w14:paraId="6FA93521" w14:textId="5E93015C" w:rsidR="00A030E6" w:rsidRPr="00A93EB5" w:rsidRDefault="00A030E6" w:rsidP="00A030E6">
      <w:r w:rsidRPr="00A93EB5">
        <w:t>The CDC contractor</w:t>
      </w:r>
      <w:r>
        <w:t xml:space="preserve">, </w:t>
      </w:r>
      <w:r w:rsidRPr="00A93EB5">
        <w:t xml:space="preserve"> has developed the </w:t>
      </w:r>
      <w:r>
        <w:t>Annual Progress Report</w:t>
      </w:r>
      <w:r w:rsidRPr="00A93EB5">
        <w:t xml:space="preserve"> </w:t>
      </w:r>
      <w:r>
        <w:t xml:space="preserve">Tool </w:t>
      </w:r>
      <w:r w:rsidRPr="00A93EB5">
        <w:t xml:space="preserve">using the Excel platform. Additionally, a Plan </w:t>
      </w:r>
      <w:r>
        <w:t>Tool</w:t>
      </w:r>
      <w:r w:rsidRPr="00A93EB5">
        <w:t xml:space="preserve"> has been developed using MS Word.   Since the use of Excel, Word</w:t>
      </w:r>
      <w:r>
        <w:t>,</w:t>
      </w:r>
      <w:r w:rsidRPr="00A93EB5">
        <w:t xml:space="preserve"> and similar Microsoft products is common, these user-friendly interfaces will be easier and more intuitive for awardees to use than special-purpose tools or software.  Use of Excel and Word will require very little training and awardees will use the tools provided to record and update </w:t>
      </w:r>
      <w:r>
        <w:t>cooperative agreement</w:t>
      </w:r>
      <w:r w:rsidRPr="00A93EB5">
        <w:t xml:space="preserve"> information.  </w:t>
      </w:r>
      <w:r w:rsidRPr="00DB1C4E">
        <w:t>Awardees will uplo</w:t>
      </w:r>
      <w:r>
        <w:t>ad completed Word documents and Excel spreadsheets</w:t>
      </w:r>
      <w:r w:rsidRPr="00DB1C4E">
        <w:t xml:space="preserve"> tailored for their specific work plans, to the Grant Solutions website to satisfy FOA reporting requirements. Awardees will also send completed Excel and Word documents to their assigned Project Officer for technical review. Once the technical review is complete, the Project Officer will send the completed workbooks to </w:t>
      </w:r>
      <w:r w:rsidR="00EF04A4">
        <w:t>the contractor</w:t>
      </w:r>
      <w:r w:rsidRPr="00DB1C4E">
        <w:t xml:space="preserve"> to be input</w:t>
      </w:r>
      <w:r w:rsidRPr="00A93EB5">
        <w:t xml:space="preserve"> into NCIPC’s internal Monitoring and Evaluation Tool database for examination and reporting.</w:t>
      </w:r>
    </w:p>
    <w:p w14:paraId="4968275A" w14:textId="77777777" w:rsidR="00A030E6" w:rsidRPr="00A93EB5" w:rsidRDefault="00A030E6" w:rsidP="00A030E6"/>
    <w:p w14:paraId="3BBA84FB" w14:textId="77777777" w:rsidR="00A030E6" w:rsidRPr="00A93EB5" w:rsidRDefault="00A030E6" w:rsidP="00A030E6">
      <w:pPr>
        <w:tabs>
          <w:tab w:val="num" w:pos="720"/>
        </w:tabs>
      </w:pPr>
      <w:r w:rsidRPr="00A93EB5">
        <w:t>The</w:t>
      </w:r>
      <w:r>
        <w:t>se</w:t>
      </w:r>
      <w:r w:rsidRPr="00A93EB5">
        <w:t xml:space="preserve"> </w:t>
      </w:r>
      <w:r w:rsidRPr="00121F1C">
        <w:t>tools improve information</w:t>
      </w:r>
      <w:r w:rsidRPr="00A93EB5">
        <w:t xml:space="preserve"> quality by minimizing errors and redundancy.  Having all of the information collected in the same place in the same manner will reduce the level of burden attributable to redundancy and reduce the workload to enter and maintain the data.  Programs will have data self-populated from one year to another, which minimizes data re-entry, burden, and potential errors. </w:t>
      </w:r>
    </w:p>
    <w:p w14:paraId="7D8C707D" w14:textId="77777777" w:rsidR="00A030E6" w:rsidRPr="00A93EB5" w:rsidRDefault="00A030E6" w:rsidP="00A030E6">
      <w:pPr>
        <w:tabs>
          <w:tab w:val="num" w:pos="720"/>
        </w:tabs>
      </w:pPr>
    </w:p>
    <w:p w14:paraId="0FC46D6A" w14:textId="77777777" w:rsidR="00A030E6" w:rsidRPr="00A93EB5" w:rsidRDefault="00A030E6" w:rsidP="00A030E6">
      <w:r w:rsidRPr="00A93EB5">
        <w:t>With the tools, the use of a standard set of data elements, definitions and specifications at all levels will help to improve the quality and comparability of performance information that is received by CDC for multiple awardees and multiple award types.  Further, standardization will enhance the consistency of plans and reports, enable examination of cross-program performance and strategies, and will facilitate a higher degree of reliability by ensuring that the same information is collected on all strategies and performance measures with slightly different</w:t>
      </w:r>
      <w:r>
        <w:t xml:space="preserve"> areas of emphasis, depending on strategies chosen by the awardee.</w:t>
      </w:r>
      <w:r w:rsidRPr="00A93EB5">
        <w:t xml:space="preserve"> Finally, the report generation capabilities of the system will reduce the respondent burden associated with paper-based reports.  Without the reporting tools and the integrated approach to information collection and reporting, awardees and CDC would need to continue to use time consuming, labor intensive procedures for information collection and reporting.</w:t>
      </w:r>
    </w:p>
    <w:p w14:paraId="7DA634AD" w14:textId="77777777" w:rsidR="00A030E6" w:rsidRPr="00691454" w:rsidRDefault="00A030E6" w:rsidP="00A030E6"/>
    <w:p w14:paraId="345BE06B" w14:textId="77777777" w:rsidR="00866BE9" w:rsidRPr="00691454" w:rsidRDefault="00866BE9" w:rsidP="00A030E6">
      <w:pPr>
        <w:autoSpaceDE w:val="0"/>
        <w:autoSpaceDN w:val="0"/>
        <w:adjustRightInd w:val="0"/>
      </w:pPr>
    </w:p>
    <w:p w14:paraId="64EAEC92" w14:textId="77777777" w:rsidR="00A030E6" w:rsidRPr="00691454" w:rsidRDefault="00A030E6" w:rsidP="00A030E6">
      <w:pPr>
        <w:autoSpaceDE w:val="0"/>
        <w:autoSpaceDN w:val="0"/>
        <w:adjustRightInd w:val="0"/>
        <w:rPr>
          <w:b/>
          <w:bCs/>
        </w:rPr>
      </w:pPr>
      <w:r w:rsidRPr="00691454">
        <w:rPr>
          <w:b/>
          <w:bCs/>
        </w:rPr>
        <w:t xml:space="preserve">A.4. </w:t>
      </w:r>
      <w:r w:rsidRPr="00691454">
        <w:rPr>
          <w:b/>
          <w:bCs/>
        </w:rPr>
        <w:tab/>
        <w:t>Efforts to Identify Duplication and Use of Similar Information</w:t>
      </w:r>
    </w:p>
    <w:p w14:paraId="238295C0" w14:textId="77777777" w:rsidR="00A030E6" w:rsidRPr="00691454" w:rsidRDefault="00A030E6" w:rsidP="00A030E6">
      <w:pPr>
        <w:autoSpaceDE w:val="0"/>
        <w:autoSpaceDN w:val="0"/>
        <w:adjustRightInd w:val="0"/>
      </w:pPr>
    </w:p>
    <w:p w14:paraId="63B7B220" w14:textId="77777777" w:rsidR="00A030E6" w:rsidRDefault="00A030E6" w:rsidP="00A030E6">
      <w:r w:rsidRPr="00A93EB5">
        <w:t>The information collected from awardees is not available from other sources.</w:t>
      </w:r>
      <w:r>
        <w:t xml:space="preserve"> The information is specific to the PDO Prevention for States Program. </w:t>
      </w:r>
      <w:r w:rsidRPr="00A93EB5">
        <w:t xml:space="preserve">The collection of this information is part of a federal reporting requirement for funds received by awardees. The tools will consolidate information necessary for both continuation applications and progress reports so that information entered once can be used to generate multiple types of reports without having to duplicate efforts.  </w:t>
      </w:r>
      <w:r w:rsidRPr="00F30A50">
        <w:t xml:space="preserve">As one of CDC’s primary PDO prevention initiatives, Prevention for States occupies a unique niche within the larger scope of Health and Human Services’ (HHS) opioid priority initiative.  The Substance Abuse and Mental Health Services Administration (SAMHSA) is also engaged in opioid overdose work, but their role is specific to naloxone availability and use, and medically-assisted substance use treatment.  As such, their efforts are complementary rather than </w:t>
      </w:r>
      <w:r w:rsidRPr="00F30A50">
        <w:lastRenderedPageBreak/>
        <w:t>redundant, and the data/information they collect are specific to different outcomes of interest and would not serve to inform CDC’s efforts.</w:t>
      </w:r>
    </w:p>
    <w:p w14:paraId="19396B7D" w14:textId="77777777" w:rsidR="00A030E6" w:rsidRDefault="00A030E6" w:rsidP="00A030E6">
      <w:pPr>
        <w:autoSpaceDE w:val="0"/>
        <w:autoSpaceDN w:val="0"/>
        <w:adjustRightInd w:val="0"/>
        <w:rPr>
          <w:b/>
          <w:bCs/>
        </w:rPr>
      </w:pPr>
    </w:p>
    <w:p w14:paraId="4ADD6989" w14:textId="77777777" w:rsidR="00A030E6" w:rsidRPr="00691454" w:rsidRDefault="00A030E6" w:rsidP="00A030E6">
      <w:pPr>
        <w:autoSpaceDE w:val="0"/>
        <w:autoSpaceDN w:val="0"/>
        <w:adjustRightInd w:val="0"/>
        <w:rPr>
          <w:b/>
          <w:bCs/>
        </w:rPr>
      </w:pPr>
      <w:r w:rsidRPr="00691454">
        <w:rPr>
          <w:b/>
          <w:bCs/>
        </w:rPr>
        <w:t xml:space="preserve">A.5. </w:t>
      </w:r>
      <w:r w:rsidRPr="00691454">
        <w:rPr>
          <w:b/>
          <w:bCs/>
        </w:rPr>
        <w:tab/>
        <w:t xml:space="preserve">Impact on Small Businesses or Other Small Entities </w:t>
      </w:r>
    </w:p>
    <w:p w14:paraId="2B267F6B" w14:textId="77777777" w:rsidR="00A030E6" w:rsidRPr="00691454" w:rsidRDefault="00A030E6" w:rsidP="00A030E6">
      <w:pPr>
        <w:autoSpaceDE w:val="0"/>
        <w:autoSpaceDN w:val="0"/>
        <w:adjustRightInd w:val="0"/>
        <w:rPr>
          <w:b/>
          <w:bCs/>
        </w:rPr>
      </w:pPr>
    </w:p>
    <w:p w14:paraId="7EF2ECC1" w14:textId="77777777" w:rsidR="00A030E6" w:rsidRDefault="00A030E6" w:rsidP="00A030E6">
      <w:pPr>
        <w:autoSpaceDE w:val="0"/>
        <w:autoSpaceDN w:val="0"/>
        <w:adjustRightInd w:val="0"/>
      </w:pPr>
      <w:r w:rsidRPr="00691454">
        <w:t>No small businesses will be involved in this data collection.</w:t>
      </w:r>
    </w:p>
    <w:p w14:paraId="4A833D32" w14:textId="77777777" w:rsidR="00DF3E73" w:rsidRPr="00691454" w:rsidRDefault="00DF3E73" w:rsidP="00A030E6">
      <w:pPr>
        <w:autoSpaceDE w:val="0"/>
        <w:autoSpaceDN w:val="0"/>
        <w:adjustRightInd w:val="0"/>
      </w:pPr>
    </w:p>
    <w:p w14:paraId="4871B3DB" w14:textId="77777777" w:rsidR="00A030E6" w:rsidRPr="00691454" w:rsidRDefault="00A030E6" w:rsidP="00A030E6">
      <w:pPr>
        <w:autoSpaceDE w:val="0"/>
        <w:autoSpaceDN w:val="0"/>
        <w:adjustRightInd w:val="0"/>
        <w:rPr>
          <w:b/>
          <w:bCs/>
        </w:rPr>
      </w:pPr>
      <w:r w:rsidRPr="00691454">
        <w:rPr>
          <w:b/>
          <w:bCs/>
        </w:rPr>
        <w:t xml:space="preserve">A.6. </w:t>
      </w:r>
      <w:r w:rsidRPr="00691454">
        <w:rPr>
          <w:b/>
          <w:bCs/>
        </w:rPr>
        <w:tab/>
        <w:t xml:space="preserve">Consequences of Collecting the Information Less Frequently </w:t>
      </w:r>
    </w:p>
    <w:p w14:paraId="4D0DA942" w14:textId="77777777" w:rsidR="00A030E6" w:rsidRPr="00691454" w:rsidRDefault="00A030E6" w:rsidP="00A030E6">
      <w:pPr>
        <w:autoSpaceDE w:val="0"/>
        <w:autoSpaceDN w:val="0"/>
        <w:adjustRightInd w:val="0"/>
      </w:pPr>
    </w:p>
    <w:p w14:paraId="20231482" w14:textId="1DDB35EF" w:rsidR="00A030E6" w:rsidRPr="00A93EB5" w:rsidRDefault="00A030E6" w:rsidP="00A030E6">
      <w:pPr>
        <w:rPr>
          <w:color w:val="000000" w:themeColor="text1"/>
        </w:rPr>
      </w:pPr>
      <w:r w:rsidRPr="00A93EB5">
        <w:rPr>
          <w:color w:val="000000" w:themeColor="text1"/>
        </w:rPr>
        <w:t>Reports will be collected annually. The annual progress report is due 120 days before the end of the budget period and serves as a non-competing continuation application. Less frequent reporting would undermine accountability efforts at all levels and negatively impact monitoring awardee progress. The annual reporting schedule ensures that CDC responses to inquiries from HHS, the White House, Congress and other stakeholders are based on timely and up-to-date information.</w:t>
      </w:r>
      <w:r w:rsidR="00EF3B85">
        <w:rPr>
          <w:color w:val="000000" w:themeColor="text1"/>
        </w:rPr>
        <w:t xml:space="preserve"> </w:t>
      </w:r>
      <w:r w:rsidR="00EF3B85" w:rsidRPr="005A2BDB">
        <w:rPr>
          <w:color w:val="000000" w:themeColor="text1"/>
        </w:rPr>
        <w:t xml:space="preserve">. </w:t>
      </w:r>
      <w:r w:rsidR="00EF3B85" w:rsidRPr="009E0425">
        <w:t>Typical inquiries involve requests for specific details on what types of activities states and communities are implementing, how those activities are being implemented, what the grantees’ objectives are, and what successes</w:t>
      </w:r>
      <w:r w:rsidR="00EF3B85">
        <w:t xml:space="preserve"> have been achieved by grantees.</w:t>
      </w:r>
    </w:p>
    <w:p w14:paraId="7CD6764C" w14:textId="77777777" w:rsidR="00A030E6" w:rsidRPr="00691454" w:rsidRDefault="00A030E6" w:rsidP="00A030E6">
      <w:pPr>
        <w:autoSpaceDE w:val="0"/>
        <w:autoSpaceDN w:val="0"/>
        <w:adjustRightInd w:val="0"/>
      </w:pPr>
    </w:p>
    <w:p w14:paraId="4A852EDB" w14:textId="77777777" w:rsidR="00A030E6" w:rsidRPr="00691454" w:rsidRDefault="00A030E6" w:rsidP="00A030E6">
      <w:pPr>
        <w:autoSpaceDE w:val="0"/>
        <w:autoSpaceDN w:val="0"/>
        <w:adjustRightInd w:val="0"/>
      </w:pPr>
      <w:r w:rsidRPr="00691454">
        <w:rPr>
          <w:b/>
          <w:bCs/>
        </w:rPr>
        <w:t xml:space="preserve">A.7. </w:t>
      </w:r>
      <w:r w:rsidRPr="00691454">
        <w:rPr>
          <w:b/>
          <w:bCs/>
        </w:rPr>
        <w:tab/>
        <w:t>Special Circumstances Relating to the Guidelines of 5 CFR 1320.5</w:t>
      </w:r>
    </w:p>
    <w:p w14:paraId="72635B1A" w14:textId="77777777" w:rsidR="00A030E6" w:rsidRPr="00691454" w:rsidRDefault="00A030E6" w:rsidP="00A030E6">
      <w:pPr>
        <w:autoSpaceDE w:val="0"/>
        <w:autoSpaceDN w:val="0"/>
        <w:adjustRightInd w:val="0"/>
      </w:pPr>
    </w:p>
    <w:p w14:paraId="68AAE296" w14:textId="77777777" w:rsidR="00A030E6" w:rsidRPr="00691454" w:rsidRDefault="00A030E6" w:rsidP="00A030E6">
      <w:pPr>
        <w:pStyle w:val="SL-FlLftSgl"/>
      </w:pPr>
      <w:r w:rsidRPr="00691454">
        <w:t xml:space="preserve">The request fully complies with the regulation 5 CFR 1320.5. </w:t>
      </w:r>
    </w:p>
    <w:p w14:paraId="7EC3954A" w14:textId="77777777" w:rsidR="00A030E6" w:rsidRPr="00691454" w:rsidRDefault="00A030E6" w:rsidP="00A030E6">
      <w:pPr>
        <w:autoSpaceDE w:val="0"/>
        <w:autoSpaceDN w:val="0"/>
        <w:adjustRightInd w:val="0"/>
      </w:pPr>
    </w:p>
    <w:p w14:paraId="3043414D" w14:textId="77777777" w:rsidR="00A030E6" w:rsidRPr="00691454" w:rsidRDefault="00A030E6" w:rsidP="00A030E6">
      <w:pPr>
        <w:autoSpaceDE w:val="0"/>
        <w:autoSpaceDN w:val="0"/>
        <w:adjustRightInd w:val="0"/>
        <w:rPr>
          <w:b/>
          <w:bCs/>
        </w:rPr>
      </w:pPr>
      <w:r w:rsidRPr="00691454">
        <w:rPr>
          <w:b/>
          <w:bCs/>
        </w:rPr>
        <w:t xml:space="preserve">A.8. </w:t>
      </w:r>
      <w:r w:rsidRPr="00691454">
        <w:rPr>
          <w:b/>
          <w:bCs/>
        </w:rPr>
        <w:tab/>
        <w:t xml:space="preserve">Comments in Response to the Federal Register Notice and Efforts to Consult </w:t>
      </w:r>
      <w:r w:rsidRPr="00691454">
        <w:rPr>
          <w:b/>
          <w:bCs/>
        </w:rPr>
        <w:tab/>
      </w:r>
      <w:r w:rsidRPr="00691454">
        <w:rPr>
          <w:b/>
          <w:bCs/>
        </w:rPr>
        <w:tab/>
      </w:r>
      <w:r w:rsidRPr="00691454">
        <w:rPr>
          <w:b/>
          <w:bCs/>
        </w:rPr>
        <w:tab/>
        <w:t xml:space="preserve">Outside the Agency </w:t>
      </w:r>
    </w:p>
    <w:p w14:paraId="1F2D05E9" w14:textId="77777777" w:rsidR="00A030E6" w:rsidRPr="00691454" w:rsidRDefault="00A030E6" w:rsidP="00A030E6">
      <w:pPr>
        <w:autoSpaceDE w:val="0"/>
        <w:autoSpaceDN w:val="0"/>
        <w:adjustRightInd w:val="0"/>
      </w:pPr>
    </w:p>
    <w:p w14:paraId="1D487471" w14:textId="77777777" w:rsidR="00A030E6" w:rsidRDefault="00A030E6" w:rsidP="00A030E6">
      <w:pPr>
        <w:rPr>
          <w:noProof/>
        </w:rPr>
      </w:pPr>
      <w:r w:rsidRPr="003E28DE">
        <w:rPr>
          <w:b/>
        </w:rPr>
        <w:t>A.8.a)</w:t>
      </w:r>
      <w:r w:rsidRPr="003E28DE">
        <w:tab/>
      </w:r>
      <w:r w:rsidRPr="003E28DE">
        <w:rPr>
          <w:noProof/>
        </w:rPr>
        <w:t>Federal Register Notice</w:t>
      </w:r>
    </w:p>
    <w:p w14:paraId="7FA7E0BF" w14:textId="254C252A" w:rsidR="00A030E6" w:rsidRPr="00616D20" w:rsidRDefault="00A030E6" w:rsidP="00A030E6">
      <w:r w:rsidRPr="00616D20">
        <w:t xml:space="preserve">A 60-day Federal Register Notice was published in the Federal Register on </w:t>
      </w:r>
      <w:r w:rsidR="00CF2446">
        <w:t>July 28, 2015</w:t>
      </w:r>
      <w:r w:rsidRPr="00616D20">
        <w:t xml:space="preserve"> vol. </w:t>
      </w:r>
      <w:r w:rsidR="00CF2446">
        <w:t>80</w:t>
      </w:r>
      <w:r w:rsidR="00CF2446" w:rsidRPr="00616D20">
        <w:t xml:space="preserve"> </w:t>
      </w:r>
      <w:r w:rsidRPr="00616D20">
        <w:t xml:space="preserve">No. </w:t>
      </w:r>
      <w:r w:rsidR="00CF2446">
        <w:t>144</w:t>
      </w:r>
      <w:r w:rsidRPr="00616D20">
        <w:t xml:space="preserve">, pp. </w:t>
      </w:r>
      <w:r w:rsidR="00CF2446">
        <w:t>44965- 44966</w:t>
      </w:r>
      <w:r w:rsidRPr="00616D20">
        <w:t xml:space="preserve"> (Attachment </w:t>
      </w:r>
      <w:r w:rsidR="00DF3E73">
        <w:t>2</w:t>
      </w:r>
      <w:r w:rsidRPr="00616D20">
        <w:t xml:space="preserve">). </w:t>
      </w:r>
      <w:r w:rsidR="006A4257">
        <w:t xml:space="preserve">No public comments were </w:t>
      </w:r>
      <w:r w:rsidR="00AA2B19">
        <w:t>received</w:t>
      </w:r>
      <w:r w:rsidR="006A4257">
        <w:t xml:space="preserve">. </w:t>
      </w:r>
    </w:p>
    <w:p w14:paraId="66660D73" w14:textId="77777777" w:rsidR="00A030E6" w:rsidRPr="00691454" w:rsidRDefault="00A030E6" w:rsidP="00A030E6"/>
    <w:p w14:paraId="741EDD99" w14:textId="77777777" w:rsidR="00A030E6" w:rsidRPr="00691454" w:rsidRDefault="00A030E6" w:rsidP="00A030E6">
      <w:r w:rsidRPr="00691454">
        <w:rPr>
          <w:b/>
        </w:rPr>
        <w:t>A.8.b)</w:t>
      </w:r>
      <w:r w:rsidRPr="00691454">
        <w:t xml:space="preserve"> </w:t>
      </w:r>
      <w:r w:rsidRPr="00691454">
        <w:rPr>
          <w:noProof/>
        </w:rPr>
        <w:t>Efforts to Consult Outside the Agency</w:t>
      </w:r>
    </w:p>
    <w:p w14:paraId="5F283B34" w14:textId="0D439895" w:rsidR="00A030E6" w:rsidRDefault="00A030E6" w:rsidP="00A030E6">
      <w:r w:rsidRPr="00A93EB5">
        <w:t xml:space="preserve">The data collection instruments were designed collaboratively by CDC staff and </w:t>
      </w:r>
      <w:r w:rsidR="00270BD4">
        <w:t>the contractor</w:t>
      </w:r>
      <w:r w:rsidRPr="00A93EB5">
        <w:t>. Consultation will continue throughout the implementation process</w:t>
      </w:r>
      <w:r>
        <w:t xml:space="preserve">.  </w:t>
      </w:r>
    </w:p>
    <w:p w14:paraId="25742737" w14:textId="77777777" w:rsidR="00A030E6" w:rsidRDefault="00A030E6" w:rsidP="00A030E6">
      <w:pPr>
        <w:rPr>
          <w:b/>
          <w:bCs/>
        </w:rPr>
      </w:pPr>
    </w:p>
    <w:p w14:paraId="74111CFA" w14:textId="77777777" w:rsidR="00A030E6" w:rsidRPr="00691454" w:rsidRDefault="00A030E6" w:rsidP="00A030E6">
      <w:pPr>
        <w:rPr>
          <w:b/>
          <w:bCs/>
        </w:rPr>
      </w:pPr>
      <w:r w:rsidRPr="00691454">
        <w:rPr>
          <w:b/>
          <w:bCs/>
        </w:rPr>
        <w:t xml:space="preserve">A.9. </w:t>
      </w:r>
      <w:r w:rsidRPr="00691454">
        <w:rPr>
          <w:b/>
          <w:bCs/>
        </w:rPr>
        <w:tab/>
        <w:t xml:space="preserve">Explanation of Any Payment or Gift to Respondents </w:t>
      </w:r>
    </w:p>
    <w:p w14:paraId="4F91A545" w14:textId="77777777" w:rsidR="00A030E6" w:rsidRPr="00691454" w:rsidRDefault="00A030E6" w:rsidP="00A030E6">
      <w:pPr>
        <w:autoSpaceDE w:val="0"/>
        <w:autoSpaceDN w:val="0"/>
        <w:adjustRightInd w:val="0"/>
        <w:rPr>
          <w:b/>
          <w:bCs/>
        </w:rPr>
      </w:pPr>
    </w:p>
    <w:p w14:paraId="217E2B0D" w14:textId="77777777" w:rsidR="00A030E6" w:rsidRPr="00A93EB5" w:rsidRDefault="00A030E6" w:rsidP="00A030E6">
      <w:r w:rsidRPr="00A93EB5">
        <w:t xml:space="preserve">Respondents will not receive payments or gifts for providing information.  </w:t>
      </w:r>
    </w:p>
    <w:p w14:paraId="0046432E" w14:textId="77777777" w:rsidR="00A030E6" w:rsidRDefault="00A030E6" w:rsidP="00A030E6"/>
    <w:p w14:paraId="725E58CE" w14:textId="6CB9CE8A" w:rsidR="008B2417" w:rsidRDefault="00A030E6" w:rsidP="005A18D1">
      <w:pPr>
        <w:autoSpaceDE w:val="0"/>
        <w:autoSpaceDN w:val="0"/>
        <w:adjustRightInd w:val="0"/>
        <w:rPr>
          <w:b/>
          <w:bCs/>
        </w:rPr>
      </w:pPr>
      <w:r w:rsidRPr="00691454">
        <w:rPr>
          <w:b/>
          <w:bCs/>
        </w:rPr>
        <w:t xml:space="preserve">A.10. </w:t>
      </w:r>
      <w:r w:rsidRPr="00691454">
        <w:rPr>
          <w:b/>
          <w:bCs/>
        </w:rPr>
        <w:tab/>
      </w:r>
      <w:r w:rsidR="005A18D1" w:rsidRPr="005A18D1">
        <w:rPr>
          <w:b/>
          <w:bCs/>
        </w:rPr>
        <w:t>Protection of the   Privacy and Confid</w:t>
      </w:r>
      <w:r w:rsidR="00E80E8D">
        <w:rPr>
          <w:b/>
          <w:bCs/>
        </w:rPr>
        <w:t xml:space="preserve">entiality of Information Provided </w:t>
      </w:r>
      <w:r w:rsidR="00AA2B19" w:rsidRPr="005A18D1">
        <w:rPr>
          <w:b/>
          <w:bCs/>
        </w:rPr>
        <w:t>by Respondents</w:t>
      </w:r>
      <w:r w:rsidR="005A18D1" w:rsidRPr="005A18D1">
        <w:rPr>
          <w:b/>
          <w:bCs/>
        </w:rPr>
        <w:t xml:space="preserve"> </w:t>
      </w:r>
    </w:p>
    <w:p w14:paraId="6CB75DDE" w14:textId="77777777" w:rsidR="00A030E6" w:rsidRDefault="00A030E6" w:rsidP="005A18D1">
      <w:pPr>
        <w:autoSpaceDE w:val="0"/>
        <w:autoSpaceDN w:val="0"/>
        <w:adjustRightInd w:val="0"/>
      </w:pPr>
    </w:p>
    <w:p w14:paraId="6CD6B79C" w14:textId="0DDF9AF9" w:rsidR="006C6A1A" w:rsidRDefault="006C6A1A" w:rsidP="006C6A1A">
      <w:r w:rsidRPr="00CD4D06">
        <w:t xml:space="preserve">The </w:t>
      </w:r>
      <w:r w:rsidR="00270BD4">
        <w:t xml:space="preserve">CIO </w:t>
      </w:r>
      <w:r w:rsidRPr="00CD4D06">
        <w:t xml:space="preserve">has determined that the Privacy Act does not apply for this information collection request. </w:t>
      </w:r>
      <w:r w:rsidRPr="00A93EB5">
        <w:t>Respondents are cooperative agreement awardees</w:t>
      </w:r>
      <w:r>
        <w:t xml:space="preserve">. </w:t>
      </w:r>
      <w:r w:rsidRPr="00CD4D06">
        <w:t xml:space="preserve"> </w:t>
      </w:r>
      <w:r w:rsidR="00650A38">
        <w:rPr>
          <w:color w:val="000000" w:themeColor="text1"/>
        </w:rPr>
        <w:t>N</w:t>
      </w:r>
      <w:r w:rsidR="00650A38" w:rsidRPr="00A93EB5">
        <w:rPr>
          <w:color w:val="000000" w:themeColor="text1"/>
        </w:rPr>
        <w:t>o personal contact information will be collected.  All data will be reported in aggregate form, with no identifying inform</w:t>
      </w:r>
      <w:r w:rsidR="00650A38">
        <w:rPr>
          <w:color w:val="000000" w:themeColor="text1"/>
        </w:rPr>
        <w:t xml:space="preserve">ation included.  </w:t>
      </w:r>
      <w:r w:rsidR="00051B0E" w:rsidRPr="00CD4D06">
        <w:t xml:space="preserve">Key program staff will provide information related to programmatic improvement and they will be notified that their responses on the electronic information system will be treated in a secure manner. Staff identifiers will not be used in any </w:t>
      </w:r>
      <w:r w:rsidR="00051B0E">
        <w:t>progress</w:t>
      </w:r>
      <w:r w:rsidR="00051B0E" w:rsidRPr="00CD4D06">
        <w:t xml:space="preserve"> reports.</w:t>
      </w:r>
      <w:r w:rsidR="00051B0E">
        <w:t xml:space="preserve"> </w:t>
      </w:r>
      <w:r w:rsidR="00051B0E" w:rsidRPr="00A93EB5">
        <w:t xml:space="preserve">The information </w:t>
      </w:r>
      <w:r w:rsidR="00051B0E" w:rsidRPr="00A93EB5">
        <w:lastRenderedPageBreak/>
        <w:t>collection does not require conse</w:t>
      </w:r>
      <w:r w:rsidR="00650A38">
        <w:t>nt from individuals</w:t>
      </w:r>
      <w:r w:rsidR="00051B0E" w:rsidRPr="00A93EB5">
        <w:t>.</w:t>
      </w:r>
      <w:r w:rsidR="00051B0E">
        <w:t xml:space="preserve"> </w:t>
      </w:r>
      <w:r w:rsidRPr="00CD4D06">
        <w:t xml:space="preserve">All procedures have been developed, in accordance with federal, state, and local guidelines, to ensure that the rights and privacy of key awardees’ program staff (e.g. program director) will be protected and maintained. </w:t>
      </w:r>
    </w:p>
    <w:p w14:paraId="1324ECE0" w14:textId="77777777" w:rsidR="00AD7E10" w:rsidRDefault="00AD7E10" w:rsidP="006C6A1A"/>
    <w:p w14:paraId="2841107D" w14:textId="63224B2C" w:rsidR="00433DEA" w:rsidRDefault="00AD7E10" w:rsidP="00433DEA">
      <w:pPr>
        <w:tabs>
          <w:tab w:val="left" w:pos="810"/>
        </w:tabs>
      </w:pPr>
      <w:r w:rsidRPr="00A93EB5">
        <w:t xml:space="preserve">While consent is not required to report aggregate data, awardee </w:t>
      </w:r>
      <w:r>
        <w:t>approval</w:t>
      </w:r>
      <w:r w:rsidRPr="00A93EB5">
        <w:t xml:space="preserve"> will be obtained if specific state data is used for publications, reports</w:t>
      </w:r>
      <w:r>
        <w:t>,</w:t>
      </w:r>
      <w:r w:rsidRPr="00A93EB5">
        <w:t xml:space="preserve"> or other publicly disseminated information.</w:t>
      </w:r>
      <w:r>
        <w:t xml:space="preserve"> </w:t>
      </w:r>
      <w:r w:rsidRPr="00A93EB5">
        <w:t xml:space="preserve">Respondents are </w:t>
      </w:r>
      <w:r w:rsidRPr="00A93EB5">
        <w:rPr>
          <w:color w:val="000000" w:themeColor="text1"/>
        </w:rPr>
        <w:t>state governmental agencies.</w:t>
      </w:r>
      <w:r w:rsidRPr="00A93EB5">
        <w:t xml:space="preserve"> Although contact information is obtained for each awardee, the contact person provides information about the organization, not personal information.  No system of records will be created under the Privacy Act.</w:t>
      </w:r>
      <w:r w:rsidR="00433DEA" w:rsidRPr="00433DEA">
        <w:t xml:space="preserve"> </w:t>
      </w:r>
      <w:r w:rsidR="00433DEA" w:rsidRPr="00A93EB5">
        <w:t xml:space="preserve">Submission and access to state data will be controlled by a password-protected login to the secure </w:t>
      </w:r>
      <w:r w:rsidR="00433DEA">
        <w:t>Monitoring and Evaluation Tool</w:t>
      </w:r>
      <w:r w:rsidR="00433DEA" w:rsidRPr="00A93EB5">
        <w:t xml:space="preserve"> site. Access levels vary from read-only to read-write, based on the user’s role and needs. CDC staff, and evaluation contractors will have varying levels of access to the system with role-appropriate security training, based on the requirements of their position(s).  Aggregated information will be stored on an internal CDC </w:t>
      </w:r>
      <w:r w:rsidR="00433DEA">
        <w:t>Access</w:t>
      </w:r>
      <w:r w:rsidR="00433DEA" w:rsidRPr="00A93EB5">
        <w:t xml:space="preserve"> server subject to CDC’s information security guidelines.  </w:t>
      </w:r>
    </w:p>
    <w:p w14:paraId="154AF3CF" w14:textId="77777777" w:rsidR="00AD7E10" w:rsidRPr="00A93EB5" w:rsidRDefault="00AD7E10" w:rsidP="00AD7E10">
      <w:pPr>
        <w:tabs>
          <w:tab w:val="left" w:pos="720"/>
        </w:tabs>
      </w:pPr>
    </w:p>
    <w:p w14:paraId="0020727F" w14:textId="6693DBD3" w:rsidR="00A030E6" w:rsidRDefault="00A030E6" w:rsidP="00EE31F9">
      <w:pPr>
        <w:tabs>
          <w:tab w:val="left" w:pos="720"/>
        </w:tabs>
        <w:rPr>
          <w:b/>
        </w:rPr>
      </w:pPr>
      <w:r w:rsidRPr="00A93EB5">
        <w:t xml:space="preserve"> </w:t>
      </w:r>
    </w:p>
    <w:p w14:paraId="348166D1" w14:textId="2CE34229" w:rsidR="007957D4" w:rsidRDefault="00A030E6" w:rsidP="00A030E6">
      <w:pPr>
        <w:rPr>
          <w:b/>
          <w:bCs/>
        </w:rPr>
      </w:pPr>
      <w:r w:rsidRPr="00691454">
        <w:rPr>
          <w:b/>
          <w:bCs/>
        </w:rPr>
        <w:t>A.11.</w:t>
      </w:r>
      <w:r w:rsidRPr="00691454">
        <w:rPr>
          <w:b/>
          <w:bCs/>
        </w:rPr>
        <w:tab/>
      </w:r>
      <w:r w:rsidR="00A2101B" w:rsidRPr="00A2101B">
        <w:rPr>
          <w:b/>
          <w:bCs/>
        </w:rPr>
        <w:t xml:space="preserve">Institutional Review Board (IRB) </w:t>
      </w:r>
      <w:r w:rsidR="00566BF1" w:rsidRPr="00A2101B">
        <w:rPr>
          <w:b/>
          <w:bCs/>
        </w:rPr>
        <w:t>and Justification</w:t>
      </w:r>
      <w:r w:rsidR="00A2101B" w:rsidRPr="00A2101B">
        <w:rPr>
          <w:b/>
          <w:bCs/>
        </w:rPr>
        <w:t xml:space="preserve"> for Sensitive Questions</w:t>
      </w:r>
      <w:r w:rsidRPr="00691454">
        <w:rPr>
          <w:b/>
          <w:bCs/>
        </w:rPr>
        <w:t xml:space="preserve"> </w:t>
      </w:r>
    </w:p>
    <w:p w14:paraId="65CC56DF" w14:textId="77777777" w:rsidR="007957D4" w:rsidRDefault="007957D4" w:rsidP="00A030E6">
      <w:pPr>
        <w:rPr>
          <w:b/>
          <w:bCs/>
        </w:rPr>
      </w:pPr>
    </w:p>
    <w:p w14:paraId="54E638E5" w14:textId="77777777" w:rsidR="007957D4" w:rsidRPr="00691454" w:rsidRDefault="007957D4" w:rsidP="007957D4">
      <w:pPr>
        <w:rPr>
          <w:b/>
        </w:rPr>
      </w:pPr>
      <w:r w:rsidRPr="00691454">
        <w:rPr>
          <w:b/>
        </w:rPr>
        <w:t>IRB Approval</w:t>
      </w:r>
    </w:p>
    <w:p w14:paraId="1F217F10" w14:textId="77777777" w:rsidR="007957D4" w:rsidRPr="00691454" w:rsidRDefault="007957D4" w:rsidP="007957D4">
      <w:pPr>
        <w:rPr>
          <w:u w:val="single"/>
        </w:rPr>
      </w:pPr>
    </w:p>
    <w:p w14:paraId="6314426E" w14:textId="2A5119DB" w:rsidR="007957D4" w:rsidRDefault="007957D4" w:rsidP="007957D4">
      <w:r w:rsidRPr="00CD4D06">
        <w:t xml:space="preserve">The CDC National Center for Injury Prevention and Control’s </w:t>
      </w:r>
      <w:r>
        <w:t xml:space="preserve">OMB and </w:t>
      </w:r>
      <w:r w:rsidRPr="00CD4D06">
        <w:t xml:space="preserve">human </w:t>
      </w:r>
      <w:r w:rsidR="00566BF1" w:rsidRPr="00CD4D06">
        <w:t>subject’s</w:t>
      </w:r>
      <w:r w:rsidRPr="00CD4D06">
        <w:t xml:space="preserve"> </w:t>
      </w:r>
      <w:r w:rsidR="00566BF1">
        <w:t>liaison</w:t>
      </w:r>
      <w:r w:rsidRPr="00CD4D06">
        <w:t xml:space="preserve"> has determined</w:t>
      </w:r>
      <w:r>
        <w:t xml:space="preserve"> that </w:t>
      </w:r>
      <w:r w:rsidRPr="00A93EB5">
        <w:t>IRB approval is not needed</w:t>
      </w:r>
      <w:r>
        <w:t>. N</w:t>
      </w:r>
      <w:r w:rsidRPr="00A93EB5">
        <w:t>o personal information will be collected and human participants will not be used</w:t>
      </w:r>
      <w:r>
        <w:t xml:space="preserve"> (Attachment 4)</w:t>
      </w:r>
    </w:p>
    <w:p w14:paraId="686B8BD7" w14:textId="77777777" w:rsidR="007957D4" w:rsidRPr="00A93EB5" w:rsidRDefault="007957D4" w:rsidP="007957D4"/>
    <w:p w14:paraId="457D98BA" w14:textId="63524274" w:rsidR="00A030E6" w:rsidRPr="00691454" w:rsidRDefault="00A030E6" w:rsidP="00A030E6">
      <w:pPr>
        <w:rPr>
          <w:b/>
          <w:bCs/>
        </w:rPr>
      </w:pPr>
      <w:r w:rsidRPr="00691454">
        <w:rPr>
          <w:b/>
          <w:bCs/>
        </w:rPr>
        <w:t>Sensitive Questions</w:t>
      </w:r>
      <w:r w:rsidRPr="00691454">
        <w:rPr>
          <w:b/>
          <w:bCs/>
        </w:rPr>
        <w:tab/>
      </w:r>
    </w:p>
    <w:p w14:paraId="7E58F48E" w14:textId="77777777" w:rsidR="00A030E6" w:rsidRDefault="00A030E6" w:rsidP="00A030E6">
      <w:pPr>
        <w:rPr>
          <w:bCs/>
        </w:rPr>
      </w:pPr>
    </w:p>
    <w:p w14:paraId="35AAD563" w14:textId="77777777" w:rsidR="00A030E6" w:rsidRPr="00A93EB5" w:rsidRDefault="00A030E6" w:rsidP="00A030E6">
      <w:pPr>
        <w:rPr>
          <w:bCs/>
        </w:rPr>
      </w:pPr>
      <w:r w:rsidRPr="00A93EB5">
        <w:rPr>
          <w:bCs/>
        </w:rPr>
        <w:t xml:space="preserve">The proposed tools do not collect sensitive information. </w:t>
      </w:r>
    </w:p>
    <w:p w14:paraId="75C8FCB8" w14:textId="77777777" w:rsidR="00A030E6" w:rsidRPr="00691454" w:rsidRDefault="00A030E6" w:rsidP="00A030E6"/>
    <w:p w14:paraId="3A94232B" w14:textId="77777777" w:rsidR="00A030E6" w:rsidRPr="00691454" w:rsidRDefault="00A030E6" w:rsidP="00A030E6">
      <w:pPr>
        <w:autoSpaceDE w:val="0"/>
        <w:autoSpaceDN w:val="0"/>
        <w:adjustRightInd w:val="0"/>
      </w:pPr>
      <w:r w:rsidRPr="00557E06">
        <w:rPr>
          <w:b/>
          <w:bCs/>
        </w:rPr>
        <w:t xml:space="preserve">A.12. </w:t>
      </w:r>
      <w:r w:rsidRPr="00557E06">
        <w:rPr>
          <w:b/>
          <w:bCs/>
        </w:rPr>
        <w:tab/>
        <w:t xml:space="preserve">Estimates of Annualized Burden Hours and Costs </w:t>
      </w:r>
    </w:p>
    <w:p w14:paraId="6015FA11" w14:textId="77777777" w:rsidR="00A030E6" w:rsidRDefault="00A030E6" w:rsidP="00A030E6"/>
    <w:p w14:paraId="46274906" w14:textId="5648EC1E" w:rsidR="00A030E6" w:rsidRPr="00A93EB5" w:rsidRDefault="00A030E6" w:rsidP="00A030E6">
      <w:r>
        <w:t>Respondents will be</w:t>
      </w:r>
      <w:r w:rsidRPr="00A93EB5">
        <w:t xml:space="preserve"> the </w:t>
      </w:r>
      <w:r w:rsidR="005B6EBB">
        <w:t>29</w:t>
      </w:r>
      <w:r>
        <w:t xml:space="preserve"> awardees for the PDO Prevention for States</w:t>
      </w:r>
      <w:r w:rsidRPr="00A93EB5">
        <w:t xml:space="preserve"> cooperative agreement. </w:t>
      </w:r>
      <w:r w:rsidR="00E2517E">
        <w:t>Respondents</w:t>
      </w:r>
      <w:r w:rsidR="00E2517E" w:rsidRPr="00A93EB5">
        <w:t xml:space="preserve"> </w:t>
      </w:r>
      <w:r w:rsidRPr="00A93EB5">
        <w:t>will report information to CDC about their activities and performance measures, and evaluation progress</w:t>
      </w:r>
      <w:r>
        <w:t xml:space="preserve"> based upon selected strategies</w:t>
      </w:r>
      <w:r w:rsidRPr="00A93EB5">
        <w:t>.  T</w:t>
      </w:r>
      <w:r>
        <w:t>wo</w:t>
      </w:r>
      <w:r w:rsidRPr="00A93EB5">
        <w:t xml:space="preserve"> information collection tools</w:t>
      </w:r>
      <w:r>
        <w:t xml:space="preserve"> will be used: </w:t>
      </w:r>
      <w:r w:rsidRPr="00A93EB5">
        <w:t xml:space="preserve">an Excel-based </w:t>
      </w:r>
      <w:r>
        <w:t>Annual Progress Report</w:t>
      </w:r>
      <w:r w:rsidRPr="00A93EB5">
        <w:t xml:space="preserve"> </w:t>
      </w:r>
      <w:r>
        <w:t xml:space="preserve">Tool </w:t>
      </w:r>
      <w:r w:rsidRPr="00A93EB5">
        <w:t>(</w:t>
      </w:r>
      <w:r>
        <w:rPr>
          <w:b/>
        </w:rPr>
        <w:t>Attachment 3</w:t>
      </w:r>
      <w:r w:rsidRPr="00A93EB5">
        <w:rPr>
          <w:b/>
        </w:rPr>
        <w:t>a</w:t>
      </w:r>
      <w:r>
        <w:t xml:space="preserve">) </w:t>
      </w:r>
      <w:r w:rsidRPr="00A93EB5">
        <w:t>a</w:t>
      </w:r>
      <w:r>
        <w:t>nd a Word-based Plan</w:t>
      </w:r>
      <w:r w:rsidRPr="00A93EB5">
        <w:t xml:space="preserve"> </w:t>
      </w:r>
      <w:r>
        <w:t xml:space="preserve">Tool </w:t>
      </w:r>
      <w:r w:rsidRPr="00A93EB5">
        <w:t>(</w:t>
      </w:r>
      <w:r>
        <w:rPr>
          <w:b/>
        </w:rPr>
        <w:t>Attachment 3b</w:t>
      </w:r>
      <w:r w:rsidRPr="00A93EB5">
        <w:t xml:space="preserve">).  </w:t>
      </w:r>
      <w:r w:rsidR="00100C7C">
        <w:t>A</w:t>
      </w:r>
      <w:r w:rsidRPr="00A93EB5">
        <w:t xml:space="preserve">nnual reporting is applicable to Year 1, Year 2, </w:t>
      </w:r>
      <w:r w:rsidR="004A4AEF">
        <w:t xml:space="preserve">and </w:t>
      </w:r>
      <w:r w:rsidRPr="00A93EB5">
        <w:t>Year 3</w:t>
      </w:r>
      <w:r w:rsidR="004A4AEF">
        <w:t xml:space="preserve">. An OMB extension will be requested for </w:t>
      </w:r>
      <w:r>
        <w:t xml:space="preserve"> Year 4</w:t>
      </w:r>
      <w:r w:rsidRPr="00A93EB5">
        <w:t>.  A supplemental allocation for initial start-up burden wil</w:t>
      </w:r>
      <w:r>
        <w:t xml:space="preserve">l occur one time only in Year 1 for completion of the Annual Progress Report Tool. </w:t>
      </w:r>
    </w:p>
    <w:p w14:paraId="6C2945C4" w14:textId="77777777" w:rsidR="00A030E6" w:rsidRPr="00A93EB5" w:rsidRDefault="00A030E6" w:rsidP="00A030E6"/>
    <w:p w14:paraId="3B05DE3F" w14:textId="03CFB01A" w:rsidR="00100C7C" w:rsidRPr="00A93EB5" w:rsidRDefault="00A030E6" w:rsidP="00100C7C">
      <w:r w:rsidRPr="00A93EB5">
        <w:t xml:space="preserve">The same instruments will be used for all information collection and reporting.  However, burden estimates for </w:t>
      </w:r>
      <w:r>
        <w:t xml:space="preserve">the Annual Progress Report will vary according to the </w:t>
      </w:r>
      <w:r w:rsidRPr="000C693D">
        <w:t>reporting year (Year 1, vs. Year 2</w:t>
      </w:r>
      <w:r>
        <w:t xml:space="preserve">, </w:t>
      </w:r>
      <w:r w:rsidR="00270BD4">
        <w:t xml:space="preserve">and </w:t>
      </w:r>
      <w:r w:rsidRPr="000C693D">
        <w:t>Year 3of the  OMB approval period</w:t>
      </w:r>
      <w:r>
        <w:t>, with plans for a fourth year extension request</w:t>
      </w:r>
      <w:r w:rsidRPr="000C693D">
        <w:t>)</w:t>
      </w:r>
      <w:r w:rsidRPr="00A93EB5">
        <w:t>.</w:t>
      </w:r>
      <w:r w:rsidR="005B6EBB">
        <w:t xml:space="preserve">  </w:t>
      </w:r>
      <w:r w:rsidRPr="00A93EB5">
        <w:t xml:space="preserve">The time commitments for data </w:t>
      </w:r>
      <w:r>
        <w:t xml:space="preserve">collection, </w:t>
      </w:r>
      <w:r w:rsidRPr="00A93EB5">
        <w:t>entry</w:t>
      </w:r>
      <w:r>
        <w:t>,</w:t>
      </w:r>
      <w:r w:rsidRPr="00A93EB5">
        <w:t xml:space="preserve"> and training will be greate</w:t>
      </w:r>
      <w:r>
        <w:t xml:space="preserve">st during the first </w:t>
      </w:r>
      <w:r w:rsidR="00270BD4">
        <w:t>year</w:t>
      </w:r>
      <w:r w:rsidRPr="00A93EB5">
        <w:t xml:space="preserve"> and the efficiencies of the </w:t>
      </w:r>
      <w:r>
        <w:t>Annual Progress Report</w:t>
      </w:r>
      <w:r w:rsidRPr="00A93EB5">
        <w:t xml:space="preserve"> </w:t>
      </w:r>
      <w:r>
        <w:t xml:space="preserve">Tool </w:t>
      </w:r>
      <w:r w:rsidRPr="00A93EB5">
        <w:t>will be realized in subsequent reporting years, when burden is limited to entering changes, progress information, and new activities.</w:t>
      </w:r>
      <w:r w:rsidRPr="00C94516">
        <w:t xml:space="preserve"> </w:t>
      </w:r>
      <w:r w:rsidR="00100C7C">
        <w:t xml:space="preserve">That is, the first round of reporting (in Year 1) will take the longest and therefore have </w:t>
      </w:r>
      <w:r w:rsidR="00100C7C">
        <w:lastRenderedPageBreak/>
        <w:t>the highest burden.  In subsequent years, respondents can simply revise the tools they have used for Year 1 and therefore the process will be faster, with fewer burden hours.  For all respondents</w:t>
      </w:r>
      <w:r w:rsidR="00100C7C" w:rsidRPr="00A93EB5">
        <w:t xml:space="preserve">, the burden per response is estimated to be </w:t>
      </w:r>
      <w:r w:rsidR="00100C7C">
        <w:t>20</w:t>
      </w:r>
      <w:r w:rsidR="00100C7C" w:rsidRPr="00A93EB5">
        <w:t xml:space="preserve"> hours for initial population of the tool.  The routine annual burden per response is estimated at </w:t>
      </w:r>
      <w:r w:rsidR="00270BD4">
        <w:t>4</w:t>
      </w:r>
      <w:r w:rsidR="00270BD4" w:rsidRPr="00A93EB5">
        <w:t xml:space="preserve"> </w:t>
      </w:r>
      <w:r w:rsidR="00100C7C" w:rsidRPr="00A93EB5">
        <w:t>hour</w:t>
      </w:r>
      <w:r w:rsidR="00100C7C">
        <w:t>s</w:t>
      </w:r>
      <w:r w:rsidR="00100C7C" w:rsidRPr="00A93EB5">
        <w:t xml:space="preserve">.     </w:t>
      </w:r>
    </w:p>
    <w:p w14:paraId="2A20C6B8" w14:textId="39B552B3" w:rsidR="00100C7C" w:rsidRPr="00A93EB5" w:rsidRDefault="00A030E6" w:rsidP="00100C7C">
      <w:r>
        <w:t xml:space="preserve">Awardees </w:t>
      </w:r>
      <w:r w:rsidR="00100C7C">
        <w:t>submitted</w:t>
      </w:r>
      <w:r>
        <w:t xml:space="preserve"> a draft evaluation plan </w:t>
      </w:r>
      <w:r w:rsidR="00100C7C">
        <w:t xml:space="preserve">as part of their application </w:t>
      </w:r>
      <w:r>
        <w:t>for the funding opportunity</w:t>
      </w:r>
      <w:r w:rsidR="00100C7C">
        <w:t>, and therefore have already completed much of the work that will be reported in the Plan Tool</w:t>
      </w:r>
      <w:r>
        <w:t>. Therefore, reporting burden for completing the Plan Tool will remain the same throughout the OMB approval period, as awardees will simply update what was submitted</w:t>
      </w:r>
      <w:r w:rsidR="00100C7C">
        <w:t xml:space="preserve"> in their original application</w:t>
      </w:r>
      <w:r>
        <w:t xml:space="preserve">. </w:t>
      </w:r>
      <w:r w:rsidR="00100C7C" w:rsidRPr="00A93EB5">
        <w:t xml:space="preserve">The routine annual burden per response is estimated at </w:t>
      </w:r>
      <w:r w:rsidR="00270BD4">
        <w:t xml:space="preserve">4 </w:t>
      </w:r>
      <w:r w:rsidR="00100C7C" w:rsidRPr="00A93EB5">
        <w:t xml:space="preserve">hours (see </w:t>
      </w:r>
      <w:r w:rsidR="00100C7C">
        <w:rPr>
          <w:b/>
        </w:rPr>
        <w:t>Attachment 3b</w:t>
      </w:r>
      <w:r w:rsidR="00100C7C" w:rsidRPr="00A93EB5">
        <w:t xml:space="preserve">).  </w:t>
      </w:r>
    </w:p>
    <w:p w14:paraId="20AB91B5" w14:textId="77777777" w:rsidR="00A030E6" w:rsidRPr="00A93EB5" w:rsidRDefault="00A030E6" w:rsidP="00A030E6"/>
    <w:p w14:paraId="71019EB9" w14:textId="1F18A0AD" w:rsidR="00A030E6" w:rsidRPr="00A93EB5" w:rsidRDefault="00100C7C" w:rsidP="00A030E6">
      <w:r>
        <w:t>A</w:t>
      </w:r>
      <w:r w:rsidR="00A030E6" w:rsidRPr="00A93EB5">
        <w:t xml:space="preserve">ll </w:t>
      </w:r>
      <w:r w:rsidR="00E2517E">
        <w:t>respondents</w:t>
      </w:r>
      <w:r w:rsidR="00E2517E" w:rsidRPr="00A93EB5">
        <w:t xml:space="preserve"> </w:t>
      </w:r>
      <w:r w:rsidR="00A030E6" w:rsidRPr="00A93EB5">
        <w:t xml:space="preserve">will complete the Excel-based </w:t>
      </w:r>
      <w:r w:rsidR="00A030E6">
        <w:t>Annual Progress Report</w:t>
      </w:r>
      <w:r w:rsidR="00A030E6" w:rsidRPr="00A93EB5">
        <w:t xml:space="preserve"> </w:t>
      </w:r>
      <w:r w:rsidR="00A030E6">
        <w:t xml:space="preserve">Tool </w:t>
      </w:r>
      <w:r w:rsidR="00A030E6" w:rsidRPr="00A93EB5">
        <w:t>(</w:t>
      </w:r>
      <w:r w:rsidR="00A030E6">
        <w:rPr>
          <w:b/>
        </w:rPr>
        <w:t>Attachment 3</w:t>
      </w:r>
      <w:r w:rsidR="00A030E6" w:rsidRPr="00A93EB5">
        <w:rPr>
          <w:b/>
        </w:rPr>
        <w:t>a</w:t>
      </w:r>
      <w:r>
        <w:t>, due each year  before the end of the budget period</w:t>
      </w:r>
      <w:r w:rsidR="005B6EBB">
        <w:t>.</w:t>
      </w:r>
    </w:p>
    <w:p w14:paraId="6A5A3726" w14:textId="77777777" w:rsidR="00A030E6" w:rsidRPr="00A93EB5" w:rsidRDefault="00A030E6" w:rsidP="00A030E6"/>
    <w:p w14:paraId="22028CF1" w14:textId="15759D3E" w:rsidR="00A030E6" w:rsidRPr="00A93EB5" w:rsidRDefault="00A030E6" w:rsidP="00A030E6">
      <w:r w:rsidRPr="00A93EB5">
        <w:t xml:space="preserve">Over the </w:t>
      </w:r>
      <w:r>
        <w:t>three</w:t>
      </w:r>
      <w:r w:rsidRPr="00A93EB5">
        <w:t xml:space="preserve">-year period of this information collection request, the total estimated burden for the </w:t>
      </w:r>
      <w:r w:rsidR="005B6EBB">
        <w:t>29</w:t>
      </w:r>
      <w:r w:rsidRPr="00A93EB5">
        <w:t xml:space="preserve"> awardees is</w:t>
      </w:r>
      <w:r>
        <w:t xml:space="preserve"> </w:t>
      </w:r>
      <w:r w:rsidR="00A22D7D">
        <w:t>812</w:t>
      </w:r>
      <w:r w:rsidR="0056559A">
        <w:t xml:space="preserve"> hours</w:t>
      </w:r>
      <w:r w:rsidRPr="00A93EB5">
        <w:t>, as summarized in Table A.12-A.</w:t>
      </w:r>
    </w:p>
    <w:p w14:paraId="56E5AEC0" w14:textId="77777777" w:rsidR="00A030E6" w:rsidRPr="00691454" w:rsidRDefault="00A030E6" w:rsidP="00A030E6">
      <w:pPr>
        <w:pStyle w:val="a"/>
        <w:tabs>
          <w:tab w:val="left" w:pos="-1440"/>
        </w:tabs>
        <w:ind w:left="0" w:firstLine="0"/>
      </w:pPr>
    </w:p>
    <w:p w14:paraId="446DD43E" w14:textId="77777777" w:rsidR="00A030E6" w:rsidRDefault="00A030E6" w:rsidP="00A030E6">
      <w:pPr>
        <w:pStyle w:val="a"/>
        <w:tabs>
          <w:tab w:val="left" w:pos="-1440"/>
        </w:tabs>
        <w:ind w:left="0" w:firstLine="0"/>
      </w:pPr>
    </w:p>
    <w:p w14:paraId="447415DB" w14:textId="77777777" w:rsidR="00A030E6" w:rsidRDefault="00A030E6" w:rsidP="00A030E6">
      <w:pPr>
        <w:pStyle w:val="a"/>
        <w:tabs>
          <w:tab w:val="left" w:pos="-1440"/>
        </w:tabs>
        <w:ind w:left="0" w:firstLine="0"/>
      </w:pPr>
      <w:r w:rsidRPr="00491001">
        <w:t xml:space="preserve">Table </w:t>
      </w:r>
      <w:r>
        <w:t>A.</w:t>
      </w:r>
      <w:r w:rsidRPr="00491001">
        <w:t>1</w:t>
      </w:r>
      <w:r>
        <w:t>2-A</w:t>
      </w:r>
      <w:r w:rsidRPr="00491001">
        <w:t>.  Estimated Annualized Burden Hours</w:t>
      </w:r>
      <w:r w:rsidRPr="00691454">
        <w:t xml:space="preserve"> </w:t>
      </w:r>
    </w:p>
    <w:tbl>
      <w:tblPr>
        <w:tblW w:w="945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8"/>
        <w:gridCol w:w="1822"/>
        <w:gridCol w:w="1620"/>
        <w:gridCol w:w="1620"/>
        <w:gridCol w:w="1710"/>
        <w:gridCol w:w="1170"/>
      </w:tblGrid>
      <w:tr w:rsidR="00A955A9" w:rsidRPr="00691454" w14:paraId="011EA039" w14:textId="77777777" w:rsidTr="00E466A4">
        <w:trPr>
          <w:trHeight w:val="1070"/>
        </w:trPr>
        <w:tc>
          <w:tcPr>
            <w:tcW w:w="1508" w:type="dxa"/>
            <w:vAlign w:val="center"/>
          </w:tcPr>
          <w:p w14:paraId="28BED22A" w14:textId="77777777" w:rsidR="00A955A9" w:rsidRPr="00691454" w:rsidRDefault="00A955A9" w:rsidP="00E466A4">
            <w:r w:rsidRPr="00691454">
              <w:t>Type of Respondents</w:t>
            </w:r>
          </w:p>
        </w:tc>
        <w:tc>
          <w:tcPr>
            <w:tcW w:w="1822" w:type="dxa"/>
          </w:tcPr>
          <w:p w14:paraId="3B915ADE" w14:textId="77777777" w:rsidR="00A955A9" w:rsidRPr="00691454" w:rsidRDefault="00A955A9" w:rsidP="00E466A4"/>
          <w:p w14:paraId="5257C6AC" w14:textId="77777777" w:rsidR="00A955A9" w:rsidRPr="00691454" w:rsidRDefault="00A955A9" w:rsidP="00E466A4">
            <w:r w:rsidRPr="00691454">
              <w:t>Form Name</w:t>
            </w:r>
          </w:p>
        </w:tc>
        <w:tc>
          <w:tcPr>
            <w:tcW w:w="1620" w:type="dxa"/>
            <w:vAlign w:val="center"/>
          </w:tcPr>
          <w:p w14:paraId="0C6D8E07" w14:textId="77777777" w:rsidR="00A955A9" w:rsidRPr="00691454" w:rsidRDefault="00A955A9" w:rsidP="00E466A4">
            <w:r w:rsidRPr="00691454">
              <w:t>Number of Respondents</w:t>
            </w:r>
          </w:p>
        </w:tc>
        <w:tc>
          <w:tcPr>
            <w:tcW w:w="1620" w:type="dxa"/>
            <w:vAlign w:val="center"/>
          </w:tcPr>
          <w:p w14:paraId="61EE5857" w14:textId="77777777" w:rsidR="00A955A9" w:rsidRPr="00691454" w:rsidRDefault="00A955A9" w:rsidP="00E466A4">
            <w:r w:rsidRPr="00691454">
              <w:t>Number of Responses per Respondent</w:t>
            </w:r>
          </w:p>
        </w:tc>
        <w:tc>
          <w:tcPr>
            <w:tcW w:w="1710" w:type="dxa"/>
            <w:vAlign w:val="center"/>
          </w:tcPr>
          <w:p w14:paraId="0FBFEB7B" w14:textId="77777777" w:rsidR="00A955A9" w:rsidRPr="00691454" w:rsidRDefault="00A955A9" w:rsidP="00E466A4">
            <w:r w:rsidRPr="00691454">
              <w:t>Average Burden per Response</w:t>
            </w:r>
          </w:p>
          <w:p w14:paraId="50B99A69" w14:textId="77777777" w:rsidR="00A955A9" w:rsidRPr="00691454" w:rsidRDefault="00A955A9" w:rsidP="00E466A4">
            <w:r w:rsidRPr="00691454">
              <w:t>(in hours)</w:t>
            </w:r>
          </w:p>
        </w:tc>
        <w:tc>
          <w:tcPr>
            <w:tcW w:w="1170" w:type="dxa"/>
            <w:vAlign w:val="center"/>
          </w:tcPr>
          <w:p w14:paraId="7B6587FB" w14:textId="77777777" w:rsidR="00A955A9" w:rsidRPr="00691454" w:rsidRDefault="00A955A9" w:rsidP="00E466A4">
            <w:r w:rsidRPr="00691454">
              <w:t>Total Burden (in hours)</w:t>
            </w:r>
          </w:p>
        </w:tc>
      </w:tr>
      <w:tr w:rsidR="001A2063" w:rsidRPr="00691454" w14:paraId="07657A3D" w14:textId="77777777" w:rsidTr="00E466A4">
        <w:trPr>
          <w:trHeight w:val="575"/>
        </w:trPr>
        <w:tc>
          <w:tcPr>
            <w:tcW w:w="1508" w:type="dxa"/>
          </w:tcPr>
          <w:p w14:paraId="3CFEE083" w14:textId="77777777" w:rsidR="001A2063" w:rsidRPr="0053268B" w:rsidRDefault="001A2063" w:rsidP="00E466A4"/>
        </w:tc>
        <w:tc>
          <w:tcPr>
            <w:tcW w:w="1822" w:type="dxa"/>
            <w:shd w:val="clear" w:color="auto" w:fill="FFFFFF" w:themeFill="background1"/>
          </w:tcPr>
          <w:p w14:paraId="18F7DCA1" w14:textId="77A8D090" w:rsidR="001A2063" w:rsidRPr="00873D63" w:rsidRDefault="001A2063" w:rsidP="00E466A4">
            <w:r w:rsidRPr="009C2FDE">
              <w:rPr>
                <w:color w:val="000000"/>
              </w:rPr>
              <w:t>Initial population</w:t>
            </w:r>
            <w:r>
              <w:rPr>
                <w:color w:val="000000"/>
              </w:rPr>
              <w:t xml:space="preserve"> - </w:t>
            </w:r>
            <w:r w:rsidRPr="00873D63">
              <w:t>Annual reporting</w:t>
            </w:r>
            <w:r w:rsidRPr="00873D63">
              <w:rPr>
                <w:color w:val="000000"/>
              </w:rPr>
              <w:t xml:space="preserve"> - </w:t>
            </w:r>
            <w:r w:rsidRPr="00873D63">
              <w:t>Progress Report Tool</w:t>
            </w:r>
            <w:r>
              <w:t xml:space="preserve"> </w:t>
            </w:r>
            <w:r w:rsidRPr="00873D63">
              <w:rPr>
                <w:color w:val="000000"/>
              </w:rPr>
              <w:t>(Attachment 3a)</w:t>
            </w:r>
          </w:p>
        </w:tc>
        <w:tc>
          <w:tcPr>
            <w:tcW w:w="1620" w:type="dxa"/>
            <w:shd w:val="clear" w:color="auto" w:fill="FFFFFF" w:themeFill="background1"/>
          </w:tcPr>
          <w:p w14:paraId="77D7DA8F" w14:textId="262C6BBF" w:rsidR="001A2063" w:rsidRPr="00873D63" w:rsidRDefault="00A22D7D" w:rsidP="00E466A4">
            <w:pPr>
              <w:jc w:val="right"/>
            </w:pPr>
            <w:r>
              <w:t>29</w:t>
            </w:r>
          </w:p>
        </w:tc>
        <w:tc>
          <w:tcPr>
            <w:tcW w:w="1620" w:type="dxa"/>
          </w:tcPr>
          <w:p w14:paraId="2EE8AA7E" w14:textId="5A8D92B0" w:rsidR="001A2063" w:rsidRDefault="001A2063" w:rsidP="00E466A4">
            <w:pPr>
              <w:jc w:val="right"/>
            </w:pPr>
            <w:r>
              <w:t>1</w:t>
            </w:r>
          </w:p>
        </w:tc>
        <w:tc>
          <w:tcPr>
            <w:tcW w:w="1710" w:type="dxa"/>
          </w:tcPr>
          <w:p w14:paraId="2EE17812" w14:textId="04413FA9" w:rsidR="001A2063" w:rsidRDefault="001A2063" w:rsidP="00E466A4">
            <w:pPr>
              <w:jc w:val="right"/>
            </w:pPr>
            <w:r>
              <w:t>20</w:t>
            </w:r>
          </w:p>
        </w:tc>
        <w:tc>
          <w:tcPr>
            <w:tcW w:w="1170" w:type="dxa"/>
          </w:tcPr>
          <w:p w14:paraId="1AC80B48" w14:textId="627DB5EB" w:rsidR="001A2063" w:rsidRDefault="00A22D7D" w:rsidP="00E466A4">
            <w:pPr>
              <w:jc w:val="right"/>
            </w:pPr>
            <w:r>
              <w:t>580</w:t>
            </w:r>
          </w:p>
        </w:tc>
      </w:tr>
      <w:tr w:rsidR="00A955A9" w:rsidRPr="00691454" w14:paraId="1C137271" w14:textId="77777777" w:rsidTr="00E466A4">
        <w:trPr>
          <w:trHeight w:val="575"/>
        </w:trPr>
        <w:tc>
          <w:tcPr>
            <w:tcW w:w="1508" w:type="dxa"/>
            <w:vMerge w:val="restart"/>
          </w:tcPr>
          <w:p w14:paraId="0EF55DE3" w14:textId="21F58630" w:rsidR="00A955A9" w:rsidRDefault="00A955A9" w:rsidP="00E466A4">
            <w:r w:rsidRPr="0053268B">
              <w:t xml:space="preserve">State and Territorial Health </w:t>
            </w:r>
            <w:r w:rsidR="00566BF1" w:rsidRPr="0053268B">
              <w:t>Department</w:t>
            </w:r>
            <w:r>
              <w:t xml:space="preserve"> Program Awardees</w:t>
            </w:r>
          </w:p>
          <w:p w14:paraId="761F8343" w14:textId="77777777" w:rsidR="00A955A9" w:rsidRDefault="00A955A9" w:rsidP="00E466A4"/>
          <w:p w14:paraId="31FB96B7" w14:textId="77777777" w:rsidR="00A955A9" w:rsidRDefault="00A955A9" w:rsidP="00E466A4"/>
          <w:p w14:paraId="1BD1C5F8" w14:textId="77777777" w:rsidR="00A955A9" w:rsidRDefault="00A955A9" w:rsidP="00E466A4"/>
          <w:p w14:paraId="59A48C9D" w14:textId="77777777" w:rsidR="00A955A9" w:rsidRDefault="00A955A9" w:rsidP="00E466A4"/>
        </w:tc>
        <w:tc>
          <w:tcPr>
            <w:tcW w:w="1822" w:type="dxa"/>
            <w:shd w:val="clear" w:color="auto" w:fill="FFFFFF" w:themeFill="background1"/>
          </w:tcPr>
          <w:p w14:paraId="18B354DB" w14:textId="77777777" w:rsidR="00A955A9" w:rsidRPr="00873D63" w:rsidRDefault="00A955A9" w:rsidP="00E466A4">
            <w:r w:rsidRPr="00873D63">
              <w:t>Annual reporting</w:t>
            </w:r>
            <w:r w:rsidRPr="00873D63">
              <w:rPr>
                <w:color w:val="000000"/>
              </w:rPr>
              <w:t xml:space="preserve"> - </w:t>
            </w:r>
            <w:r w:rsidRPr="00873D63">
              <w:t>Progress Report Tool</w:t>
            </w:r>
            <w:r w:rsidRPr="00873D63">
              <w:rPr>
                <w:color w:val="000000"/>
              </w:rPr>
              <w:t xml:space="preserve"> (Attachment 3a)</w:t>
            </w:r>
          </w:p>
        </w:tc>
        <w:tc>
          <w:tcPr>
            <w:tcW w:w="1620" w:type="dxa"/>
            <w:shd w:val="clear" w:color="auto" w:fill="FFFFFF" w:themeFill="background1"/>
          </w:tcPr>
          <w:p w14:paraId="32CB05AA" w14:textId="319809D1" w:rsidR="00A955A9" w:rsidRPr="00873D63" w:rsidRDefault="00A22D7D" w:rsidP="00E466A4">
            <w:pPr>
              <w:jc w:val="right"/>
            </w:pPr>
            <w:r>
              <w:t>29</w:t>
            </w:r>
          </w:p>
        </w:tc>
        <w:tc>
          <w:tcPr>
            <w:tcW w:w="1620" w:type="dxa"/>
          </w:tcPr>
          <w:p w14:paraId="31A515C3" w14:textId="77777777" w:rsidR="00A955A9" w:rsidRPr="00691454" w:rsidRDefault="00A955A9" w:rsidP="00E466A4">
            <w:pPr>
              <w:jc w:val="right"/>
            </w:pPr>
            <w:r>
              <w:t>1</w:t>
            </w:r>
          </w:p>
        </w:tc>
        <w:tc>
          <w:tcPr>
            <w:tcW w:w="1710" w:type="dxa"/>
          </w:tcPr>
          <w:p w14:paraId="2540ACDD" w14:textId="1F74EF23" w:rsidR="00A955A9" w:rsidRPr="00691454" w:rsidRDefault="001A2063" w:rsidP="00E466A4">
            <w:pPr>
              <w:jc w:val="right"/>
            </w:pPr>
            <w:r>
              <w:t>4</w:t>
            </w:r>
          </w:p>
        </w:tc>
        <w:tc>
          <w:tcPr>
            <w:tcW w:w="1170" w:type="dxa"/>
          </w:tcPr>
          <w:p w14:paraId="3D3457A7" w14:textId="12C6325F" w:rsidR="00A955A9" w:rsidRPr="00691454" w:rsidRDefault="00A22D7D" w:rsidP="00E466A4">
            <w:pPr>
              <w:jc w:val="right"/>
            </w:pPr>
            <w:r>
              <w:t>116</w:t>
            </w:r>
          </w:p>
        </w:tc>
      </w:tr>
      <w:tr w:rsidR="00A955A9" w:rsidRPr="00691454" w14:paraId="1FCA8528" w14:textId="77777777" w:rsidTr="00E466A4">
        <w:trPr>
          <w:trHeight w:val="575"/>
        </w:trPr>
        <w:tc>
          <w:tcPr>
            <w:tcW w:w="1508" w:type="dxa"/>
            <w:vMerge/>
          </w:tcPr>
          <w:p w14:paraId="311A2B8C" w14:textId="77777777" w:rsidR="00A955A9" w:rsidRDefault="00A955A9" w:rsidP="00E466A4"/>
        </w:tc>
        <w:tc>
          <w:tcPr>
            <w:tcW w:w="1822" w:type="dxa"/>
          </w:tcPr>
          <w:p w14:paraId="5405732C" w14:textId="0ED8C007" w:rsidR="00A955A9" w:rsidRPr="00691454" w:rsidRDefault="00A955A9" w:rsidP="00270BD4">
            <w:r w:rsidRPr="00873D63">
              <w:t>Annual reporting</w:t>
            </w:r>
            <w:r w:rsidRPr="00873D63">
              <w:rPr>
                <w:color w:val="000000"/>
              </w:rPr>
              <w:t xml:space="preserve"> - </w:t>
            </w:r>
            <w:r>
              <w:t xml:space="preserve">Plan Tool </w:t>
            </w:r>
            <w:r w:rsidRPr="00873D63">
              <w:rPr>
                <w:color w:val="000000"/>
              </w:rPr>
              <w:t xml:space="preserve">(Attachment </w:t>
            </w:r>
            <w:r>
              <w:rPr>
                <w:color w:val="000000"/>
              </w:rPr>
              <w:t>3b</w:t>
            </w:r>
            <w:r w:rsidRPr="00873D63">
              <w:rPr>
                <w:color w:val="000000"/>
              </w:rPr>
              <w:t>)</w:t>
            </w:r>
          </w:p>
        </w:tc>
        <w:tc>
          <w:tcPr>
            <w:tcW w:w="1620" w:type="dxa"/>
          </w:tcPr>
          <w:p w14:paraId="70204C9A" w14:textId="7C753684" w:rsidR="00A955A9" w:rsidRPr="00691454" w:rsidRDefault="00A22D7D" w:rsidP="00E466A4">
            <w:pPr>
              <w:jc w:val="right"/>
            </w:pPr>
            <w:r>
              <w:t>29</w:t>
            </w:r>
          </w:p>
        </w:tc>
        <w:tc>
          <w:tcPr>
            <w:tcW w:w="1620" w:type="dxa"/>
          </w:tcPr>
          <w:p w14:paraId="2227A62F" w14:textId="77777777" w:rsidR="00A955A9" w:rsidRPr="00691454" w:rsidRDefault="00A955A9" w:rsidP="00E466A4">
            <w:pPr>
              <w:jc w:val="right"/>
            </w:pPr>
            <w:r>
              <w:t>1</w:t>
            </w:r>
          </w:p>
        </w:tc>
        <w:tc>
          <w:tcPr>
            <w:tcW w:w="1710" w:type="dxa"/>
          </w:tcPr>
          <w:p w14:paraId="661F24D3" w14:textId="77777777" w:rsidR="00A955A9" w:rsidRPr="00691454" w:rsidRDefault="00A955A9" w:rsidP="00E466A4">
            <w:pPr>
              <w:jc w:val="right"/>
            </w:pPr>
            <w:r>
              <w:t>4</w:t>
            </w:r>
          </w:p>
        </w:tc>
        <w:tc>
          <w:tcPr>
            <w:tcW w:w="1170" w:type="dxa"/>
          </w:tcPr>
          <w:p w14:paraId="53D4A4FE" w14:textId="0A0B8A3E" w:rsidR="00A955A9" w:rsidRPr="00691454" w:rsidRDefault="00A22D7D" w:rsidP="00E466A4">
            <w:pPr>
              <w:jc w:val="right"/>
            </w:pPr>
            <w:r>
              <w:t>116</w:t>
            </w:r>
          </w:p>
        </w:tc>
      </w:tr>
      <w:tr w:rsidR="00A955A9" w:rsidRPr="00691454" w14:paraId="2B94CD3A" w14:textId="77777777" w:rsidTr="00E466A4">
        <w:trPr>
          <w:trHeight w:val="276"/>
        </w:trPr>
        <w:tc>
          <w:tcPr>
            <w:tcW w:w="8280" w:type="dxa"/>
            <w:gridSpan w:val="5"/>
          </w:tcPr>
          <w:p w14:paraId="3763240D" w14:textId="4922B74F" w:rsidR="00A955A9" w:rsidRPr="00691454" w:rsidRDefault="00AB6ED2" w:rsidP="00E466A4">
            <w:pPr>
              <w:jc w:val="right"/>
              <w:rPr>
                <w:b/>
              </w:rPr>
            </w:pPr>
            <w:r>
              <w:rPr>
                <w:b/>
              </w:rPr>
              <w:t>Total</w:t>
            </w:r>
          </w:p>
        </w:tc>
        <w:tc>
          <w:tcPr>
            <w:tcW w:w="1170" w:type="dxa"/>
          </w:tcPr>
          <w:p w14:paraId="716ADC5D" w14:textId="223F7636" w:rsidR="00A955A9" w:rsidRDefault="0046659F" w:rsidP="00E466A4">
            <w:pPr>
              <w:jc w:val="right"/>
            </w:pPr>
            <w:r>
              <w:t>812</w:t>
            </w:r>
            <w:bookmarkStart w:id="1" w:name="_GoBack"/>
            <w:bookmarkEnd w:id="1"/>
          </w:p>
        </w:tc>
      </w:tr>
    </w:tbl>
    <w:p w14:paraId="4B44C823" w14:textId="77777777" w:rsidR="00A955A9" w:rsidRDefault="00A955A9" w:rsidP="00A030E6">
      <w:pPr>
        <w:pStyle w:val="a"/>
        <w:tabs>
          <w:tab w:val="left" w:pos="-1440"/>
        </w:tabs>
        <w:ind w:left="0" w:firstLine="0"/>
      </w:pPr>
    </w:p>
    <w:p w14:paraId="34774967" w14:textId="77777777" w:rsidR="00A030E6" w:rsidRPr="00691454" w:rsidRDefault="00A030E6" w:rsidP="00A030E6">
      <w:pPr>
        <w:pStyle w:val="a"/>
        <w:tabs>
          <w:tab w:val="left" w:pos="-1440"/>
        </w:tabs>
        <w:ind w:left="0" w:firstLine="0"/>
      </w:pPr>
    </w:p>
    <w:p w14:paraId="7ECAD006" w14:textId="77777777" w:rsidR="0056559A" w:rsidRDefault="0056559A" w:rsidP="00A030E6">
      <w:pPr>
        <w:pStyle w:val="Bulleted"/>
        <w:numPr>
          <w:ilvl w:val="0"/>
          <w:numId w:val="0"/>
        </w:numPr>
      </w:pPr>
    </w:p>
    <w:p w14:paraId="091F85BE" w14:textId="77777777" w:rsidR="00A030E6" w:rsidRPr="00A93EB5" w:rsidRDefault="00A030E6" w:rsidP="00A030E6">
      <w:pPr>
        <w:pStyle w:val="Bulleted"/>
        <w:numPr>
          <w:ilvl w:val="0"/>
          <w:numId w:val="0"/>
        </w:numPr>
      </w:pPr>
      <w:r w:rsidRPr="00A93EB5">
        <w:t xml:space="preserve">Methodology Used: </w:t>
      </w:r>
    </w:p>
    <w:p w14:paraId="195A80CC" w14:textId="7BCDBD30" w:rsidR="00A030E6" w:rsidRPr="00A93EB5" w:rsidRDefault="00A030E6" w:rsidP="00A030E6">
      <w:pPr>
        <w:pStyle w:val="ListParagraph"/>
        <w:numPr>
          <w:ilvl w:val="0"/>
          <w:numId w:val="17"/>
        </w:numPr>
      </w:pPr>
      <w:r>
        <w:lastRenderedPageBreak/>
        <w:t xml:space="preserve">Annual </w:t>
      </w:r>
      <w:r w:rsidRPr="00A93EB5">
        <w:t xml:space="preserve">Progress Report: </w:t>
      </w:r>
      <w:r>
        <w:t xml:space="preserve">Estimates for burden were developed based on beta-testing and feedback sessions with fewer than 10 </w:t>
      </w:r>
      <w:r w:rsidR="00E2517E">
        <w:t>respondents</w:t>
      </w:r>
      <w:r w:rsidR="00E2517E" w:rsidRPr="00A93EB5">
        <w:t xml:space="preserve"> </w:t>
      </w:r>
      <w:r>
        <w:t xml:space="preserve">from a small cooperative agreement program, Prescription Drug Overdose: Boost for State Prevention (funding opportunity announcement CE14-1404; referred to as “Boost”). </w:t>
      </w:r>
      <w:r w:rsidRPr="00A93EB5">
        <w:t xml:space="preserve">All data </w:t>
      </w:r>
      <w:r w:rsidR="00B01663">
        <w:t>was</w:t>
      </w:r>
      <w:r w:rsidRPr="00A93EB5">
        <w:t xml:space="preserve"> pre-populated and awardees only  </w:t>
      </w:r>
      <w:r>
        <w:t>update</w:t>
      </w:r>
      <w:r w:rsidRPr="00A93EB5">
        <w:t xml:space="preserve"> the</w:t>
      </w:r>
      <w:r>
        <w:t xml:space="preserve"> data for the indicators and</w:t>
      </w:r>
      <w:r w:rsidRPr="00A93EB5">
        <w:t xml:space="preserve"> work plan portion. It is assumed this would take </w:t>
      </w:r>
      <w:r>
        <w:t>substantially less</w:t>
      </w:r>
      <w:r w:rsidRPr="00A93EB5">
        <w:t xml:space="preserve"> time from the initial work plan.</w:t>
      </w:r>
      <w:r>
        <w:t xml:space="preserve"> The estimate for the initial Annual Progress Report includes the time for reviewing instructions, searching existing data sources, data collection, and completion of the Tool. </w:t>
      </w:r>
      <w:r w:rsidRPr="00A93EB5">
        <w:t xml:space="preserve"> </w:t>
      </w:r>
    </w:p>
    <w:p w14:paraId="400BE37B" w14:textId="77777777" w:rsidR="00A030E6" w:rsidRDefault="00A030E6" w:rsidP="00A030E6">
      <w:pPr>
        <w:pStyle w:val="ListParagraph"/>
        <w:numPr>
          <w:ilvl w:val="1"/>
          <w:numId w:val="17"/>
        </w:numPr>
      </w:pPr>
      <w:r>
        <w:t>Indicators: 1 hour</w:t>
      </w:r>
    </w:p>
    <w:p w14:paraId="2322C991" w14:textId="77777777" w:rsidR="00A030E6" w:rsidRPr="00A93EB5" w:rsidRDefault="00A030E6" w:rsidP="00A030E6">
      <w:pPr>
        <w:pStyle w:val="ListParagraph"/>
        <w:numPr>
          <w:ilvl w:val="1"/>
          <w:numId w:val="17"/>
        </w:numPr>
      </w:pPr>
      <w:r>
        <w:t>W</w:t>
      </w:r>
      <w:r w:rsidRPr="00A93EB5">
        <w:t xml:space="preserve">ork plan </w:t>
      </w:r>
      <w:r>
        <w:t>update: 3</w:t>
      </w:r>
      <w:r w:rsidRPr="00A93EB5">
        <w:t xml:space="preserve"> hour</w:t>
      </w:r>
      <w:r>
        <w:t>s</w:t>
      </w:r>
    </w:p>
    <w:p w14:paraId="089B7807" w14:textId="1EDFE20F" w:rsidR="00A030E6" w:rsidRPr="00A93EB5" w:rsidRDefault="00A030E6" w:rsidP="00A030E6">
      <w:pPr>
        <w:pStyle w:val="ListParagraph"/>
        <w:numPr>
          <w:ilvl w:val="0"/>
          <w:numId w:val="17"/>
        </w:numPr>
      </w:pPr>
      <w:r>
        <w:t xml:space="preserve">Annual </w:t>
      </w:r>
      <w:r w:rsidRPr="00A93EB5">
        <w:t>Plan</w:t>
      </w:r>
      <w:r w:rsidR="00270BD4">
        <w:t xml:space="preserve"> Tool</w:t>
      </w:r>
      <w:r w:rsidRPr="00A93EB5">
        <w:t xml:space="preserve">:  </w:t>
      </w:r>
      <w:r>
        <w:t xml:space="preserve">Estimates for burden were developed based on beta-testing and feedback sessions with fewer than 10 </w:t>
      </w:r>
      <w:r w:rsidR="00E2517E">
        <w:t>respondents</w:t>
      </w:r>
      <w:r w:rsidR="00E2517E" w:rsidRPr="00A93EB5">
        <w:t xml:space="preserve"> </w:t>
      </w:r>
      <w:r>
        <w:t xml:space="preserve">from the Boost program referenced above. </w:t>
      </w:r>
      <w:r w:rsidRPr="00A93EB5">
        <w:t xml:space="preserve">Each </w:t>
      </w:r>
      <w:r>
        <w:t>section of the E</w:t>
      </w:r>
      <w:r w:rsidRPr="00A93EB5">
        <w:t>valuation</w:t>
      </w:r>
      <w:r>
        <w:t xml:space="preserve"> Plan Tool</w:t>
      </w:r>
      <w:r w:rsidRPr="00A93EB5">
        <w:t xml:space="preserve"> took between </w:t>
      </w:r>
      <w:r>
        <w:t xml:space="preserve">30 minutes and 45 minutes </w:t>
      </w:r>
      <w:r w:rsidRPr="00A93EB5">
        <w:t xml:space="preserve">to collect and enter data.  This was multiplied by each </w:t>
      </w:r>
      <w:r>
        <w:t>section of the Tool (6)</w:t>
      </w:r>
      <w:r w:rsidRPr="00A93EB5">
        <w:t>:</w:t>
      </w:r>
    </w:p>
    <w:p w14:paraId="4F58486F" w14:textId="77777777" w:rsidR="00A030E6" w:rsidRPr="00A93EB5" w:rsidRDefault="00A030E6" w:rsidP="00A030E6">
      <w:pPr>
        <w:pStyle w:val="ListParagraph"/>
        <w:numPr>
          <w:ilvl w:val="1"/>
          <w:numId w:val="17"/>
        </w:numPr>
      </w:pPr>
      <w:r>
        <w:t xml:space="preserve">Annual </w:t>
      </w:r>
      <w:r w:rsidRPr="00A93EB5">
        <w:t>evaluation plan: 4 hours</w:t>
      </w:r>
    </w:p>
    <w:p w14:paraId="08DFA464" w14:textId="77777777" w:rsidR="00A030E6" w:rsidRDefault="00A030E6" w:rsidP="00A030E6">
      <w:pPr>
        <w:pStyle w:val="Bulleted"/>
        <w:numPr>
          <w:ilvl w:val="0"/>
          <w:numId w:val="0"/>
        </w:numPr>
      </w:pPr>
    </w:p>
    <w:p w14:paraId="06B2508C" w14:textId="77777777" w:rsidR="00A030E6" w:rsidRPr="00691454" w:rsidRDefault="00A030E6" w:rsidP="00A030E6">
      <w:pPr>
        <w:pStyle w:val="Bulleted"/>
        <w:numPr>
          <w:ilvl w:val="0"/>
          <w:numId w:val="0"/>
        </w:numPr>
      </w:pPr>
      <w:r w:rsidRPr="00691454">
        <w:t xml:space="preserve">A.12.b) </w:t>
      </w:r>
      <w:r w:rsidRPr="003E0647">
        <w:t xml:space="preserve"> A</w:t>
      </w:r>
      <w:r w:rsidRPr="00691454">
        <w:t xml:space="preserve">nnual burden cost </w:t>
      </w:r>
    </w:p>
    <w:p w14:paraId="01C8B187" w14:textId="77777777" w:rsidR="00A030E6" w:rsidRDefault="00A030E6" w:rsidP="00A030E6">
      <w:pPr>
        <w:pStyle w:val="SL-FlLftSgl"/>
      </w:pPr>
    </w:p>
    <w:p w14:paraId="0B4F3108" w14:textId="0E7CB4B0" w:rsidR="00A030E6" w:rsidRPr="00A93EB5" w:rsidRDefault="00A030E6" w:rsidP="00A030E6">
      <w:r w:rsidRPr="00A93EB5">
        <w:t xml:space="preserve">A program manager will prepare the progress reports for each area.  The average hourly wage for </w:t>
      </w:r>
      <w:r w:rsidRPr="00EA4265">
        <w:t xml:space="preserve">a program manager is $30.65.  The hourly wage rates for program managers are based on wages for similar mid-to-high level positions in the public sector.  The total estimated cost </w:t>
      </w:r>
      <w:r w:rsidR="0056559A" w:rsidRPr="00EA4265">
        <w:t>over three</w:t>
      </w:r>
      <w:r w:rsidRPr="00EA4265">
        <w:t xml:space="preserve"> years </w:t>
      </w:r>
      <w:r w:rsidR="0056559A" w:rsidRPr="00EA4265">
        <w:t xml:space="preserve">annualized </w:t>
      </w:r>
      <w:r w:rsidR="00EA4265" w:rsidRPr="00EA4265">
        <w:t xml:space="preserve">is </w:t>
      </w:r>
      <w:r w:rsidR="0056559A" w:rsidRPr="00EA4265">
        <w:t>$</w:t>
      </w:r>
      <w:r w:rsidR="002F6480" w:rsidRPr="00EA4265">
        <w:t>24,888</w:t>
      </w:r>
      <w:r w:rsidR="00F245F4" w:rsidRPr="00EA4265">
        <w:t xml:space="preserve"> </w:t>
      </w:r>
      <w:r w:rsidRPr="00EA4265">
        <w:t>as summarized in Table A.12-B.</w:t>
      </w:r>
    </w:p>
    <w:p w14:paraId="7818C118" w14:textId="77777777" w:rsidR="00A030E6" w:rsidRPr="00691454" w:rsidRDefault="00A030E6" w:rsidP="00A030E6">
      <w:pPr>
        <w:pStyle w:val="SL-FlLftSgl"/>
      </w:pPr>
    </w:p>
    <w:p w14:paraId="35F302B8" w14:textId="5D8A8501" w:rsidR="007A6543" w:rsidRDefault="00A030E6" w:rsidP="00A030E6">
      <w:r w:rsidRPr="00FE6E32">
        <w:rPr>
          <w:bCs/>
        </w:rPr>
        <w:t>Table A.12-B.</w:t>
      </w:r>
      <w:r w:rsidRPr="00FE6E32">
        <w:t xml:space="preserve"> Estimated Annualized Burden Costs</w:t>
      </w:r>
      <w:r w:rsidRPr="00691454">
        <w:t xml:space="preserve"> </w:t>
      </w:r>
    </w:p>
    <w:p w14:paraId="6591EA93" w14:textId="77777777" w:rsidR="00F245F4" w:rsidRDefault="00F245F4" w:rsidP="00A030E6"/>
    <w:tbl>
      <w:tblPr>
        <w:tblpPr w:leftFromText="180" w:rightFromText="180" w:vertAnchor="text" w:horzAnchor="margin" w:tblpXSpec="center" w:tblpY="349"/>
        <w:tblW w:w="7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8"/>
        <w:gridCol w:w="1777"/>
        <w:gridCol w:w="1260"/>
        <w:gridCol w:w="1260"/>
        <w:gridCol w:w="1440"/>
      </w:tblGrid>
      <w:tr w:rsidR="00EE31F9" w:rsidRPr="00691454" w14:paraId="44D3A9C9" w14:textId="77777777" w:rsidTr="00EE31F9">
        <w:trPr>
          <w:cantSplit/>
          <w:trHeight w:val="1523"/>
        </w:trPr>
        <w:tc>
          <w:tcPr>
            <w:tcW w:w="1458" w:type="dxa"/>
          </w:tcPr>
          <w:p w14:paraId="6A35F1E2" w14:textId="77777777" w:rsidR="00EE31F9" w:rsidRPr="00691454" w:rsidRDefault="00EE31F9" w:rsidP="00266DDA">
            <w:pPr>
              <w:spacing w:line="276" w:lineRule="auto"/>
              <w:rPr>
                <w:rFonts w:eastAsia="Batang"/>
              </w:rPr>
            </w:pPr>
          </w:p>
          <w:p w14:paraId="328D6B4E" w14:textId="77777777" w:rsidR="00EE31F9" w:rsidRPr="00691454" w:rsidRDefault="00EE31F9" w:rsidP="00266DDA">
            <w:pPr>
              <w:spacing w:line="276" w:lineRule="auto"/>
              <w:jc w:val="center"/>
              <w:rPr>
                <w:rFonts w:eastAsia="Batang"/>
              </w:rPr>
            </w:pPr>
            <w:r w:rsidRPr="00691454">
              <w:rPr>
                <w:rFonts w:eastAsia="Batang"/>
              </w:rPr>
              <w:t>Type of Respondent</w:t>
            </w:r>
          </w:p>
        </w:tc>
        <w:tc>
          <w:tcPr>
            <w:tcW w:w="1777" w:type="dxa"/>
          </w:tcPr>
          <w:p w14:paraId="765A6101" w14:textId="77777777" w:rsidR="00EE31F9" w:rsidRPr="00691454" w:rsidRDefault="00EE31F9" w:rsidP="00266DDA">
            <w:pPr>
              <w:spacing w:line="276" w:lineRule="auto"/>
              <w:rPr>
                <w:rFonts w:eastAsia="Batang"/>
              </w:rPr>
            </w:pPr>
          </w:p>
          <w:p w14:paraId="0448631F" w14:textId="77777777" w:rsidR="00EE31F9" w:rsidRPr="00691454" w:rsidRDefault="00EE31F9" w:rsidP="00266DDA">
            <w:pPr>
              <w:spacing w:line="276" w:lineRule="auto"/>
              <w:rPr>
                <w:rFonts w:eastAsia="Batang"/>
              </w:rPr>
            </w:pPr>
            <w:r w:rsidRPr="00691454">
              <w:rPr>
                <w:rFonts w:eastAsia="Batang"/>
              </w:rPr>
              <w:t>Form Name</w:t>
            </w:r>
          </w:p>
        </w:tc>
        <w:tc>
          <w:tcPr>
            <w:tcW w:w="1260" w:type="dxa"/>
          </w:tcPr>
          <w:p w14:paraId="6DA43310" w14:textId="77777777" w:rsidR="00EE31F9" w:rsidRPr="00691454" w:rsidRDefault="00EE31F9" w:rsidP="00266DDA">
            <w:pPr>
              <w:spacing w:line="276" w:lineRule="auto"/>
              <w:jc w:val="center"/>
              <w:rPr>
                <w:rFonts w:eastAsia="Batang"/>
              </w:rPr>
            </w:pPr>
            <w:r>
              <w:rPr>
                <w:rFonts w:eastAsia="Batang"/>
              </w:rPr>
              <w:t>Total Burden Hours</w:t>
            </w:r>
          </w:p>
        </w:tc>
        <w:tc>
          <w:tcPr>
            <w:tcW w:w="1260" w:type="dxa"/>
            <w:vAlign w:val="center"/>
          </w:tcPr>
          <w:p w14:paraId="4F47E42C" w14:textId="77777777" w:rsidR="00EE31F9" w:rsidRPr="00691454" w:rsidRDefault="00EE31F9" w:rsidP="00266DDA">
            <w:pPr>
              <w:spacing w:line="276" w:lineRule="auto"/>
              <w:jc w:val="center"/>
              <w:rPr>
                <w:rFonts w:eastAsia="Batang"/>
              </w:rPr>
            </w:pPr>
            <w:r w:rsidRPr="00691454">
              <w:rPr>
                <w:rFonts w:eastAsia="Batang"/>
              </w:rPr>
              <w:t>Average Hourly Wage Rate (in dollars)</w:t>
            </w:r>
          </w:p>
        </w:tc>
        <w:tc>
          <w:tcPr>
            <w:tcW w:w="1440" w:type="dxa"/>
            <w:vAlign w:val="center"/>
          </w:tcPr>
          <w:p w14:paraId="14095377" w14:textId="0B388A17" w:rsidR="00EE31F9" w:rsidRPr="00691454" w:rsidRDefault="00EE31F9" w:rsidP="00E46C22">
            <w:pPr>
              <w:spacing w:line="276" w:lineRule="auto"/>
              <w:jc w:val="center"/>
              <w:rPr>
                <w:rFonts w:eastAsia="Batang"/>
              </w:rPr>
            </w:pPr>
            <w:r w:rsidRPr="00691454">
              <w:rPr>
                <w:rFonts w:eastAsia="Batang"/>
              </w:rPr>
              <w:t>Total Cost</w:t>
            </w:r>
          </w:p>
        </w:tc>
      </w:tr>
      <w:tr w:rsidR="00EE31F9" w:rsidRPr="00691454" w14:paraId="0A845E5F" w14:textId="77777777" w:rsidTr="00EE31F9">
        <w:trPr>
          <w:cantSplit/>
        </w:trPr>
        <w:tc>
          <w:tcPr>
            <w:tcW w:w="1458" w:type="dxa"/>
            <w:vMerge w:val="restart"/>
          </w:tcPr>
          <w:p w14:paraId="07256EA5" w14:textId="77777777" w:rsidR="00EE31F9" w:rsidRDefault="00EE31F9" w:rsidP="00266DDA">
            <w:r>
              <w:t>FOA CE15-1501 Program Awardees</w:t>
            </w:r>
          </w:p>
        </w:tc>
        <w:tc>
          <w:tcPr>
            <w:tcW w:w="1777" w:type="dxa"/>
            <w:vAlign w:val="bottom"/>
          </w:tcPr>
          <w:p w14:paraId="421275A0" w14:textId="77777777" w:rsidR="00EE31F9" w:rsidRPr="00691454" w:rsidRDefault="00EE31F9" w:rsidP="00266DDA">
            <w:pPr>
              <w:rPr>
                <w:rFonts w:eastAsia="Batang"/>
              </w:rPr>
            </w:pPr>
            <w:r>
              <w:t>Initial Collection Annual Progress Report Tool</w:t>
            </w:r>
          </w:p>
        </w:tc>
        <w:tc>
          <w:tcPr>
            <w:tcW w:w="1260" w:type="dxa"/>
            <w:vAlign w:val="center"/>
          </w:tcPr>
          <w:p w14:paraId="6CE3F4B8" w14:textId="563DEC08" w:rsidR="00EE31F9" w:rsidRPr="00E06E3B" w:rsidRDefault="00EE31F9" w:rsidP="00266DDA">
            <w:pPr>
              <w:spacing w:line="276" w:lineRule="auto"/>
              <w:jc w:val="center"/>
              <w:rPr>
                <w:rFonts w:eastAsia="Batang"/>
              </w:rPr>
            </w:pPr>
            <w:r>
              <w:rPr>
                <w:rFonts w:eastAsia="Batang"/>
              </w:rPr>
              <w:t>580</w:t>
            </w:r>
          </w:p>
        </w:tc>
        <w:tc>
          <w:tcPr>
            <w:tcW w:w="1260" w:type="dxa"/>
            <w:vAlign w:val="center"/>
          </w:tcPr>
          <w:p w14:paraId="00301555" w14:textId="77777777" w:rsidR="00EE31F9" w:rsidRPr="00691454" w:rsidRDefault="00EE31F9" w:rsidP="00266DDA">
            <w:pPr>
              <w:spacing w:line="276" w:lineRule="auto"/>
              <w:jc w:val="center"/>
              <w:rPr>
                <w:rFonts w:eastAsia="Batang"/>
              </w:rPr>
            </w:pPr>
            <w:r w:rsidRPr="00E06E3B">
              <w:rPr>
                <w:rFonts w:eastAsia="Batang"/>
              </w:rPr>
              <w:t>$30.65</w:t>
            </w:r>
          </w:p>
        </w:tc>
        <w:tc>
          <w:tcPr>
            <w:tcW w:w="1440" w:type="dxa"/>
            <w:vAlign w:val="center"/>
          </w:tcPr>
          <w:p w14:paraId="4FAF134D" w14:textId="493AAE64" w:rsidR="00EE31F9" w:rsidRPr="00691454" w:rsidRDefault="00EE31F9" w:rsidP="00266DDA">
            <w:pPr>
              <w:spacing w:line="276" w:lineRule="auto"/>
              <w:jc w:val="center"/>
              <w:rPr>
                <w:rFonts w:eastAsia="Batang"/>
              </w:rPr>
            </w:pPr>
            <w:r>
              <w:rPr>
                <w:rFonts w:eastAsia="Batang"/>
              </w:rPr>
              <w:t>$17,777</w:t>
            </w:r>
          </w:p>
        </w:tc>
      </w:tr>
      <w:tr w:rsidR="00EE31F9" w:rsidRPr="00691454" w14:paraId="58227DB5" w14:textId="77777777" w:rsidTr="00EE31F9">
        <w:trPr>
          <w:cantSplit/>
        </w:trPr>
        <w:tc>
          <w:tcPr>
            <w:tcW w:w="1458" w:type="dxa"/>
            <w:vMerge/>
          </w:tcPr>
          <w:p w14:paraId="13252BDF" w14:textId="77777777" w:rsidR="00EE31F9" w:rsidRDefault="00EE31F9" w:rsidP="00266DDA"/>
        </w:tc>
        <w:tc>
          <w:tcPr>
            <w:tcW w:w="1777" w:type="dxa"/>
            <w:vAlign w:val="bottom"/>
          </w:tcPr>
          <w:p w14:paraId="1410B6D2" w14:textId="77777777" w:rsidR="00EE31F9" w:rsidRPr="00691454" w:rsidRDefault="00EE31F9" w:rsidP="00266DDA">
            <w:pPr>
              <w:rPr>
                <w:rFonts w:eastAsia="Batang"/>
              </w:rPr>
            </w:pPr>
            <w:r>
              <w:t>Annual reporting – Progress Report Tool</w:t>
            </w:r>
          </w:p>
        </w:tc>
        <w:tc>
          <w:tcPr>
            <w:tcW w:w="1260" w:type="dxa"/>
            <w:vAlign w:val="center"/>
          </w:tcPr>
          <w:p w14:paraId="16716CFC" w14:textId="0F104E68" w:rsidR="00EE31F9" w:rsidRPr="00A93EB5" w:rsidRDefault="00EE31F9" w:rsidP="00266DDA">
            <w:pPr>
              <w:spacing w:line="276" w:lineRule="auto"/>
              <w:jc w:val="center"/>
              <w:rPr>
                <w:color w:val="000000" w:themeColor="text1"/>
              </w:rPr>
            </w:pPr>
            <w:r>
              <w:rPr>
                <w:color w:val="000000" w:themeColor="text1"/>
              </w:rPr>
              <w:t>116</w:t>
            </w:r>
          </w:p>
        </w:tc>
        <w:tc>
          <w:tcPr>
            <w:tcW w:w="1260" w:type="dxa"/>
            <w:vAlign w:val="center"/>
          </w:tcPr>
          <w:p w14:paraId="186ECAED" w14:textId="77777777" w:rsidR="00EE31F9" w:rsidRPr="00691454" w:rsidRDefault="00EE31F9" w:rsidP="00266DDA">
            <w:pPr>
              <w:spacing w:line="276" w:lineRule="auto"/>
              <w:jc w:val="center"/>
              <w:rPr>
                <w:rFonts w:eastAsia="Batang"/>
              </w:rPr>
            </w:pPr>
            <w:r w:rsidRPr="00A93EB5">
              <w:rPr>
                <w:color w:val="000000" w:themeColor="text1"/>
              </w:rPr>
              <w:t>$30.65</w:t>
            </w:r>
          </w:p>
        </w:tc>
        <w:tc>
          <w:tcPr>
            <w:tcW w:w="1440" w:type="dxa"/>
            <w:vAlign w:val="center"/>
          </w:tcPr>
          <w:p w14:paraId="6D6BB598" w14:textId="560B1CA7" w:rsidR="00EE31F9" w:rsidRPr="00691454" w:rsidRDefault="00EE31F9" w:rsidP="00266DDA">
            <w:pPr>
              <w:spacing w:line="276" w:lineRule="auto"/>
              <w:jc w:val="center"/>
              <w:rPr>
                <w:rFonts w:eastAsia="Batang"/>
              </w:rPr>
            </w:pPr>
            <w:r>
              <w:rPr>
                <w:rFonts w:eastAsia="Batang"/>
              </w:rPr>
              <w:t>$3555</w:t>
            </w:r>
          </w:p>
        </w:tc>
      </w:tr>
      <w:tr w:rsidR="00EE31F9" w:rsidRPr="00691454" w14:paraId="69D7D96D" w14:textId="77777777" w:rsidTr="00686DE4">
        <w:trPr>
          <w:cantSplit/>
        </w:trPr>
        <w:tc>
          <w:tcPr>
            <w:tcW w:w="1458" w:type="dxa"/>
            <w:vMerge/>
            <w:tcBorders>
              <w:bottom w:val="single" w:sz="4" w:space="0" w:color="auto"/>
            </w:tcBorders>
          </w:tcPr>
          <w:p w14:paraId="3E3D5B66" w14:textId="77777777" w:rsidR="00EE31F9" w:rsidRDefault="00EE31F9" w:rsidP="00266DDA"/>
        </w:tc>
        <w:tc>
          <w:tcPr>
            <w:tcW w:w="1777" w:type="dxa"/>
            <w:tcBorders>
              <w:bottom w:val="single" w:sz="4" w:space="0" w:color="auto"/>
            </w:tcBorders>
            <w:vAlign w:val="bottom"/>
          </w:tcPr>
          <w:p w14:paraId="1B56E63C" w14:textId="77777777" w:rsidR="001A1CF9" w:rsidRDefault="00EE31F9" w:rsidP="001A1CF9">
            <w:r>
              <w:t>Annual reporting –</w:t>
            </w:r>
          </w:p>
          <w:p w14:paraId="52E83F4E" w14:textId="6FCB53CD" w:rsidR="00EE31F9" w:rsidRPr="00A93EB5" w:rsidRDefault="00EE31F9" w:rsidP="001A1CF9">
            <w:r>
              <w:t>Plan Tool</w:t>
            </w:r>
          </w:p>
        </w:tc>
        <w:tc>
          <w:tcPr>
            <w:tcW w:w="1260" w:type="dxa"/>
            <w:tcBorders>
              <w:bottom w:val="single" w:sz="4" w:space="0" w:color="auto"/>
            </w:tcBorders>
            <w:vAlign w:val="center"/>
          </w:tcPr>
          <w:p w14:paraId="058EC4B5" w14:textId="0DFD9D4A" w:rsidR="00EE31F9" w:rsidRPr="00A93EB5" w:rsidRDefault="00EE31F9" w:rsidP="00266DDA">
            <w:pPr>
              <w:spacing w:line="276" w:lineRule="auto"/>
              <w:jc w:val="center"/>
              <w:rPr>
                <w:color w:val="000000" w:themeColor="text1"/>
              </w:rPr>
            </w:pPr>
            <w:r>
              <w:rPr>
                <w:color w:val="000000" w:themeColor="text1"/>
              </w:rPr>
              <w:t>116</w:t>
            </w:r>
          </w:p>
        </w:tc>
        <w:tc>
          <w:tcPr>
            <w:tcW w:w="1260" w:type="dxa"/>
            <w:vAlign w:val="center"/>
          </w:tcPr>
          <w:p w14:paraId="511D1A43" w14:textId="77777777" w:rsidR="00EE31F9" w:rsidRPr="00A93EB5" w:rsidRDefault="00EE31F9" w:rsidP="00266DDA">
            <w:pPr>
              <w:spacing w:line="276" w:lineRule="auto"/>
              <w:jc w:val="center"/>
              <w:rPr>
                <w:color w:val="000000" w:themeColor="text1"/>
              </w:rPr>
            </w:pPr>
            <w:r w:rsidRPr="00A93EB5">
              <w:rPr>
                <w:color w:val="000000" w:themeColor="text1"/>
              </w:rPr>
              <w:t>$30.65</w:t>
            </w:r>
          </w:p>
        </w:tc>
        <w:tc>
          <w:tcPr>
            <w:tcW w:w="1440" w:type="dxa"/>
            <w:vAlign w:val="center"/>
          </w:tcPr>
          <w:p w14:paraId="64855341" w14:textId="2DE43FBC" w:rsidR="00EE31F9" w:rsidRPr="00691454" w:rsidRDefault="00EE31F9" w:rsidP="00266DDA">
            <w:pPr>
              <w:spacing w:line="276" w:lineRule="auto"/>
              <w:jc w:val="center"/>
              <w:rPr>
                <w:rFonts w:eastAsia="Batang"/>
              </w:rPr>
            </w:pPr>
            <w:r>
              <w:rPr>
                <w:rFonts w:eastAsia="Batang"/>
              </w:rPr>
              <w:t>$3555</w:t>
            </w:r>
          </w:p>
        </w:tc>
      </w:tr>
      <w:tr w:rsidR="00686DE4" w:rsidRPr="00691454" w14:paraId="560739E1" w14:textId="77777777" w:rsidTr="00686DE4">
        <w:trPr>
          <w:cantSplit/>
        </w:trPr>
        <w:tc>
          <w:tcPr>
            <w:tcW w:w="1458" w:type="dxa"/>
            <w:tcBorders>
              <w:top w:val="single" w:sz="4" w:space="0" w:color="auto"/>
              <w:left w:val="single" w:sz="4" w:space="0" w:color="auto"/>
              <w:bottom w:val="single" w:sz="4" w:space="0" w:color="auto"/>
              <w:right w:val="nil"/>
            </w:tcBorders>
          </w:tcPr>
          <w:p w14:paraId="77D6CF0F" w14:textId="77777777" w:rsidR="00686DE4" w:rsidRDefault="00686DE4" w:rsidP="00266DDA"/>
        </w:tc>
        <w:tc>
          <w:tcPr>
            <w:tcW w:w="1777" w:type="dxa"/>
            <w:tcBorders>
              <w:top w:val="single" w:sz="4" w:space="0" w:color="auto"/>
              <w:left w:val="nil"/>
              <w:bottom w:val="single" w:sz="4" w:space="0" w:color="auto"/>
              <w:right w:val="nil"/>
            </w:tcBorders>
            <w:vAlign w:val="bottom"/>
          </w:tcPr>
          <w:p w14:paraId="06D27A4C" w14:textId="77777777" w:rsidR="00686DE4" w:rsidRDefault="00686DE4" w:rsidP="00266DDA"/>
        </w:tc>
        <w:tc>
          <w:tcPr>
            <w:tcW w:w="1260" w:type="dxa"/>
            <w:tcBorders>
              <w:top w:val="single" w:sz="4" w:space="0" w:color="auto"/>
              <w:left w:val="nil"/>
              <w:bottom w:val="single" w:sz="4" w:space="0" w:color="auto"/>
              <w:right w:val="nil"/>
            </w:tcBorders>
            <w:vAlign w:val="center"/>
          </w:tcPr>
          <w:p w14:paraId="53AA7539" w14:textId="77777777" w:rsidR="00686DE4" w:rsidRDefault="00686DE4" w:rsidP="00266DDA">
            <w:pPr>
              <w:spacing w:line="276" w:lineRule="auto"/>
              <w:jc w:val="center"/>
              <w:rPr>
                <w:color w:val="000000" w:themeColor="text1"/>
              </w:rPr>
            </w:pPr>
          </w:p>
        </w:tc>
        <w:tc>
          <w:tcPr>
            <w:tcW w:w="1260" w:type="dxa"/>
            <w:tcBorders>
              <w:left w:val="nil"/>
            </w:tcBorders>
            <w:vAlign w:val="center"/>
          </w:tcPr>
          <w:p w14:paraId="4D5FEDB6" w14:textId="4AFB7CF5" w:rsidR="00686DE4" w:rsidRPr="00A93EB5" w:rsidRDefault="00686DE4" w:rsidP="00266DDA">
            <w:pPr>
              <w:spacing w:line="276" w:lineRule="auto"/>
              <w:jc w:val="center"/>
              <w:rPr>
                <w:color w:val="000000" w:themeColor="text1"/>
              </w:rPr>
            </w:pPr>
            <w:r>
              <w:rPr>
                <w:color w:val="000000" w:themeColor="text1"/>
              </w:rPr>
              <w:t>Total</w:t>
            </w:r>
          </w:p>
        </w:tc>
        <w:tc>
          <w:tcPr>
            <w:tcW w:w="1440" w:type="dxa"/>
            <w:vAlign w:val="center"/>
          </w:tcPr>
          <w:p w14:paraId="742F4F6F" w14:textId="6E443D95" w:rsidR="00686DE4" w:rsidRDefault="00686DE4" w:rsidP="00266DDA">
            <w:pPr>
              <w:spacing w:line="276" w:lineRule="auto"/>
              <w:jc w:val="center"/>
              <w:rPr>
                <w:rFonts w:eastAsia="Batang"/>
              </w:rPr>
            </w:pPr>
            <w:r>
              <w:t>$24,888</w:t>
            </w:r>
          </w:p>
        </w:tc>
      </w:tr>
    </w:tbl>
    <w:p w14:paraId="3B7DF53D" w14:textId="77777777" w:rsidR="007A6543" w:rsidRDefault="007A6543" w:rsidP="00A030E6"/>
    <w:p w14:paraId="40F52DC9" w14:textId="77777777" w:rsidR="00686DE4" w:rsidRDefault="00686DE4" w:rsidP="00A030E6"/>
    <w:p w14:paraId="18EA4E1D" w14:textId="77777777" w:rsidR="00686DE4" w:rsidRDefault="00686DE4" w:rsidP="00A030E6"/>
    <w:p w14:paraId="6FC37D0F" w14:textId="77777777" w:rsidR="00686DE4" w:rsidRDefault="00686DE4" w:rsidP="00A030E6"/>
    <w:p w14:paraId="39A19013" w14:textId="77777777" w:rsidR="00686DE4" w:rsidRDefault="00686DE4" w:rsidP="00A030E6"/>
    <w:p w14:paraId="06210AD6" w14:textId="77777777" w:rsidR="00686DE4" w:rsidRDefault="00686DE4" w:rsidP="00A030E6"/>
    <w:p w14:paraId="3CA976BB" w14:textId="77777777" w:rsidR="00686DE4" w:rsidRDefault="00686DE4" w:rsidP="00A030E6"/>
    <w:p w14:paraId="4C3CA63F" w14:textId="77777777" w:rsidR="00686DE4" w:rsidRDefault="00686DE4" w:rsidP="00A030E6"/>
    <w:p w14:paraId="4DC28F36" w14:textId="77777777" w:rsidR="00686DE4" w:rsidRDefault="00686DE4" w:rsidP="00A030E6"/>
    <w:p w14:paraId="3BFCD9AB" w14:textId="77777777" w:rsidR="00686DE4" w:rsidRDefault="00686DE4" w:rsidP="00A030E6"/>
    <w:p w14:paraId="6E3740CC" w14:textId="77777777" w:rsidR="00686DE4" w:rsidRDefault="00686DE4" w:rsidP="00A030E6"/>
    <w:p w14:paraId="58BDBD7B" w14:textId="77777777" w:rsidR="00686DE4" w:rsidRDefault="00686DE4" w:rsidP="00A030E6"/>
    <w:p w14:paraId="021AFCC4" w14:textId="77777777" w:rsidR="00686DE4" w:rsidRDefault="00686DE4" w:rsidP="00A030E6"/>
    <w:p w14:paraId="605F9FF3" w14:textId="77777777" w:rsidR="00686DE4" w:rsidRDefault="00686DE4" w:rsidP="00A030E6"/>
    <w:p w14:paraId="4F8828B0" w14:textId="77777777" w:rsidR="00686DE4" w:rsidRDefault="00686DE4" w:rsidP="00A030E6"/>
    <w:p w14:paraId="358DB8A3" w14:textId="77777777" w:rsidR="00686DE4" w:rsidRDefault="00686DE4" w:rsidP="00A030E6"/>
    <w:p w14:paraId="18F110BF" w14:textId="77777777" w:rsidR="00686DE4" w:rsidRDefault="00686DE4" w:rsidP="00A030E6"/>
    <w:p w14:paraId="731C2675" w14:textId="77777777" w:rsidR="00686DE4" w:rsidRDefault="00686DE4" w:rsidP="00A030E6"/>
    <w:p w14:paraId="19FC43C1" w14:textId="77777777" w:rsidR="00686DE4" w:rsidRPr="00691454" w:rsidRDefault="00686DE4" w:rsidP="00A030E6"/>
    <w:p w14:paraId="0B6554BE" w14:textId="77777777" w:rsidR="00A030E6" w:rsidRDefault="00A030E6" w:rsidP="00A030E6">
      <w:pPr>
        <w:rPr>
          <w:b/>
        </w:rPr>
      </w:pPr>
    </w:p>
    <w:p w14:paraId="4970B19F" w14:textId="77777777" w:rsidR="00A030E6" w:rsidRPr="00691454" w:rsidRDefault="00A030E6" w:rsidP="00A030E6">
      <w:pPr>
        <w:rPr>
          <w:b/>
        </w:rPr>
      </w:pPr>
      <w:r w:rsidRPr="00691454">
        <w:rPr>
          <w:b/>
        </w:rPr>
        <w:lastRenderedPageBreak/>
        <w:t xml:space="preserve">A.13. </w:t>
      </w:r>
      <w:r w:rsidRPr="00691454">
        <w:rPr>
          <w:b/>
        </w:rPr>
        <w:tab/>
        <w:t>Estimates of Other Total Annual Cost Burden to Respondents or Record Keepers</w:t>
      </w:r>
    </w:p>
    <w:p w14:paraId="035B0E3C" w14:textId="77777777" w:rsidR="00A030E6" w:rsidRDefault="00A030E6" w:rsidP="00A030E6">
      <w:pPr>
        <w:rPr>
          <w:b/>
        </w:rPr>
      </w:pPr>
    </w:p>
    <w:p w14:paraId="573DD5BC" w14:textId="09B5ECFE" w:rsidR="00A030E6" w:rsidRPr="00A93EB5" w:rsidRDefault="00A030E6" w:rsidP="00A030E6">
      <w:r w:rsidRPr="00A93EB5">
        <w:t>No capital or maintenance costs are expected.  Additionally, there are no start-up, hardware</w:t>
      </w:r>
      <w:r w:rsidR="00045AF7">
        <w:t>,</w:t>
      </w:r>
      <w:r w:rsidRPr="00A93EB5">
        <w:t xml:space="preserve"> or software costs.</w:t>
      </w:r>
    </w:p>
    <w:p w14:paraId="7A3D6123" w14:textId="77777777" w:rsidR="00A030E6" w:rsidRPr="00691454" w:rsidRDefault="00A030E6" w:rsidP="00A030E6">
      <w:pPr>
        <w:rPr>
          <w:b/>
        </w:rPr>
      </w:pPr>
    </w:p>
    <w:p w14:paraId="1FC485BC" w14:textId="77777777" w:rsidR="00A030E6" w:rsidRPr="00691454" w:rsidRDefault="00A030E6" w:rsidP="00A030E6">
      <w:pPr>
        <w:autoSpaceDE w:val="0"/>
        <w:autoSpaceDN w:val="0"/>
        <w:adjustRightInd w:val="0"/>
      </w:pPr>
      <w:r w:rsidRPr="00691454">
        <w:rPr>
          <w:b/>
          <w:bCs/>
        </w:rPr>
        <w:t xml:space="preserve">A.14. </w:t>
      </w:r>
      <w:r w:rsidRPr="00691454">
        <w:rPr>
          <w:b/>
          <w:bCs/>
        </w:rPr>
        <w:tab/>
        <w:t xml:space="preserve">Annualized Cost to the Government </w:t>
      </w:r>
    </w:p>
    <w:p w14:paraId="514B4740" w14:textId="77777777" w:rsidR="00A030E6" w:rsidRPr="00691454" w:rsidRDefault="00A030E6" w:rsidP="00A030E6">
      <w:pPr>
        <w:pStyle w:val="SL-FlLftSgl"/>
      </w:pPr>
    </w:p>
    <w:p w14:paraId="4FF946CE" w14:textId="77777777" w:rsidR="00A030E6" w:rsidRPr="00A93EB5" w:rsidRDefault="00A030E6" w:rsidP="00A030E6">
      <w:pPr>
        <w:pStyle w:val="SL-FlLftSgl"/>
      </w:pPr>
      <w:r w:rsidRPr="00A93EB5">
        <w:t xml:space="preserve">Table </w:t>
      </w:r>
      <w:r>
        <w:t>A.14</w:t>
      </w:r>
      <w:r w:rsidRPr="00A93EB5">
        <w:t>.  Estimated Annualized Cost to the Government</w:t>
      </w:r>
    </w:p>
    <w:p w14:paraId="291E1D89" w14:textId="77777777" w:rsidR="00A030E6" w:rsidRPr="00A93EB5" w:rsidRDefault="00A030E6" w:rsidP="00A030E6">
      <w:pPr>
        <w:pStyle w:val="SL-FlLftSgl"/>
      </w:pPr>
    </w:p>
    <w:tbl>
      <w:tblPr>
        <w:tblW w:w="96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5490"/>
        <w:gridCol w:w="2070"/>
      </w:tblGrid>
      <w:tr w:rsidR="00A030E6" w:rsidRPr="00A93EB5" w14:paraId="0EFAD9EC" w14:textId="77777777" w:rsidTr="00E466A4">
        <w:tc>
          <w:tcPr>
            <w:tcW w:w="2088" w:type="dxa"/>
          </w:tcPr>
          <w:p w14:paraId="035FDC4D" w14:textId="77777777" w:rsidR="00A030E6" w:rsidRPr="00A93EB5" w:rsidRDefault="00A030E6" w:rsidP="00E466A4">
            <w:r w:rsidRPr="00A93EB5">
              <w:t>Type of Cost</w:t>
            </w:r>
          </w:p>
        </w:tc>
        <w:tc>
          <w:tcPr>
            <w:tcW w:w="5490" w:type="dxa"/>
          </w:tcPr>
          <w:p w14:paraId="0F932D0C" w14:textId="77777777" w:rsidR="00A030E6" w:rsidRPr="00A93EB5" w:rsidRDefault="00A030E6" w:rsidP="00E466A4">
            <w:r w:rsidRPr="00A93EB5">
              <w:t>Description of Services</w:t>
            </w:r>
          </w:p>
        </w:tc>
        <w:tc>
          <w:tcPr>
            <w:tcW w:w="2070" w:type="dxa"/>
          </w:tcPr>
          <w:p w14:paraId="1C33EC3E" w14:textId="77777777" w:rsidR="00A030E6" w:rsidRPr="00A93EB5" w:rsidRDefault="00A030E6" w:rsidP="00E466A4">
            <w:r w:rsidRPr="00A93EB5">
              <w:t>Annual Cost</w:t>
            </w:r>
          </w:p>
        </w:tc>
      </w:tr>
      <w:tr w:rsidR="00A030E6" w:rsidRPr="00A93EB5" w14:paraId="2881D30A" w14:textId="77777777" w:rsidTr="00E466A4">
        <w:tc>
          <w:tcPr>
            <w:tcW w:w="2088" w:type="dxa"/>
          </w:tcPr>
          <w:p w14:paraId="4886EC94" w14:textId="77777777" w:rsidR="00A030E6" w:rsidRPr="00A93EB5" w:rsidRDefault="00A030E6" w:rsidP="00E466A4">
            <w:r w:rsidRPr="00A93EB5">
              <w:t>CDC Personnel</w:t>
            </w:r>
          </w:p>
          <w:p w14:paraId="7B2ECC4B" w14:textId="77777777" w:rsidR="00A030E6" w:rsidRPr="00A93EB5" w:rsidRDefault="00A030E6" w:rsidP="00E466A4">
            <w:pPr>
              <w:rPr>
                <w:vertAlign w:val="superscript"/>
              </w:rPr>
            </w:pPr>
          </w:p>
        </w:tc>
        <w:tc>
          <w:tcPr>
            <w:tcW w:w="5490" w:type="dxa"/>
          </w:tcPr>
          <w:p w14:paraId="4D6053FA" w14:textId="77777777" w:rsidR="00A030E6" w:rsidRPr="00A93EB5" w:rsidRDefault="00A030E6" w:rsidP="00E466A4">
            <w:pPr>
              <w:pStyle w:val="ListParagraph"/>
              <w:numPr>
                <w:ilvl w:val="0"/>
                <w:numId w:val="18"/>
              </w:numPr>
              <w:ind w:left="228" w:hanging="180"/>
            </w:pPr>
            <w:r w:rsidRPr="00A93EB5">
              <w:t>100% GS-12@$71,901/year = $71,901</w:t>
            </w:r>
          </w:p>
          <w:p w14:paraId="03828C0B" w14:textId="77777777" w:rsidR="00A030E6" w:rsidRPr="00A93EB5" w:rsidRDefault="00A030E6" w:rsidP="00E466A4">
            <w:pPr>
              <w:pStyle w:val="ListParagraph"/>
              <w:numPr>
                <w:ilvl w:val="0"/>
                <w:numId w:val="19"/>
              </w:numPr>
              <w:ind w:left="228" w:hanging="180"/>
            </w:pPr>
            <w:r w:rsidRPr="00A93EB5">
              <w:t>50% GS-13 @ $85,500/year = $42,500</w:t>
            </w:r>
          </w:p>
          <w:p w14:paraId="42433CE4" w14:textId="77777777" w:rsidR="00A030E6" w:rsidRPr="00A93EB5" w:rsidRDefault="00A030E6" w:rsidP="00E466A4">
            <w:pPr>
              <w:pStyle w:val="ListParagraph"/>
              <w:numPr>
                <w:ilvl w:val="0"/>
                <w:numId w:val="19"/>
              </w:numPr>
              <w:ind w:left="228" w:hanging="180"/>
            </w:pPr>
            <w:r w:rsidRPr="00A93EB5">
              <w:t>25% GS-14 @ $101,035/year = 25,258</w:t>
            </w:r>
          </w:p>
          <w:p w14:paraId="2883C7D4" w14:textId="77777777" w:rsidR="00A030E6" w:rsidRPr="00A93EB5" w:rsidRDefault="00A030E6" w:rsidP="00E466A4">
            <w:pPr>
              <w:jc w:val="right"/>
            </w:pPr>
            <w:r>
              <w:t>Subtotal, CDC Personnel</w:t>
            </w:r>
          </w:p>
        </w:tc>
        <w:tc>
          <w:tcPr>
            <w:tcW w:w="2070" w:type="dxa"/>
            <w:vAlign w:val="bottom"/>
          </w:tcPr>
          <w:p w14:paraId="6295D10D" w14:textId="77777777" w:rsidR="00A030E6" w:rsidRPr="00A93EB5" w:rsidRDefault="00A030E6" w:rsidP="00E466A4">
            <w:pPr>
              <w:jc w:val="right"/>
            </w:pPr>
            <w:r>
              <w:t>$139,659</w:t>
            </w:r>
          </w:p>
        </w:tc>
      </w:tr>
      <w:tr w:rsidR="00A030E6" w:rsidRPr="00A93EB5" w14:paraId="2B83C6B8" w14:textId="77777777" w:rsidTr="00E466A4">
        <w:tc>
          <w:tcPr>
            <w:tcW w:w="2088" w:type="dxa"/>
          </w:tcPr>
          <w:p w14:paraId="1789EF04" w14:textId="77777777" w:rsidR="00A030E6" w:rsidRPr="00A93EB5" w:rsidRDefault="00A030E6" w:rsidP="00E466A4">
            <w:r w:rsidRPr="00A93EB5">
              <w:t>Contractor</w:t>
            </w:r>
          </w:p>
        </w:tc>
        <w:tc>
          <w:tcPr>
            <w:tcW w:w="5490" w:type="dxa"/>
          </w:tcPr>
          <w:p w14:paraId="21A331C4" w14:textId="77777777" w:rsidR="00A030E6" w:rsidRPr="00A93EB5" w:rsidRDefault="00A030E6" w:rsidP="00E466A4">
            <w:pPr>
              <w:pStyle w:val="ListParagraph"/>
              <w:ind w:left="72"/>
            </w:pPr>
            <w:r w:rsidRPr="00A93EB5">
              <w:t>Data Collection Contractor</w:t>
            </w:r>
          </w:p>
        </w:tc>
        <w:tc>
          <w:tcPr>
            <w:tcW w:w="2070" w:type="dxa"/>
            <w:vAlign w:val="center"/>
          </w:tcPr>
          <w:p w14:paraId="0CB8E05B" w14:textId="77777777" w:rsidR="00A030E6" w:rsidRPr="00A93EB5" w:rsidRDefault="00A030E6" w:rsidP="00E466A4">
            <w:pPr>
              <w:jc w:val="right"/>
            </w:pPr>
            <w:r>
              <w:t>$100,000</w:t>
            </w:r>
          </w:p>
        </w:tc>
      </w:tr>
      <w:tr w:rsidR="00A030E6" w:rsidRPr="00A93EB5" w14:paraId="3DA98026" w14:textId="77777777" w:rsidTr="00E466A4">
        <w:tc>
          <w:tcPr>
            <w:tcW w:w="7578" w:type="dxa"/>
            <w:gridSpan w:val="2"/>
          </w:tcPr>
          <w:p w14:paraId="796B5B81" w14:textId="77777777" w:rsidR="00A030E6" w:rsidRPr="00A93EB5" w:rsidRDefault="00A030E6" w:rsidP="00E466A4">
            <w:pPr>
              <w:jc w:val="right"/>
              <w:rPr>
                <w:bCs/>
              </w:rPr>
            </w:pPr>
            <w:r w:rsidRPr="00A93EB5">
              <w:rPr>
                <w:bCs/>
              </w:rPr>
              <w:t>Total Annual Estimated Costs</w:t>
            </w:r>
          </w:p>
        </w:tc>
        <w:tc>
          <w:tcPr>
            <w:tcW w:w="2070" w:type="dxa"/>
          </w:tcPr>
          <w:p w14:paraId="26A25BD3" w14:textId="77777777" w:rsidR="00A030E6" w:rsidRPr="00E06E3B" w:rsidRDefault="00A030E6" w:rsidP="00E466A4">
            <w:pPr>
              <w:jc w:val="right"/>
              <w:rPr>
                <w:bCs/>
              </w:rPr>
            </w:pPr>
            <w:r>
              <w:rPr>
                <w:bCs/>
              </w:rPr>
              <w:t>$239,659</w:t>
            </w:r>
          </w:p>
        </w:tc>
      </w:tr>
    </w:tbl>
    <w:p w14:paraId="2AA60B1F" w14:textId="77777777" w:rsidR="00A030E6" w:rsidRPr="00691454" w:rsidRDefault="00A030E6" w:rsidP="00A030E6">
      <w:pPr>
        <w:autoSpaceDE w:val="0"/>
        <w:autoSpaceDN w:val="0"/>
        <w:adjustRightInd w:val="0"/>
        <w:rPr>
          <w:rFonts w:ascii="TimesNewRomanPSMT" w:hAnsi="TimesNewRomanPSMT" w:cs="TimesNewRomanPSMT"/>
        </w:rPr>
      </w:pPr>
    </w:p>
    <w:p w14:paraId="3F056B85" w14:textId="77777777" w:rsidR="00A030E6" w:rsidRPr="00691454" w:rsidRDefault="00A030E6" w:rsidP="00A030E6">
      <w:pPr>
        <w:autoSpaceDE w:val="0"/>
        <w:autoSpaceDN w:val="0"/>
        <w:adjustRightInd w:val="0"/>
        <w:rPr>
          <w:b/>
          <w:bCs/>
        </w:rPr>
      </w:pPr>
      <w:r w:rsidRPr="00691454">
        <w:rPr>
          <w:b/>
          <w:bCs/>
        </w:rPr>
        <w:t xml:space="preserve">A.15. </w:t>
      </w:r>
      <w:r w:rsidRPr="00691454">
        <w:rPr>
          <w:b/>
          <w:bCs/>
        </w:rPr>
        <w:tab/>
        <w:t xml:space="preserve">Explanation for Program Changes or Adjustments </w:t>
      </w:r>
    </w:p>
    <w:p w14:paraId="4DFA9D30" w14:textId="77777777" w:rsidR="00A030E6" w:rsidRDefault="00A030E6" w:rsidP="00A030E6">
      <w:pPr>
        <w:autoSpaceDE w:val="0"/>
        <w:autoSpaceDN w:val="0"/>
        <w:adjustRightInd w:val="0"/>
        <w:rPr>
          <w:b/>
          <w:bCs/>
        </w:rPr>
      </w:pPr>
    </w:p>
    <w:p w14:paraId="226D2C68" w14:textId="77777777" w:rsidR="00A030E6" w:rsidRPr="00A93EB5" w:rsidRDefault="00A030E6" w:rsidP="00A030E6">
      <w:pPr>
        <w:autoSpaceDE w:val="0"/>
        <w:autoSpaceDN w:val="0"/>
        <w:adjustRightInd w:val="0"/>
        <w:rPr>
          <w:bCs/>
        </w:rPr>
      </w:pPr>
      <w:r w:rsidRPr="00A93EB5">
        <w:rPr>
          <w:bCs/>
        </w:rPr>
        <w:t xml:space="preserve">This is a new collection. </w:t>
      </w:r>
    </w:p>
    <w:p w14:paraId="514D4FD2" w14:textId="77777777" w:rsidR="00A030E6" w:rsidRPr="00691454" w:rsidRDefault="00A030E6" w:rsidP="00A030E6">
      <w:pPr>
        <w:autoSpaceDE w:val="0"/>
        <w:autoSpaceDN w:val="0"/>
        <w:adjustRightInd w:val="0"/>
        <w:rPr>
          <w:b/>
          <w:bCs/>
        </w:rPr>
      </w:pPr>
    </w:p>
    <w:p w14:paraId="1DFC146A" w14:textId="77777777" w:rsidR="00A030E6" w:rsidRPr="00691454" w:rsidRDefault="00A030E6" w:rsidP="00A030E6">
      <w:pPr>
        <w:autoSpaceDE w:val="0"/>
        <w:autoSpaceDN w:val="0"/>
        <w:adjustRightInd w:val="0"/>
      </w:pPr>
      <w:r w:rsidRPr="00691454">
        <w:rPr>
          <w:b/>
          <w:bCs/>
        </w:rPr>
        <w:t>A.16. Plans for Tabulation and Publication, and Project Time Schedule</w:t>
      </w:r>
      <w:r w:rsidRPr="00691454">
        <w:t xml:space="preserve"> </w:t>
      </w:r>
    </w:p>
    <w:p w14:paraId="6AA7FA46" w14:textId="77777777" w:rsidR="00A030E6" w:rsidRDefault="00A030E6" w:rsidP="00A030E6">
      <w:pPr>
        <w:autoSpaceDE w:val="0"/>
        <w:autoSpaceDN w:val="0"/>
        <w:adjustRightInd w:val="0"/>
        <w:rPr>
          <w:bCs/>
        </w:rPr>
      </w:pPr>
    </w:p>
    <w:p w14:paraId="4939527B" w14:textId="77777777" w:rsidR="00A030E6" w:rsidRPr="00A93EB5" w:rsidRDefault="00A030E6" w:rsidP="00A030E6">
      <w:pPr>
        <w:autoSpaceDE w:val="0"/>
        <w:autoSpaceDN w:val="0"/>
        <w:adjustRightInd w:val="0"/>
        <w:rPr>
          <w:bCs/>
        </w:rPr>
      </w:pPr>
      <w:r w:rsidRPr="00A93EB5">
        <w:rPr>
          <w:bCs/>
        </w:rPr>
        <w:t xml:space="preserve">A. </w:t>
      </w:r>
      <w:r w:rsidRPr="00A93EB5">
        <w:rPr>
          <w:bCs/>
          <w:u w:val="single"/>
        </w:rPr>
        <w:t>Time schedule for the entire project</w:t>
      </w:r>
    </w:p>
    <w:p w14:paraId="371E069C" w14:textId="77777777" w:rsidR="00A030E6" w:rsidRPr="00A93EB5" w:rsidRDefault="00A030E6" w:rsidP="00A030E6">
      <w:pPr>
        <w:autoSpaceDE w:val="0"/>
        <w:autoSpaceDN w:val="0"/>
        <w:adjustRightInd w:val="0"/>
        <w:rPr>
          <w:bCs/>
        </w:rPr>
      </w:pPr>
      <w:r w:rsidRPr="00A93EB5">
        <w:rPr>
          <w:bCs/>
        </w:rPr>
        <w:t xml:space="preserve">The cooperative agreement cycle is </w:t>
      </w:r>
      <w:r>
        <w:rPr>
          <w:bCs/>
        </w:rPr>
        <w:t xml:space="preserve">four </w:t>
      </w:r>
      <w:r w:rsidRPr="00A93EB5">
        <w:rPr>
          <w:bCs/>
        </w:rPr>
        <w:t>years.  OMB appro</w:t>
      </w:r>
      <w:r>
        <w:rPr>
          <w:bCs/>
        </w:rPr>
        <w:t xml:space="preserve">val is being requested for the first three years of the four year funding period. An extension will be sought for the fourth year.  </w:t>
      </w:r>
      <w:r w:rsidRPr="00A93EB5">
        <w:rPr>
          <w:bCs/>
        </w:rPr>
        <w:t>Reports will be generated by the awardees per the FOA requirements once a year due 120 days before the end of the budget period.  Data collection began</w:t>
      </w:r>
      <w:r>
        <w:rPr>
          <w:bCs/>
        </w:rPr>
        <w:t xml:space="preserve"> with the awarding of the cooperative agreements</w:t>
      </w:r>
      <w:r w:rsidRPr="00A93EB5">
        <w:rPr>
          <w:bCs/>
        </w:rPr>
        <w:t xml:space="preserve"> and will continue throughout the funding cycle. </w:t>
      </w:r>
    </w:p>
    <w:p w14:paraId="15F064EB" w14:textId="77777777" w:rsidR="00A030E6" w:rsidRPr="00A93EB5" w:rsidRDefault="00A030E6" w:rsidP="00A030E6">
      <w:pPr>
        <w:autoSpaceDE w:val="0"/>
        <w:autoSpaceDN w:val="0"/>
        <w:adjustRightInd w:val="0"/>
        <w:rPr>
          <w:bCs/>
        </w:rPr>
      </w:pPr>
    </w:p>
    <w:p w14:paraId="425C4178" w14:textId="77777777" w:rsidR="00A030E6" w:rsidRPr="00A93EB5" w:rsidRDefault="00A030E6" w:rsidP="00A030E6">
      <w:pPr>
        <w:autoSpaceDE w:val="0"/>
        <w:autoSpaceDN w:val="0"/>
        <w:adjustRightInd w:val="0"/>
        <w:rPr>
          <w:bCs/>
        </w:rPr>
      </w:pPr>
      <w:r w:rsidRPr="00A93EB5">
        <w:rPr>
          <w:bCs/>
        </w:rPr>
        <w:t xml:space="preserve">B. </w:t>
      </w:r>
      <w:r w:rsidRPr="00A93EB5">
        <w:rPr>
          <w:bCs/>
          <w:u w:val="single"/>
        </w:rPr>
        <w:t>Publication plan</w:t>
      </w:r>
    </w:p>
    <w:p w14:paraId="684877FA" w14:textId="77777777" w:rsidR="00A030E6" w:rsidRPr="00A93EB5" w:rsidRDefault="00A030E6" w:rsidP="00A030E6">
      <w:pPr>
        <w:autoSpaceDE w:val="0"/>
        <w:autoSpaceDN w:val="0"/>
        <w:adjustRightInd w:val="0"/>
        <w:rPr>
          <w:bCs/>
        </w:rPr>
      </w:pPr>
      <w:r w:rsidRPr="00A93EB5">
        <w:rPr>
          <w:bCs/>
        </w:rPr>
        <w:t>Information collected by the awardees will be reported in internal CDC documents and shared with state-based programs.</w:t>
      </w:r>
    </w:p>
    <w:p w14:paraId="3F2F946D" w14:textId="77777777" w:rsidR="00A030E6" w:rsidRPr="00A93EB5" w:rsidRDefault="00A030E6" w:rsidP="00A030E6">
      <w:pPr>
        <w:autoSpaceDE w:val="0"/>
        <w:autoSpaceDN w:val="0"/>
        <w:adjustRightInd w:val="0"/>
        <w:rPr>
          <w:bCs/>
        </w:rPr>
      </w:pPr>
    </w:p>
    <w:p w14:paraId="1F5DF4F0" w14:textId="77777777" w:rsidR="00A030E6" w:rsidRPr="00A93EB5" w:rsidRDefault="00A030E6" w:rsidP="00A030E6">
      <w:pPr>
        <w:autoSpaceDE w:val="0"/>
        <w:autoSpaceDN w:val="0"/>
        <w:adjustRightInd w:val="0"/>
        <w:rPr>
          <w:bCs/>
        </w:rPr>
      </w:pPr>
      <w:r w:rsidRPr="00A93EB5">
        <w:rPr>
          <w:bCs/>
        </w:rPr>
        <w:t xml:space="preserve">C. </w:t>
      </w:r>
      <w:r w:rsidRPr="00A93EB5">
        <w:rPr>
          <w:bCs/>
          <w:u w:val="single"/>
        </w:rPr>
        <w:t>Analysis plan</w:t>
      </w:r>
    </w:p>
    <w:p w14:paraId="728A5EC5" w14:textId="77777777" w:rsidR="00A030E6" w:rsidRDefault="00A030E6" w:rsidP="00A030E6">
      <w:pPr>
        <w:autoSpaceDE w:val="0"/>
        <w:autoSpaceDN w:val="0"/>
        <w:adjustRightInd w:val="0"/>
        <w:rPr>
          <w:bCs/>
        </w:rPr>
      </w:pPr>
      <w:r w:rsidRPr="00A93EB5">
        <w:rPr>
          <w:bCs/>
        </w:rPr>
        <w:t>CDC will not use complex statistical methods for analyzing information. Most statistical analyses will be descriptive. Statistical modeling may be included to examine predictors of specified outcomes.</w:t>
      </w:r>
      <w:r>
        <w:rPr>
          <w:bCs/>
        </w:rPr>
        <w:t xml:space="preserve"> For example, the difference between baseline rates and achieved rates on indicators will be documented and analyzed. In addition, the percent of objective met versus proposed will also be documented and analyzed. Furthermore, the information in the work plan will allow for CDC staff to monitor program activities and implementation and provide technical assistance to awardees after an internal qualitative review has been completed. </w:t>
      </w:r>
    </w:p>
    <w:p w14:paraId="1CE62E50" w14:textId="77777777" w:rsidR="00B47A2F" w:rsidRDefault="00B47A2F" w:rsidP="00A030E6">
      <w:pPr>
        <w:autoSpaceDE w:val="0"/>
        <w:autoSpaceDN w:val="0"/>
        <w:adjustRightInd w:val="0"/>
        <w:rPr>
          <w:bCs/>
        </w:rPr>
      </w:pPr>
    </w:p>
    <w:p w14:paraId="458B7EF7" w14:textId="77777777" w:rsidR="00B47A2F" w:rsidRDefault="00B47A2F" w:rsidP="00A030E6">
      <w:pPr>
        <w:autoSpaceDE w:val="0"/>
        <w:autoSpaceDN w:val="0"/>
        <w:adjustRightInd w:val="0"/>
        <w:rPr>
          <w:bCs/>
        </w:rPr>
      </w:pPr>
    </w:p>
    <w:p w14:paraId="1392A3A6" w14:textId="77777777" w:rsidR="00B47A2F" w:rsidRPr="00A93EB5" w:rsidRDefault="00B47A2F" w:rsidP="00A030E6">
      <w:pPr>
        <w:autoSpaceDE w:val="0"/>
        <w:autoSpaceDN w:val="0"/>
        <w:adjustRightInd w:val="0"/>
        <w:rPr>
          <w:bCs/>
        </w:rPr>
      </w:pPr>
    </w:p>
    <w:p w14:paraId="4162A5A0" w14:textId="77777777" w:rsidR="00A030E6" w:rsidRDefault="00A030E6" w:rsidP="00A030E6">
      <w:pPr>
        <w:autoSpaceDE w:val="0"/>
        <w:autoSpaceDN w:val="0"/>
        <w:adjustRightInd w:val="0"/>
        <w:rPr>
          <w:bCs/>
        </w:rPr>
      </w:pPr>
    </w:p>
    <w:p w14:paraId="6EBE9C90" w14:textId="0CC22E02" w:rsidR="00307B92" w:rsidRPr="00B47A2F" w:rsidRDefault="00B47A2F" w:rsidP="00307B92">
      <w:pPr>
        <w:autoSpaceDE w:val="0"/>
        <w:autoSpaceDN w:val="0"/>
        <w:adjustRightInd w:val="0"/>
      </w:pPr>
      <w:r>
        <w:lastRenderedPageBreak/>
        <w:t xml:space="preserve">Table </w:t>
      </w:r>
      <w:r w:rsidR="00307B92" w:rsidRPr="00B47A2F">
        <w:t>Project Time Schedule</w:t>
      </w:r>
    </w:p>
    <w:tbl>
      <w:tblPr>
        <w:tblStyle w:val="TableGrid"/>
        <w:tblW w:w="9216" w:type="dxa"/>
        <w:tblLook w:val="04A0" w:firstRow="1" w:lastRow="0" w:firstColumn="1" w:lastColumn="0" w:noHBand="0" w:noVBand="1"/>
      </w:tblPr>
      <w:tblGrid>
        <w:gridCol w:w="4607"/>
        <w:gridCol w:w="4609"/>
      </w:tblGrid>
      <w:tr w:rsidR="00307B92" w:rsidRPr="00711D6C" w14:paraId="5F1E9B02" w14:textId="77777777" w:rsidTr="00E466A4">
        <w:tc>
          <w:tcPr>
            <w:tcW w:w="4607" w:type="dxa"/>
          </w:tcPr>
          <w:p w14:paraId="21893EB8" w14:textId="77777777" w:rsidR="00307B92" w:rsidRPr="00711D6C" w:rsidRDefault="00307B92" w:rsidP="00E466A4">
            <w:pPr>
              <w:autoSpaceDE w:val="0"/>
              <w:autoSpaceDN w:val="0"/>
              <w:adjustRightInd w:val="0"/>
              <w:rPr>
                <w:rFonts w:asciiTheme="majorHAnsi" w:hAnsiTheme="majorHAnsi"/>
                <w:b/>
                <w:bCs/>
              </w:rPr>
            </w:pPr>
            <w:r w:rsidRPr="00711D6C">
              <w:rPr>
                <w:rFonts w:asciiTheme="majorHAnsi" w:hAnsiTheme="majorHAnsi"/>
                <w:b/>
                <w:bCs/>
              </w:rPr>
              <w:t>Activity Time Schedule</w:t>
            </w:r>
          </w:p>
        </w:tc>
        <w:tc>
          <w:tcPr>
            <w:tcW w:w="4609" w:type="dxa"/>
          </w:tcPr>
          <w:p w14:paraId="2937DCCE" w14:textId="77777777" w:rsidR="00307B92" w:rsidRPr="00711D6C" w:rsidRDefault="00307B92" w:rsidP="00E466A4">
            <w:pPr>
              <w:rPr>
                <w:rFonts w:asciiTheme="majorHAnsi" w:hAnsiTheme="majorHAnsi"/>
                <w:b/>
              </w:rPr>
            </w:pPr>
          </w:p>
        </w:tc>
      </w:tr>
      <w:tr w:rsidR="00307B92" w:rsidRPr="00711D6C" w14:paraId="4F9030D2" w14:textId="77777777" w:rsidTr="00E466A4">
        <w:tc>
          <w:tcPr>
            <w:tcW w:w="4607" w:type="dxa"/>
          </w:tcPr>
          <w:p w14:paraId="342D8334" w14:textId="77777777" w:rsidR="00307B92" w:rsidRPr="00711D6C" w:rsidRDefault="00307B92" w:rsidP="00E466A4">
            <w:pPr>
              <w:rPr>
                <w:rFonts w:asciiTheme="majorHAnsi" w:hAnsiTheme="majorHAnsi"/>
              </w:rPr>
            </w:pPr>
            <w:r w:rsidRPr="00711D6C">
              <w:rPr>
                <w:rFonts w:asciiTheme="majorHAnsi" w:hAnsiTheme="majorHAnsi"/>
              </w:rPr>
              <w:t>Notification of Tool Availability</w:t>
            </w:r>
          </w:p>
        </w:tc>
        <w:tc>
          <w:tcPr>
            <w:tcW w:w="4609" w:type="dxa"/>
          </w:tcPr>
          <w:p w14:paraId="510F35CF" w14:textId="77777777" w:rsidR="00307B92" w:rsidRPr="00711D6C" w:rsidRDefault="00307B92" w:rsidP="00E466A4">
            <w:pPr>
              <w:rPr>
                <w:rFonts w:asciiTheme="majorHAnsi" w:hAnsiTheme="majorHAnsi"/>
              </w:rPr>
            </w:pPr>
            <w:r w:rsidRPr="00711D6C">
              <w:rPr>
                <w:rFonts w:asciiTheme="majorHAnsi" w:hAnsiTheme="majorHAnsi"/>
              </w:rPr>
              <w:t>Immediately upon OMB approval</w:t>
            </w:r>
          </w:p>
        </w:tc>
      </w:tr>
      <w:tr w:rsidR="00307B92" w:rsidRPr="00711D6C" w14:paraId="4009D937" w14:textId="77777777" w:rsidTr="00E466A4">
        <w:tc>
          <w:tcPr>
            <w:tcW w:w="4607" w:type="dxa"/>
          </w:tcPr>
          <w:p w14:paraId="69ADD455" w14:textId="77777777" w:rsidR="00307B92" w:rsidRPr="00711D6C" w:rsidRDefault="00307B92" w:rsidP="00E466A4">
            <w:pPr>
              <w:rPr>
                <w:rFonts w:asciiTheme="majorHAnsi" w:hAnsiTheme="majorHAnsi"/>
              </w:rPr>
            </w:pPr>
            <w:r w:rsidRPr="00711D6C">
              <w:rPr>
                <w:rFonts w:asciiTheme="majorHAnsi" w:hAnsiTheme="majorHAnsi"/>
              </w:rPr>
              <w:t>User Training</w:t>
            </w:r>
          </w:p>
        </w:tc>
        <w:tc>
          <w:tcPr>
            <w:tcW w:w="4609" w:type="dxa"/>
          </w:tcPr>
          <w:p w14:paraId="4CB7BE3C" w14:textId="77777777" w:rsidR="00307B92" w:rsidRPr="00711D6C" w:rsidRDefault="00307B92" w:rsidP="00E466A4">
            <w:pPr>
              <w:rPr>
                <w:rFonts w:asciiTheme="majorHAnsi" w:hAnsiTheme="majorHAnsi"/>
              </w:rPr>
            </w:pPr>
            <w:r w:rsidRPr="00711D6C">
              <w:rPr>
                <w:rFonts w:asciiTheme="majorHAnsi" w:hAnsiTheme="majorHAnsi"/>
              </w:rPr>
              <w:t>Immediately upon OMB approval and ongoing through expiration date</w:t>
            </w:r>
          </w:p>
        </w:tc>
      </w:tr>
      <w:tr w:rsidR="00307B92" w:rsidRPr="00711D6C" w14:paraId="5A486BD2" w14:textId="77777777" w:rsidTr="00E466A4">
        <w:tc>
          <w:tcPr>
            <w:tcW w:w="4607" w:type="dxa"/>
          </w:tcPr>
          <w:p w14:paraId="54DEEF84" w14:textId="77777777" w:rsidR="00307B92" w:rsidRPr="00711D6C" w:rsidRDefault="00307B92" w:rsidP="00E466A4">
            <w:pPr>
              <w:rPr>
                <w:rFonts w:asciiTheme="majorHAnsi" w:hAnsiTheme="majorHAnsi"/>
              </w:rPr>
            </w:pPr>
            <w:r w:rsidRPr="00711D6C">
              <w:rPr>
                <w:rFonts w:asciiTheme="majorHAnsi" w:hAnsiTheme="majorHAnsi"/>
              </w:rPr>
              <w:t>Data Collection</w:t>
            </w:r>
          </w:p>
        </w:tc>
        <w:tc>
          <w:tcPr>
            <w:tcW w:w="4609" w:type="dxa"/>
          </w:tcPr>
          <w:p w14:paraId="0797814F" w14:textId="77777777" w:rsidR="00307B92" w:rsidRPr="00711D6C" w:rsidRDefault="00307B92" w:rsidP="00E466A4">
            <w:pPr>
              <w:rPr>
                <w:rFonts w:asciiTheme="majorHAnsi" w:hAnsiTheme="majorHAnsi"/>
              </w:rPr>
            </w:pPr>
            <w:r w:rsidRPr="00711D6C">
              <w:rPr>
                <w:rFonts w:asciiTheme="majorHAnsi" w:hAnsiTheme="majorHAnsi"/>
              </w:rPr>
              <w:t>1-36 months after OMB approval</w:t>
            </w:r>
          </w:p>
        </w:tc>
      </w:tr>
      <w:tr w:rsidR="00307B92" w:rsidRPr="00711D6C" w14:paraId="1CC4D40E" w14:textId="77777777" w:rsidTr="00E466A4">
        <w:tc>
          <w:tcPr>
            <w:tcW w:w="4607" w:type="dxa"/>
          </w:tcPr>
          <w:p w14:paraId="275D3301" w14:textId="77777777" w:rsidR="00307B92" w:rsidRPr="00711D6C" w:rsidRDefault="00307B92" w:rsidP="00E466A4">
            <w:pPr>
              <w:rPr>
                <w:rFonts w:asciiTheme="majorHAnsi" w:hAnsiTheme="majorHAnsi"/>
              </w:rPr>
            </w:pPr>
            <w:r w:rsidRPr="00711D6C">
              <w:rPr>
                <w:rFonts w:asciiTheme="majorHAnsi" w:hAnsiTheme="majorHAnsi"/>
              </w:rPr>
              <w:t>Data Publication</w:t>
            </w:r>
          </w:p>
        </w:tc>
        <w:tc>
          <w:tcPr>
            <w:tcW w:w="4609" w:type="dxa"/>
          </w:tcPr>
          <w:p w14:paraId="3D7A6D6D" w14:textId="77777777" w:rsidR="00307B92" w:rsidRPr="00711D6C" w:rsidRDefault="00307B92" w:rsidP="00E466A4">
            <w:pPr>
              <w:rPr>
                <w:rFonts w:asciiTheme="majorHAnsi" w:hAnsiTheme="majorHAnsi"/>
              </w:rPr>
            </w:pPr>
            <w:r w:rsidRPr="00711D6C">
              <w:rPr>
                <w:rFonts w:asciiTheme="majorHAnsi" w:hAnsiTheme="majorHAnsi"/>
              </w:rPr>
              <w:t xml:space="preserve">Once annually </w:t>
            </w:r>
          </w:p>
        </w:tc>
      </w:tr>
      <w:tr w:rsidR="00307B92" w:rsidRPr="00711D6C" w14:paraId="16213538" w14:textId="77777777" w:rsidTr="00E466A4">
        <w:tc>
          <w:tcPr>
            <w:tcW w:w="4607" w:type="dxa"/>
          </w:tcPr>
          <w:p w14:paraId="4607CE50" w14:textId="77777777" w:rsidR="00307B92" w:rsidRPr="00711D6C" w:rsidRDefault="00307B92" w:rsidP="00E466A4">
            <w:pPr>
              <w:rPr>
                <w:rFonts w:asciiTheme="majorHAnsi" w:hAnsiTheme="majorHAnsi"/>
              </w:rPr>
            </w:pPr>
            <w:r w:rsidRPr="00711D6C">
              <w:rPr>
                <w:rFonts w:asciiTheme="majorHAnsi" w:hAnsiTheme="majorHAnsi"/>
              </w:rPr>
              <w:t>Data Analysis</w:t>
            </w:r>
          </w:p>
        </w:tc>
        <w:tc>
          <w:tcPr>
            <w:tcW w:w="4609" w:type="dxa"/>
          </w:tcPr>
          <w:p w14:paraId="3482B9DD" w14:textId="77777777" w:rsidR="00307B92" w:rsidRPr="00711D6C" w:rsidRDefault="00307B92" w:rsidP="00E466A4">
            <w:pPr>
              <w:rPr>
                <w:rFonts w:asciiTheme="majorHAnsi" w:hAnsiTheme="majorHAnsi"/>
              </w:rPr>
            </w:pPr>
            <w:r w:rsidRPr="00711D6C">
              <w:rPr>
                <w:rFonts w:asciiTheme="majorHAnsi" w:hAnsiTheme="majorHAnsi"/>
              </w:rPr>
              <w:t>1-36 months after OMB approval</w:t>
            </w:r>
          </w:p>
        </w:tc>
      </w:tr>
    </w:tbl>
    <w:p w14:paraId="2EA0ED5C" w14:textId="77777777" w:rsidR="00307B92" w:rsidRDefault="00307B92" w:rsidP="00A030E6">
      <w:pPr>
        <w:autoSpaceDE w:val="0"/>
        <w:autoSpaceDN w:val="0"/>
        <w:adjustRightInd w:val="0"/>
        <w:rPr>
          <w:bCs/>
        </w:rPr>
      </w:pPr>
    </w:p>
    <w:p w14:paraId="3703FA2A" w14:textId="77777777" w:rsidR="00307B92" w:rsidRDefault="00307B92" w:rsidP="00A030E6">
      <w:pPr>
        <w:autoSpaceDE w:val="0"/>
        <w:autoSpaceDN w:val="0"/>
        <w:adjustRightInd w:val="0"/>
        <w:rPr>
          <w:bCs/>
        </w:rPr>
      </w:pPr>
    </w:p>
    <w:p w14:paraId="0078C0EC" w14:textId="77777777" w:rsidR="00A030E6" w:rsidRPr="00A93EB5" w:rsidRDefault="00A030E6" w:rsidP="00A030E6">
      <w:pPr>
        <w:autoSpaceDE w:val="0"/>
        <w:autoSpaceDN w:val="0"/>
        <w:adjustRightInd w:val="0"/>
        <w:rPr>
          <w:b/>
          <w:bCs/>
        </w:rPr>
      </w:pPr>
      <w:r w:rsidRPr="00A93EB5">
        <w:rPr>
          <w:b/>
          <w:bCs/>
        </w:rPr>
        <w:t xml:space="preserve">A.17. Reason(s) Display of OMB Expiration Date is Inappropriate </w:t>
      </w:r>
    </w:p>
    <w:p w14:paraId="338DD063" w14:textId="77777777" w:rsidR="00A030E6" w:rsidRPr="00A93EB5" w:rsidRDefault="00A030E6" w:rsidP="00A030E6">
      <w:pPr>
        <w:autoSpaceDE w:val="0"/>
        <w:autoSpaceDN w:val="0"/>
        <w:adjustRightInd w:val="0"/>
        <w:rPr>
          <w:b/>
          <w:bCs/>
        </w:rPr>
      </w:pPr>
    </w:p>
    <w:p w14:paraId="628037B6" w14:textId="77777777" w:rsidR="00A030E6" w:rsidRPr="00A93EB5" w:rsidRDefault="00A030E6" w:rsidP="00A030E6">
      <w:pPr>
        <w:autoSpaceDE w:val="0"/>
        <w:autoSpaceDN w:val="0"/>
        <w:adjustRightInd w:val="0"/>
      </w:pPr>
      <w:r w:rsidRPr="00A93EB5">
        <w:t>The display of the OMB expiration date is not inappropriate.</w:t>
      </w:r>
    </w:p>
    <w:p w14:paraId="6BE62CF9" w14:textId="77777777" w:rsidR="00A030E6" w:rsidRDefault="00A030E6" w:rsidP="00A030E6">
      <w:pPr>
        <w:autoSpaceDE w:val="0"/>
        <w:autoSpaceDN w:val="0"/>
        <w:adjustRightInd w:val="0"/>
        <w:rPr>
          <w:b/>
          <w:bCs/>
        </w:rPr>
      </w:pPr>
    </w:p>
    <w:p w14:paraId="78584B88" w14:textId="77777777" w:rsidR="00A030E6" w:rsidRPr="00691454" w:rsidRDefault="00A030E6" w:rsidP="00A030E6">
      <w:pPr>
        <w:autoSpaceDE w:val="0"/>
        <w:autoSpaceDN w:val="0"/>
        <w:adjustRightInd w:val="0"/>
        <w:rPr>
          <w:b/>
          <w:bCs/>
        </w:rPr>
      </w:pPr>
      <w:r w:rsidRPr="00691454">
        <w:rPr>
          <w:b/>
          <w:bCs/>
        </w:rPr>
        <w:t xml:space="preserve">A.18. Exceptions to Certification for Paperwork Reduction Act Submissions </w:t>
      </w:r>
    </w:p>
    <w:p w14:paraId="6E56A301" w14:textId="77777777" w:rsidR="00A030E6" w:rsidRPr="00691454" w:rsidRDefault="00A030E6" w:rsidP="00A030E6">
      <w:pPr>
        <w:autoSpaceDE w:val="0"/>
        <w:autoSpaceDN w:val="0"/>
        <w:adjustRightInd w:val="0"/>
        <w:rPr>
          <w:b/>
          <w:bCs/>
        </w:rPr>
      </w:pPr>
    </w:p>
    <w:p w14:paraId="0CB84E49" w14:textId="77777777" w:rsidR="00A030E6" w:rsidRPr="00691454" w:rsidRDefault="00A030E6" w:rsidP="00A030E6">
      <w:pPr>
        <w:autoSpaceDE w:val="0"/>
        <w:autoSpaceDN w:val="0"/>
        <w:adjustRightInd w:val="0"/>
      </w:pPr>
      <w:r w:rsidRPr="00691454">
        <w:t>There are no exceptions to the certification.</w:t>
      </w:r>
    </w:p>
    <w:p w14:paraId="159FEFCF" w14:textId="77777777" w:rsidR="00A030E6" w:rsidRPr="00691454" w:rsidRDefault="00A030E6" w:rsidP="00A030E6">
      <w:pPr>
        <w:autoSpaceDE w:val="0"/>
        <w:autoSpaceDN w:val="0"/>
        <w:adjustRightInd w:val="0"/>
      </w:pPr>
      <w:r w:rsidRPr="00691454">
        <w:t xml:space="preserve"> </w:t>
      </w:r>
    </w:p>
    <w:p w14:paraId="33BF8EE6" w14:textId="77777777" w:rsidR="00A030E6" w:rsidRPr="00691454" w:rsidRDefault="00A030E6" w:rsidP="00A030E6">
      <w:pPr>
        <w:autoSpaceDE w:val="0"/>
        <w:autoSpaceDN w:val="0"/>
        <w:adjustRightInd w:val="0"/>
      </w:pPr>
    </w:p>
    <w:p w14:paraId="56D9D7F5" w14:textId="77777777" w:rsidR="00A030E6" w:rsidRDefault="00A030E6" w:rsidP="00A030E6">
      <w:pPr>
        <w:rPr>
          <w:b/>
          <w:bCs/>
        </w:rPr>
      </w:pPr>
      <w:r w:rsidRPr="00691454">
        <w:t xml:space="preserve"> </w:t>
      </w:r>
      <w:r w:rsidRPr="00691454">
        <w:rPr>
          <w:b/>
          <w:bCs/>
        </w:rPr>
        <w:t>REFERENCES</w:t>
      </w:r>
    </w:p>
    <w:p w14:paraId="7E3EBA00" w14:textId="77777777" w:rsidR="00A030E6" w:rsidRDefault="00A030E6" w:rsidP="00A030E6">
      <w:pPr>
        <w:rPr>
          <w:b/>
          <w:bCs/>
        </w:rPr>
      </w:pPr>
    </w:p>
    <w:p w14:paraId="477296B3" w14:textId="77777777" w:rsidR="00A030E6" w:rsidRPr="008B1661" w:rsidRDefault="00A030E6" w:rsidP="00A030E6">
      <w:pPr>
        <w:pStyle w:val="ListParagraph"/>
        <w:numPr>
          <w:ilvl w:val="0"/>
          <w:numId w:val="11"/>
        </w:numPr>
        <w:spacing w:after="120"/>
        <w:contextualSpacing w:val="0"/>
        <w:rPr>
          <w:bCs/>
        </w:rPr>
      </w:pPr>
      <w:r w:rsidRPr="008B1661">
        <w:t xml:space="preserve">Centers for Disease Control and Prevention. Web-based Injury Statistics Query and Reporting System (WISQARS) [online]. (2014) Available from URL: </w:t>
      </w:r>
      <w:hyperlink r:id="rId12" w:tgtFrame="_blank" w:history="1">
        <w:r w:rsidRPr="008B1661">
          <w:rPr>
            <w:color w:val="0000FF"/>
            <w:u w:val="single"/>
          </w:rPr>
          <w:t>http://www.cdc.gov/injury/wisqars/fatal.html</w:t>
        </w:r>
      </w:hyperlink>
      <w:r w:rsidRPr="008B1661">
        <w:t>.</w:t>
      </w:r>
    </w:p>
    <w:p w14:paraId="120C1EE2" w14:textId="77777777" w:rsidR="00A030E6" w:rsidRPr="008B1661" w:rsidRDefault="00A030E6" w:rsidP="00A030E6">
      <w:pPr>
        <w:pStyle w:val="ListParagraph"/>
        <w:numPr>
          <w:ilvl w:val="0"/>
          <w:numId w:val="11"/>
        </w:numPr>
        <w:spacing w:after="120"/>
        <w:contextualSpacing w:val="0"/>
        <w:rPr>
          <w:bCs/>
        </w:rPr>
      </w:pPr>
      <w:r>
        <w:t xml:space="preserve">Centers for Disease Control and Prevention. National Vital Statistics System mortality data. (2015) Available from URL: </w:t>
      </w:r>
      <w:hyperlink r:id="rId13" w:history="1">
        <w:r>
          <w:rPr>
            <w:rStyle w:val="Hyperlink"/>
          </w:rPr>
          <w:t>http://www.cdc.gov/nchs/deaths.htm</w:t>
        </w:r>
      </w:hyperlink>
      <w:r>
        <w:t>.</w:t>
      </w:r>
    </w:p>
    <w:p w14:paraId="76096D02" w14:textId="77777777" w:rsidR="00A030E6" w:rsidRPr="008B1661" w:rsidRDefault="00A030E6" w:rsidP="00A030E6">
      <w:pPr>
        <w:pStyle w:val="ListParagraph"/>
        <w:numPr>
          <w:ilvl w:val="0"/>
          <w:numId w:val="11"/>
        </w:numPr>
        <w:spacing w:after="120"/>
        <w:contextualSpacing w:val="0"/>
        <w:rPr>
          <w:bCs/>
        </w:rPr>
      </w:pPr>
      <w:r>
        <w:t xml:space="preserve">Substance Abuse and Mental Health Services Administration. Highlights of the 2011 Drug Abuse Warning Network (DAWN) findings on drug-related emergency department visits. The DAWN Report. Rockville, MD: US Department of Health and Human Services, Substance Abuse and Mental Health Services Administration; 2013. Available from URL: </w:t>
      </w:r>
      <w:hyperlink r:id="rId14" w:tgtFrame="_blank" w:history="1">
        <w:r>
          <w:rPr>
            <w:rStyle w:val="Hyperlink"/>
          </w:rPr>
          <w:t>http://www.samhsa.gov/data/2k13/DAWN127/sr127-DAWN-highlights.htm</w:t>
        </w:r>
      </w:hyperlink>
    </w:p>
    <w:p w14:paraId="3ADEEFBB" w14:textId="796D3929" w:rsidR="008B1661" w:rsidRPr="00A030E6" w:rsidRDefault="008B1661" w:rsidP="00A030E6"/>
    <w:sectPr w:rsidR="008B1661" w:rsidRPr="00A030E6" w:rsidSect="001A0A8C">
      <w:footerReference w:type="even" r:id="rId15"/>
      <w:footerReference w:type="default" r:id="rId16"/>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3D03D0" w14:textId="77777777" w:rsidR="00D465DB" w:rsidRDefault="00D465DB">
      <w:r>
        <w:separator/>
      </w:r>
    </w:p>
  </w:endnote>
  <w:endnote w:type="continuationSeparator" w:id="0">
    <w:p w14:paraId="5A3D03D1" w14:textId="77777777" w:rsidR="00D465DB" w:rsidRDefault="00D46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0000000000000000000"/>
    <w:charset w:val="4D"/>
    <w:family w:val="roman"/>
    <w:notTrueType/>
    <w:pitch w:val="default"/>
    <w:sig w:usb0="03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3D03D2" w14:textId="77777777" w:rsidR="00D465DB" w:rsidRDefault="00D465DB" w:rsidP="001A0A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3D03D3" w14:textId="77777777" w:rsidR="00D465DB" w:rsidRDefault="00D465DB" w:rsidP="001A0A8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3D03D4" w14:textId="77777777" w:rsidR="00D465DB" w:rsidRDefault="00D465DB" w:rsidP="001A0A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6659F">
      <w:rPr>
        <w:rStyle w:val="PageNumber"/>
        <w:noProof/>
      </w:rPr>
      <w:t>12</w:t>
    </w:r>
    <w:r>
      <w:rPr>
        <w:rStyle w:val="PageNumber"/>
      </w:rPr>
      <w:fldChar w:fldCharType="end"/>
    </w:r>
  </w:p>
  <w:p w14:paraId="5A3D03D5" w14:textId="77777777" w:rsidR="00D465DB" w:rsidRPr="00BB4559" w:rsidRDefault="00D465DB" w:rsidP="0014464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3D03CE" w14:textId="77777777" w:rsidR="00D465DB" w:rsidRDefault="00D465DB">
      <w:r>
        <w:separator/>
      </w:r>
    </w:p>
  </w:footnote>
  <w:footnote w:type="continuationSeparator" w:id="0">
    <w:p w14:paraId="5A3D03CF" w14:textId="77777777" w:rsidR="00D465DB" w:rsidRDefault="00D465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569DE"/>
    <w:multiLevelType w:val="hybridMultilevel"/>
    <w:tmpl w:val="8D8A5C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A3432"/>
    <w:multiLevelType w:val="hybridMultilevel"/>
    <w:tmpl w:val="4DD697C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662657A"/>
    <w:multiLevelType w:val="hybridMultilevel"/>
    <w:tmpl w:val="9A5C676C"/>
    <w:lvl w:ilvl="0" w:tplc="FFFFFFFF">
      <w:start w:val="1"/>
      <w:numFmt w:val="decimal"/>
      <w:pStyle w:val="Level1"/>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6B26D72"/>
    <w:multiLevelType w:val="hybridMultilevel"/>
    <w:tmpl w:val="07FCA1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AB7170E"/>
    <w:multiLevelType w:val="hybridMultilevel"/>
    <w:tmpl w:val="4B2AE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E317FD3"/>
    <w:multiLevelType w:val="hybridMultilevel"/>
    <w:tmpl w:val="D8A48E9C"/>
    <w:lvl w:ilvl="0" w:tplc="8436ACC6">
      <w:start w:val="1"/>
      <w:numFmt w:val="bullet"/>
      <w:pStyle w:val="Bulleted"/>
      <w:lvlText w:val=""/>
      <w:lvlJc w:val="left"/>
      <w:pPr>
        <w:tabs>
          <w:tab w:val="num" w:pos="504"/>
        </w:tabs>
        <w:ind w:left="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EF30D0C"/>
    <w:multiLevelType w:val="hybridMultilevel"/>
    <w:tmpl w:val="607836DA"/>
    <w:lvl w:ilvl="0" w:tplc="00588092">
      <w:start w:val="1"/>
      <w:numFmt w:val="bullet"/>
      <w:pStyle w:val="List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7" w15:restartNumberingAfterBreak="0">
    <w:nsid w:val="1F6058D2"/>
    <w:multiLevelType w:val="hybridMultilevel"/>
    <w:tmpl w:val="63E857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88831AA"/>
    <w:multiLevelType w:val="hybridMultilevel"/>
    <w:tmpl w:val="7834DE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B219E"/>
    <w:multiLevelType w:val="hybridMultilevel"/>
    <w:tmpl w:val="2DC2C10E"/>
    <w:lvl w:ilvl="0" w:tplc="C8EC9B14">
      <w:start w:val="1"/>
      <w:numFmt w:val="bullet"/>
      <w:pStyle w:val="bullets"/>
      <w:lvlText w:val="■"/>
      <w:lvlJc w:val="left"/>
      <w:pPr>
        <w:tabs>
          <w:tab w:val="num" w:pos="720"/>
        </w:tabs>
        <w:ind w:left="720" w:hanging="360"/>
      </w:pPr>
      <w:rPr>
        <w:rFonts w:ascii="Times New Roman" w:hAnsi="Times New Roman" w:cs="Times New Roman" w:hint="default"/>
      </w:rPr>
    </w:lvl>
    <w:lvl w:ilvl="1" w:tplc="7D081526">
      <w:start w:val="1"/>
      <w:numFmt w:val="bullet"/>
      <w:pStyle w:val="a2colbul"/>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30CB1154"/>
    <w:multiLevelType w:val="hybridMultilevel"/>
    <w:tmpl w:val="F23C8D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22335DF"/>
    <w:multiLevelType w:val="hybridMultilevel"/>
    <w:tmpl w:val="B32063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F9A3EA1"/>
    <w:multiLevelType w:val="hybridMultilevel"/>
    <w:tmpl w:val="C5980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52449E9"/>
    <w:multiLevelType w:val="hybridMultilevel"/>
    <w:tmpl w:val="5EEE54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DF77A6"/>
    <w:multiLevelType w:val="hybridMultilevel"/>
    <w:tmpl w:val="ED4ADC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68963F9"/>
    <w:multiLevelType w:val="hybridMultilevel"/>
    <w:tmpl w:val="804A12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FF7E2B"/>
    <w:multiLevelType w:val="hybridMultilevel"/>
    <w:tmpl w:val="D0E6C0A0"/>
    <w:lvl w:ilvl="0" w:tplc="C292F8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86146A"/>
    <w:multiLevelType w:val="singleLevel"/>
    <w:tmpl w:val="74AC6E46"/>
    <w:lvl w:ilvl="0">
      <w:start w:val="1"/>
      <w:numFmt w:val="bullet"/>
      <w:pStyle w:val="N2-2ndBullet"/>
      <w:lvlText w:val=""/>
      <w:lvlJc w:val="left"/>
      <w:pPr>
        <w:tabs>
          <w:tab w:val="num" w:pos="-72"/>
        </w:tabs>
        <w:ind w:left="1656" w:hanging="576"/>
      </w:pPr>
      <w:rPr>
        <w:rFonts w:ascii="Wingdings" w:hAnsi="Wingdings" w:cs="Wingdings" w:hint="default"/>
        <w:sz w:val="16"/>
        <w:szCs w:val="16"/>
      </w:rPr>
    </w:lvl>
  </w:abstractNum>
  <w:abstractNum w:abstractNumId="19" w15:restartNumberingAfterBreak="0">
    <w:nsid w:val="7E8C1310"/>
    <w:multiLevelType w:val="hybridMultilevel"/>
    <w:tmpl w:val="EEFCD5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18"/>
  </w:num>
  <w:num w:numId="3">
    <w:abstractNumId w:val="5"/>
  </w:num>
  <w:num w:numId="4">
    <w:abstractNumId w:val="6"/>
  </w:num>
  <w:num w:numId="5">
    <w:abstractNumId w:val="9"/>
  </w:num>
  <w:num w:numId="6">
    <w:abstractNumId w:val="10"/>
  </w:num>
  <w:num w:numId="7">
    <w:abstractNumId w:val="8"/>
  </w:num>
  <w:num w:numId="8">
    <w:abstractNumId w:val="17"/>
  </w:num>
  <w:num w:numId="9">
    <w:abstractNumId w:val="16"/>
  </w:num>
  <w:num w:numId="10">
    <w:abstractNumId w:val="0"/>
  </w:num>
  <w:num w:numId="11">
    <w:abstractNumId w:val="14"/>
  </w:num>
  <w:num w:numId="12">
    <w:abstractNumId w:val="19"/>
  </w:num>
  <w:num w:numId="13">
    <w:abstractNumId w:val="13"/>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2"/>
  </w:num>
  <w:num w:numId="19">
    <w:abstractNumId w:val="4"/>
  </w:num>
  <w:num w:numId="20">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DEF"/>
    <w:rsid w:val="00002669"/>
    <w:rsid w:val="00002CB2"/>
    <w:rsid w:val="00003348"/>
    <w:rsid w:val="00003D0C"/>
    <w:rsid w:val="00005726"/>
    <w:rsid w:val="000068D5"/>
    <w:rsid w:val="00006CD4"/>
    <w:rsid w:val="00012596"/>
    <w:rsid w:val="00013F0A"/>
    <w:rsid w:val="00014066"/>
    <w:rsid w:val="0001452F"/>
    <w:rsid w:val="00014C5D"/>
    <w:rsid w:val="000151A9"/>
    <w:rsid w:val="00021803"/>
    <w:rsid w:val="000236D9"/>
    <w:rsid w:val="00024097"/>
    <w:rsid w:val="00025A82"/>
    <w:rsid w:val="00026C55"/>
    <w:rsid w:val="0003039A"/>
    <w:rsid w:val="00030B06"/>
    <w:rsid w:val="00032EAB"/>
    <w:rsid w:val="00034D66"/>
    <w:rsid w:val="00037139"/>
    <w:rsid w:val="00040551"/>
    <w:rsid w:val="00043C49"/>
    <w:rsid w:val="00045AF7"/>
    <w:rsid w:val="000462CE"/>
    <w:rsid w:val="00046631"/>
    <w:rsid w:val="00046D69"/>
    <w:rsid w:val="00047243"/>
    <w:rsid w:val="00051B0E"/>
    <w:rsid w:val="000523C9"/>
    <w:rsid w:val="0005319C"/>
    <w:rsid w:val="00054F7E"/>
    <w:rsid w:val="0005567A"/>
    <w:rsid w:val="00060724"/>
    <w:rsid w:val="00060768"/>
    <w:rsid w:val="000630F3"/>
    <w:rsid w:val="00063B71"/>
    <w:rsid w:val="00063EA6"/>
    <w:rsid w:val="000642F2"/>
    <w:rsid w:val="00065A09"/>
    <w:rsid w:val="000663CC"/>
    <w:rsid w:val="000711CD"/>
    <w:rsid w:val="0007680B"/>
    <w:rsid w:val="00080D73"/>
    <w:rsid w:val="00082FB9"/>
    <w:rsid w:val="000847B7"/>
    <w:rsid w:val="00084F1E"/>
    <w:rsid w:val="00085277"/>
    <w:rsid w:val="000858FA"/>
    <w:rsid w:val="0009080F"/>
    <w:rsid w:val="00091344"/>
    <w:rsid w:val="000925D2"/>
    <w:rsid w:val="00093851"/>
    <w:rsid w:val="00094BF2"/>
    <w:rsid w:val="00095AF9"/>
    <w:rsid w:val="00096849"/>
    <w:rsid w:val="000A0F71"/>
    <w:rsid w:val="000B7303"/>
    <w:rsid w:val="000C274B"/>
    <w:rsid w:val="000C2C30"/>
    <w:rsid w:val="000C2EFC"/>
    <w:rsid w:val="000C3B79"/>
    <w:rsid w:val="000C4150"/>
    <w:rsid w:val="000C4CAF"/>
    <w:rsid w:val="000C61E2"/>
    <w:rsid w:val="000C693D"/>
    <w:rsid w:val="000D05A0"/>
    <w:rsid w:val="000D0892"/>
    <w:rsid w:val="000D31C0"/>
    <w:rsid w:val="000D4D34"/>
    <w:rsid w:val="000E3608"/>
    <w:rsid w:val="000E3BC9"/>
    <w:rsid w:val="000F0EE6"/>
    <w:rsid w:val="000F1766"/>
    <w:rsid w:val="000F19A7"/>
    <w:rsid w:val="000F50B9"/>
    <w:rsid w:val="000F55B5"/>
    <w:rsid w:val="00100C7C"/>
    <w:rsid w:val="00100D30"/>
    <w:rsid w:val="00102734"/>
    <w:rsid w:val="00103D59"/>
    <w:rsid w:val="001134E9"/>
    <w:rsid w:val="00115D62"/>
    <w:rsid w:val="00117092"/>
    <w:rsid w:val="001213AC"/>
    <w:rsid w:val="00122751"/>
    <w:rsid w:val="001245D1"/>
    <w:rsid w:val="00124EB1"/>
    <w:rsid w:val="00124F7A"/>
    <w:rsid w:val="0012575C"/>
    <w:rsid w:val="00125D25"/>
    <w:rsid w:val="00127C16"/>
    <w:rsid w:val="0013185D"/>
    <w:rsid w:val="00132CC8"/>
    <w:rsid w:val="00133154"/>
    <w:rsid w:val="00133289"/>
    <w:rsid w:val="001355B4"/>
    <w:rsid w:val="00135823"/>
    <w:rsid w:val="00140AD2"/>
    <w:rsid w:val="00141DA8"/>
    <w:rsid w:val="00141F78"/>
    <w:rsid w:val="00143326"/>
    <w:rsid w:val="00143A97"/>
    <w:rsid w:val="00143BF1"/>
    <w:rsid w:val="001440C5"/>
    <w:rsid w:val="00144640"/>
    <w:rsid w:val="0014577C"/>
    <w:rsid w:val="00147660"/>
    <w:rsid w:val="00147F0D"/>
    <w:rsid w:val="00152324"/>
    <w:rsid w:val="001528DE"/>
    <w:rsid w:val="00153B43"/>
    <w:rsid w:val="001543AF"/>
    <w:rsid w:val="001553BF"/>
    <w:rsid w:val="00162CE1"/>
    <w:rsid w:val="0016565B"/>
    <w:rsid w:val="00165A3B"/>
    <w:rsid w:val="00166105"/>
    <w:rsid w:val="001668C4"/>
    <w:rsid w:val="0018364C"/>
    <w:rsid w:val="00183655"/>
    <w:rsid w:val="001838E3"/>
    <w:rsid w:val="00190B66"/>
    <w:rsid w:val="00190E6C"/>
    <w:rsid w:val="00191682"/>
    <w:rsid w:val="0019427F"/>
    <w:rsid w:val="00195C2D"/>
    <w:rsid w:val="0019616B"/>
    <w:rsid w:val="001979A5"/>
    <w:rsid w:val="001A05F9"/>
    <w:rsid w:val="001A0A8C"/>
    <w:rsid w:val="001A1CF9"/>
    <w:rsid w:val="001A2063"/>
    <w:rsid w:val="001A25A8"/>
    <w:rsid w:val="001A4E71"/>
    <w:rsid w:val="001A569A"/>
    <w:rsid w:val="001A5E9F"/>
    <w:rsid w:val="001A6157"/>
    <w:rsid w:val="001A7355"/>
    <w:rsid w:val="001A77D0"/>
    <w:rsid w:val="001A78C5"/>
    <w:rsid w:val="001A7C5C"/>
    <w:rsid w:val="001B218A"/>
    <w:rsid w:val="001B2979"/>
    <w:rsid w:val="001B43C7"/>
    <w:rsid w:val="001B495A"/>
    <w:rsid w:val="001C03CC"/>
    <w:rsid w:val="001C0E4A"/>
    <w:rsid w:val="001C4949"/>
    <w:rsid w:val="001C4D29"/>
    <w:rsid w:val="001C5D55"/>
    <w:rsid w:val="001C5E44"/>
    <w:rsid w:val="001C7212"/>
    <w:rsid w:val="001C7245"/>
    <w:rsid w:val="001C79EF"/>
    <w:rsid w:val="001D230B"/>
    <w:rsid w:val="001D3733"/>
    <w:rsid w:val="001D3CE3"/>
    <w:rsid w:val="001D55A6"/>
    <w:rsid w:val="001E07EB"/>
    <w:rsid w:val="001E1A5D"/>
    <w:rsid w:val="001E7051"/>
    <w:rsid w:val="001F050E"/>
    <w:rsid w:val="001F1FDA"/>
    <w:rsid w:val="001F2730"/>
    <w:rsid w:val="001F2E0D"/>
    <w:rsid w:val="001F3081"/>
    <w:rsid w:val="001F4E47"/>
    <w:rsid w:val="001F6EB7"/>
    <w:rsid w:val="00200EF9"/>
    <w:rsid w:val="0020133D"/>
    <w:rsid w:val="0020149B"/>
    <w:rsid w:val="00202616"/>
    <w:rsid w:val="00203779"/>
    <w:rsid w:val="00203955"/>
    <w:rsid w:val="00205D79"/>
    <w:rsid w:val="00211543"/>
    <w:rsid w:val="00211558"/>
    <w:rsid w:val="002121A0"/>
    <w:rsid w:val="00212621"/>
    <w:rsid w:val="00212983"/>
    <w:rsid w:val="00215ED9"/>
    <w:rsid w:val="002174E2"/>
    <w:rsid w:val="00220898"/>
    <w:rsid w:val="00222B5F"/>
    <w:rsid w:val="00222E65"/>
    <w:rsid w:val="002254E6"/>
    <w:rsid w:val="00227662"/>
    <w:rsid w:val="00233FB1"/>
    <w:rsid w:val="00234AED"/>
    <w:rsid w:val="00234FD5"/>
    <w:rsid w:val="00236E15"/>
    <w:rsid w:val="00237911"/>
    <w:rsid w:val="002420E6"/>
    <w:rsid w:val="00242B38"/>
    <w:rsid w:val="00253DD7"/>
    <w:rsid w:val="0025574D"/>
    <w:rsid w:val="00263928"/>
    <w:rsid w:val="0026518B"/>
    <w:rsid w:val="00265796"/>
    <w:rsid w:val="00266E55"/>
    <w:rsid w:val="00267068"/>
    <w:rsid w:val="00267102"/>
    <w:rsid w:val="00270BD4"/>
    <w:rsid w:val="0027160A"/>
    <w:rsid w:val="00271E8F"/>
    <w:rsid w:val="00274D73"/>
    <w:rsid w:val="0027700E"/>
    <w:rsid w:val="0027701C"/>
    <w:rsid w:val="00277131"/>
    <w:rsid w:val="00282E91"/>
    <w:rsid w:val="002868D1"/>
    <w:rsid w:val="00286B9B"/>
    <w:rsid w:val="00287302"/>
    <w:rsid w:val="0028778D"/>
    <w:rsid w:val="00287B54"/>
    <w:rsid w:val="00293622"/>
    <w:rsid w:val="00295BB7"/>
    <w:rsid w:val="002963A8"/>
    <w:rsid w:val="0029651F"/>
    <w:rsid w:val="002A25C6"/>
    <w:rsid w:val="002A71C6"/>
    <w:rsid w:val="002A7BE0"/>
    <w:rsid w:val="002B1F00"/>
    <w:rsid w:val="002B1FD3"/>
    <w:rsid w:val="002B4943"/>
    <w:rsid w:val="002B686F"/>
    <w:rsid w:val="002B7441"/>
    <w:rsid w:val="002B7F79"/>
    <w:rsid w:val="002C0813"/>
    <w:rsid w:val="002C3BEA"/>
    <w:rsid w:val="002C5DEA"/>
    <w:rsid w:val="002C60AC"/>
    <w:rsid w:val="002D1314"/>
    <w:rsid w:val="002D1936"/>
    <w:rsid w:val="002D5113"/>
    <w:rsid w:val="002D626B"/>
    <w:rsid w:val="002D6E05"/>
    <w:rsid w:val="002E11E6"/>
    <w:rsid w:val="002E2B98"/>
    <w:rsid w:val="002E3A2A"/>
    <w:rsid w:val="002E447A"/>
    <w:rsid w:val="002E45B2"/>
    <w:rsid w:val="002F0D3D"/>
    <w:rsid w:val="002F55BA"/>
    <w:rsid w:val="002F6480"/>
    <w:rsid w:val="002F658C"/>
    <w:rsid w:val="002F7686"/>
    <w:rsid w:val="0030062F"/>
    <w:rsid w:val="00300922"/>
    <w:rsid w:val="00303D69"/>
    <w:rsid w:val="00305166"/>
    <w:rsid w:val="003056EB"/>
    <w:rsid w:val="00305748"/>
    <w:rsid w:val="00305806"/>
    <w:rsid w:val="00307B92"/>
    <w:rsid w:val="00307CE5"/>
    <w:rsid w:val="00307DC2"/>
    <w:rsid w:val="00313C77"/>
    <w:rsid w:val="00317A2B"/>
    <w:rsid w:val="00317FF8"/>
    <w:rsid w:val="00321103"/>
    <w:rsid w:val="003213FB"/>
    <w:rsid w:val="0032281D"/>
    <w:rsid w:val="00322A75"/>
    <w:rsid w:val="0032357F"/>
    <w:rsid w:val="003245AD"/>
    <w:rsid w:val="00330867"/>
    <w:rsid w:val="00330C43"/>
    <w:rsid w:val="00332273"/>
    <w:rsid w:val="003326AB"/>
    <w:rsid w:val="00334B07"/>
    <w:rsid w:val="00335D3D"/>
    <w:rsid w:val="00336388"/>
    <w:rsid w:val="003369F1"/>
    <w:rsid w:val="003379A2"/>
    <w:rsid w:val="00337C4A"/>
    <w:rsid w:val="00337E44"/>
    <w:rsid w:val="00337FCD"/>
    <w:rsid w:val="003467B9"/>
    <w:rsid w:val="003474F1"/>
    <w:rsid w:val="00351B4A"/>
    <w:rsid w:val="00352DA4"/>
    <w:rsid w:val="003544B9"/>
    <w:rsid w:val="00354A46"/>
    <w:rsid w:val="0036009A"/>
    <w:rsid w:val="00360C3E"/>
    <w:rsid w:val="00360F81"/>
    <w:rsid w:val="00361659"/>
    <w:rsid w:val="003627CE"/>
    <w:rsid w:val="00362CAD"/>
    <w:rsid w:val="00364095"/>
    <w:rsid w:val="00365F86"/>
    <w:rsid w:val="0037022F"/>
    <w:rsid w:val="00373237"/>
    <w:rsid w:val="00373C62"/>
    <w:rsid w:val="00377B8E"/>
    <w:rsid w:val="0038124B"/>
    <w:rsid w:val="00382642"/>
    <w:rsid w:val="0038374C"/>
    <w:rsid w:val="00384074"/>
    <w:rsid w:val="00386D2B"/>
    <w:rsid w:val="00386DC7"/>
    <w:rsid w:val="003901C4"/>
    <w:rsid w:val="00390B26"/>
    <w:rsid w:val="00390B3E"/>
    <w:rsid w:val="0039296A"/>
    <w:rsid w:val="00392A36"/>
    <w:rsid w:val="00393820"/>
    <w:rsid w:val="00395139"/>
    <w:rsid w:val="0039709E"/>
    <w:rsid w:val="003A236F"/>
    <w:rsid w:val="003A517B"/>
    <w:rsid w:val="003A5968"/>
    <w:rsid w:val="003A5DB9"/>
    <w:rsid w:val="003A6381"/>
    <w:rsid w:val="003B1062"/>
    <w:rsid w:val="003B14A4"/>
    <w:rsid w:val="003B1FC1"/>
    <w:rsid w:val="003B3C8F"/>
    <w:rsid w:val="003B4704"/>
    <w:rsid w:val="003B4D2D"/>
    <w:rsid w:val="003B54A2"/>
    <w:rsid w:val="003B62E6"/>
    <w:rsid w:val="003B63B9"/>
    <w:rsid w:val="003B6AB5"/>
    <w:rsid w:val="003B6E8E"/>
    <w:rsid w:val="003B7B54"/>
    <w:rsid w:val="003C2F65"/>
    <w:rsid w:val="003C5105"/>
    <w:rsid w:val="003C6134"/>
    <w:rsid w:val="003C61ED"/>
    <w:rsid w:val="003C657F"/>
    <w:rsid w:val="003D01BA"/>
    <w:rsid w:val="003D0E3E"/>
    <w:rsid w:val="003D29AA"/>
    <w:rsid w:val="003E0647"/>
    <w:rsid w:val="003E1523"/>
    <w:rsid w:val="003E28DE"/>
    <w:rsid w:val="003F2103"/>
    <w:rsid w:val="003F24FB"/>
    <w:rsid w:val="003F2567"/>
    <w:rsid w:val="003F39D3"/>
    <w:rsid w:val="003F4612"/>
    <w:rsid w:val="003F4EDC"/>
    <w:rsid w:val="003F647A"/>
    <w:rsid w:val="003F77E5"/>
    <w:rsid w:val="004016E1"/>
    <w:rsid w:val="00401926"/>
    <w:rsid w:val="00403FD6"/>
    <w:rsid w:val="0040417C"/>
    <w:rsid w:val="004055ED"/>
    <w:rsid w:val="00405CC1"/>
    <w:rsid w:val="00410DE1"/>
    <w:rsid w:val="00413799"/>
    <w:rsid w:val="00413F4A"/>
    <w:rsid w:val="00414129"/>
    <w:rsid w:val="00414F4D"/>
    <w:rsid w:val="00420226"/>
    <w:rsid w:val="0042401B"/>
    <w:rsid w:val="004270FA"/>
    <w:rsid w:val="004308C9"/>
    <w:rsid w:val="0043129A"/>
    <w:rsid w:val="0043245D"/>
    <w:rsid w:val="00433DEA"/>
    <w:rsid w:val="00434AC6"/>
    <w:rsid w:val="00435F41"/>
    <w:rsid w:val="00440CAA"/>
    <w:rsid w:val="004429B6"/>
    <w:rsid w:val="00444062"/>
    <w:rsid w:val="004463FB"/>
    <w:rsid w:val="004467D7"/>
    <w:rsid w:val="00447B2A"/>
    <w:rsid w:val="0045133E"/>
    <w:rsid w:val="0045156A"/>
    <w:rsid w:val="00452D20"/>
    <w:rsid w:val="004557D8"/>
    <w:rsid w:val="004629C8"/>
    <w:rsid w:val="00462A10"/>
    <w:rsid w:val="00462C2C"/>
    <w:rsid w:val="00463909"/>
    <w:rsid w:val="0046461B"/>
    <w:rsid w:val="004652C6"/>
    <w:rsid w:val="00465E5A"/>
    <w:rsid w:val="0046659F"/>
    <w:rsid w:val="00466B57"/>
    <w:rsid w:val="00467698"/>
    <w:rsid w:val="00467DF4"/>
    <w:rsid w:val="004711E7"/>
    <w:rsid w:val="004712A2"/>
    <w:rsid w:val="0047487F"/>
    <w:rsid w:val="0047522A"/>
    <w:rsid w:val="0047702E"/>
    <w:rsid w:val="00477041"/>
    <w:rsid w:val="00480944"/>
    <w:rsid w:val="00483754"/>
    <w:rsid w:val="00483ACE"/>
    <w:rsid w:val="00486B82"/>
    <w:rsid w:val="00486BF8"/>
    <w:rsid w:val="0049057C"/>
    <w:rsid w:val="00490F99"/>
    <w:rsid w:val="004930E9"/>
    <w:rsid w:val="00494071"/>
    <w:rsid w:val="004941DD"/>
    <w:rsid w:val="00495DF8"/>
    <w:rsid w:val="004964BB"/>
    <w:rsid w:val="004966A9"/>
    <w:rsid w:val="004970E0"/>
    <w:rsid w:val="004A33B3"/>
    <w:rsid w:val="004A3A24"/>
    <w:rsid w:val="004A4436"/>
    <w:rsid w:val="004A4AEF"/>
    <w:rsid w:val="004A5382"/>
    <w:rsid w:val="004B1AD2"/>
    <w:rsid w:val="004B43E5"/>
    <w:rsid w:val="004B65A1"/>
    <w:rsid w:val="004C382C"/>
    <w:rsid w:val="004C3842"/>
    <w:rsid w:val="004C4BBD"/>
    <w:rsid w:val="004C716C"/>
    <w:rsid w:val="004C7230"/>
    <w:rsid w:val="004D01B3"/>
    <w:rsid w:val="004D0582"/>
    <w:rsid w:val="004D098F"/>
    <w:rsid w:val="004D15BB"/>
    <w:rsid w:val="004D3458"/>
    <w:rsid w:val="004D5948"/>
    <w:rsid w:val="004D6211"/>
    <w:rsid w:val="004D6379"/>
    <w:rsid w:val="004D709D"/>
    <w:rsid w:val="004D77E9"/>
    <w:rsid w:val="004D7884"/>
    <w:rsid w:val="004E27AE"/>
    <w:rsid w:val="004E35BD"/>
    <w:rsid w:val="004E3D74"/>
    <w:rsid w:val="004E4A64"/>
    <w:rsid w:val="004F0F79"/>
    <w:rsid w:val="004F1B4B"/>
    <w:rsid w:val="004F2F1A"/>
    <w:rsid w:val="004F39CA"/>
    <w:rsid w:val="004F5AAA"/>
    <w:rsid w:val="004F74FC"/>
    <w:rsid w:val="004F7D4D"/>
    <w:rsid w:val="00501904"/>
    <w:rsid w:val="00502A59"/>
    <w:rsid w:val="005031BF"/>
    <w:rsid w:val="005040E3"/>
    <w:rsid w:val="00506507"/>
    <w:rsid w:val="005068B0"/>
    <w:rsid w:val="00510566"/>
    <w:rsid w:val="00511650"/>
    <w:rsid w:val="00514E0A"/>
    <w:rsid w:val="00516C4D"/>
    <w:rsid w:val="005170B6"/>
    <w:rsid w:val="005228D2"/>
    <w:rsid w:val="00527146"/>
    <w:rsid w:val="0052776C"/>
    <w:rsid w:val="00527ABC"/>
    <w:rsid w:val="00530866"/>
    <w:rsid w:val="00530A86"/>
    <w:rsid w:val="00532988"/>
    <w:rsid w:val="00532DEA"/>
    <w:rsid w:val="00534D79"/>
    <w:rsid w:val="00537341"/>
    <w:rsid w:val="00537652"/>
    <w:rsid w:val="00537F19"/>
    <w:rsid w:val="00541B70"/>
    <w:rsid w:val="00541D30"/>
    <w:rsid w:val="00543067"/>
    <w:rsid w:val="00543913"/>
    <w:rsid w:val="005441D4"/>
    <w:rsid w:val="00546310"/>
    <w:rsid w:val="00546EDE"/>
    <w:rsid w:val="00550417"/>
    <w:rsid w:val="00551816"/>
    <w:rsid w:val="0055218E"/>
    <w:rsid w:val="00553C3C"/>
    <w:rsid w:val="00557028"/>
    <w:rsid w:val="00557E06"/>
    <w:rsid w:val="00560DD5"/>
    <w:rsid w:val="0056138E"/>
    <w:rsid w:val="00562428"/>
    <w:rsid w:val="00562BC1"/>
    <w:rsid w:val="0056559A"/>
    <w:rsid w:val="005657B2"/>
    <w:rsid w:val="00566BF1"/>
    <w:rsid w:val="00567FE8"/>
    <w:rsid w:val="0057192D"/>
    <w:rsid w:val="00571B88"/>
    <w:rsid w:val="00572127"/>
    <w:rsid w:val="00572D0A"/>
    <w:rsid w:val="005745B3"/>
    <w:rsid w:val="00575DCB"/>
    <w:rsid w:val="005826C4"/>
    <w:rsid w:val="00584D31"/>
    <w:rsid w:val="00587396"/>
    <w:rsid w:val="005901DE"/>
    <w:rsid w:val="00590795"/>
    <w:rsid w:val="00590EAA"/>
    <w:rsid w:val="005937DA"/>
    <w:rsid w:val="0059448A"/>
    <w:rsid w:val="00595BDF"/>
    <w:rsid w:val="00596733"/>
    <w:rsid w:val="00597261"/>
    <w:rsid w:val="005A18D1"/>
    <w:rsid w:val="005A406C"/>
    <w:rsid w:val="005A4E67"/>
    <w:rsid w:val="005A4FFA"/>
    <w:rsid w:val="005A53E2"/>
    <w:rsid w:val="005A58AE"/>
    <w:rsid w:val="005B1431"/>
    <w:rsid w:val="005B499C"/>
    <w:rsid w:val="005B6EBB"/>
    <w:rsid w:val="005C0B15"/>
    <w:rsid w:val="005C20AE"/>
    <w:rsid w:val="005C420B"/>
    <w:rsid w:val="005C53C4"/>
    <w:rsid w:val="005C5B05"/>
    <w:rsid w:val="005C6A4D"/>
    <w:rsid w:val="005D017B"/>
    <w:rsid w:val="005D4291"/>
    <w:rsid w:val="005D4786"/>
    <w:rsid w:val="005D5E45"/>
    <w:rsid w:val="005E012C"/>
    <w:rsid w:val="005E0216"/>
    <w:rsid w:val="005E492D"/>
    <w:rsid w:val="005E4C8D"/>
    <w:rsid w:val="005E72AB"/>
    <w:rsid w:val="005E738F"/>
    <w:rsid w:val="005F3F4E"/>
    <w:rsid w:val="005F4116"/>
    <w:rsid w:val="006045B1"/>
    <w:rsid w:val="006050E8"/>
    <w:rsid w:val="00606950"/>
    <w:rsid w:val="0061192B"/>
    <w:rsid w:val="00615F2A"/>
    <w:rsid w:val="006164A2"/>
    <w:rsid w:val="006167A0"/>
    <w:rsid w:val="0062078B"/>
    <w:rsid w:val="0062245E"/>
    <w:rsid w:val="006260B2"/>
    <w:rsid w:val="006274BE"/>
    <w:rsid w:val="006304DB"/>
    <w:rsid w:val="00631B18"/>
    <w:rsid w:val="00631F91"/>
    <w:rsid w:val="00633591"/>
    <w:rsid w:val="006340BB"/>
    <w:rsid w:val="00635389"/>
    <w:rsid w:val="00636397"/>
    <w:rsid w:val="00637802"/>
    <w:rsid w:val="00637B29"/>
    <w:rsid w:val="00637FBE"/>
    <w:rsid w:val="00645267"/>
    <w:rsid w:val="00650A38"/>
    <w:rsid w:val="00651F6F"/>
    <w:rsid w:val="006536FC"/>
    <w:rsid w:val="006604C6"/>
    <w:rsid w:val="00660600"/>
    <w:rsid w:val="00660ED8"/>
    <w:rsid w:val="00661B1D"/>
    <w:rsid w:val="00663D7F"/>
    <w:rsid w:val="00664077"/>
    <w:rsid w:val="006700B5"/>
    <w:rsid w:val="00674F65"/>
    <w:rsid w:val="00677BBC"/>
    <w:rsid w:val="006802D7"/>
    <w:rsid w:val="00680642"/>
    <w:rsid w:val="006846BF"/>
    <w:rsid w:val="00686CCB"/>
    <w:rsid w:val="00686DE4"/>
    <w:rsid w:val="00690CAD"/>
    <w:rsid w:val="00691454"/>
    <w:rsid w:val="0069204F"/>
    <w:rsid w:val="0069426C"/>
    <w:rsid w:val="0069469E"/>
    <w:rsid w:val="00694A0F"/>
    <w:rsid w:val="00694C3F"/>
    <w:rsid w:val="006A10F2"/>
    <w:rsid w:val="006A22D0"/>
    <w:rsid w:val="006A3D91"/>
    <w:rsid w:val="006A4257"/>
    <w:rsid w:val="006A43AB"/>
    <w:rsid w:val="006A4755"/>
    <w:rsid w:val="006A4D7F"/>
    <w:rsid w:val="006A4DC2"/>
    <w:rsid w:val="006A52E7"/>
    <w:rsid w:val="006B1164"/>
    <w:rsid w:val="006B204A"/>
    <w:rsid w:val="006B3C55"/>
    <w:rsid w:val="006B54AF"/>
    <w:rsid w:val="006B71C5"/>
    <w:rsid w:val="006B7E82"/>
    <w:rsid w:val="006C1464"/>
    <w:rsid w:val="006C279D"/>
    <w:rsid w:val="006C41DB"/>
    <w:rsid w:val="006C6A1A"/>
    <w:rsid w:val="006C6E10"/>
    <w:rsid w:val="006D299B"/>
    <w:rsid w:val="006D375D"/>
    <w:rsid w:val="006D5759"/>
    <w:rsid w:val="006D7764"/>
    <w:rsid w:val="006D7A23"/>
    <w:rsid w:val="006D7CBF"/>
    <w:rsid w:val="006D7FB7"/>
    <w:rsid w:val="006E107E"/>
    <w:rsid w:val="006E22AC"/>
    <w:rsid w:val="006E52A2"/>
    <w:rsid w:val="006E54B7"/>
    <w:rsid w:val="006F0679"/>
    <w:rsid w:val="006F1DA6"/>
    <w:rsid w:val="006F20DA"/>
    <w:rsid w:val="006F237C"/>
    <w:rsid w:val="006F49BF"/>
    <w:rsid w:val="006F66A9"/>
    <w:rsid w:val="006F6C70"/>
    <w:rsid w:val="007018C5"/>
    <w:rsid w:val="00702435"/>
    <w:rsid w:val="00703113"/>
    <w:rsid w:val="00704C1A"/>
    <w:rsid w:val="00704CC1"/>
    <w:rsid w:val="00711A7C"/>
    <w:rsid w:val="00713376"/>
    <w:rsid w:val="00714750"/>
    <w:rsid w:val="0072173C"/>
    <w:rsid w:val="00723EE4"/>
    <w:rsid w:val="007245ED"/>
    <w:rsid w:val="00726CE9"/>
    <w:rsid w:val="007274B4"/>
    <w:rsid w:val="00727F68"/>
    <w:rsid w:val="007306D6"/>
    <w:rsid w:val="007310C0"/>
    <w:rsid w:val="007346CC"/>
    <w:rsid w:val="00734D2F"/>
    <w:rsid w:val="00736BB3"/>
    <w:rsid w:val="0074187A"/>
    <w:rsid w:val="00742897"/>
    <w:rsid w:val="00743E43"/>
    <w:rsid w:val="00745DE6"/>
    <w:rsid w:val="00747468"/>
    <w:rsid w:val="007475AC"/>
    <w:rsid w:val="007478DD"/>
    <w:rsid w:val="00747954"/>
    <w:rsid w:val="007479AD"/>
    <w:rsid w:val="007528DB"/>
    <w:rsid w:val="00753C4E"/>
    <w:rsid w:val="00754B26"/>
    <w:rsid w:val="00756792"/>
    <w:rsid w:val="00760067"/>
    <w:rsid w:val="00760946"/>
    <w:rsid w:val="00760CBB"/>
    <w:rsid w:val="00762A56"/>
    <w:rsid w:val="00764618"/>
    <w:rsid w:val="00765642"/>
    <w:rsid w:val="00765EEB"/>
    <w:rsid w:val="00770889"/>
    <w:rsid w:val="00770A7D"/>
    <w:rsid w:val="00771B3A"/>
    <w:rsid w:val="007733AE"/>
    <w:rsid w:val="007740B4"/>
    <w:rsid w:val="00774741"/>
    <w:rsid w:val="007800FF"/>
    <w:rsid w:val="00780C52"/>
    <w:rsid w:val="007813F5"/>
    <w:rsid w:val="00781D75"/>
    <w:rsid w:val="0079212E"/>
    <w:rsid w:val="007932AC"/>
    <w:rsid w:val="0079357C"/>
    <w:rsid w:val="0079382B"/>
    <w:rsid w:val="007957D4"/>
    <w:rsid w:val="007957F1"/>
    <w:rsid w:val="0079760C"/>
    <w:rsid w:val="007A1B80"/>
    <w:rsid w:val="007A2C77"/>
    <w:rsid w:val="007A6543"/>
    <w:rsid w:val="007B046D"/>
    <w:rsid w:val="007B0D9F"/>
    <w:rsid w:val="007B2E53"/>
    <w:rsid w:val="007B2F29"/>
    <w:rsid w:val="007B3A6F"/>
    <w:rsid w:val="007B5F29"/>
    <w:rsid w:val="007B6550"/>
    <w:rsid w:val="007B6DE7"/>
    <w:rsid w:val="007B6FF1"/>
    <w:rsid w:val="007C5FF4"/>
    <w:rsid w:val="007C742D"/>
    <w:rsid w:val="007D2420"/>
    <w:rsid w:val="007D5AE0"/>
    <w:rsid w:val="007D65EF"/>
    <w:rsid w:val="007E077E"/>
    <w:rsid w:val="007E1F3E"/>
    <w:rsid w:val="007E4165"/>
    <w:rsid w:val="007E4E6B"/>
    <w:rsid w:val="007E5D14"/>
    <w:rsid w:val="007E73B7"/>
    <w:rsid w:val="007E749D"/>
    <w:rsid w:val="007E7C28"/>
    <w:rsid w:val="007E7ECC"/>
    <w:rsid w:val="007F072A"/>
    <w:rsid w:val="007F1E31"/>
    <w:rsid w:val="007F327B"/>
    <w:rsid w:val="007F5BED"/>
    <w:rsid w:val="007F6133"/>
    <w:rsid w:val="0080270A"/>
    <w:rsid w:val="00802837"/>
    <w:rsid w:val="00805385"/>
    <w:rsid w:val="008066BE"/>
    <w:rsid w:val="00807160"/>
    <w:rsid w:val="00807B32"/>
    <w:rsid w:val="00810DF9"/>
    <w:rsid w:val="00812EDE"/>
    <w:rsid w:val="00813278"/>
    <w:rsid w:val="008211F0"/>
    <w:rsid w:val="00822164"/>
    <w:rsid w:val="008228DF"/>
    <w:rsid w:val="00823DD1"/>
    <w:rsid w:val="0082457E"/>
    <w:rsid w:val="008245FB"/>
    <w:rsid w:val="008256F6"/>
    <w:rsid w:val="008309D9"/>
    <w:rsid w:val="0083236C"/>
    <w:rsid w:val="00833CB3"/>
    <w:rsid w:val="00834F55"/>
    <w:rsid w:val="008429DD"/>
    <w:rsid w:val="00843107"/>
    <w:rsid w:val="00843F9D"/>
    <w:rsid w:val="0084469A"/>
    <w:rsid w:val="008478B1"/>
    <w:rsid w:val="00850889"/>
    <w:rsid w:val="00854468"/>
    <w:rsid w:val="00855014"/>
    <w:rsid w:val="00855324"/>
    <w:rsid w:val="0086059F"/>
    <w:rsid w:val="00860D56"/>
    <w:rsid w:val="008615EB"/>
    <w:rsid w:val="00865E81"/>
    <w:rsid w:val="00866BE9"/>
    <w:rsid w:val="0086721B"/>
    <w:rsid w:val="00867F51"/>
    <w:rsid w:val="00870F16"/>
    <w:rsid w:val="0087371B"/>
    <w:rsid w:val="00873CA2"/>
    <w:rsid w:val="00875095"/>
    <w:rsid w:val="00877201"/>
    <w:rsid w:val="00885A4B"/>
    <w:rsid w:val="00891FEA"/>
    <w:rsid w:val="00895DB5"/>
    <w:rsid w:val="008A02C8"/>
    <w:rsid w:val="008A1866"/>
    <w:rsid w:val="008A1A86"/>
    <w:rsid w:val="008A1E86"/>
    <w:rsid w:val="008A663C"/>
    <w:rsid w:val="008A7362"/>
    <w:rsid w:val="008B0908"/>
    <w:rsid w:val="008B1661"/>
    <w:rsid w:val="008B2417"/>
    <w:rsid w:val="008B6133"/>
    <w:rsid w:val="008B6E27"/>
    <w:rsid w:val="008C26EC"/>
    <w:rsid w:val="008C4045"/>
    <w:rsid w:val="008C54DC"/>
    <w:rsid w:val="008D0B72"/>
    <w:rsid w:val="008D1EBA"/>
    <w:rsid w:val="008D2085"/>
    <w:rsid w:val="008D2CE4"/>
    <w:rsid w:val="008D2E86"/>
    <w:rsid w:val="008D48F1"/>
    <w:rsid w:val="008E0680"/>
    <w:rsid w:val="008E228F"/>
    <w:rsid w:val="008E3293"/>
    <w:rsid w:val="008E402E"/>
    <w:rsid w:val="008E4BC7"/>
    <w:rsid w:val="008E50D4"/>
    <w:rsid w:val="008E52B3"/>
    <w:rsid w:val="008E556D"/>
    <w:rsid w:val="008E6E95"/>
    <w:rsid w:val="008E75D8"/>
    <w:rsid w:val="008E766D"/>
    <w:rsid w:val="008E78B9"/>
    <w:rsid w:val="008E7B62"/>
    <w:rsid w:val="008F25C5"/>
    <w:rsid w:val="008F2E8D"/>
    <w:rsid w:val="008F4441"/>
    <w:rsid w:val="00902C24"/>
    <w:rsid w:val="00904484"/>
    <w:rsid w:val="00905AEB"/>
    <w:rsid w:val="00905B07"/>
    <w:rsid w:val="00907E75"/>
    <w:rsid w:val="00910583"/>
    <w:rsid w:val="00913EDB"/>
    <w:rsid w:val="00913F8A"/>
    <w:rsid w:val="00915AD4"/>
    <w:rsid w:val="0091648D"/>
    <w:rsid w:val="0092167B"/>
    <w:rsid w:val="00924D9F"/>
    <w:rsid w:val="009253F9"/>
    <w:rsid w:val="009259B3"/>
    <w:rsid w:val="00926756"/>
    <w:rsid w:val="0092793E"/>
    <w:rsid w:val="00931CA6"/>
    <w:rsid w:val="00932DFA"/>
    <w:rsid w:val="00934709"/>
    <w:rsid w:val="0093547E"/>
    <w:rsid w:val="0093739D"/>
    <w:rsid w:val="00945F58"/>
    <w:rsid w:val="00946BB2"/>
    <w:rsid w:val="00951473"/>
    <w:rsid w:val="00953BD9"/>
    <w:rsid w:val="00953D4F"/>
    <w:rsid w:val="009559E8"/>
    <w:rsid w:val="00956D43"/>
    <w:rsid w:val="00957059"/>
    <w:rsid w:val="009622A8"/>
    <w:rsid w:val="00964051"/>
    <w:rsid w:val="009704AE"/>
    <w:rsid w:val="009721F9"/>
    <w:rsid w:val="00972DEF"/>
    <w:rsid w:val="009743C5"/>
    <w:rsid w:val="00974FB7"/>
    <w:rsid w:val="0097678A"/>
    <w:rsid w:val="00976FEE"/>
    <w:rsid w:val="00977034"/>
    <w:rsid w:val="00981F16"/>
    <w:rsid w:val="00985407"/>
    <w:rsid w:val="009854E8"/>
    <w:rsid w:val="0098565D"/>
    <w:rsid w:val="00985817"/>
    <w:rsid w:val="009901D4"/>
    <w:rsid w:val="009926F2"/>
    <w:rsid w:val="009942F1"/>
    <w:rsid w:val="009971A3"/>
    <w:rsid w:val="009A1445"/>
    <w:rsid w:val="009A1588"/>
    <w:rsid w:val="009A275B"/>
    <w:rsid w:val="009A2D3C"/>
    <w:rsid w:val="009A3A64"/>
    <w:rsid w:val="009A41BA"/>
    <w:rsid w:val="009A48D5"/>
    <w:rsid w:val="009A614D"/>
    <w:rsid w:val="009A71AB"/>
    <w:rsid w:val="009B06AF"/>
    <w:rsid w:val="009B1429"/>
    <w:rsid w:val="009B4439"/>
    <w:rsid w:val="009B4AA0"/>
    <w:rsid w:val="009B6981"/>
    <w:rsid w:val="009C0C82"/>
    <w:rsid w:val="009C68CB"/>
    <w:rsid w:val="009D2C2C"/>
    <w:rsid w:val="009D47A8"/>
    <w:rsid w:val="009E4871"/>
    <w:rsid w:val="009E5E02"/>
    <w:rsid w:val="009E631C"/>
    <w:rsid w:val="009F0B8B"/>
    <w:rsid w:val="009F0B98"/>
    <w:rsid w:val="009F22FB"/>
    <w:rsid w:val="009F418D"/>
    <w:rsid w:val="00A0062D"/>
    <w:rsid w:val="00A00E4B"/>
    <w:rsid w:val="00A01353"/>
    <w:rsid w:val="00A02695"/>
    <w:rsid w:val="00A02D25"/>
    <w:rsid w:val="00A030E6"/>
    <w:rsid w:val="00A11EAC"/>
    <w:rsid w:val="00A1201A"/>
    <w:rsid w:val="00A1346B"/>
    <w:rsid w:val="00A1379C"/>
    <w:rsid w:val="00A13FC9"/>
    <w:rsid w:val="00A14032"/>
    <w:rsid w:val="00A160CB"/>
    <w:rsid w:val="00A17697"/>
    <w:rsid w:val="00A203A1"/>
    <w:rsid w:val="00A2101B"/>
    <w:rsid w:val="00A21B94"/>
    <w:rsid w:val="00A21E6D"/>
    <w:rsid w:val="00A22D7D"/>
    <w:rsid w:val="00A257E4"/>
    <w:rsid w:val="00A26B90"/>
    <w:rsid w:val="00A2748B"/>
    <w:rsid w:val="00A318DF"/>
    <w:rsid w:val="00A324BA"/>
    <w:rsid w:val="00A33DC6"/>
    <w:rsid w:val="00A34DE3"/>
    <w:rsid w:val="00A35B0D"/>
    <w:rsid w:val="00A365A1"/>
    <w:rsid w:val="00A37553"/>
    <w:rsid w:val="00A40C98"/>
    <w:rsid w:val="00A42F11"/>
    <w:rsid w:val="00A43960"/>
    <w:rsid w:val="00A43E5C"/>
    <w:rsid w:val="00A4439E"/>
    <w:rsid w:val="00A4616C"/>
    <w:rsid w:val="00A50E9E"/>
    <w:rsid w:val="00A539ED"/>
    <w:rsid w:val="00A5757E"/>
    <w:rsid w:val="00A6099B"/>
    <w:rsid w:val="00A6200C"/>
    <w:rsid w:val="00A62F9F"/>
    <w:rsid w:val="00A65CA1"/>
    <w:rsid w:val="00A707DC"/>
    <w:rsid w:val="00A71F4D"/>
    <w:rsid w:val="00A72024"/>
    <w:rsid w:val="00A753EB"/>
    <w:rsid w:val="00A779A2"/>
    <w:rsid w:val="00A8069C"/>
    <w:rsid w:val="00A80F16"/>
    <w:rsid w:val="00A818BC"/>
    <w:rsid w:val="00A818C7"/>
    <w:rsid w:val="00A82C8B"/>
    <w:rsid w:val="00A834FD"/>
    <w:rsid w:val="00A8775F"/>
    <w:rsid w:val="00A90D95"/>
    <w:rsid w:val="00A90E1C"/>
    <w:rsid w:val="00A92A25"/>
    <w:rsid w:val="00A954B6"/>
    <w:rsid w:val="00A955A9"/>
    <w:rsid w:val="00A959DF"/>
    <w:rsid w:val="00AA0FEF"/>
    <w:rsid w:val="00AA22EF"/>
    <w:rsid w:val="00AA2B19"/>
    <w:rsid w:val="00AA56AA"/>
    <w:rsid w:val="00AA5E12"/>
    <w:rsid w:val="00AB0B57"/>
    <w:rsid w:val="00AB2A94"/>
    <w:rsid w:val="00AB4552"/>
    <w:rsid w:val="00AB466D"/>
    <w:rsid w:val="00AB4CD3"/>
    <w:rsid w:val="00AB5AB4"/>
    <w:rsid w:val="00AB6ED2"/>
    <w:rsid w:val="00AC0910"/>
    <w:rsid w:val="00AC1D1F"/>
    <w:rsid w:val="00AC33DF"/>
    <w:rsid w:val="00AC37B4"/>
    <w:rsid w:val="00AC4434"/>
    <w:rsid w:val="00AC448C"/>
    <w:rsid w:val="00AC513E"/>
    <w:rsid w:val="00AC575E"/>
    <w:rsid w:val="00AC675B"/>
    <w:rsid w:val="00AC6B44"/>
    <w:rsid w:val="00AC6FA8"/>
    <w:rsid w:val="00AD0BB8"/>
    <w:rsid w:val="00AD7E10"/>
    <w:rsid w:val="00AE00DD"/>
    <w:rsid w:val="00AE3644"/>
    <w:rsid w:val="00AE4DB7"/>
    <w:rsid w:val="00AE708B"/>
    <w:rsid w:val="00AF0404"/>
    <w:rsid w:val="00AF1D25"/>
    <w:rsid w:val="00AF2AE4"/>
    <w:rsid w:val="00AF39E7"/>
    <w:rsid w:val="00AF3DA4"/>
    <w:rsid w:val="00AF63D0"/>
    <w:rsid w:val="00B01663"/>
    <w:rsid w:val="00B016AC"/>
    <w:rsid w:val="00B02772"/>
    <w:rsid w:val="00B027F4"/>
    <w:rsid w:val="00B05574"/>
    <w:rsid w:val="00B062EC"/>
    <w:rsid w:val="00B12111"/>
    <w:rsid w:val="00B12635"/>
    <w:rsid w:val="00B17729"/>
    <w:rsid w:val="00B216C1"/>
    <w:rsid w:val="00B22BB7"/>
    <w:rsid w:val="00B24E98"/>
    <w:rsid w:val="00B2733B"/>
    <w:rsid w:val="00B275ED"/>
    <w:rsid w:val="00B27D1D"/>
    <w:rsid w:val="00B3035E"/>
    <w:rsid w:val="00B33817"/>
    <w:rsid w:val="00B35F0D"/>
    <w:rsid w:val="00B371D2"/>
    <w:rsid w:val="00B42744"/>
    <w:rsid w:val="00B42F70"/>
    <w:rsid w:val="00B43061"/>
    <w:rsid w:val="00B45969"/>
    <w:rsid w:val="00B47A2F"/>
    <w:rsid w:val="00B51CB3"/>
    <w:rsid w:val="00B54182"/>
    <w:rsid w:val="00B566C6"/>
    <w:rsid w:val="00B6005C"/>
    <w:rsid w:val="00B6065C"/>
    <w:rsid w:val="00B63808"/>
    <w:rsid w:val="00B65413"/>
    <w:rsid w:val="00B70FA9"/>
    <w:rsid w:val="00B7145E"/>
    <w:rsid w:val="00B71834"/>
    <w:rsid w:val="00B746D8"/>
    <w:rsid w:val="00B75A46"/>
    <w:rsid w:val="00B8190C"/>
    <w:rsid w:val="00B81C3E"/>
    <w:rsid w:val="00B820F5"/>
    <w:rsid w:val="00B823BF"/>
    <w:rsid w:val="00B823F2"/>
    <w:rsid w:val="00B83935"/>
    <w:rsid w:val="00B87B74"/>
    <w:rsid w:val="00B91419"/>
    <w:rsid w:val="00B91F61"/>
    <w:rsid w:val="00B91FD0"/>
    <w:rsid w:val="00B93FC0"/>
    <w:rsid w:val="00B944AE"/>
    <w:rsid w:val="00B95C76"/>
    <w:rsid w:val="00B95FE7"/>
    <w:rsid w:val="00B9616A"/>
    <w:rsid w:val="00B96742"/>
    <w:rsid w:val="00BA0A8C"/>
    <w:rsid w:val="00BA0A94"/>
    <w:rsid w:val="00BA234F"/>
    <w:rsid w:val="00BA48CB"/>
    <w:rsid w:val="00BA4EDA"/>
    <w:rsid w:val="00BA6309"/>
    <w:rsid w:val="00BA6705"/>
    <w:rsid w:val="00BA751C"/>
    <w:rsid w:val="00BB127E"/>
    <w:rsid w:val="00BB1F82"/>
    <w:rsid w:val="00BB22CD"/>
    <w:rsid w:val="00BB25A1"/>
    <w:rsid w:val="00BB3299"/>
    <w:rsid w:val="00BB32A6"/>
    <w:rsid w:val="00BB5230"/>
    <w:rsid w:val="00BC04D3"/>
    <w:rsid w:val="00BC08D2"/>
    <w:rsid w:val="00BC140B"/>
    <w:rsid w:val="00BC1721"/>
    <w:rsid w:val="00BC1D56"/>
    <w:rsid w:val="00BC3B20"/>
    <w:rsid w:val="00BD0D8B"/>
    <w:rsid w:val="00BD1896"/>
    <w:rsid w:val="00BD2281"/>
    <w:rsid w:val="00BD267E"/>
    <w:rsid w:val="00BD42F2"/>
    <w:rsid w:val="00BD5457"/>
    <w:rsid w:val="00BD599B"/>
    <w:rsid w:val="00BD65BE"/>
    <w:rsid w:val="00BD7C4E"/>
    <w:rsid w:val="00BE1D00"/>
    <w:rsid w:val="00BE2065"/>
    <w:rsid w:val="00BE2319"/>
    <w:rsid w:val="00BE49E1"/>
    <w:rsid w:val="00BF069C"/>
    <w:rsid w:val="00BF189E"/>
    <w:rsid w:val="00BF18F4"/>
    <w:rsid w:val="00BF2D20"/>
    <w:rsid w:val="00BF6F40"/>
    <w:rsid w:val="00C00E0A"/>
    <w:rsid w:val="00C019B7"/>
    <w:rsid w:val="00C057BC"/>
    <w:rsid w:val="00C06097"/>
    <w:rsid w:val="00C159CF"/>
    <w:rsid w:val="00C1738D"/>
    <w:rsid w:val="00C174AE"/>
    <w:rsid w:val="00C17C79"/>
    <w:rsid w:val="00C23DD0"/>
    <w:rsid w:val="00C278D1"/>
    <w:rsid w:val="00C322EF"/>
    <w:rsid w:val="00C32CEA"/>
    <w:rsid w:val="00C3389F"/>
    <w:rsid w:val="00C34CCA"/>
    <w:rsid w:val="00C35C82"/>
    <w:rsid w:val="00C361DF"/>
    <w:rsid w:val="00C37846"/>
    <w:rsid w:val="00C43FE6"/>
    <w:rsid w:val="00C45252"/>
    <w:rsid w:val="00C45646"/>
    <w:rsid w:val="00C46DCC"/>
    <w:rsid w:val="00C50317"/>
    <w:rsid w:val="00C50992"/>
    <w:rsid w:val="00C533F9"/>
    <w:rsid w:val="00C542E4"/>
    <w:rsid w:val="00C55DD2"/>
    <w:rsid w:val="00C57CF8"/>
    <w:rsid w:val="00C60005"/>
    <w:rsid w:val="00C621FB"/>
    <w:rsid w:val="00C6270C"/>
    <w:rsid w:val="00C6295A"/>
    <w:rsid w:val="00C63172"/>
    <w:rsid w:val="00C6606D"/>
    <w:rsid w:val="00C6633C"/>
    <w:rsid w:val="00C6649E"/>
    <w:rsid w:val="00C668E8"/>
    <w:rsid w:val="00C67DE9"/>
    <w:rsid w:val="00C719E2"/>
    <w:rsid w:val="00C722B8"/>
    <w:rsid w:val="00C7327F"/>
    <w:rsid w:val="00C73634"/>
    <w:rsid w:val="00C73F1A"/>
    <w:rsid w:val="00C751CD"/>
    <w:rsid w:val="00C7758D"/>
    <w:rsid w:val="00C778EC"/>
    <w:rsid w:val="00C816F0"/>
    <w:rsid w:val="00C81ECE"/>
    <w:rsid w:val="00C831F1"/>
    <w:rsid w:val="00C870A2"/>
    <w:rsid w:val="00C90187"/>
    <w:rsid w:val="00C90B6C"/>
    <w:rsid w:val="00C91433"/>
    <w:rsid w:val="00C94516"/>
    <w:rsid w:val="00C94885"/>
    <w:rsid w:val="00C9564F"/>
    <w:rsid w:val="00C9591D"/>
    <w:rsid w:val="00C95B1E"/>
    <w:rsid w:val="00C963F0"/>
    <w:rsid w:val="00C96496"/>
    <w:rsid w:val="00C97AAA"/>
    <w:rsid w:val="00C97B6C"/>
    <w:rsid w:val="00C97E8B"/>
    <w:rsid w:val="00CA0176"/>
    <w:rsid w:val="00CA1CEB"/>
    <w:rsid w:val="00CA3F4B"/>
    <w:rsid w:val="00CA462A"/>
    <w:rsid w:val="00CA4FF1"/>
    <w:rsid w:val="00CA5A00"/>
    <w:rsid w:val="00CA6C66"/>
    <w:rsid w:val="00CA7A60"/>
    <w:rsid w:val="00CB41C1"/>
    <w:rsid w:val="00CB545E"/>
    <w:rsid w:val="00CB6FF3"/>
    <w:rsid w:val="00CC0E79"/>
    <w:rsid w:val="00CC2A7D"/>
    <w:rsid w:val="00CC50AB"/>
    <w:rsid w:val="00CC6BDA"/>
    <w:rsid w:val="00CC6CB6"/>
    <w:rsid w:val="00CD0ED5"/>
    <w:rsid w:val="00CD2B4E"/>
    <w:rsid w:val="00CD38EB"/>
    <w:rsid w:val="00CD395F"/>
    <w:rsid w:val="00CD425C"/>
    <w:rsid w:val="00CD722B"/>
    <w:rsid w:val="00CE0733"/>
    <w:rsid w:val="00CE08B4"/>
    <w:rsid w:val="00CE3C7B"/>
    <w:rsid w:val="00CE3DC4"/>
    <w:rsid w:val="00CE71A2"/>
    <w:rsid w:val="00CF1009"/>
    <w:rsid w:val="00CF14B9"/>
    <w:rsid w:val="00CF18B0"/>
    <w:rsid w:val="00CF2446"/>
    <w:rsid w:val="00CF324A"/>
    <w:rsid w:val="00CF4520"/>
    <w:rsid w:val="00CF50F0"/>
    <w:rsid w:val="00CF780C"/>
    <w:rsid w:val="00D02902"/>
    <w:rsid w:val="00D041FC"/>
    <w:rsid w:val="00D07554"/>
    <w:rsid w:val="00D07A64"/>
    <w:rsid w:val="00D11EEB"/>
    <w:rsid w:val="00D14840"/>
    <w:rsid w:val="00D14990"/>
    <w:rsid w:val="00D16005"/>
    <w:rsid w:val="00D16D40"/>
    <w:rsid w:val="00D20F53"/>
    <w:rsid w:val="00D2504B"/>
    <w:rsid w:val="00D265DD"/>
    <w:rsid w:val="00D323FA"/>
    <w:rsid w:val="00D343C7"/>
    <w:rsid w:val="00D36B60"/>
    <w:rsid w:val="00D44442"/>
    <w:rsid w:val="00D44A75"/>
    <w:rsid w:val="00D44EB9"/>
    <w:rsid w:val="00D465DB"/>
    <w:rsid w:val="00D4728E"/>
    <w:rsid w:val="00D505A4"/>
    <w:rsid w:val="00D51DE7"/>
    <w:rsid w:val="00D5287D"/>
    <w:rsid w:val="00D54862"/>
    <w:rsid w:val="00D629FE"/>
    <w:rsid w:val="00D641FA"/>
    <w:rsid w:val="00D672EB"/>
    <w:rsid w:val="00D67C28"/>
    <w:rsid w:val="00D701BA"/>
    <w:rsid w:val="00D7593E"/>
    <w:rsid w:val="00D80044"/>
    <w:rsid w:val="00D80137"/>
    <w:rsid w:val="00D821F4"/>
    <w:rsid w:val="00D82ACE"/>
    <w:rsid w:val="00D83D56"/>
    <w:rsid w:val="00D86D58"/>
    <w:rsid w:val="00D87C3E"/>
    <w:rsid w:val="00D9326F"/>
    <w:rsid w:val="00D9465E"/>
    <w:rsid w:val="00D95286"/>
    <w:rsid w:val="00D968E6"/>
    <w:rsid w:val="00DA3C59"/>
    <w:rsid w:val="00DA4076"/>
    <w:rsid w:val="00DA5359"/>
    <w:rsid w:val="00DA5DF0"/>
    <w:rsid w:val="00DA6B78"/>
    <w:rsid w:val="00DB1C4E"/>
    <w:rsid w:val="00DB30B3"/>
    <w:rsid w:val="00DB434F"/>
    <w:rsid w:val="00DB678B"/>
    <w:rsid w:val="00DC283E"/>
    <w:rsid w:val="00DC34EE"/>
    <w:rsid w:val="00DC3BBA"/>
    <w:rsid w:val="00DC3C0C"/>
    <w:rsid w:val="00DC47D3"/>
    <w:rsid w:val="00DC5094"/>
    <w:rsid w:val="00DD163C"/>
    <w:rsid w:val="00DD1855"/>
    <w:rsid w:val="00DD4B58"/>
    <w:rsid w:val="00DD7A98"/>
    <w:rsid w:val="00DE0088"/>
    <w:rsid w:val="00DE2126"/>
    <w:rsid w:val="00DE2247"/>
    <w:rsid w:val="00DE521C"/>
    <w:rsid w:val="00DE59A9"/>
    <w:rsid w:val="00DE6B0F"/>
    <w:rsid w:val="00DE7CB0"/>
    <w:rsid w:val="00DE7DF3"/>
    <w:rsid w:val="00DF16CB"/>
    <w:rsid w:val="00DF1B64"/>
    <w:rsid w:val="00DF3E73"/>
    <w:rsid w:val="00DF42AA"/>
    <w:rsid w:val="00DF6608"/>
    <w:rsid w:val="00DF676A"/>
    <w:rsid w:val="00DF73BE"/>
    <w:rsid w:val="00E00033"/>
    <w:rsid w:val="00E01AC0"/>
    <w:rsid w:val="00E046DE"/>
    <w:rsid w:val="00E04BF4"/>
    <w:rsid w:val="00E06E3B"/>
    <w:rsid w:val="00E13469"/>
    <w:rsid w:val="00E14B37"/>
    <w:rsid w:val="00E15081"/>
    <w:rsid w:val="00E150BD"/>
    <w:rsid w:val="00E20963"/>
    <w:rsid w:val="00E21D29"/>
    <w:rsid w:val="00E22065"/>
    <w:rsid w:val="00E245AF"/>
    <w:rsid w:val="00E2517E"/>
    <w:rsid w:val="00E254B8"/>
    <w:rsid w:val="00E272BA"/>
    <w:rsid w:val="00E275FE"/>
    <w:rsid w:val="00E27E98"/>
    <w:rsid w:val="00E27F7B"/>
    <w:rsid w:val="00E305D2"/>
    <w:rsid w:val="00E33752"/>
    <w:rsid w:val="00E373C9"/>
    <w:rsid w:val="00E466A4"/>
    <w:rsid w:val="00E46C22"/>
    <w:rsid w:val="00E47989"/>
    <w:rsid w:val="00E52AA2"/>
    <w:rsid w:val="00E5312C"/>
    <w:rsid w:val="00E54EC7"/>
    <w:rsid w:val="00E62DE5"/>
    <w:rsid w:val="00E63E38"/>
    <w:rsid w:val="00E64F39"/>
    <w:rsid w:val="00E65825"/>
    <w:rsid w:val="00E6740E"/>
    <w:rsid w:val="00E704DE"/>
    <w:rsid w:val="00E70823"/>
    <w:rsid w:val="00E727D2"/>
    <w:rsid w:val="00E73253"/>
    <w:rsid w:val="00E736AD"/>
    <w:rsid w:val="00E73B77"/>
    <w:rsid w:val="00E75EC8"/>
    <w:rsid w:val="00E76896"/>
    <w:rsid w:val="00E769A5"/>
    <w:rsid w:val="00E7712D"/>
    <w:rsid w:val="00E80E8D"/>
    <w:rsid w:val="00E81E34"/>
    <w:rsid w:val="00E821B0"/>
    <w:rsid w:val="00E829BC"/>
    <w:rsid w:val="00E903BC"/>
    <w:rsid w:val="00E90D02"/>
    <w:rsid w:val="00E929DE"/>
    <w:rsid w:val="00E97A0D"/>
    <w:rsid w:val="00EA04B8"/>
    <w:rsid w:val="00EA05DC"/>
    <w:rsid w:val="00EA1845"/>
    <w:rsid w:val="00EA204C"/>
    <w:rsid w:val="00EA2681"/>
    <w:rsid w:val="00EA3700"/>
    <w:rsid w:val="00EA3B42"/>
    <w:rsid w:val="00EA4265"/>
    <w:rsid w:val="00EB00D9"/>
    <w:rsid w:val="00EB356F"/>
    <w:rsid w:val="00EB39C1"/>
    <w:rsid w:val="00EB4376"/>
    <w:rsid w:val="00EB48CA"/>
    <w:rsid w:val="00EB6736"/>
    <w:rsid w:val="00EB7ED6"/>
    <w:rsid w:val="00EC18B4"/>
    <w:rsid w:val="00EC214B"/>
    <w:rsid w:val="00EC6258"/>
    <w:rsid w:val="00EC7FC5"/>
    <w:rsid w:val="00ED01D9"/>
    <w:rsid w:val="00EE032C"/>
    <w:rsid w:val="00EE31F9"/>
    <w:rsid w:val="00EE3987"/>
    <w:rsid w:val="00EE40C4"/>
    <w:rsid w:val="00EE5316"/>
    <w:rsid w:val="00EE57D6"/>
    <w:rsid w:val="00EE5C86"/>
    <w:rsid w:val="00EE6446"/>
    <w:rsid w:val="00EF04A4"/>
    <w:rsid w:val="00EF0E2D"/>
    <w:rsid w:val="00EF2F61"/>
    <w:rsid w:val="00EF3B85"/>
    <w:rsid w:val="00EF579A"/>
    <w:rsid w:val="00EF6CD8"/>
    <w:rsid w:val="00F00CD2"/>
    <w:rsid w:val="00F02D91"/>
    <w:rsid w:val="00F04959"/>
    <w:rsid w:val="00F05BBF"/>
    <w:rsid w:val="00F06D23"/>
    <w:rsid w:val="00F077CB"/>
    <w:rsid w:val="00F14D34"/>
    <w:rsid w:val="00F16BBB"/>
    <w:rsid w:val="00F16E29"/>
    <w:rsid w:val="00F16F32"/>
    <w:rsid w:val="00F20EAE"/>
    <w:rsid w:val="00F21134"/>
    <w:rsid w:val="00F217F5"/>
    <w:rsid w:val="00F21DFA"/>
    <w:rsid w:val="00F220DE"/>
    <w:rsid w:val="00F235C3"/>
    <w:rsid w:val="00F23EE2"/>
    <w:rsid w:val="00F245F4"/>
    <w:rsid w:val="00F2484F"/>
    <w:rsid w:val="00F24B5D"/>
    <w:rsid w:val="00F30D8D"/>
    <w:rsid w:val="00F31437"/>
    <w:rsid w:val="00F31B74"/>
    <w:rsid w:val="00F33BDE"/>
    <w:rsid w:val="00F344AA"/>
    <w:rsid w:val="00F34F02"/>
    <w:rsid w:val="00F35BE5"/>
    <w:rsid w:val="00F365B6"/>
    <w:rsid w:val="00F42619"/>
    <w:rsid w:val="00F429D1"/>
    <w:rsid w:val="00F42AB1"/>
    <w:rsid w:val="00F438C4"/>
    <w:rsid w:val="00F43D9A"/>
    <w:rsid w:val="00F446D8"/>
    <w:rsid w:val="00F45522"/>
    <w:rsid w:val="00F535D8"/>
    <w:rsid w:val="00F54F16"/>
    <w:rsid w:val="00F574C1"/>
    <w:rsid w:val="00F6243C"/>
    <w:rsid w:val="00F6319C"/>
    <w:rsid w:val="00F63E8B"/>
    <w:rsid w:val="00F66B81"/>
    <w:rsid w:val="00F67B03"/>
    <w:rsid w:val="00F700B6"/>
    <w:rsid w:val="00F7286B"/>
    <w:rsid w:val="00F736C8"/>
    <w:rsid w:val="00F76502"/>
    <w:rsid w:val="00F816E7"/>
    <w:rsid w:val="00F819F3"/>
    <w:rsid w:val="00F81B3E"/>
    <w:rsid w:val="00F820FE"/>
    <w:rsid w:val="00F823D6"/>
    <w:rsid w:val="00F84BA7"/>
    <w:rsid w:val="00F860BF"/>
    <w:rsid w:val="00F87933"/>
    <w:rsid w:val="00F90C18"/>
    <w:rsid w:val="00F91F55"/>
    <w:rsid w:val="00F923C1"/>
    <w:rsid w:val="00F97375"/>
    <w:rsid w:val="00F97935"/>
    <w:rsid w:val="00FA5530"/>
    <w:rsid w:val="00FA6BE3"/>
    <w:rsid w:val="00FA7664"/>
    <w:rsid w:val="00FB0DC0"/>
    <w:rsid w:val="00FB1045"/>
    <w:rsid w:val="00FB17A6"/>
    <w:rsid w:val="00FB1DE0"/>
    <w:rsid w:val="00FB37C8"/>
    <w:rsid w:val="00FB39D9"/>
    <w:rsid w:val="00FB39F3"/>
    <w:rsid w:val="00FB432B"/>
    <w:rsid w:val="00FB4D21"/>
    <w:rsid w:val="00FB6EE8"/>
    <w:rsid w:val="00FC16D4"/>
    <w:rsid w:val="00FC41C9"/>
    <w:rsid w:val="00FD3B17"/>
    <w:rsid w:val="00FD40C5"/>
    <w:rsid w:val="00FD5A1E"/>
    <w:rsid w:val="00FD5D1C"/>
    <w:rsid w:val="00FD6598"/>
    <w:rsid w:val="00FE41B7"/>
    <w:rsid w:val="00FE5E19"/>
    <w:rsid w:val="00FF2113"/>
    <w:rsid w:val="00FF33CE"/>
    <w:rsid w:val="00FF383C"/>
    <w:rsid w:val="00FF555B"/>
    <w:rsid w:val="00FF6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3D02D5"/>
  <w15:docId w15:val="{6230B2A1-A64E-474C-A5E3-A01172A3B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aliases w:val="H1-Sec.Head"/>
    <w:basedOn w:val="Normal"/>
    <w:next w:val="Normal"/>
    <w:link w:val="Heading1Char"/>
    <w:qFormat/>
    <w:rsid w:val="00972DEF"/>
    <w:pPr>
      <w:keepNext/>
      <w:tabs>
        <w:tab w:val="left" w:pos="1152"/>
      </w:tabs>
      <w:spacing w:after="360" w:line="360" w:lineRule="atLeast"/>
      <w:ind w:left="1152" w:hanging="1152"/>
      <w:jc w:val="both"/>
      <w:outlineLvl w:val="0"/>
    </w:pPr>
    <w:rPr>
      <w:rFonts w:ascii="Cambria" w:hAnsi="Cambria" w:cs="Cambria"/>
      <w:b/>
      <w:bCs/>
      <w:kern w:val="32"/>
      <w:sz w:val="32"/>
      <w:szCs w:val="32"/>
    </w:rPr>
  </w:style>
  <w:style w:type="paragraph" w:styleId="Heading2">
    <w:name w:val="heading 2"/>
    <w:basedOn w:val="Normal"/>
    <w:next w:val="Normal"/>
    <w:link w:val="Heading2Char"/>
    <w:qFormat/>
    <w:rsid w:val="00972DEF"/>
    <w:pPr>
      <w:keepNext/>
      <w:spacing w:before="240" w:after="60"/>
      <w:outlineLvl w:val="1"/>
    </w:pPr>
    <w:rPr>
      <w:rFonts w:ascii="Cambria" w:hAnsi="Cambria" w:cs="Cambria"/>
      <w:b/>
      <w:bCs/>
      <w:i/>
      <w:iCs/>
      <w:sz w:val="28"/>
      <w:szCs w:val="28"/>
    </w:rPr>
  </w:style>
  <w:style w:type="paragraph" w:styleId="Heading3">
    <w:name w:val="heading 3"/>
    <w:basedOn w:val="Normal"/>
    <w:next w:val="BodyText1"/>
    <w:link w:val="Heading3Char"/>
    <w:qFormat/>
    <w:rsid w:val="00972DEF"/>
    <w:pPr>
      <w:keepNext/>
      <w:tabs>
        <w:tab w:val="num" w:pos="864"/>
      </w:tabs>
      <w:spacing w:after="60" w:line="240" w:lineRule="exact"/>
      <w:ind w:left="864" w:hanging="864"/>
      <w:outlineLvl w:val="2"/>
    </w:pPr>
    <w:rPr>
      <w:rFonts w:ascii="Cambria" w:hAnsi="Cambria" w:cs="Cambria"/>
      <w:b/>
      <w:bCs/>
      <w:sz w:val="26"/>
      <w:szCs w:val="26"/>
    </w:rPr>
  </w:style>
  <w:style w:type="paragraph" w:styleId="Heading6">
    <w:name w:val="heading 6"/>
    <w:basedOn w:val="Normal"/>
    <w:next w:val="Normal"/>
    <w:link w:val="Heading6Char"/>
    <w:qFormat/>
    <w:rsid w:val="00972DEF"/>
    <w:pPr>
      <w:spacing w:before="240" w:after="60"/>
      <w:outlineLvl w:val="5"/>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rsid w:val="00972DEF"/>
    <w:rPr>
      <w:rFonts w:ascii="Cambria" w:hAnsi="Cambria" w:cs="Cambria"/>
      <w:b/>
      <w:bCs/>
      <w:kern w:val="32"/>
      <w:sz w:val="32"/>
      <w:szCs w:val="32"/>
      <w:lang w:val="en-US" w:eastAsia="en-US" w:bidi="ar-SA"/>
    </w:rPr>
  </w:style>
  <w:style w:type="character" w:customStyle="1" w:styleId="Heading2Char">
    <w:name w:val="Heading 2 Char"/>
    <w:link w:val="Heading2"/>
    <w:semiHidden/>
    <w:rsid w:val="00972DEF"/>
    <w:rPr>
      <w:rFonts w:ascii="Cambria" w:hAnsi="Cambria" w:cs="Cambria"/>
      <w:b/>
      <w:bCs/>
      <w:i/>
      <w:iCs/>
      <w:sz w:val="28"/>
      <w:szCs w:val="28"/>
      <w:lang w:val="en-US" w:eastAsia="en-US" w:bidi="ar-SA"/>
    </w:rPr>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rsid w:val="00972DEF"/>
    <w:pPr>
      <w:spacing w:after="160"/>
      <w:ind w:firstLine="720"/>
    </w:pPr>
    <w:rPr>
      <w:sz w:val="22"/>
      <w:szCs w:val="22"/>
    </w:rPr>
  </w:style>
  <w:style w:type="character" w:customStyle="1" w:styleId="Heading3Char">
    <w:name w:val="Heading 3 Char"/>
    <w:link w:val="Heading3"/>
    <w:semiHidden/>
    <w:rsid w:val="00972DEF"/>
    <w:rPr>
      <w:rFonts w:ascii="Cambria" w:hAnsi="Cambria" w:cs="Cambria"/>
      <w:b/>
      <w:bCs/>
      <w:sz w:val="26"/>
      <w:szCs w:val="26"/>
      <w:lang w:val="en-US" w:eastAsia="en-US" w:bidi="ar-SA"/>
    </w:rPr>
  </w:style>
  <w:style w:type="character" w:customStyle="1" w:styleId="Heading6Char">
    <w:name w:val="Heading 6 Char"/>
    <w:link w:val="Heading6"/>
    <w:semiHidden/>
    <w:rsid w:val="00972DEF"/>
    <w:rPr>
      <w:rFonts w:ascii="Calibri" w:hAnsi="Calibri" w:cs="Calibri"/>
      <w:b/>
      <w:bCs/>
      <w:sz w:val="22"/>
      <w:szCs w:val="22"/>
      <w:lang w:val="en-US" w:eastAsia="en-US" w:bidi="ar-SA"/>
    </w:rPr>
  </w:style>
  <w:style w:type="paragraph" w:customStyle="1" w:styleId="objective">
    <w:name w:val="objective"/>
    <w:basedOn w:val="Normal"/>
    <w:rsid w:val="00972DEF"/>
    <w:pPr>
      <w:keepNext/>
      <w:spacing w:before="100" w:beforeAutospacing="1" w:after="100" w:afterAutospacing="1" w:line="270" w:lineRule="atLeast"/>
    </w:pPr>
    <w:rPr>
      <w:rFonts w:ascii="Arial" w:hAnsi="Arial" w:cs="Arial"/>
      <w:b/>
      <w:bCs/>
      <w:sz w:val="25"/>
      <w:szCs w:val="25"/>
    </w:rPr>
  </w:style>
  <w:style w:type="paragraph" w:styleId="BalloonText">
    <w:name w:val="Balloon Text"/>
    <w:basedOn w:val="Normal"/>
    <w:link w:val="BalloonTextChar"/>
    <w:rsid w:val="00A02695"/>
    <w:rPr>
      <w:sz w:val="16"/>
      <w:szCs w:val="2"/>
    </w:rPr>
  </w:style>
  <w:style w:type="character" w:customStyle="1" w:styleId="BalloonTextChar">
    <w:name w:val="Balloon Text Char"/>
    <w:link w:val="BalloonText"/>
    <w:semiHidden/>
    <w:rsid w:val="00A02695"/>
    <w:rPr>
      <w:sz w:val="16"/>
      <w:szCs w:val="2"/>
      <w:lang w:val="en-US" w:eastAsia="en-US" w:bidi="ar-SA"/>
    </w:rPr>
  </w:style>
  <w:style w:type="paragraph" w:styleId="BodyText2">
    <w:name w:val="Body Text 2"/>
    <w:basedOn w:val="Normal"/>
    <w:link w:val="BodyText2Char"/>
    <w:rsid w:val="00972D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customStyle="1" w:styleId="BodyText2Char">
    <w:name w:val="Body Text 2 Char"/>
    <w:link w:val="BodyText2"/>
    <w:semiHidden/>
    <w:rsid w:val="00972DEF"/>
    <w:rPr>
      <w:sz w:val="24"/>
      <w:szCs w:val="24"/>
      <w:lang w:val="en-US" w:eastAsia="en-US" w:bidi="ar-SA"/>
    </w:rPr>
  </w:style>
  <w:style w:type="paragraph" w:customStyle="1" w:styleId="SL-FlLftSgl">
    <w:name w:val="SL-Fl Lft Sgl"/>
    <w:rsid w:val="00972DEF"/>
    <w:pPr>
      <w:spacing w:line="240" w:lineRule="atLeast"/>
    </w:pPr>
    <w:rPr>
      <w:sz w:val="24"/>
      <w:szCs w:val="24"/>
    </w:rPr>
  </w:style>
  <w:style w:type="paragraph" w:styleId="HTMLPreformatted">
    <w:name w:val="HTML Preformatted"/>
    <w:basedOn w:val="Normal"/>
    <w:link w:val="HTMLPreformattedChar"/>
    <w:rsid w:val="0097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semiHidden/>
    <w:rsid w:val="00972DEF"/>
    <w:rPr>
      <w:rFonts w:ascii="Courier New" w:hAnsi="Courier New" w:cs="Courier New"/>
      <w:sz w:val="24"/>
      <w:szCs w:val="24"/>
      <w:lang w:val="en-US" w:eastAsia="en-US" w:bidi="ar-SA"/>
    </w:rPr>
  </w:style>
  <w:style w:type="paragraph" w:customStyle="1" w:styleId="E1-Equation">
    <w:name w:val="E1-Equation"/>
    <w:rsid w:val="00972DEF"/>
    <w:pPr>
      <w:tabs>
        <w:tab w:val="center" w:pos="4680"/>
        <w:tab w:val="right" w:pos="9360"/>
      </w:tabs>
      <w:spacing w:line="240" w:lineRule="atLeast"/>
      <w:jc w:val="both"/>
    </w:pPr>
    <w:rPr>
      <w:sz w:val="24"/>
      <w:szCs w:val="24"/>
    </w:rPr>
  </w:style>
  <w:style w:type="character" w:styleId="CommentReference">
    <w:name w:val="annotation reference"/>
    <w:semiHidden/>
    <w:rsid w:val="00972DEF"/>
    <w:rPr>
      <w:sz w:val="16"/>
      <w:szCs w:val="16"/>
    </w:rPr>
  </w:style>
  <w:style w:type="paragraph" w:styleId="CommentText">
    <w:name w:val="annotation text"/>
    <w:basedOn w:val="Normal"/>
    <w:link w:val="CommentTextChar"/>
    <w:semiHidden/>
    <w:rsid w:val="00972DEF"/>
  </w:style>
  <w:style w:type="character" w:customStyle="1" w:styleId="CommentTextChar">
    <w:name w:val="Comment Text Char"/>
    <w:link w:val="CommentText"/>
    <w:semiHidden/>
    <w:rsid w:val="00972DEF"/>
    <w:rPr>
      <w:sz w:val="24"/>
      <w:szCs w:val="24"/>
      <w:lang w:val="en-US" w:eastAsia="en-US" w:bidi="ar-SA"/>
    </w:rPr>
  </w:style>
  <w:style w:type="paragraph" w:styleId="CommentSubject">
    <w:name w:val="annotation subject"/>
    <w:basedOn w:val="CommentText"/>
    <w:next w:val="CommentText"/>
    <w:link w:val="CommentSubjectChar"/>
    <w:semiHidden/>
    <w:rsid w:val="00972DEF"/>
    <w:rPr>
      <w:b/>
      <w:bCs/>
    </w:rPr>
  </w:style>
  <w:style w:type="character" w:customStyle="1" w:styleId="CommentSubjectChar">
    <w:name w:val="Comment Subject Char"/>
    <w:link w:val="CommentSubject"/>
    <w:semiHidden/>
    <w:rsid w:val="00972DEF"/>
    <w:rPr>
      <w:b/>
      <w:bCs/>
      <w:sz w:val="24"/>
      <w:szCs w:val="24"/>
      <w:lang w:val="en-US" w:eastAsia="en-US" w:bidi="ar-SA"/>
    </w:rPr>
  </w:style>
  <w:style w:type="character" w:styleId="PageNumber">
    <w:name w:val="page number"/>
    <w:basedOn w:val="DefaultParagraphFont"/>
    <w:rsid w:val="00972DEF"/>
  </w:style>
  <w:style w:type="paragraph" w:styleId="NormalWeb">
    <w:name w:val="Normal (Web)"/>
    <w:basedOn w:val="Normal"/>
    <w:rsid w:val="00972DEF"/>
    <w:pPr>
      <w:spacing w:before="100" w:beforeAutospacing="1" w:after="100" w:afterAutospacing="1"/>
    </w:pPr>
    <w:rPr>
      <w:color w:val="000000"/>
    </w:rPr>
  </w:style>
  <w:style w:type="paragraph" w:styleId="FootnoteText">
    <w:name w:val="footnote text"/>
    <w:basedOn w:val="Normal"/>
    <w:link w:val="FootnoteTextChar"/>
    <w:semiHidden/>
    <w:rsid w:val="00972DEF"/>
  </w:style>
  <w:style w:type="character" w:customStyle="1" w:styleId="FootnoteTextChar">
    <w:name w:val="Footnote Text Char"/>
    <w:link w:val="FootnoteText"/>
    <w:rsid w:val="00972DEF"/>
    <w:rPr>
      <w:sz w:val="24"/>
      <w:szCs w:val="24"/>
      <w:lang w:val="en-US" w:eastAsia="en-US" w:bidi="ar-SA"/>
    </w:rPr>
  </w:style>
  <w:style w:type="character" w:styleId="FootnoteReference">
    <w:name w:val="footnote reference"/>
    <w:semiHidden/>
    <w:rsid w:val="00972DEF"/>
    <w:rPr>
      <w:vertAlign w:val="superscript"/>
    </w:rPr>
  </w:style>
  <w:style w:type="paragraph" w:customStyle="1" w:styleId="Level1">
    <w:name w:val="Level 1"/>
    <w:basedOn w:val="Normal"/>
    <w:rsid w:val="00972DEF"/>
    <w:pPr>
      <w:widowControl w:val="0"/>
      <w:numPr>
        <w:numId w:val="1"/>
      </w:numPr>
      <w:tabs>
        <w:tab w:val="num" w:pos="780"/>
      </w:tabs>
      <w:autoSpaceDE w:val="0"/>
      <w:autoSpaceDN w:val="0"/>
      <w:adjustRightInd w:val="0"/>
      <w:ind w:left="780" w:hanging="720"/>
      <w:outlineLvl w:val="0"/>
    </w:pPr>
  </w:style>
  <w:style w:type="paragraph" w:customStyle="1" w:styleId="a">
    <w:name w:val="_"/>
    <w:basedOn w:val="Normal"/>
    <w:link w:val="Char"/>
    <w:rsid w:val="00972DEF"/>
    <w:pPr>
      <w:widowControl w:val="0"/>
      <w:autoSpaceDE w:val="0"/>
      <w:autoSpaceDN w:val="0"/>
      <w:adjustRightInd w:val="0"/>
      <w:ind w:left="720" w:hanging="720"/>
    </w:pPr>
  </w:style>
  <w:style w:type="character" w:customStyle="1" w:styleId="Char">
    <w:name w:val="_ Char"/>
    <w:link w:val="a"/>
    <w:rsid w:val="001E1A5D"/>
    <w:rPr>
      <w:sz w:val="24"/>
      <w:szCs w:val="24"/>
      <w:lang w:val="en-US" w:eastAsia="en-US" w:bidi="ar-SA"/>
    </w:rPr>
  </w:style>
  <w:style w:type="character" w:styleId="Hyperlink">
    <w:name w:val="Hyperlink"/>
    <w:rsid w:val="00972DEF"/>
    <w:rPr>
      <w:color w:val="0000FF"/>
      <w:u w:val="single"/>
    </w:rPr>
  </w:style>
  <w:style w:type="paragraph" w:styleId="PlainText">
    <w:name w:val="Plain Text"/>
    <w:basedOn w:val="Normal"/>
    <w:link w:val="PlainTextChar"/>
    <w:rsid w:val="00972DEF"/>
    <w:rPr>
      <w:rFonts w:ascii="Courier New" w:hAnsi="Courier New" w:cs="Courier New"/>
    </w:rPr>
  </w:style>
  <w:style w:type="character" w:customStyle="1" w:styleId="PlainTextChar">
    <w:name w:val="Plain Text Char"/>
    <w:link w:val="PlainText"/>
    <w:semiHidden/>
    <w:rsid w:val="00972DEF"/>
    <w:rPr>
      <w:rFonts w:ascii="Courier New" w:hAnsi="Courier New" w:cs="Courier New"/>
      <w:sz w:val="24"/>
      <w:szCs w:val="24"/>
      <w:lang w:val="en-US" w:eastAsia="en-US" w:bidi="ar-SA"/>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972DEF"/>
    <w:rPr>
      <w:sz w:val="24"/>
      <w:szCs w:val="24"/>
      <w:lang w:val="en-US" w:eastAsia="en-US"/>
    </w:rPr>
  </w:style>
  <w:style w:type="paragraph" w:styleId="Header">
    <w:name w:val="header"/>
    <w:basedOn w:val="Normal"/>
    <w:link w:val="HeaderChar1"/>
    <w:rsid w:val="00972DEF"/>
    <w:pPr>
      <w:tabs>
        <w:tab w:val="center" w:pos="4320"/>
        <w:tab w:val="right" w:pos="8640"/>
      </w:tabs>
    </w:pPr>
  </w:style>
  <w:style w:type="character" w:customStyle="1" w:styleId="HeaderChar1">
    <w:name w:val="Header Char1"/>
    <w:link w:val="Header"/>
    <w:semiHidden/>
    <w:rsid w:val="00972DEF"/>
    <w:rPr>
      <w:sz w:val="24"/>
      <w:szCs w:val="24"/>
      <w:lang w:val="en-US" w:eastAsia="en-US" w:bidi="ar-SA"/>
    </w:rPr>
  </w:style>
  <w:style w:type="paragraph" w:styleId="Footer">
    <w:name w:val="footer"/>
    <w:basedOn w:val="Normal"/>
    <w:link w:val="FooterChar"/>
    <w:rsid w:val="00972DEF"/>
    <w:pPr>
      <w:tabs>
        <w:tab w:val="center" w:pos="4320"/>
        <w:tab w:val="right" w:pos="8640"/>
      </w:tabs>
    </w:pPr>
  </w:style>
  <w:style w:type="character" w:customStyle="1" w:styleId="FooterChar">
    <w:name w:val="Footer Char"/>
    <w:link w:val="Footer"/>
    <w:semiHidden/>
    <w:rsid w:val="00972DEF"/>
    <w:rPr>
      <w:sz w:val="24"/>
      <w:szCs w:val="24"/>
      <w:lang w:val="en-US" w:eastAsia="en-US" w:bidi="ar-SA"/>
    </w:rPr>
  </w:style>
  <w:style w:type="paragraph" w:styleId="BodyTextIndent2">
    <w:name w:val="Body Text Indent 2"/>
    <w:basedOn w:val="Normal"/>
    <w:link w:val="BodyTextIndent2Char"/>
    <w:rsid w:val="00972DEF"/>
    <w:pPr>
      <w:spacing w:after="120" w:line="480" w:lineRule="auto"/>
      <w:ind w:left="360"/>
    </w:pPr>
  </w:style>
  <w:style w:type="character" w:customStyle="1" w:styleId="BodyTextIndent2Char">
    <w:name w:val="Body Text Indent 2 Char"/>
    <w:link w:val="BodyTextIndent2"/>
    <w:semiHidden/>
    <w:rsid w:val="00972DEF"/>
    <w:rPr>
      <w:sz w:val="24"/>
      <w:szCs w:val="24"/>
      <w:lang w:val="en-US" w:eastAsia="en-US" w:bidi="ar-SA"/>
    </w:rPr>
  </w:style>
  <w:style w:type="paragraph" w:customStyle="1" w:styleId="level10">
    <w:name w:val="level1"/>
    <w:basedOn w:val="Normal"/>
    <w:rsid w:val="00972DEF"/>
    <w:pPr>
      <w:spacing w:before="100" w:beforeAutospacing="1" w:after="100" w:afterAutospacing="1"/>
    </w:pPr>
  </w:style>
  <w:style w:type="paragraph" w:customStyle="1" w:styleId="Quicka">
    <w:name w:val="Quick a."/>
    <w:basedOn w:val="Normal"/>
    <w:rsid w:val="00972DEF"/>
    <w:pPr>
      <w:widowControl w:val="0"/>
    </w:pPr>
  </w:style>
  <w:style w:type="paragraph" w:customStyle="1" w:styleId="Quick1">
    <w:name w:val="Quick 1."/>
    <w:basedOn w:val="Normal"/>
    <w:rsid w:val="00972DEF"/>
    <w:pPr>
      <w:widowControl w:val="0"/>
    </w:pPr>
  </w:style>
  <w:style w:type="paragraph" w:customStyle="1" w:styleId="N2-2ndBullet">
    <w:name w:val="N2-2nd Bullet"/>
    <w:basedOn w:val="Normal"/>
    <w:rsid w:val="00972DEF"/>
    <w:pPr>
      <w:numPr>
        <w:numId w:val="2"/>
      </w:numPr>
      <w:tabs>
        <w:tab w:val="left" w:pos="1728"/>
      </w:tabs>
      <w:spacing w:after="240" w:line="240" w:lineRule="atLeast"/>
      <w:jc w:val="both"/>
    </w:pPr>
  </w:style>
  <w:style w:type="paragraph" w:customStyle="1" w:styleId="C1-CtrBoldHd">
    <w:name w:val="C1-Ctr BoldHd"/>
    <w:rsid w:val="00972DEF"/>
    <w:pPr>
      <w:keepNext/>
      <w:spacing w:after="720" w:line="240" w:lineRule="atLeast"/>
      <w:jc w:val="center"/>
    </w:pPr>
    <w:rPr>
      <w:b/>
      <w:bCs/>
      <w:caps/>
      <w:sz w:val="24"/>
      <w:szCs w:val="24"/>
    </w:rPr>
  </w:style>
  <w:style w:type="character" w:customStyle="1" w:styleId="label-1">
    <w:name w:val="label-1"/>
    <w:rsid w:val="00972DEF"/>
    <w:rPr>
      <w:b/>
      <w:bCs/>
      <w:sz w:val="20"/>
      <w:szCs w:val="20"/>
    </w:rPr>
  </w:style>
  <w:style w:type="character" w:customStyle="1" w:styleId="label-2">
    <w:name w:val="label-2"/>
    <w:rsid w:val="00972DEF"/>
    <w:rPr>
      <w:b/>
      <w:bCs/>
      <w:sz w:val="20"/>
      <w:szCs w:val="20"/>
    </w:rPr>
  </w:style>
  <w:style w:type="character" w:customStyle="1" w:styleId="label-3">
    <w:name w:val="label-3"/>
    <w:rsid w:val="00972DEF"/>
    <w:rPr>
      <w:b/>
      <w:bCs/>
      <w:sz w:val="20"/>
      <w:szCs w:val="20"/>
    </w:rPr>
  </w:style>
  <w:style w:type="character" w:customStyle="1" w:styleId="label-4">
    <w:name w:val="label-4"/>
    <w:rsid w:val="00972DEF"/>
    <w:rPr>
      <w:b/>
      <w:bCs/>
      <w:sz w:val="20"/>
      <w:szCs w:val="20"/>
    </w:rPr>
  </w:style>
  <w:style w:type="character" w:customStyle="1" w:styleId="label-5">
    <w:name w:val="label-5"/>
    <w:rsid w:val="00972DEF"/>
    <w:rPr>
      <w:b/>
      <w:bCs/>
      <w:sz w:val="20"/>
      <w:szCs w:val="20"/>
    </w:rPr>
  </w:style>
  <w:style w:type="character" w:customStyle="1" w:styleId="labelhead-1">
    <w:name w:val="labelhead-1"/>
    <w:rsid w:val="00972DEF"/>
    <w:rPr>
      <w:sz w:val="20"/>
      <w:szCs w:val="20"/>
    </w:rPr>
  </w:style>
  <w:style w:type="paragraph" w:customStyle="1" w:styleId="C2-CtrSglSp">
    <w:name w:val="C2-Ctr Sgl Sp"/>
    <w:rsid w:val="00972DEF"/>
    <w:pPr>
      <w:keepLines/>
      <w:spacing w:line="240" w:lineRule="atLeast"/>
      <w:jc w:val="center"/>
    </w:pPr>
    <w:rPr>
      <w:sz w:val="24"/>
      <w:szCs w:val="24"/>
    </w:rPr>
  </w:style>
  <w:style w:type="paragraph" w:customStyle="1" w:styleId="T0-ChapPgHd">
    <w:name w:val="T0-Chap/Pg Hd"/>
    <w:rsid w:val="00972DEF"/>
    <w:pPr>
      <w:tabs>
        <w:tab w:val="left" w:pos="8640"/>
      </w:tabs>
      <w:spacing w:line="240" w:lineRule="atLeast"/>
      <w:jc w:val="both"/>
    </w:pPr>
    <w:rPr>
      <w:sz w:val="24"/>
      <w:szCs w:val="24"/>
      <w:u w:val="words"/>
    </w:rPr>
  </w:style>
  <w:style w:type="paragraph" w:styleId="TOC1">
    <w:name w:val="toc 1"/>
    <w:basedOn w:val="Normal"/>
    <w:autoRedefine/>
    <w:semiHidden/>
    <w:rsid w:val="00972DEF"/>
    <w:pPr>
      <w:tabs>
        <w:tab w:val="left" w:pos="1440"/>
        <w:tab w:val="right" w:leader="dot" w:pos="8208"/>
        <w:tab w:val="left" w:pos="8640"/>
      </w:tabs>
      <w:spacing w:line="240" w:lineRule="atLeast"/>
      <w:ind w:left="288"/>
    </w:pPr>
    <w:rPr>
      <w:caps/>
    </w:rPr>
  </w:style>
  <w:style w:type="paragraph" w:styleId="TOC2">
    <w:name w:val="toc 2"/>
    <w:basedOn w:val="Normal"/>
    <w:autoRedefine/>
    <w:semiHidden/>
    <w:rsid w:val="00972DEF"/>
    <w:pPr>
      <w:tabs>
        <w:tab w:val="left" w:pos="2160"/>
        <w:tab w:val="right" w:leader="dot" w:pos="8208"/>
        <w:tab w:val="left" w:pos="8640"/>
      </w:tabs>
      <w:spacing w:line="240" w:lineRule="atLeast"/>
      <w:ind w:left="2160" w:hanging="720"/>
    </w:pPr>
  </w:style>
  <w:style w:type="paragraph" w:styleId="TOC5">
    <w:name w:val="toc 5"/>
    <w:basedOn w:val="TOC1"/>
    <w:autoRedefine/>
    <w:semiHidden/>
    <w:rsid w:val="006F1DA6"/>
    <w:pPr>
      <w:jc w:val="center"/>
    </w:pPr>
    <w:rPr>
      <w:caps w:val="0"/>
    </w:rPr>
  </w:style>
  <w:style w:type="paragraph" w:styleId="E-mailSignature">
    <w:name w:val="E-mail Signature"/>
    <w:basedOn w:val="Normal"/>
    <w:link w:val="E-mailSignatureChar"/>
    <w:rsid w:val="00972DEF"/>
  </w:style>
  <w:style w:type="character" w:customStyle="1" w:styleId="E-mailSignatureChar">
    <w:name w:val="E-mail Signature Char"/>
    <w:link w:val="E-mailSignature"/>
    <w:semiHidden/>
    <w:rsid w:val="00972DEF"/>
    <w:rPr>
      <w:sz w:val="24"/>
      <w:szCs w:val="24"/>
      <w:lang w:val="en-US" w:eastAsia="en-US" w:bidi="ar-SA"/>
    </w:rPr>
  </w:style>
  <w:style w:type="paragraph" w:customStyle="1" w:styleId="Bulleted">
    <w:name w:val="Bulleted"/>
    <w:basedOn w:val="Normal"/>
    <w:autoRedefine/>
    <w:rsid w:val="00972DEF"/>
    <w:pPr>
      <w:numPr>
        <w:numId w:val="3"/>
      </w:numPr>
      <w:tabs>
        <w:tab w:val="clear" w:pos="504"/>
        <w:tab w:val="num" w:pos="600"/>
      </w:tabs>
      <w:ind w:left="600" w:hanging="360"/>
    </w:pPr>
  </w:style>
  <w:style w:type="character" w:customStyle="1" w:styleId="bibrecord-highlight">
    <w:name w:val="bibrecord-highlight"/>
    <w:basedOn w:val="DefaultParagraphFont"/>
    <w:rsid w:val="00972DEF"/>
  </w:style>
  <w:style w:type="paragraph" w:styleId="ListBullet">
    <w:name w:val="List Bullet"/>
    <w:basedOn w:val="Normal"/>
    <w:autoRedefine/>
    <w:rsid w:val="00972DEF"/>
    <w:pPr>
      <w:numPr>
        <w:numId w:val="4"/>
      </w:numPr>
      <w:ind w:left="360"/>
    </w:pPr>
  </w:style>
  <w:style w:type="paragraph" w:customStyle="1" w:styleId="abodytext">
    <w:name w:val="a_body text"/>
    <w:basedOn w:val="Normal"/>
    <w:rsid w:val="00972DEF"/>
    <w:pPr>
      <w:spacing w:before="120" w:after="120" w:line="360" w:lineRule="auto"/>
      <w:ind w:firstLine="720"/>
    </w:pPr>
  </w:style>
  <w:style w:type="paragraph" w:customStyle="1" w:styleId="aaftertextindent">
    <w:name w:val="a_after text indent"/>
    <w:basedOn w:val="Normal"/>
    <w:rsid w:val="00972DEF"/>
    <w:pPr>
      <w:spacing w:before="240" w:after="120" w:line="360" w:lineRule="auto"/>
      <w:ind w:firstLine="720"/>
    </w:pPr>
  </w:style>
  <w:style w:type="paragraph" w:customStyle="1" w:styleId="TableTitle">
    <w:name w:val="Table Title"/>
    <w:basedOn w:val="Normal"/>
    <w:rsid w:val="00972DEF"/>
    <w:pPr>
      <w:keepNext/>
      <w:keepLines/>
      <w:spacing w:after="120"/>
      <w:ind w:left="1440" w:hanging="1440"/>
    </w:pPr>
    <w:rPr>
      <w:rFonts w:ascii="Arial" w:hAnsi="Arial" w:cs="Arial"/>
      <w:b/>
      <w:bCs/>
      <w:sz w:val="22"/>
      <w:szCs w:val="22"/>
    </w:rPr>
  </w:style>
  <w:style w:type="paragraph" w:customStyle="1" w:styleId="aaftertext">
    <w:name w:val="a_after text"/>
    <w:basedOn w:val="Normal"/>
    <w:rsid w:val="00972DEF"/>
    <w:pPr>
      <w:spacing w:before="240" w:after="120" w:line="360" w:lineRule="auto"/>
    </w:pPr>
  </w:style>
  <w:style w:type="character" w:styleId="Strong">
    <w:name w:val="Strong"/>
    <w:qFormat/>
    <w:rsid w:val="00972DEF"/>
    <w:rPr>
      <w:b/>
      <w:bCs/>
    </w:rPr>
  </w:style>
  <w:style w:type="paragraph" w:customStyle="1" w:styleId="TableTitleContinued">
    <w:name w:val="Table Title Continued"/>
    <w:basedOn w:val="TableTitle"/>
    <w:rsid w:val="00972DEF"/>
    <w:pPr>
      <w:ind w:left="1152" w:hanging="1152"/>
    </w:pPr>
  </w:style>
  <w:style w:type="paragraph" w:customStyle="1" w:styleId="bullets">
    <w:name w:val="bullets"/>
    <w:aliases w:val="bu"/>
    <w:basedOn w:val="Normal"/>
    <w:rsid w:val="00972DEF"/>
    <w:pPr>
      <w:numPr>
        <w:numId w:val="5"/>
      </w:numPr>
    </w:pPr>
    <w:rPr>
      <w:rFonts w:eastAsia="SimSun"/>
    </w:rPr>
  </w:style>
  <w:style w:type="paragraph" w:customStyle="1" w:styleId="a2colbul">
    <w:name w:val="a2col_bul"/>
    <w:basedOn w:val="Normal"/>
    <w:rsid w:val="00972DEF"/>
    <w:pPr>
      <w:numPr>
        <w:ilvl w:val="1"/>
        <w:numId w:val="5"/>
      </w:numPr>
      <w:tabs>
        <w:tab w:val="clear" w:pos="1440"/>
      </w:tabs>
      <w:spacing w:after="60" w:line="240" w:lineRule="exact"/>
      <w:ind w:left="260" w:hanging="274"/>
    </w:pPr>
    <w:rPr>
      <w:rFonts w:eastAsia="SimSun"/>
    </w:rPr>
  </w:style>
  <w:style w:type="character" w:customStyle="1" w:styleId="CharChar">
    <w:name w:val="Char Char"/>
    <w:rsid w:val="00972DEF"/>
    <w:rPr>
      <w:rFonts w:eastAsia="SimSun"/>
      <w:lang w:val="en-US" w:eastAsia="en-US"/>
    </w:rPr>
  </w:style>
  <w:style w:type="paragraph" w:customStyle="1" w:styleId="biblio">
    <w:name w:val="biblio"/>
    <w:basedOn w:val="Normal"/>
    <w:rsid w:val="00972DEF"/>
    <w:pPr>
      <w:keepLines/>
      <w:spacing w:after="240"/>
      <w:ind w:left="720" w:hanging="720"/>
    </w:pPr>
  </w:style>
  <w:style w:type="paragraph" w:styleId="DocumentMap">
    <w:name w:val="Document Map"/>
    <w:basedOn w:val="Normal"/>
    <w:link w:val="DocumentMapChar"/>
    <w:rsid w:val="00972DEF"/>
    <w:rPr>
      <w:rFonts w:ascii="Tahoma" w:hAnsi="Tahoma" w:cs="Tahoma"/>
      <w:sz w:val="16"/>
      <w:szCs w:val="16"/>
    </w:rPr>
  </w:style>
  <w:style w:type="character" w:customStyle="1" w:styleId="DocumentMapChar">
    <w:name w:val="Document Map Char"/>
    <w:link w:val="DocumentMap"/>
    <w:rsid w:val="00972DEF"/>
    <w:rPr>
      <w:rFonts w:ascii="Tahoma" w:hAnsi="Tahoma" w:cs="Tahoma"/>
      <w:sz w:val="16"/>
      <w:szCs w:val="16"/>
      <w:lang w:val="en-US" w:eastAsia="en-US" w:bidi="ar-SA"/>
    </w:rPr>
  </w:style>
  <w:style w:type="character" w:styleId="FollowedHyperlink">
    <w:name w:val="FollowedHyperlink"/>
    <w:rsid w:val="00972DEF"/>
    <w:rPr>
      <w:color w:val="800080"/>
      <w:u w:val="single"/>
    </w:rPr>
  </w:style>
  <w:style w:type="character" w:customStyle="1" w:styleId="ChristineCrossland">
    <w:name w:val="Christine Crossland"/>
    <w:semiHidden/>
    <w:rsid w:val="00B820F5"/>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character" w:customStyle="1" w:styleId="HeaderChar">
    <w:name w:val="Header Char"/>
    <w:semiHidden/>
    <w:locked/>
    <w:rsid w:val="004711E7"/>
    <w:rPr>
      <w:rFonts w:cs="Times New Roman"/>
    </w:rPr>
  </w:style>
  <w:style w:type="paragraph" w:styleId="ListParagraph">
    <w:name w:val="List Paragraph"/>
    <w:basedOn w:val="Normal"/>
    <w:uiPriority w:val="34"/>
    <w:qFormat/>
    <w:rsid w:val="00C1738D"/>
    <w:pPr>
      <w:ind w:left="720"/>
      <w:contextualSpacing/>
    </w:pPr>
  </w:style>
  <w:style w:type="paragraph" w:customStyle="1" w:styleId="Default">
    <w:name w:val="Default"/>
    <w:rsid w:val="00F31437"/>
    <w:pPr>
      <w:autoSpaceDE w:val="0"/>
      <w:autoSpaceDN w:val="0"/>
      <w:adjustRightInd w:val="0"/>
    </w:pPr>
    <w:rPr>
      <w:color w:val="000000"/>
      <w:sz w:val="24"/>
      <w:szCs w:val="24"/>
    </w:rPr>
  </w:style>
  <w:style w:type="paragraph" w:styleId="Revision">
    <w:name w:val="Revision"/>
    <w:hidden/>
    <w:uiPriority w:val="99"/>
    <w:semiHidden/>
    <w:rsid w:val="004C4BBD"/>
    <w:rPr>
      <w:sz w:val="24"/>
      <w:szCs w:val="24"/>
    </w:rPr>
  </w:style>
  <w:style w:type="paragraph" w:customStyle="1" w:styleId="OMBbodytext">
    <w:name w:val="OMB body text"/>
    <w:basedOn w:val="Normal"/>
    <w:link w:val="OMBbodytextChar"/>
    <w:uiPriority w:val="99"/>
    <w:rsid w:val="00C50317"/>
    <w:pPr>
      <w:spacing w:after="240"/>
    </w:pPr>
    <w:rPr>
      <w:szCs w:val="20"/>
    </w:rPr>
  </w:style>
  <w:style w:type="character" w:customStyle="1" w:styleId="OMBbodytextChar">
    <w:name w:val="OMB body text Char"/>
    <w:link w:val="OMBbodytext"/>
    <w:uiPriority w:val="99"/>
    <w:locked/>
    <w:rsid w:val="00C50317"/>
    <w:rPr>
      <w:sz w:val="24"/>
    </w:rPr>
  </w:style>
  <w:style w:type="paragraph" w:customStyle="1" w:styleId="Bodycopy">
    <w:name w:val="Body copy"/>
    <w:basedOn w:val="Normal"/>
    <w:link w:val="BodycopyChar"/>
    <w:qFormat/>
    <w:rsid w:val="00C50317"/>
    <w:pPr>
      <w:spacing w:after="160" w:line="280" w:lineRule="exact"/>
    </w:pPr>
    <w:rPr>
      <w:rFonts w:eastAsia="Calibri"/>
      <w:sz w:val="22"/>
      <w:szCs w:val="22"/>
    </w:rPr>
  </w:style>
  <w:style w:type="character" w:customStyle="1" w:styleId="BodycopyChar">
    <w:name w:val="Body copy Char"/>
    <w:link w:val="Bodycopy"/>
    <w:rsid w:val="00C50317"/>
    <w:rPr>
      <w:rFonts w:eastAsia="Calibri"/>
      <w:sz w:val="22"/>
      <w:szCs w:val="22"/>
    </w:rPr>
  </w:style>
  <w:style w:type="character" w:customStyle="1" w:styleId="cdc-decorated">
    <w:name w:val="cdc-decorated"/>
    <w:basedOn w:val="DefaultParagraphFont"/>
    <w:rsid w:val="008B1661"/>
  </w:style>
  <w:style w:type="table" w:styleId="TableGrid">
    <w:name w:val="Table Grid"/>
    <w:basedOn w:val="TableNormal"/>
    <w:uiPriority w:val="59"/>
    <w:rsid w:val="00307B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08029">
      <w:bodyDiv w:val="1"/>
      <w:marLeft w:val="0"/>
      <w:marRight w:val="0"/>
      <w:marTop w:val="0"/>
      <w:marBottom w:val="0"/>
      <w:divBdr>
        <w:top w:val="none" w:sz="0" w:space="0" w:color="auto"/>
        <w:left w:val="none" w:sz="0" w:space="0" w:color="auto"/>
        <w:bottom w:val="none" w:sz="0" w:space="0" w:color="auto"/>
        <w:right w:val="none" w:sz="0" w:space="0" w:color="auto"/>
      </w:divBdr>
    </w:div>
    <w:div w:id="298337830">
      <w:bodyDiv w:val="1"/>
      <w:marLeft w:val="0"/>
      <w:marRight w:val="0"/>
      <w:marTop w:val="0"/>
      <w:marBottom w:val="0"/>
      <w:divBdr>
        <w:top w:val="none" w:sz="0" w:space="0" w:color="auto"/>
        <w:left w:val="none" w:sz="0" w:space="0" w:color="auto"/>
        <w:bottom w:val="none" w:sz="0" w:space="0" w:color="auto"/>
        <w:right w:val="none" w:sz="0" w:space="0" w:color="auto"/>
      </w:divBdr>
    </w:div>
    <w:div w:id="303050890">
      <w:bodyDiv w:val="1"/>
      <w:marLeft w:val="0"/>
      <w:marRight w:val="0"/>
      <w:marTop w:val="0"/>
      <w:marBottom w:val="0"/>
      <w:divBdr>
        <w:top w:val="none" w:sz="0" w:space="0" w:color="auto"/>
        <w:left w:val="none" w:sz="0" w:space="0" w:color="auto"/>
        <w:bottom w:val="none" w:sz="0" w:space="0" w:color="auto"/>
        <w:right w:val="none" w:sz="0" w:space="0" w:color="auto"/>
      </w:divBdr>
      <w:divsChild>
        <w:div w:id="2086565823">
          <w:marLeft w:val="0"/>
          <w:marRight w:val="0"/>
          <w:marTop w:val="0"/>
          <w:marBottom w:val="0"/>
          <w:divBdr>
            <w:top w:val="none" w:sz="0" w:space="0" w:color="auto"/>
            <w:left w:val="none" w:sz="0" w:space="0" w:color="auto"/>
            <w:bottom w:val="none" w:sz="0" w:space="0" w:color="auto"/>
            <w:right w:val="none" w:sz="0" w:space="0" w:color="auto"/>
          </w:divBdr>
          <w:divsChild>
            <w:div w:id="574247180">
              <w:marLeft w:val="0"/>
              <w:marRight w:val="0"/>
              <w:marTop w:val="0"/>
              <w:marBottom w:val="0"/>
              <w:divBdr>
                <w:top w:val="none" w:sz="0" w:space="0" w:color="auto"/>
                <w:left w:val="none" w:sz="0" w:space="0" w:color="auto"/>
                <w:bottom w:val="none" w:sz="0" w:space="0" w:color="auto"/>
                <w:right w:val="none" w:sz="0" w:space="0" w:color="auto"/>
              </w:divBdr>
            </w:div>
            <w:div w:id="1386830132">
              <w:marLeft w:val="0"/>
              <w:marRight w:val="0"/>
              <w:marTop w:val="0"/>
              <w:marBottom w:val="0"/>
              <w:divBdr>
                <w:top w:val="none" w:sz="0" w:space="0" w:color="auto"/>
                <w:left w:val="none" w:sz="0" w:space="0" w:color="auto"/>
                <w:bottom w:val="none" w:sz="0" w:space="0" w:color="auto"/>
                <w:right w:val="none" w:sz="0" w:space="0" w:color="auto"/>
              </w:divBdr>
            </w:div>
            <w:div w:id="1397435688">
              <w:marLeft w:val="0"/>
              <w:marRight w:val="0"/>
              <w:marTop w:val="0"/>
              <w:marBottom w:val="0"/>
              <w:divBdr>
                <w:top w:val="none" w:sz="0" w:space="0" w:color="auto"/>
                <w:left w:val="none" w:sz="0" w:space="0" w:color="auto"/>
                <w:bottom w:val="none" w:sz="0" w:space="0" w:color="auto"/>
                <w:right w:val="none" w:sz="0" w:space="0" w:color="auto"/>
              </w:divBdr>
            </w:div>
            <w:div w:id="1471290980">
              <w:marLeft w:val="0"/>
              <w:marRight w:val="0"/>
              <w:marTop w:val="0"/>
              <w:marBottom w:val="0"/>
              <w:divBdr>
                <w:top w:val="none" w:sz="0" w:space="0" w:color="auto"/>
                <w:left w:val="none" w:sz="0" w:space="0" w:color="auto"/>
                <w:bottom w:val="none" w:sz="0" w:space="0" w:color="auto"/>
                <w:right w:val="none" w:sz="0" w:space="0" w:color="auto"/>
              </w:divBdr>
            </w:div>
            <w:div w:id="1587569564">
              <w:marLeft w:val="0"/>
              <w:marRight w:val="0"/>
              <w:marTop w:val="0"/>
              <w:marBottom w:val="0"/>
              <w:divBdr>
                <w:top w:val="none" w:sz="0" w:space="0" w:color="auto"/>
                <w:left w:val="none" w:sz="0" w:space="0" w:color="auto"/>
                <w:bottom w:val="none" w:sz="0" w:space="0" w:color="auto"/>
                <w:right w:val="none" w:sz="0" w:space="0" w:color="auto"/>
              </w:divBdr>
            </w:div>
            <w:div w:id="1685663940">
              <w:marLeft w:val="0"/>
              <w:marRight w:val="0"/>
              <w:marTop w:val="0"/>
              <w:marBottom w:val="0"/>
              <w:divBdr>
                <w:top w:val="none" w:sz="0" w:space="0" w:color="auto"/>
                <w:left w:val="none" w:sz="0" w:space="0" w:color="auto"/>
                <w:bottom w:val="none" w:sz="0" w:space="0" w:color="auto"/>
                <w:right w:val="none" w:sz="0" w:space="0" w:color="auto"/>
              </w:divBdr>
            </w:div>
            <w:div w:id="1725911208">
              <w:marLeft w:val="0"/>
              <w:marRight w:val="0"/>
              <w:marTop w:val="0"/>
              <w:marBottom w:val="0"/>
              <w:divBdr>
                <w:top w:val="none" w:sz="0" w:space="0" w:color="auto"/>
                <w:left w:val="none" w:sz="0" w:space="0" w:color="auto"/>
                <w:bottom w:val="none" w:sz="0" w:space="0" w:color="auto"/>
                <w:right w:val="none" w:sz="0" w:space="0" w:color="auto"/>
              </w:divBdr>
            </w:div>
            <w:div w:id="202724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317260">
      <w:bodyDiv w:val="1"/>
      <w:marLeft w:val="0"/>
      <w:marRight w:val="0"/>
      <w:marTop w:val="0"/>
      <w:marBottom w:val="0"/>
      <w:divBdr>
        <w:top w:val="none" w:sz="0" w:space="0" w:color="auto"/>
        <w:left w:val="none" w:sz="0" w:space="0" w:color="auto"/>
        <w:bottom w:val="none" w:sz="0" w:space="0" w:color="auto"/>
        <w:right w:val="none" w:sz="0" w:space="0" w:color="auto"/>
      </w:divBdr>
      <w:divsChild>
        <w:div w:id="750321681">
          <w:marLeft w:val="0"/>
          <w:marRight w:val="0"/>
          <w:marTop w:val="0"/>
          <w:marBottom w:val="0"/>
          <w:divBdr>
            <w:top w:val="none" w:sz="0" w:space="0" w:color="auto"/>
            <w:left w:val="none" w:sz="0" w:space="0" w:color="auto"/>
            <w:bottom w:val="none" w:sz="0" w:space="0" w:color="auto"/>
            <w:right w:val="none" w:sz="0" w:space="0" w:color="auto"/>
          </w:divBdr>
          <w:divsChild>
            <w:div w:id="17392124">
              <w:marLeft w:val="0"/>
              <w:marRight w:val="0"/>
              <w:marTop w:val="0"/>
              <w:marBottom w:val="0"/>
              <w:divBdr>
                <w:top w:val="none" w:sz="0" w:space="0" w:color="auto"/>
                <w:left w:val="none" w:sz="0" w:space="0" w:color="auto"/>
                <w:bottom w:val="none" w:sz="0" w:space="0" w:color="auto"/>
                <w:right w:val="none" w:sz="0" w:space="0" w:color="auto"/>
              </w:divBdr>
            </w:div>
            <w:div w:id="211119532">
              <w:marLeft w:val="0"/>
              <w:marRight w:val="0"/>
              <w:marTop w:val="0"/>
              <w:marBottom w:val="0"/>
              <w:divBdr>
                <w:top w:val="none" w:sz="0" w:space="0" w:color="auto"/>
                <w:left w:val="none" w:sz="0" w:space="0" w:color="auto"/>
                <w:bottom w:val="none" w:sz="0" w:space="0" w:color="auto"/>
                <w:right w:val="none" w:sz="0" w:space="0" w:color="auto"/>
              </w:divBdr>
            </w:div>
            <w:div w:id="4385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078230">
      <w:bodyDiv w:val="1"/>
      <w:marLeft w:val="0"/>
      <w:marRight w:val="0"/>
      <w:marTop w:val="0"/>
      <w:marBottom w:val="0"/>
      <w:divBdr>
        <w:top w:val="none" w:sz="0" w:space="0" w:color="auto"/>
        <w:left w:val="none" w:sz="0" w:space="0" w:color="auto"/>
        <w:bottom w:val="none" w:sz="0" w:space="0" w:color="auto"/>
        <w:right w:val="none" w:sz="0" w:space="0" w:color="auto"/>
      </w:divBdr>
    </w:div>
    <w:div w:id="1036465139">
      <w:bodyDiv w:val="1"/>
      <w:marLeft w:val="0"/>
      <w:marRight w:val="0"/>
      <w:marTop w:val="0"/>
      <w:marBottom w:val="0"/>
      <w:divBdr>
        <w:top w:val="none" w:sz="0" w:space="0" w:color="auto"/>
        <w:left w:val="none" w:sz="0" w:space="0" w:color="auto"/>
        <w:bottom w:val="none" w:sz="0" w:space="0" w:color="auto"/>
        <w:right w:val="none" w:sz="0" w:space="0" w:color="auto"/>
      </w:divBdr>
    </w:div>
    <w:div w:id="1056202637">
      <w:bodyDiv w:val="1"/>
      <w:marLeft w:val="0"/>
      <w:marRight w:val="0"/>
      <w:marTop w:val="0"/>
      <w:marBottom w:val="0"/>
      <w:divBdr>
        <w:top w:val="none" w:sz="0" w:space="0" w:color="auto"/>
        <w:left w:val="none" w:sz="0" w:space="0" w:color="auto"/>
        <w:bottom w:val="none" w:sz="0" w:space="0" w:color="auto"/>
        <w:right w:val="none" w:sz="0" w:space="0" w:color="auto"/>
      </w:divBdr>
    </w:div>
    <w:div w:id="1289506064">
      <w:bodyDiv w:val="1"/>
      <w:marLeft w:val="0"/>
      <w:marRight w:val="0"/>
      <w:marTop w:val="0"/>
      <w:marBottom w:val="0"/>
      <w:divBdr>
        <w:top w:val="none" w:sz="0" w:space="0" w:color="auto"/>
        <w:left w:val="none" w:sz="0" w:space="0" w:color="auto"/>
        <w:bottom w:val="none" w:sz="0" w:space="0" w:color="auto"/>
        <w:right w:val="none" w:sz="0" w:space="0" w:color="auto"/>
      </w:divBdr>
    </w:div>
    <w:div w:id="1304236616">
      <w:bodyDiv w:val="1"/>
      <w:marLeft w:val="0"/>
      <w:marRight w:val="0"/>
      <w:marTop w:val="0"/>
      <w:marBottom w:val="0"/>
      <w:divBdr>
        <w:top w:val="none" w:sz="0" w:space="0" w:color="auto"/>
        <w:left w:val="none" w:sz="0" w:space="0" w:color="auto"/>
        <w:bottom w:val="none" w:sz="0" w:space="0" w:color="auto"/>
        <w:right w:val="none" w:sz="0" w:space="0" w:color="auto"/>
      </w:divBdr>
    </w:div>
    <w:div w:id="1676377282">
      <w:bodyDiv w:val="1"/>
      <w:marLeft w:val="0"/>
      <w:marRight w:val="0"/>
      <w:marTop w:val="0"/>
      <w:marBottom w:val="0"/>
      <w:divBdr>
        <w:top w:val="none" w:sz="0" w:space="0" w:color="auto"/>
        <w:left w:val="none" w:sz="0" w:space="0" w:color="auto"/>
        <w:bottom w:val="none" w:sz="0" w:space="0" w:color="auto"/>
        <w:right w:val="none" w:sz="0" w:space="0" w:color="auto"/>
      </w:divBdr>
    </w:div>
    <w:div w:id="1840466079">
      <w:bodyDiv w:val="1"/>
      <w:marLeft w:val="0"/>
      <w:marRight w:val="0"/>
      <w:marTop w:val="0"/>
      <w:marBottom w:val="0"/>
      <w:divBdr>
        <w:top w:val="none" w:sz="0" w:space="0" w:color="auto"/>
        <w:left w:val="none" w:sz="0" w:space="0" w:color="auto"/>
        <w:bottom w:val="none" w:sz="0" w:space="0" w:color="auto"/>
        <w:right w:val="none" w:sz="0" w:space="0" w:color="auto"/>
      </w:divBdr>
    </w:div>
    <w:div w:id="2116944336">
      <w:bodyDiv w:val="1"/>
      <w:marLeft w:val="0"/>
      <w:marRight w:val="0"/>
      <w:marTop w:val="0"/>
      <w:marBottom w:val="0"/>
      <w:divBdr>
        <w:top w:val="none" w:sz="0" w:space="0" w:color="auto"/>
        <w:left w:val="none" w:sz="0" w:space="0" w:color="auto"/>
        <w:bottom w:val="none" w:sz="0" w:space="0" w:color="auto"/>
        <w:right w:val="none" w:sz="0" w:space="0" w:color="auto"/>
      </w:divBdr>
      <w:divsChild>
        <w:div w:id="535780398">
          <w:marLeft w:val="0"/>
          <w:marRight w:val="0"/>
          <w:marTop w:val="0"/>
          <w:marBottom w:val="0"/>
          <w:divBdr>
            <w:top w:val="none" w:sz="0" w:space="0" w:color="auto"/>
            <w:left w:val="none" w:sz="0" w:space="0" w:color="auto"/>
            <w:bottom w:val="none" w:sz="0" w:space="0" w:color="auto"/>
            <w:right w:val="none" w:sz="0" w:space="0" w:color="auto"/>
          </w:divBdr>
          <w:divsChild>
            <w:div w:id="10686349">
              <w:marLeft w:val="0"/>
              <w:marRight w:val="0"/>
              <w:marTop w:val="0"/>
              <w:marBottom w:val="0"/>
              <w:divBdr>
                <w:top w:val="none" w:sz="0" w:space="0" w:color="auto"/>
                <w:left w:val="none" w:sz="0" w:space="0" w:color="auto"/>
                <w:bottom w:val="none" w:sz="0" w:space="0" w:color="auto"/>
                <w:right w:val="none" w:sz="0" w:space="0" w:color="auto"/>
              </w:divBdr>
            </w:div>
            <w:div w:id="46999665">
              <w:marLeft w:val="0"/>
              <w:marRight w:val="0"/>
              <w:marTop w:val="0"/>
              <w:marBottom w:val="0"/>
              <w:divBdr>
                <w:top w:val="none" w:sz="0" w:space="0" w:color="auto"/>
                <w:left w:val="none" w:sz="0" w:space="0" w:color="auto"/>
                <w:bottom w:val="none" w:sz="0" w:space="0" w:color="auto"/>
                <w:right w:val="none" w:sz="0" w:space="0" w:color="auto"/>
              </w:divBdr>
            </w:div>
            <w:div w:id="825316549">
              <w:marLeft w:val="0"/>
              <w:marRight w:val="0"/>
              <w:marTop w:val="0"/>
              <w:marBottom w:val="0"/>
              <w:divBdr>
                <w:top w:val="none" w:sz="0" w:space="0" w:color="auto"/>
                <w:left w:val="none" w:sz="0" w:space="0" w:color="auto"/>
                <w:bottom w:val="none" w:sz="0" w:space="0" w:color="auto"/>
                <w:right w:val="none" w:sz="0" w:space="0" w:color="auto"/>
              </w:divBdr>
            </w:div>
            <w:div w:id="135325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dc.gov/nchs/deaths.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cdc.gov/injury/wisqars/fatal.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amhsa.gov/data/2k13/DAWN127/sr127-DAWN-highlight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6DE6B761297B4287FF20B32BAF86E5" ma:contentTypeVersion="0" ma:contentTypeDescription="Create a new document." ma:contentTypeScope="" ma:versionID="36718a0e394b86189d95d245ae8427cc">
  <xsd:schema xmlns:xsd="http://www.w3.org/2001/XMLSchema" xmlns:xs="http://www.w3.org/2001/XMLSchema" xmlns:p="http://schemas.microsoft.com/office/2006/metadata/properties" xmlns:ns2="004a172f-e16f-4887-a47b-3990e8128e1e" targetNamespace="http://schemas.microsoft.com/office/2006/metadata/properties" ma:root="true" ma:fieldsID="c3baee67982840a4bea6e8e643d90229"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VUADPPQRPPK6-323-1425</_dlc_DocId>
    <_dlc_DocIdUrl xmlns="004a172f-e16f-4887-a47b-3990e8128e1e">
      <Url>https://esp.cdc.gov/sites/ncipc/DARPI/PIEB/pdoboost/_layouts/15/DocIdRedir.aspx?ID=VUADPPQRPPK6-323-1425</Url>
      <Description>VUADPPQRPPK6-323-1425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CA080-064C-4361-AC6C-A080CFF5AB7C}">
  <ds:schemaRefs>
    <ds:schemaRef ds:uri="http://schemas.microsoft.com/sharepoint/events"/>
  </ds:schemaRefs>
</ds:datastoreItem>
</file>

<file path=customXml/itemProps2.xml><?xml version="1.0" encoding="utf-8"?>
<ds:datastoreItem xmlns:ds="http://schemas.openxmlformats.org/officeDocument/2006/customXml" ds:itemID="{4DBF3CD0-D695-4709-9611-94D2C590FCAE}">
  <ds:schemaRefs>
    <ds:schemaRef ds:uri="http://schemas.microsoft.com/sharepoint/v3/contenttype/forms"/>
  </ds:schemaRefs>
</ds:datastoreItem>
</file>

<file path=customXml/itemProps3.xml><?xml version="1.0" encoding="utf-8"?>
<ds:datastoreItem xmlns:ds="http://schemas.openxmlformats.org/officeDocument/2006/customXml" ds:itemID="{AD3264C4-416F-4568-8617-B01033CD2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8579D9-C4D2-45FC-AE2D-715980804CC3}">
  <ds:schemaRefs>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purl.org/dc/terms/"/>
    <ds:schemaRef ds:uri="004a172f-e16f-4887-a47b-3990e8128e1e"/>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7F226EBD-97A3-400B-8B28-B44618ED6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3978</Words>
  <Characters>22676</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OMB Application for</vt:lpstr>
    </vt:vector>
  </TitlesOfParts>
  <Company>Centers for Disease Control and Prevention</Company>
  <LinksUpToDate>false</LinksUpToDate>
  <CharactersWithSpaces>26601</CharactersWithSpaces>
  <SharedDoc>false</SharedDoc>
  <HLinks>
    <vt:vector size="144" baseType="variant">
      <vt:variant>
        <vt:i4>6291506</vt:i4>
      </vt:variant>
      <vt:variant>
        <vt:i4>71</vt:i4>
      </vt:variant>
      <vt:variant>
        <vt:i4>0</vt:i4>
      </vt:variant>
      <vt:variant>
        <vt:i4>5</vt:i4>
      </vt:variant>
      <vt:variant>
        <vt:lpwstr>http://aspe.hhs.gov/daltcp/reports/elderab.htm</vt:lpwstr>
      </vt:variant>
      <vt:variant>
        <vt:lpwstr/>
      </vt:variant>
      <vt:variant>
        <vt:i4>7995502</vt:i4>
      </vt:variant>
      <vt:variant>
        <vt:i4>68</vt:i4>
      </vt:variant>
      <vt:variant>
        <vt:i4>0</vt:i4>
      </vt:variant>
      <vt:variant>
        <vt:i4>5</vt:i4>
      </vt:variant>
      <vt:variant>
        <vt:lpwstr>http://www.census.gov/popest/national/asrh/NC-EST2004/NC-EST2004-01.xls</vt:lpwstr>
      </vt:variant>
      <vt:variant>
        <vt:lpwstr/>
      </vt:variant>
      <vt:variant>
        <vt:i4>5177420</vt:i4>
      </vt:variant>
      <vt:variant>
        <vt:i4>65</vt:i4>
      </vt:variant>
      <vt:variant>
        <vt:i4>0</vt:i4>
      </vt:variant>
      <vt:variant>
        <vt:i4>5</vt:i4>
      </vt:variant>
      <vt:variant>
        <vt:lpwstr>http://www.dol.gov/dol/topic/statistics/index.htm</vt:lpwstr>
      </vt:variant>
      <vt:variant>
        <vt:lpwstr/>
      </vt:variant>
      <vt:variant>
        <vt:i4>1048634</vt:i4>
      </vt:variant>
      <vt:variant>
        <vt:i4>62</vt:i4>
      </vt:variant>
      <vt:variant>
        <vt:i4>0</vt:i4>
      </vt:variant>
      <vt:variant>
        <vt:i4>5</vt:i4>
      </vt:variant>
      <vt:variant>
        <vt:lpwstr>http://oregonstate.edu/Dept/pol_sci/fac/sahr/cv2005.xls</vt:lpwstr>
      </vt:variant>
      <vt:variant>
        <vt:lpwstr/>
      </vt:variant>
      <vt:variant>
        <vt:i4>1048620</vt:i4>
      </vt:variant>
      <vt:variant>
        <vt:i4>59</vt:i4>
      </vt:variant>
      <vt:variant>
        <vt:i4>0</vt:i4>
      </vt:variant>
      <vt:variant>
        <vt:i4>5</vt:i4>
      </vt:variant>
      <vt:variant>
        <vt:lpwstr>http://www.amstat.org/sections/srms/Proceedings/papers/1997_181.pdf</vt:lpwstr>
      </vt:variant>
      <vt:variant>
        <vt:lpwstr/>
      </vt:variant>
      <vt:variant>
        <vt:i4>1441804</vt:i4>
      </vt:variant>
      <vt:variant>
        <vt:i4>56</vt:i4>
      </vt:variant>
      <vt:variant>
        <vt:i4>0</vt:i4>
      </vt:variant>
      <vt:variant>
        <vt:i4>5</vt:i4>
      </vt:variant>
      <vt:variant>
        <vt:lpwstr>https://atlanta.securemail.hhs.gov/exchweb/bin/redir.asp?URL=http://www.cdc.gov/ncipc</vt:lpwstr>
      </vt:variant>
      <vt:variant>
        <vt:lpwstr/>
      </vt:variant>
      <vt:variant>
        <vt:i4>917555</vt:i4>
      </vt:variant>
      <vt:variant>
        <vt:i4>53</vt:i4>
      </vt:variant>
      <vt:variant>
        <vt:i4>0</vt:i4>
      </vt:variant>
      <vt:variant>
        <vt:i4>5</vt:i4>
      </vt:variant>
      <vt:variant>
        <vt:lpwstr>http://cancercontrol.cancer.gov/hints/docs/HINTS_refusal_incentive_abstr</vt:lpwstr>
      </vt:variant>
      <vt:variant>
        <vt:lpwstr/>
      </vt:variant>
      <vt:variant>
        <vt:i4>851991</vt:i4>
      </vt:variant>
      <vt:variant>
        <vt:i4>50</vt:i4>
      </vt:variant>
      <vt:variant>
        <vt:i4>0</vt:i4>
      </vt:variant>
      <vt:variant>
        <vt:i4>5</vt:i4>
      </vt:variant>
      <vt:variant>
        <vt:lpwstr>http://www.cdc.gov/nchs/nhis.htm</vt:lpwstr>
      </vt:variant>
      <vt:variant>
        <vt:lpwstr/>
      </vt:variant>
      <vt:variant>
        <vt:i4>851991</vt:i4>
      </vt:variant>
      <vt:variant>
        <vt:i4>47</vt:i4>
      </vt:variant>
      <vt:variant>
        <vt:i4>0</vt:i4>
      </vt:variant>
      <vt:variant>
        <vt:i4>5</vt:i4>
      </vt:variant>
      <vt:variant>
        <vt:lpwstr>http://www.cdc.gov/nchs/nhis.htm</vt:lpwstr>
      </vt:variant>
      <vt:variant>
        <vt:lpwstr/>
      </vt:variant>
      <vt:variant>
        <vt:i4>5242986</vt:i4>
      </vt:variant>
      <vt:variant>
        <vt:i4>44</vt:i4>
      </vt:variant>
      <vt:variant>
        <vt:i4>0</vt:i4>
      </vt:variant>
      <vt:variant>
        <vt:i4>5</vt:i4>
      </vt:variant>
      <vt:variant>
        <vt:lpwstr>http://www.cdc.gov/brfss/technical_infodata/pdf/2002SummaryDataQualityReport.pdf</vt:lpwstr>
      </vt:variant>
      <vt:variant>
        <vt:lpwstr/>
      </vt:variant>
      <vt:variant>
        <vt:i4>7077914</vt:i4>
      </vt:variant>
      <vt:variant>
        <vt:i4>41</vt:i4>
      </vt:variant>
      <vt:variant>
        <vt:i4>0</vt:i4>
      </vt:variant>
      <vt:variant>
        <vt:i4>5</vt:i4>
      </vt:variant>
      <vt:variant>
        <vt:lpwstr>mailto:jcampbel@son.jhmi.edu</vt:lpwstr>
      </vt:variant>
      <vt:variant>
        <vt:lpwstr/>
      </vt:variant>
      <vt:variant>
        <vt:i4>2687049</vt:i4>
      </vt:variant>
      <vt:variant>
        <vt:i4>38</vt:i4>
      </vt:variant>
      <vt:variant>
        <vt:i4>0</vt:i4>
      </vt:variant>
      <vt:variant>
        <vt:i4>5</vt:i4>
      </vt:variant>
      <vt:variant>
        <vt:lpwstr>mailto:spitz@mail.sdsu.edu</vt:lpwstr>
      </vt:variant>
      <vt:variant>
        <vt:lpwstr/>
      </vt:variant>
      <vt:variant>
        <vt:i4>6357068</vt:i4>
      </vt:variant>
      <vt:variant>
        <vt:i4>35</vt:i4>
      </vt:variant>
      <vt:variant>
        <vt:i4>0</vt:i4>
      </vt:variant>
      <vt:variant>
        <vt:i4>5</vt:i4>
      </vt:variant>
      <vt:variant>
        <vt:lpwstr>mailto:angela.moore.parmley@usdoj.gov</vt:lpwstr>
      </vt:variant>
      <vt:variant>
        <vt:lpwstr/>
      </vt:variant>
      <vt:variant>
        <vt:i4>2621457</vt:i4>
      </vt:variant>
      <vt:variant>
        <vt:i4>32</vt:i4>
      </vt:variant>
      <vt:variant>
        <vt:i4>0</vt:i4>
      </vt:variant>
      <vt:variant>
        <vt:i4>5</vt:i4>
      </vt:variant>
      <vt:variant>
        <vt:lpwstr>mailto:doleary@notes.cc.sunysb.edu</vt:lpwstr>
      </vt:variant>
      <vt:variant>
        <vt:lpwstr/>
      </vt:variant>
      <vt:variant>
        <vt:i4>39</vt:i4>
      </vt:variant>
      <vt:variant>
        <vt:i4>29</vt:i4>
      </vt:variant>
      <vt:variant>
        <vt:i4>0</vt:i4>
      </vt:variant>
      <vt:variant>
        <vt:i4>5</vt:i4>
      </vt:variant>
      <vt:variant>
        <vt:lpwstr>mailto:Becky.odor@vdh.virginia.gov</vt:lpwstr>
      </vt:variant>
      <vt:variant>
        <vt:lpwstr/>
      </vt:variant>
      <vt:variant>
        <vt:i4>7929869</vt:i4>
      </vt:variant>
      <vt:variant>
        <vt:i4>26</vt:i4>
      </vt:variant>
      <vt:variant>
        <vt:i4>0</vt:i4>
      </vt:variant>
      <vt:variant>
        <vt:i4>5</vt:i4>
      </vt:variant>
      <vt:variant>
        <vt:lpwstr>mailto:david.lloyd@osd.mil</vt:lpwstr>
      </vt:variant>
      <vt:variant>
        <vt:lpwstr/>
      </vt:variant>
      <vt:variant>
        <vt:i4>5177382</vt:i4>
      </vt:variant>
      <vt:variant>
        <vt:i4>23</vt:i4>
      </vt:variant>
      <vt:variant>
        <vt:i4>0</vt:i4>
      </vt:variant>
      <vt:variant>
        <vt:i4>5</vt:i4>
      </vt:variant>
      <vt:variant>
        <vt:lpwstr>mailto:sherry.hamby@unc.edu</vt:lpwstr>
      </vt:variant>
      <vt:variant>
        <vt:lpwstr/>
      </vt:variant>
      <vt:variant>
        <vt:i4>1572919</vt:i4>
      </vt:variant>
      <vt:variant>
        <vt:i4>20</vt:i4>
      </vt:variant>
      <vt:variant>
        <vt:i4>0</vt:i4>
      </vt:variant>
      <vt:variant>
        <vt:i4>5</vt:i4>
      </vt:variant>
      <vt:variant>
        <vt:lpwstr>mailto:dfollingstad@uky.edu</vt:lpwstr>
      </vt:variant>
      <vt:variant>
        <vt:lpwstr/>
      </vt:variant>
      <vt:variant>
        <vt:i4>1572991</vt:i4>
      </vt:variant>
      <vt:variant>
        <vt:i4>17</vt:i4>
      </vt:variant>
      <vt:variant>
        <vt:i4>0</vt:i4>
      </vt:variant>
      <vt:variant>
        <vt:i4>5</vt:i4>
      </vt:variant>
      <vt:variant>
        <vt:lpwstr>mailto:Walter.dekeseredy@uoit.ca</vt:lpwstr>
      </vt:variant>
      <vt:variant>
        <vt:lpwstr/>
      </vt:variant>
      <vt:variant>
        <vt:i4>2228312</vt:i4>
      </vt:variant>
      <vt:variant>
        <vt:i4>14</vt:i4>
      </vt:variant>
      <vt:variant>
        <vt:i4>0</vt:i4>
      </vt:variant>
      <vt:variant>
        <vt:i4>5</vt:i4>
      </vt:variant>
      <vt:variant>
        <vt:lpwstr>mailto:psyslc@langate.gsu.edu</vt:lpwstr>
      </vt:variant>
      <vt:variant>
        <vt:lpwstr/>
      </vt:variant>
      <vt:variant>
        <vt:i4>1507391</vt:i4>
      </vt:variant>
      <vt:variant>
        <vt:i4>11</vt:i4>
      </vt:variant>
      <vt:variant>
        <vt:i4>0</vt:i4>
      </vt:variant>
      <vt:variant>
        <vt:i4>5</vt:i4>
      </vt:variant>
      <vt:variant>
        <vt:lpwstr>mailto:Scook@gsu.edu</vt:lpwstr>
      </vt:variant>
      <vt:variant>
        <vt:lpwstr/>
      </vt:variant>
      <vt:variant>
        <vt:i4>2621454</vt:i4>
      </vt:variant>
      <vt:variant>
        <vt:i4>8</vt:i4>
      </vt:variant>
      <vt:variant>
        <vt:i4>0</vt:i4>
      </vt:variant>
      <vt:variant>
        <vt:i4>5</vt:i4>
      </vt:variant>
      <vt:variant>
        <vt:lpwstr>mailto:ecassidy@rwjf.org</vt:lpwstr>
      </vt:variant>
      <vt:variant>
        <vt:lpwstr/>
      </vt:variant>
      <vt:variant>
        <vt:i4>5242940</vt:i4>
      </vt:variant>
      <vt:variant>
        <vt:i4>5</vt:i4>
      </vt:variant>
      <vt:variant>
        <vt:i4>0</vt:i4>
      </vt:variant>
      <vt:variant>
        <vt:i4>5</vt:i4>
      </vt:variant>
      <vt:variant>
        <vt:lpwstr>mailto:Bernie.Auchter@USDOJ.GOV</vt:lpwstr>
      </vt:variant>
      <vt:variant>
        <vt:lpwstr/>
      </vt:variant>
      <vt:variant>
        <vt:i4>65598</vt:i4>
      </vt:variant>
      <vt:variant>
        <vt:i4>2</vt:i4>
      </vt:variant>
      <vt:variant>
        <vt:i4>0</vt:i4>
      </vt:variant>
      <vt:variant>
        <vt:i4>5</vt:i4>
      </vt:variant>
      <vt:variant>
        <vt:lpwstr>mailto:Aabbey@wayne.edu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Application for</dc:title>
  <dc:creator>Jessica L.A. Jackson</dc:creator>
  <cp:lastModifiedBy>Angel, Karen C. (CDC/ONDIEH/NCIPC)</cp:lastModifiedBy>
  <cp:revision>11</cp:revision>
  <cp:lastPrinted>2015-05-13T12:20:00Z</cp:lastPrinted>
  <dcterms:created xsi:type="dcterms:W3CDTF">2016-07-19T18:47:00Z</dcterms:created>
  <dcterms:modified xsi:type="dcterms:W3CDTF">2016-07-21T12:47:00Z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0x010100366DE6B761297B4287FF20B32BAF86E5</vt:lpwstr>
  </property>
  <property fmtid="{D5CDD505-2E9C-101B-9397-08002B2CF9AE}" pid="3" name="_dlc_DocIdItemGuid">
    <vt:lpwstr>07efb262-c3b8-43ed-b47c-809489fe8a09</vt:lpwstr>
  </property>
</Properties>
</file>