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D8982"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A1C6168" w14:textId="77777777" w:rsidR="0070457A" w:rsidRPr="00647952" w:rsidRDefault="0070457A" w:rsidP="0070457A">
      <w:pPr>
        <w:keepNext/>
        <w:keepLines/>
        <w:spacing w:after="0" w:line="240" w:lineRule="auto"/>
        <w:jc w:val="center"/>
        <w:outlineLvl w:val="6"/>
        <w:rPr>
          <w:rFonts w:ascii="Times New Roman" w:eastAsiaTheme="majorEastAsia" w:hAnsi="Times New Roman" w:cs="Times New Roman"/>
          <w:b/>
          <w:i/>
          <w:iCs/>
          <w:color w:val="404040" w:themeColor="text1" w:themeTint="BF"/>
          <w:sz w:val="24"/>
          <w:szCs w:val="24"/>
        </w:rPr>
      </w:pPr>
    </w:p>
    <w:p w14:paraId="11CD8983" w14:textId="77777777" w:rsidR="00763C53" w:rsidRPr="00647952" w:rsidRDefault="00763C53" w:rsidP="0070457A">
      <w:pPr>
        <w:keepNext/>
        <w:keepLines/>
        <w:spacing w:after="0" w:line="240" w:lineRule="auto"/>
        <w:jc w:val="center"/>
        <w:outlineLvl w:val="6"/>
        <w:rPr>
          <w:rFonts w:ascii="Times New Roman" w:eastAsiaTheme="majorEastAsia" w:hAnsi="Times New Roman" w:cs="Times New Roman"/>
          <w:i/>
          <w:iCs/>
          <w:color w:val="404040" w:themeColor="text1" w:themeTint="BF"/>
          <w:sz w:val="24"/>
          <w:szCs w:val="24"/>
        </w:rPr>
      </w:pPr>
      <w:r w:rsidRPr="00647952">
        <w:rPr>
          <w:rFonts w:ascii="Times New Roman" w:eastAsiaTheme="majorEastAsia" w:hAnsi="Times New Roman" w:cs="Times New Roman"/>
          <w:b/>
          <w:i/>
          <w:iCs/>
          <w:color w:val="404040" w:themeColor="text1" w:themeTint="BF"/>
          <w:sz w:val="24"/>
          <w:szCs w:val="24"/>
        </w:rPr>
        <w:t xml:space="preserve">SUPPORTING STATEMENT:  </w:t>
      </w:r>
      <w:r w:rsidRPr="00647952">
        <w:rPr>
          <w:rFonts w:ascii="Times New Roman" w:eastAsiaTheme="majorEastAsia" w:hAnsi="Times New Roman" w:cs="Times New Roman"/>
          <w:i/>
          <w:iCs/>
          <w:color w:val="404040" w:themeColor="text1" w:themeTint="BF"/>
          <w:sz w:val="24"/>
          <w:szCs w:val="24"/>
        </w:rPr>
        <w:t>PART B</w:t>
      </w:r>
    </w:p>
    <w:p w14:paraId="11CD8984"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DD1B54F" w14:textId="77777777" w:rsidR="0070457A" w:rsidRPr="00647952" w:rsidRDefault="0070457A" w:rsidP="0070457A">
      <w:pPr>
        <w:spacing w:after="0" w:line="240" w:lineRule="auto"/>
        <w:jc w:val="center"/>
        <w:rPr>
          <w:rFonts w:ascii="Times New Roman" w:hAnsi="Times New Roman" w:cs="Times New Roman"/>
          <w:b/>
          <w:sz w:val="24"/>
          <w:szCs w:val="24"/>
        </w:rPr>
      </w:pPr>
    </w:p>
    <w:p w14:paraId="2125926F" w14:textId="77777777" w:rsidR="0070457A" w:rsidRPr="00647952" w:rsidRDefault="0070457A" w:rsidP="0070457A">
      <w:pPr>
        <w:spacing w:after="0" w:line="240" w:lineRule="auto"/>
        <w:jc w:val="center"/>
        <w:rPr>
          <w:rFonts w:ascii="Times New Roman" w:hAnsi="Times New Roman" w:cs="Times New Roman"/>
          <w:b/>
          <w:sz w:val="24"/>
          <w:szCs w:val="24"/>
        </w:rPr>
      </w:pPr>
    </w:p>
    <w:p w14:paraId="11CD8985" w14:textId="77777777" w:rsidR="00864D7C" w:rsidRPr="00647952" w:rsidRDefault="00864D7C" w:rsidP="0070457A">
      <w:pPr>
        <w:spacing w:after="0" w:line="240" w:lineRule="auto"/>
        <w:jc w:val="center"/>
        <w:rPr>
          <w:rFonts w:ascii="Times New Roman" w:hAnsi="Times New Roman" w:cs="Times New Roman"/>
          <w:b/>
          <w:sz w:val="24"/>
          <w:szCs w:val="24"/>
        </w:rPr>
      </w:pPr>
      <w:r w:rsidRPr="00647952">
        <w:rPr>
          <w:rFonts w:ascii="Times New Roman" w:hAnsi="Times New Roman" w:cs="Times New Roman"/>
          <w:b/>
          <w:sz w:val="24"/>
          <w:szCs w:val="24"/>
        </w:rPr>
        <w:t>OMB# XXX</w:t>
      </w:r>
    </w:p>
    <w:p w14:paraId="36ED9CF8" w14:textId="77777777" w:rsidR="0070457A" w:rsidRPr="00647952" w:rsidRDefault="0070457A" w:rsidP="0070457A">
      <w:pPr>
        <w:spacing w:after="0" w:line="240" w:lineRule="auto"/>
        <w:jc w:val="center"/>
        <w:rPr>
          <w:rFonts w:ascii="Times New Roman" w:hAnsi="Times New Roman" w:cs="Times New Roman"/>
          <w:b/>
          <w:sz w:val="24"/>
          <w:szCs w:val="24"/>
        </w:rPr>
      </w:pPr>
    </w:p>
    <w:p w14:paraId="54ABAD76" w14:textId="77777777" w:rsidR="0070457A" w:rsidRPr="00647952" w:rsidRDefault="0070457A" w:rsidP="0070457A">
      <w:pPr>
        <w:spacing w:after="0" w:line="240" w:lineRule="auto"/>
        <w:jc w:val="center"/>
        <w:rPr>
          <w:rFonts w:ascii="Times New Roman" w:hAnsi="Times New Roman" w:cs="Times New Roman"/>
          <w:b/>
          <w:sz w:val="24"/>
          <w:szCs w:val="24"/>
        </w:rPr>
      </w:pPr>
    </w:p>
    <w:p w14:paraId="11CD8986" w14:textId="34195A43" w:rsidR="00864D7C" w:rsidRPr="00647952" w:rsidRDefault="00864D7C" w:rsidP="0070457A">
      <w:pPr>
        <w:spacing w:after="0" w:line="240" w:lineRule="auto"/>
        <w:jc w:val="center"/>
        <w:rPr>
          <w:rFonts w:ascii="Times New Roman" w:hAnsi="Times New Roman" w:cs="Times New Roman"/>
          <w:b/>
          <w:sz w:val="24"/>
          <w:szCs w:val="24"/>
        </w:rPr>
      </w:pPr>
      <w:r w:rsidRPr="00647952">
        <w:rPr>
          <w:rFonts w:ascii="Times New Roman" w:hAnsi="Times New Roman" w:cs="Times New Roman"/>
          <w:b/>
          <w:sz w:val="24"/>
          <w:szCs w:val="24"/>
        </w:rPr>
        <w:t>Date</w:t>
      </w:r>
      <w:r w:rsidR="00B5425E">
        <w:rPr>
          <w:rFonts w:ascii="Times New Roman" w:hAnsi="Times New Roman" w:cs="Times New Roman"/>
          <w:b/>
          <w:sz w:val="24"/>
          <w:szCs w:val="24"/>
        </w:rPr>
        <w:t>: July 18, 2016</w:t>
      </w:r>
    </w:p>
    <w:p w14:paraId="11CD8987" w14:textId="77777777" w:rsidR="00864D7C" w:rsidRPr="00647952" w:rsidRDefault="00864D7C" w:rsidP="0070457A">
      <w:pPr>
        <w:spacing w:after="0" w:line="240" w:lineRule="auto"/>
        <w:jc w:val="center"/>
        <w:rPr>
          <w:rFonts w:ascii="Times New Roman" w:hAnsi="Times New Roman" w:cs="Times New Roman"/>
          <w:sz w:val="24"/>
          <w:szCs w:val="24"/>
        </w:rPr>
      </w:pPr>
    </w:p>
    <w:p w14:paraId="70F0B3A0"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5D27FB1B"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3ADEF677" w14:textId="7B0A5A74"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r w:rsidRPr="00647952">
        <w:rPr>
          <w:rFonts w:ascii="Times New Roman" w:hAnsi="Times New Roman" w:cs="Times New Roman"/>
          <w:b/>
          <w:bCs/>
          <w:sz w:val="24"/>
          <w:szCs w:val="24"/>
        </w:rPr>
        <w:t>MONITORING AND REPORTING SYSTEM FOR THE</w:t>
      </w:r>
    </w:p>
    <w:p w14:paraId="0D550C42" w14:textId="77777777" w:rsidR="003C2B1F" w:rsidRPr="003C2B1F" w:rsidRDefault="003C2B1F" w:rsidP="003C2B1F">
      <w:pPr>
        <w:spacing w:after="0" w:line="240" w:lineRule="auto"/>
        <w:jc w:val="center"/>
        <w:rPr>
          <w:rFonts w:ascii="Times New Roman" w:hAnsi="Times New Roman" w:cs="Times New Roman"/>
          <w:b/>
          <w:bCs/>
          <w:sz w:val="24"/>
          <w:szCs w:val="24"/>
        </w:rPr>
      </w:pPr>
      <w:r w:rsidRPr="003C2B1F">
        <w:rPr>
          <w:rFonts w:ascii="Times New Roman" w:hAnsi="Times New Roman" w:cs="Times New Roman"/>
          <w:b/>
          <w:bCs/>
          <w:sz w:val="24"/>
          <w:szCs w:val="24"/>
        </w:rPr>
        <w:t>PRESCRIPTION DRUG OVERDOSE PREVENTION FOR STATES</w:t>
      </w:r>
    </w:p>
    <w:p w14:paraId="12C40058" w14:textId="77777777" w:rsidR="003C2B1F" w:rsidRPr="003C2B1F" w:rsidRDefault="003C2B1F" w:rsidP="003C2B1F">
      <w:pPr>
        <w:spacing w:after="0" w:line="240" w:lineRule="auto"/>
        <w:jc w:val="center"/>
        <w:rPr>
          <w:rFonts w:ascii="Times New Roman" w:hAnsi="Times New Roman" w:cs="Times New Roman"/>
          <w:b/>
          <w:bCs/>
          <w:sz w:val="24"/>
          <w:szCs w:val="24"/>
        </w:rPr>
      </w:pPr>
      <w:r w:rsidRPr="003C2B1F">
        <w:rPr>
          <w:rFonts w:ascii="Times New Roman" w:hAnsi="Times New Roman" w:cs="Times New Roman"/>
          <w:b/>
          <w:bCs/>
          <w:sz w:val="24"/>
          <w:szCs w:val="24"/>
        </w:rPr>
        <w:t>COOPERATIVE AGREEMENT</w:t>
      </w:r>
    </w:p>
    <w:p w14:paraId="11CD898B" w14:textId="77777777" w:rsidR="00864D7C" w:rsidRPr="00647952" w:rsidRDefault="00864D7C" w:rsidP="0070457A">
      <w:pPr>
        <w:spacing w:after="0" w:line="240" w:lineRule="auto"/>
        <w:jc w:val="center"/>
        <w:rPr>
          <w:rFonts w:ascii="Times New Roman" w:hAnsi="Times New Roman" w:cs="Times New Roman"/>
          <w:bCs/>
          <w:sz w:val="24"/>
          <w:szCs w:val="24"/>
        </w:rPr>
      </w:pPr>
    </w:p>
    <w:p w14:paraId="396F7408"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03C32A3B"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7137CC4F"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613FCAF8"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675A6A5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12AEEBDE"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5B9B7013"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5276D3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D6C75B2"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44EC2579"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32667DE1" w14:textId="5E790E78" w:rsidR="0070457A" w:rsidRPr="00647952" w:rsidRDefault="0070457A" w:rsidP="0070457A">
      <w:pPr>
        <w:spacing w:after="0" w:line="240" w:lineRule="auto"/>
        <w:ind w:left="720"/>
        <w:jc w:val="right"/>
        <w:rPr>
          <w:rFonts w:ascii="Times New Roman" w:hAnsi="Times New Roman" w:cs="Times New Roman"/>
          <w:sz w:val="24"/>
          <w:szCs w:val="24"/>
        </w:rPr>
      </w:pPr>
      <w:r w:rsidRPr="00647952">
        <w:rPr>
          <w:rFonts w:ascii="Times New Roman" w:hAnsi="Times New Roman" w:cs="Times New Roman"/>
          <w:b/>
          <w:sz w:val="24"/>
          <w:szCs w:val="24"/>
        </w:rPr>
        <w:t>Point of Contact:</w:t>
      </w:r>
      <w:r w:rsidR="003C2B1F">
        <w:rPr>
          <w:rFonts w:ascii="Times New Roman" w:hAnsi="Times New Roman" w:cs="Times New Roman"/>
          <w:b/>
          <w:sz w:val="24"/>
          <w:szCs w:val="24"/>
        </w:rPr>
        <w:t xml:space="preserve"> Sarah Bacon</w:t>
      </w:r>
      <w:r w:rsidRPr="00647952">
        <w:rPr>
          <w:rFonts w:ascii="Times New Roman" w:hAnsi="Times New Roman" w:cs="Times New Roman"/>
          <w:sz w:val="24"/>
          <w:szCs w:val="24"/>
        </w:rPr>
        <w:t xml:space="preserve"> </w:t>
      </w:r>
    </w:p>
    <w:p w14:paraId="20F8024C" w14:textId="77777777" w:rsidR="0070457A" w:rsidRPr="00647952" w:rsidRDefault="0070457A" w:rsidP="0070457A">
      <w:pPr>
        <w:pStyle w:val="E-mailSignature"/>
        <w:ind w:left="720"/>
        <w:jc w:val="right"/>
        <w:rPr>
          <w:i/>
          <w:noProof/>
        </w:rPr>
      </w:pPr>
      <w:bookmarkStart w:id="0" w:name="_MailAutoSig"/>
      <w:r w:rsidRPr="00647952">
        <w:rPr>
          <w:i/>
          <w:noProof/>
        </w:rPr>
        <w:t>Centers for Disease Control and Prevention</w:t>
      </w:r>
    </w:p>
    <w:p w14:paraId="657CE41D" w14:textId="77777777" w:rsidR="0070457A" w:rsidRPr="00647952" w:rsidRDefault="0070457A" w:rsidP="0070457A">
      <w:pPr>
        <w:pStyle w:val="E-mailSignature"/>
        <w:ind w:left="720"/>
        <w:jc w:val="right"/>
        <w:rPr>
          <w:i/>
          <w:noProof/>
        </w:rPr>
      </w:pPr>
      <w:r w:rsidRPr="00647952">
        <w:rPr>
          <w:i/>
          <w:noProof/>
        </w:rPr>
        <w:t>National Center for Injury Prevention and Control</w:t>
      </w:r>
    </w:p>
    <w:p w14:paraId="034829D2" w14:textId="77777777" w:rsidR="0070457A" w:rsidRPr="00647952" w:rsidRDefault="0070457A" w:rsidP="0070457A">
      <w:pPr>
        <w:pStyle w:val="E-mailSignature"/>
        <w:ind w:left="720"/>
        <w:jc w:val="right"/>
        <w:rPr>
          <w:noProof/>
        </w:rPr>
      </w:pPr>
    </w:p>
    <w:p w14:paraId="02790561" w14:textId="77777777" w:rsidR="0070457A" w:rsidRPr="00647952" w:rsidRDefault="0070457A" w:rsidP="0070457A">
      <w:pPr>
        <w:pStyle w:val="E-mailSignature"/>
        <w:ind w:left="720"/>
        <w:jc w:val="right"/>
        <w:rPr>
          <w:noProof/>
        </w:rPr>
      </w:pPr>
      <w:r w:rsidRPr="00647952">
        <w:rPr>
          <w:noProof/>
        </w:rPr>
        <w:t>4770 Buford Highway NE  MS F-64</w:t>
      </w:r>
    </w:p>
    <w:p w14:paraId="77D01488" w14:textId="77777777" w:rsidR="0070457A" w:rsidRPr="00647952" w:rsidRDefault="0070457A" w:rsidP="0070457A">
      <w:pPr>
        <w:pStyle w:val="E-mailSignature"/>
        <w:ind w:left="720"/>
        <w:jc w:val="right"/>
        <w:rPr>
          <w:noProof/>
        </w:rPr>
      </w:pPr>
      <w:r w:rsidRPr="00647952">
        <w:rPr>
          <w:noProof/>
        </w:rPr>
        <w:t>Atlanta, GA 30341-3724</w:t>
      </w:r>
    </w:p>
    <w:p w14:paraId="04B0A263" w14:textId="7C0298FD" w:rsidR="0070457A" w:rsidRPr="00647952" w:rsidRDefault="0070457A" w:rsidP="0070457A">
      <w:pPr>
        <w:pStyle w:val="E-mailSignature"/>
        <w:ind w:left="720"/>
        <w:jc w:val="right"/>
        <w:rPr>
          <w:noProof/>
        </w:rPr>
      </w:pPr>
      <w:r w:rsidRPr="00647952">
        <w:rPr>
          <w:noProof/>
        </w:rPr>
        <w:t>phone:</w:t>
      </w:r>
      <w:r w:rsidR="003C2B1F">
        <w:rPr>
          <w:noProof/>
        </w:rPr>
        <w:t xml:space="preserve"> (770) 488-0520</w:t>
      </w:r>
      <w:r w:rsidRPr="00647952">
        <w:rPr>
          <w:noProof/>
        </w:rPr>
        <w:t xml:space="preserve"> </w:t>
      </w:r>
    </w:p>
    <w:p w14:paraId="07525AE7" w14:textId="3F4A3EC5" w:rsidR="0070457A" w:rsidRPr="00647952" w:rsidRDefault="0070457A" w:rsidP="0070457A">
      <w:pPr>
        <w:pStyle w:val="E-mailSignature"/>
        <w:ind w:left="720"/>
        <w:jc w:val="right"/>
        <w:rPr>
          <w:noProof/>
        </w:rPr>
      </w:pPr>
      <w:r w:rsidRPr="00647952">
        <w:rPr>
          <w:noProof/>
        </w:rPr>
        <w:t>fax</w:t>
      </w:r>
      <w:r w:rsidR="003C2B1F">
        <w:rPr>
          <w:noProof/>
        </w:rPr>
        <w:t>: (770) 488-8305</w:t>
      </w:r>
      <w:r w:rsidRPr="00647952">
        <w:rPr>
          <w:noProof/>
        </w:rPr>
        <w:t xml:space="preserve"> </w:t>
      </w:r>
    </w:p>
    <w:p w14:paraId="7D760676" w14:textId="044E1731" w:rsidR="0070457A" w:rsidRPr="00647952" w:rsidRDefault="0070457A" w:rsidP="0070457A">
      <w:pPr>
        <w:pStyle w:val="E-mailSignature"/>
        <w:ind w:left="720"/>
        <w:jc w:val="right"/>
        <w:rPr>
          <w:noProof/>
        </w:rPr>
      </w:pPr>
      <w:r w:rsidRPr="00647952">
        <w:rPr>
          <w:noProof/>
        </w:rPr>
        <w:t>email:</w:t>
      </w:r>
      <w:r w:rsidR="003C2B1F">
        <w:rPr>
          <w:noProof/>
        </w:rPr>
        <w:t xml:space="preserve"> jfy5@cdc.gov</w:t>
      </w:r>
      <w:r w:rsidRPr="00647952">
        <w:rPr>
          <w:noProof/>
        </w:rPr>
        <w:t xml:space="preserve"> </w:t>
      </w:r>
      <w:bookmarkEnd w:id="0"/>
    </w:p>
    <w:p w14:paraId="11CD899D" w14:textId="4C1E551B" w:rsidR="00A46E5B" w:rsidRPr="00654723" w:rsidRDefault="00A46E5B" w:rsidP="00654723">
      <w:pPr>
        <w:autoSpaceDE w:val="0"/>
        <w:autoSpaceDN w:val="0"/>
        <w:adjustRightInd w:val="0"/>
        <w:spacing w:after="0" w:line="240" w:lineRule="auto"/>
        <w:jc w:val="center"/>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br w:type="page"/>
      </w:r>
      <w:r w:rsidRPr="00654723">
        <w:rPr>
          <w:rFonts w:ascii="Times New Roman" w:eastAsia="Times New Roman" w:hAnsi="Times New Roman" w:cs="Times New Roman"/>
          <w:b/>
          <w:bCs/>
          <w:sz w:val="24"/>
          <w:szCs w:val="24"/>
        </w:rPr>
        <w:lastRenderedPageBreak/>
        <w:t>COLLECTIONS OF INFORMATION EMPLOYING STATISTICAL METHODS</w:t>
      </w:r>
    </w:p>
    <w:p w14:paraId="11CD899E"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bCs/>
          <w:sz w:val="24"/>
          <w:szCs w:val="24"/>
        </w:rPr>
      </w:pPr>
    </w:p>
    <w:p w14:paraId="11CD899F" w14:textId="5C5A1AA0" w:rsidR="00A46E5B" w:rsidRPr="00647952" w:rsidRDefault="000A0A59" w:rsidP="0070457A">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B.1. </w:t>
      </w:r>
      <w:r w:rsidR="00A46E5B" w:rsidRPr="00647952">
        <w:rPr>
          <w:rFonts w:ascii="Times New Roman" w:eastAsia="Times New Roman" w:hAnsi="Times New Roman" w:cs="Times New Roman"/>
          <w:bCs/>
          <w:sz w:val="24"/>
          <w:szCs w:val="24"/>
        </w:rPr>
        <w:t>Respondent Universe and Sampling Methods</w:t>
      </w:r>
      <w:r w:rsidR="00A46E5B" w:rsidRPr="00647952">
        <w:rPr>
          <w:rFonts w:ascii="Times New Roman" w:eastAsia="Times New Roman" w:hAnsi="Times New Roman" w:cs="Times New Roman"/>
          <w:bCs/>
          <w:color w:val="FF0000"/>
          <w:sz w:val="24"/>
          <w:szCs w:val="24"/>
        </w:rPr>
        <w:t xml:space="preserve"> </w:t>
      </w:r>
    </w:p>
    <w:p w14:paraId="11CD89A0" w14:textId="77777777" w:rsidR="00A46E5B" w:rsidRPr="00647952" w:rsidRDefault="00A46E5B" w:rsidP="0070457A">
      <w:pPr>
        <w:spacing w:after="0" w:line="240" w:lineRule="auto"/>
        <w:ind w:firstLine="360"/>
        <w:rPr>
          <w:rFonts w:ascii="Times New Roman" w:eastAsia="SimSun" w:hAnsi="Times New Roman" w:cs="Times New Roman"/>
          <w:sz w:val="24"/>
          <w:szCs w:val="24"/>
        </w:rPr>
      </w:pPr>
    </w:p>
    <w:p w14:paraId="11CD89A1" w14:textId="3DDA162E" w:rsidR="00A46E5B" w:rsidRPr="00647952" w:rsidRDefault="000A0A59" w:rsidP="0070457A">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B.2. </w:t>
      </w:r>
      <w:r w:rsidR="00A46E5B" w:rsidRPr="00647952">
        <w:rPr>
          <w:rFonts w:ascii="Times New Roman" w:eastAsia="Times New Roman" w:hAnsi="Times New Roman" w:cs="Times New Roman"/>
          <w:bCs/>
          <w:sz w:val="24"/>
          <w:szCs w:val="24"/>
        </w:rPr>
        <w:t>Procedures for the Collection of Information</w:t>
      </w:r>
      <w:r w:rsidR="00A46E5B" w:rsidRPr="00647952">
        <w:rPr>
          <w:rFonts w:ascii="Times New Roman" w:eastAsia="Times New Roman" w:hAnsi="Times New Roman" w:cs="Times New Roman"/>
          <w:bCs/>
          <w:color w:val="FF0000"/>
          <w:sz w:val="24"/>
          <w:szCs w:val="24"/>
        </w:rPr>
        <w:t xml:space="preserve"> </w:t>
      </w:r>
    </w:p>
    <w:p w14:paraId="11CD89A2"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3" w14:textId="77777777" w:rsidR="00A46E5B" w:rsidRPr="00647952" w:rsidRDefault="00A46E5B" w:rsidP="0070457A">
      <w:pPr>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B.3. Methods to Maximize Response Rates and Deal with Nonresponse </w:t>
      </w:r>
    </w:p>
    <w:p w14:paraId="11CD89A6"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8" w14:textId="02D70BE9" w:rsidR="00A46E5B" w:rsidRPr="00647952" w:rsidRDefault="00A46E5B" w:rsidP="000A0A59">
      <w:pPr>
        <w:autoSpaceDE w:val="0"/>
        <w:autoSpaceDN w:val="0"/>
        <w:adjustRightInd w:val="0"/>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B.4. Tests of Procedures or Methods to be Undertaken </w:t>
      </w:r>
    </w:p>
    <w:p w14:paraId="11CD89A9"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sz w:val="24"/>
          <w:szCs w:val="24"/>
        </w:rPr>
      </w:pPr>
    </w:p>
    <w:p w14:paraId="11CD89AA" w14:textId="77777777" w:rsidR="00A46E5B" w:rsidRPr="00647952" w:rsidRDefault="00A46E5B" w:rsidP="0070457A">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B.5. Individuals Consulted on Statistical Aspects and Individuals Collecting and/or Analyzing Data</w:t>
      </w:r>
    </w:p>
    <w:p w14:paraId="11CD89AB"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b/>
          <w:bCs/>
          <w:color w:val="FF0000"/>
          <w:sz w:val="24"/>
          <w:szCs w:val="24"/>
        </w:rPr>
      </w:pPr>
    </w:p>
    <w:p w14:paraId="11CD89AC" w14:textId="77777777" w:rsidR="00A46E5B" w:rsidRPr="00647952" w:rsidRDefault="00A46E5B" w:rsidP="0070457A">
      <w:pPr>
        <w:spacing w:after="0" w:line="240" w:lineRule="auto"/>
        <w:rPr>
          <w:rFonts w:ascii="Times New Roman" w:eastAsia="Times New Roman" w:hAnsi="Times New Roman" w:cs="Times New Roman"/>
          <w:color w:val="000000"/>
          <w:sz w:val="24"/>
          <w:szCs w:val="24"/>
          <w:lang w:val="de-DE"/>
        </w:rPr>
      </w:pPr>
    </w:p>
    <w:p w14:paraId="7ACF9E7A" w14:textId="77777777" w:rsidR="000A0A59" w:rsidRPr="00647952" w:rsidRDefault="000A0A59" w:rsidP="000A0A59">
      <w:pPr>
        <w:pStyle w:val="C2-CtrSglSp"/>
        <w:spacing w:after="100" w:afterAutospacing="1"/>
        <w:jc w:val="left"/>
      </w:pPr>
    </w:p>
    <w:p w14:paraId="31DCB096" w14:textId="77777777" w:rsidR="000A0A59" w:rsidRPr="00647952" w:rsidRDefault="000A0A59" w:rsidP="000A0A59">
      <w:pPr>
        <w:pStyle w:val="C2-CtrSglSp"/>
        <w:spacing w:after="100" w:afterAutospacing="1"/>
        <w:jc w:val="left"/>
      </w:pPr>
    </w:p>
    <w:p w14:paraId="01D72F43" w14:textId="77777777" w:rsidR="000A0A59" w:rsidRPr="00654723" w:rsidRDefault="000A0A59" w:rsidP="000A0A59">
      <w:pPr>
        <w:pStyle w:val="C2-CtrSglSp"/>
        <w:spacing w:after="100" w:afterAutospacing="1"/>
        <w:jc w:val="left"/>
        <w:rPr>
          <w:b/>
        </w:rPr>
      </w:pPr>
      <w:r w:rsidRPr="00654723">
        <w:rPr>
          <w:b/>
        </w:rPr>
        <w:t>LIST OF ATTACHMENTS</w:t>
      </w:r>
    </w:p>
    <w:p w14:paraId="373CD8C2" w14:textId="77777777" w:rsidR="000A0A59" w:rsidRPr="00647952" w:rsidRDefault="000A0A59" w:rsidP="000A0A59">
      <w:pPr>
        <w:pStyle w:val="ListParagraph"/>
        <w:numPr>
          <w:ilvl w:val="0"/>
          <w:numId w:val="43"/>
        </w:numPr>
        <w:spacing w:line="480" w:lineRule="auto"/>
        <w:ind w:left="1440"/>
        <w:rPr>
          <w:color w:val="000000" w:themeColor="text1"/>
        </w:rPr>
      </w:pPr>
      <w:r w:rsidRPr="00647952">
        <w:t xml:space="preserve">Public Health Service Act (PHSA) </w:t>
      </w:r>
      <w:r w:rsidRPr="00647952">
        <w:rPr>
          <w:color w:val="000000" w:themeColor="text1"/>
        </w:rPr>
        <w:t>42 U.S.C. 241(a)</w:t>
      </w:r>
      <w:r w:rsidRPr="00647952">
        <w:t xml:space="preserve">, </w:t>
      </w:r>
      <w:r w:rsidRPr="00647952">
        <w:rPr>
          <w:color w:val="000000" w:themeColor="text1"/>
        </w:rPr>
        <w:t>Section 301(a)</w:t>
      </w:r>
    </w:p>
    <w:p w14:paraId="24D5BD63" w14:textId="77777777" w:rsidR="000A0A59" w:rsidRPr="00647952" w:rsidRDefault="000A0A59" w:rsidP="000A0A59">
      <w:pPr>
        <w:pStyle w:val="ListParagraph"/>
        <w:numPr>
          <w:ilvl w:val="0"/>
          <w:numId w:val="43"/>
        </w:numPr>
        <w:spacing w:line="480" w:lineRule="auto"/>
        <w:ind w:left="1440"/>
      </w:pPr>
      <w:r w:rsidRPr="00647952">
        <w:t>Published 60-Day Federal Register Notice</w:t>
      </w:r>
    </w:p>
    <w:p w14:paraId="36CF4579" w14:textId="77777777" w:rsidR="000A0A59" w:rsidRPr="00647952" w:rsidRDefault="000A0A59" w:rsidP="000A0A59">
      <w:pPr>
        <w:pStyle w:val="ListParagraph"/>
        <w:numPr>
          <w:ilvl w:val="0"/>
          <w:numId w:val="43"/>
        </w:numPr>
        <w:spacing w:line="480" w:lineRule="auto"/>
        <w:ind w:left="1440"/>
      </w:pPr>
      <w:r w:rsidRPr="00647952">
        <w:t>Information Collection Tools</w:t>
      </w:r>
    </w:p>
    <w:p w14:paraId="48A909E0" w14:textId="3DEC8BD9" w:rsidR="000A0A59" w:rsidRPr="00647952" w:rsidRDefault="000A0A59" w:rsidP="000A0A59">
      <w:pPr>
        <w:pStyle w:val="ListParagraph"/>
        <w:numPr>
          <w:ilvl w:val="1"/>
          <w:numId w:val="43"/>
        </w:numPr>
        <w:spacing w:line="480" w:lineRule="auto"/>
        <w:ind w:left="2160"/>
      </w:pPr>
      <w:r w:rsidRPr="00647952">
        <w:t xml:space="preserve">Annual </w:t>
      </w:r>
      <w:r w:rsidR="007E5A2C">
        <w:t xml:space="preserve">Progress Report Tool </w:t>
      </w:r>
    </w:p>
    <w:p w14:paraId="6C7C134F" w14:textId="40ABE674" w:rsidR="000A0A59" w:rsidRPr="00647952" w:rsidRDefault="007E5A2C" w:rsidP="000A0A59">
      <w:pPr>
        <w:pStyle w:val="ListParagraph"/>
        <w:numPr>
          <w:ilvl w:val="1"/>
          <w:numId w:val="43"/>
        </w:numPr>
        <w:spacing w:line="480" w:lineRule="auto"/>
        <w:ind w:left="2160"/>
      </w:pPr>
      <w:r>
        <w:t xml:space="preserve">Plan Tool </w:t>
      </w:r>
    </w:p>
    <w:p w14:paraId="4D725972" w14:textId="77777777" w:rsidR="00D86CC1" w:rsidRDefault="00D86CC1" w:rsidP="00D86CC1">
      <w:pPr>
        <w:pStyle w:val="ListParagraph"/>
        <w:numPr>
          <w:ilvl w:val="0"/>
          <w:numId w:val="43"/>
        </w:numPr>
        <w:ind w:firstLine="360"/>
      </w:pPr>
      <w:r w:rsidRPr="00CC0112">
        <w:t xml:space="preserve">IPC </w:t>
      </w:r>
      <w:r>
        <w:t xml:space="preserve">Research </w:t>
      </w:r>
      <w:r w:rsidRPr="00CC0112">
        <w:t>Determination</w:t>
      </w:r>
    </w:p>
    <w:p w14:paraId="36DE4514" w14:textId="77777777" w:rsidR="00D86CC1" w:rsidRDefault="00D86CC1" w:rsidP="00347384">
      <w:pPr>
        <w:pStyle w:val="ListParagraph"/>
        <w:ind w:left="1080"/>
      </w:pPr>
    </w:p>
    <w:p w14:paraId="105CE012" w14:textId="77777777" w:rsidR="00C6567B" w:rsidRPr="00647952" w:rsidRDefault="00C6567B" w:rsidP="00C6567B">
      <w:pPr>
        <w:pStyle w:val="ListParagraph"/>
        <w:numPr>
          <w:ilvl w:val="0"/>
          <w:numId w:val="43"/>
        </w:numPr>
        <w:spacing w:line="480" w:lineRule="auto"/>
        <w:ind w:left="1440"/>
      </w:pPr>
      <w:r w:rsidRPr="00647952">
        <w:t>List of Awardees</w:t>
      </w:r>
    </w:p>
    <w:p w14:paraId="6F399D85" w14:textId="77777777" w:rsidR="00C6567B" w:rsidRPr="00647952" w:rsidRDefault="00C6567B" w:rsidP="00C6567B">
      <w:pPr>
        <w:pStyle w:val="ListParagraph"/>
        <w:spacing w:line="480" w:lineRule="auto"/>
      </w:pPr>
    </w:p>
    <w:p w14:paraId="69286D2C" w14:textId="77777777" w:rsidR="00647952" w:rsidRPr="00647952" w:rsidRDefault="00647952" w:rsidP="00647952">
      <w:pPr>
        <w:spacing w:line="480" w:lineRule="auto"/>
        <w:rPr>
          <w:rFonts w:ascii="Times New Roman" w:hAnsi="Times New Roman" w:cs="Times New Roman"/>
        </w:rPr>
      </w:pPr>
    </w:p>
    <w:p w14:paraId="0F72E65F" w14:textId="77777777" w:rsidR="00647952" w:rsidRPr="00647952" w:rsidRDefault="00647952" w:rsidP="00647952">
      <w:pPr>
        <w:spacing w:line="480" w:lineRule="auto"/>
        <w:rPr>
          <w:rFonts w:ascii="Times New Roman" w:hAnsi="Times New Roman" w:cs="Times New Roman"/>
        </w:rPr>
      </w:pPr>
    </w:p>
    <w:p w14:paraId="45FC851B" w14:textId="77777777" w:rsidR="00647952" w:rsidRPr="00647952" w:rsidRDefault="00647952" w:rsidP="00647952">
      <w:pPr>
        <w:spacing w:line="480" w:lineRule="auto"/>
        <w:rPr>
          <w:rFonts w:ascii="Times New Roman" w:hAnsi="Times New Roman" w:cs="Times New Roman"/>
        </w:rPr>
      </w:pPr>
    </w:p>
    <w:p w14:paraId="038B384D" w14:textId="77777777" w:rsidR="00647952" w:rsidRDefault="00647952" w:rsidP="00647952">
      <w:pPr>
        <w:spacing w:line="480" w:lineRule="auto"/>
        <w:rPr>
          <w:rFonts w:ascii="Times New Roman" w:hAnsi="Times New Roman" w:cs="Times New Roman"/>
        </w:rPr>
      </w:pPr>
    </w:p>
    <w:p w14:paraId="5369268B" w14:textId="77777777" w:rsidR="006C29F7" w:rsidRPr="00647952" w:rsidRDefault="006C29F7" w:rsidP="00647952">
      <w:pPr>
        <w:spacing w:line="480" w:lineRule="auto"/>
        <w:rPr>
          <w:rFonts w:ascii="Times New Roman" w:hAnsi="Times New Roman" w:cs="Times New Roman"/>
        </w:rPr>
      </w:pPr>
    </w:p>
    <w:p w14:paraId="45F7E14E" w14:textId="77777777" w:rsidR="00647952" w:rsidRPr="00647952"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t>B.1. Respondent Universe and Sampling Methods</w:t>
      </w:r>
      <w:r w:rsidRPr="00647952">
        <w:rPr>
          <w:rFonts w:ascii="Times New Roman" w:eastAsia="Times New Roman" w:hAnsi="Times New Roman" w:cs="Times New Roman"/>
          <w:b/>
          <w:bCs/>
          <w:color w:val="FF0000"/>
          <w:sz w:val="24"/>
          <w:szCs w:val="24"/>
        </w:rPr>
        <w:t xml:space="preserve"> </w:t>
      </w:r>
    </w:p>
    <w:p w14:paraId="64FD34A0" w14:textId="77777777" w:rsidR="00647952" w:rsidRPr="00647952" w:rsidRDefault="00647952" w:rsidP="00647952">
      <w:pPr>
        <w:spacing w:after="0" w:line="240" w:lineRule="auto"/>
        <w:rPr>
          <w:rFonts w:ascii="Times New Roman" w:hAnsi="Times New Roman" w:cs="Times New Roman"/>
        </w:rPr>
      </w:pPr>
    </w:p>
    <w:p w14:paraId="216CA5FA" w14:textId="03020A07" w:rsidR="00647952" w:rsidRPr="00647952" w:rsidRDefault="00647952" w:rsidP="00647952">
      <w:pPr>
        <w:spacing w:after="0" w:line="240" w:lineRule="auto"/>
        <w:rPr>
          <w:rFonts w:ascii="Times New Roman" w:hAnsi="Times New Roman" w:cs="Times New Roman"/>
          <w:sz w:val="24"/>
        </w:rPr>
      </w:pPr>
      <w:r w:rsidRPr="00647952">
        <w:rPr>
          <w:rFonts w:ascii="Times New Roman" w:hAnsi="Times New Roman" w:cs="Times New Roman"/>
          <w:sz w:val="24"/>
        </w:rPr>
        <w:t xml:space="preserve">Respondents </w:t>
      </w:r>
      <w:r w:rsidR="00B5425E">
        <w:rPr>
          <w:rFonts w:ascii="Times New Roman" w:hAnsi="Times New Roman" w:cs="Times New Roman"/>
          <w:sz w:val="24"/>
        </w:rPr>
        <w:t>will be the 29</w:t>
      </w:r>
      <w:r w:rsidRPr="00647952">
        <w:rPr>
          <w:rFonts w:ascii="Times New Roman" w:hAnsi="Times New Roman" w:cs="Times New Roman"/>
          <w:sz w:val="24"/>
        </w:rPr>
        <w:t xml:space="preserve"> awardees funded through FOA </w:t>
      </w:r>
      <w:r w:rsidR="00B0574D">
        <w:rPr>
          <w:rFonts w:ascii="Times New Roman" w:hAnsi="Times New Roman" w:cs="Times New Roman"/>
          <w:sz w:val="24"/>
        </w:rPr>
        <w:t>CE15-1501</w:t>
      </w:r>
      <w:r w:rsidRPr="00647952">
        <w:rPr>
          <w:rFonts w:ascii="Times New Roman" w:hAnsi="Times New Roman" w:cs="Times New Roman"/>
          <w:sz w:val="24"/>
        </w:rPr>
        <w:t xml:space="preserve">, </w:t>
      </w:r>
      <w:r w:rsidR="00B0574D">
        <w:rPr>
          <w:rFonts w:ascii="Times New Roman" w:hAnsi="Times New Roman" w:cs="Times New Roman"/>
          <w:sz w:val="24"/>
        </w:rPr>
        <w:t>Prescription Drug Overdose Prevention for States (“PDO Prevention for States</w:t>
      </w:r>
      <w:r w:rsidRPr="00647952">
        <w:rPr>
          <w:rFonts w:ascii="Times New Roman" w:hAnsi="Times New Roman" w:cs="Times New Roman"/>
          <w:sz w:val="24"/>
        </w:rPr>
        <w:t>”).  A</w:t>
      </w:r>
      <w:r w:rsidR="009C2CF0">
        <w:rPr>
          <w:rFonts w:ascii="Times New Roman" w:hAnsi="Times New Roman" w:cs="Times New Roman"/>
          <w:sz w:val="24"/>
        </w:rPr>
        <w:t xml:space="preserve"> list of awardees is provided (</w:t>
      </w:r>
      <w:r w:rsidRPr="00647952">
        <w:rPr>
          <w:rFonts w:ascii="Times New Roman" w:hAnsi="Times New Roman" w:cs="Times New Roman"/>
          <w:sz w:val="24"/>
        </w:rPr>
        <w:t xml:space="preserve"> </w:t>
      </w:r>
      <w:r w:rsidRPr="00B0574D">
        <w:rPr>
          <w:rFonts w:ascii="Times New Roman" w:hAnsi="Times New Roman" w:cs="Times New Roman"/>
          <w:b/>
          <w:sz w:val="24"/>
        </w:rPr>
        <w:t xml:space="preserve">Attachment </w:t>
      </w:r>
      <w:r w:rsidR="00CA269C">
        <w:rPr>
          <w:rFonts w:ascii="Times New Roman" w:hAnsi="Times New Roman" w:cs="Times New Roman"/>
          <w:b/>
          <w:sz w:val="24"/>
        </w:rPr>
        <w:t>5</w:t>
      </w:r>
      <w:r w:rsidR="009C2CF0">
        <w:rPr>
          <w:rFonts w:ascii="Times New Roman" w:hAnsi="Times New Roman" w:cs="Times New Roman"/>
          <w:b/>
          <w:sz w:val="24"/>
        </w:rPr>
        <w:t>)</w:t>
      </w:r>
      <w:r w:rsidRPr="00647952">
        <w:rPr>
          <w:rFonts w:ascii="Times New Roman" w:hAnsi="Times New Roman" w:cs="Times New Roman"/>
          <w:sz w:val="24"/>
        </w:rPr>
        <w:t>.  If additional funding is made available to the program, CDC will submit a Change Request to increase the number of awardees participating in the program and to adjust the burden table as needed.</w:t>
      </w:r>
    </w:p>
    <w:p w14:paraId="6028190C" w14:textId="77777777" w:rsidR="00647952" w:rsidRPr="00647952" w:rsidRDefault="00647952" w:rsidP="00647952">
      <w:pPr>
        <w:spacing w:after="0" w:line="240" w:lineRule="auto"/>
        <w:rPr>
          <w:rFonts w:ascii="Times New Roman" w:hAnsi="Times New Roman" w:cs="Times New Roman"/>
        </w:rPr>
      </w:pPr>
    </w:p>
    <w:p w14:paraId="518B3857" w14:textId="7D2D51B3" w:rsidR="00647952" w:rsidRPr="00647952" w:rsidRDefault="00647952" w:rsidP="00647952">
      <w:pPr>
        <w:spacing w:after="0" w:line="240" w:lineRule="auto"/>
        <w:rPr>
          <w:rFonts w:ascii="Times New Roman" w:hAnsi="Times New Roman" w:cs="Times New Roman"/>
          <w:sz w:val="24"/>
          <w:szCs w:val="24"/>
        </w:rPr>
      </w:pPr>
      <w:r w:rsidRPr="00647952">
        <w:rPr>
          <w:rFonts w:ascii="Times New Roman" w:hAnsi="Times New Roman" w:cs="Times New Roman"/>
          <w:sz w:val="24"/>
          <w:szCs w:val="24"/>
        </w:rPr>
        <w:t>No statistical sampling method will be used.</w:t>
      </w:r>
    </w:p>
    <w:p w14:paraId="701D116F"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2632BD3F"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140ACB7E" w14:textId="77777777" w:rsidR="00647952" w:rsidRPr="00647952"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t>B.2. Procedures for the Collection of Information</w:t>
      </w:r>
      <w:r w:rsidRPr="00647952">
        <w:rPr>
          <w:rFonts w:ascii="Times New Roman" w:eastAsia="Times New Roman" w:hAnsi="Times New Roman" w:cs="Times New Roman"/>
          <w:b/>
          <w:bCs/>
          <w:color w:val="FF0000"/>
          <w:sz w:val="24"/>
          <w:szCs w:val="24"/>
        </w:rPr>
        <w:t xml:space="preserve"> </w:t>
      </w:r>
    </w:p>
    <w:p w14:paraId="0392DF59" w14:textId="77777777" w:rsidR="00647952" w:rsidRPr="00647952" w:rsidRDefault="00647952" w:rsidP="00647952">
      <w:pPr>
        <w:spacing w:after="0" w:line="240" w:lineRule="auto"/>
        <w:rPr>
          <w:rFonts w:ascii="Times New Roman" w:hAnsi="Times New Roman" w:cs="Times New Roman"/>
        </w:rPr>
      </w:pPr>
    </w:p>
    <w:p w14:paraId="68A51A6D" w14:textId="32905192" w:rsidR="001630A7" w:rsidRPr="001630A7" w:rsidRDefault="00215125" w:rsidP="007A2F0F">
      <w:pPr>
        <w:tabs>
          <w:tab w:val="left" w:pos="4860"/>
        </w:tabs>
        <w:spacing w:after="0" w:line="240" w:lineRule="auto"/>
        <w:rPr>
          <w:rFonts w:ascii="Times New Roman" w:hAnsi="Times New Roman" w:cs="Times New Roman"/>
          <w:sz w:val="24"/>
        </w:rPr>
      </w:pPr>
      <w:r w:rsidRPr="001630A7">
        <w:rPr>
          <w:rFonts w:ascii="Times New Roman" w:hAnsi="Times New Roman" w:cs="Times New Roman"/>
          <w:sz w:val="24"/>
        </w:rPr>
        <w:t>Information will be collected from awardees on an annual basis.  Awardees will report progress on their work plan objectives, activities, and performance measures. Two related tools have been developed to collect this information: an Excel-based Annual Progress Report Tool (Attachment 3a) and a Word-based Plan Tool (Attachment 3b). Information will be transmitted to CDC electronically through Grant Solutions and to their Project O</w:t>
      </w:r>
      <w:r w:rsidR="009C2CF0">
        <w:rPr>
          <w:rFonts w:ascii="Times New Roman" w:hAnsi="Times New Roman" w:cs="Times New Roman"/>
          <w:sz w:val="24"/>
        </w:rPr>
        <w:t>fficer via email</w:t>
      </w:r>
      <w:r w:rsidRPr="001630A7">
        <w:rPr>
          <w:rFonts w:ascii="Times New Roman" w:hAnsi="Times New Roman" w:cs="Times New Roman"/>
          <w:sz w:val="24"/>
        </w:rPr>
        <w:t>.</w:t>
      </w:r>
      <w:r w:rsidR="001630A7" w:rsidRPr="001630A7">
        <w:rPr>
          <w:rFonts w:ascii="Times New Roman" w:hAnsi="Times New Roman" w:cs="Times New Roman"/>
          <w:sz w:val="24"/>
        </w:rPr>
        <w:t xml:space="preserve">  The Annual Report Progress Tool is an Excel-based tool that will be pre-populated by CDC staff to the extent possible and completed by awardees.  The second tool, also to be pre-populated by CDC staff and completed by awardees is the Plan Tool, which is a Word-based reporting tool</w:t>
      </w:r>
      <w:r w:rsidR="00FF4236">
        <w:rPr>
          <w:rFonts w:ascii="Times New Roman" w:hAnsi="Times New Roman" w:cs="Times New Roman"/>
          <w:sz w:val="24"/>
        </w:rPr>
        <w:t xml:space="preserve"> to be used for assessment and performance monitoring purposes only.  </w:t>
      </w:r>
      <w:r w:rsidR="009C2CF0">
        <w:rPr>
          <w:rFonts w:ascii="Times New Roman" w:hAnsi="Times New Roman" w:cs="Times New Roman"/>
          <w:sz w:val="24"/>
        </w:rPr>
        <w:t xml:space="preserve">The contractor </w:t>
      </w:r>
      <w:r w:rsidR="009C2CF0" w:rsidRPr="001630A7">
        <w:rPr>
          <w:rFonts w:ascii="Times New Roman" w:hAnsi="Times New Roman" w:cs="Times New Roman"/>
          <w:sz w:val="24"/>
        </w:rPr>
        <w:t>will</w:t>
      </w:r>
      <w:r w:rsidR="001630A7" w:rsidRPr="001630A7">
        <w:rPr>
          <w:rFonts w:ascii="Times New Roman" w:hAnsi="Times New Roman" w:cs="Times New Roman"/>
          <w:sz w:val="24"/>
        </w:rPr>
        <w:t xml:space="preserve"> enter the reported information into the Monitoring and Evaluation Tool (MET) to facilitate awardee</w:t>
      </w:r>
      <w:r w:rsidR="00FF4236">
        <w:rPr>
          <w:rFonts w:ascii="Times New Roman" w:hAnsi="Times New Roman" w:cs="Times New Roman"/>
          <w:sz w:val="24"/>
        </w:rPr>
        <w:t>-specific and aggregate review</w:t>
      </w:r>
      <w:r w:rsidR="001630A7" w:rsidRPr="001630A7">
        <w:rPr>
          <w:rFonts w:ascii="Times New Roman" w:hAnsi="Times New Roman" w:cs="Times New Roman"/>
          <w:sz w:val="24"/>
        </w:rPr>
        <w:t>.  The MET is an internal portal available only to CDC staff and contractors.  It serves as the clearinghouse and secure storage site for information reported by awardees.  This procedure satisfies the routine cooperative agreement reporting requirements.  Progress reports are required once per year, but data entry into the MET can occur on a real-time basis.  As a result, the reporting tools can also be used for ongoing program management, and support more effective, data-driven technical assistance between NCIPC and awardees.</w:t>
      </w:r>
    </w:p>
    <w:p w14:paraId="40CF5178" w14:textId="77777777" w:rsidR="001630A7" w:rsidRPr="001630A7" w:rsidRDefault="001630A7" w:rsidP="001630A7">
      <w:pPr>
        <w:tabs>
          <w:tab w:val="left" w:pos="4860"/>
        </w:tabs>
        <w:rPr>
          <w:rFonts w:ascii="Times New Roman" w:hAnsi="Times New Roman" w:cs="Times New Roman"/>
          <w:sz w:val="24"/>
        </w:rPr>
      </w:pPr>
      <w:r w:rsidRPr="001630A7">
        <w:rPr>
          <w:rFonts w:ascii="Times New Roman" w:hAnsi="Times New Roman" w:cs="Times New Roman"/>
          <w:sz w:val="24"/>
        </w:rPr>
        <w:t>The two tools described above will facilitate reporting by awardees.  Using these tools, awardees are required to provide an Annual Progress Report and Evaluation Plan.  Specific information included in each includes:</w:t>
      </w:r>
    </w:p>
    <w:p w14:paraId="6C752FC6" w14:textId="77777777" w:rsidR="001630A7" w:rsidRPr="001630A7" w:rsidRDefault="001630A7" w:rsidP="001630A7">
      <w:pPr>
        <w:pStyle w:val="ListParagraph"/>
        <w:numPr>
          <w:ilvl w:val="0"/>
          <w:numId w:val="44"/>
        </w:numPr>
        <w:tabs>
          <w:tab w:val="left" w:pos="360"/>
          <w:tab w:val="left" w:pos="720"/>
          <w:tab w:val="left" w:pos="4860"/>
        </w:tabs>
        <w:ind w:left="360"/>
        <w:rPr>
          <w:rFonts w:eastAsiaTheme="minorHAnsi"/>
          <w:szCs w:val="22"/>
        </w:rPr>
      </w:pPr>
      <w:r w:rsidRPr="001630A7">
        <w:rPr>
          <w:rFonts w:eastAsiaTheme="minorHAnsi"/>
          <w:szCs w:val="22"/>
        </w:rPr>
        <w:t>Activities and timelines to support achievement of FOA outcomes (Annual Progress Report)</w:t>
      </w:r>
    </w:p>
    <w:p w14:paraId="66B6AE32" w14:textId="37DA4DF0" w:rsidR="001630A7" w:rsidRPr="001630A7" w:rsidRDefault="001630A7" w:rsidP="001630A7">
      <w:pPr>
        <w:pStyle w:val="ListParagraph"/>
        <w:numPr>
          <w:ilvl w:val="1"/>
          <w:numId w:val="44"/>
        </w:numPr>
        <w:tabs>
          <w:tab w:val="left" w:pos="360"/>
          <w:tab w:val="left" w:pos="720"/>
          <w:tab w:val="left" w:pos="4860"/>
        </w:tabs>
        <w:rPr>
          <w:rFonts w:eastAsiaTheme="minorHAnsi"/>
          <w:szCs w:val="22"/>
        </w:rPr>
      </w:pPr>
      <w:r w:rsidRPr="001630A7">
        <w:rPr>
          <w:rFonts w:eastAsiaTheme="minorHAnsi"/>
          <w:szCs w:val="22"/>
        </w:rPr>
        <w:t xml:space="preserve">Performance Measures </w:t>
      </w:r>
      <w:r w:rsidR="00FF4236">
        <w:rPr>
          <w:rFonts w:eastAsiaTheme="minorHAnsi"/>
          <w:szCs w:val="22"/>
        </w:rPr>
        <w:t>and indicators</w:t>
      </w:r>
      <w:r w:rsidRPr="001630A7">
        <w:rPr>
          <w:rFonts w:eastAsiaTheme="minorHAnsi"/>
          <w:szCs w:val="22"/>
        </w:rPr>
        <w:t xml:space="preserve"> – initial baseline and targets; progress reported annually</w:t>
      </w:r>
    </w:p>
    <w:p w14:paraId="0945AA54" w14:textId="77777777" w:rsidR="001630A7" w:rsidRPr="001630A7" w:rsidRDefault="001630A7" w:rsidP="001630A7">
      <w:pPr>
        <w:pStyle w:val="ListParagraph"/>
        <w:numPr>
          <w:ilvl w:val="1"/>
          <w:numId w:val="44"/>
        </w:numPr>
        <w:tabs>
          <w:tab w:val="left" w:pos="360"/>
          <w:tab w:val="left" w:pos="720"/>
          <w:tab w:val="left" w:pos="4860"/>
        </w:tabs>
        <w:rPr>
          <w:rFonts w:eastAsiaTheme="minorHAnsi"/>
          <w:szCs w:val="22"/>
        </w:rPr>
      </w:pPr>
      <w:r w:rsidRPr="001630A7">
        <w:rPr>
          <w:rFonts w:eastAsiaTheme="minorHAnsi"/>
          <w:szCs w:val="22"/>
        </w:rPr>
        <w:t>Work Plan– initial work plan and annual updates; annual progress</w:t>
      </w:r>
    </w:p>
    <w:p w14:paraId="50A41D26" w14:textId="77777777" w:rsidR="001630A7" w:rsidRPr="001630A7" w:rsidRDefault="001630A7" w:rsidP="001630A7">
      <w:pPr>
        <w:pStyle w:val="ListParagraph"/>
        <w:numPr>
          <w:ilvl w:val="1"/>
          <w:numId w:val="44"/>
        </w:numPr>
        <w:tabs>
          <w:tab w:val="left" w:pos="360"/>
          <w:tab w:val="left" w:pos="720"/>
          <w:tab w:val="left" w:pos="4860"/>
        </w:tabs>
        <w:rPr>
          <w:rFonts w:eastAsiaTheme="minorHAnsi"/>
          <w:szCs w:val="22"/>
        </w:rPr>
      </w:pPr>
      <w:r w:rsidRPr="001630A7">
        <w:rPr>
          <w:rFonts w:eastAsiaTheme="minorHAnsi"/>
          <w:szCs w:val="22"/>
        </w:rPr>
        <w:t xml:space="preserve">Successes –reported annually as part of the Annual Progress Report  </w:t>
      </w:r>
    </w:p>
    <w:p w14:paraId="42FF2354" w14:textId="77777777" w:rsidR="001630A7" w:rsidRPr="001630A7" w:rsidRDefault="001630A7" w:rsidP="001630A7">
      <w:pPr>
        <w:pStyle w:val="ListParagraph"/>
        <w:numPr>
          <w:ilvl w:val="1"/>
          <w:numId w:val="44"/>
        </w:numPr>
        <w:tabs>
          <w:tab w:val="left" w:pos="360"/>
          <w:tab w:val="left" w:pos="720"/>
          <w:tab w:val="left" w:pos="4860"/>
        </w:tabs>
        <w:rPr>
          <w:rFonts w:eastAsiaTheme="minorHAnsi"/>
          <w:szCs w:val="22"/>
        </w:rPr>
      </w:pPr>
      <w:r w:rsidRPr="001630A7">
        <w:rPr>
          <w:rFonts w:eastAsiaTheme="minorHAnsi"/>
          <w:szCs w:val="22"/>
        </w:rPr>
        <w:t xml:space="preserve">Challenges - reported annually as part of the Annual Progress Report  </w:t>
      </w:r>
    </w:p>
    <w:p w14:paraId="50FB3644" w14:textId="33EAC556" w:rsidR="001630A7" w:rsidRPr="001630A7" w:rsidRDefault="009C2CF0" w:rsidP="001630A7">
      <w:pPr>
        <w:pStyle w:val="ListParagraph"/>
        <w:numPr>
          <w:ilvl w:val="0"/>
          <w:numId w:val="44"/>
        </w:numPr>
        <w:tabs>
          <w:tab w:val="left" w:pos="360"/>
          <w:tab w:val="left" w:pos="720"/>
          <w:tab w:val="left" w:pos="4860"/>
        </w:tabs>
        <w:ind w:left="360"/>
        <w:rPr>
          <w:rFonts w:eastAsiaTheme="minorHAnsi"/>
          <w:szCs w:val="22"/>
        </w:rPr>
      </w:pPr>
      <w:r>
        <w:rPr>
          <w:rFonts w:eastAsiaTheme="minorHAnsi"/>
          <w:szCs w:val="22"/>
        </w:rPr>
        <w:t xml:space="preserve">A </w:t>
      </w:r>
      <w:r w:rsidR="001630A7" w:rsidRPr="001630A7">
        <w:rPr>
          <w:rFonts w:eastAsiaTheme="minorHAnsi"/>
          <w:szCs w:val="22"/>
        </w:rPr>
        <w:t xml:space="preserve">Plan </w:t>
      </w:r>
      <w:r>
        <w:rPr>
          <w:rFonts w:eastAsiaTheme="minorHAnsi"/>
          <w:szCs w:val="22"/>
        </w:rPr>
        <w:t xml:space="preserve">Tool </w:t>
      </w:r>
      <w:r w:rsidR="001630A7" w:rsidRPr="001630A7">
        <w:rPr>
          <w:rFonts w:eastAsiaTheme="minorHAnsi"/>
          <w:szCs w:val="22"/>
        </w:rPr>
        <w:t xml:space="preserve">that includes an initial </w:t>
      </w:r>
      <w:r w:rsidR="00FF4236">
        <w:rPr>
          <w:rFonts w:eastAsiaTheme="minorHAnsi"/>
          <w:szCs w:val="22"/>
        </w:rPr>
        <w:t>performance monitoring and quality improvement</w:t>
      </w:r>
      <w:r w:rsidR="001630A7" w:rsidRPr="001630A7">
        <w:rPr>
          <w:rFonts w:eastAsiaTheme="minorHAnsi"/>
          <w:szCs w:val="22"/>
        </w:rPr>
        <w:t xml:space="preserve"> plan and annual progress reports to monitor program.  This is reported on the Evaluation Plan Tool</w:t>
      </w:r>
      <w:r w:rsidR="007A2F0F">
        <w:rPr>
          <w:rFonts w:eastAsiaTheme="minorHAnsi"/>
          <w:szCs w:val="22"/>
        </w:rPr>
        <w:t xml:space="preserve"> (attachment 3b)</w:t>
      </w:r>
      <w:r w:rsidR="001630A7" w:rsidRPr="001630A7">
        <w:rPr>
          <w:rFonts w:eastAsiaTheme="minorHAnsi"/>
          <w:szCs w:val="22"/>
        </w:rPr>
        <w:t>.</w:t>
      </w:r>
    </w:p>
    <w:p w14:paraId="1F7FDB4B" w14:textId="77777777" w:rsidR="00647952" w:rsidRPr="001630A7" w:rsidRDefault="00647952" w:rsidP="001630A7">
      <w:pPr>
        <w:tabs>
          <w:tab w:val="left" w:pos="4860"/>
        </w:tabs>
        <w:spacing w:after="0" w:line="240" w:lineRule="auto"/>
        <w:rPr>
          <w:rFonts w:ascii="Times New Roman" w:hAnsi="Times New Roman" w:cs="Times New Roman"/>
          <w:sz w:val="24"/>
        </w:rPr>
      </w:pPr>
    </w:p>
    <w:p w14:paraId="700778AC" w14:textId="79DA789D" w:rsidR="001630A7" w:rsidRPr="001630A7" w:rsidRDefault="001630A7" w:rsidP="001630A7">
      <w:pPr>
        <w:tabs>
          <w:tab w:val="left" w:pos="4860"/>
        </w:tabs>
        <w:rPr>
          <w:rFonts w:ascii="Times New Roman" w:hAnsi="Times New Roman" w:cs="Times New Roman"/>
          <w:sz w:val="24"/>
        </w:rPr>
      </w:pPr>
      <w:r w:rsidRPr="001630A7">
        <w:rPr>
          <w:rFonts w:ascii="Times New Roman" w:hAnsi="Times New Roman" w:cs="Times New Roman"/>
          <w:sz w:val="24"/>
        </w:rPr>
        <w:lastRenderedPageBreak/>
        <w:t xml:space="preserve">The tools support the collection and reporting of information that will be used by CDC to help examine and monitor program implementation and </w:t>
      </w:r>
      <w:r w:rsidR="00FF4236">
        <w:rPr>
          <w:rFonts w:ascii="Times New Roman" w:hAnsi="Times New Roman" w:cs="Times New Roman"/>
          <w:sz w:val="24"/>
        </w:rPr>
        <w:t>performance indicators</w:t>
      </w:r>
      <w:r w:rsidRPr="001630A7">
        <w:rPr>
          <w:rFonts w:ascii="Times New Roman" w:hAnsi="Times New Roman" w:cs="Times New Roman"/>
          <w:sz w:val="24"/>
        </w:rPr>
        <w:t>.  The information collected will be used to describe, appraise, and enhance opportunities for collaborative efforts and partnerships.  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requested by HHS, the White House, and Congress.</w:t>
      </w:r>
      <w:r w:rsidR="00FF4236">
        <w:rPr>
          <w:rFonts w:ascii="Times New Roman" w:hAnsi="Times New Roman" w:cs="Times New Roman"/>
          <w:sz w:val="24"/>
        </w:rPr>
        <w:t xml:space="preserve">  Requests may come in from these agencies for descriptions of program activities (e.g., how many funded states are working toward real-time reporting to their Prescription Drug Monitoring Program?; Provide a success story on academic detailing to curb inappropriate prescribing behavior.).  Tracking this information and program activities and progress in one secure location will facilitate faster and more accurate responses without having to reach out to awardees or take up extra CDC staff time.</w:t>
      </w:r>
    </w:p>
    <w:p w14:paraId="21345757" w14:textId="77777777" w:rsidR="001630A7" w:rsidRPr="001630A7" w:rsidRDefault="001630A7" w:rsidP="001630A7">
      <w:pPr>
        <w:tabs>
          <w:tab w:val="left" w:pos="4860"/>
        </w:tabs>
        <w:spacing w:after="0" w:line="240" w:lineRule="auto"/>
        <w:rPr>
          <w:rFonts w:ascii="Times New Roman" w:hAnsi="Times New Roman" w:cs="Times New Roman"/>
          <w:sz w:val="24"/>
        </w:rPr>
      </w:pPr>
    </w:p>
    <w:p w14:paraId="11CD89AE" w14:textId="2DCBE0B4" w:rsidR="00A46E5B" w:rsidRPr="001630A7" w:rsidRDefault="00647952" w:rsidP="001630A7">
      <w:pPr>
        <w:tabs>
          <w:tab w:val="left" w:pos="4860"/>
        </w:tabs>
        <w:spacing w:after="0" w:line="240" w:lineRule="auto"/>
        <w:rPr>
          <w:rFonts w:ascii="Times New Roman" w:hAnsi="Times New Roman" w:cs="Times New Roman"/>
          <w:sz w:val="24"/>
        </w:rPr>
      </w:pPr>
      <w:r w:rsidRPr="001630A7">
        <w:rPr>
          <w:rFonts w:ascii="Times New Roman" w:hAnsi="Times New Roman" w:cs="Times New Roman"/>
          <w:sz w:val="24"/>
        </w:rPr>
        <w:t xml:space="preserve">Upon receipt of information from each awardee, </w:t>
      </w:r>
      <w:r w:rsidR="00EA732E">
        <w:rPr>
          <w:rFonts w:ascii="Times New Roman" w:hAnsi="Times New Roman" w:cs="Times New Roman"/>
          <w:sz w:val="24"/>
        </w:rPr>
        <w:t>the contractor</w:t>
      </w:r>
      <w:r w:rsidRPr="001630A7">
        <w:rPr>
          <w:rFonts w:ascii="Times New Roman" w:hAnsi="Times New Roman" w:cs="Times New Roman"/>
          <w:sz w:val="24"/>
        </w:rPr>
        <w:t xml:space="preserve"> will enter the information into an Access database</w:t>
      </w:r>
      <w:r w:rsidR="00C6567B" w:rsidRPr="001630A7">
        <w:rPr>
          <w:rFonts w:ascii="Times New Roman" w:hAnsi="Times New Roman" w:cs="Times New Roman"/>
          <w:sz w:val="24"/>
        </w:rPr>
        <w:t xml:space="preserve"> called the Monitoring and Evaluation Tool (MET)</w:t>
      </w:r>
      <w:r w:rsidRPr="001630A7">
        <w:rPr>
          <w:rFonts w:ascii="Times New Roman" w:hAnsi="Times New Roman" w:cs="Times New Roman"/>
          <w:sz w:val="24"/>
        </w:rPr>
        <w:t>.  The database will only be available to authorized CDC program staff and contractors.  Responses will be stored on secure network servers, subject to the agency’s computer security measures.  CDC staff will have the capacity to query the database to extract individual or aggregate awardee-related data.  CDC staff will generate reports for each of their assigned states on an annual basis.</w:t>
      </w:r>
    </w:p>
    <w:p w14:paraId="6113CBD2" w14:textId="77777777" w:rsidR="00647952" w:rsidRDefault="00647952" w:rsidP="00647952">
      <w:pPr>
        <w:spacing w:after="0" w:line="240" w:lineRule="auto"/>
        <w:rPr>
          <w:rFonts w:ascii="Times New Roman" w:eastAsia="Times New Roman" w:hAnsi="Times New Roman" w:cs="Times New Roman"/>
          <w:bCs/>
          <w:sz w:val="24"/>
          <w:szCs w:val="24"/>
        </w:rPr>
      </w:pPr>
    </w:p>
    <w:p w14:paraId="501E5A0D" w14:textId="77777777" w:rsidR="00647952" w:rsidRDefault="00647952" w:rsidP="00647952">
      <w:pPr>
        <w:spacing w:after="0" w:line="240" w:lineRule="auto"/>
        <w:rPr>
          <w:rFonts w:ascii="Times New Roman" w:eastAsia="Times New Roman" w:hAnsi="Times New Roman" w:cs="Times New Roman"/>
          <w:b/>
          <w:bCs/>
          <w:sz w:val="24"/>
          <w:szCs w:val="24"/>
        </w:rPr>
      </w:pPr>
    </w:p>
    <w:p w14:paraId="4F7F2B94" w14:textId="0BF56031" w:rsidR="00647952" w:rsidRPr="00647952" w:rsidRDefault="00647952" w:rsidP="00647952">
      <w:pPr>
        <w:spacing w:after="0" w:line="240" w:lineRule="auto"/>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t>B.3. Methods to Maximize Response Rates and Deal with Nonresponse</w:t>
      </w:r>
    </w:p>
    <w:p w14:paraId="5F77F0D2" w14:textId="77777777" w:rsidR="00647952" w:rsidRPr="00647952" w:rsidRDefault="00647952" w:rsidP="00647952">
      <w:pPr>
        <w:spacing w:after="0" w:line="240" w:lineRule="auto"/>
        <w:rPr>
          <w:rFonts w:ascii="Times New Roman" w:eastAsia="Times New Roman" w:hAnsi="Times New Roman" w:cs="Times New Roman"/>
          <w:b/>
          <w:bCs/>
          <w:sz w:val="24"/>
          <w:szCs w:val="24"/>
        </w:rPr>
      </w:pPr>
    </w:p>
    <w:p w14:paraId="175E8AE6" w14:textId="73082285" w:rsidR="00647952" w:rsidRDefault="00647952" w:rsidP="00647952">
      <w:pPr>
        <w:spacing w:after="0" w:line="240" w:lineRule="auto"/>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Annual reports are a requirement for each program awarded funding under the FOA in order to continue to receive cooperative agreement funding. Hence, response rates are expected to be 100%.</w:t>
      </w:r>
    </w:p>
    <w:p w14:paraId="1A212AA0" w14:textId="77777777" w:rsidR="00647952" w:rsidRDefault="00647952" w:rsidP="00647952">
      <w:pPr>
        <w:spacing w:after="0" w:line="240" w:lineRule="auto"/>
        <w:rPr>
          <w:rFonts w:ascii="Times New Roman" w:eastAsia="Times New Roman" w:hAnsi="Times New Roman" w:cs="Times New Roman"/>
          <w:bCs/>
          <w:sz w:val="24"/>
          <w:szCs w:val="24"/>
        </w:rPr>
      </w:pPr>
    </w:p>
    <w:p w14:paraId="37717C77" w14:textId="77777777" w:rsidR="00647952"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37298D4B" w14:textId="77777777" w:rsidR="00647952" w:rsidRPr="000B2026" w:rsidRDefault="00647952" w:rsidP="00647952">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0B2026">
        <w:rPr>
          <w:rFonts w:ascii="Times New Roman" w:eastAsia="Times New Roman" w:hAnsi="Times New Roman" w:cs="Times New Roman"/>
          <w:b/>
          <w:bCs/>
          <w:sz w:val="24"/>
          <w:szCs w:val="24"/>
        </w:rPr>
        <w:t xml:space="preserve">B.4. Tests of Procedures or Methods to be Undertaken </w:t>
      </w:r>
    </w:p>
    <w:p w14:paraId="056CFB98" w14:textId="77777777" w:rsidR="00647952" w:rsidRDefault="00647952" w:rsidP="00647952">
      <w:pPr>
        <w:spacing w:after="0" w:line="240" w:lineRule="auto"/>
        <w:rPr>
          <w:rFonts w:ascii="Times New Roman" w:eastAsia="Times New Roman" w:hAnsi="Times New Roman" w:cs="Times New Roman"/>
          <w:bCs/>
          <w:sz w:val="24"/>
          <w:szCs w:val="24"/>
        </w:rPr>
      </w:pPr>
    </w:p>
    <w:p w14:paraId="09DFBA0E" w14:textId="09D029D2" w:rsidR="00647952" w:rsidRDefault="006C29F7" w:rsidP="00AD1822">
      <w:pPr>
        <w:spacing w:after="0" w:line="240" w:lineRule="auto"/>
        <w:rPr>
          <w:rFonts w:ascii="Times New Roman" w:hAnsi="Times New Roman" w:cs="Times New Roman"/>
          <w:sz w:val="24"/>
        </w:rPr>
      </w:pPr>
      <w:r>
        <w:rPr>
          <w:rFonts w:ascii="Times New Roman" w:hAnsi="Times New Roman" w:cs="Times New Roman"/>
          <w:sz w:val="24"/>
        </w:rPr>
        <w:t xml:space="preserve">The reporting tool was beta-tested with </w:t>
      </w:r>
      <w:r w:rsidR="00C6567B">
        <w:rPr>
          <w:rFonts w:ascii="Times New Roman" w:hAnsi="Times New Roman" w:cs="Times New Roman"/>
          <w:sz w:val="24"/>
        </w:rPr>
        <w:t xml:space="preserve">fewer </w:t>
      </w:r>
      <w:r w:rsidR="007A03A6">
        <w:rPr>
          <w:rFonts w:ascii="Times New Roman" w:hAnsi="Times New Roman" w:cs="Times New Roman"/>
          <w:sz w:val="24"/>
        </w:rPr>
        <w:t xml:space="preserve">than 10 </w:t>
      </w:r>
      <w:r>
        <w:rPr>
          <w:rFonts w:ascii="Times New Roman" w:hAnsi="Times New Roman" w:cs="Times New Roman"/>
          <w:sz w:val="24"/>
        </w:rPr>
        <w:t xml:space="preserve">awardees from </w:t>
      </w:r>
      <w:r w:rsidR="007A03A6">
        <w:rPr>
          <w:rFonts w:ascii="Times New Roman" w:hAnsi="Times New Roman" w:cs="Times New Roman"/>
          <w:sz w:val="24"/>
        </w:rPr>
        <w:t xml:space="preserve">a small grant program, </w:t>
      </w:r>
      <w:r w:rsidRPr="006C29F7">
        <w:rPr>
          <w:rFonts w:ascii="Times New Roman" w:hAnsi="Times New Roman" w:cs="Times New Roman"/>
          <w:sz w:val="24"/>
        </w:rPr>
        <w:t xml:space="preserve">Prescription Drug Overdose: Boost for State Prevention </w:t>
      </w:r>
      <w:r w:rsidR="007A03A6">
        <w:rPr>
          <w:rFonts w:ascii="Times New Roman" w:hAnsi="Times New Roman" w:cs="Times New Roman"/>
          <w:sz w:val="24"/>
        </w:rPr>
        <w:t>(</w:t>
      </w:r>
      <w:r w:rsidRPr="006C29F7">
        <w:rPr>
          <w:rFonts w:ascii="Times New Roman" w:hAnsi="Times New Roman" w:cs="Times New Roman"/>
          <w:sz w:val="24"/>
        </w:rPr>
        <w:t>funding opportun</w:t>
      </w:r>
      <w:r>
        <w:rPr>
          <w:rFonts w:ascii="Times New Roman" w:hAnsi="Times New Roman" w:cs="Times New Roman"/>
          <w:sz w:val="24"/>
        </w:rPr>
        <w:t>ity announcement FOA CE14-1404</w:t>
      </w:r>
      <w:r w:rsidR="00DC5931">
        <w:rPr>
          <w:rFonts w:ascii="Times New Roman" w:hAnsi="Times New Roman" w:cs="Times New Roman"/>
          <w:sz w:val="24"/>
        </w:rPr>
        <w:t>; referred to as “Boost”</w:t>
      </w:r>
      <w:r>
        <w:rPr>
          <w:rFonts w:ascii="Times New Roman" w:hAnsi="Times New Roman" w:cs="Times New Roman"/>
          <w:sz w:val="24"/>
        </w:rPr>
        <w:t xml:space="preserve">). Therefore, </w:t>
      </w:r>
      <w:r w:rsidR="00DC5931">
        <w:rPr>
          <w:rFonts w:ascii="Times New Roman" w:hAnsi="Times New Roman" w:cs="Times New Roman"/>
          <w:sz w:val="24"/>
        </w:rPr>
        <w:t xml:space="preserve">additional </w:t>
      </w:r>
      <w:r>
        <w:rPr>
          <w:rFonts w:ascii="Times New Roman" w:hAnsi="Times New Roman" w:cs="Times New Roman"/>
          <w:sz w:val="24"/>
        </w:rPr>
        <w:t>beta-testing will not be necessary for awardees of this FOA</w:t>
      </w:r>
      <w:r w:rsidR="00CA618F">
        <w:rPr>
          <w:rFonts w:ascii="Times New Roman" w:hAnsi="Times New Roman" w:cs="Times New Roman"/>
          <w:sz w:val="24"/>
        </w:rPr>
        <w:t xml:space="preserve"> (FOA CE15-1501)</w:t>
      </w:r>
      <w:r>
        <w:rPr>
          <w:rFonts w:ascii="Times New Roman" w:hAnsi="Times New Roman" w:cs="Times New Roman"/>
          <w:sz w:val="24"/>
        </w:rPr>
        <w:t xml:space="preserve">. </w:t>
      </w:r>
      <w:r w:rsidR="008A7022">
        <w:rPr>
          <w:rFonts w:ascii="Times New Roman" w:hAnsi="Times New Roman" w:cs="Times New Roman"/>
          <w:sz w:val="24"/>
        </w:rPr>
        <w:t>Beta-testing</w:t>
      </w:r>
      <w:r w:rsidR="00DC5931">
        <w:rPr>
          <w:rFonts w:ascii="Times New Roman" w:hAnsi="Times New Roman" w:cs="Times New Roman"/>
          <w:sz w:val="24"/>
        </w:rPr>
        <w:t xml:space="preserve"> under the Boost cooperative agreement</w:t>
      </w:r>
      <w:r w:rsidR="00647952" w:rsidRPr="000B2026">
        <w:rPr>
          <w:rFonts w:ascii="Times New Roman" w:hAnsi="Times New Roman" w:cs="Times New Roman"/>
          <w:sz w:val="24"/>
        </w:rPr>
        <w:t xml:space="preserve"> assess</w:t>
      </w:r>
      <w:r w:rsidR="008A7022">
        <w:rPr>
          <w:rFonts w:ascii="Times New Roman" w:hAnsi="Times New Roman" w:cs="Times New Roman"/>
          <w:sz w:val="24"/>
        </w:rPr>
        <w:t>ed</w:t>
      </w:r>
      <w:r w:rsidR="00647952" w:rsidRPr="000B2026">
        <w:rPr>
          <w:rFonts w:ascii="Times New Roman" w:hAnsi="Times New Roman" w:cs="Times New Roman"/>
          <w:sz w:val="24"/>
        </w:rPr>
        <w:t xml:space="preserve"> the content of the reporting tool, the design of the tool including skip patterns and drop-down menus, the time needed to complete the tool</w:t>
      </w:r>
      <w:r w:rsidR="00DC5931">
        <w:rPr>
          <w:rFonts w:ascii="Times New Roman" w:hAnsi="Times New Roman" w:cs="Times New Roman"/>
          <w:sz w:val="24"/>
        </w:rPr>
        <w:t>,</w:t>
      </w:r>
      <w:r w:rsidR="00647952" w:rsidRPr="000B2026">
        <w:rPr>
          <w:rFonts w:ascii="Times New Roman" w:hAnsi="Times New Roman" w:cs="Times New Roman"/>
          <w:sz w:val="24"/>
        </w:rPr>
        <w:t xml:space="preserve"> and the ease of completing the tool.  </w:t>
      </w:r>
      <w:r w:rsidR="00A362B8">
        <w:rPr>
          <w:rFonts w:ascii="Times New Roman" w:hAnsi="Times New Roman" w:cs="Times New Roman"/>
          <w:sz w:val="24"/>
        </w:rPr>
        <w:t>Beta-testing consisted of submission of data and feedback session</w:t>
      </w:r>
      <w:r w:rsidR="00DC5931">
        <w:rPr>
          <w:rFonts w:ascii="Times New Roman" w:hAnsi="Times New Roman" w:cs="Times New Roman"/>
          <w:sz w:val="24"/>
        </w:rPr>
        <w:t>s</w:t>
      </w:r>
      <w:r w:rsidR="00647952" w:rsidRPr="000B2026">
        <w:rPr>
          <w:rFonts w:ascii="Times New Roman" w:hAnsi="Times New Roman" w:cs="Times New Roman"/>
          <w:sz w:val="24"/>
        </w:rPr>
        <w:t>.</w:t>
      </w:r>
    </w:p>
    <w:p w14:paraId="52DA1BAC" w14:textId="77777777" w:rsid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680D49B6" w14:textId="77777777" w:rsidR="00AD1822" w:rsidRDefault="00AD1822"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1C7BDCB0" w14:textId="75D12BF3"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0B2026">
        <w:rPr>
          <w:rFonts w:ascii="Times New Roman" w:eastAsia="Times New Roman" w:hAnsi="Times New Roman" w:cs="Times New Roman"/>
          <w:b/>
          <w:bCs/>
          <w:sz w:val="24"/>
          <w:szCs w:val="24"/>
        </w:rPr>
        <w:t>B.5. Individuals Consulted on Statistical Aspects and Individuals Collecting and/or Analyzing Data</w:t>
      </w:r>
    </w:p>
    <w:p w14:paraId="748FFC97" w14:textId="77777777"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p>
    <w:p w14:paraId="3A318001" w14:textId="63FDE984" w:rsidR="000B2026" w:rsidRPr="000B2026" w:rsidRDefault="000B2026" w:rsidP="00AD1822">
      <w:pPr>
        <w:spacing w:after="0" w:line="240" w:lineRule="auto"/>
        <w:rPr>
          <w:rFonts w:ascii="Times New Roman" w:hAnsi="Times New Roman" w:cs="Times New Roman"/>
          <w:sz w:val="24"/>
        </w:rPr>
      </w:pPr>
      <w:r w:rsidRPr="000B2026">
        <w:rPr>
          <w:rFonts w:ascii="Times New Roman" w:hAnsi="Times New Roman" w:cs="Times New Roman"/>
          <w:sz w:val="24"/>
        </w:rPr>
        <w:lastRenderedPageBreak/>
        <w:t>A</w:t>
      </w:r>
      <w:r w:rsidR="00A362B8">
        <w:rPr>
          <w:rFonts w:ascii="Times New Roman" w:hAnsi="Times New Roman" w:cs="Times New Roman"/>
          <w:sz w:val="24"/>
        </w:rPr>
        <w:t>n NCIPC/CDC</w:t>
      </w:r>
      <w:r w:rsidRPr="000B2026">
        <w:rPr>
          <w:rFonts w:ascii="Times New Roman" w:hAnsi="Times New Roman" w:cs="Times New Roman"/>
          <w:sz w:val="24"/>
        </w:rPr>
        <w:t xml:space="preserve"> workgroup has been established to assist in the development of the reporting tool. The </w:t>
      </w:r>
      <w:r w:rsidR="00A362B8">
        <w:rPr>
          <w:rFonts w:ascii="Times New Roman" w:hAnsi="Times New Roman" w:cs="Times New Roman"/>
          <w:sz w:val="24"/>
        </w:rPr>
        <w:t>NCIPC/</w:t>
      </w:r>
      <w:r w:rsidRPr="000B2026">
        <w:rPr>
          <w:rFonts w:ascii="Times New Roman" w:hAnsi="Times New Roman" w:cs="Times New Roman"/>
          <w:sz w:val="24"/>
        </w:rPr>
        <w:t>CDC members provided input on content, functionality, and usability of the database, and work</w:t>
      </w:r>
      <w:r w:rsidR="00A362B8">
        <w:rPr>
          <w:rFonts w:ascii="Times New Roman" w:hAnsi="Times New Roman" w:cs="Times New Roman"/>
          <w:sz w:val="24"/>
        </w:rPr>
        <w:t>ed</w:t>
      </w:r>
      <w:r w:rsidRPr="000B2026">
        <w:rPr>
          <w:rFonts w:ascii="Times New Roman" w:hAnsi="Times New Roman" w:cs="Times New Roman"/>
          <w:sz w:val="24"/>
        </w:rPr>
        <w:t xml:space="preserve"> with the contra</w:t>
      </w:r>
      <w:r>
        <w:rPr>
          <w:rFonts w:ascii="Times New Roman" w:hAnsi="Times New Roman" w:cs="Times New Roman"/>
          <w:sz w:val="24"/>
        </w:rPr>
        <w:t>ctor in the design of the tool.</w:t>
      </w:r>
    </w:p>
    <w:p w14:paraId="57B1088C" w14:textId="77777777" w:rsidR="00AD1822" w:rsidRDefault="00AD1822" w:rsidP="00AD1822">
      <w:pPr>
        <w:spacing w:after="0" w:line="240" w:lineRule="auto"/>
        <w:rPr>
          <w:rFonts w:ascii="Times New Roman" w:hAnsi="Times New Roman" w:cs="Times New Roman"/>
          <w:sz w:val="24"/>
        </w:rPr>
      </w:pPr>
    </w:p>
    <w:p w14:paraId="52557612" w14:textId="77A64D1C" w:rsidR="000B2026" w:rsidRDefault="000B2026" w:rsidP="00AD1822">
      <w:pPr>
        <w:spacing w:after="0" w:line="240" w:lineRule="auto"/>
        <w:rPr>
          <w:rFonts w:ascii="Times New Roman" w:hAnsi="Times New Roman" w:cs="Times New Roman"/>
          <w:sz w:val="24"/>
        </w:rPr>
      </w:pPr>
      <w:r w:rsidRPr="000B2026">
        <w:rPr>
          <w:rFonts w:ascii="Times New Roman" w:hAnsi="Times New Roman" w:cs="Times New Roman"/>
          <w:sz w:val="24"/>
        </w:rPr>
        <w:t>The individuals responsible for design</w:t>
      </w:r>
      <w:r w:rsidR="00C6567B">
        <w:rPr>
          <w:rFonts w:ascii="Times New Roman" w:hAnsi="Times New Roman" w:cs="Times New Roman"/>
          <w:sz w:val="24"/>
        </w:rPr>
        <w:t xml:space="preserve"> and</w:t>
      </w:r>
      <w:r w:rsidRPr="000B2026">
        <w:rPr>
          <w:rFonts w:ascii="Times New Roman" w:hAnsi="Times New Roman" w:cs="Times New Roman"/>
          <w:sz w:val="24"/>
        </w:rPr>
        <w:t xml:space="preserve"> of the data collection system</w:t>
      </w:r>
      <w:r w:rsidR="00C6567B">
        <w:rPr>
          <w:rFonts w:ascii="Times New Roman" w:hAnsi="Times New Roman" w:cs="Times New Roman"/>
          <w:sz w:val="24"/>
        </w:rPr>
        <w:t xml:space="preserve">, and </w:t>
      </w:r>
      <w:r w:rsidR="00147D7F">
        <w:rPr>
          <w:rFonts w:ascii="Times New Roman" w:hAnsi="Times New Roman" w:cs="Times New Roman"/>
          <w:sz w:val="24"/>
        </w:rPr>
        <w:t>the management and reporting of data,</w:t>
      </w:r>
      <w:r w:rsidRPr="000B2026">
        <w:rPr>
          <w:rFonts w:ascii="Times New Roman" w:hAnsi="Times New Roman" w:cs="Times New Roman"/>
          <w:sz w:val="24"/>
        </w:rPr>
        <w:t xml:space="preserve"> include:</w:t>
      </w:r>
    </w:p>
    <w:p w14:paraId="3DA1D739" w14:textId="77777777" w:rsidR="00AD1822" w:rsidRDefault="000B2026" w:rsidP="000B2026">
      <w:pPr>
        <w:rPr>
          <w:rFonts w:ascii="Times New Roman" w:hAnsi="Times New Roman" w:cs="Times New Roman"/>
          <w:sz w:val="24"/>
        </w:rPr>
      </w:pPr>
      <w:r>
        <w:rPr>
          <w:rFonts w:ascii="Times New Roman" w:hAnsi="Times New Roman" w:cs="Times New Roman"/>
          <w:sz w:val="24"/>
        </w:rPr>
        <w:tab/>
      </w:r>
    </w:p>
    <w:p w14:paraId="14648834" w14:textId="6804E1D7" w:rsidR="000B2026" w:rsidRDefault="00304F63" w:rsidP="00AD1822">
      <w:pPr>
        <w:ind w:firstLine="720"/>
        <w:rPr>
          <w:rFonts w:ascii="Times New Roman" w:hAnsi="Times New Roman" w:cs="Times New Roman"/>
          <w:sz w:val="24"/>
        </w:rPr>
      </w:pPr>
      <w:r>
        <w:rPr>
          <w:rFonts w:ascii="Times New Roman" w:hAnsi="Times New Roman" w:cs="Times New Roman"/>
          <w:sz w:val="24"/>
        </w:rPr>
        <w:t>Rachael Nosin</w:t>
      </w:r>
      <w:r w:rsidR="000B2026">
        <w:rPr>
          <w:rFonts w:ascii="Times New Roman" w:hAnsi="Times New Roman" w:cs="Times New Roman"/>
          <w:sz w:val="24"/>
        </w:rPr>
        <w:t xml:space="preserve">, </w:t>
      </w:r>
      <w:bookmarkStart w:id="1" w:name="_GoBack"/>
      <w:r w:rsidR="000B2026">
        <w:rPr>
          <w:rFonts w:ascii="Times New Roman" w:hAnsi="Times New Roman" w:cs="Times New Roman"/>
          <w:sz w:val="24"/>
        </w:rPr>
        <w:t>Del</w:t>
      </w:r>
      <w:bookmarkEnd w:id="1"/>
      <w:r w:rsidR="000B2026">
        <w:rPr>
          <w:rFonts w:ascii="Times New Roman" w:hAnsi="Times New Roman" w:cs="Times New Roman"/>
          <w:sz w:val="24"/>
        </w:rPr>
        <w:t xml:space="preserve">oitte LLC, </w:t>
      </w:r>
      <w:hyperlink r:id="rId12" w:history="1">
        <w:r w:rsidRPr="00205B0F">
          <w:rPr>
            <w:rStyle w:val="Hyperlink"/>
            <w:rFonts w:ascii="Times New Roman" w:hAnsi="Times New Roman" w:cs="Times New Roman"/>
            <w:sz w:val="24"/>
          </w:rPr>
          <w:t>rnosin@deloitte.com</w:t>
        </w:r>
      </w:hyperlink>
      <w:r w:rsidR="000B2026">
        <w:rPr>
          <w:rFonts w:ascii="Times New Roman" w:hAnsi="Times New Roman" w:cs="Times New Roman"/>
          <w:sz w:val="24"/>
        </w:rPr>
        <w:t xml:space="preserve"> </w:t>
      </w:r>
    </w:p>
    <w:p w14:paraId="3972DA13" w14:textId="69C79A55" w:rsidR="000B2026" w:rsidRDefault="000B2026" w:rsidP="000B2026">
      <w:pPr>
        <w:rPr>
          <w:rFonts w:ascii="Times New Roman" w:hAnsi="Times New Roman" w:cs="Times New Roman"/>
          <w:sz w:val="24"/>
        </w:rPr>
      </w:pPr>
      <w:r>
        <w:rPr>
          <w:rFonts w:ascii="Times New Roman" w:hAnsi="Times New Roman" w:cs="Times New Roman"/>
          <w:sz w:val="24"/>
        </w:rPr>
        <w:tab/>
      </w:r>
      <w:r w:rsidR="00304F63">
        <w:rPr>
          <w:rFonts w:ascii="Times New Roman" w:hAnsi="Times New Roman" w:cs="Times New Roman"/>
          <w:sz w:val="24"/>
        </w:rPr>
        <w:t>Adam Kolojejchick-Kotch</w:t>
      </w:r>
      <w:r w:rsidRPr="000B2026">
        <w:rPr>
          <w:rFonts w:ascii="Times New Roman" w:hAnsi="Times New Roman" w:cs="Times New Roman"/>
          <w:sz w:val="24"/>
        </w:rPr>
        <w:t xml:space="preserve">, Deloitte LLC, </w:t>
      </w:r>
      <w:hyperlink r:id="rId13" w:history="1">
        <w:r w:rsidR="00304F63" w:rsidRPr="00205B0F">
          <w:rPr>
            <w:rStyle w:val="Hyperlink"/>
            <w:rFonts w:ascii="Times New Roman" w:hAnsi="Times New Roman" w:cs="Times New Roman"/>
            <w:sz w:val="24"/>
          </w:rPr>
          <w:t>akolojejchickkotc@deloitte.com</w:t>
        </w:r>
      </w:hyperlink>
      <w:r w:rsidR="00AD1822">
        <w:rPr>
          <w:rFonts w:ascii="Times New Roman" w:hAnsi="Times New Roman" w:cs="Times New Roman"/>
          <w:sz w:val="24"/>
        </w:rPr>
        <w:t xml:space="preserve"> </w:t>
      </w:r>
    </w:p>
    <w:p w14:paraId="55D28BB6" w14:textId="522DD63E" w:rsidR="000B2026" w:rsidRDefault="000B2026" w:rsidP="00647952">
      <w:pPr>
        <w:rPr>
          <w:rFonts w:ascii="Times New Roman" w:hAnsi="Times New Roman" w:cs="Times New Roman"/>
          <w:sz w:val="24"/>
        </w:rPr>
      </w:pPr>
      <w:r>
        <w:rPr>
          <w:rFonts w:ascii="Times New Roman" w:hAnsi="Times New Roman" w:cs="Times New Roman"/>
          <w:sz w:val="24"/>
        </w:rPr>
        <w:tab/>
        <w:t>Marci Hertz, Team Lead,</w:t>
      </w:r>
      <w:r w:rsidR="00B0574D">
        <w:rPr>
          <w:rFonts w:ascii="Times New Roman" w:hAnsi="Times New Roman" w:cs="Times New Roman"/>
          <w:sz w:val="24"/>
        </w:rPr>
        <w:t xml:space="preserve"> Health Scientist,</w:t>
      </w:r>
      <w:r>
        <w:rPr>
          <w:rFonts w:ascii="Times New Roman" w:hAnsi="Times New Roman" w:cs="Times New Roman"/>
          <w:sz w:val="24"/>
        </w:rPr>
        <w:t xml:space="preserve"> NCIPC, CDC (770) 488-2547, </w:t>
      </w:r>
      <w:hyperlink r:id="rId14" w:history="1">
        <w:r w:rsidRPr="009C598D">
          <w:rPr>
            <w:rStyle w:val="Hyperlink"/>
            <w:rFonts w:ascii="Times New Roman" w:hAnsi="Times New Roman" w:cs="Times New Roman"/>
            <w:sz w:val="24"/>
          </w:rPr>
          <w:t>mvf4@cdc.gov</w:t>
        </w:r>
      </w:hyperlink>
      <w:r>
        <w:rPr>
          <w:rFonts w:ascii="Times New Roman" w:hAnsi="Times New Roman" w:cs="Times New Roman"/>
          <w:sz w:val="24"/>
        </w:rPr>
        <w:t xml:space="preserve"> </w:t>
      </w:r>
    </w:p>
    <w:p w14:paraId="6B65FF4A" w14:textId="507B147C" w:rsidR="000B2026" w:rsidRDefault="000B2026" w:rsidP="00647952">
      <w:pPr>
        <w:rPr>
          <w:rStyle w:val="Hyperlink"/>
          <w:rFonts w:ascii="Times New Roman" w:hAnsi="Times New Roman" w:cs="Times New Roman"/>
          <w:sz w:val="24"/>
          <w:u w:val="none"/>
        </w:rPr>
      </w:pPr>
      <w:r>
        <w:rPr>
          <w:rFonts w:ascii="Times New Roman" w:hAnsi="Times New Roman" w:cs="Times New Roman"/>
          <w:sz w:val="24"/>
        </w:rPr>
        <w:tab/>
        <w:t xml:space="preserve">Brandon Nesbit, Health Scientist, NCIPC, CDC (770) 488-0637, </w:t>
      </w:r>
      <w:hyperlink r:id="rId15" w:history="1">
        <w:r w:rsidRPr="009C598D">
          <w:rPr>
            <w:rStyle w:val="Hyperlink"/>
            <w:rFonts w:ascii="Times New Roman" w:hAnsi="Times New Roman" w:cs="Times New Roman"/>
            <w:sz w:val="24"/>
          </w:rPr>
          <w:t>vxw6@cdc.gov</w:t>
        </w:r>
      </w:hyperlink>
    </w:p>
    <w:p w14:paraId="27BAFCE4" w14:textId="57B59549" w:rsidR="00147D7F" w:rsidRDefault="00147D7F" w:rsidP="00647952">
      <w:pPr>
        <w:rPr>
          <w:rStyle w:val="Hyperlink"/>
          <w:rFonts w:ascii="Times New Roman" w:hAnsi="Times New Roman" w:cs="Times New Roman"/>
          <w:color w:val="auto"/>
          <w:sz w:val="24"/>
          <w:u w:val="none"/>
        </w:rPr>
      </w:pPr>
      <w:r>
        <w:rPr>
          <w:rStyle w:val="Hyperlink"/>
          <w:rFonts w:ascii="Times New Roman" w:hAnsi="Times New Roman" w:cs="Times New Roman"/>
          <w:sz w:val="24"/>
          <w:u w:val="none"/>
        </w:rPr>
        <w:tab/>
      </w:r>
      <w:r>
        <w:rPr>
          <w:rStyle w:val="Hyperlink"/>
          <w:rFonts w:ascii="Times New Roman" w:hAnsi="Times New Roman" w:cs="Times New Roman"/>
          <w:color w:val="auto"/>
          <w:sz w:val="24"/>
          <w:u w:val="none"/>
        </w:rPr>
        <w:t xml:space="preserve">Brad Biggers, </w:t>
      </w:r>
      <w:r w:rsidR="00304F63">
        <w:rPr>
          <w:rStyle w:val="Hyperlink"/>
          <w:rFonts w:ascii="Times New Roman" w:hAnsi="Times New Roman" w:cs="Times New Roman"/>
          <w:color w:val="auto"/>
          <w:sz w:val="24"/>
          <w:u w:val="none"/>
        </w:rPr>
        <w:t>Public Health Advisor</w:t>
      </w:r>
      <w:r>
        <w:rPr>
          <w:rStyle w:val="Hyperlink"/>
          <w:rFonts w:ascii="Times New Roman" w:hAnsi="Times New Roman" w:cs="Times New Roman"/>
          <w:color w:val="auto"/>
          <w:sz w:val="24"/>
          <w:u w:val="none"/>
        </w:rPr>
        <w:t>, NCIPC, CDC (770) 488</w:t>
      </w:r>
      <w:r w:rsidR="00304F63">
        <w:rPr>
          <w:rStyle w:val="Hyperlink"/>
          <w:rFonts w:ascii="Times New Roman" w:hAnsi="Times New Roman" w:cs="Times New Roman"/>
          <w:color w:val="auto"/>
          <w:sz w:val="24"/>
          <w:u w:val="none"/>
        </w:rPr>
        <w:t xml:space="preserve">-0562, </w:t>
      </w:r>
      <w:hyperlink r:id="rId16" w:history="1">
        <w:r w:rsidR="00304F63" w:rsidRPr="00205B0F">
          <w:rPr>
            <w:rStyle w:val="Hyperlink"/>
            <w:rFonts w:ascii="Times New Roman" w:hAnsi="Times New Roman" w:cs="Times New Roman"/>
            <w:sz w:val="24"/>
          </w:rPr>
          <w:t>wmp0@cdc.gov</w:t>
        </w:r>
      </w:hyperlink>
    </w:p>
    <w:p w14:paraId="429B663B" w14:textId="2A4D0CB3" w:rsidR="000B2026" w:rsidRPr="000B2026" w:rsidRDefault="000B2026" w:rsidP="00147D7F">
      <w:pPr>
        <w:rPr>
          <w:rFonts w:ascii="Times New Roman" w:hAnsi="Times New Roman" w:cs="Times New Roman"/>
          <w:sz w:val="24"/>
        </w:rPr>
      </w:pPr>
      <w:r>
        <w:rPr>
          <w:rFonts w:ascii="Times New Roman" w:hAnsi="Times New Roman" w:cs="Times New Roman"/>
          <w:sz w:val="24"/>
        </w:rPr>
        <w:tab/>
      </w:r>
      <w:r w:rsidR="002A342D">
        <w:rPr>
          <w:rFonts w:ascii="Times New Roman" w:hAnsi="Times New Roman" w:cs="Times New Roman"/>
          <w:sz w:val="24"/>
        </w:rPr>
        <w:t xml:space="preserve">Sarah Bacon, Behavioral Scientist, NCIPC, CDC (770) 488-0520, </w:t>
      </w:r>
      <w:hyperlink r:id="rId17" w:history="1">
        <w:r w:rsidR="002A342D" w:rsidRPr="004D4F74">
          <w:rPr>
            <w:rStyle w:val="Hyperlink"/>
            <w:rFonts w:ascii="Times New Roman" w:hAnsi="Times New Roman" w:cs="Times New Roman"/>
            <w:sz w:val="24"/>
          </w:rPr>
          <w:t>jfy5@cdc.gov</w:t>
        </w:r>
      </w:hyperlink>
    </w:p>
    <w:p w14:paraId="456D8983" w14:textId="77777777" w:rsidR="00647952" w:rsidRPr="00647952" w:rsidRDefault="00647952" w:rsidP="00647952">
      <w:pPr>
        <w:spacing w:after="0" w:line="240" w:lineRule="auto"/>
        <w:rPr>
          <w:rFonts w:ascii="Times New Roman" w:eastAsia="Times New Roman" w:hAnsi="Times New Roman" w:cs="Times New Roman"/>
          <w:bCs/>
          <w:sz w:val="24"/>
          <w:szCs w:val="24"/>
        </w:rPr>
      </w:pPr>
    </w:p>
    <w:sectPr w:rsidR="00647952" w:rsidRPr="00647952" w:rsidSect="00E06C8F">
      <w:footerReference w:type="even" r:id="rId18"/>
      <w:footerReference w:type="default" r:id="rId19"/>
      <w:pgSz w:w="12240" w:h="15840" w:code="1"/>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89B1" w14:textId="77777777" w:rsidR="00B35D2E" w:rsidRDefault="00B35D2E" w:rsidP="00A46E5B">
      <w:pPr>
        <w:spacing w:after="0" w:line="240" w:lineRule="auto"/>
      </w:pPr>
      <w:r>
        <w:separator/>
      </w:r>
    </w:p>
  </w:endnote>
  <w:endnote w:type="continuationSeparator" w:id="0">
    <w:p w14:paraId="11CD89B2" w14:textId="77777777" w:rsidR="00B35D2E" w:rsidRDefault="00B35D2E"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89B3"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D89B4" w14:textId="77777777" w:rsidR="00B35D2E" w:rsidRDefault="00B35D2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572273"/>
      <w:docPartObj>
        <w:docPartGallery w:val="Page Numbers (Bottom of Page)"/>
        <w:docPartUnique/>
      </w:docPartObj>
    </w:sdtPr>
    <w:sdtEndPr>
      <w:rPr>
        <w:noProof/>
      </w:rPr>
    </w:sdtEndPr>
    <w:sdtContent>
      <w:p w14:paraId="31F5C053" w14:textId="19686F6D" w:rsidR="00E06C8F" w:rsidRDefault="00E06C8F">
        <w:pPr>
          <w:pStyle w:val="Footer"/>
          <w:jc w:val="right"/>
        </w:pPr>
        <w:r>
          <w:fldChar w:fldCharType="begin"/>
        </w:r>
        <w:r>
          <w:instrText xml:space="preserve"> PAGE   \* MERGEFORMAT </w:instrText>
        </w:r>
        <w:r>
          <w:fldChar w:fldCharType="separate"/>
        </w:r>
        <w:r w:rsidR="00EA732E">
          <w:rPr>
            <w:noProof/>
          </w:rPr>
          <w:t>4</w:t>
        </w:r>
        <w:r>
          <w:rPr>
            <w:noProof/>
          </w:rPr>
          <w:fldChar w:fldCharType="end"/>
        </w:r>
      </w:p>
    </w:sdtContent>
  </w:sdt>
  <w:p w14:paraId="11CD89B6" w14:textId="77777777" w:rsidR="00B35D2E" w:rsidRPr="00BB4559" w:rsidRDefault="00B35D2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89AF" w14:textId="77777777" w:rsidR="00B35D2E" w:rsidRDefault="00B35D2E" w:rsidP="00A46E5B">
      <w:pPr>
        <w:spacing w:after="0" w:line="240" w:lineRule="auto"/>
      </w:pPr>
      <w:r>
        <w:separator/>
      </w:r>
    </w:p>
  </w:footnote>
  <w:footnote w:type="continuationSeparator" w:id="0">
    <w:p w14:paraId="11CD89B0" w14:textId="77777777" w:rsidR="00B35D2E" w:rsidRDefault="00B35D2E"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88831AA"/>
    <w:multiLevelType w:val="hybridMultilevel"/>
    <w:tmpl w:val="2C5AB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3"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0"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2"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3"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31"/>
  </w:num>
  <w:num w:numId="7">
    <w:abstractNumId w:val="26"/>
  </w:num>
  <w:num w:numId="8">
    <w:abstractNumId w:val="13"/>
  </w:num>
  <w:num w:numId="9">
    <w:abstractNumId w:val="41"/>
  </w:num>
  <w:num w:numId="10">
    <w:abstractNumId w:val="36"/>
  </w:num>
  <w:num w:numId="11">
    <w:abstractNumId w:val="42"/>
  </w:num>
  <w:num w:numId="12">
    <w:abstractNumId w:val="35"/>
  </w:num>
  <w:num w:numId="13">
    <w:abstractNumId w:val="30"/>
  </w:num>
  <w:num w:numId="14">
    <w:abstractNumId w:val="28"/>
  </w:num>
  <w:num w:numId="15">
    <w:abstractNumId w:val="11"/>
  </w:num>
  <w:num w:numId="16">
    <w:abstractNumId w:val="20"/>
  </w:num>
  <w:num w:numId="17">
    <w:abstractNumId w:val="19"/>
  </w:num>
  <w:num w:numId="18">
    <w:abstractNumId w:val="22"/>
  </w:num>
  <w:num w:numId="19">
    <w:abstractNumId w:val="39"/>
  </w:num>
  <w:num w:numId="20">
    <w:abstractNumId w:val="37"/>
  </w:num>
  <w:num w:numId="21">
    <w:abstractNumId w:val="43"/>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3"/>
  </w:num>
  <w:num w:numId="33">
    <w:abstractNumId w:val="38"/>
  </w:num>
  <w:num w:numId="34">
    <w:abstractNumId w:val="21"/>
  </w:num>
  <w:num w:numId="35">
    <w:abstractNumId w:val="34"/>
  </w:num>
  <w:num w:numId="36">
    <w:abstractNumId w:val="12"/>
  </w:num>
  <w:num w:numId="37">
    <w:abstractNumId w:val="16"/>
  </w:num>
  <w:num w:numId="38">
    <w:abstractNumId w:val="10"/>
  </w:num>
  <w:num w:numId="39">
    <w:abstractNumId w:val="33"/>
  </w:num>
  <w:num w:numId="40">
    <w:abstractNumId w:val="32"/>
  </w:num>
  <w:num w:numId="41">
    <w:abstractNumId w:val="40"/>
  </w:num>
  <w:num w:numId="42">
    <w:abstractNumId w:val="17"/>
  </w:num>
  <w:num w:numId="43">
    <w:abstractNumId w:val="2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917AD"/>
    <w:rsid w:val="000A09E4"/>
    <w:rsid w:val="000A0A59"/>
    <w:rsid w:val="000B1CA5"/>
    <w:rsid w:val="000B2026"/>
    <w:rsid w:val="000C4820"/>
    <w:rsid w:val="000D1575"/>
    <w:rsid w:val="000D504B"/>
    <w:rsid w:val="001110DF"/>
    <w:rsid w:val="00111C75"/>
    <w:rsid w:val="00147D7F"/>
    <w:rsid w:val="001630A7"/>
    <w:rsid w:val="0016796D"/>
    <w:rsid w:val="00215125"/>
    <w:rsid w:val="002455B8"/>
    <w:rsid w:val="002504D4"/>
    <w:rsid w:val="00257241"/>
    <w:rsid w:val="00277939"/>
    <w:rsid w:val="002A342D"/>
    <w:rsid w:val="002B4ECA"/>
    <w:rsid w:val="002F7DD0"/>
    <w:rsid w:val="00304F63"/>
    <w:rsid w:val="003405E9"/>
    <w:rsid w:val="00347384"/>
    <w:rsid w:val="00366D1D"/>
    <w:rsid w:val="003C2B1F"/>
    <w:rsid w:val="00415949"/>
    <w:rsid w:val="004807E9"/>
    <w:rsid w:val="004844BE"/>
    <w:rsid w:val="004E0C23"/>
    <w:rsid w:val="004F0B2A"/>
    <w:rsid w:val="004F60DE"/>
    <w:rsid w:val="00573A17"/>
    <w:rsid w:val="005B3711"/>
    <w:rsid w:val="00647952"/>
    <w:rsid w:val="00654723"/>
    <w:rsid w:val="006C29F7"/>
    <w:rsid w:val="0070457A"/>
    <w:rsid w:val="00763C53"/>
    <w:rsid w:val="00773F43"/>
    <w:rsid w:val="007A03A6"/>
    <w:rsid w:val="007A2F0F"/>
    <w:rsid w:val="007B361B"/>
    <w:rsid w:val="007D627E"/>
    <w:rsid w:val="007E5A2C"/>
    <w:rsid w:val="007F0531"/>
    <w:rsid w:val="00811DAD"/>
    <w:rsid w:val="008258E0"/>
    <w:rsid w:val="00844658"/>
    <w:rsid w:val="00864D7C"/>
    <w:rsid w:val="00867C3E"/>
    <w:rsid w:val="008753F0"/>
    <w:rsid w:val="00886CD5"/>
    <w:rsid w:val="00891447"/>
    <w:rsid w:val="008A1646"/>
    <w:rsid w:val="008A7022"/>
    <w:rsid w:val="00913FC1"/>
    <w:rsid w:val="00926DDB"/>
    <w:rsid w:val="009C22C0"/>
    <w:rsid w:val="009C2CF0"/>
    <w:rsid w:val="00A13C40"/>
    <w:rsid w:val="00A362B8"/>
    <w:rsid w:val="00A45638"/>
    <w:rsid w:val="00A46E5B"/>
    <w:rsid w:val="00AD1822"/>
    <w:rsid w:val="00B0574D"/>
    <w:rsid w:val="00B335DA"/>
    <w:rsid w:val="00B33C7D"/>
    <w:rsid w:val="00B35D2E"/>
    <w:rsid w:val="00B5425E"/>
    <w:rsid w:val="00BA6005"/>
    <w:rsid w:val="00BB0C0C"/>
    <w:rsid w:val="00BB69D1"/>
    <w:rsid w:val="00BD0AA0"/>
    <w:rsid w:val="00BD799F"/>
    <w:rsid w:val="00BE7541"/>
    <w:rsid w:val="00C148F1"/>
    <w:rsid w:val="00C4134F"/>
    <w:rsid w:val="00C435A3"/>
    <w:rsid w:val="00C6567B"/>
    <w:rsid w:val="00CA269C"/>
    <w:rsid w:val="00CA618F"/>
    <w:rsid w:val="00CC23D3"/>
    <w:rsid w:val="00CD069C"/>
    <w:rsid w:val="00CF36B8"/>
    <w:rsid w:val="00D50D76"/>
    <w:rsid w:val="00D55D83"/>
    <w:rsid w:val="00D609F9"/>
    <w:rsid w:val="00D739DD"/>
    <w:rsid w:val="00D86CC1"/>
    <w:rsid w:val="00D94F37"/>
    <w:rsid w:val="00DC5931"/>
    <w:rsid w:val="00DD4995"/>
    <w:rsid w:val="00DE0B02"/>
    <w:rsid w:val="00DE2067"/>
    <w:rsid w:val="00E0345D"/>
    <w:rsid w:val="00E06C8F"/>
    <w:rsid w:val="00E16653"/>
    <w:rsid w:val="00E20F08"/>
    <w:rsid w:val="00E41C7C"/>
    <w:rsid w:val="00E5607C"/>
    <w:rsid w:val="00E56544"/>
    <w:rsid w:val="00E64BE3"/>
    <w:rsid w:val="00EA6907"/>
    <w:rsid w:val="00EA732E"/>
    <w:rsid w:val="00EB7F4B"/>
    <w:rsid w:val="00EE659C"/>
    <w:rsid w:val="00F276CD"/>
    <w:rsid w:val="00F3593D"/>
    <w:rsid w:val="00F46E54"/>
    <w:rsid w:val="00F95BA0"/>
    <w:rsid w:val="00FF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CD897F"/>
  <w15:docId w15:val="{98D6BC85-B9F8-4299-82E2-E1F31997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91285">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630671332">
      <w:bodyDiv w:val="1"/>
      <w:marLeft w:val="0"/>
      <w:marRight w:val="0"/>
      <w:marTop w:val="0"/>
      <w:marBottom w:val="0"/>
      <w:divBdr>
        <w:top w:val="none" w:sz="0" w:space="0" w:color="auto"/>
        <w:left w:val="none" w:sz="0" w:space="0" w:color="auto"/>
        <w:bottom w:val="none" w:sz="0" w:space="0" w:color="auto"/>
        <w:right w:val="none" w:sz="0" w:space="0" w:color="auto"/>
      </w:divBdr>
    </w:div>
    <w:div w:id="1686899217">
      <w:bodyDiv w:val="1"/>
      <w:marLeft w:val="0"/>
      <w:marRight w:val="0"/>
      <w:marTop w:val="0"/>
      <w:marBottom w:val="0"/>
      <w:divBdr>
        <w:top w:val="none" w:sz="0" w:space="0" w:color="auto"/>
        <w:left w:val="none" w:sz="0" w:space="0" w:color="auto"/>
        <w:bottom w:val="none" w:sz="0" w:space="0" w:color="auto"/>
        <w:right w:val="none" w:sz="0" w:space="0" w:color="auto"/>
      </w:divBdr>
    </w:div>
    <w:div w:id="1716075913">
      <w:bodyDiv w:val="1"/>
      <w:marLeft w:val="0"/>
      <w:marRight w:val="0"/>
      <w:marTop w:val="0"/>
      <w:marBottom w:val="0"/>
      <w:divBdr>
        <w:top w:val="none" w:sz="0" w:space="0" w:color="auto"/>
        <w:left w:val="none" w:sz="0" w:space="0" w:color="auto"/>
        <w:bottom w:val="none" w:sz="0" w:space="0" w:color="auto"/>
        <w:right w:val="none" w:sz="0" w:space="0" w:color="auto"/>
      </w:divBdr>
    </w:div>
    <w:div w:id="1859268608">
      <w:bodyDiv w:val="1"/>
      <w:marLeft w:val="0"/>
      <w:marRight w:val="0"/>
      <w:marTop w:val="0"/>
      <w:marBottom w:val="0"/>
      <w:divBdr>
        <w:top w:val="none" w:sz="0" w:space="0" w:color="auto"/>
        <w:left w:val="none" w:sz="0" w:space="0" w:color="auto"/>
        <w:bottom w:val="none" w:sz="0" w:space="0" w:color="auto"/>
        <w:right w:val="none" w:sz="0" w:space="0" w:color="auto"/>
      </w:divBdr>
    </w:div>
    <w:div w:id="19076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lojejchickkotc@deloitt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nosin@deloitte.com" TargetMode="External"/><Relationship Id="rId17" Type="http://schemas.openxmlformats.org/officeDocument/2006/relationships/hyperlink" Target="mailto:jfy5@cdc.gov" TargetMode="External"/><Relationship Id="rId2" Type="http://schemas.openxmlformats.org/officeDocument/2006/relationships/customXml" Target="../customXml/item2.xml"/><Relationship Id="rId16" Type="http://schemas.openxmlformats.org/officeDocument/2006/relationships/hyperlink" Target="mailto:wmp0@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xw6@cdc.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vf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VUADPPQRPPK6-323-1405</_dlc_DocId>
    <_dlc_DocIdUrl xmlns="004a172f-e16f-4887-a47b-3990e8128e1e">
      <Url>https://esp.cdc.gov/sites/ncipc/DARPI/PIEB/pdoboost/_layouts/15/DocIdRedir.aspx?ID=VUADPPQRPPK6-323-1405</Url>
      <Description>VUADPPQRPPK6-323-1405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DE6B761297B4287FF20B32BAF86E5" ma:contentTypeVersion="0" ma:contentTypeDescription="Create a new document." ma:contentTypeScope="" ma:versionID="36718a0e394b86189d95d245ae8427cc">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2.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3.xml><?xml version="1.0" encoding="utf-8"?>
<ds:datastoreItem xmlns:ds="http://schemas.openxmlformats.org/officeDocument/2006/customXml" ds:itemID="{57C94F47-2CA1-4827-8DBB-3F050A5B9C61}">
  <ds:schemaRefs>
    <ds:schemaRef ds:uri="http://purl.org/dc/elements/1.1/"/>
    <ds:schemaRef ds:uri="004a172f-e16f-4887-a47b-3990e8128e1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E59B992-1DC0-4D03-B1EB-AAE1071C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1878B7-1B1C-4555-BFDD-6D0579C4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xmn5</dc:creator>
  <cp:lastModifiedBy>Angel, Karen C. (CDC/ONDIEH/NCIPC)</cp:lastModifiedBy>
  <cp:revision>6</cp:revision>
  <dcterms:created xsi:type="dcterms:W3CDTF">2016-07-19T12:44:00Z</dcterms:created>
  <dcterms:modified xsi:type="dcterms:W3CDTF">2016-07-19T19:23:00Z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0x010100366DE6B761297B4287FF20B32BAF86E5</vt:lpwstr>
  </property>
  <property fmtid="{D5CDD505-2E9C-101B-9397-08002B2CF9AE}" pid="3" name="_dlc_DocIdItemGuid">
    <vt:lpwstr>d0c670e0-b68e-46f0-a105-c72b07370cbb</vt:lpwstr>
  </property>
</Properties>
</file>