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E5F0A" w14:textId="77777777" w:rsidR="005D43EA" w:rsidRPr="00251B0C" w:rsidRDefault="004C5D2B" w:rsidP="00785ECB">
      <w:pPr>
        <w:spacing w:after="0" w:line="480" w:lineRule="auto"/>
        <w:jc w:val="center"/>
        <w:rPr>
          <w:rFonts w:ascii="Times New Roman" w:hAnsi="Times New Roman" w:cs="Times New Roman"/>
          <w:b/>
          <w:bCs/>
          <w:color w:val="000000" w:themeColor="text1"/>
          <w:sz w:val="24"/>
          <w:szCs w:val="24"/>
        </w:rPr>
      </w:pPr>
      <w:r w:rsidRPr="00251B0C">
        <w:rPr>
          <w:rFonts w:ascii="Times New Roman" w:hAnsi="Times New Roman" w:cs="Times New Roman"/>
          <w:b/>
          <w:bCs/>
          <w:color w:val="000000" w:themeColor="text1"/>
          <w:sz w:val="24"/>
          <w:szCs w:val="24"/>
        </w:rPr>
        <w:t>HIV Knowledge, Beliefs, Attitudes, and Practices of Providers in the Southeast</w:t>
      </w:r>
    </w:p>
    <w:p w14:paraId="4BD0E29E" w14:textId="77777777" w:rsidR="005D43EA" w:rsidRPr="00251B0C" w:rsidRDefault="005D43EA" w:rsidP="00785ECB">
      <w:pPr>
        <w:spacing w:after="0" w:line="480" w:lineRule="auto"/>
        <w:jc w:val="center"/>
        <w:rPr>
          <w:rFonts w:ascii="Times New Roman" w:hAnsi="Times New Roman" w:cs="Times New Roman"/>
          <w:b/>
          <w:sz w:val="24"/>
          <w:szCs w:val="24"/>
        </w:rPr>
      </w:pPr>
      <w:r w:rsidRPr="00251B0C">
        <w:rPr>
          <w:rFonts w:ascii="Times New Roman" w:hAnsi="Times New Roman" w:cs="Times New Roman"/>
          <w:b/>
          <w:bCs/>
          <w:color w:val="000000" w:themeColor="text1"/>
          <w:sz w:val="24"/>
          <w:szCs w:val="24"/>
        </w:rPr>
        <w:t>(K-BAP Study)</w:t>
      </w:r>
    </w:p>
    <w:p w14:paraId="27929507" w14:textId="77777777" w:rsidR="005D43EA" w:rsidRPr="00251B0C" w:rsidRDefault="005D43EA" w:rsidP="00785ECB">
      <w:pPr>
        <w:spacing w:line="480" w:lineRule="auto"/>
        <w:jc w:val="center"/>
        <w:rPr>
          <w:rFonts w:ascii="Times New Roman" w:eastAsia="Times New Roman" w:hAnsi="Times New Roman" w:cs="Times New Roman"/>
          <w:sz w:val="24"/>
          <w:szCs w:val="24"/>
        </w:rPr>
      </w:pPr>
    </w:p>
    <w:p w14:paraId="3D6BE7EA" w14:textId="77777777" w:rsidR="005D43EA" w:rsidRPr="00251B0C" w:rsidRDefault="005D43EA" w:rsidP="005D43EA">
      <w:pPr>
        <w:jc w:val="center"/>
        <w:rPr>
          <w:rFonts w:ascii="Times New Roman" w:hAnsi="Times New Roman" w:cs="Times New Roman"/>
          <w:sz w:val="24"/>
          <w:szCs w:val="24"/>
        </w:rPr>
      </w:pPr>
    </w:p>
    <w:p w14:paraId="6FACC296" w14:textId="77777777" w:rsidR="005D43EA" w:rsidRPr="00251B0C" w:rsidRDefault="005D43EA" w:rsidP="005D43EA">
      <w:pPr>
        <w:jc w:val="center"/>
        <w:rPr>
          <w:rFonts w:ascii="Times New Roman" w:hAnsi="Times New Roman" w:cs="Times New Roman"/>
          <w:sz w:val="24"/>
          <w:szCs w:val="24"/>
        </w:rPr>
      </w:pPr>
    </w:p>
    <w:p w14:paraId="51B1F8BD" w14:textId="77777777" w:rsidR="005D43EA" w:rsidRPr="00251B0C" w:rsidRDefault="005D43EA" w:rsidP="005D43EA">
      <w:pPr>
        <w:jc w:val="center"/>
        <w:rPr>
          <w:rFonts w:ascii="Times New Roman" w:hAnsi="Times New Roman" w:cs="Times New Roman"/>
          <w:sz w:val="24"/>
          <w:szCs w:val="24"/>
        </w:rPr>
      </w:pPr>
      <w:r w:rsidRPr="00251B0C">
        <w:rPr>
          <w:rFonts w:ascii="Times New Roman" w:hAnsi="Times New Roman" w:cs="Times New Roman"/>
          <w:sz w:val="24"/>
          <w:szCs w:val="24"/>
        </w:rPr>
        <w:t>Supporting Statement A</w:t>
      </w:r>
    </w:p>
    <w:p w14:paraId="33A05B6E" w14:textId="77777777" w:rsidR="00785ECB" w:rsidRPr="00251B0C" w:rsidRDefault="00785ECB" w:rsidP="00785ECB">
      <w:pPr>
        <w:jc w:val="center"/>
        <w:rPr>
          <w:rFonts w:ascii="Times New Roman" w:hAnsi="Times New Roman" w:cs="Times New Roman"/>
          <w:sz w:val="24"/>
          <w:szCs w:val="24"/>
        </w:rPr>
      </w:pPr>
    </w:p>
    <w:p w14:paraId="29E04C9A" w14:textId="77777777" w:rsidR="00785ECB" w:rsidRPr="00251B0C" w:rsidRDefault="00785ECB" w:rsidP="00785ECB">
      <w:pPr>
        <w:jc w:val="center"/>
        <w:rPr>
          <w:rFonts w:ascii="Times New Roman" w:hAnsi="Times New Roman" w:cs="Times New Roman"/>
          <w:sz w:val="24"/>
          <w:szCs w:val="24"/>
        </w:rPr>
      </w:pPr>
    </w:p>
    <w:p w14:paraId="1CE767EB" w14:textId="77777777" w:rsidR="00785ECB" w:rsidRPr="00251B0C" w:rsidRDefault="00785ECB" w:rsidP="00785ECB">
      <w:pPr>
        <w:jc w:val="center"/>
        <w:rPr>
          <w:rFonts w:ascii="Times New Roman" w:hAnsi="Times New Roman" w:cs="Times New Roman"/>
          <w:sz w:val="24"/>
          <w:szCs w:val="24"/>
        </w:rPr>
      </w:pPr>
      <w:r w:rsidRPr="00251B0C">
        <w:rPr>
          <w:rFonts w:ascii="Times New Roman" w:hAnsi="Times New Roman" w:cs="Times New Roman"/>
          <w:sz w:val="24"/>
          <w:szCs w:val="24"/>
        </w:rPr>
        <w:t>OMB# 0920-New</w:t>
      </w:r>
    </w:p>
    <w:p w14:paraId="748A7025" w14:textId="77777777" w:rsidR="00785ECB" w:rsidRPr="00251B0C" w:rsidRDefault="00785ECB" w:rsidP="005D43EA">
      <w:pPr>
        <w:jc w:val="center"/>
        <w:rPr>
          <w:rFonts w:ascii="Times New Roman" w:hAnsi="Times New Roman" w:cs="Times New Roman"/>
          <w:sz w:val="24"/>
          <w:szCs w:val="24"/>
        </w:rPr>
      </w:pPr>
    </w:p>
    <w:p w14:paraId="7DFD2A1B" w14:textId="77777777" w:rsidR="005D43EA" w:rsidRPr="00251B0C" w:rsidRDefault="005D43EA" w:rsidP="005D43EA">
      <w:pPr>
        <w:jc w:val="center"/>
        <w:rPr>
          <w:rFonts w:ascii="Times New Roman" w:hAnsi="Times New Roman" w:cs="Times New Roman"/>
          <w:sz w:val="24"/>
          <w:szCs w:val="24"/>
        </w:rPr>
      </w:pPr>
    </w:p>
    <w:p w14:paraId="744558F3" w14:textId="77777777" w:rsidR="005D43EA" w:rsidRPr="00251B0C" w:rsidRDefault="005D43EA" w:rsidP="005D43EA">
      <w:pPr>
        <w:jc w:val="center"/>
        <w:rPr>
          <w:rFonts w:ascii="Times New Roman" w:hAnsi="Times New Roman" w:cs="Times New Roman"/>
          <w:sz w:val="24"/>
          <w:szCs w:val="24"/>
        </w:rPr>
      </w:pPr>
    </w:p>
    <w:p w14:paraId="237247F5" w14:textId="50D185E5" w:rsidR="005D43EA" w:rsidRPr="00251B0C" w:rsidRDefault="006952CB" w:rsidP="005D43EA">
      <w:pPr>
        <w:jc w:val="center"/>
        <w:rPr>
          <w:rFonts w:ascii="Times New Roman" w:hAnsi="Times New Roman" w:cs="Times New Roman"/>
          <w:sz w:val="24"/>
          <w:szCs w:val="24"/>
        </w:rPr>
      </w:pPr>
      <w:r>
        <w:rPr>
          <w:rFonts w:ascii="Times New Roman" w:hAnsi="Times New Roman" w:cs="Times New Roman"/>
          <w:sz w:val="24"/>
          <w:szCs w:val="24"/>
        </w:rPr>
        <w:t>January 29, 2017</w:t>
      </w:r>
    </w:p>
    <w:p w14:paraId="723F4835" w14:textId="77777777" w:rsidR="005D43EA" w:rsidRPr="00251B0C" w:rsidRDefault="005D43EA" w:rsidP="005D43EA">
      <w:pPr>
        <w:tabs>
          <w:tab w:val="left" w:pos="5160"/>
        </w:tabs>
        <w:rPr>
          <w:rFonts w:ascii="Times New Roman" w:hAnsi="Times New Roman" w:cs="Times New Roman"/>
          <w:sz w:val="24"/>
          <w:szCs w:val="24"/>
        </w:rPr>
      </w:pPr>
      <w:r w:rsidRPr="00251B0C">
        <w:rPr>
          <w:rFonts w:ascii="Times New Roman" w:hAnsi="Times New Roman" w:cs="Times New Roman"/>
          <w:sz w:val="24"/>
          <w:szCs w:val="24"/>
        </w:rPr>
        <w:tab/>
      </w:r>
    </w:p>
    <w:p w14:paraId="00C22107" w14:textId="77777777" w:rsidR="005D43EA" w:rsidRPr="00251B0C" w:rsidRDefault="005D43EA" w:rsidP="005D43EA">
      <w:pPr>
        <w:jc w:val="center"/>
        <w:rPr>
          <w:rFonts w:ascii="Times New Roman" w:hAnsi="Times New Roman" w:cs="Times New Roman"/>
          <w:sz w:val="24"/>
          <w:szCs w:val="24"/>
        </w:rPr>
      </w:pPr>
    </w:p>
    <w:p w14:paraId="3279C21D" w14:textId="77777777" w:rsidR="005D43EA" w:rsidRPr="00251B0C" w:rsidRDefault="005D43EA" w:rsidP="005D43EA">
      <w:pPr>
        <w:jc w:val="center"/>
        <w:rPr>
          <w:rFonts w:ascii="Times New Roman" w:hAnsi="Times New Roman" w:cs="Times New Roman"/>
          <w:sz w:val="24"/>
          <w:szCs w:val="24"/>
        </w:rPr>
      </w:pPr>
    </w:p>
    <w:p w14:paraId="0418B1B3" w14:textId="77777777" w:rsidR="005D43EA" w:rsidRPr="00251B0C" w:rsidRDefault="005D43EA" w:rsidP="005D43EA">
      <w:pPr>
        <w:jc w:val="center"/>
        <w:rPr>
          <w:rFonts w:ascii="Times New Roman" w:hAnsi="Times New Roman" w:cs="Times New Roman"/>
          <w:sz w:val="24"/>
          <w:szCs w:val="24"/>
        </w:rPr>
      </w:pPr>
      <w:r w:rsidRPr="00251B0C">
        <w:rPr>
          <w:rFonts w:ascii="Times New Roman" w:hAnsi="Times New Roman" w:cs="Times New Roman"/>
          <w:sz w:val="24"/>
          <w:szCs w:val="24"/>
        </w:rPr>
        <w:t>CONTACT</w:t>
      </w:r>
      <w:r w:rsidR="00785ECB" w:rsidRPr="00251B0C">
        <w:rPr>
          <w:rFonts w:ascii="Times New Roman" w:hAnsi="Times New Roman" w:cs="Times New Roman"/>
          <w:sz w:val="24"/>
          <w:szCs w:val="24"/>
        </w:rPr>
        <w:t>:</w:t>
      </w:r>
    </w:p>
    <w:p w14:paraId="4265D2DE" w14:textId="0677FEA4" w:rsidR="005D43EA" w:rsidRPr="00251B0C" w:rsidRDefault="006952CB" w:rsidP="005D43EA">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shd w:val="clear" w:color="auto" w:fill="FFFFFF"/>
        </w:rPr>
        <w:t xml:space="preserve">Madeline Y Sutton, MD, MPH or </w:t>
      </w:r>
      <w:r w:rsidR="005D43EA" w:rsidRPr="00251B0C">
        <w:rPr>
          <w:rFonts w:ascii="Times New Roman" w:hAnsi="Times New Roman" w:cs="Times New Roman"/>
          <w:bCs/>
          <w:sz w:val="24"/>
          <w:szCs w:val="24"/>
          <w:shd w:val="clear" w:color="auto" w:fill="FFFFFF"/>
        </w:rPr>
        <w:t>Kirk D. Henny, PhD</w:t>
      </w:r>
      <w:r w:rsidR="005D43EA" w:rsidRPr="00251B0C" w:rsidDel="00664896">
        <w:rPr>
          <w:rFonts w:ascii="Times New Roman" w:hAnsi="Times New Roman" w:cs="Times New Roman"/>
          <w:bCs/>
          <w:sz w:val="24"/>
          <w:szCs w:val="24"/>
          <w:shd w:val="clear" w:color="auto" w:fill="FFFFFF"/>
        </w:rPr>
        <w:t xml:space="preserve"> </w:t>
      </w:r>
      <w:r w:rsidR="005D43EA" w:rsidRPr="00251B0C">
        <w:rPr>
          <w:rFonts w:ascii="Times New Roman" w:hAnsi="Times New Roman" w:cs="Times New Roman"/>
          <w:sz w:val="24"/>
          <w:szCs w:val="24"/>
        </w:rPr>
        <w:br/>
        <w:t>Epidemiology Research Team</w:t>
      </w:r>
    </w:p>
    <w:p w14:paraId="57575EA2" w14:textId="77777777" w:rsidR="005D43EA" w:rsidRPr="00251B0C" w:rsidRDefault="005D43EA" w:rsidP="005D43EA">
      <w:pPr>
        <w:spacing w:after="0" w:line="240" w:lineRule="auto"/>
        <w:jc w:val="center"/>
        <w:rPr>
          <w:rFonts w:ascii="Times New Roman" w:hAnsi="Times New Roman" w:cs="Times New Roman"/>
          <w:sz w:val="24"/>
          <w:szCs w:val="24"/>
        </w:rPr>
      </w:pPr>
      <w:r w:rsidRPr="00251B0C">
        <w:rPr>
          <w:rFonts w:ascii="Times New Roman" w:hAnsi="Times New Roman" w:cs="Times New Roman"/>
          <w:sz w:val="24"/>
          <w:szCs w:val="24"/>
        </w:rPr>
        <w:t>Epidemiology Branch</w:t>
      </w:r>
    </w:p>
    <w:p w14:paraId="4DD6560D" w14:textId="77777777" w:rsidR="005D43EA" w:rsidRPr="00251B0C" w:rsidRDefault="005D43EA" w:rsidP="005D43EA">
      <w:pPr>
        <w:spacing w:after="0" w:line="240" w:lineRule="auto"/>
        <w:jc w:val="center"/>
        <w:rPr>
          <w:rFonts w:ascii="Times New Roman" w:hAnsi="Times New Roman" w:cs="Times New Roman"/>
          <w:sz w:val="24"/>
          <w:szCs w:val="24"/>
          <w:shd w:val="clear" w:color="auto" w:fill="FFFFFF"/>
        </w:rPr>
      </w:pPr>
      <w:r w:rsidRPr="00251B0C">
        <w:rPr>
          <w:rFonts w:ascii="Times New Roman" w:hAnsi="Times New Roman" w:cs="Times New Roman"/>
          <w:sz w:val="24"/>
          <w:szCs w:val="24"/>
        </w:rPr>
        <w:t>Division of HIV/AIDS Prevention</w:t>
      </w:r>
    </w:p>
    <w:p w14:paraId="32B00B76" w14:textId="0D61C549" w:rsidR="005D43EA" w:rsidRPr="00251B0C" w:rsidRDefault="005D43EA" w:rsidP="005D43EA">
      <w:pPr>
        <w:spacing w:after="0" w:line="240" w:lineRule="auto"/>
        <w:jc w:val="center"/>
        <w:rPr>
          <w:rFonts w:ascii="Times New Roman" w:hAnsi="Times New Roman" w:cs="Times New Roman"/>
          <w:sz w:val="24"/>
          <w:szCs w:val="24"/>
        </w:rPr>
      </w:pPr>
      <w:r w:rsidRPr="00251B0C">
        <w:rPr>
          <w:rFonts w:ascii="Times New Roman" w:hAnsi="Times New Roman" w:cs="Times New Roman"/>
          <w:sz w:val="24"/>
          <w:szCs w:val="24"/>
          <w:shd w:val="clear" w:color="auto" w:fill="FFFFFF"/>
        </w:rPr>
        <w:t>Centers for Disease Control and Prevention</w:t>
      </w:r>
      <w:r w:rsidRPr="00251B0C">
        <w:rPr>
          <w:rFonts w:ascii="Times New Roman" w:hAnsi="Times New Roman" w:cs="Times New Roman"/>
          <w:sz w:val="24"/>
          <w:szCs w:val="24"/>
        </w:rPr>
        <w:br/>
      </w:r>
      <w:r w:rsidRPr="00251B0C">
        <w:rPr>
          <w:rFonts w:ascii="Times New Roman" w:hAnsi="Times New Roman" w:cs="Times New Roman"/>
          <w:sz w:val="24"/>
          <w:szCs w:val="24"/>
          <w:shd w:val="clear" w:color="auto" w:fill="FFFFFF"/>
        </w:rPr>
        <w:t>1600 Clifton Road, NE, Mailstop E-45</w:t>
      </w:r>
      <w:r w:rsidRPr="00251B0C">
        <w:rPr>
          <w:rFonts w:ascii="Times New Roman" w:hAnsi="Times New Roman" w:cs="Times New Roman"/>
          <w:sz w:val="24"/>
          <w:szCs w:val="24"/>
        </w:rPr>
        <w:br/>
      </w:r>
      <w:r w:rsidRPr="00251B0C">
        <w:rPr>
          <w:rFonts w:ascii="Times New Roman" w:hAnsi="Times New Roman" w:cs="Times New Roman"/>
          <w:sz w:val="24"/>
          <w:szCs w:val="24"/>
          <w:shd w:val="clear" w:color="auto" w:fill="FFFFFF"/>
        </w:rPr>
        <w:t>Atlanta, GA 30329</w:t>
      </w:r>
      <w:r w:rsidRPr="00251B0C">
        <w:rPr>
          <w:rFonts w:ascii="Times New Roman" w:hAnsi="Times New Roman" w:cs="Times New Roman"/>
          <w:sz w:val="24"/>
          <w:szCs w:val="24"/>
        </w:rPr>
        <w:br/>
      </w:r>
      <w:r w:rsidRPr="00251B0C">
        <w:rPr>
          <w:rFonts w:ascii="Times New Roman" w:hAnsi="Times New Roman" w:cs="Times New Roman"/>
          <w:sz w:val="24"/>
          <w:szCs w:val="24"/>
          <w:shd w:val="clear" w:color="auto" w:fill="FFFFFF"/>
        </w:rPr>
        <w:t xml:space="preserve">Phone: </w:t>
      </w:r>
      <w:r w:rsidR="00FE4F69">
        <w:rPr>
          <w:rFonts w:ascii="Times New Roman" w:hAnsi="Times New Roman" w:cs="Times New Roman"/>
          <w:sz w:val="24"/>
          <w:szCs w:val="24"/>
          <w:shd w:val="clear" w:color="auto" w:fill="FFFFFF"/>
        </w:rPr>
        <w:t xml:space="preserve">404-639-1814 or </w:t>
      </w:r>
      <w:r w:rsidRPr="00251B0C">
        <w:rPr>
          <w:rFonts w:ascii="Times New Roman" w:hAnsi="Times New Roman" w:cs="Times New Roman"/>
          <w:sz w:val="24"/>
          <w:szCs w:val="24"/>
          <w:shd w:val="clear" w:color="auto" w:fill="FFFFFF"/>
        </w:rPr>
        <w:t>404-639-5383</w:t>
      </w:r>
      <w:r w:rsidRPr="00251B0C">
        <w:rPr>
          <w:rFonts w:ascii="Times New Roman" w:hAnsi="Times New Roman" w:cs="Times New Roman"/>
          <w:sz w:val="24"/>
          <w:szCs w:val="24"/>
        </w:rPr>
        <w:br/>
      </w:r>
      <w:r w:rsidRPr="00251B0C">
        <w:rPr>
          <w:rFonts w:ascii="Times New Roman" w:hAnsi="Times New Roman" w:cs="Times New Roman"/>
          <w:sz w:val="24"/>
          <w:szCs w:val="24"/>
          <w:shd w:val="clear" w:color="auto" w:fill="FFFFFF"/>
        </w:rPr>
        <w:t>Fax: 404-639-1950</w:t>
      </w:r>
      <w:r w:rsidRPr="00251B0C">
        <w:rPr>
          <w:rFonts w:ascii="Times New Roman" w:hAnsi="Times New Roman" w:cs="Times New Roman"/>
          <w:sz w:val="24"/>
          <w:szCs w:val="24"/>
        </w:rPr>
        <w:br/>
      </w:r>
      <w:r w:rsidRPr="00251B0C">
        <w:rPr>
          <w:rFonts w:ascii="Times New Roman" w:hAnsi="Times New Roman" w:cs="Times New Roman"/>
          <w:sz w:val="24"/>
          <w:szCs w:val="24"/>
          <w:shd w:val="clear" w:color="auto" w:fill="FFFFFF"/>
        </w:rPr>
        <w:t>E-mail:</w:t>
      </w:r>
      <w:r w:rsidRPr="00251B0C">
        <w:rPr>
          <w:rFonts w:ascii="Times New Roman" w:hAnsi="Times New Roman" w:cs="Times New Roman"/>
          <w:sz w:val="24"/>
          <w:szCs w:val="24"/>
        </w:rPr>
        <w:t> </w:t>
      </w:r>
      <w:hyperlink r:id="rId8" w:history="1">
        <w:r w:rsidR="00FE4F69" w:rsidRPr="001246C6">
          <w:rPr>
            <w:rStyle w:val="Hyperlink"/>
            <w:rFonts w:ascii="Times New Roman" w:hAnsi="Times New Roman" w:cs="Times New Roman"/>
            <w:sz w:val="24"/>
            <w:szCs w:val="24"/>
          </w:rPr>
          <w:t>zxa3@cdc.gov</w:t>
        </w:r>
      </w:hyperlink>
      <w:r w:rsidR="00FE4F69">
        <w:rPr>
          <w:rFonts w:ascii="Times New Roman" w:hAnsi="Times New Roman" w:cs="Times New Roman"/>
          <w:sz w:val="24"/>
          <w:szCs w:val="24"/>
        </w:rPr>
        <w:t xml:space="preserve"> or </w:t>
      </w:r>
      <w:hyperlink r:id="rId9" w:history="1">
        <w:r w:rsidRPr="00251B0C">
          <w:rPr>
            <w:rStyle w:val="Hyperlink"/>
            <w:rFonts w:ascii="Times New Roman" w:hAnsi="Times New Roman" w:cs="Times New Roman"/>
            <w:sz w:val="24"/>
            <w:szCs w:val="24"/>
          </w:rPr>
          <w:t>cso5@cdc.gov</w:t>
        </w:r>
      </w:hyperlink>
    </w:p>
    <w:p w14:paraId="26B4866F" w14:textId="77777777" w:rsidR="00664896" w:rsidRPr="00251B0C" w:rsidRDefault="00664896" w:rsidP="00664896">
      <w:pPr>
        <w:rPr>
          <w:rFonts w:ascii="Times New Roman" w:hAnsi="Times New Roman" w:cs="Times New Roman"/>
          <w:sz w:val="24"/>
          <w:szCs w:val="24"/>
        </w:rPr>
      </w:pPr>
    </w:p>
    <w:p w14:paraId="76961E9F" w14:textId="77777777" w:rsidR="00664896" w:rsidRPr="00251B0C" w:rsidRDefault="00664896" w:rsidP="00664896">
      <w:pPr>
        <w:tabs>
          <w:tab w:val="left" w:pos="4680"/>
        </w:tabs>
        <w:rPr>
          <w:rFonts w:ascii="Times New Roman" w:hAnsi="Times New Roman" w:cs="Times New Roman"/>
          <w:bCs/>
          <w:sz w:val="24"/>
          <w:szCs w:val="24"/>
        </w:rPr>
        <w:sectPr w:rsidR="00664896" w:rsidRPr="00251B0C" w:rsidSect="00664896">
          <w:headerReference w:type="default" r:id="rId10"/>
          <w:pgSz w:w="12240" w:h="15840"/>
          <w:pgMar w:top="1440" w:right="1440" w:bottom="1440" w:left="1440" w:header="720" w:footer="720" w:gutter="0"/>
          <w:pgNumType w:fmt="lowerRoman" w:start="1"/>
          <w:cols w:space="720"/>
          <w:docGrid w:linePitch="360"/>
        </w:sectPr>
      </w:pPr>
    </w:p>
    <w:p w14:paraId="7821B2D8" w14:textId="77777777" w:rsidR="00664896" w:rsidRPr="00251B0C" w:rsidRDefault="00664896" w:rsidP="00664896">
      <w:pPr>
        <w:pBdr>
          <w:bottom w:val="single" w:sz="4" w:space="1" w:color="660000"/>
        </w:pBdr>
        <w:autoSpaceDE w:val="0"/>
        <w:autoSpaceDN w:val="0"/>
        <w:adjustRightInd w:val="0"/>
        <w:rPr>
          <w:rFonts w:ascii="Times New Roman" w:hAnsi="Times New Roman" w:cs="Times New Roman"/>
          <w:b/>
          <w:bCs/>
          <w:sz w:val="24"/>
          <w:szCs w:val="24"/>
        </w:rPr>
      </w:pPr>
      <w:r w:rsidRPr="00251B0C">
        <w:rPr>
          <w:rFonts w:ascii="Times New Roman" w:hAnsi="Times New Roman" w:cs="Times New Roman"/>
          <w:b/>
          <w:bCs/>
          <w:sz w:val="24"/>
          <w:szCs w:val="24"/>
        </w:rPr>
        <w:lastRenderedPageBreak/>
        <w:t>TABLE OF CONTENTS</w:t>
      </w:r>
    </w:p>
    <w:sdt>
      <w:sdtPr>
        <w:rPr>
          <w:rFonts w:ascii="Times New Roman" w:eastAsia="Times New Roman" w:hAnsi="Times New Roman" w:cs="Times New Roman"/>
          <w:color w:val="auto"/>
          <w:sz w:val="24"/>
          <w:szCs w:val="24"/>
        </w:rPr>
        <w:id w:val="865872846"/>
        <w:docPartObj>
          <w:docPartGallery w:val="Table of Contents"/>
          <w:docPartUnique/>
        </w:docPartObj>
      </w:sdtPr>
      <w:sdtEndPr/>
      <w:sdtContent>
        <w:p w14:paraId="3FD6F6B0" w14:textId="77777777" w:rsidR="0083244E" w:rsidRPr="00251B0C" w:rsidRDefault="00231B17" w:rsidP="00F13136">
          <w:pPr>
            <w:pStyle w:val="TOCHeading"/>
            <w:spacing w:before="0" w:after="240" w:line="240" w:lineRule="auto"/>
            <w:ind w:firstLine="360"/>
            <w:rPr>
              <w:rFonts w:ascii="Times New Roman" w:eastAsia="Times New Roman" w:hAnsi="Times New Roman" w:cs="Times New Roman"/>
              <w:b/>
              <w:color w:val="auto"/>
              <w:sz w:val="24"/>
              <w:szCs w:val="24"/>
            </w:rPr>
          </w:pPr>
          <w:r w:rsidRPr="00251B0C">
            <w:rPr>
              <w:rFonts w:ascii="Times New Roman" w:eastAsia="Times New Roman" w:hAnsi="Times New Roman" w:cs="Times New Roman"/>
              <w:b/>
              <w:color w:val="auto"/>
              <w:sz w:val="24"/>
              <w:szCs w:val="24"/>
            </w:rPr>
            <w:t>Section</w:t>
          </w:r>
        </w:p>
        <w:p w14:paraId="34C29F45" w14:textId="77777777" w:rsidR="00231B17" w:rsidRPr="00251B0C" w:rsidRDefault="00231B17" w:rsidP="00231B17">
          <w:pPr>
            <w:pStyle w:val="ListParagraph"/>
            <w:numPr>
              <w:ilvl w:val="0"/>
              <w:numId w:val="9"/>
            </w:numPr>
            <w:spacing w:after="240" w:line="240" w:lineRule="auto"/>
            <w:rPr>
              <w:rFonts w:ascii="Times New Roman" w:hAnsi="Times New Roman" w:cs="Times New Roman"/>
              <w:b/>
              <w:sz w:val="24"/>
              <w:szCs w:val="24"/>
            </w:rPr>
          </w:pPr>
          <w:r w:rsidRPr="00251B0C">
            <w:rPr>
              <w:rFonts w:ascii="Times New Roman" w:hAnsi="Times New Roman" w:cs="Times New Roman"/>
              <w:b/>
              <w:sz w:val="24"/>
              <w:szCs w:val="24"/>
            </w:rPr>
            <w:t>Justification</w:t>
          </w:r>
        </w:p>
        <w:p w14:paraId="2964F209" w14:textId="77777777" w:rsidR="0083244E" w:rsidRPr="00251B0C" w:rsidRDefault="00F52D13" w:rsidP="003200BD">
          <w:pPr>
            <w:pStyle w:val="TOC1"/>
            <w:numPr>
              <w:ilvl w:val="0"/>
              <w:numId w:val="8"/>
            </w:numPr>
          </w:pPr>
          <w:r w:rsidRPr="00251B0C">
            <w:t>Circumstances Making the Collection of Information Necessary</w:t>
          </w:r>
          <w:r w:rsidR="0083244E" w:rsidRPr="00251B0C">
            <w:ptab w:relativeTo="margin" w:alignment="right" w:leader="dot"/>
          </w:r>
          <w:r w:rsidRPr="00251B0C">
            <w:t>4</w:t>
          </w:r>
        </w:p>
        <w:p w14:paraId="20A60030" w14:textId="77777777" w:rsidR="00F52D13" w:rsidRPr="00251B0C" w:rsidRDefault="00F52D13" w:rsidP="003200BD">
          <w:pPr>
            <w:pStyle w:val="TOC1"/>
            <w:numPr>
              <w:ilvl w:val="0"/>
              <w:numId w:val="8"/>
            </w:numPr>
          </w:pPr>
          <w:r w:rsidRPr="00251B0C">
            <w:t>Purpose and Use of Information Collection</w:t>
          </w:r>
          <w:r w:rsidRPr="00251B0C">
            <w:ptab w:relativeTo="margin" w:alignment="right" w:leader="dot"/>
          </w:r>
          <w:r w:rsidRPr="00251B0C">
            <w:t>5</w:t>
          </w:r>
        </w:p>
        <w:p w14:paraId="1B61FEC4" w14:textId="77777777" w:rsidR="00773415" w:rsidRPr="00251B0C" w:rsidRDefault="00773415" w:rsidP="003200BD">
          <w:pPr>
            <w:pStyle w:val="TOC1"/>
            <w:numPr>
              <w:ilvl w:val="0"/>
              <w:numId w:val="8"/>
            </w:numPr>
          </w:pPr>
          <w:r w:rsidRPr="00251B0C">
            <w:t>Use of Improved Information Technology and Burden Reduction</w:t>
          </w:r>
          <w:r w:rsidRPr="00251B0C">
            <w:ptab w:relativeTo="margin" w:alignment="right" w:leader="dot"/>
          </w:r>
          <w:r w:rsidR="00F52D13" w:rsidRPr="00251B0C">
            <w:t>7</w:t>
          </w:r>
        </w:p>
        <w:p w14:paraId="19776A11" w14:textId="77777777" w:rsidR="00773415" w:rsidRPr="00251B0C" w:rsidRDefault="00773415" w:rsidP="003200BD">
          <w:pPr>
            <w:pStyle w:val="TOC1"/>
            <w:numPr>
              <w:ilvl w:val="0"/>
              <w:numId w:val="8"/>
            </w:numPr>
          </w:pPr>
          <w:r w:rsidRPr="00251B0C">
            <w:t xml:space="preserve">Efforts to Identify Duplication and Use of Similar Information </w:t>
          </w:r>
          <w:r w:rsidRPr="00251B0C">
            <w:ptab w:relativeTo="margin" w:alignment="right" w:leader="dot"/>
          </w:r>
          <w:r w:rsidR="00F52D13" w:rsidRPr="00251B0C">
            <w:t>10</w:t>
          </w:r>
        </w:p>
        <w:p w14:paraId="152CBEE2" w14:textId="77777777" w:rsidR="00773415" w:rsidRPr="00251B0C" w:rsidRDefault="00CC7B95" w:rsidP="003200BD">
          <w:pPr>
            <w:pStyle w:val="TOC1"/>
            <w:numPr>
              <w:ilvl w:val="0"/>
              <w:numId w:val="8"/>
            </w:numPr>
          </w:pPr>
          <w:r w:rsidRPr="00251B0C">
            <w:t xml:space="preserve">Impact on Small Businesses or Other Small Entities </w:t>
          </w:r>
          <w:r w:rsidR="00773415" w:rsidRPr="00251B0C">
            <w:ptab w:relativeTo="margin" w:alignment="right" w:leader="dot"/>
          </w:r>
          <w:r w:rsidR="00F52D13" w:rsidRPr="00251B0C">
            <w:t>10</w:t>
          </w:r>
        </w:p>
        <w:p w14:paraId="70A39A1F" w14:textId="77777777" w:rsidR="00773415" w:rsidRPr="00251B0C" w:rsidRDefault="00CC7B95" w:rsidP="003200BD">
          <w:pPr>
            <w:pStyle w:val="TOC1"/>
            <w:numPr>
              <w:ilvl w:val="0"/>
              <w:numId w:val="8"/>
            </w:numPr>
          </w:pPr>
          <w:r w:rsidRPr="00251B0C">
            <w:t xml:space="preserve">Consequences of Collecting the Information Less Frequently </w:t>
          </w:r>
          <w:r w:rsidR="00773415" w:rsidRPr="00251B0C">
            <w:ptab w:relativeTo="margin" w:alignment="right" w:leader="dot"/>
          </w:r>
          <w:r w:rsidR="004410EA" w:rsidRPr="00251B0C">
            <w:t>11</w:t>
          </w:r>
        </w:p>
        <w:p w14:paraId="4F5C960A" w14:textId="77777777" w:rsidR="00773415" w:rsidRPr="00251B0C" w:rsidRDefault="00CC7B95" w:rsidP="003200BD">
          <w:pPr>
            <w:pStyle w:val="TOC1"/>
            <w:numPr>
              <w:ilvl w:val="0"/>
              <w:numId w:val="8"/>
            </w:numPr>
          </w:pPr>
          <w:r w:rsidRPr="00251B0C">
            <w:t>Special Circumstances Relating to the Guidelines of 5 CFR 1320.5</w:t>
          </w:r>
          <w:r w:rsidR="00773415" w:rsidRPr="00251B0C">
            <w:ptab w:relativeTo="margin" w:alignment="right" w:leader="dot"/>
          </w:r>
          <w:r w:rsidR="004410EA" w:rsidRPr="00251B0C">
            <w:t>11</w:t>
          </w:r>
        </w:p>
        <w:p w14:paraId="2DF4E45C" w14:textId="77777777" w:rsidR="00CC7B95" w:rsidRPr="00251B0C" w:rsidRDefault="00CC7B95" w:rsidP="003200BD">
          <w:pPr>
            <w:pStyle w:val="TOC1"/>
            <w:numPr>
              <w:ilvl w:val="0"/>
              <w:numId w:val="8"/>
            </w:numPr>
          </w:pPr>
          <w:r w:rsidRPr="00251B0C">
            <w:t xml:space="preserve">Comments in Response to the Federal Register Notice and Efforts to </w:t>
          </w:r>
        </w:p>
        <w:p w14:paraId="26E97863" w14:textId="77777777" w:rsidR="00773415" w:rsidRPr="00251B0C" w:rsidRDefault="00CC7B95" w:rsidP="003200BD">
          <w:pPr>
            <w:pStyle w:val="TOC1"/>
          </w:pPr>
          <w:r w:rsidRPr="00251B0C">
            <w:t xml:space="preserve">Consult Outside the Agency </w:t>
          </w:r>
          <w:r w:rsidR="00773415" w:rsidRPr="00251B0C">
            <w:ptab w:relativeTo="margin" w:alignment="right" w:leader="dot"/>
          </w:r>
          <w:r w:rsidR="004410EA" w:rsidRPr="00251B0C">
            <w:t>12</w:t>
          </w:r>
        </w:p>
        <w:p w14:paraId="65BC3512" w14:textId="77777777" w:rsidR="00773415" w:rsidRPr="00251B0C" w:rsidRDefault="00CC7B95" w:rsidP="003200BD">
          <w:pPr>
            <w:pStyle w:val="TOC1"/>
            <w:numPr>
              <w:ilvl w:val="0"/>
              <w:numId w:val="8"/>
            </w:numPr>
          </w:pPr>
          <w:r w:rsidRPr="00251B0C">
            <w:t xml:space="preserve">Explanation of any Payment or Gift to Respondents </w:t>
          </w:r>
          <w:r w:rsidR="00773415" w:rsidRPr="00251B0C">
            <w:ptab w:relativeTo="margin" w:alignment="right" w:leader="dot"/>
          </w:r>
          <w:r w:rsidR="004410EA" w:rsidRPr="00251B0C">
            <w:t>12</w:t>
          </w:r>
        </w:p>
        <w:p w14:paraId="004CDBD8" w14:textId="77777777" w:rsidR="00773415" w:rsidRPr="00251B0C" w:rsidRDefault="0038031E" w:rsidP="003200BD">
          <w:pPr>
            <w:pStyle w:val="TOC1"/>
            <w:numPr>
              <w:ilvl w:val="0"/>
              <w:numId w:val="8"/>
            </w:numPr>
          </w:pPr>
          <w:r w:rsidRPr="00251B0C">
            <w:t>Protection of the Privacy and Con</w:t>
          </w:r>
          <w:r w:rsidR="001E53EA" w:rsidRPr="00251B0C">
            <w:t>fid</w:t>
          </w:r>
          <w:r w:rsidRPr="00251B0C">
            <w:t>entiality of Information Provided by Respondents</w:t>
          </w:r>
          <w:r w:rsidR="00674A5B" w:rsidRPr="00251B0C">
            <w:t xml:space="preserve"> </w:t>
          </w:r>
          <w:r w:rsidR="00773415" w:rsidRPr="00251B0C">
            <w:ptab w:relativeTo="margin" w:alignment="right" w:leader="dot"/>
          </w:r>
          <w:r w:rsidR="004410EA" w:rsidRPr="00251B0C">
            <w:t>13</w:t>
          </w:r>
        </w:p>
        <w:p w14:paraId="1F9A9AF4" w14:textId="77777777" w:rsidR="00773415" w:rsidRPr="00251B0C" w:rsidRDefault="0038031E" w:rsidP="003200BD">
          <w:pPr>
            <w:pStyle w:val="TOC1"/>
            <w:numPr>
              <w:ilvl w:val="0"/>
              <w:numId w:val="8"/>
            </w:numPr>
          </w:pPr>
          <w:r w:rsidRPr="00251B0C">
            <w:t xml:space="preserve">Institutional Review Board (IRB) and </w:t>
          </w:r>
          <w:r w:rsidR="00674A5B" w:rsidRPr="00251B0C">
            <w:t xml:space="preserve">Justification for Sensitive Questions </w:t>
          </w:r>
          <w:r w:rsidR="00773415" w:rsidRPr="00251B0C">
            <w:ptab w:relativeTo="margin" w:alignment="right" w:leader="dot"/>
          </w:r>
          <w:r w:rsidR="004410EA" w:rsidRPr="00251B0C">
            <w:t>13</w:t>
          </w:r>
        </w:p>
        <w:p w14:paraId="09373FF0" w14:textId="77777777" w:rsidR="00773415" w:rsidRPr="00251B0C" w:rsidRDefault="00674A5B" w:rsidP="003200BD">
          <w:pPr>
            <w:pStyle w:val="TOC1"/>
            <w:numPr>
              <w:ilvl w:val="0"/>
              <w:numId w:val="8"/>
            </w:numPr>
          </w:pPr>
          <w:r w:rsidRPr="00251B0C">
            <w:t xml:space="preserve">Estimates of Annualized Burden Hours and Costs </w:t>
          </w:r>
          <w:r w:rsidR="00773415" w:rsidRPr="00251B0C">
            <w:ptab w:relativeTo="margin" w:alignment="right" w:leader="dot"/>
          </w:r>
          <w:r w:rsidR="00D562D1" w:rsidRPr="00251B0C">
            <w:t>14</w:t>
          </w:r>
        </w:p>
        <w:p w14:paraId="279C8C04" w14:textId="77777777" w:rsidR="002F79C4" w:rsidRPr="00251B0C" w:rsidRDefault="00674A5B" w:rsidP="003200BD">
          <w:pPr>
            <w:pStyle w:val="TOC1"/>
            <w:numPr>
              <w:ilvl w:val="0"/>
              <w:numId w:val="8"/>
            </w:numPr>
          </w:pPr>
          <w:r w:rsidRPr="00251B0C">
            <w:t xml:space="preserve">Estimates of Other Total Annual Cost Burden to </w:t>
          </w:r>
        </w:p>
        <w:p w14:paraId="3BB44747" w14:textId="77777777" w:rsidR="00773415" w:rsidRPr="00251B0C" w:rsidRDefault="00674A5B" w:rsidP="003200BD">
          <w:pPr>
            <w:pStyle w:val="TOC1"/>
          </w:pPr>
          <w:r w:rsidRPr="00251B0C">
            <w:t>Respondents or Record Keepers</w:t>
          </w:r>
          <w:r w:rsidR="00773415" w:rsidRPr="00251B0C">
            <w:ptab w:relativeTo="margin" w:alignment="right" w:leader="dot"/>
          </w:r>
          <w:r w:rsidR="00D562D1" w:rsidRPr="00251B0C">
            <w:t>15</w:t>
          </w:r>
        </w:p>
        <w:p w14:paraId="0E1F2FC2" w14:textId="77777777" w:rsidR="00674A5B" w:rsidRPr="00251B0C" w:rsidRDefault="00674A5B" w:rsidP="003200BD">
          <w:pPr>
            <w:pStyle w:val="TOC1"/>
            <w:numPr>
              <w:ilvl w:val="0"/>
              <w:numId w:val="8"/>
            </w:numPr>
          </w:pPr>
          <w:r w:rsidRPr="00251B0C">
            <w:t xml:space="preserve">Annualized Cost to the Government </w:t>
          </w:r>
          <w:r w:rsidRPr="00251B0C">
            <w:ptab w:relativeTo="margin" w:alignment="right" w:leader="dot"/>
          </w:r>
          <w:r w:rsidR="00D562D1" w:rsidRPr="00251B0C">
            <w:t>15</w:t>
          </w:r>
        </w:p>
        <w:p w14:paraId="5D77EB75" w14:textId="77777777" w:rsidR="00674A5B" w:rsidRPr="00251B0C" w:rsidRDefault="00674A5B" w:rsidP="003200BD">
          <w:pPr>
            <w:pStyle w:val="TOC1"/>
            <w:numPr>
              <w:ilvl w:val="0"/>
              <w:numId w:val="8"/>
            </w:numPr>
          </w:pPr>
          <w:r w:rsidRPr="00251B0C">
            <w:t xml:space="preserve">Explanation for Program Changes or Adjustments </w:t>
          </w:r>
          <w:r w:rsidRPr="00251B0C">
            <w:ptab w:relativeTo="margin" w:alignment="right" w:leader="dot"/>
          </w:r>
          <w:r w:rsidR="00D562D1" w:rsidRPr="00251B0C">
            <w:t>16</w:t>
          </w:r>
        </w:p>
        <w:p w14:paraId="5C90DA5E" w14:textId="77777777" w:rsidR="00674A5B" w:rsidRPr="00251B0C" w:rsidRDefault="00674A5B" w:rsidP="003200BD">
          <w:pPr>
            <w:pStyle w:val="TOC1"/>
            <w:numPr>
              <w:ilvl w:val="0"/>
              <w:numId w:val="8"/>
            </w:numPr>
          </w:pPr>
          <w:r w:rsidRPr="00251B0C">
            <w:t xml:space="preserve">Plans for Tabulation and Publication and Project Time Schedule </w:t>
          </w:r>
          <w:r w:rsidRPr="00251B0C">
            <w:ptab w:relativeTo="margin" w:alignment="right" w:leader="dot"/>
          </w:r>
          <w:r w:rsidR="00D562D1" w:rsidRPr="00251B0C">
            <w:t>16</w:t>
          </w:r>
        </w:p>
        <w:p w14:paraId="3C163372" w14:textId="77777777" w:rsidR="000D3BE1" w:rsidRPr="00251B0C" w:rsidRDefault="000D3BE1" w:rsidP="003200BD">
          <w:pPr>
            <w:pStyle w:val="TOC1"/>
            <w:numPr>
              <w:ilvl w:val="0"/>
              <w:numId w:val="8"/>
            </w:numPr>
          </w:pPr>
          <w:r w:rsidRPr="00251B0C">
            <w:t xml:space="preserve">Reason(s) Display of OMB Expiration Date is Inappropriate </w:t>
          </w:r>
          <w:r w:rsidRPr="00251B0C">
            <w:ptab w:relativeTo="margin" w:alignment="right" w:leader="dot"/>
          </w:r>
          <w:r w:rsidR="00D562D1" w:rsidRPr="00251B0C">
            <w:t>17</w:t>
          </w:r>
        </w:p>
        <w:p w14:paraId="3AC07A73" w14:textId="77777777" w:rsidR="00674A5B" w:rsidRPr="00251B0C" w:rsidRDefault="00F52D13" w:rsidP="003200BD">
          <w:pPr>
            <w:pStyle w:val="TOC1"/>
            <w:numPr>
              <w:ilvl w:val="0"/>
              <w:numId w:val="8"/>
            </w:numPr>
          </w:pPr>
          <w:r w:rsidRPr="00251B0C">
            <w:t xml:space="preserve">Exemptions to Certifications for Paperwork Reduction Act Submissions </w:t>
          </w:r>
          <w:r w:rsidR="00674A5B" w:rsidRPr="00251B0C">
            <w:ptab w:relativeTo="margin" w:alignment="right" w:leader="dot"/>
          </w:r>
          <w:r w:rsidR="00D562D1" w:rsidRPr="00251B0C">
            <w:t>18</w:t>
          </w:r>
        </w:p>
        <w:p w14:paraId="0526660C" w14:textId="77777777" w:rsidR="0083244E" w:rsidRPr="00251B0C" w:rsidRDefault="00CB5092" w:rsidP="00231B17">
          <w:pPr>
            <w:pStyle w:val="TOC3"/>
            <w:ind w:left="0" w:firstLine="0"/>
          </w:pPr>
        </w:p>
      </w:sdtContent>
    </w:sdt>
    <w:p w14:paraId="2D258CCA" w14:textId="77777777" w:rsidR="00664896" w:rsidRPr="00251B0C" w:rsidRDefault="00664896" w:rsidP="00231B17">
      <w:pPr>
        <w:autoSpaceDE w:val="0"/>
        <w:autoSpaceDN w:val="0"/>
        <w:adjustRightInd w:val="0"/>
        <w:rPr>
          <w:rFonts w:ascii="Times New Roman" w:hAnsi="Times New Roman" w:cs="Times New Roman"/>
          <w:b/>
          <w:sz w:val="24"/>
          <w:szCs w:val="24"/>
        </w:rPr>
      </w:pPr>
      <w:r w:rsidRPr="00251B0C">
        <w:rPr>
          <w:rFonts w:ascii="Times New Roman" w:hAnsi="Times New Roman" w:cs="Times New Roman"/>
          <w:b/>
          <w:sz w:val="24"/>
          <w:szCs w:val="24"/>
        </w:rPr>
        <w:t>EXHIBITS</w:t>
      </w:r>
    </w:p>
    <w:p w14:paraId="1496DE3A" w14:textId="77777777" w:rsidR="002C0136" w:rsidRPr="00251B0C" w:rsidRDefault="00231B17" w:rsidP="00231B17">
      <w:pPr>
        <w:spacing w:after="0" w:line="240" w:lineRule="auto"/>
        <w:rPr>
          <w:rFonts w:ascii="Times New Roman" w:hAnsi="Times New Roman" w:cs="Times New Roman"/>
          <w:sz w:val="24"/>
          <w:szCs w:val="24"/>
        </w:rPr>
      </w:pPr>
      <w:r w:rsidRPr="00251B0C">
        <w:rPr>
          <w:rFonts w:ascii="Times New Roman" w:hAnsi="Times New Roman" w:cs="Times New Roman"/>
          <w:sz w:val="24"/>
          <w:szCs w:val="24"/>
        </w:rPr>
        <w:t xml:space="preserve">Table </w:t>
      </w:r>
      <w:r w:rsidR="002C0136" w:rsidRPr="00251B0C">
        <w:rPr>
          <w:rFonts w:ascii="Times New Roman" w:hAnsi="Times New Roman" w:cs="Times New Roman"/>
          <w:sz w:val="24"/>
          <w:szCs w:val="24"/>
        </w:rPr>
        <w:t>A3.1</w:t>
      </w:r>
      <w:r w:rsidR="00F13136" w:rsidRPr="00251B0C">
        <w:rPr>
          <w:rFonts w:ascii="Times New Roman" w:hAnsi="Times New Roman" w:cs="Times New Roman"/>
          <w:sz w:val="24"/>
          <w:szCs w:val="24"/>
        </w:rPr>
        <w:t xml:space="preserve">  </w:t>
      </w:r>
      <w:r w:rsidR="002C0136" w:rsidRPr="00251B0C">
        <w:rPr>
          <w:rFonts w:ascii="Times New Roman" w:hAnsi="Times New Roman" w:cs="Times New Roman"/>
          <w:sz w:val="24"/>
          <w:szCs w:val="24"/>
        </w:rPr>
        <w:t>Fielding Schedule by MSA</w:t>
      </w:r>
    </w:p>
    <w:p w14:paraId="7AD81D6D" w14:textId="77777777" w:rsidR="00664896" w:rsidRPr="00251B0C" w:rsidRDefault="00231B17" w:rsidP="00231B17">
      <w:pPr>
        <w:spacing w:after="0" w:line="240" w:lineRule="auto"/>
        <w:rPr>
          <w:rFonts w:ascii="Times New Roman" w:hAnsi="Times New Roman" w:cs="Times New Roman"/>
          <w:sz w:val="24"/>
          <w:szCs w:val="24"/>
        </w:rPr>
      </w:pPr>
      <w:r w:rsidRPr="00251B0C">
        <w:rPr>
          <w:rFonts w:ascii="Times New Roman" w:hAnsi="Times New Roman" w:cs="Times New Roman"/>
          <w:sz w:val="24"/>
          <w:szCs w:val="24"/>
        </w:rPr>
        <w:t xml:space="preserve">Table </w:t>
      </w:r>
      <w:r w:rsidR="00664896" w:rsidRPr="00251B0C">
        <w:rPr>
          <w:rFonts w:ascii="Times New Roman" w:hAnsi="Times New Roman" w:cs="Times New Roman"/>
          <w:sz w:val="24"/>
          <w:szCs w:val="24"/>
        </w:rPr>
        <w:t>A12.1</w:t>
      </w:r>
      <w:r w:rsidR="00F13136" w:rsidRPr="00251B0C">
        <w:rPr>
          <w:rFonts w:ascii="Times New Roman" w:hAnsi="Times New Roman" w:cs="Times New Roman"/>
          <w:sz w:val="24"/>
          <w:szCs w:val="24"/>
        </w:rPr>
        <w:t xml:space="preserve">  </w:t>
      </w:r>
      <w:r w:rsidR="009D015D" w:rsidRPr="00251B0C">
        <w:rPr>
          <w:rFonts w:ascii="Times New Roman" w:hAnsi="Times New Roman" w:cs="Times New Roman"/>
          <w:sz w:val="24"/>
          <w:szCs w:val="24"/>
        </w:rPr>
        <w:t>Estimated Annualized Burden Hours</w:t>
      </w:r>
    </w:p>
    <w:p w14:paraId="4FEDCDF1" w14:textId="77777777" w:rsidR="00664896" w:rsidRPr="00251B0C" w:rsidRDefault="00231B17" w:rsidP="00231B17">
      <w:pPr>
        <w:spacing w:after="0" w:line="240" w:lineRule="auto"/>
        <w:rPr>
          <w:rFonts w:ascii="Times New Roman" w:hAnsi="Times New Roman" w:cs="Times New Roman"/>
          <w:sz w:val="24"/>
          <w:szCs w:val="24"/>
        </w:rPr>
      </w:pPr>
      <w:r w:rsidRPr="00251B0C">
        <w:rPr>
          <w:rFonts w:ascii="Times New Roman" w:hAnsi="Times New Roman" w:cs="Times New Roman"/>
          <w:sz w:val="24"/>
          <w:szCs w:val="24"/>
        </w:rPr>
        <w:t xml:space="preserve">Table </w:t>
      </w:r>
      <w:r w:rsidR="00664896" w:rsidRPr="00251B0C">
        <w:rPr>
          <w:rFonts w:ascii="Times New Roman" w:hAnsi="Times New Roman" w:cs="Times New Roman"/>
          <w:sz w:val="24"/>
          <w:szCs w:val="24"/>
        </w:rPr>
        <w:t>A1</w:t>
      </w:r>
      <w:r w:rsidR="009D015D" w:rsidRPr="00251B0C">
        <w:rPr>
          <w:rFonts w:ascii="Times New Roman" w:hAnsi="Times New Roman" w:cs="Times New Roman"/>
          <w:sz w:val="24"/>
          <w:szCs w:val="24"/>
        </w:rPr>
        <w:t>2</w:t>
      </w:r>
      <w:r w:rsidR="00664896" w:rsidRPr="00251B0C">
        <w:rPr>
          <w:rFonts w:ascii="Times New Roman" w:hAnsi="Times New Roman" w:cs="Times New Roman"/>
          <w:sz w:val="24"/>
          <w:szCs w:val="24"/>
        </w:rPr>
        <w:t>.</w:t>
      </w:r>
      <w:r w:rsidR="009D015D" w:rsidRPr="00251B0C">
        <w:rPr>
          <w:rFonts w:ascii="Times New Roman" w:hAnsi="Times New Roman" w:cs="Times New Roman"/>
          <w:sz w:val="24"/>
          <w:szCs w:val="24"/>
        </w:rPr>
        <w:t>2</w:t>
      </w:r>
      <w:r w:rsidR="00F13136" w:rsidRPr="00251B0C">
        <w:rPr>
          <w:rFonts w:ascii="Times New Roman" w:hAnsi="Times New Roman" w:cs="Times New Roman"/>
          <w:sz w:val="24"/>
          <w:szCs w:val="24"/>
        </w:rPr>
        <w:t xml:space="preserve">  </w:t>
      </w:r>
      <w:r w:rsidR="00664896" w:rsidRPr="00251B0C">
        <w:rPr>
          <w:rFonts w:ascii="Times New Roman" w:hAnsi="Times New Roman" w:cs="Times New Roman"/>
          <w:sz w:val="24"/>
          <w:szCs w:val="24"/>
        </w:rPr>
        <w:t xml:space="preserve">Estimated </w:t>
      </w:r>
      <w:r w:rsidR="009D015D" w:rsidRPr="00251B0C">
        <w:rPr>
          <w:rFonts w:ascii="Times New Roman" w:hAnsi="Times New Roman" w:cs="Times New Roman"/>
          <w:sz w:val="24"/>
          <w:szCs w:val="24"/>
        </w:rPr>
        <w:t>Annualized Burden Cost</w:t>
      </w:r>
    </w:p>
    <w:p w14:paraId="71026D64" w14:textId="77777777" w:rsidR="00C33742" w:rsidRPr="00251B0C" w:rsidRDefault="00C33742" w:rsidP="00231B17">
      <w:pPr>
        <w:spacing w:after="0" w:line="240" w:lineRule="auto"/>
        <w:rPr>
          <w:rFonts w:ascii="Times New Roman" w:hAnsi="Times New Roman" w:cs="Times New Roman"/>
          <w:sz w:val="24"/>
          <w:szCs w:val="24"/>
        </w:rPr>
      </w:pPr>
      <w:r w:rsidRPr="00251B0C">
        <w:rPr>
          <w:rFonts w:ascii="Times New Roman" w:hAnsi="Times New Roman" w:cs="Times New Roman"/>
          <w:sz w:val="24"/>
          <w:szCs w:val="24"/>
        </w:rPr>
        <w:t>Table A14.1  Annualized Cost to the Government</w:t>
      </w:r>
    </w:p>
    <w:p w14:paraId="052B832D" w14:textId="77777777" w:rsidR="00C33742" w:rsidRPr="00251B0C" w:rsidRDefault="00C33742" w:rsidP="00231B17">
      <w:pPr>
        <w:spacing w:after="0" w:line="240" w:lineRule="auto"/>
        <w:rPr>
          <w:rFonts w:ascii="Times New Roman" w:hAnsi="Times New Roman" w:cs="Times New Roman"/>
          <w:sz w:val="24"/>
          <w:szCs w:val="24"/>
        </w:rPr>
      </w:pPr>
      <w:r w:rsidRPr="00251B0C">
        <w:rPr>
          <w:rFonts w:ascii="Times New Roman" w:hAnsi="Times New Roman" w:cs="Times New Roman"/>
          <w:sz w:val="24"/>
          <w:szCs w:val="24"/>
        </w:rPr>
        <w:t>Table A16.1 Project Time Schedule</w:t>
      </w:r>
    </w:p>
    <w:p w14:paraId="715413E9" w14:textId="77777777" w:rsidR="004A0A6E" w:rsidRPr="00251B0C" w:rsidRDefault="004A0A6E" w:rsidP="00F13136">
      <w:pPr>
        <w:autoSpaceDE w:val="0"/>
        <w:autoSpaceDN w:val="0"/>
        <w:adjustRightInd w:val="0"/>
        <w:spacing w:line="360" w:lineRule="auto"/>
        <w:rPr>
          <w:rFonts w:ascii="Times New Roman" w:hAnsi="Times New Roman" w:cs="Times New Roman"/>
          <w:b/>
          <w:sz w:val="24"/>
          <w:szCs w:val="24"/>
        </w:rPr>
      </w:pPr>
    </w:p>
    <w:p w14:paraId="418CC52F" w14:textId="77777777" w:rsidR="004A0A6E" w:rsidRPr="00251B0C" w:rsidRDefault="004A0A6E" w:rsidP="00664896">
      <w:pPr>
        <w:autoSpaceDE w:val="0"/>
        <w:autoSpaceDN w:val="0"/>
        <w:adjustRightInd w:val="0"/>
        <w:rPr>
          <w:rFonts w:ascii="Times New Roman" w:hAnsi="Times New Roman" w:cs="Times New Roman"/>
          <w:b/>
          <w:sz w:val="24"/>
          <w:szCs w:val="24"/>
        </w:rPr>
      </w:pPr>
    </w:p>
    <w:p w14:paraId="50757982" w14:textId="77777777" w:rsidR="00664896" w:rsidRPr="00251B0C" w:rsidRDefault="00664896" w:rsidP="00664896">
      <w:pPr>
        <w:autoSpaceDE w:val="0"/>
        <w:autoSpaceDN w:val="0"/>
        <w:adjustRightInd w:val="0"/>
        <w:rPr>
          <w:rFonts w:ascii="Times New Roman" w:hAnsi="Times New Roman" w:cs="Times New Roman"/>
          <w:b/>
          <w:sz w:val="24"/>
          <w:szCs w:val="24"/>
        </w:rPr>
      </w:pPr>
      <w:r w:rsidRPr="00251B0C">
        <w:rPr>
          <w:rFonts w:ascii="Times New Roman" w:hAnsi="Times New Roman" w:cs="Times New Roman"/>
          <w:b/>
          <w:sz w:val="24"/>
          <w:szCs w:val="24"/>
        </w:rPr>
        <w:lastRenderedPageBreak/>
        <w:t>ATTACHMENTS</w:t>
      </w:r>
      <w:r w:rsidR="00775541" w:rsidRPr="00251B0C">
        <w:rPr>
          <w:rFonts w:ascii="Times New Roman" w:hAnsi="Times New Roman" w:cs="Times New Roman"/>
          <w:b/>
          <w:sz w:val="24"/>
          <w:szCs w:val="24"/>
        </w:rPr>
        <w:t>:</w:t>
      </w:r>
    </w:p>
    <w:p w14:paraId="45C35D79" w14:textId="77777777" w:rsidR="00664896" w:rsidRPr="00251B0C" w:rsidRDefault="00664896" w:rsidP="00775541">
      <w:pPr>
        <w:tabs>
          <w:tab w:val="left" w:pos="540"/>
        </w:tabs>
        <w:spacing w:after="0" w:line="240" w:lineRule="auto"/>
        <w:rPr>
          <w:rFonts w:ascii="Times New Roman" w:hAnsi="Times New Roman" w:cs="Times New Roman"/>
          <w:sz w:val="24"/>
          <w:szCs w:val="24"/>
        </w:rPr>
      </w:pPr>
      <w:r w:rsidRPr="00251B0C">
        <w:rPr>
          <w:rFonts w:ascii="Times New Roman" w:hAnsi="Times New Roman" w:cs="Times New Roman"/>
          <w:b/>
          <w:sz w:val="24"/>
          <w:szCs w:val="24"/>
        </w:rPr>
        <w:t>Attachment 1</w:t>
      </w:r>
      <w:r w:rsidRPr="00251B0C">
        <w:rPr>
          <w:rFonts w:ascii="Times New Roman" w:hAnsi="Times New Roman" w:cs="Times New Roman"/>
          <w:b/>
          <w:sz w:val="24"/>
          <w:szCs w:val="24"/>
        </w:rPr>
        <w:tab/>
      </w:r>
      <w:r w:rsidRPr="00251B0C">
        <w:rPr>
          <w:rFonts w:ascii="Times New Roman" w:hAnsi="Times New Roman" w:cs="Times New Roman"/>
          <w:sz w:val="24"/>
          <w:szCs w:val="24"/>
        </w:rPr>
        <w:t xml:space="preserve">Authorizing Legislation </w:t>
      </w:r>
    </w:p>
    <w:p w14:paraId="72E5BE59" w14:textId="77777777" w:rsidR="00664896" w:rsidRPr="00251B0C" w:rsidRDefault="00664896" w:rsidP="00775541">
      <w:pPr>
        <w:tabs>
          <w:tab w:val="left" w:pos="540"/>
        </w:tabs>
        <w:spacing w:after="0" w:line="240" w:lineRule="auto"/>
        <w:rPr>
          <w:rFonts w:ascii="Times New Roman" w:hAnsi="Times New Roman" w:cs="Times New Roman"/>
          <w:sz w:val="24"/>
          <w:szCs w:val="24"/>
        </w:rPr>
      </w:pPr>
      <w:r w:rsidRPr="00251B0C">
        <w:rPr>
          <w:rFonts w:ascii="Times New Roman" w:hAnsi="Times New Roman" w:cs="Times New Roman"/>
          <w:b/>
          <w:sz w:val="24"/>
          <w:szCs w:val="24"/>
        </w:rPr>
        <w:t>Attachment 2</w:t>
      </w:r>
      <w:r w:rsidRPr="00251B0C">
        <w:rPr>
          <w:rFonts w:ascii="Times New Roman" w:hAnsi="Times New Roman" w:cs="Times New Roman"/>
          <w:sz w:val="24"/>
          <w:szCs w:val="24"/>
        </w:rPr>
        <w:tab/>
        <w:t>60-Day FRN</w:t>
      </w:r>
    </w:p>
    <w:p w14:paraId="72C462E7" w14:textId="77777777" w:rsidR="00664896" w:rsidRPr="00251B0C" w:rsidRDefault="00664896" w:rsidP="00775541">
      <w:pPr>
        <w:tabs>
          <w:tab w:val="left" w:pos="540"/>
        </w:tabs>
        <w:spacing w:after="0" w:line="240" w:lineRule="auto"/>
        <w:rPr>
          <w:rFonts w:ascii="Times New Roman" w:hAnsi="Times New Roman" w:cs="Times New Roman"/>
          <w:sz w:val="24"/>
          <w:szCs w:val="24"/>
        </w:rPr>
      </w:pPr>
      <w:r w:rsidRPr="00251B0C">
        <w:rPr>
          <w:rFonts w:ascii="Times New Roman" w:hAnsi="Times New Roman" w:cs="Times New Roman"/>
          <w:b/>
          <w:sz w:val="24"/>
          <w:szCs w:val="24"/>
        </w:rPr>
        <w:t>Attachment 2a</w:t>
      </w:r>
      <w:r w:rsidRPr="00251B0C">
        <w:rPr>
          <w:rFonts w:ascii="Times New Roman" w:hAnsi="Times New Roman" w:cs="Times New Roman"/>
          <w:sz w:val="24"/>
          <w:szCs w:val="24"/>
        </w:rPr>
        <w:t xml:space="preserve"> Public Comment </w:t>
      </w:r>
    </w:p>
    <w:p w14:paraId="73131A72" w14:textId="77777777" w:rsidR="00BB39AE" w:rsidRPr="00251B0C" w:rsidRDefault="00664896" w:rsidP="00775541">
      <w:pPr>
        <w:tabs>
          <w:tab w:val="left" w:pos="540"/>
        </w:tabs>
        <w:spacing w:after="0" w:line="240" w:lineRule="auto"/>
        <w:rPr>
          <w:rFonts w:ascii="Times New Roman" w:hAnsi="Times New Roman" w:cs="Times New Roman"/>
          <w:b/>
          <w:bCs/>
          <w:sz w:val="24"/>
          <w:szCs w:val="24"/>
        </w:rPr>
      </w:pPr>
      <w:r w:rsidRPr="00251B0C">
        <w:rPr>
          <w:rFonts w:ascii="Times New Roman" w:hAnsi="Times New Roman" w:cs="Times New Roman"/>
          <w:b/>
          <w:bCs/>
          <w:sz w:val="24"/>
          <w:szCs w:val="24"/>
        </w:rPr>
        <w:t>Attachment 3</w:t>
      </w:r>
      <w:r w:rsidRPr="00251B0C">
        <w:rPr>
          <w:rFonts w:ascii="Times New Roman" w:hAnsi="Times New Roman" w:cs="Times New Roman"/>
          <w:bCs/>
          <w:sz w:val="24"/>
          <w:szCs w:val="24"/>
        </w:rPr>
        <w:t xml:space="preserve"> Data Collection Forms</w:t>
      </w:r>
      <w:r w:rsidR="00BB39AE" w:rsidRPr="00251B0C">
        <w:rPr>
          <w:rFonts w:ascii="Times New Roman" w:hAnsi="Times New Roman" w:cs="Times New Roman"/>
          <w:b/>
          <w:sz w:val="24"/>
          <w:szCs w:val="24"/>
        </w:rPr>
        <w:tab/>
      </w:r>
      <w:r w:rsidR="00BB39AE" w:rsidRPr="00251B0C">
        <w:rPr>
          <w:rFonts w:ascii="Times New Roman" w:hAnsi="Times New Roman" w:cs="Times New Roman"/>
          <w:b/>
          <w:sz w:val="24"/>
          <w:szCs w:val="24"/>
        </w:rPr>
        <w:tab/>
      </w:r>
    </w:p>
    <w:p w14:paraId="3EEA8239" w14:textId="77777777" w:rsidR="00BB39AE" w:rsidRPr="00251B0C" w:rsidRDefault="00BB39AE" w:rsidP="00775541">
      <w:pPr>
        <w:tabs>
          <w:tab w:val="left" w:pos="540"/>
        </w:tabs>
        <w:spacing w:after="0" w:line="240" w:lineRule="auto"/>
        <w:rPr>
          <w:rFonts w:ascii="Times New Roman" w:hAnsi="Times New Roman" w:cs="Times New Roman"/>
          <w:sz w:val="24"/>
          <w:szCs w:val="24"/>
        </w:rPr>
      </w:pPr>
      <w:r w:rsidRPr="00251B0C">
        <w:rPr>
          <w:rFonts w:ascii="Times New Roman" w:hAnsi="Times New Roman" w:cs="Times New Roman"/>
          <w:b/>
          <w:sz w:val="24"/>
          <w:szCs w:val="24"/>
        </w:rPr>
        <w:tab/>
      </w:r>
      <w:r w:rsidR="001B6CAB" w:rsidRPr="00251B0C">
        <w:rPr>
          <w:rFonts w:ascii="Times New Roman" w:hAnsi="Times New Roman" w:cs="Times New Roman"/>
          <w:b/>
          <w:sz w:val="24"/>
          <w:szCs w:val="24"/>
        </w:rPr>
        <w:tab/>
      </w:r>
      <w:r w:rsidRPr="00251B0C">
        <w:rPr>
          <w:rFonts w:ascii="Times New Roman" w:hAnsi="Times New Roman" w:cs="Times New Roman"/>
          <w:sz w:val="24"/>
          <w:szCs w:val="24"/>
        </w:rPr>
        <w:t>3a. K-B</w:t>
      </w:r>
      <w:r w:rsidR="003A1CDD" w:rsidRPr="00251B0C">
        <w:rPr>
          <w:rFonts w:ascii="Times New Roman" w:hAnsi="Times New Roman" w:cs="Times New Roman"/>
          <w:sz w:val="24"/>
          <w:szCs w:val="24"/>
        </w:rPr>
        <w:t>AP</w:t>
      </w:r>
      <w:r w:rsidRPr="00251B0C">
        <w:rPr>
          <w:rFonts w:ascii="Times New Roman" w:hAnsi="Times New Roman" w:cs="Times New Roman"/>
          <w:sz w:val="24"/>
          <w:szCs w:val="24"/>
        </w:rPr>
        <w:t xml:space="preserve"> Provider Baseline Survey </w:t>
      </w:r>
      <w:r w:rsidR="003A1CDD" w:rsidRPr="00251B0C">
        <w:rPr>
          <w:rFonts w:ascii="Times New Roman" w:hAnsi="Times New Roman" w:cs="Times New Roman"/>
          <w:sz w:val="24"/>
          <w:szCs w:val="24"/>
        </w:rPr>
        <w:t>Screener</w:t>
      </w:r>
      <w:r w:rsidR="00AA131B" w:rsidRPr="00251B0C">
        <w:rPr>
          <w:rFonts w:ascii="Times New Roman" w:hAnsi="Times New Roman" w:cs="Times New Roman"/>
          <w:sz w:val="24"/>
          <w:szCs w:val="24"/>
        </w:rPr>
        <w:t xml:space="preserve"> </w:t>
      </w:r>
      <w:r w:rsidR="00AA131B" w:rsidRPr="00251B0C">
        <w:rPr>
          <w:rFonts w:ascii="Times New Roman" w:hAnsi="Times New Roman" w:cs="Times New Roman"/>
          <w:sz w:val="24"/>
          <w:szCs w:val="24"/>
          <w:u w:val="single"/>
        </w:rPr>
        <w:t>and</w:t>
      </w:r>
      <w:r w:rsidR="00AA131B" w:rsidRPr="00251B0C">
        <w:rPr>
          <w:rFonts w:ascii="Times New Roman" w:hAnsi="Times New Roman" w:cs="Times New Roman"/>
          <w:sz w:val="24"/>
          <w:szCs w:val="24"/>
        </w:rPr>
        <w:t xml:space="preserve"> Survey Instrument</w:t>
      </w:r>
    </w:p>
    <w:p w14:paraId="45929375" w14:textId="77777777" w:rsidR="00BB39AE" w:rsidRPr="00251B0C" w:rsidRDefault="00BB39AE" w:rsidP="00775541">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3</w:t>
      </w:r>
      <w:r w:rsidR="00AA131B" w:rsidRPr="00251B0C">
        <w:rPr>
          <w:rFonts w:ascii="Times New Roman" w:hAnsi="Times New Roman" w:cs="Times New Roman"/>
          <w:sz w:val="24"/>
          <w:szCs w:val="24"/>
        </w:rPr>
        <w:t>b</w:t>
      </w:r>
      <w:r w:rsidRPr="00251B0C">
        <w:rPr>
          <w:rFonts w:ascii="Times New Roman" w:hAnsi="Times New Roman" w:cs="Times New Roman"/>
          <w:sz w:val="24"/>
          <w:szCs w:val="24"/>
        </w:rPr>
        <w:t>. K-</w:t>
      </w:r>
      <w:r w:rsidR="003A1CDD" w:rsidRPr="00251B0C">
        <w:rPr>
          <w:rFonts w:ascii="Times New Roman" w:hAnsi="Times New Roman" w:cs="Times New Roman"/>
          <w:sz w:val="24"/>
          <w:szCs w:val="24"/>
        </w:rPr>
        <w:t xml:space="preserve"> BAP </w:t>
      </w:r>
      <w:r w:rsidRPr="00251B0C">
        <w:rPr>
          <w:rFonts w:ascii="Times New Roman" w:hAnsi="Times New Roman" w:cs="Times New Roman"/>
          <w:sz w:val="24"/>
          <w:szCs w:val="24"/>
        </w:rPr>
        <w:t xml:space="preserve">Provider </w:t>
      </w:r>
      <w:r w:rsidR="00DB1613" w:rsidRPr="00251B0C">
        <w:rPr>
          <w:rFonts w:ascii="Times New Roman" w:hAnsi="Times New Roman" w:cs="Times New Roman"/>
          <w:sz w:val="24"/>
          <w:szCs w:val="24"/>
        </w:rPr>
        <w:t>Follow-Up</w:t>
      </w:r>
      <w:r w:rsidRPr="00251B0C">
        <w:rPr>
          <w:rFonts w:ascii="Times New Roman" w:hAnsi="Times New Roman" w:cs="Times New Roman"/>
          <w:sz w:val="24"/>
          <w:szCs w:val="24"/>
        </w:rPr>
        <w:t xml:space="preserve"> </w:t>
      </w:r>
      <w:r w:rsidR="001E53EA" w:rsidRPr="00251B0C">
        <w:rPr>
          <w:rFonts w:ascii="Times New Roman" w:hAnsi="Times New Roman" w:cs="Times New Roman"/>
          <w:sz w:val="24"/>
          <w:szCs w:val="24"/>
        </w:rPr>
        <w:t>Screener</w:t>
      </w:r>
      <w:r w:rsidR="00AA131B" w:rsidRPr="00251B0C">
        <w:rPr>
          <w:rFonts w:ascii="Times New Roman" w:hAnsi="Times New Roman" w:cs="Times New Roman"/>
          <w:sz w:val="24"/>
          <w:szCs w:val="24"/>
        </w:rPr>
        <w:t xml:space="preserve"> </w:t>
      </w:r>
      <w:r w:rsidR="00AA131B" w:rsidRPr="00251B0C">
        <w:rPr>
          <w:rFonts w:ascii="Times New Roman" w:hAnsi="Times New Roman" w:cs="Times New Roman"/>
          <w:sz w:val="24"/>
          <w:szCs w:val="24"/>
          <w:u w:val="single"/>
        </w:rPr>
        <w:t>and</w:t>
      </w:r>
      <w:r w:rsidR="00AA131B" w:rsidRPr="00251B0C">
        <w:rPr>
          <w:rFonts w:ascii="Times New Roman" w:hAnsi="Times New Roman" w:cs="Times New Roman"/>
          <w:sz w:val="24"/>
          <w:szCs w:val="24"/>
        </w:rPr>
        <w:t xml:space="preserve"> Survey Instrument</w:t>
      </w:r>
    </w:p>
    <w:p w14:paraId="232FC5AC" w14:textId="77777777" w:rsidR="009F7037" w:rsidRPr="00251B0C" w:rsidRDefault="00664896" w:rsidP="00775541">
      <w:pPr>
        <w:spacing w:after="0" w:line="240" w:lineRule="auto"/>
        <w:rPr>
          <w:rFonts w:ascii="Times New Roman" w:hAnsi="Times New Roman" w:cs="Times New Roman"/>
          <w:sz w:val="24"/>
          <w:szCs w:val="24"/>
        </w:rPr>
      </w:pPr>
      <w:r w:rsidRPr="00251B0C">
        <w:rPr>
          <w:rFonts w:ascii="Times New Roman" w:hAnsi="Times New Roman" w:cs="Times New Roman"/>
          <w:b/>
          <w:sz w:val="24"/>
          <w:szCs w:val="24"/>
        </w:rPr>
        <w:t>Attachment 4</w:t>
      </w:r>
      <w:r w:rsidRPr="00251B0C">
        <w:rPr>
          <w:rFonts w:ascii="Times New Roman" w:hAnsi="Times New Roman" w:cs="Times New Roman"/>
          <w:b/>
          <w:sz w:val="24"/>
          <w:szCs w:val="24"/>
        </w:rPr>
        <w:tab/>
      </w:r>
      <w:r w:rsidR="009F7037" w:rsidRPr="00251B0C">
        <w:rPr>
          <w:rFonts w:ascii="Times New Roman" w:hAnsi="Times New Roman" w:cs="Times New Roman"/>
          <w:sz w:val="24"/>
          <w:szCs w:val="24"/>
        </w:rPr>
        <w:t xml:space="preserve">Continuing Education (CE) Materials Email </w:t>
      </w:r>
    </w:p>
    <w:p w14:paraId="7ABF2CF9" w14:textId="77777777" w:rsidR="00664896" w:rsidRPr="00251B0C" w:rsidRDefault="00664896" w:rsidP="00775541">
      <w:pPr>
        <w:spacing w:after="0" w:line="240" w:lineRule="auto"/>
        <w:rPr>
          <w:rFonts w:ascii="Times New Roman" w:hAnsi="Times New Roman" w:cs="Times New Roman"/>
          <w:sz w:val="24"/>
          <w:szCs w:val="24"/>
        </w:rPr>
      </w:pPr>
      <w:r w:rsidRPr="00251B0C">
        <w:rPr>
          <w:rFonts w:ascii="Times New Roman" w:hAnsi="Times New Roman" w:cs="Times New Roman"/>
          <w:b/>
          <w:sz w:val="24"/>
          <w:szCs w:val="24"/>
        </w:rPr>
        <w:t xml:space="preserve">Attachment </w:t>
      </w:r>
      <w:r w:rsidR="009F7037" w:rsidRPr="00251B0C">
        <w:rPr>
          <w:rFonts w:ascii="Times New Roman" w:hAnsi="Times New Roman" w:cs="Times New Roman"/>
          <w:b/>
          <w:sz w:val="24"/>
          <w:szCs w:val="24"/>
        </w:rPr>
        <w:t xml:space="preserve">5 </w:t>
      </w:r>
      <w:r w:rsidRPr="00251B0C">
        <w:rPr>
          <w:rFonts w:ascii="Times New Roman" w:hAnsi="Times New Roman" w:cs="Times New Roman"/>
          <w:sz w:val="24"/>
          <w:szCs w:val="24"/>
        </w:rPr>
        <w:t>Recruitment materials</w:t>
      </w:r>
    </w:p>
    <w:p w14:paraId="132D5654" w14:textId="77777777" w:rsidR="00FA29FD" w:rsidRPr="00251B0C" w:rsidRDefault="009E2508" w:rsidP="00FA29FD">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5</w:t>
      </w:r>
      <w:r w:rsidR="00FA29FD" w:rsidRPr="00251B0C">
        <w:rPr>
          <w:rFonts w:ascii="Times New Roman" w:hAnsi="Times New Roman" w:cs="Times New Roman"/>
          <w:sz w:val="24"/>
          <w:szCs w:val="24"/>
        </w:rPr>
        <w:t xml:space="preserve">a. K- BAP Email Recruitment </w:t>
      </w:r>
      <w:r w:rsidRPr="00251B0C">
        <w:rPr>
          <w:rFonts w:ascii="Times New Roman" w:hAnsi="Times New Roman" w:cs="Times New Roman"/>
          <w:sz w:val="24"/>
          <w:szCs w:val="24"/>
        </w:rPr>
        <w:t>Letter</w:t>
      </w:r>
    </w:p>
    <w:p w14:paraId="4D559062" w14:textId="77777777" w:rsidR="00FA29FD" w:rsidRPr="00251B0C" w:rsidRDefault="009E2508" w:rsidP="00FA29FD">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5</w:t>
      </w:r>
      <w:r w:rsidR="00FA29FD" w:rsidRPr="00251B0C">
        <w:rPr>
          <w:rFonts w:ascii="Times New Roman" w:hAnsi="Times New Roman" w:cs="Times New Roman"/>
          <w:sz w:val="24"/>
          <w:szCs w:val="24"/>
        </w:rPr>
        <w:t>b. K- BAP Phone Recruitment Script</w:t>
      </w:r>
      <w:r w:rsidR="00FA29FD" w:rsidRPr="00251B0C" w:rsidDel="005E1D5A">
        <w:rPr>
          <w:rFonts w:ascii="Times New Roman" w:hAnsi="Times New Roman" w:cs="Times New Roman"/>
          <w:sz w:val="24"/>
          <w:szCs w:val="24"/>
        </w:rPr>
        <w:t xml:space="preserve"> </w:t>
      </w:r>
    </w:p>
    <w:p w14:paraId="6690DE75" w14:textId="77777777" w:rsidR="00C72408" w:rsidRPr="00251B0C" w:rsidRDefault="009E2508" w:rsidP="00EA115B">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5</w:t>
      </w:r>
      <w:r w:rsidR="00452F8D" w:rsidRPr="00251B0C">
        <w:rPr>
          <w:rFonts w:ascii="Times New Roman" w:hAnsi="Times New Roman" w:cs="Times New Roman"/>
          <w:sz w:val="24"/>
          <w:szCs w:val="24"/>
        </w:rPr>
        <w:t>c</w:t>
      </w:r>
      <w:r w:rsidR="00C72408" w:rsidRPr="00251B0C">
        <w:rPr>
          <w:rFonts w:ascii="Times New Roman" w:hAnsi="Times New Roman" w:cs="Times New Roman"/>
          <w:sz w:val="24"/>
          <w:szCs w:val="24"/>
        </w:rPr>
        <w:t>. K-BAP Postal Invitation Letter</w:t>
      </w:r>
      <w:r w:rsidR="00C72408" w:rsidRPr="00251B0C">
        <w:rPr>
          <w:rFonts w:ascii="Times New Roman" w:hAnsi="Times New Roman" w:cs="Times New Roman"/>
          <w:sz w:val="24"/>
          <w:szCs w:val="24"/>
        </w:rPr>
        <w:tab/>
      </w:r>
    </w:p>
    <w:p w14:paraId="5EB32D0E" w14:textId="77777777" w:rsidR="00C72408" w:rsidRPr="00251B0C" w:rsidRDefault="009E2508" w:rsidP="00EA115B">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5</w:t>
      </w:r>
      <w:r w:rsidR="00452F8D" w:rsidRPr="00251B0C">
        <w:rPr>
          <w:rFonts w:ascii="Times New Roman" w:hAnsi="Times New Roman" w:cs="Times New Roman"/>
          <w:sz w:val="24"/>
          <w:szCs w:val="24"/>
        </w:rPr>
        <w:t>d</w:t>
      </w:r>
      <w:r w:rsidR="008822FA" w:rsidRPr="00251B0C">
        <w:rPr>
          <w:rFonts w:ascii="Times New Roman" w:hAnsi="Times New Roman" w:cs="Times New Roman"/>
          <w:sz w:val="24"/>
          <w:szCs w:val="24"/>
        </w:rPr>
        <w:t>.</w:t>
      </w:r>
      <w:r w:rsidR="00DA7174" w:rsidRPr="00251B0C">
        <w:rPr>
          <w:rFonts w:ascii="Times New Roman" w:hAnsi="Times New Roman" w:cs="Times New Roman"/>
          <w:sz w:val="24"/>
          <w:szCs w:val="24"/>
        </w:rPr>
        <w:t xml:space="preserve"> </w:t>
      </w:r>
      <w:r w:rsidR="00C72408" w:rsidRPr="00251B0C">
        <w:rPr>
          <w:rFonts w:ascii="Times New Roman" w:hAnsi="Times New Roman" w:cs="Times New Roman"/>
          <w:sz w:val="24"/>
          <w:szCs w:val="24"/>
        </w:rPr>
        <w:t xml:space="preserve">K-BAP Email Invitation Letter </w:t>
      </w:r>
    </w:p>
    <w:p w14:paraId="1AD46A46" w14:textId="77777777" w:rsidR="009E2508" w:rsidRPr="00251B0C" w:rsidRDefault="009E2508" w:rsidP="00EA115B">
      <w:pPr>
        <w:spacing w:after="0" w:line="240" w:lineRule="auto"/>
        <w:ind w:firstLine="720"/>
        <w:rPr>
          <w:rFonts w:ascii="Times New Roman" w:hAnsi="Times New Roman" w:cs="Times New Roman"/>
          <w:bCs/>
          <w:sz w:val="24"/>
          <w:szCs w:val="24"/>
        </w:rPr>
      </w:pPr>
      <w:r w:rsidRPr="00251B0C">
        <w:rPr>
          <w:rFonts w:ascii="Times New Roman" w:hAnsi="Times New Roman" w:cs="Times New Roman"/>
          <w:sz w:val="24"/>
          <w:szCs w:val="24"/>
        </w:rPr>
        <w:t>5</w:t>
      </w:r>
      <w:r w:rsidR="00452F8D" w:rsidRPr="00251B0C">
        <w:rPr>
          <w:rFonts w:ascii="Times New Roman" w:hAnsi="Times New Roman" w:cs="Times New Roman"/>
          <w:sz w:val="24"/>
          <w:szCs w:val="24"/>
        </w:rPr>
        <w:t>e</w:t>
      </w:r>
      <w:r w:rsidR="00DA7174" w:rsidRPr="00251B0C">
        <w:rPr>
          <w:rFonts w:ascii="Times New Roman" w:hAnsi="Times New Roman" w:cs="Times New Roman"/>
          <w:sz w:val="24"/>
          <w:szCs w:val="24"/>
        </w:rPr>
        <w:t>.</w:t>
      </w:r>
      <w:r w:rsidR="00C72408" w:rsidRPr="00251B0C">
        <w:rPr>
          <w:rFonts w:ascii="Times New Roman" w:hAnsi="Times New Roman" w:cs="Times New Roman"/>
          <w:sz w:val="24"/>
          <w:szCs w:val="24"/>
        </w:rPr>
        <w:t xml:space="preserve"> </w:t>
      </w:r>
      <w:r w:rsidRPr="00251B0C">
        <w:rPr>
          <w:rFonts w:ascii="Times New Roman" w:hAnsi="Times New Roman" w:cs="Times New Roman"/>
          <w:bCs/>
          <w:sz w:val="24"/>
          <w:szCs w:val="24"/>
        </w:rPr>
        <w:t>Consent Cover Letter</w:t>
      </w:r>
    </w:p>
    <w:p w14:paraId="61FDC064" w14:textId="77777777" w:rsidR="00C72408" w:rsidRPr="00251B0C" w:rsidRDefault="00424A97" w:rsidP="00EA115B">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5</w:t>
      </w:r>
      <w:r w:rsidR="00452F8D" w:rsidRPr="00251B0C">
        <w:rPr>
          <w:rFonts w:ascii="Times New Roman" w:hAnsi="Times New Roman" w:cs="Times New Roman"/>
          <w:sz w:val="24"/>
          <w:szCs w:val="24"/>
        </w:rPr>
        <w:t>f</w:t>
      </w:r>
      <w:r w:rsidR="00DA7174" w:rsidRPr="00251B0C">
        <w:rPr>
          <w:rFonts w:ascii="Times New Roman" w:hAnsi="Times New Roman" w:cs="Times New Roman"/>
          <w:sz w:val="24"/>
          <w:szCs w:val="24"/>
        </w:rPr>
        <w:t>.</w:t>
      </w:r>
      <w:r w:rsidR="00C72408" w:rsidRPr="00251B0C">
        <w:rPr>
          <w:rFonts w:ascii="Times New Roman" w:hAnsi="Times New Roman" w:cs="Times New Roman"/>
          <w:sz w:val="24"/>
          <w:szCs w:val="24"/>
        </w:rPr>
        <w:t xml:space="preserve"> K-BAP Email Reminder</w:t>
      </w:r>
    </w:p>
    <w:p w14:paraId="5ECAA8AC" w14:textId="77777777" w:rsidR="00CB1C1F" w:rsidRPr="00251B0C" w:rsidRDefault="00CB1C1F" w:rsidP="00CB1C1F">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5</w:t>
      </w:r>
      <w:r w:rsidR="00452F8D" w:rsidRPr="00251B0C">
        <w:rPr>
          <w:rFonts w:ascii="Times New Roman" w:hAnsi="Times New Roman" w:cs="Times New Roman"/>
          <w:sz w:val="24"/>
          <w:szCs w:val="24"/>
        </w:rPr>
        <w:t>g</w:t>
      </w:r>
      <w:r w:rsidR="00DA7174" w:rsidRPr="00251B0C">
        <w:rPr>
          <w:rFonts w:ascii="Times New Roman" w:hAnsi="Times New Roman" w:cs="Times New Roman"/>
          <w:sz w:val="24"/>
          <w:szCs w:val="24"/>
        </w:rPr>
        <w:t>.</w:t>
      </w:r>
      <w:r w:rsidR="00C72408" w:rsidRPr="00251B0C">
        <w:rPr>
          <w:rFonts w:ascii="Times New Roman" w:hAnsi="Times New Roman" w:cs="Times New Roman"/>
          <w:sz w:val="24"/>
          <w:szCs w:val="24"/>
        </w:rPr>
        <w:t xml:space="preserve"> </w:t>
      </w:r>
      <w:r w:rsidRPr="00251B0C">
        <w:rPr>
          <w:rFonts w:ascii="Times New Roman" w:hAnsi="Times New Roman" w:cs="Times New Roman"/>
          <w:sz w:val="24"/>
          <w:szCs w:val="24"/>
        </w:rPr>
        <w:t xml:space="preserve">K-BAP Postcard Reminder </w:t>
      </w:r>
    </w:p>
    <w:p w14:paraId="1FB5C15A" w14:textId="77777777" w:rsidR="00C72408" w:rsidRPr="00251B0C" w:rsidRDefault="00CB1C1F" w:rsidP="008822FA">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 xml:space="preserve">5h. </w:t>
      </w:r>
      <w:r w:rsidR="00C72408" w:rsidRPr="00251B0C">
        <w:rPr>
          <w:rFonts w:ascii="Times New Roman" w:hAnsi="Times New Roman" w:cs="Times New Roman"/>
          <w:sz w:val="24"/>
          <w:szCs w:val="24"/>
        </w:rPr>
        <w:t>K-BAP Phone Reminder Script</w:t>
      </w:r>
    </w:p>
    <w:p w14:paraId="1AC75EA2" w14:textId="77777777" w:rsidR="00C72408" w:rsidRPr="00251B0C" w:rsidRDefault="00CB1C1F" w:rsidP="008822FA">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5i</w:t>
      </w:r>
      <w:r w:rsidR="00DA7174" w:rsidRPr="00251B0C">
        <w:rPr>
          <w:rFonts w:ascii="Times New Roman" w:hAnsi="Times New Roman" w:cs="Times New Roman"/>
          <w:sz w:val="24"/>
          <w:szCs w:val="24"/>
        </w:rPr>
        <w:t>.</w:t>
      </w:r>
      <w:r w:rsidR="00C72408" w:rsidRPr="00251B0C">
        <w:rPr>
          <w:rFonts w:ascii="Times New Roman" w:hAnsi="Times New Roman" w:cs="Times New Roman"/>
          <w:sz w:val="24"/>
          <w:szCs w:val="24"/>
        </w:rPr>
        <w:t xml:space="preserve"> K-BAP </w:t>
      </w:r>
      <w:r w:rsidR="00DB1613" w:rsidRPr="00251B0C">
        <w:rPr>
          <w:rFonts w:ascii="Times New Roman" w:hAnsi="Times New Roman" w:cs="Times New Roman"/>
          <w:sz w:val="24"/>
          <w:szCs w:val="24"/>
        </w:rPr>
        <w:t>Follow-Up</w:t>
      </w:r>
      <w:r w:rsidR="00C72408" w:rsidRPr="00251B0C">
        <w:rPr>
          <w:rFonts w:ascii="Times New Roman" w:hAnsi="Times New Roman" w:cs="Times New Roman"/>
          <w:sz w:val="24"/>
          <w:szCs w:val="24"/>
        </w:rPr>
        <w:t xml:space="preserve"> Survey Email Reminder</w:t>
      </w:r>
    </w:p>
    <w:p w14:paraId="6D862485" w14:textId="77777777" w:rsidR="009B62B2" w:rsidRPr="00251B0C" w:rsidRDefault="009F7037" w:rsidP="00E53D33">
      <w:pPr>
        <w:spacing w:after="0" w:line="240" w:lineRule="auto"/>
        <w:rPr>
          <w:rFonts w:ascii="Times New Roman" w:hAnsi="Times New Roman" w:cs="Times New Roman"/>
          <w:b/>
          <w:sz w:val="24"/>
          <w:szCs w:val="24"/>
        </w:rPr>
      </w:pPr>
      <w:r w:rsidRPr="00251B0C">
        <w:rPr>
          <w:rFonts w:ascii="Times New Roman" w:hAnsi="Times New Roman" w:cs="Times New Roman"/>
          <w:b/>
          <w:sz w:val="24"/>
          <w:szCs w:val="24"/>
        </w:rPr>
        <w:t xml:space="preserve">Attachment </w:t>
      </w:r>
      <w:r w:rsidR="009B62B2" w:rsidRPr="00251B0C">
        <w:rPr>
          <w:rFonts w:ascii="Times New Roman" w:hAnsi="Times New Roman" w:cs="Times New Roman"/>
          <w:b/>
          <w:sz w:val="24"/>
          <w:szCs w:val="24"/>
        </w:rPr>
        <w:t xml:space="preserve">6 </w:t>
      </w:r>
      <w:r w:rsidR="009B62B2" w:rsidRPr="00251B0C">
        <w:rPr>
          <w:rFonts w:ascii="Times New Roman" w:hAnsi="Times New Roman" w:cs="Times New Roman"/>
          <w:sz w:val="24"/>
          <w:szCs w:val="24"/>
        </w:rPr>
        <w:t>Local IRB Approval</w:t>
      </w:r>
      <w:r w:rsidR="009B62B2" w:rsidRPr="00251B0C">
        <w:rPr>
          <w:rFonts w:ascii="Times New Roman" w:hAnsi="Times New Roman" w:cs="Times New Roman"/>
          <w:b/>
          <w:sz w:val="24"/>
          <w:szCs w:val="24"/>
        </w:rPr>
        <w:t xml:space="preserve"> </w:t>
      </w:r>
    </w:p>
    <w:p w14:paraId="4E3400F2" w14:textId="77777777" w:rsidR="00BD1CE4" w:rsidRPr="00251B0C" w:rsidRDefault="0008006A" w:rsidP="009B62B2">
      <w:pPr>
        <w:spacing w:after="0" w:line="240" w:lineRule="auto"/>
        <w:rPr>
          <w:rFonts w:ascii="Times New Roman" w:hAnsi="Times New Roman" w:cs="Times New Roman"/>
          <w:sz w:val="24"/>
          <w:szCs w:val="24"/>
        </w:rPr>
      </w:pPr>
      <w:r w:rsidRPr="00251B0C">
        <w:rPr>
          <w:rFonts w:ascii="Times New Roman" w:hAnsi="Times New Roman" w:cs="Times New Roman"/>
          <w:b/>
          <w:sz w:val="24"/>
          <w:szCs w:val="24"/>
        </w:rPr>
        <w:t xml:space="preserve">Attachment 7 </w:t>
      </w:r>
      <w:r w:rsidR="00BD1CE4" w:rsidRPr="00251B0C">
        <w:rPr>
          <w:rFonts w:ascii="Times New Roman" w:hAnsi="Times New Roman" w:cs="Times New Roman"/>
          <w:sz w:val="24"/>
          <w:szCs w:val="24"/>
        </w:rPr>
        <w:t xml:space="preserve">Examples </w:t>
      </w:r>
      <w:r w:rsidR="0009518A" w:rsidRPr="00251B0C">
        <w:rPr>
          <w:rFonts w:ascii="Times New Roman" w:hAnsi="Times New Roman" w:cs="Times New Roman"/>
          <w:sz w:val="24"/>
          <w:szCs w:val="24"/>
        </w:rPr>
        <w:t>o</w:t>
      </w:r>
      <w:r w:rsidR="00BD1CE4" w:rsidRPr="00251B0C">
        <w:rPr>
          <w:rFonts w:ascii="Times New Roman" w:hAnsi="Times New Roman" w:cs="Times New Roman"/>
          <w:sz w:val="24"/>
          <w:szCs w:val="24"/>
        </w:rPr>
        <w:t xml:space="preserve">f Continuing Education (CE) Courses </w:t>
      </w:r>
    </w:p>
    <w:p w14:paraId="3C151CDB" w14:textId="77777777" w:rsidR="00664896" w:rsidRPr="00251B0C" w:rsidRDefault="00A23354" w:rsidP="00775541">
      <w:pPr>
        <w:spacing w:after="0" w:line="240" w:lineRule="auto"/>
        <w:rPr>
          <w:rFonts w:ascii="Times New Roman" w:hAnsi="Times New Roman" w:cs="Times New Roman"/>
          <w:sz w:val="24"/>
          <w:szCs w:val="24"/>
        </w:rPr>
      </w:pPr>
      <w:r w:rsidRPr="00251B0C">
        <w:rPr>
          <w:rFonts w:ascii="Times New Roman" w:hAnsi="Times New Roman" w:cs="Times New Roman"/>
          <w:b/>
          <w:sz w:val="24"/>
          <w:szCs w:val="24"/>
        </w:rPr>
        <w:t xml:space="preserve">Attachment 8 </w:t>
      </w:r>
      <w:r w:rsidR="00C72408" w:rsidRPr="00251B0C">
        <w:rPr>
          <w:rFonts w:ascii="Times New Roman" w:hAnsi="Times New Roman" w:cs="Times New Roman"/>
          <w:sz w:val="24"/>
          <w:szCs w:val="24"/>
        </w:rPr>
        <w:t>Altarum Secured Network (</w:t>
      </w:r>
      <w:r w:rsidR="00DA7174" w:rsidRPr="00251B0C">
        <w:rPr>
          <w:rFonts w:ascii="Times New Roman" w:hAnsi="Times New Roman" w:cs="Times New Roman"/>
          <w:sz w:val="24"/>
          <w:szCs w:val="24"/>
        </w:rPr>
        <w:t>ASN</w:t>
      </w:r>
      <w:r w:rsidR="00C72408" w:rsidRPr="00251B0C">
        <w:rPr>
          <w:rFonts w:ascii="Times New Roman" w:hAnsi="Times New Roman" w:cs="Times New Roman"/>
          <w:sz w:val="24"/>
          <w:szCs w:val="24"/>
        </w:rPr>
        <w:t>) Physical Design</w:t>
      </w:r>
    </w:p>
    <w:p w14:paraId="1100C857" w14:textId="77777777" w:rsidR="00F44F7F" w:rsidRPr="00251B0C" w:rsidRDefault="00F44F7F" w:rsidP="00775541">
      <w:pPr>
        <w:spacing w:after="0" w:line="240" w:lineRule="auto"/>
        <w:rPr>
          <w:rFonts w:ascii="Times New Roman" w:hAnsi="Times New Roman" w:cs="Times New Roman"/>
          <w:sz w:val="24"/>
          <w:szCs w:val="24"/>
        </w:rPr>
      </w:pPr>
      <w:r w:rsidRPr="00251B0C">
        <w:rPr>
          <w:rFonts w:ascii="Times New Roman" w:hAnsi="Times New Roman" w:cs="Times New Roman"/>
          <w:b/>
          <w:sz w:val="24"/>
          <w:szCs w:val="24"/>
        </w:rPr>
        <w:t xml:space="preserve">Attachment 9 </w:t>
      </w:r>
      <w:r w:rsidRPr="00251B0C">
        <w:rPr>
          <w:rFonts w:ascii="Times New Roman" w:hAnsi="Times New Roman" w:cs="Times New Roman"/>
          <w:sz w:val="24"/>
          <w:szCs w:val="24"/>
        </w:rPr>
        <w:t>Screenshots of Data Collection Forms</w:t>
      </w:r>
    </w:p>
    <w:p w14:paraId="66126FB8" w14:textId="77777777" w:rsidR="00F44F7F" w:rsidRPr="00251B0C" w:rsidRDefault="00F44F7F" w:rsidP="00F44F7F">
      <w:pPr>
        <w:tabs>
          <w:tab w:val="left" w:pos="540"/>
        </w:tabs>
        <w:spacing w:after="0" w:line="240" w:lineRule="auto"/>
        <w:rPr>
          <w:rFonts w:ascii="Times New Roman" w:hAnsi="Times New Roman" w:cs="Times New Roman"/>
          <w:sz w:val="24"/>
          <w:szCs w:val="24"/>
        </w:rPr>
      </w:pPr>
      <w:r w:rsidRPr="00251B0C">
        <w:rPr>
          <w:rFonts w:ascii="Times New Roman" w:hAnsi="Times New Roman" w:cs="Times New Roman"/>
          <w:sz w:val="24"/>
          <w:szCs w:val="24"/>
        </w:rPr>
        <w:tab/>
      </w:r>
      <w:r w:rsidRPr="00251B0C">
        <w:rPr>
          <w:rFonts w:ascii="Times New Roman" w:hAnsi="Times New Roman" w:cs="Times New Roman"/>
          <w:sz w:val="24"/>
          <w:szCs w:val="24"/>
        </w:rPr>
        <w:tab/>
        <w:t xml:space="preserve">9a. Screenshots - K-BAP Provider Baseline Survey Screener </w:t>
      </w:r>
      <w:r w:rsidRPr="00251B0C">
        <w:rPr>
          <w:rFonts w:ascii="Times New Roman" w:hAnsi="Times New Roman" w:cs="Times New Roman"/>
          <w:sz w:val="24"/>
          <w:szCs w:val="24"/>
          <w:u w:val="single"/>
        </w:rPr>
        <w:t>and</w:t>
      </w:r>
      <w:r w:rsidRPr="00251B0C">
        <w:rPr>
          <w:rFonts w:ascii="Times New Roman" w:hAnsi="Times New Roman" w:cs="Times New Roman"/>
          <w:sz w:val="24"/>
          <w:szCs w:val="24"/>
        </w:rPr>
        <w:t xml:space="preserve"> Survey Instrument</w:t>
      </w:r>
    </w:p>
    <w:p w14:paraId="6C54D5EF" w14:textId="77777777" w:rsidR="00F44F7F" w:rsidRPr="00251B0C" w:rsidRDefault="00F44F7F" w:rsidP="00F44F7F">
      <w:pPr>
        <w:spacing w:after="0" w:line="240" w:lineRule="auto"/>
        <w:ind w:firstLine="720"/>
        <w:rPr>
          <w:rFonts w:ascii="Times New Roman" w:hAnsi="Times New Roman" w:cs="Times New Roman"/>
          <w:sz w:val="24"/>
          <w:szCs w:val="24"/>
        </w:rPr>
      </w:pPr>
      <w:r w:rsidRPr="00251B0C">
        <w:rPr>
          <w:rFonts w:ascii="Times New Roman" w:hAnsi="Times New Roman" w:cs="Times New Roman"/>
          <w:sz w:val="24"/>
          <w:szCs w:val="24"/>
        </w:rPr>
        <w:t xml:space="preserve">9b. Screenshots - K- BAP Provider Follow-Up Screener </w:t>
      </w:r>
      <w:r w:rsidRPr="00251B0C">
        <w:rPr>
          <w:rFonts w:ascii="Times New Roman" w:hAnsi="Times New Roman" w:cs="Times New Roman"/>
          <w:sz w:val="24"/>
          <w:szCs w:val="24"/>
          <w:u w:val="single"/>
        </w:rPr>
        <w:t>and</w:t>
      </w:r>
      <w:r w:rsidRPr="00251B0C">
        <w:rPr>
          <w:rFonts w:ascii="Times New Roman" w:hAnsi="Times New Roman" w:cs="Times New Roman"/>
          <w:sz w:val="24"/>
          <w:szCs w:val="24"/>
        </w:rPr>
        <w:t xml:space="preserve"> Survey Instrument</w:t>
      </w:r>
    </w:p>
    <w:p w14:paraId="0DA027D7" w14:textId="77777777" w:rsidR="00C00B98" w:rsidRPr="00251B0C" w:rsidRDefault="00C00B98" w:rsidP="0008006A">
      <w:pPr>
        <w:rPr>
          <w:rFonts w:ascii="Times New Roman" w:hAnsi="Times New Roman" w:cs="Times New Roman"/>
          <w:sz w:val="24"/>
          <w:szCs w:val="24"/>
        </w:rPr>
      </w:pPr>
    </w:p>
    <w:p w14:paraId="542519E1" w14:textId="77777777" w:rsidR="00C00B98" w:rsidRPr="00251B0C" w:rsidRDefault="00C00B98" w:rsidP="0008006A">
      <w:pPr>
        <w:rPr>
          <w:rFonts w:ascii="Times New Roman" w:hAnsi="Times New Roman" w:cs="Times New Roman"/>
          <w:sz w:val="24"/>
          <w:szCs w:val="24"/>
        </w:rPr>
      </w:pPr>
    </w:p>
    <w:p w14:paraId="2E5E9E1D" w14:textId="77777777" w:rsidR="00C00B98" w:rsidRPr="00251B0C" w:rsidRDefault="00C00B98" w:rsidP="0008006A">
      <w:pPr>
        <w:rPr>
          <w:rFonts w:ascii="Times New Roman" w:hAnsi="Times New Roman" w:cs="Times New Roman"/>
          <w:sz w:val="24"/>
          <w:szCs w:val="24"/>
        </w:rPr>
      </w:pPr>
    </w:p>
    <w:p w14:paraId="7EE47C0C" w14:textId="77777777" w:rsidR="00775541" w:rsidRPr="00251B0C" w:rsidRDefault="00775541">
      <w:pPr>
        <w:rPr>
          <w:rFonts w:ascii="Times New Roman" w:hAnsi="Times New Roman" w:cs="Times New Roman"/>
          <w:sz w:val="24"/>
          <w:szCs w:val="24"/>
        </w:rPr>
      </w:pPr>
      <w:r w:rsidRPr="00251B0C">
        <w:rPr>
          <w:rFonts w:ascii="Times New Roman" w:hAnsi="Times New Roman" w:cs="Times New Roman"/>
          <w:sz w:val="24"/>
          <w:szCs w:val="24"/>
        </w:rPr>
        <w:br w:type="page"/>
      </w:r>
    </w:p>
    <w:p w14:paraId="1E77DD6F" w14:textId="77777777" w:rsidR="00664896" w:rsidRPr="00251B0C" w:rsidRDefault="00686A53" w:rsidP="00664896">
      <w:pPr>
        <w:rPr>
          <w:rFonts w:ascii="Times New Roman" w:hAnsi="Times New Roman" w:cs="Times New Roman"/>
          <w:b/>
          <w:sz w:val="24"/>
          <w:szCs w:val="24"/>
        </w:rPr>
      </w:pPr>
      <w:r w:rsidRPr="00251B0C">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36F5305B" wp14:editId="774CE733">
                <wp:simplePos x="0" y="0"/>
                <wp:positionH relativeFrom="margin">
                  <wp:posOffset>-510540</wp:posOffset>
                </wp:positionH>
                <wp:positionV relativeFrom="paragraph">
                  <wp:posOffset>-645795</wp:posOffset>
                </wp:positionV>
                <wp:extent cx="6867525" cy="4549140"/>
                <wp:effectExtent l="0" t="0" r="2857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549140"/>
                        </a:xfrm>
                        <a:prstGeom prst="rect">
                          <a:avLst/>
                        </a:prstGeom>
                        <a:solidFill>
                          <a:srgbClr val="FFFFFF"/>
                        </a:solidFill>
                        <a:ln w="9525">
                          <a:solidFill>
                            <a:srgbClr val="000000"/>
                          </a:solidFill>
                          <a:miter lim="800000"/>
                          <a:headEnd/>
                          <a:tailEnd/>
                        </a:ln>
                      </wps:spPr>
                      <wps:txbx>
                        <w:txbxContent>
                          <w:p w14:paraId="6DBAA6C3" w14:textId="77777777" w:rsidR="00BA7A49" w:rsidRDefault="00BA7A49" w:rsidP="000A0F3E">
                            <w:pPr>
                              <w:pStyle w:val="ListParagraph"/>
                              <w:numPr>
                                <w:ilvl w:val="0"/>
                                <w:numId w:val="5"/>
                              </w:numPr>
                              <w:spacing w:after="0"/>
                              <w:rPr>
                                <w:rFonts w:ascii="Times New Roman" w:hAnsi="Times New Roman" w:cs="Times New Roman"/>
                                <w:sz w:val="24"/>
                                <w:szCs w:val="24"/>
                                <w:lang w:bidi="en-US"/>
                              </w:rPr>
                            </w:pPr>
                            <w:r w:rsidRPr="000A0F3E">
                              <w:rPr>
                                <w:rFonts w:ascii="Times New Roman" w:hAnsi="Times New Roman" w:cs="Times New Roman"/>
                                <w:b/>
                                <w:sz w:val="24"/>
                                <w:szCs w:val="24"/>
                              </w:rPr>
                              <w:t>Goal of the study:</w:t>
                            </w:r>
                            <w:r w:rsidRPr="000A0F3E">
                              <w:rPr>
                                <w:rFonts w:ascii="Times New Roman" w:hAnsi="Times New Roman" w:cs="Times New Roman"/>
                                <w:sz w:val="24"/>
                                <w:szCs w:val="24"/>
                              </w:rPr>
                              <w:t xml:space="preserve"> The goal is to identify areas of HIV prevention knowledge and practice strengths and deficits among primary care providers, in order to target limited HIV prevention resources to achieve the greatest reduction in new HIV infections and optimize HIV care in clinical settings.</w:t>
                            </w:r>
                          </w:p>
                          <w:p w14:paraId="2C9C8A6A" w14:textId="77777777" w:rsidR="00BA7A49" w:rsidRPr="000A0F3E" w:rsidRDefault="00BA7A49" w:rsidP="00072030">
                            <w:pPr>
                              <w:pStyle w:val="ListParagraph"/>
                              <w:spacing w:after="0"/>
                              <w:ind w:left="360"/>
                              <w:rPr>
                                <w:rFonts w:ascii="Times New Roman" w:hAnsi="Times New Roman" w:cs="Times New Roman"/>
                                <w:sz w:val="24"/>
                                <w:szCs w:val="24"/>
                                <w:lang w:bidi="en-US"/>
                              </w:rPr>
                            </w:pPr>
                          </w:p>
                          <w:p w14:paraId="0C76DCDA" w14:textId="77777777" w:rsidR="00BA7A49" w:rsidRPr="00FD4538" w:rsidRDefault="00BA7A49" w:rsidP="00072030">
                            <w:pPr>
                              <w:pStyle w:val="ListParagraph"/>
                              <w:numPr>
                                <w:ilvl w:val="0"/>
                                <w:numId w:val="5"/>
                              </w:numPr>
                              <w:spacing w:before="120" w:after="120" w:line="240" w:lineRule="auto"/>
                              <w:rPr>
                                <w:rFonts w:ascii="Times New Roman" w:hAnsi="Times New Roman" w:cs="Times New Roman"/>
                                <w:color w:val="000000" w:themeColor="text1"/>
                                <w:sz w:val="24"/>
                                <w:szCs w:val="24"/>
                              </w:rPr>
                            </w:pPr>
                            <w:r w:rsidRPr="00FD4538">
                              <w:rPr>
                                <w:rFonts w:ascii="Times New Roman" w:hAnsi="Times New Roman" w:cs="Times New Roman"/>
                                <w:b/>
                                <w:sz w:val="24"/>
                                <w:szCs w:val="24"/>
                              </w:rPr>
                              <w:t>Intended use of the resulting data</w:t>
                            </w:r>
                            <w:r w:rsidRPr="00FD4538">
                              <w:rPr>
                                <w:rFonts w:ascii="Times New Roman" w:hAnsi="Times New Roman" w:cs="Times New Roman"/>
                                <w:sz w:val="24"/>
                                <w:szCs w:val="24"/>
                              </w:rPr>
                              <w:t xml:space="preserve">: </w:t>
                            </w:r>
                            <w:r w:rsidRPr="00FD4538">
                              <w:rPr>
                                <w:rFonts w:ascii="Times New Roman" w:hAnsi="Times New Roman" w:cs="Times New Roman"/>
                                <w:color w:val="000000" w:themeColor="text1"/>
                                <w:sz w:val="24"/>
                                <w:szCs w:val="24"/>
                              </w:rPr>
                              <w:t xml:space="preserve">The intended use of the resulting data is to identify the domains of HIV prevention and treatment where primary care providers are most likely to have deficits in their knowledge, attitudes, behaviors, and practices regarding HIV care. Knowledge of these deficits will allow the CDC to address specific, focused areas of improvement, so these providers can provide the best possible care to their patients at high risk of HIV and those who are already HIV positive, managing their illness and limiting the spread of new infections.  </w:t>
                            </w:r>
                          </w:p>
                          <w:p w14:paraId="47035097" w14:textId="77777777" w:rsidR="00BA7A49" w:rsidRPr="00FD4538" w:rsidRDefault="00BA7A49" w:rsidP="00EA3772">
                            <w:pPr>
                              <w:pStyle w:val="ListParagraph"/>
                              <w:spacing w:before="120" w:after="120" w:line="240" w:lineRule="auto"/>
                              <w:rPr>
                                <w:rFonts w:ascii="Times New Roman" w:hAnsi="Times New Roman" w:cs="Times New Roman"/>
                                <w:color w:val="000000" w:themeColor="text1"/>
                                <w:sz w:val="24"/>
                                <w:szCs w:val="24"/>
                              </w:rPr>
                            </w:pPr>
                          </w:p>
                          <w:p w14:paraId="65378FF0" w14:textId="77777777" w:rsidR="00BA7A49" w:rsidRPr="00FD4538" w:rsidRDefault="00BA7A49" w:rsidP="00067A5A">
                            <w:pPr>
                              <w:pStyle w:val="ListParagraph"/>
                              <w:numPr>
                                <w:ilvl w:val="0"/>
                                <w:numId w:val="5"/>
                              </w:numPr>
                            </w:pPr>
                            <w:r w:rsidRPr="00FD4538">
                              <w:rPr>
                                <w:rFonts w:ascii="Times New Roman" w:hAnsi="Times New Roman" w:cs="Times New Roman"/>
                                <w:b/>
                                <w:sz w:val="24"/>
                                <w:szCs w:val="24"/>
                              </w:rPr>
                              <w:t>Methods to be used to collect</w:t>
                            </w:r>
                            <w:r w:rsidRPr="00FD4538">
                              <w:rPr>
                                <w:rFonts w:ascii="Times New Roman" w:hAnsi="Times New Roman" w:cs="Times New Roman"/>
                                <w:sz w:val="24"/>
                                <w:szCs w:val="24"/>
                              </w:rPr>
                              <w:t xml:space="preserve">: </w:t>
                            </w:r>
                            <w:r w:rsidRPr="00FD4538">
                              <w:rPr>
                                <w:rFonts w:ascii="Times New Roman" w:hAnsi="Times New Roman" w:cs="Times New Roman"/>
                                <w:color w:val="000000" w:themeColor="text1"/>
                                <w:sz w:val="24"/>
                                <w:szCs w:val="24"/>
                              </w:rPr>
                              <w:t>An internet-based survey will be conducted among a representative random sample of providers</w:t>
                            </w:r>
                            <w:r w:rsidRPr="00FD4538">
                              <w:rPr>
                                <w:rFonts w:ascii="Times New Roman" w:hAnsi="Times New Roman"/>
                                <w:color w:val="000000" w:themeColor="text1"/>
                                <w:sz w:val="24"/>
                                <w:szCs w:val="24"/>
                              </w:rPr>
                              <w:t xml:space="preserve"> in the selected six (6) </w:t>
                            </w:r>
                            <w:r w:rsidR="005766B5">
                              <w:rPr>
                                <w:rFonts w:ascii="Times New Roman" w:hAnsi="Times New Roman"/>
                                <w:color w:val="000000" w:themeColor="text1"/>
                                <w:sz w:val="24"/>
                                <w:szCs w:val="24"/>
                              </w:rPr>
                              <w:t>metropolitan statistical areas (</w:t>
                            </w:r>
                            <w:r w:rsidRPr="00FD4538">
                              <w:rPr>
                                <w:rFonts w:ascii="Times New Roman" w:hAnsi="Times New Roman"/>
                                <w:color w:val="000000" w:themeColor="text1"/>
                                <w:sz w:val="24"/>
                                <w:szCs w:val="24"/>
                              </w:rPr>
                              <w:t>MSAs</w:t>
                            </w:r>
                            <w:r w:rsidR="005766B5">
                              <w:rPr>
                                <w:rFonts w:ascii="Times New Roman" w:hAnsi="Times New Roman"/>
                                <w:color w:val="000000" w:themeColor="text1"/>
                                <w:sz w:val="24"/>
                                <w:szCs w:val="24"/>
                              </w:rPr>
                              <w:t>)</w:t>
                            </w:r>
                            <w:r w:rsidRPr="00FD4538">
                              <w:rPr>
                                <w:rFonts w:ascii="Times New Roman" w:hAnsi="Times New Roman"/>
                                <w:color w:val="000000" w:themeColor="text1"/>
                                <w:sz w:val="24"/>
                                <w:szCs w:val="24"/>
                              </w:rPr>
                              <w:t xml:space="preserve"> with the highest HIV burden among the African American population.  The survey findings will be used to identify provider </w:t>
                            </w:r>
                            <w:r w:rsidRPr="00FD4538">
                              <w:rPr>
                                <w:rFonts w:ascii="Times New Roman" w:hAnsi="Times New Roman"/>
                                <w:sz w:val="24"/>
                                <w:szCs w:val="24"/>
                              </w:rPr>
                              <w:t xml:space="preserve">K-BAP </w:t>
                            </w:r>
                            <w:r w:rsidRPr="00FD4538">
                              <w:rPr>
                                <w:rFonts w:ascii="Times New Roman" w:hAnsi="Times New Roman"/>
                                <w:color w:val="000000" w:themeColor="text1"/>
                                <w:sz w:val="24"/>
                                <w:szCs w:val="24"/>
                              </w:rPr>
                              <w:t xml:space="preserve">that might require additional educational reinforcement. </w:t>
                            </w:r>
                          </w:p>
                          <w:p w14:paraId="1F99D749" w14:textId="77777777" w:rsidR="00BA7A49" w:rsidRPr="00FD4538" w:rsidRDefault="00BA7A49" w:rsidP="00067A5A">
                            <w:pPr>
                              <w:pStyle w:val="ListParagraph"/>
                              <w:ind w:left="360"/>
                              <w:rPr>
                                <w:rFonts w:ascii="Times New Roman" w:hAnsi="Times New Roman" w:cs="Times New Roman"/>
                                <w:sz w:val="24"/>
                                <w:szCs w:val="24"/>
                              </w:rPr>
                            </w:pPr>
                          </w:p>
                          <w:p w14:paraId="6BE4D0FA" w14:textId="77777777" w:rsidR="00BA7A49" w:rsidRPr="00FD4538" w:rsidRDefault="00BA7A49" w:rsidP="00067A5A">
                            <w:pPr>
                              <w:pStyle w:val="ListParagraph"/>
                              <w:numPr>
                                <w:ilvl w:val="0"/>
                                <w:numId w:val="5"/>
                              </w:numPr>
                              <w:rPr>
                                <w:rFonts w:ascii="Times New Roman" w:hAnsi="Times New Roman" w:cs="Times New Roman"/>
                                <w:sz w:val="24"/>
                                <w:szCs w:val="24"/>
                              </w:rPr>
                            </w:pPr>
                            <w:r w:rsidRPr="00FD4538">
                              <w:rPr>
                                <w:rFonts w:ascii="Times New Roman" w:hAnsi="Times New Roman" w:cs="Times New Roman"/>
                                <w:b/>
                                <w:sz w:val="24"/>
                                <w:szCs w:val="24"/>
                              </w:rPr>
                              <w:t>The subpopulation to be studied:</w:t>
                            </w:r>
                            <w:r w:rsidRPr="00FD4538">
                              <w:rPr>
                                <w:rFonts w:ascii="Times New Roman" w:eastAsia="Arial" w:hAnsi="Times New Roman" w:cs="Times New Roman"/>
                                <w:spacing w:val="2"/>
                                <w:sz w:val="24"/>
                                <w:szCs w:val="24"/>
                              </w:rPr>
                              <w:t xml:space="preserve"> </w:t>
                            </w:r>
                            <w:r w:rsidRPr="00FD4538">
                              <w:rPr>
                                <w:rFonts w:ascii="Times New Roman" w:hAnsi="Times New Roman" w:cs="Times New Roman"/>
                                <w:sz w:val="24"/>
                                <w:szCs w:val="24"/>
                              </w:rPr>
                              <w:t>The primary target audience is primary care providers practicing in MSAs with highest HIV burden among African American populations</w:t>
                            </w:r>
                            <w:r w:rsidR="001D3C19">
                              <w:rPr>
                                <w:rFonts w:ascii="Times New Roman" w:hAnsi="Times New Roman" w:cs="Times New Roman"/>
                                <w:sz w:val="24"/>
                                <w:szCs w:val="24"/>
                              </w:rPr>
                              <w:t xml:space="preserve"> </w:t>
                            </w:r>
                            <w:r w:rsidR="001D3C19">
                              <w:rPr>
                                <w:rFonts w:ascii="Times New Roman" w:hAnsi="Times New Roman"/>
                                <w:color w:val="000000" w:themeColor="text1"/>
                                <w:sz w:val="24"/>
                                <w:szCs w:val="24"/>
                              </w:rPr>
                              <w:t>(</w:t>
                            </w:r>
                            <w:r w:rsidR="001D3C19" w:rsidRPr="003D32BF">
                              <w:rPr>
                                <w:rFonts w:ascii="Times New Roman" w:hAnsi="Times New Roman" w:cs="Times New Roman"/>
                                <w:bCs/>
                                <w:color w:val="000000" w:themeColor="text1"/>
                                <w:sz w:val="24"/>
                                <w:szCs w:val="24"/>
                              </w:rPr>
                              <w:t>Baton Rouge, LA; New Orleans-Metairie-Kenner, LA; Baltimore-Columbia-Towson, MD; Atlanta-Sandy Springs-Roswell, GA; Miami-Fort Lauderdale-West Palm Beach, FL; and Washington, DC-VA-MD-WV</w:t>
                            </w:r>
                            <w:r w:rsidR="001D3C19">
                              <w:rPr>
                                <w:rFonts w:ascii="Times New Roman" w:hAnsi="Times New Roman" w:cs="Times New Roman"/>
                                <w:bCs/>
                                <w:color w:val="000000" w:themeColor="text1"/>
                                <w:sz w:val="24"/>
                                <w:szCs w:val="24"/>
                              </w:rPr>
                              <w:t>)</w:t>
                            </w:r>
                            <w:r w:rsidRPr="00FD4538">
                              <w:rPr>
                                <w:rFonts w:ascii="Times New Roman" w:hAnsi="Times New Roman" w:cs="Times New Roman"/>
                                <w:sz w:val="24"/>
                                <w:szCs w:val="24"/>
                              </w:rPr>
                              <w:t xml:space="preserve">. </w:t>
                            </w:r>
                          </w:p>
                          <w:p w14:paraId="4431EF45" w14:textId="77777777" w:rsidR="00BA7A49" w:rsidRPr="000A0F3E" w:rsidRDefault="00BA7A49" w:rsidP="00067A5A">
                            <w:pPr>
                              <w:pStyle w:val="ListParagraph"/>
                              <w:ind w:left="360"/>
                              <w:rPr>
                                <w:rFonts w:ascii="Times New Roman" w:hAnsi="Times New Roman" w:cs="Times New Roman"/>
                                <w:sz w:val="24"/>
                                <w:szCs w:val="24"/>
                              </w:rPr>
                            </w:pPr>
                          </w:p>
                          <w:p w14:paraId="4AB50BFF" w14:textId="77777777" w:rsidR="00BA7A49" w:rsidRPr="008679ED" w:rsidRDefault="00BA7A49" w:rsidP="008679ED">
                            <w:pPr>
                              <w:pStyle w:val="ListParagraph"/>
                              <w:numPr>
                                <w:ilvl w:val="0"/>
                                <w:numId w:val="5"/>
                              </w:numPr>
                              <w:rPr>
                                <w:rFonts w:ascii="Times New Roman" w:hAnsi="Times New Roman" w:cs="Times New Roman"/>
                                <w:sz w:val="24"/>
                                <w:szCs w:val="24"/>
                              </w:rPr>
                            </w:pPr>
                            <w:r w:rsidRPr="008679ED">
                              <w:rPr>
                                <w:rFonts w:ascii="Times New Roman" w:hAnsi="Times New Roman" w:cs="Times New Roman"/>
                                <w:b/>
                                <w:sz w:val="24"/>
                                <w:szCs w:val="24"/>
                              </w:rPr>
                              <w:t>How data will be analyzed:</w:t>
                            </w:r>
                            <w:r w:rsidRPr="008679ED">
                              <w:rPr>
                                <w:rFonts w:ascii="Times New Roman" w:eastAsiaTheme="minorEastAsia" w:hAnsi="Times New Roman" w:cs="Times New Roman"/>
                                <w:sz w:val="24"/>
                                <w:szCs w:val="24"/>
                              </w:rPr>
                              <w:t xml:space="preserve"> </w:t>
                            </w:r>
                            <w:r w:rsidRPr="008679ED">
                              <w:rPr>
                                <w:rFonts w:ascii="Times New Roman" w:hAnsi="Times New Roman" w:cs="Times New Roman"/>
                                <w:sz w:val="24"/>
                                <w:szCs w:val="24"/>
                              </w:rPr>
                              <w:t>Statistical analysis of quantitative survey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F5305B" id="_x0000_t202" coordsize="21600,21600" o:spt="202" path="m,l,21600r21600,l21600,xe">
                <v:stroke joinstyle="miter"/>
                <v:path gradientshapeok="t" o:connecttype="rect"/>
              </v:shapetype>
              <v:shape id="Text Box 2" o:spid="_x0000_s1026" type="#_x0000_t202" style="position:absolute;margin-left:-40.2pt;margin-top:-50.85pt;width:540.75pt;height:35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">
                <v:textbox>
                  <w:txbxContent>
                    <w:p w14:paraId="6DBAA6C3" w14:textId="77777777" w:rsidR="00BA7A49" w:rsidRDefault="00BA7A49" w:rsidP="000A0F3E">
                      <w:pPr>
                        <w:pStyle w:val="ListParagraph"/>
                        <w:numPr>
                          <w:ilvl w:val="0"/>
                          <w:numId w:val="5"/>
                        </w:numPr>
                        <w:spacing w:after="0"/>
                        <w:rPr>
                          <w:rFonts w:ascii="Times New Roman" w:hAnsi="Times New Roman" w:cs="Times New Roman"/>
                          <w:sz w:val="24"/>
                          <w:szCs w:val="24"/>
                          <w:lang w:bidi="en-US"/>
                        </w:rPr>
                      </w:pPr>
                      <w:r w:rsidRPr="000A0F3E">
                        <w:rPr>
                          <w:rFonts w:ascii="Times New Roman" w:hAnsi="Times New Roman" w:cs="Times New Roman"/>
                          <w:b/>
                          <w:sz w:val="24"/>
                          <w:szCs w:val="24"/>
                        </w:rPr>
                        <w:t>Goal of the study:</w:t>
                      </w:r>
                      <w:r w:rsidRPr="000A0F3E">
                        <w:rPr>
                          <w:rFonts w:ascii="Times New Roman" w:hAnsi="Times New Roman" w:cs="Times New Roman"/>
                          <w:sz w:val="24"/>
                          <w:szCs w:val="24"/>
                        </w:rPr>
                        <w:t xml:space="preserve"> The goal is to identify areas of HIV prevention knowledge and practice strengths and deficits among primary care providers, in order to target limited HIV prevention resources to achieve the greatest reduction in new HIV infections and optimize HIV care in clinical settings.</w:t>
                      </w:r>
                    </w:p>
                    <w:p w14:paraId="2C9C8A6A" w14:textId="77777777" w:rsidR="00BA7A49" w:rsidRPr="000A0F3E" w:rsidRDefault="00BA7A49" w:rsidP="00072030">
                      <w:pPr>
                        <w:pStyle w:val="ListParagraph"/>
                        <w:spacing w:after="0"/>
                        <w:ind w:left="360"/>
                        <w:rPr>
                          <w:rFonts w:ascii="Times New Roman" w:hAnsi="Times New Roman" w:cs="Times New Roman"/>
                          <w:sz w:val="24"/>
                          <w:szCs w:val="24"/>
                          <w:lang w:bidi="en-US"/>
                        </w:rPr>
                      </w:pPr>
                    </w:p>
                    <w:p w14:paraId="0C76DCDA" w14:textId="77777777" w:rsidR="00BA7A49" w:rsidRPr="00FD4538" w:rsidRDefault="00BA7A49" w:rsidP="00072030">
                      <w:pPr>
                        <w:pStyle w:val="ListParagraph"/>
                        <w:numPr>
                          <w:ilvl w:val="0"/>
                          <w:numId w:val="5"/>
                        </w:numPr>
                        <w:spacing w:before="120" w:after="120" w:line="240" w:lineRule="auto"/>
                        <w:rPr>
                          <w:rFonts w:ascii="Times New Roman" w:hAnsi="Times New Roman" w:cs="Times New Roman"/>
                          <w:color w:val="000000" w:themeColor="text1"/>
                          <w:sz w:val="24"/>
                          <w:szCs w:val="24"/>
                        </w:rPr>
                      </w:pPr>
                      <w:r w:rsidRPr="00FD4538">
                        <w:rPr>
                          <w:rFonts w:ascii="Times New Roman" w:hAnsi="Times New Roman" w:cs="Times New Roman"/>
                          <w:b/>
                          <w:sz w:val="24"/>
                          <w:szCs w:val="24"/>
                        </w:rPr>
                        <w:t>Intended use of the resulting data</w:t>
                      </w:r>
                      <w:r w:rsidRPr="00FD4538">
                        <w:rPr>
                          <w:rFonts w:ascii="Times New Roman" w:hAnsi="Times New Roman" w:cs="Times New Roman"/>
                          <w:sz w:val="24"/>
                          <w:szCs w:val="24"/>
                        </w:rPr>
                        <w:t xml:space="preserve">: </w:t>
                      </w:r>
                      <w:r w:rsidRPr="00FD4538">
                        <w:rPr>
                          <w:rFonts w:ascii="Times New Roman" w:hAnsi="Times New Roman" w:cs="Times New Roman"/>
                          <w:color w:val="000000" w:themeColor="text1"/>
                          <w:sz w:val="24"/>
                          <w:szCs w:val="24"/>
                        </w:rPr>
                        <w:t xml:space="preserve">The intended use of the resulting data is to identify the domains of HIV prevention and treatment where primary care providers are most likely to have deficits in their knowledge, attitudes, behaviors, and practices regarding HIV care. Knowledge of these deficits will allow the CDC to address specific, focused areas of improvement, so these providers can provide the best possible care to their patients at high risk of HIV and those who are already HIV positive, managing their illness and limiting the spread of new infections.  </w:t>
                      </w:r>
                    </w:p>
                    <w:p w14:paraId="47035097" w14:textId="77777777" w:rsidR="00BA7A49" w:rsidRPr="00FD4538" w:rsidRDefault="00BA7A49" w:rsidP="00EA3772">
                      <w:pPr>
                        <w:pStyle w:val="ListParagraph"/>
                        <w:spacing w:before="120" w:after="120" w:line="240" w:lineRule="auto"/>
                        <w:rPr>
                          <w:rFonts w:ascii="Times New Roman" w:hAnsi="Times New Roman" w:cs="Times New Roman"/>
                          <w:color w:val="000000" w:themeColor="text1"/>
                          <w:sz w:val="24"/>
                          <w:szCs w:val="24"/>
                        </w:rPr>
                      </w:pPr>
                    </w:p>
                    <w:p w14:paraId="65378FF0" w14:textId="77777777" w:rsidR="00BA7A49" w:rsidRPr="00FD4538" w:rsidRDefault="00BA7A49" w:rsidP="00067A5A">
                      <w:pPr>
                        <w:pStyle w:val="ListParagraph"/>
                        <w:numPr>
                          <w:ilvl w:val="0"/>
                          <w:numId w:val="5"/>
                        </w:numPr>
                      </w:pPr>
                      <w:r w:rsidRPr="00FD4538">
                        <w:rPr>
                          <w:rFonts w:ascii="Times New Roman" w:hAnsi="Times New Roman" w:cs="Times New Roman"/>
                          <w:b/>
                          <w:sz w:val="24"/>
                          <w:szCs w:val="24"/>
                        </w:rPr>
                        <w:t>Methods to be used to collect</w:t>
                      </w:r>
                      <w:r w:rsidRPr="00FD4538">
                        <w:rPr>
                          <w:rFonts w:ascii="Times New Roman" w:hAnsi="Times New Roman" w:cs="Times New Roman"/>
                          <w:sz w:val="24"/>
                          <w:szCs w:val="24"/>
                        </w:rPr>
                        <w:t xml:space="preserve">: </w:t>
                      </w:r>
                      <w:r w:rsidRPr="00FD4538">
                        <w:rPr>
                          <w:rFonts w:ascii="Times New Roman" w:hAnsi="Times New Roman" w:cs="Times New Roman"/>
                          <w:color w:val="000000" w:themeColor="text1"/>
                          <w:sz w:val="24"/>
                          <w:szCs w:val="24"/>
                        </w:rPr>
                        <w:t>An internet-based survey will be conducted among a representative random sample of providers</w:t>
                      </w:r>
                      <w:r w:rsidRPr="00FD4538">
                        <w:rPr>
                          <w:rFonts w:ascii="Times New Roman" w:hAnsi="Times New Roman"/>
                          <w:color w:val="000000" w:themeColor="text1"/>
                          <w:sz w:val="24"/>
                          <w:szCs w:val="24"/>
                        </w:rPr>
                        <w:t xml:space="preserve"> in the selected six (6) </w:t>
                      </w:r>
                      <w:r w:rsidR="005766B5">
                        <w:rPr>
                          <w:rFonts w:ascii="Times New Roman" w:hAnsi="Times New Roman"/>
                          <w:color w:val="000000" w:themeColor="text1"/>
                          <w:sz w:val="24"/>
                          <w:szCs w:val="24"/>
                        </w:rPr>
                        <w:t>metropolitan statistical areas (</w:t>
                      </w:r>
                      <w:r w:rsidRPr="00FD4538">
                        <w:rPr>
                          <w:rFonts w:ascii="Times New Roman" w:hAnsi="Times New Roman"/>
                          <w:color w:val="000000" w:themeColor="text1"/>
                          <w:sz w:val="24"/>
                          <w:szCs w:val="24"/>
                        </w:rPr>
                        <w:t>MSAs</w:t>
                      </w:r>
                      <w:r w:rsidR="005766B5">
                        <w:rPr>
                          <w:rFonts w:ascii="Times New Roman" w:hAnsi="Times New Roman"/>
                          <w:color w:val="000000" w:themeColor="text1"/>
                          <w:sz w:val="24"/>
                          <w:szCs w:val="24"/>
                        </w:rPr>
                        <w:t>)</w:t>
                      </w:r>
                      <w:r w:rsidRPr="00FD4538">
                        <w:rPr>
                          <w:rFonts w:ascii="Times New Roman" w:hAnsi="Times New Roman"/>
                          <w:color w:val="000000" w:themeColor="text1"/>
                          <w:sz w:val="24"/>
                          <w:szCs w:val="24"/>
                        </w:rPr>
                        <w:t xml:space="preserve"> with the highest HIV burden among the African American population.  The survey findings will be used to identify provider </w:t>
                      </w:r>
                      <w:r w:rsidRPr="00FD4538">
                        <w:rPr>
                          <w:rFonts w:ascii="Times New Roman" w:hAnsi="Times New Roman"/>
                          <w:sz w:val="24"/>
                          <w:szCs w:val="24"/>
                        </w:rPr>
                        <w:t xml:space="preserve">K-BAP </w:t>
                      </w:r>
                      <w:r w:rsidRPr="00FD4538">
                        <w:rPr>
                          <w:rFonts w:ascii="Times New Roman" w:hAnsi="Times New Roman"/>
                          <w:color w:val="000000" w:themeColor="text1"/>
                          <w:sz w:val="24"/>
                          <w:szCs w:val="24"/>
                        </w:rPr>
                        <w:t xml:space="preserve">that might require additional educational reinforcement. </w:t>
                      </w:r>
                    </w:p>
                    <w:p w14:paraId="1F99D749" w14:textId="77777777" w:rsidR="00BA7A49" w:rsidRPr="00FD4538" w:rsidRDefault="00BA7A49" w:rsidP="00067A5A">
                      <w:pPr>
                        <w:pStyle w:val="ListParagraph"/>
                        <w:ind w:left="360"/>
                        <w:rPr>
                          <w:rFonts w:ascii="Times New Roman" w:hAnsi="Times New Roman" w:cs="Times New Roman"/>
                          <w:sz w:val="24"/>
                          <w:szCs w:val="24"/>
                        </w:rPr>
                      </w:pPr>
                    </w:p>
                    <w:p w14:paraId="6BE4D0FA" w14:textId="77777777" w:rsidR="00BA7A49" w:rsidRPr="00FD4538" w:rsidRDefault="00BA7A49" w:rsidP="00067A5A">
                      <w:pPr>
                        <w:pStyle w:val="ListParagraph"/>
                        <w:numPr>
                          <w:ilvl w:val="0"/>
                          <w:numId w:val="5"/>
                        </w:numPr>
                        <w:rPr>
                          <w:rFonts w:ascii="Times New Roman" w:hAnsi="Times New Roman" w:cs="Times New Roman"/>
                          <w:sz w:val="24"/>
                          <w:szCs w:val="24"/>
                        </w:rPr>
                      </w:pPr>
                      <w:r w:rsidRPr="00FD4538">
                        <w:rPr>
                          <w:rFonts w:ascii="Times New Roman" w:hAnsi="Times New Roman" w:cs="Times New Roman"/>
                          <w:b/>
                          <w:sz w:val="24"/>
                          <w:szCs w:val="24"/>
                        </w:rPr>
                        <w:t>The subpopulation to be studied:</w:t>
                      </w:r>
                      <w:r w:rsidRPr="00FD4538">
                        <w:rPr>
                          <w:rFonts w:ascii="Times New Roman" w:eastAsia="Arial" w:hAnsi="Times New Roman" w:cs="Times New Roman"/>
                          <w:spacing w:val="2"/>
                          <w:sz w:val="24"/>
                          <w:szCs w:val="24"/>
                        </w:rPr>
                        <w:t xml:space="preserve"> </w:t>
                      </w:r>
                      <w:r w:rsidRPr="00FD4538">
                        <w:rPr>
                          <w:rFonts w:ascii="Times New Roman" w:hAnsi="Times New Roman" w:cs="Times New Roman"/>
                          <w:sz w:val="24"/>
                          <w:szCs w:val="24"/>
                        </w:rPr>
                        <w:t>The primary target audience is primary care providers practicing in MSAs with highest HIV burden among African American populations</w:t>
                      </w:r>
                      <w:r w:rsidR="001D3C19">
                        <w:rPr>
                          <w:rFonts w:ascii="Times New Roman" w:hAnsi="Times New Roman" w:cs="Times New Roman"/>
                          <w:sz w:val="24"/>
                          <w:szCs w:val="24"/>
                        </w:rPr>
                        <w:t xml:space="preserve"> </w:t>
                      </w:r>
                      <w:r w:rsidR="001D3C19">
                        <w:rPr>
                          <w:rFonts w:ascii="Times New Roman" w:hAnsi="Times New Roman"/>
                          <w:color w:val="000000" w:themeColor="text1"/>
                          <w:sz w:val="24"/>
                          <w:szCs w:val="24"/>
                        </w:rPr>
                        <w:t>(</w:t>
                      </w:r>
                      <w:r w:rsidR="001D3C19" w:rsidRPr="003D32BF">
                        <w:rPr>
                          <w:rFonts w:ascii="Times New Roman" w:hAnsi="Times New Roman" w:cs="Times New Roman"/>
                          <w:bCs/>
                          <w:color w:val="000000" w:themeColor="text1"/>
                          <w:sz w:val="24"/>
                          <w:szCs w:val="24"/>
                        </w:rPr>
                        <w:t>Baton Rouge, LA; New Orleans-Metairie-Kenner, LA; Baltimore-Columbia-Towson, MD; Atlanta-Sandy Springs-Roswell, GA; Miami-Fort Lauderdale-West Palm Beach, FL; and Washington, DC-VA-MD-WV</w:t>
                      </w:r>
                      <w:r w:rsidR="001D3C19">
                        <w:rPr>
                          <w:rFonts w:ascii="Times New Roman" w:hAnsi="Times New Roman" w:cs="Times New Roman"/>
                          <w:bCs/>
                          <w:color w:val="000000" w:themeColor="text1"/>
                          <w:sz w:val="24"/>
                          <w:szCs w:val="24"/>
                        </w:rPr>
                        <w:t>)</w:t>
                      </w:r>
                      <w:r w:rsidRPr="00FD4538">
                        <w:rPr>
                          <w:rFonts w:ascii="Times New Roman" w:hAnsi="Times New Roman" w:cs="Times New Roman"/>
                          <w:sz w:val="24"/>
                          <w:szCs w:val="24"/>
                        </w:rPr>
                        <w:t xml:space="preserve">. </w:t>
                      </w:r>
                    </w:p>
                    <w:p w14:paraId="4431EF45" w14:textId="77777777" w:rsidR="00BA7A49" w:rsidRPr="000A0F3E" w:rsidRDefault="00BA7A49" w:rsidP="00067A5A">
                      <w:pPr>
                        <w:pStyle w:val="ListParagraph"/>
                        <w:ind w:left="360"/>
                        <w:rPr>
                          <w:rFonts w:ascii="Times New Roman" w:hAnsi="Times New Roman" w:cs="Times New Roman"/>
                          <w:sz w:val="24"/>
                          <w:szCs w:val="24"/>
                        </w:rPr>
                      </w:pPr>
                    </w:p>
                    <w:p w14:paraId="4AB50BFF" w14:textId="77777777" w:rsidR="00BA7A49" w:rsidRPr="008679ED" w:rsidRDefault="00BA7A49" w:rsidP="008679ED">
                      <w:pPr>
                        <w:pStyle w:val="ListParagraph"/>
                        <w:numPr>
                          <w:ilvl w:val="0"/>
                          <w:numId w:val="5"/>
                        </w:numPr>
                        <w:rPr>
                          <w:rFonts w:ascii="Times New Roman" w:hAnsi="Times New Roman" w:cs="Times New Roman"/>
                          <w:sz w:val="24"/>
                          <w:szCs w:val="24"/>
                        </w:rPr>
                      </w:pPr>
                      <w:r w:rsidRPr="008679ED">
                        <w:rPr>
                          <w:rFonts w:ascii="Times New Roman" w:hAnsi="Times New Roman" w:cs="Times New Roman"/>
                          <w:b/>
                          <w:sz w:val="24"/>
                          <w:szCs w:val="24"/>
                        </w:rPr>
                        <w:t>How data will be analyzed:</w:t>
                      </w:r>
                      <w:r w:rsidRPr="008679ED">
                        <w:rPr>
                          <w:rFonts w:ascii="Times New Roman" w:eastAsiaTheme="minorEastAsia" w:hAnsi="Times New Roman" w:cs="Times New Roman"/>
                          <w:sz w:val="24"/>
                          <w:szCs w:val="24"/>
                        </w:rPr>
                        <w:t xml:space="preserve"> </w:t>
                      </w:r>
                      <w:r w:rsidRPr="008679ED">
                        <w:rPr>
                          <w:rFonts w:ascii="Times New Roman" w:hAnsi="Times New Roman" w:cs="Times New Roman"/>
                          <w:sz w:val="24"/>
                          <w:szCs w:val="24"/>
                        </w:rPr>
                        <w:t>Statistical analysis of quantitative survey data.</w:t>
                      </w:r>
                    </w:p>
                  </w:txbxContent>
                </v:textbox>
                <w10:wrap anchorx="margin"/>
              </v:shape>
            </w:pict>
          </mc:Fallback>
        </mc:AlternateContent>
      </w:r>
    </w:p>
    <w:p w14:paraId="7776B593" w14:textId="77777777" w:rsidR="00664896" w:rsidRPr="00251B0C" w:rsidRDefault="00664896" w:rsidP="00664896">
      <w:pPr>
        <w:rPr>
          <w:rFonts w:ascii="Times New Roman" w:hAnsi="Times New Roman" w:cs="Times New Roman"/>
          <w:b/>
          <w:sz w:val="24"/>
          <w:szCs w:val="24"/>
        </w:rPr>
      </w:pPr>
    </w:p>
    <w:p w14:paraId="2020C8D5" w14:textId="77777777" w:rsidR="00664896" w:rsidRPr="00251B0C" w:rsidRDefault="00664896" w:rsidP="00664896">
      <w:pPr>
        <w:rPr>
          <w:rFonts w:ascii="Times New Roman" w:hAnsi="Times New Roman" w:cs="Times New Roman"/>
          <w:b/>
          <w:sz w:val="24"/>
          <w:szCs w:val="24"/>
        </w:rPr>
      </w:pPr>
    </w:p>
    <w:p w14:paraId="24C553BF" w14:textId="77777777" w:rsidR="00664896" w:rsidRPr="00251B0C" w:rsidRDefault="00664896" w:rsidP="00664896">
      <w:pPr>
        <w:rPr>
          <w:rFonts w:ascii="Times New Roman" w:hAnsi="Times New Roman" w:cs="Times New Roman"/>
          <w:b/>
          <w:sz w:val="24"/>
          <w:szCs w:val="24"/>
        </w:rPr>
      </w:pPr>
    </w:p>
    <w:p w14:paraId="412A7AFD" w14:textId="77777777" w:rsidR="00664896" w:rsidRPr="00251B0C" w:rsidRDefault="00664896" w:rsidP="00664896">
      <w:pPr>
        <w:rPr>
          <w:rFonts w:ascii="Times New Roman" w:hAnsi="Times New Roman" w:cs="Times New Roman"/>
          <w:b/>
          <w:sz w:val="24"/>
          <w:szCs w:val="24"/>
        </w:rPr>
      </w:pPr>
    </w:p>
    <w:p w14:paraId="15BD0305" w14:textId="77777777" w:rsidR="00664896" w:rsidRPr="00251B0C" w:rsidRDefault="00664896" w:rsidP="00664896">
      <w:pPr>
        <w:rPr>
          <w:rFonts w:ascii="Times New Roman" w:hAnsi="Times New Roman" w:cs="Times New Roman"/>
          <w:b/>
          <w:sz w:val="24"/>
          <w:szCs w:val="24"/>
        </w:rPr>
      </w:pPr>
    </w:p>
    <w:p w14:paraId="0F2998C2" w14:textId="77777777" w:rsidR="00452F8D" w:rsidRPr="00251B0C" w:rsidRDefault="00452F8D" w:rsidP="00664896">
      <w:pPr>
        <w:rPr>
          <w:rFonts w:ascii="Times New Roman" w:hAnsi="Times New Roman" w:cs="Times New Roman"/>
          <w:b/>
          <w:sz w:val="24"/>
          <w:szCs w:val="24"/>
        </w:rPr>
      </w:pPr>
    </w:p>
    <w:p w14:paraId="49D5F7F5" w14:textId="77777777" w:rsidR="00556D2D" w:rsidRPr="00251B0C" w:rsidRDefault="00556D2D" w:rsidP="00664896">
      <w:pPr>
        <w:rPr>
          <w:rFonts w:ascii="Times New Roman" w:hAnsi="Times New Roman" w:cs="Times New Roman"/>
          <w:b/>
          <w:sz w:val="24"/>
          <w:szCs w:val="24"/>
        </w:rPr>
      </w:pPr>
    </w:p>
    <w:p w14:paraId="309655A9" w14:textId="77777777" w:rsidR="00686A53" w:rsidRPr="00251B0C" w:rsidRDefault="00686A53" w:rsidP="00664896">
      <w:pPr>
        <w:rPr>
          <w:rFonts w:ascii="Times New Roman" w:hAnsi="Times New Roman" w:cs="Times New Roman"/>
          <w:b/>
          <w:sz w:val="24"/>
          <w:szCs w:val="24"/>
        </w:rPr>
      </w:pPr>
    </w:p>
    <w:p w14:paraId="1260FE34" w14:textId="77777777" w:rsidR="00686A53" w:rsidRPr="00251B0C" w:rsidRDefault="00686A53" w:rsidP="00664896">
      <w:pPr>
        <w:rPr>
          <w:rFonts w:ascii="Times New Roman" w:hAnsi="Times New Roman" w:cs="Times New Roman"/>
          <w:b/>
          <w:sz w:val="24"/>
          <w:szCs w:val="24"/>
        </w:rPr>
      </w:pPr>
    </w:p>
    <w:p w14:paraId="2E04C125" w14:textId="77777777" w:rsidR="00686A53" w:rsidRPr="00251B0C" w:rsidRDefault="00686A53" w:rsidP="00664896">
      <w:pPr>
        <w:rPr>
          <w:rFonts w:ascii="Times New Roman" w:hAnsi="Times New Roman" w:cs="Times New Roman"/>
          <w:b/>
          <w:sz w:val="24"/>
          <w:szCs w:val="24"/>
        </w:rPr>
      </w:pPr>
    </w:p>
    <w:p w14:paraId="07728163" w14:textId="77777777" w:rsidR="00775541" w:rsidRPr="00251B0C" w:rsidRDefault="00775541" w:rsidP="00664896">
      <w:pPr>
        <w:rPr>
          <w:rFonts w:ascii="Times New Roman" w:hAnsi="Times New Roman" w:cs="Times New Roman"/>
          <w:b/>
          <w:sz w:val="24"/>
          <w:szCs w:val="24"/>
        </w:rPr>
      </w:pPr>
    </w:p>
    <w:p w14:paraId="4EDA5761" w14:textId="77777777" w:rsidR="00664896" w:rsidRPr="00251B0C" w:rsidRDefault="00664896" w:rsidP="00664896">
      <w:pPr>
        <w:rPr>
          <w:rFonts w:ascii="Times New Roman" w:hAnsi="Times New Roman" w:cs="Times New Roman"/>
          <w:b/>
          <w:sz w:val="24"/>
          <w:szCs w:val="24"/>
        </w:rPr>
      </w:pPr>
      <w:r w:rsidRPr="00251B0C">
        <w:rPr>
          <w:rFonts w:ascii="Times New Roman" w:hAnsi="Times New Roman" w:cs="Times New Roman"/>
          <w:b/>
          <w:sz w:val="24"/>
          <w:szCs w:val="24"/>
        </w:rPr>
        <w:t xml:space="preserve">A.  </w:t>
      </w:r>
      <w:r w:rsidRPr="00251B0C">
        <w:rPr>
          <w:rFonts w:ascii="Times New Roman" w:hAnsi="Times New Roman" w:cs="Times New Roman"/>
          <w:b/>
          <w:sz w:val="24"/>
          <w:szCs w:val="24"/>
          <w:u w:val="single"/>
        </w:rPr>
        <w:t>Justification</w:t>
      </w:r>
      <w:r w:rsidRPr="00251B0C">
        <w:rPr>
          <w:rFonts w:ascii="Times New Roman" w:hAnsi="Times New Roman" w:cs="Times New Roman"/>
          <w:b/>
          <w:sz w:val="24"/>
          <w:szCs w:val="24"/>
        </w:rPr>
        <w:t xml:space="preserve">  </w:t>
      </w:r>
    </w:p>
    <w:p w14:paraId="295708B8" w14:textId="77777777" w:rsidR="002A0EBF" w:rsidRPr="00251B0C" w:rsidRDefault="00525424" w:rsidP="003200BD">
      <w:pPr>
        <w:pStyle w:val="TOC1"/>
        <w:numPr>
          <w:ilvl w:val="0"/>
          <w:numId w:val="11"/>
        </w:numPr>
      </w:pPr>
      <w:r w:rsidRPr="00251B0C">
        <w:t>Circumstances Making the Collection of Information Necessary</w:t>
      </w:r>
      <w:r w:rsidR="002A0EBF" w:rsidRPr="00251B0C">
        <w:t xml:space="preserve"> </w:t>
      </w:r>
    </w:p>
    <w:p w14:paraId="0AF64494" w14:textId="77777777" w:rsidR="006E4DB7" w:rsidRPr="00251B0C" w:rsidRDefault="001C7A95" w:rsidP="00251B0C">
      <w:pPr>
        <w:rPr>
          <w:rFonts w:ascii="Times New Roman" w:hAnsi="Times New Roman" w:cs="Times New Roman"/>
        </w:rPr>
      </w:pPr>
      <w:r w:rsidRPr="00251B0C">
        <w:rPr>
          <w:rFonts w:ascii="Times New Roman" w:hAnsi="Times New Roman" w:cs="Times New Roman"/>
        </w:rPr>
        <w:t>The Centers for Disease Control and Prevention</w:t>
      </w:r>
      <w:r w:rsidR="00E72546" w:rsidRPr="00251B0C">
        <w:rPr>
          <w:rFonts w:ascii="Times New Roman" w:hAnsi="Times New Roman" w:cs="Times New Roman"/>
        </w:rPr>
        <w:t xml:space="preserve">, National Center for HIV/AIDS, Viral Hepatitis, STD, and TB Prevention (NCHHSTP), </w:t>
      </w:r>
      <w:r w:rsidRPr="00251B0C">
        <w:rPr>
          <w:rFonts w:ascii="Times New Roman" w:hAnsi="Times New Roman" w:cs="Times New Roman"/>
        </w:rPr>
        <w:t xml:space="preserve">Division of HIV/AIDS Prevention, (DHAP) requests a </w:t>
      </w:r>
      <w:r w:rsidR="00EA3772" w:rsidRPr="00251B0C">
        <w:rPr>
          <w:rFonts w:ascii="Times New Roman" w:hAnsi="Times New Roman" w:cs="Times New Roman"/>
        </w:rPr>
        <w:t>1</w:t>
      </w:r>
      <w:r w:rsidRPr="00251B0C">
        <w:rPr>
          <w:rFonts w:ascii="Times New Roman" w:hAnsi="Times New Roman" w:cs="Times New Roman"/>
        </w:rPr>
        <w:t>-year OMB approval</w:t>
      </w:r>
      <w:r w:rsidR="00907CF1" w:rsidRPr="00251B0C">
        <w:rPr>
          <w:rFonts w:ascii="Times New Roman" w:hAnsi="Times New Roman" w:cs="Times New Roman"/>
        </w:rPr>
        <w:t xml:space="preserve"> for a new study entitled “</w:t>
      </w:r>
      <w:r w:rsidR="004C5D2B" w:rsidRPr="00251B0C">
        <w:rPr>
          <w:rFonts w:ascii="Times New Roman" w:hAnsi="Times New Roman" w:cs="Times New Roman"/>
          <w:bCs/>
        </w:rPr>
        <w:t xml:space="preserve">HIV Knowledge, Beliefs, Attitudes, and Practices of Providers in the Southeast </w:t>
      </w:r>
      <w:r w:rsidR="00907CF1" w:rsidRPr="00251B0C">
        <w:rPr>
          <w:rFonts w:ascii="Times New Roman" w:hAnsi="Times New Roman" w:cs="Times New Roman"/>
          <w:bCs/>
        </w:rPr>
        <w:t xml:space="preserve">(K-BAP Study).” </w:t>
      </w:r>
      <w:r w:rsidR="00582B1C" w:rsidRPr="00251B0C">
        <w:rPr>
          <w:rFonts w:ascii="Times New Roman" w:hAnsi="Times New Roman" w:cs="Times New Roman"/>
          <w:bCs/>
        </w:rPr>
        <w:t xml:space="preserve">The proposed study will evaluate Primary Care Providers’ knowledge, beliefs, attitudes, and practices, (K-BAP) in six of the Metropolitan Statistical Areas (MSAs) with the highest </w:t>
      </w:r>
      <w:r w:rsidR="00EA3772" w:rsidRPr="00251B0C">
        <w:rPr>
          <w:rFonts w:ascii="Times New Roman" w:hAnsi="Times New Roman" w:cs="Times New Roman"/>
          <w:bCs/>
        </w:rPr>
        <w:t>HIV burden in African American population</w:t>
      </w:r>
      <w:r w:rsidR="00582B1C" w:rsidRPr="00251B0C">
        <w:rPr>
          <w:rFonts w:ascii="Times New Roman" w:hAnsi="Times New Roman" w:cs="Times New Roman"/>
          <w:bCs/>
        </w:rPr>
        <w:t xml:space="preserve">: </w:t>
      </w:r>
      <w:bookmarkStart w:id="0" w:name="OLE_LINK11"/>
      <w:r w:rsidR="00582B1C" w:rsidRPr="00251B0C">
        <w:rPr>
          <w:rFonts w:ascii="Times New Roman" w:hAnsi="Times New Roman" w:cs="Times New Roman"/>
          <w:bCs/>
        </w:rPr>
        <w:t>Baton Rouge, LA; New Orleans-Metairie-Kenner, LA; Baltimore-Columbia-Towson, MD; Atlanta-Sandy Springs-Roswell, GA; Miami-Fort Lauderdale-West Palm Beach, FL; and Washington, DC-VA-MD-WV</w:t>
      </w:r>
      <w:bookmarkEnd w:id="0"/>
      <w:r w:rsidR="00582B1C" w:rsidRPr="00251B0C">
        <w:rPr>
          <w:rFonts w:ascii="Times New Roman" w:hAnsi="Times New Roman" w:cs="Times New Roman"/>
          <w:bCs/>
        </w:rPr>
        <w:t>. These areas also have populations comprised of over 20% African Americans, one of the most vulnerable populations in the U.S. One of the goals of the National HIV/AIDS Strategy is to “reduce HIV-related health disparities”</w:t>
      </w:r>
      <w:r w:rsidR="00582B1C" w:rsidRPr="00251B0C">
        <w:rPr>
          <w:rFonts w:ascii="Times New Roman" w:hAnsi="Times New Roman" w:cs="Times New Roman"/>
          <w:vertAlign w:val="superscript"/>
        </w:rPr>
        <w:endnoteReference w:id="1"/>
      </w:r>
      <w:r w:rsidR="00582B1C" w:rsidRPr="00251B0C">
        <w:rPr>
          <w:rFonts w:ascii="Times New Roman" w:hAnsi="Times New Roman" w:cs="Times New Roman"/>
          <w:bCs/>
        </w:rPr>
        <w:t xml:space="preserve">. </w:t>
      </w:r>
      <w:r w:rsidR="00E435E7" w:rsidRPr="00251B0C">
        <w:rPr>
          <w:rFonts w:ascii="Times New Roman" w:hAnsi="Times New Roman" w:cs="Times New Roman"/>
        </w:rPr>
        <w:t>The Southern United States</w:t>
      </w:r>
      <w:r w:rsidR="000D3CD8" w:rsidRPr="00251B0C">
        <w:rPr>
          <w:rFonts w:ascii="Times New Roman" w:hAnsi="Times New Roman" w:cs="Times New Roman"/>
        </w:rPr>
        <w:t xml:space="preserve"> </w:t>
      </w:r>
      <w:r w:rsidR="00E435E7" w:rsidRPr="00251B0C">
        <w:rPr>
          <w:rFonts w:ascii="Times New Roman" w:hAnsi="Times New Roman" w:cs="Times New Roman"/>
        </w:rPr>
        <w:t>has been</w:t>
      </w:r>
      <w:r w:rsidR="000D3CD8" w:rsidRPr="00251B0C">
        <w:rPr>
          <w:rFonts w:ascii="Times New Roman" w:hAnsi="Times New Roman" w:cs="Times New Roman"/>
        </w:rPr>
        <w:t xml:space="preserve"> disproportionately affected by HIV</w:t>
      </w:r>
      <w:r w:rsidR="0083532C" w:rsidRPr="00251B0C">
        <w:rPr>
          <w:rFonts w:ascii="Times New Roman" w:hAnsi="Times New Roman" w:cs="Times New Roman"/>
        </w:rPr>
        <w:t>. O</w:t>
      </w:r>
      <w:r w:rsidR="0029194B" w:rsidRPr="00251B0C">
        <w:rPr>
          <w:rFonts w:ascii="Times New Roman" w:hAnsi="Times New Roman" w:cs="Times New Roman"/>
        </w:rPr>
        <w:t>ver the past seven years or more,</w:t>
      </w:r>
      <w:r w:rsidR="00E435E7" w:rsidRPr="00251B0C">
        <w:rPr>
          <w:rFonts w:ascii="Times New Roman" w:hAnsi="Times New Roman" w:cs="Times New Roman"/>
        </w:rPr>
        <w:t xml:space="preserve"> a group of nine Southern states have experience</w:t>
      </w:r>
      <w:r w:rsidR="0029194B" w:rsidRPr="00251B0C">
        <w:rPr>
          <w:rFonts w:ascii="Times New Roman" w:hAnsi="Times New Roman" w:cs="Times New Roman"/>
        </w:rPr>
        <w:t>d</w:t>
      </w:r>
      <w:r w:rsidR="00E435E7" w:rsidRPr="00251B0C">
        <w:rPr>
          <w:rFonts w:ascii="Times New Roman" w:hAnsi="Times New Roman" w:cs="Times New Roman"/>
        </w:rPr>
        <w:t xml:space="preserve"> higher HIV incidence, as well as lower HIV and AIDS survival proportions</w:t>
      </w:r>
      <w:r w:rsidR="0029194B" w:rsidRPr="00251B0C">
        <w:rPr>
          <w:rFonts w:ascii="Times New Roman" w:hAnsi="Times New Roman" w:cs="Times New Roman"/>
        </w:rPr>
        <w:t>,</w:t>
      </w:r>
      <w:r w:rsidR="00E435E7" w:rsidRPr="00251B0C">
        <w:rPr>
          <w:rFonts w:ascii="Times New Roman" w:hAnsi="Times New Roman" w:cs="Times New Roman"/>
        </w:rPr>
        <w:t xml:space="preserve"> than the U.S. overall</w:t>
      </w:r>
      <w:r w:rsidR="00973475" w:rsidRPr="00251B0C">
        <w:rPr>
          <w:rStyle w:val="EndnoteReference"/>
          <w:rFonts w:ascii="Times New Roman" w:hAnsi="Times New Roman" w:cs="Times New Roman"/>
          <w:color w:val="000000" w:themeColor="text1"/>
          <w:sz w:val="24"/>
          <w:szCs w:val="24"/>
        </w:rPr>
        <w:endnoteReference w:id="2"/>
      </w:r>
      <w:r w:rsidR="00CE22E8" w:rsidRPr="00251B0C">
        <w:rPr>
          <w:rFonts w:ascii="Times New Roman" w:hAnsi="Times New Roman" w:cs="Times New Roman"/>
        </w:rPr>
        <w:t xml:space="preserve">. </w:t>
      </w:r>
      <w:r w:rsidR="00E435E7" w:rsidRPr="00251B0C">
        <w:rPr>
          <w:rFonts w:ascii="Times New Roman" w:hAnsi="Times New Roman" w:cs="Times New Roman"/>
        </w:rPr>
        <w:t xml:space="preserve"> Throughout the U.S., </w:t>
      </w:r>
      <w:r w:rsidR="000D3CD8" w:rsidRPr="00251B0C">
        <w:rPr>
          <w:rFonts w:ascii="Times New Roman" w:hAnsi="Times New Roman" w:cs="Times New Roman"/>
        </w:rPr>
        <w:t xml:space="preserve">African Americans </w:t>
      </w:r>
      <w:r w:rsidR="00CE22E8" w:rsidRPr="00251B0C">
        <w:rPr>
          <w:rFonts w:ascii="Times New Roman" w:hAnsi="Times New Roman" w:cs="Times New Roman"/>
        </w:rPr>
        <w:t>are the racial group most burdened by HIV: they comprise 44% of new HIV infections</w:t>
      </w:r>
      <w:r w:rsidR="00007EEC" w:rsidRPr="00251B0C">
        <w:rPr>
          <w:rStyle w:val="EndnoteReference"/>
          <w:rFonts w:ascii="Times New Roman" w:hAnsi="Times New Roman" w:cs="Times New Roman"/>
          <w:color w:val="000000" w:themeColor="text1"/>
          <w:sz w:val="24"/>
          <w:szCs w:val="24"/>
        </w:rPr>
        <w:endnoteReference w:id="3"/>
      </w:r>
      <w:r w:rsidR="00CE22E8" w:rsidRPr="00251B0C">
        <w:rPr>
          <w:rFonts w:ascii="Times New Roman" w:hAnsi="Times New Roman" w:cs="Times New Roman"/>
        </w:rPr>
        <w:t>, and 44% of all persons living with HIV</w:t>
      </w:r>
      <w:r w:rsidR="00B436C8" w:rsidRPr="00251B0C">
        <w:rPr>
          <w:rStyle w:val="EndnoteReference"/>
          <w:rFonts w:ascii="Times New Roman" w:hAnsi="Times New Roman" w:cs="Times New Roman"/>
          <w:color w:val="000000" w:themeColor="text1"/>
          <w:sz w:val="24"/>
          <w:szCs w:val="24"/>
        </w:rPr>
        <w:endnoteReference w:id="4"/>
      </w:r>
      <w:r w:rsidR="00C34EE0" w:rsidRPr="00251B0C">
        <w:rPr>
          <w:rFonts w:ascii="Times New Roman" w:hAnsi="Times New Roman" w:cs="Times New Roman"/>
        </w:rPr>
        <w:t>, despite representing just 13</w:t>
      </w:r>
      <w:r w:rsidR="0029194B" w:rsidRPr="00251B0C">
        <w:rPr>
          <w:rFonts w:ascii="Times New Roman" w:hAnsi="Times New Roman" w:cs="Times New Roman"/>
        </w:rPr>
        <w:t>.2% of the US population</w:t>
      </w:r>
      <w:r w:rsidR="00C34EE0" w:rsidRPr="00251B0C">
        <w:rPr>
          <w:rStyle w:val="EndnoteReference"/>
          <w:rFonts w:ascii="Times New Roman" w:hAnsi="Times New Roman" w:cs="Times New Roman"/>
          <w:color w:val="000000" w:themeColor="text1"/>
          <w:sz w:val="24"/>
          <w:szCs w:val="24"/>
        </w:rPr>
        <w:endnoteReference w:id="5"/>
      </w:r>
      <w:r w:rsidR="00C34EE0" w:rsidRPr="00251B0C">
        <w:rPr>
          <w:rFonts w:ascii="Times New Roman" w:hAnsi="Times New Roman" w:cs="Times New Roman"/>
        </w:rPr>
        <w:t>.</w:t>
      </w:r>
      <w:r w:rsidR="000D3CD8" w:rsidRPr="00251B0C">
        <w:rPr>
          <w:rFonts w:ascii="Times New Roman" w:hAnsi="Times New Roman" w:cs="Times New Roman"/>
        </w:rPr>
        <w:t xml:space="preserve"> </w:t>
      </w:r>
      <w:r w:rsidR="004112A9" w:rsidRPr="00251B0C">
        <w:rPr>
          <w:rFonts w:ascii="Times New Roman" w:hAnsi="Times New Roman" w:cs="Times New Roman"/>
        </w:rPr>
        <w:t>The rates at which African Americans with HIV infection are diagnosed, linked and retained in care, prescribe</w:t>
      </w:r>
      <w:r w:rsidR="00E435E7" w:rsidRPr="00251B0C">
        <w:rPr>
          <w:rFonts w:ascii="Times New Roman" w:hAnsi="Times New Roman" w:cs="Times New Roman"/>
        </w:rPr>
        <w:t>d</w:t>
      </w:r>
      <w:r w:rsidR="004112A9" w:rsidRPr="00251B0C">
        <w:rPr>
          <w:rFonts w:ascii="Times New Roman" w:hAnsi="Times New Roman" w:cs="Times New Roman"/>
        </w:rPr>
        <w:t xml:space="preserve"> antiretroviral therapy (ART), and achieve viral suppression are all lower than those for </w:t>
      </w:r>
      <w:r w:rsidR="0029194B" w:rsidRPr="00251B0C">
        <w:rPr>
          <w:rFonts w:ascii="Times New Roman" w:hAnsi="Times New Roman" w:cs="Times New Roman"/>
        </w:rPr>
        <w:t xml:space="preserve">their </w:t>
      </w:r>
      <w:r w:rsidR="004112A9" w:rsidRPr="00251B0C">
        <w:rPr>
          <w:rFonts w:ascii="Times New Roman" w:hAnsi="Times New Roman" w:cs="Times New Roman"/>
        </w:rPr>
        <w:t>White (and, in many of these categories, Hispanic/Latino) counterparts</w:t>
      </w:r>
      <w:r w:rsidR="004112A9" w:rsidRPr="00251B0C">
        <w:rPr>
          <w:rStyle w:val="EndnoteReference"/>
          <w:rFonts w:ascii="Times New Roman" w:hAnsi="Times New Roman" w:cs="Times New Roman"/>
          <w:color w:val="000000" w:themeColor="text1"/>
          <w:sz w:val="24"/>
          <w:szCs w:val="24"/>
        </w:rPr>
        <w:endnoteReference w:id="6"/>
      </w:r>
      <w:r w:rsidR="002D51B0" w:rsidRPr="00251B0C">
        <w:rPr>
          <w:rFonts w:ascii="Times New Roman" w:hAnsi="Times New Roman" w:cs="Times New Roman"/>
        </w:rPr>
        <w:t xml:space="preserve">. </w:t>
      </w:r>
      <w:r w:rsidR="006E4DB7" w:rsidRPr="00251B0C">
        <w:rPr>
          <w:rFonts w:ascii="Times New Roman" w:hAnsi="Times New Roman" w:cs="Times New Roman"/>
        </w:rPr>
        <w:t xml:space="preserve">  </w:t>
      </w:r>
    </w:p>
    <w:p w14:paraId="24B18B0E" w14:textId="77777777" w:rsidR="006E4DB7" w:rsidRPr="00251B0C" w:rsidRDefault="00254ED0" w:rsidP="00251B0C">
      <w:pPr>
        <w:rPr>
          <w:rFonts w:ascii="Times New Roman" w:hAnsi="Times New Roman" w:cs="Times New Roman"/>
        </w:rPr>
      </w:pPr>
      <w:r w:rsidRPr="00251B0C">
        <w:rPr>
          <w:rFonts w:ascii="Times New Roman" w:hAnsi="Times New Roman" w:cs="Times New Roman"/>
        </w:rPr>
        <w:lastRenderedPageBreak/>
        <w:t>Primary</w:t>
      </w:r>
      <w:r w:rsidR="00720AA4" w:rsidRPr="00251B0C">
        <w:rPr>
          <w:rFonts w:ascii="Times New Roman" w:hAnsi="Times New Roman" w:cs="Times New Roman"/>
        </w:rPr>
        <w:t xml:space="preserve"> care providers </w:t>
      </w:r>
      <w:r w:rsidRPr="00251B0C">
        <w:rPr>
          <w:rFonts w:ascii="Times New Roman" w:hAnsi="Times New Roman" w:cs="Times New Roman"/>
        </w:rPr>
        <w:t xml:space="preserve">(PCPs) </w:t>
      </w:r>
      <w:r w:rsidR="00720AA4" w:rsidRPr="00251B0C">
        <w:rPr>
          <w:rFonts w:ascii="Times New Roman" w:hAnsi="Times New Roman" w:cs="Times New Roman"/>
        </w:rPr>
        <w:t xml:space="preserve">in high-prevalence geographic areas could substantially reduce new HIV infections among the patient populations they serve. </w:t>
      </w:r>
      <w:r w:rsidRPr="00251B0C">
        <w:rPr>
          <w:rFonts w:ascii="Times New Roman" w:hAnsi="Times New Roman" w:cs="Times New Roman"/>
        </w:rPr>
        <w:t xml:space="preserve">Primary care </w:t>
      </w:r>
      <w:r w:rsidR="00720AA4" w:rsidRPr="00251B0C">
        <w:rPr>
          <w:rFonts w:ascii="Times New Roman" w:hAnsi="Times New Roman" w:cs="Times New Roman"/>
        </w:rPr>
        <w:t xml:space="preserve">providers have the capacity to perform STD/HIV testing, and to prescribe medication with appropriate clinical follow-up. </w:t>
      </w:r>
      <w:r w:rsidRPr="00251B0C">
        <w:rPr>
          <w:rFonts w:ascii="Times New Roman" w:hAnsi="Times New Roman" w:cs="Times New Roman"/>
        </w:rPr>
        <w:t xml:space="preserve">For many of the most vulnerable patients, primary care providers may be the only healthcare professionals they interact with. </w:t>
      </w:r>
      <w:r w:rsidR="00F22C2D" w:rsidRPr="00251B0C">
        <w:rPr>
          <w:rFonts w:ascii="Times New Roman" w:hAnsi="Times New Roman" w:cs="Times New Roman"/>
        </w:rPr>
        <w:t>A</w:t>
      </w:r>
      <w:r w:rsidR="00171267" w:rsidRPr="00251B0C">
        <w:rPr>
          <w:rFonts w:ascii="Times New Roman" w:hAnsi="Times New Roman" w:cs="Times New Roman"/>
        </w:rPr>
        <w:t xml:space="preserve"> review of the literature indicates that there is no regional data available on </w:t>
      </w:r>
      <w:r w:rsidRPr="00251B0C">
        <w:rPr>
          <w:rFonts w:ascii="Times New Roman" w:hAnsi="Times New Roman" w:cs="Times New Roman"/>
        </w:rPr>
        <w:t xml:space="preserve">primary care </w:t>
      </w:r>
      <w:r w:rsidR="00171267" w:rsidRPr="00251B0C">
        <w:rPr>
          <w:rFonts w:ascii="Times New Roman" w:hAnsi="Times New Roman" w:cs="Times New Roman"/>
        </w:rPr>
        <w:t xml:space="preserve">providers’ knowledge, </w:t>
      </w:r>
      <w:r w:rsidRPr="00251B0C">
        <w:rPr>
          <w:rFonts w:ascii="Times New Roman" w:hAnsi="Times New Roman" w:cs="Times New Roman"/>
        </w:rPr>
        <w:t xml:space="preserve">beliefs, </w:t>
      </w:r>
      <w:r w:rsidR="00171267" w:rsidRPr="00251B0C">
        <w:rPr>
          <w:rFonts w:ascii="Times New Roman" w:hAnsi="Times New Roman" w:cs="Times New Roman"/>
        </w:rPr>
        <w:t>attitudes,</w:t>
      </w:r>
      <w:r w:rsidR="0029194B" w:rsidRPr="00251B0C">
        <w:rPr>
          <w:rFonts w:ascii="Times New Roman" w:hAnsi="Times New Roman" w:cs="Times New Roman"/>
        </w:rPr>
        <w:t xml:space="preserve"> </w:t>
      </w:r>
      <w:r w:rsidRPr="00251B0C">
        <w:rPr>
          <w:rFonts w:ascii="Times New Roman" w:hAnsi="Times New Roman" w:cs="Times New Roman"/>
        </w:rPr>
        <w:t xml:space="preserve">and </w:t>
      </w:r>
      <w:r w:rsidR="0029194B" w:rsidRPr="00251B0C">
        <w:rPr>
          <w:rFonts w:ascii="Times New Roman" w:hAnsi="Times New Roman" w:cs="Times New Roman"/>
        </w:rPr>
        <w:t>practices</w:t>
      </w:r>
      <w:r w:rsidRPr="00251B0C">
        <w:rPr>
          <w:rFonts w:ascii="Times New Roman" w:hAnsi="Times New Roman" w:cs="Times New Roman"/>
        </w:rPr>
        <w:t xml:space="preserve"> (K</w:t>
      </w:r>
      <w:r w:rsidR="00C46A93" w:rsidRPr="00251B0C">
        <w:rPr>
          <w:rFonts w:ascii="Times New Roman" w:hAnsi="Times New Roman" w:cs="Times New Roman"/>
        </w:rPr>
        <w:t>-</w:t>
      </w:r>
      <w:r w:rsidRPr="00251B0C">
        <w:rPr>
          <w:rFonts w:ascii="Times New Roman" w:hAnsi="Times New Roman" w:cs="Times New Roman"/>
        </w:rPr>
        <w:t>BAP)</w:t>
      </w:r>
      <w:r w:rsidR="0029194B" w:rsidRPr="00251B0C">
        <w:rPr>
          <w:rFonts w:ascii="Times New Roman" w:hAnsi="Times New Roman" w:cs="Times New Roman"/>
        </w:rPr>
        <w:t xml:space="preserve"> </w:t>
      </w:r>
      <w:r w:rsidRPr="00251B0C">
        <w:rPr>
          <w:rFonts w:ascii="Times New Roman" w:hAnsi="Times New Roman" w:cs="Times New Roman"/>
        </w:rPr>
        <w:t xml:space="preserve">relating to </w:t>
      </w:r>
      <w:r w:rsidR="0029194B" w:rsidRPr="00251B0C">
        <w:rPr>
          <w:rFonts w:ascii="Times New Roman" w:hAnsi="Times New Roman" w:cs="Times New Roman"/>
        </w:rPr>
        <w:t xml:space="preserve">HIV </w:t>
      </w:r>
      <w:r w:rsidRPr="00251B0C">
        <w:rPr>
          <w:rFonts w:ascii="Times New Roman" w:hAnsi="Times New Roman" w:cs="Times New Roman"/>
        </w:rPr>
        <w:t xml:space="preserve">prevention and treatment </w:t>
      </w:r>
      <w:r w:rsidR="0029194B" w:rsidRPr="00251B0C">
        <w:rPr>
          <w:rFonts w:ascii="Times New Roman" w:hAnsi="Times New Roman" w:cs="Times New Roman"/>
        </w:rPr>
        <w:t xml:space="preserve">in </w:t>
      </w:r>
      <w:r w:rsidR="00720AA4" w:rsidRPr="00251B0C">
        <w:rPr>
          <w:rFonts w:ascii="Times New Roman" w:hAnsi="Times New Roman" w:cs="Times New Roman"/>
        </w:rPr>
        <w:t>high-prevalence region</w:t>
      </w:r>
      <w:r w:rsidR="00E056B7" w:rsidRPr="00251B0C">
        <w:rPr>
          <w:rFonts w:ascii="Times New Roman" w:hAnsi="Times New Roman" w:cs="Times New Roman"/>
        </w:rPr>
        <w:t>s</w:t>
      </w:r>
      <w:r w:rsidR="0029194B" w:rsidRPr="00251B0C">
        <w:rPr>
          <w:rFonts w:ascii="Times New Roman" w:hAnsi="Times New Roman" w:cs="Times New Roman"/>
        </w:rPr>
        <w:t>.</w:t>
      </w:r>
      <w:r w:rsidR="006E4DB7" w:rsidRPr="00251B0C">
        <w:rPr>
          <w:rFonts w:ascii="Times New Roman" w:hAnsi="Times New Roman" w:cs="Times New Roman"/>
        </w:rPr>
        <w:t xml:space="preserve">  </w:t>
      </w:r>
    </w:p>
    <w:p w14:paraId="4A304EC9" w14:textId="77777777" w:rsidR="006E4DB7" w:rsidRPr="00251B0C" w:rsidRDefault="0029194B" w:rsidP="00251B0C">
      <w:pPr>
        <w:rPr>
          <w:rFonts w:ascii="Times New Roman" w:hAnsi="Times New Roman" w:cs="Times New Roman"/>
        </w:rPr>
      </w:pPr>
      <w:r w:rsidRPr="00251B0C">
        <w:rPr>
          <w:rFonts w:ascii="Times New Roman" w:hAnsi="Times New Roman" w:cs="Times New Roman"/>
        </w:rPr>
        <w:t>I</w:t>
      </w:r>
      <w:r w:rsidR="00171267" w:rsidRPr="00251B0C">
        <w:rPr>
          <w:rFonts w:ascii="Times New Roman" w:hAnsi="Times New Roman" w:cs="Times New Roman"/>
        </w:rPr>
        <w:t xml:space="preserve">ndividuals who </w:t>
      </w:r>
      <w:r w:rsidRPr="00251B0C">
        <w:rPr>
          <w:rFonts w:ascii="Times New Roman" w:hAnsi="Times New Roman" w:cs="Times New Roman"/>
        </w:rPr>
        <w:t xml:space="preserve">do not know their HIV </w:t>
      </w:r>
      <w:r w:rsidR="00171267" w:rsidRPr="00251B0C">
        <w:rPr>
          <w:rFonts w:ascii="Times New Roman" w:hAnsi="Times New Roman" w:cs="Times New Roman"/>
        </w:rPr>
        <w:t>status</w:t>
      </w:r>
      <w:r w:rsidRPr="00251B0C">
        <w:rPr>
          <w:rFonts w:ascii="Times New Roman" w:hAnsi="Times New Roman" w:cs="Times New Roman"/>
        </w:rPr>
        <w:t xml:space="preserve">, as well as those with limited access to healthcare, are unlikely to seek healthcare services from HIV specialists. Rather, </w:t>
      </w:r>
      <w:r w:rsidR="00171267" w:rsidRPr="00251B0C">
        <w:rPr>
          <w:rFonts w:ascii="Times New Roman" w:hAnsi="Times New Roman" w:cs="Times New Roman"/>
        </w:rPr>
        <w:t>it is primary care providers who are most likely to have</w:t>
      </w:r>
      <w:r w:rsidRPr="00251B0C">
        <w:rPr>
          <w:rFonts w:ascii="Times New Roman" w:hAnsi="Times New Roman" w:cs="Times New Roman"/>
        </w:rPr>
        <w:t xml:space="preserve"> the opportunity</w:t>
      </w:r>
      <w:r w:rsidR="00171267" w:rsidRPr="00251B0C">
        <w:rPr>
          <w:rFonts w:ascii="Times New Roman" w:hAnsi="Times New Roman" w:cs="Times New Roman"/>
        </w:rPr>
        <w:t xml:space="preserve"> to provide HIV testing, prevention couns</w:t>
      </w:r>
      <w:r w:rsidRPr="00251B0C">
        <w:rPr>
          <w:rFonts w:ascii="Times New Roman" w:hAnsi="Times New Roman" w:cs="Times New Roman"/>
        </w:rPr>
        <w:t xml:space="preserve">eling, and early treatment to at-risk individuals. </w:t>
      </w:r>
      <w:r w:rsidR="00B15889" w:rsidRPr="00251B0C">
        <w:rPr>
          <w:rFonts w:ascii="Times New Roman" w:hAnsi="Times New Roman" w:cs="Times New Roman"/>
        </w:rPr>
        <w:t>A review of the literature</w:t>
      </w:r>
      <w:r w:rsidR="00171267" w:rsidRPr="00251B0C">
        <w:rPr>
          <w:rFonts w:ascii="Times New Roman" w:hAnsi="Times New Roman" w:cs="Times New Roman"/>
        </w:rPr>
        <w:t xml:space="preserve"> </w:t>
      </w:r>
      <w:r w:rsidR="00720AA4" w:rsidRPr="00251B0C">
        <w:rPr>
          <w:rFonts w:ascii="Times New Roman" w:hAnsi="Times New Roman" w:cs="Times New Roman"/>
        </w:rPr>
        <w:t>found</w:t>
      </w:r>
      <w:r w:rsidRPr="00251B0C">
        <w:rPr>
          <w:rFonts w:ascii="Times New Roman" w:hAnsi="Times New Roman" w:cs="Times New Roman"/>
        </w:rPr>
        <w:t xml:space="preserve"> that PCPs often miss </w:t>
      </w:r>
      <w:r w:rsidR="00171267" w:rsidRPr="00251B0C">
        <w:rPr>
          <w:rFonts w:ascii="Times New Roman" w:hAnsi="Times New Roman" w:cs="Times New Roman"/>
        </w:rPr>
        <w:t>opportunities to discuss risk reduction and prevention with persons living with HIV and persons at risk for HIV acquisition</w:t>
      </w:r>
      <w:r w:rsidR="00B15889" w:rsidRPr="00251B0C">
        <w:rPr>
          <w:rStyle w:val="EndnoteReference"/>
          <w:rFonts w:ascii="Times New Roman" w:hAnsi="Times New Roman" w:cs="Times New Roman"/>
          <w:color w:val="000000" w:themeColor="text1"/>
          <w:sz w:val="24"/>
          <w:szCs w:val="24"/>
        </w:rPr>
        <w:endnoteReference w:id="7"/>
      </w:r>
      <w:r w:rsidR="00B15889" w:rsidRPr="00251B0C">
        <w:rPr>
          <w:rFonts w:ascii="Times New Roman" w:hAnsi="Times New Roman" w:cs="Times New Roman"/>
        </w:rPr>
        <w:t xml:space="preserve"> </w:t>
      </w:r>
      <w:r w:rsidR="00B15889" w:rsidRPr="00251B0C">
        <w:rPr>
          <w:rStyle w:val="EndnoteReference"/>
          <w:rFonts w:ascii="Times New Roman" w:hAnsi="Times New Roman" w:cs="Times New Roman"/>
          <w:color w:val="000000" w:themeColor="text1"/>
          <w:sz w:val="24"/>
          <w:szCs w:val="24"/>
        </w:rPr>
        <w:endnoteReference w:id="8"/>
      </w:r>
      <w:r w:rsidR="00B15889" w:rsidRPr="00251B0C">
        <w:rPr>
          <w:rFonts w:ascii="Times New Roman" w:hAnsi="Times New Roman" w:cs="Times New Roman"/>
        </w:rPr>
        <w:t xml:space="preserve"> </w:t>
      </w:r>
      <w:r w:rsidR="00B15889" w:rsidRPr="00251B0C">
        <w:rPr>
          <w:rStyle w:val="EndnoteReference"/>
          <w:rFonts w:ascii="Times New Roman" w:hAnsi="Times New Roman" w:cs="Times New Roman"/>
          <w:color w:val="000000" w:themeColor="text1"/>
          <w:sz w:val="24"/>
          <w:szCs w:val="24"/>
        </w:rPr>
        <w:endnoteReference w:id="9"/>
      </w:r>
      <w:r w:rsidR="005A282B" w:rsidRPr="00251B0C">
        <w:rPr>
          <w:rFonts w:ascii="Times New Roman" w:hAnsi="Times New Roman" w:cs="Times New Roman"/>
        </w:rPr>
        <w:t xml:space="preserve"> </w:t>
      </w:r>
      <w:r w:rsidR="005A282B" w:rsidRPr="00251B0C">
        <w:rPr>
          <w:rStyle w:val="EndnoteReference"/>
          <w:rFonts w:ascii="Times New Roman" w:hAnsi="Times New Roman" w:cs="Times New Roman"/>
          <w:color w:val="000000" w:themeColor="text1"/>
          <w:sz w:val="24"/>
          <w:szCs w:val="24"/>
        </w:rPr>
        <w:endnoteReference w:id="10"/>
      </w:r>
      <w:r w:rsidR="00171267" w:rsidRPr="00251B0C">
        <w:rPr>
          <w:rFonts w:ascii="Times New Roman" w:hAnsi="Times New Roman" w:cs="Times New Roman"/>
        </w:rPr>
        <w:t xml:space="preserve">. Thus, it is critical to understand the gaps in PCP knowledge of HIV prevention, and to </w:t>
      </w:r>
      <w:r w:rsidR="00720AA4" w:rsidRPr="00251B0C">
        <w:rPr>
          <w:rFonts w:ascii="Times New Roman" w:hAnsi="Times New Roman" w:cs="Times New Roman"/>
        </w:rPr>
        <w:t>strategically target limited prevention resources</w:t>
      </w:r>
      <w:r w:rsidR="00C46A93" w:rsidRPr="00251B0C">
        <w:rPr>
          <w:rFonts w:ascii="Times New Roman" w:hAnsi="Times New Roman" w:cs="Times New Roman"/>
        </w:rPr>
        <w:t xml:space="preserve"> to improve PCPs’ HIV-related K-</w:t>
      </w:r>
      <w:r w:rsidR="00720AA4" w:rsidRPr="00251B0C">
        <w:rPr>
          <w:rFonts w:ascii="Times New Roman" w:hAnsi="Times New Roman" w:cs="Times New Roman"/>
        </w:rPr>
        <w:t>B</w:t>
      </w:r>
      <w:r w:rsidR="00C46A93" w:rsidRPr="00251B0C">
        <w:rPr>
          <w:rFonts w:ascii="Times New Roman" w:hAnsi="Times New Roman" w:cs="Times New Roman"/>
        </w:rPr>
        <w:t>AP</w:t>
      </w:r>
      <w:r w:rsidR="00254ED0" w:rsidRPr="00251B0C">
        <w:rPr>
          <w:rFonts w:ascii="Times New Roman" w:hAnsi="Times New Roman" w:cs="Times New Roman"/>
        </w:rPr>
        <w:t>s</w:t>
      </w:r>
      <w:r w:rsidR="00720AA4" w:rsidRPr="00251B0C">
        <w:rPr>
          <w:rFonts w:ascii="Times New Roman" w:hAnsi="Times New Roman" w:cs="Times New Roman"/>
        </w:rPr>
        <w:t>.</w:t>
      </w:r>
      <w:r w:rsidR="006E4DB7" w:rsidRPr="00251B0C">
        <w:rPr>
          <w:rFonts w:ascii="Times New Roman" w:hAnsi="Times New Roman" w:cs="Times New Roman"/>
        </w:rPr>
        <w:t xml:space="preserve">  </w:t>
      </w:r>
    </w:p>
    <w:p w14:paraId="3A4B3F6D" w14:textId="77777777" w:rsidR="007F17E7" w:rsidRPr="00251B0C" w:rsidRDefault="0029194B" w:rsidP="00251B0C">
      <w:pPr>
        <w:rPr>
          <w:rFonts w:ascii="Times New Roman" w:hAnsi="Times New Roman" w:cs="Times New Roman"/>
        </w:rPr>
      </w:pPr>
      <w:r w:rsidRPr="00251B0C">
        <w:rPr>
          <w:rFonts w:ascii="Times New Roman" w:hAnsi="Times New Roman" w:cs="Times New Roman"/>
        </w:rPr>
        <w:t>To date, n</w:t>
      </w:r>
      <w:r w:rsidR="00171267" w:rsidRPr="00251B0C">
        <w:rPr>
          <w:rFonts w:ascii="Times New Roman" w:hAnsi="Times New Roman" w:cs="Times New Roman"/>
        </w:rPr>
        <w:t xml:space="preserve">o </w:t>
      </w:r>
      <w:r w:rsidRPr="00251B0C">
        <w:rPr>
          <w:rFonts w:ascii="Times New Roman" w:hAnsi="Times New Roman" w:cs="Times New Roman"/>
        </w:rPr>
        <w:t>surveys or other s</w:t>
      </w:r>
      <w:r w:rsidR="00171267" w:rsidRPr="00251B0C">
        <w:rPr>
          <w:rFonts w:ascii="Times New Roman" w:hAnsi="Times New Roman" w:cs="Times New Roman"/>
        </w:rPr>
        <w:t xml:space="preserve">tudies examining primary care </w:t>
      </w:r>
      <w:r w:rsidRPr="00251B0C">
        <w:rPr>
          <w:rFonts w:ascii="Times New Roman" w:hAnsi="Times New Roman" w:cs="Times New Roman"/>
        </w:rPr>
        <w:t xml:space="preserve">provider’s HIV </w:t>
      </w:r>
      <w:r w:rsidR="00E471C2" w:rsidRPr="00251B0C">
        <w:rPr>
          <w:rFonts w:ascii="Times New Roman" w:hAnsi="Times New Roman" w:cs="Times New Roman"/>
        </w:rPr>
        <w:t>K-BAP</w:t>
      </w:r>
      <w:r w:rsidR="00254ED0" w:rsidRPr="00251B0C">
        <w:rPr>
          <w:rFonts w:ascii="Times New Roman" w:hAnsi="Times New Roman" w:cs="Times New Roman"/>
        </w:rPr>
        <w:t>s</w:t>
      </w:r>
      <w:r w:rsidR="001D1D15" w:rsidRPr="00251B0C">
        <w:rPr>
          <w:rFonts w:ascii="Times New Roman" w:hAnsi="Times New Roman" w:cs="Times New Roman"/>
        </w:rPr>
        <w:t xml:space="preserve"> have been conducted in the </w:t>
      </w:r>
      <w:r w:rsidR="00015C2D" w:rsidRPr="00251B0C">
        <w:rPr>
          <w:rFonts w:ascii="Times New Roman" w:hAnsi="Times New Roman" w:cs="Times New Roman"/>
        </w:rPr>
        <w:t>r</w:t>
      </w:r>
      <w:r w:rsidRPr="00251B0C">
        <w:rPr>
          <w:rFonts w:ascii="Times New Roman" w:hAnsi="Times New Roman" w:cs="Times New Roman"/>
        </w:rPr>
        <w:t xml:space="preserve">egions </w:t>
      </w:r>
      <w:r w:rsidR="00366960" w:rsidRPr="00251B0C">
        <w:rPr>
          <w:rFonts w:ascii="Times New Roman" w:hAnsi="Times New Roman" w:cs="Times New Roman"/>
        </w:rPr>
        <w:t xml:space="preserve">that are </w:t>
      </w:r>
      <w:r w:rsidRPr="00251B0C">
        <w:rPr>
          <w:rFonts w:ascii="Times New Roman" w:hAnsi="Times New Roman" w:cs="Times New Roman"/>
        </w:rPr>
        <w:t>most at risk. T</w:t>
      </w:r>
      <w:r w:rsidR="00171267" w:rsidRPr="00251B0C">
        <w:rPr>
          <w:rFonts w:ascii="Times New Roman" w:hAnsi="Times New Roman" w:cs="Times New Roman"/>
        </w:rPr>
        <w:t xml:space="preserve">he </w:t>
      </w:r>
      <w:r w:rsidR="00410118" w:rsidRPr="00251B0C">
        <w:rPr>
          <w:rFonts w:ascii="Times New Roman" w:hAnsi="Times New Roman" w:cs="Times New Roman"/>
        </w:rPr>
        <w:t>Division</w:t>
      </w:r>
      <w:r w:rsidR="00171267" w:rsidRPr="00251B0C">
        <w:rPr>
          <w:rFonts w:ascii="Times New Roman" w:hAnsi="Times New Roman" w:cs="Times New Roman"/>
        </w:rPr>
        <w:t xml:space="preserve"> of HIV/AIDS Prevention’s Team Leader on Minority Health has made this issue a priority.  </w:t>
      </w:r>
    </w:p>
    <w:p w14:paraId="73CCFA3B" w14:textId="77777777" w:rsidR="0022701D" w:rsidRPr="00251B0C" w:rsidRDefault="0022701D" w:rsidP="00251B0C">
      <w:pPr>
        <w:rPr>
          <w:rFonts w:ascii="Times New Roman" w:hAnsi="Times New Roman" w:cs="Times New Roman"/>
        </w:rPr>
      </w:pPr>
    </w:p>
    <w:p w14:paraId="19A8AE22" w14:textId="77777777" w:rsidR="00DC55F3" w:rsidRPr="00251B0C" w:rsidRDefault="00525424" w:rsidP="003200BD">
      <w:pPr>
        <w:pStyle w:val="ListParagraph"/>
        <w:numPr>
          <w:ilvl w:val="0"/>
          <w:numId w:val="1"/>
        </w:numPr>
        <w:spacing w:before="120" w:after="120"/>
        <w:ind w:left="0"/>
        <w:contextualSpacing w:val="0"/>
        <w:rPr>
          <w:rFonts w:ascii="Times New Roman" w:hAnsi="Times New Roman" w:cs="Times New Roman"/>
        </w:rPr>
      </w:pPr>
      <w:r w:rsidRPr="00251B0C">
        <w:rPr>
          <w:rFonts w:ascii="Times New Roman" w:hAnsi="Times New Roman" w:cs="Times New Roman"/>
          <w:b/>
          <w:bCs/>
        </w:rPr>
        <w:t>Purpose and Use of Information Collection</w:t>
      </w:r>
    </w:p>
    <w:p w14:paraId="772D1C33" w14:textId="77777777" w:rsidR="0022701D" w:rsidRPr="00251B0C" w:rsidRDefault="00B11787" w:rsidP="003200BD">
      <w:pPr>
        <w:rPr>
          <w:rFonts w:ascii="Times New Roman" w:hAnsi="Times New Roman" w:cs="Times New Roman"/>
        </w:rPr>
      </w:pPr>
      <w:r w:rsidRPr="00251B0C">
        <w:rPr>
          <w:rFonts w:ascii="Times New Roman" w:hAnsi="Times New Roman" w:cs="Times New Roman"/>
        </w:rPr>
        <w:t xml:space="preserve">The </w:t>
      </w:r>
      <w:r w:rsidR="00067A5A" w:rsidRPr="00251B0C">
        <w:rPr>
          <w:rFonts w:ascii="Times New Roman" w:hAnsi="Times New Roman" w:cs="Times New Roman"/>
        </w:rPr>
        <w:t xml:space="preserve">intended use of the resulting data is to identify the domains of HIV prevention and treatment where primary care providers are most likely to have deficits in their knowledge, attitudes, behaviors, and practices regarding HIV care. Knowledge of these deficits will allow the CDC to address specific, focused areas of improvement, so these providers can provide the best possible care to their patients at high risk of HIV and those who are already HIV positive, managing their illness and limiting the spread of new infections.  </w:t>
      </w:r>
    </w:p>
    <w:p w14:paraId="189FC62B" w14:textId="77777777" w:rsidR="0022701D" w:rsidRPr="00251B0C" w:rsidRDefault="0022701D" w:rsidP="003200BD">
      <w:pPr>
        <w:rPr>
          <w:rFonts w:ascii="Times New Roman" w:hAnsi="Times New Roman" w:cs="Times New Roman"/>
        </w:rPr>
      </w:pPr>
      <w:r w:rsidRPr="00251B0C">
        <w:rPr>
          <w:rFonts w:ascii="Times New Roman" w:hAnsi="Times New Roman" w:cs="Times New Roman"/>
        </w:rPr>
        <w:t>One way in which providers may improve their K-BAPs is by participating in relevant Continuing Education (CE) courses. Therefore, participants with specific K-BAP deficits will receive an offer of free, optional CE courses (</w:t>
      </w:r>
      <w:r w:rsidRPr="00251B0C">
        <w:rPr>
          <w:rFonts w:ascii="Times New Roman" w:hAnsi="Times New Roman" w:cs="Times New Roman"/>
          <w:b/>
        </w:rPr>
        <w:t>Attachment 4</w:t>
      </w:r>
      <w:r w:rsidRPr="00251B0C">
        <w:rPr>
          <w:rFonts w:ascii="Times New Roman" w:hAnsi="Times New Roman" w:cs="Times New Roman"/>
        </w:rPr>
        <w:t xml:space="preserve">) that would be of most value to that specific provider. A second survey, composed of core K-BAP questions from the first survey, administered six months after the first survey, will be able to identify if the CE courses had any impact in improving the quality of care given to HIV at-risk and HIV positive patients. This will help evaluate which CE courses and topics have the most beneficial effect on patient care. This will be very valuable in planning future CDC efforts to improve the quality of primary care providers in preventing and treating HIV, and could limit the spread of HIV in at-risk patients.  </w:t>
      </w:r>
    </w:p>
    <w:p w14:paraId="448219FE" w14:textId="77777777" w:rsidR="006E4DB7" w:rsidRPr="00251B0C" w:rsidRDefault="00067A5A" w:rsidP="003200BD">
      <w:pPr>
        <w:rPr>
          <w:rFonts w:ascii="Times New Roman" w:hAnsi="Times New Roman" w:cs="Times New Roman"/>
        </w:rPr>
      </w:pPr>
      <w:r w:rsidRPr="00251B0C">
        <w:rPr>
          <w:rFonts w:ascii="Times New Roman" w:hAnsi="Times New Roman" w:cs="Times New Roman"/>
        </w:rPr>
        <w:t>Furt</w:t>
      </w:r>
      <w:r w:rsidR="00D23C15" w:rsidRPr="00251B0C">
        <w:rPr>
          <w:rFonts w:ascii="Times New Roman" w:hAnsi="Times New Roman" w:cs="Times New Roman"/>
        </w:rPr>
        <w:t xml:space="preserve">hermore, the resulting data will allow CDC to identify if and to what extent that that current CE modules available to primary care providers are helpful in addressing these identified deficits. In contrast, </w:t>
      </w:r>
      <w:r w:rsidR="0022701D" w:rsidRPr="00251B0C">
        <w:rPr>
          <w:rFonts w:ascii="Times New Roman" w:hAnsi="Times New Roman" w:cs="Times New Roman"/>
        </w:rPr>
        <w:t>n</w:t>
      </w:r>
      <w:r w:rsidR="00D23C15" w:rsidRPr="00251B0C">
        <w:rPr>
          <w:rFonts w:ascii="Times New Roman" w:hAnsi="Times New Roman" w:cs="Times New Roman"/>
        </w:rPr>
        <w:t xml:space="preserve">ot having this resulting data would leave a critical void in ultimately developing guidance recommending HIV care training needs for primary care physicians. This void would further develop </w:t>
      </w:r>
      <w:r w:rsidR="00D23C15" w:rsidRPr="00251B0C">
        <w:rPr>
          <w:rFonts w:ascii="Times New Roman" w:hAnsi="Times New Roman" w:cs="Times New Roman"/>
        </w:rPr>
        <w:lastRenderedPageBreak/>
        <w:t xml:space="preserve">impactful programs needed to address the goals of the National HIV/AIDS Strategy for the United States, particularly as it applies to jurisdictions with the highest HIV burden among African Americans.  </w:t>
      </w:r>
    </w:p>
    <w:p w14:paraId="4E2BEBDB" w14:textId="77777777" w:rsidR="006E4DB7" w:rsidRPr="00251B0C" w:rsidRDefault="00A55C44" w:rsidP="003200BD">
      <w:pPr>
        <w:rPr>
          <w:rFonts w:ascii="Times New Roman" w:hAnsi="Times New Roman" w:cs="Times New Roman"/>
        </w:rPr>
      </w:pPr>
      <w:r w:rsidRPr="00251B0C">
        <w:rPr>
          <w:rFonts w:ascii="Times New Roman" w:hAnsi="Times New Roman" w:cs="Times New Roman"/>
        </w:rPr>
        <w:t xml:space="preserve">Data have never been collected from </w:t>
      </w:r>
      <w:r w:rsidR="00393E5D" w:rsidRPr="00251B0C">
        <w:rPr>
          <w:rFonts w:ascii="Times New Roman" w:hAnsi="Times New Roman" w:cs="Times New Roman"/>
        </w:rPr>
        <w:t>primary care providers in these regions</w:t>
      </w:r>
      <w:r w:rsidRPr="00251B0C">
        <w:rPr>
          <w:rFonts w:ascii="Times New Roman" w:hAnsi="Times New Roman" w:cs="Times New Roman"/>
        </w:rPr>
        <w:t xml:space="preserve"> on this critically important topic. Information collected from this survey will be used by </w:t>
      </w:r>
      <w:r w:rsidR="00393E5D" w:rsidRPr="00251B0C">
        <w:rPr>
          <w:rFonts w:ascii="Times New Roman" w:hAnsi="Times New Roman" w:cs="Times New Roman"/>
        </w:rPr>
        <w:t xml:space="preserve">CDC </w:t>
      </w:r>
      <w:r w:rsidRPr="00251B0C">
        <w:rPr>
          <w:rFonts w:ascii="Times New Roman" w:hAnsi="Times New Roman" w:cs="Times New Roman"/>
        </w:rPr>
        <w:t xml:space="preserve">stakeholders to </w:t>
      </w:r>
      <w:r w:rsidR="00393E5D" w:rsidRPr="00251B0C">
        <w:rPr>
          <w:rFonts w:ascii="Times New Roman" w:hAnsi="Times New Roman" w:cs="Times New Roman"/>
        </w:rPr>
        <w:t xml:space="preserve">understand specific deficits in primary care providers’ HIV prevention and treatment practices for the most at-risk members of the public. </w:t>
      </w:r>
      <w:r w:rsidRPr="00251B0C">
        <w:rPr>
          <w:rFonts w:ascii="Times New Roman" w:hAnsi="Times New Roman" w:cs="Times New Roman"/>
        </w:rPr>
        <w:t xml:space="preserve">From there, </w:t>
      </w:r>
      <w:r w:rsidR="00393E5D" w:rsidRPr="00251B0C">
        <w:rPr>
          <w:rFonts w:ascii="Times New Roman" w:hAnsi="Times New Roman" w:cs="Times New Roman"/>
        </w:rPr>
        <w:t>continuing education materials can be tested for their impact in improving PCPs’ efforts in preventing and treating HIV.</w:t>
      </w:r>
      <w:r w:rsidR="006E4DB7" w:rsidRPr="00251B0C">
        <w:rPr>
          <w:rFonts w:ascii="Times New Roman" w:hAnsi="Times New Roman" w:cs="Times New Roman"/>
        </w:rPr>
        <w:t xml:space="preserve">  </w:t>
      </w:r>
    </w:p>
    <w:p w14:paraId="06040E73" w14:textId="77777777" w:rsidR="00A55C44" w:rsidRPr="00251B0C" w:rsidRDefault="00A55C44" w:rsidP="003200BD">
      <w:pPr>
        <w:rPr>
          <w:rFonts w:ascii="Times New Roman" w:hAnsi="Times New Roman" w:cs="Times New Roman"/>
        </w:rPr>
      </w:pPr>
      <w:r w:rsidRPr="00251B0C">
        <w:rPr>
          <w:rFonts w:ascii="Times New Roman" w:hAnsi="Times New Roman" w:cs="Times New Roman"/>
        </w:rPr>
        <w:t xml:space="preserve">Results from the proposed study will be widely disseminated and used by </w:t>
      </w:r>
      <w:r w:rsidR="00C81524" w:rsidRPr="00251B0C">
        <w:rPr>
          <w:rFonts w:ascii="Times New Roman" w:hAnsi="Times New Roman" w:cs="Times New Roman"/>
        </w:rPr>
        <w:t>CDC researchers,</w:t>
      </w:r>
      <w:r w:rsidRPr="00251B0C">
        <w:rPr>
          <w:rFonts w:ascii="Times New Roman" w:hAnsi="Times New Roman" w:cs="Times New Roman"/>
        </w:rPr>
        <w:t xml:space="preserve"> administrators</w:t>
      </w:r>
      <w:r w:rsidR="00C81524" w:rsidRPr="00251B0C">
        <w:rPr>
          <w:rFonts w:ascii="Times New Roman" w:hAnsi="Times New Roman" w:cs="Times New Roman"/>
        </w:rPr>
        <w:t>,</w:t>
      </w:r>
      <w:r w:rsidRPr="00251B0C">
        <w:rPr>
          <w:rFonts w:ascii="Times New Roman" w:hAnsi="Times New Roman" w:cs="Times New Roman"/>
        </w:rPr>
        <w:t xml:space="preserve"> and policymakers to </w:t>
      </w:r>
      <w:r w:rsidR="00C81524" w:rsidRPr="00251B0C">
        <w:rPr>
          <w:rFonts w:ascii="Times New Roman" w:hAnsi="Times New Roman" w:cs="Times New Roman"/>
        </w:rPr>
        <w:t xml:space="preserve">understand primary care providers’ role in preventing and treating HIV among the most vulnerable members of the public. </w:t>
      </w:r>
      <w:r w:rsidRPr="00251B0C">
        <w:rPr>
          <w:rFonts w:ascii="Times New Roman" w:hAnsi="Times New Roman" w:cs="Times New Roman"/>
        </w:rPr>
        <w:t xml:space="preserve">Specifically, results will be shared with the </w:t>
      </w:r>
      <w:r w:rsidR="00C81524" w:rsidRPr="00251B0C">
        <w:rPr>
          <w:rFonts w:ascii="Times New Roman" w:hAnsi="Times New Roman" w:cs="Times New Roman"/>
        </w:rPr>
        <w:t>DHAP</w:t>
      </w:r>
      <w:r w:rsidR="007B384B" w:rsidRPr="00251B0C">
        <w:rPr>
          <w:rFonts w:ascii="Times New Roman" w:hAnsi="Times New Roman" w:cs="Times New Roman"/>
        </w:rPr>
        <w:t xml:space="preserve"> </w:t>
      </w:r>
      <w:r w:rsidRPr="00251B0C">
        <w:rPr>
          <w:rFonts w:ascii="Times New Roman" w:hAnsi="Times New Roman" w:cs="Times New Roman"/>
        </w:rPr>
        <w:t xml:space="preserve">as well as clinicians, administrators, and policymakers who </w:t>
      </w:r>
      <w:r w:rsidR="00C81524" w:rsidRPr="00251B0C">
        <w:rPr>
          <w:rFonts w:ascii="Times New Roman" w:hAnsi="Times New Roman" w:cs="Times New Roman"/>
        </w:rPr>
        <w:t>study HIV prevention</w:t>
      </w:r>
      <w:r w:rsidRPr="00251B0C">
        <w:rPr>
          <w:rFonts w:ascii="Times New Roman" w:hAnsi="Times New Roman" w:cs="Times New Roman"/>
        </w:rPr>
        <w:t xml:space="preserve">. The </w:t>
      </w:r>
      <w:r w:rsidR="007B384B" w:rsidRPr="00251B0C">
        <w:rPr>
          <w:rFonts w:ascii="Times New Roman" w:hAnsi="Times New Roman" w:cs="Times New Roman"/>
        </w:rPr>
        <w:t xml:space="preserve">CDC DHAP </w:t>
      </w:r>
      <w:r w:rsidRPr="00251B0C">
        <w:rPr>
          <w:rFonts w:ascii="Times New Roman" w:hAnsi="Times New Roman" w:cs="Times New Roman"/>
        </w:rPr>
        <w:t xml:space="preserve">is responsible </w:t>
      </w:r>
      <w:r w:rsidR="00132A08" w:rsidRPr="00251B0C">
        <w:rPr>
          <w:rFonts w:ascii="Times New Roman" w:hAnsi="Times New Roman" w:cs="Times New Roman"/>
        </w:rPr>
        <w:t xml:space="preserve">for </w:t>
      </w:r>
      <w:r w:rsidR="007B384B" w:rsidRPr="00251B0C">
        <w:rPr>
          <w:rFonts w:ascii="Times New Roman" w:hAnsi="Times New Roman" w:cs="Times New Roman"/>
        </w:rPr>
        <w:t>investigating and promoting HIV/AIDS prevention</w:t>
      </w:r>
      <w:r w:rsidRPr="00251B0C">
        <w:rPr>
          <w:rFonts w:ascii="Times New Roman" w:hAnsi="Times New Roman" w:cs="Times New Roman"/>
        </w:rPr>
        <w:t xml:space="preserve">. </w:t>
      </w:r>
    </w:p>
    <w:p w14:paraId="64AAF5BE" w14:textId="77777777" w:rsidR="00352DE1" w:rsidRPr="00251B0C" w:rsidRDefault="00352DE1" w:rsidP="00352DE1">
      <w:pPr>
        <w:pStyle w:val="ListParagraph"/>
        <w:spacing w:before="120" w:after="120"/>
        <w:contextualSpacing w:val="0"/>
        <w:rPr>
          <w:rFonts w:ascii="Times New Roman" w:hAnsi="Times New Roman" w:cs="Times New Roman"/>
          <w:sz w:val="24"/>
          <w:szCs w:val="24"/>
        </w:rPr>
      </w:pPr>
    </w:p>
    <w:p w14:paraId="0DA25B0F" w14:textId="77777777" w:rsidR="00DC55F3" w:rsidRPr="003200BD" w:rsidRDefault="00D51526" w:rsidP="003200BD">
      <w:pPr>
        <w:pStyle w:val="TOC1"/>
      </w:pPr>
      <w:r w:rsidRPr="003200BD">
        <w:t>Use of Improved Information Technology and Burden Reduction</w:t>
      </w:r>
    </w:p>
    <w:p w14:paraId="288C0A8B" w14:textId="77777777" w:rsidR="003200BD" w:rsidRDefault="00B40EDF" w:rsidP="003200BD">
      <w:pPr>
        <w:rPr>
          <w:rFonts w:ascii="Times New Roman" w:hAnsi="Times New Roman" w:cs="Times New Roman"/>
          <w:sz w:val="24"/>
          <w:szCs w:val="24"/>
        </w:rPr>
      </w:pPr>
      <w:r w:rsidRPr="00251B0C">
        <w:rPr>
          <w:rFonts w:ascii="Times New Roman" w:hAnsi="Times New Roman" w:cs="Times New Roman"/>
          <w:sz w:val="24"/>
          <w:szCs w:val="24"/>
        </w:rPr>
        <w:t>T</w:t>
      </w:r>
      <w:r w:rsidR="00C718D1" w:rsidRPr="00251B0C">
        <w:rPr>
          <w:rFonts w:ascii="Times New Roman" w:hAnsi="Times New Roman" w:cs="Times New Roman"/>
          <w:sz w:val="24"/>
          <w:szCs w:val="24"/>
        </w:rPr>
        <w:t xml:space="preserve">he proposed study will </w:t>
      </w:r>
      <w:r w:rsidR="00874C7F" w:rsidRPr="00251B0C">
        <w:rPr>
          <w:rFonts w:ascii="Times New Roman" w:hAnsi="Times New Roman" w:cs="Times New Roman"/>
          <w:sz w:val="24"/>
          <w:szCs w:val="24"/>
        </w:rPr>
        <w:t>use information technology to 1) distribute the data collection instrument</w:t>
      </w:r>
      <w:r w:rsidR="004704D2" w:rsidRPr="00251B0C">
        <w:rPr>
          <w:rFonts w:ascii="Times New Roman" w:hAnsi="Times New Roman" w:cs="Times New Roman"/>
          <w:sz w:val="24"/>
          <w:szCs w:val="24"/>
        </w:rPr>
        <w:t xml:space="preserve"> via online surveys</w:t>
      </w:r>
      <w:r w:rsidR="00874C7F" w:rsidRPr="00251B0C">
        <w:rPr>
          <w:rFonts w:ascii="Times New Roman" w:hAnsi="Times New Roman" w:cs="Times New Roman"/>
          <w:sz w:val="24"/>
          <w:szCs w:val="24"/>
        </w:rPr>
        <w:t>, 2) to access web-based Continuing Education (CE) medical</w:t>
      </w:r>
      <w:r w:rsidRPr="00251B0C">
        <w:rPr>
          <w:rFonts w:ascii="Times New Roman" w:hAnsi="Times New Roman" w:cs="Times New Roman"/>
          <w:sz w:val="24"/>
          <w:szCs w:val="24"/>
        </w:rPr>
        <w:t xml:space="preserve"> </w:t>
      </w:r>
      <w:r w:rsidR="00874C7F" w:rsidRPr="00251B0C">
        <w:rPr>
          <w:rFonts w:ascii="Times New Roman" w:hAnsi="Times New Roman" w:cs="Times New Roman"/>
          <w:sz w:val="24"/>
          <w:szCs w:val="24"/>
        </w:rPr>
        <w:t>training for participants, and (3) send participants email reminders to complete requested data collection activities. The online surveys (Attachment 9a, 9b) will be accessed by the participants via web hyperlink.</w:t>
      </w:r>
      <w:r w:rsidR="00860E1D" w:rsidRPr="00251B0C">
        <w:rPr>
          <w:rFonts w:ascii="Times New Roman" w:hAnsi="Times New Roman" w:cs="Times New Roman"/>
          <w:sz w:val="24"/>
          <w:szCs w:val="24"/>
        </w:rPr>
        <w:t xml:space="preserve"> Data for constructing the sampling frame originate from </w:t>
      </w:r>
      <w:r w:rsidR="001B15AA" w:rsidRPr="00251B0C">
        <w:rPr>
          <w:rFonts w:ascii="Times New Roman" w:hAnsi="Times New Roman" w:cs="Times New Roman"/>
          <w:sz w:val="24"/>
          <w:szCs w:val="24"/>
        </w:rPr>
        <w:t>Healthcare Data Solutions’ ProviderPro database</w:t>
      </w:r>
      <w:r w:rsidR="00860E1D" w:rsidRPr="00251B0C">
        <w:rPr>
          <w:rFonts w:ascii="Times New Roman" w:hAnsi="Times New Roman" w:cs="Times New Roman"/>
          <w:sz w:val="24"/>
          <w:szCs w:val="24"/>
        </w:rPr>
        <w:t xml:space="preserve">, which includes full contact information for all health care providers in the targeted geographic areas, including </w:t>
      </w:r>
      <w:r w:rsidR="001B15AA" w:rsidRPr="00251B0C">
        <w:rPr>
          <w:rFonts w:ascii="Times New Roman" w:hAnsi="Times New Roman" w:cs="Times New Roman"/>
          <w:sz w:val="24"/>
          <w:szCs w:val="24"/>
        </w:rPr>
        <w:t xml:space="preserve">physical address, phone, and </w:t>
      </w:r>
      <w:r w:rsidR="00860E1D" w:rsidRPr="00251B0C">
        <w:rPr>
          <w:rFonts w:ascii="Times New Roman" w:hAnsi="Times New Roman" w:cs="Times New Roman"/>
          <w:sz w:val="24"/>
          <w:szCs w:val="24"/>
        </w:rPr>
        <w:t xml:space="preserve">e-mail address. </w:t>
      </w:r>
      <w:r w:rsidR="00D54A82" w:rsidRPr="00251B0C">
        <w:rPr>
          <w:rFonts w:ascii="Times New Roman" w:hAnsi="Times New Roman" w:cs="Times New Roman"/>
          <w:sz w:val="24"/>
          <w:szCs w:val="24"/>
        </w:rPr>
        <w:t>The study will involve a test</w:t>
      </w:r>
      <w:r w:rsidR="00125D9E" w:rsidRPr="00251B0C">
        <w:rPr>
          <w:rFonts w:ascii="Times New Roman" w:hAnsi="Times New Roman" w:cs="Times New Roman"/>
          <w:sz w:val="24"/>
          <w:szCs w:val="24"/>
        </w:rPr>
        <w:t>/</w:t>
      </w:r>
      <w:r w:rsidR="00D54A82" w:rsidRPr="00251B0C">
        <w:rPr>
          <w:rFonts w:ascii="Times New Roman" w:hAnsi="Times New Roman" w:cs="Times New Roman"/>
          <w:sz w:val="24"/>
          <w:szCs w:val="24"/>
        </w:rPr>
        <w:t xml:space="preserve">re-test methodology with a </w:t>
      </w:r>
      <w:r w:rsidR="00A854FE" w:rsidRPr="00251B0C">
        <w:rPr>
          <w:rFonts w:ascii="Times New Roman" w:hAnsi="Times New Roman" w:cs="Times New Roman"/>
          <w:sz w:val="24"/>
          <w:szCs w:val="24"/>
        </w:rPr>
        <w:t>30</w:t>
      </w:r>
      <w:r w:rsidR="00125D9E" w:rsidRPr="00251B0C">
        <w:rPr>
          <w:rFonts w:ascii="Times New Roman" w:hAnsi="Times New Roman" w:cs="Times New Roman"/>
          <w:sz w:val="24"/>
          <w:szCs w:val="24"/>
        </w:rPr>
        <w:t xml:space="preserve"> minute</w:t>
      </w:r>
      <w:r w:rsidR="00D54A82" w:rsidRPr="00251B0C">
        <w:rPr>
          <w:rFonts w:ascii="Times New Roman" w:hAnsi="Times New Roman" w:cs="Times New Roman"/>
          <w:sz w:val="24"/>
          <w:szCs w:val="24"/>
        </w:rPr>
        <w:t xml:space="preserve"> </w:t>
      </w:r>
      <w:r w:rsidR="00A854FE" w:rsidRPr="00251B0C">
        <w:rPr>
          <w:rFonts w:ascii="Times New Roman" w:hAnsi="Times New Roman" w:cs="Times New Roman"/>
          <w:sz w:val="24"/>
          <w:szCs w:val="24"/>
        </w:rPr>
        <w:t xml:space="preserve">baseline </w:t>
      </w:r>
      <w:r w:rsidR="00D54A82" w:rsidRPr="00251B0C">
        <w:rPr>
          <w:rFonts w:ascii="Times New Roman" w:hAnsi="Times New Roman" w:cs="Times New Roman"/>
          <w:sz w:val="24"/>
          <w:szCs w:val="24"/>
        </w:rPr>
        <w:t xml:space="preserve">survey </w:t>
      </w:r>
      <w:r w:rsidR="00A854FE" w:rsidRPr="00251B0C">
        <w:rPr>
          <w:rFonts w:ascii="Times New Roman" w:hAnsi="Times New Roman" w:cs="Times New Roman"/>
          <w:sz w:val="24"/>
          <w:szCs w:val="24"/>
        </w:rPr>
        <w:t>(</w:t>
      </w:r>
      <w:r w:rsidR="00DF6AA3" w:rsidRPr="00251B0C">
        <w:rPr>
          <w:rFonts w:ascii="Times New Roman" w:hAnsi="Times New Roman" w:cs="Times New Roman"/>
          <w:sz w:val="24"/>
          <w:szCs w:val="24"/>
        </w:rPr>
        <w:t xml:space="preserve">includes a </w:t>
      </w:r>
      <w:r w:rsidR="00A854FE" w:rsidRPr="00251B0C">
        <w:rPr>
          <w:rFonts w:ascii="Times New Roman" w:hAnsi="Times New Roman" w:cs="Times New Roman"/>
          <w:sz w:val="24"/>
          <w:szCs w:val="24"/>
        </w:rPr>
        <w:t xml:space="preserve">1-minute verification screener) </w:t>
      </w:r>
      <w:r w:rsidR="00D54A82" w:rsidRPr="00251B0C">
        <w:rPr>
          <w:rFonts w:ascii="Times New Roman" w:hAnsi="Times New Roman" w:cs="Times New Roman"/>
          <w:sz w:val="24"/>
          <w:szCs w:val="24"/>
        </w:rPr>
        <w:t xml:space="preserve">about providers’ knowledge, </w:t>
      </w:r>
      <w:r w:rsidR="009D173C" w:rsidRPr="00251B0C">
        <w:rPr>
          <w:rFonts w:ascii="Times New Roman" w:hAnsi="Times New Roman" w:cs="Times New Roman"/>
          <w:sz w:val="24"/>
          <w:szCs w:val="24"/>
        </w:rPr>
        <w:t xml:space="preserve">beliefs, </w:t>
      </w:r>
      <w:r w:rsidR="00D54A82" w:rsidRPr="00251B0C">
        <w:rPr>
          <w:rFonts w:ascii="Times New Roman" w:hAnsi="Times New Roman" w:cs="Times New Roman"/>
          <w:sz w:val="24"/>
          <w:szCs w:val="24"/>
        </w:rPr>
        <w:t xml:space="preserve">attitudes, </w:t>
      </w:r>
      <w:r w:rsidR="009D173C" w:rsidRPr="00251B0C">
        <w:rPr>
          <w:rFonts w:ascii="Times New Roman" w:hAnsi="Times New Roman" w:cs="Times New Roman"/>
          <w:sz w:val="24"/>
          <w:szCs w:val="24"/>
        </w:rPr>
        <w:t xml:space="preserve">and </w:t>
      </w:r>
      <w:r w:rsidR="00D54A82" w:rsidRPr="00251B0C">
        <w:rPr>
          <w:rFonts w:ascii="Times New Roman" w:hAnsi="Times New Roman" w:cs="Times New Roman"/>
          <w:sz w:val="24"/>
          <w:szCs w:val="24"/>
        </w:rPr>
        <w:t>practices about HIV prevention and care practices</w:t>
      </w:r>
      <w:r w:rsidR="00A854FE" w:rsidRPr="00251B0C">
        <w:rPr>
          <w:rFonts w:ascii="Times New Roman" w:hAnsi="Times New Roman" w:cs="Times New Roman"/>
          <w:sz w:val="24"/>
          <w:szCs w:val="24"/>
        </w:rPr>
        <w:t xml:space="preserve"> (</w:t>
      </w:r>
      <w:r w:rsidR="00A854FE" w:rsidRPr="00251B0C">
        <w:rPr>
          <w:rFonts w:ascii="Times New Roman" w:hAnsi="Times New Roman" w:cs="Times New Roman"/>
          <w:b/>
          <w:sz w:val="24"/>
          <w:szCs w:val="24"/>
        </w:rPr>
        <w:t>Attachment 3a</w:t>
      </w:r>
      <w:r w:rsidR="00046EE0" w:rsidRPr="00251B0C">
        <w:rPr>
          <w:rFonts w:ascii="Times New Roman" w:hAnsi="Times New Roman" w:cs="Times New Roman"/>
          <w:b/>
          <w:sz w:val="24"/>
          <w:szCs w:val="24"/>
        </w:rPr>
        <w:t>, 9a</w:t>
      </w:r>
      <w:r w:rsidR="00A854FE" w:rsidRPr="00251B0C">
        <w:rPr>
          <w:rFonts w:ascii="Times New Roman" w:hAnsi="Times New Roman" w:cs="Times New Roman"/>
          <w:sz w:val="24"/>
          <w:szCs w:val="24"/>
        </w:rPr>
        <w:t>)</w:t>
      </w:r>
      <w:r w:rsidR="00D54A82" w:rsidRPr="00251B0C">
        <w:rPr>
          <w:rFonts w:ascii="Times New Roman" w:hAnsi="Times New Roman" w:cs="Times New Roman"/>
          <w:sz w:val="24"/>
          <w:szCs w:val="24"/>
        </w:rPr>
        <w:t xml:space="preserve">. </w:t>
      </w:r>
      <w:r w:rsidR="003200BD">
        <w:rPr>
          <w:rFonts w:ascii="Times New Roman" w:hAnsi="Times New Roman" w:cs="Times New Roman"/>
          <w:sz w:val="24"/>
          <w:szCs w:val="24"/>
        </w:rPr>
        <w:t xml:space="preserve">   </w:t>
      </w:r>
    </w:p>
    <w:p w14:paraId="1F7D43E6" w14:textId="77777777" w:rsidR="003200BD" w:rsidRDefault="00D54A82" w:rsidP="003200BD">
      <w:pPr>
        <w:rPr>
          <w:rFonts w:ascii="Times New Roman" w:hAnsi="Times New Roman" w:cs="Times New Roman"/>
          <w:sz w:val="24"/>
          <w:szCs w:val="24"/>
        </w:rPr>
      </w:pPr>
      <w:r w:rsidRPr="00251B0C">
        <w:rPr>
          <w:rFonts w:ascii="Times New Roman" w:hAnsi="Times New Roman" w:cs="Times New Roman"/>
          <w:sz w:val="24"/>
          <w:szCs w:val="24"/>
        </w:rPr>
        <w:t xml:space="preserve">After the </w:t>
      </w:r>
      <w:r w:rsidR="00A854FE" w:rsidRPr="00251B0C">
        <w:rPr>
          <w:rFonts w:ascii="Times New Roman" w:hAnsi="Times New Roman" w:cs="Times New Roman"/>
          <w:sz w:val="24"/>
          <w:szCs w:val="24"/>
        </w:rPr>
        <w:t xml:space="preserve">baseline </w:t>
      </w:r>
      <w:r w:rsidRPr="00251B0C">
        <w:rPr>
          <w:rFonts w:ascii="Times New Roman" w:hAnsi="Times New Roman" w:cs="Times New Roman"/>
          <w:sz w:val="24"/>
          <w:szCs w:val="24"/>
        </w:rPr>
        <w:t>survey</w:t>
      </w:r>
      <w:r w:rsidR="00125D9E" w:rsidRPr="00251B0C">
        <w:rPr>
          <w:rFonts w:ascii="Times New Roman" w:hAnsi="Times New Roman" w:cs="Times New Roman"/>
          <w:sz w:val="24"/>
          <w:szCs w:val="24"/>
        </w:rPr>
        <w:t>,</w:t>
      </w:r>
      <w:r w:rsidRPr="00251B0C">
        <w:rPr>
          <w:rFonts w:ascii="Times New Roman" w:hAnsi="Times New Roman" w:cs="Times New Roman"/>
          <w:sz w:val="24"/>
          <w:szCs w:val="24"/>
        </w:rPr>
        <w:t xml:space="preserve"> </w:t>
      </w:r>
      <w:r w:rsidR="00CE0879" w:rsidRPr="00251B0C">
        <w:rPr>
          <w:rFonts w:ascii="Times New Roman" w:hAnsi="Times New Roman" w:cs="Times New Roman"/>
          <w:sz w:val="24"/>
          <w:szCs w:val="24"/>
        </w:rPr>
        <w:t xml:space="preserve">respondents will be provided with a </w:t>
      </w:r>
      <w:r w:rsidR="00874C7F" w:rsidRPr="00251B0C">
        <w:rPr>
          <w:rFonts w:ascii="Times New Roman" w:hAnsi="Times New Roman" w:cs="Times New Roman"/>
          <w:sz w:val="24"/>
          <w:szCs w:val="24"/>
        </w:rPr>
        <w:t>web hyper</w:t>
      </w:r>
      <w:r w:rsidR="00CE0879" w:rsidRPr="00251B0C">
        <w:rPr>
          <w:rFonts w:ascii="Times New Roman" w:hAnsi="Times New Roman" w:cs="Times New Roman"/>
          <w:sz w:val="24"/>
          <w:szCs w:val="24"/>
        </w:rPr>
        <w:t xml:space="preserve">link to optional Continuing </w:t>
      </w:r>
      <w:r w:rsidR="00CE456B" w:rsidRPr="00251B0C">
        <w:rPr>
          <w:rFonts w:ascii="Times New Roman" w:hAnsi="Times New Roman" w:cs="Times New Roman"/>
          <w:sz w:val="24"/>
          <w:szCs w:val="24"/>
        </w:rPr>
        <w:t>Education (C</w:t>
      </w:r>
      <w:r w:rsidR="00CE0879" w:rsidRPr="00251B0C">
        <w:rPr>
          <w:rFonts w:ascii="Times New Roman" w:hAnsi="Times New Roman" w:cs="Times New Roman"/>
          <w:sz w:val="24"/>
          <w:szCs w:val="24"/>
        </w:rPr>
        <w:t>E) credits</w:t>
      </w:r>
      <w:r w:rsidR="00125D9E" w:rsidRPr="00251B0C">
        <w:rPr>
          <w:rFonts w:ascii="Times New Roman" w:hAnsi="Times New Roman" w:cs="Times New Roman"/>
          <w:sz w:val="24"/>
          <w:szCs w:val="24"/>
        </w:rPr>
        <w:t xml:space="preserve"> regarding HIV care and </w:t>
      </w:r>
      <w:r w:rsidR="009116C0" w:rsidRPr="00251B0C">
        <w:rPr>
          <w:rFonts w:ascii="Times New Roman" w:hAnsi="Times New Roman" w:cs="Times New Roman"/>
          <w:sz w:val="24"/>
          <w:szCs w:val="24"/>
        </w:rPr>
        <w:t>prevention</w:t>
      </w:r>
      <w:r w:rsidR="00CE0879" w:rsidRPr="00251B0C">
        <w:rPr>
          <w:rFonts w:ascii="Times New Roman" w:hAnsi="Times New Roman" w:cs="Times New Roman"/>
          <w:sz w:val="24"/>
          <w:szCs w:val="24"/>
        </w:rPr>
        <w:t xml:space="preserve">. Six months after the initial survey, respondents will be asked to complete a </w:t>
      </w:r>
      <w:r w:rsidR="00CC7C9E" w:rsidRPr="00251B0C">
        <w:rPr>
          <w:rFonts w:ascii="Times New Roman" w:hAnsi="Times New Roman" w:cs="Times New Roman"/>
          <w:sz w:val="24"/>
          <w:szCs w:val="24"/>
        </w:rPr>
        <w:t>20-</w:t>
      </w:r>
      <w:r w:rsidR="001B15AA" w:rsidRPr="00251B0C">
        <w:rPr>
          <w:rFonts w:ascii="Times New Roman" w:hAnsi="Times New Roman" w:cs="Times New Roman"/>
          <w:sz w:val="24"/>
          <w:szCs w:val="24"/>
        </w:rPr>
        <w:t xml:space="preserve">minute </w:t>
      </w:r>
      <w:r w:rsidR="00DB1613" w:rsidRPr="00251B0C">
        <w:rPr>
          <w:rFonts w:ascii="Times New Roman" w:hAnsi="Times New Roman" w:cs="Times New Roman"/>
          <w:sz w:val="24"/>
          <w:szCs w:val="24"/>
        </w:rPr>
        <w:t>follow-up</w:t>
      </w:r>
      <w:r w:rsidR="00CC7C9E" w:rsidRPr="00251B0C">
        <w:rPr>
          <w:rFonts w:ascii="Times New Roman" w:hAnsi="Times New Roman" w:cs="Times New Roman"/>
          <w:sz w:val="24"/>
          <w:szCs w:val="24"/>
        </w:rPr>
        <w:t xml:space="preserve"> </w:t>
      </w:r>
      <w:r w:rsidR="00CE0879" w:rsidRPr="00251B0C">
        <w:rPr>
          <w:rFonts w:ascii="Times New Roman" w:hAnsi="Times New Roman" w:cs="Times New Roman"/>
          <w:sz w:val="24"/>
          <w:szCs w:val="24"/>
        </w:rPr>
        <w:t xml:space="preserve">survey </w:t>
      </w:r>
      <w:r w:rsidR="00CC7C9E" w:rsidRPr="00251B0C">
        <w:rPr>
          <w:rFonts w:ascii="Times New Roman" w:hAnsi="Times New Roman" w:cs="Times New Roman"/>
          <w:sz w:val="24"/>
          <w:szCs w:val="24"/>
        </w:rPr>
        <w:t>(</w:t>
      </w:r>
      <w:r w:rsidR="00DF6AA3" w:rsidRPr="00251B0C">
        <w:rPr>
          <w:rFonts w:ascii="Times New Roman" w:hAnsi="Times New Roman" w:cs="Times New Roman"/>
          <w:sz w:val="24"/>
          <w:szCs w:val="24"/>
        </w:rPr>
        <w:t>includes a</w:t>
      </w:r>
      <w:r w:rsidR="00CC7C9E" w:rsidRPr="00251B0C">
        <w:rPr>
          <w:rFonts w:ascii="Times New Roman" w:hAnsi="Times New Roman" w:cs="Times New Roman"/>
          <w:sz w:val="24"/>
          <w:szCs w:val="24"/>
        </w:rPr>
        <w:t xml:space="preserve">1-minute verification screener) </w:t>
      </w:r>
      <w:r w:rsidR="00CE0879" w:rsidRPr="00251B0C">
        <w:rPr>
          <w:rFonts w:ascii="Times New Roman" w:hAnsi="Times New Roman" w:cs="Times New Roman"/>
          <w:sz w:val="24"/>
          <w:szCs w:val="24"/>
        </w:rPr>
        <w:t xml:space="preserve">consisting of core questions from the </w:t>
      </w:r>
      <w:r w:rsidR="00CC7C9E" w:rsidRPr="00251B0C">
        <w:rPr>
          <w:rFonts w:ascii="Times New Roman" w:hAnsi="Times New Roman" w:cs="Times New Roman"/>
          <w:sz w:val="24"/>
          <w:szCs w:val="24"/>
        </w:rPr>
        <w:t xml:space="preserve">baseline </w:t>
      </w:r>
      <w:r w:rsidR="00CE0879" w:rsidRPr="00251B0C">
        <w:rPr>
          <w:rFonts w:ascii="Times New Roman" w:hAnsi="Times New Roman" w:cs="Times New Roman"/>
          <w:sz w:val="24"/>
          <w:szCs w:val="24"/>
        </w:rPr>
        <w:t>survey</w:t>
      </w:r>
      <w:r w:rsidR="00CC7C9E" w:rsidRPr="00251B0C">
        <w:rPr>
          <w:rFonts w:ascii="Times New Roman" w:hAnsi="Times New Roman" w:cs="Times New Roman"/>
          <w:sz w:val="24"/>
          <w:szCs w:val="24"/>
        </w:rPr>
        <w:t xml:space="preserve"> (</w:t>
      </w:r>
      <w:r w:rsidR="00CC7C9E" w:rsidRPr="00251B0C">
        <w:rPr>
          <w:rFonts w:ascii="Times New Roman" w:hAnsi="Times New Roman" w:cs="Times New Roman"/>
          <w:b/>
          <w:sz w:val="24"/>
          <w:szCs w:val="24"/>
        </w:rPr>
        <w:t>Attachment 3b</w:t>
      </w:r>
      <w:r w:rsidR="00046EE0" w:rsidRPr="00251B0C">
        <w:rPr>
          <w:rFonts w:ascii="Times New Roman" w:hAnsi="Times New Roman" w:cs="Times New Roman"/>
          <w:b/>
          <w:sz w:val="24"/>
          <w:szCs w:val="24"/>
        </w:rPr>
        <w:t>, 9b</w:t>
      </w:r>
      <w:r w:rsidR="00CC7C9E" w:rsidRPr="00251B0C">
        <w:rPr>
          <w:rFonts w:ascii="Times New Roman" w:hAnsi="Times New Roman" w:cs="Times New Roman"/>
          <w:sz w:val="24"/>
          <w:szCs w:val="24"/>
        </w:rPr>
        <w:t>)</w:t>
      </w:r>
      <w:r w:rsidR="00CE0879" w:rsidRPr="00251B0C">
        <w:rPr>
          <w:rFonts w:ascii="Times New Roman" w:hAnsi="Times New Roman" w:cs="Times New Roman"/>
          <w:sz w:val="24"/>
          <w:szCs w:val="24"/>
        </w:rPr>
        <w:t xml:space="preserve">. </w:t>
      </w:r>
      <w:r w:rsidR="004704D2" w:rsidRPr="00251B0C">
        <w:rPr>
          <w:rFonts w:ascii="Times New Roman" w:hAnsi="Times New Roman" w:cs="Times New Roman"/>
          <w:sz w:val="24"/>
          <w:szCs w:val="24"/>
        </w:rPr>
        <w:t xml:space="preserve">The follow-up survey will help identify if using the HIV CE-materials improved deficits in provider K-BAPs regarding HIV prevention and treatment. This will help determine the usefulness of the online CEs in lowering the risk of HIV infections in high risk regions. </w:t>
      </w:r>
    </w:p>
    <w:p w14:paraId="23A29A62" w14:textId="77777777" w:rsidR="003200BD" w:rsidRDefault="0082425E" w:rsidP="003200BD">
      <w:pPr>
        <w:rPr>
          <w:rFonts w:ascii="Times New Roman" w:hAnsi="Times New Roman" w:cs="Times New Roman"/>
          <w:sz w:val="24"/>
          <w:szCs w:val="24"/>
        </w:rPr>
      </w:pPr>
      <w:r w:rsidRPr="00251B0C">
        <w:rPr>
          <w:rFonts w:ascii="Times New Roman" w:hAnsi="Times New Roman" w:cs="Times New Roman"/>
          <w:sz w:val="24"/>
          <w:szCs w:val="24"/>
        </w:rPr>
        <w:t>The web is the most efficient way to collect survey responses, and study participants will be guided to a web</w:t>
      </w:r>
      <w:r w:rsidR="001B15AA" w:rsidRPr="00251B0C">
        <w:rPr>
          <w:rFonts w:ascii="Times New Roman" w:hAnsi="Times New Roman" w:cs="Times New Roman"/>
          <w:sz w:val="24"/>
          <w:szCs w:val="24"/>
        </w:rPr>
        <w:t>site</w:t>
      </w:r>
      <w:r w:rsidRPr="00251B0C">
        <w:rPr>
          <w:rFonts w:ascii="Times New Roman" w:hAnsi="Times New Roman" w:cs="Times New Roman"/>
          <w:sz w:val="24"/>
          <w:szCs w:val="24"/>
        </w:rPr>
        <w:t xml:space="preserve"> to complete the </w:t>
      </w:r>
      <w:r w:rsidR="001B15AA" w:rsidRPr="00251B0C">
        <w:rPr>
          <w:rFonts w:ascii="Times New Roman" w:hAnsi="Times New Roman" w:cs="Times New Roman"/>
          <w:sz w:val="24"/>
          <w:szCs w:val="24"/>
        </w:rPr>
        <w:t>survey</w:t>
      </w:r>
      <w:r w:rsidRPr="00251B0C">
        <w:rPr>
          <w:rFonts w:ascii="Times New Roman" w:hAnsi="Times New Roman" w:cs="Times New Roman"/>
          <w:sz w:val="24"/>
          <w:szCs w:val="24"/>
        </w:rPr>
        <w:t xml:space="preserve">. </w:t>
      </w:r>
    </w:p>
    <w:p w14:paraId="3009748C" w14:textId="77777777" w:rsidR="00874C7F" w:rsidRPr="00251B0C" w:rsidRDefault="00874C7F" w:rsidP="003200BD">
      <w:pPr>
        <w:rPr>
          <w:rFonts w:ascii="Times New Roman" w:hAnsi="Times New Roman" w:cs="Times New Roman"/>
          <w:sz w:val="24"/>
          <w:szCs w:val="24"/>
        </w:rPr>
      </w:pPr>
      <w:r w:rsidRPr="00251B0C">
        <w:rPr>
          <w:rFonts w:ascii="Times New Roman" w:hAnsi="Times New Roman" w:cs="Times New Roman"/>
          <w:sz w:val="24"/>
          <w:szCs w:val="24"/>
        </w:rPr>
        <w:t>In addition to the online survey</w:t>
      </w:r>
      <w:r w:rsidR="004704D2" w:rsidRPr="00251B0C">
        <w:rPr>
          <w:rFonts w:ascii="Times New Roman" w:hAnsi="Times New Roman" w:cs="Times New Roman"/>
          <w:sz w:val="24"/>
          <w:szCs w:val="24"/>
        </w:rPr>
        <w:t>s and web-based CE courses</w:t>
      </w:r>
      <w:r w:rsidRPr="00251B0C">
        <w:rPr>
          <w:rFonts w:ascii="Times New Roman" w:hAnsi="Times New Roman" w:cs="Times New Roman"/>
          <w:sz w:val="24"/>
          <w:szCs w:val="24"/>
        </w:rPr>
        <w:t xml:space="preserve">, participants will receive email reminders to take </w:t>
      </w:r>
      <w:r w:rsidR="004704D2" w:rsidRPr="00251B0C">
        <w:rPr>
          <w:rFonts w:ascii="Times New Roman" w:hAnsi="Times New Roman" w:cs="Times New Roman"/>
          <w:sz w:val="24"/>
          <w:szCs w:val="24"/>
        </w:rPr>
        <w:t xml:space="preserve">baseline and follow-up </w:t>
      </w:r>
      <w:r w:rsidRPr="00251B0C">
        <w:rPr>
          <w:rFonts w:ascii="Times New Roman" w:hAnsi="Times New Roman" w:cs="Times New Roman"/>
          <w:sz w:val="24"/>
          <w:szCs w:val="24"/>
        </w:rPr>
        <w:t>survey</w:t>
      </w:r>
      <w:r w:rsidR="004704D2" w:rsidRPr="00251B0C">
        <w:rPr>
          <w:rFonts w:ascii="Times New Roman" w:hAnsi="Times New Roman" w:cs="Times New Roman"/>
          <w:sz w:val="24"/>
          <w:szCs w:val="24"/>
        </w:rPr>
        <w:t>s</w:t>
      </w:r>
      <w:r w:rsidRPr="00251B0C">
        <w:rPr>
          <w:rFonts w:ascii="Times New Roman" w:hAnsi="Times New Roman" w:cs="Times New Roman"/>
          <w:sz w:val="24"/>
          <w:szCs w:val="24"/>
        </w:rPr>
        <w:t xml:space="preserve"> </w:t>
      </w:r>
      <w:r w:rsidR="004704D2" w:rsidRPr="00251B0C">
        <w:rPr>
          <w:rFonts w:ascii="Times New Roman" w:hAnsi="Times New Roman" w:cs="Times New Roman"/>
          <w:sz w:val="24"/>
          <w:szCs w:val="24"/>
        </w:rPr>
        <w:t xml:space="preserve">at designated time points during the data collection period. </w:t>
      </w:r>
      <w:r w:rsidR="006F2AA5" w:rsidRPr="00251B0C">
        <w:rPr>
          <w:rFonts w:ascii="Times New Roman" w:hAnsi="Times New Roman" w:cs="Times New Roman"/>
          <w:sz w:val="24"/>
          <w:szCs w:val="24"/>
        </w:rPr>
        <w:t xml:space="preserve">The email </w:t>
      </w:r>
      <w:r w:rsidR="00157134" w:rsidRPr="00251B0C">
        <w:rPr>
          <w:rFonts w:ascii="Times New Roman" w:hAnsi="Times New Roman" w:cs="Times New Roman"/>
          <w:sz w:val="24"/>
          <w:szCs w:val="24"/>
        </w:rPr>
        <w:t>reminder</w:t>
      </w:r>
      <w:r w:rsidR="00744306" w:rsidRPr="00251B0C">
        <w:rPr>
          <w:rFonts w:ascii="Times New Roman" w:hAnsi="Times New Roman" w:cs="Times New Roman"/>
          <w:sz w:val="24"/>
          <w:szCs w:val="24"/>
        </w:rPr>
        <w:t>s</w:t>
      </w:r>
      <w:r w:rsidR="00157134" w:rsidRPr="00251B0C">
        <w:rPr>
          <w:rFonts w:ascii="Times New Roman" w:hAnsi="Times New Roman" w:cs="Times New Roman"/>
          <w:sz w:val="24"/>
          <w:szCs w:val="24"/>
        </w:rPr>
        <w:t xml:space="preserve"> </w:t>
      </w:r>
      <w:r w:rsidR="008605F6" w:rsidRPr="00251B0C">
        <w:rPr>
          <w:rFonts w:ascii="Times New Roman" w:hAnsi="Times New Roman" w:cs="Times New Roman"/>
          <w:sz w:val="24"/>
          <w:szCs w:val="24"/>
        </w:rPr>
        <w:t>(</w:t>
      </w:r>
      <w:r w:rsidR="008605F6" w:rsidRPr="00251B0C">
        <w:rPr>
          <w:rFonts w:ascii="Times New Roman" w:hAnsi="Times New Roman" w:cs="Times New Roman"/>
          <w:b/>
          <w:sz w:val="24"/>
          <w:szCs w:val="24"/>
        </w:rPr>
        <w:t>Attachment 5f</w:t>
      </w:r>
      <w:r w:rsidR="008605F6" w:rsidRPr="00251B0C">
        <w:rPr>
          <w:rFonts w:ascii="Times New Roman" w:hAnsi="Times New Roman" w:cs="Times New Roman"/>
          <w:sz w:val="24"/>
          <w:szCs w:val="24"/>
        </w:rPr>
        <w:t xml:space="preserve">) </w:t>
      </w:r>
      <w:r w:rsidR="006F2AA5" w:rsidRPr="00251B0C">
        <w:rPr>
          <w:rFonts w:ascii="Times New Roman" w:hAnsi="Times New Roman" w:cs="Times New Roman"/>
          <w:sz w:val="24"/>
          <w:szCs w:val="24"/>
        </w:rPr>
        <w:t xml:space="preserve">will be customized to each provider, including using their name in the introduction of the email and in the subject line, and using the </w:t>
      </w:r>
      <w:r w:rsidR="006F2AA5" w:rsidRPr="00251B0C">
        <w:rPr>
          <w:rFonts w:ascii="Times New Roman" w:hAnsi="Times New Roman" w:cs="Times New Roman"/>
          <w:sz w:val="24"/>
          <w:szCs w:val="24"/>
        </w:rPr>
        <w:lastRenderedPageBreak/>
        <w:t xml:space="preserve">practice name in the body text. </w:t>
      </w:r>
      <w:r w:rsidR="004704D2" w:rsidRPr="00251B0C">
        <w:rPr>
          <w:rFonts w:ascii="Times New Roman" w:hAnsi="Times New Roman" w:cs="Times New Roman"/>
          <w:sz w:val="24"/>
          <w:szCs w:val="24"/>
        </w:rPr>
        <w:t xml:space="preserve">The use of email reminders is an efficient way to increase response rates while minimizing time and cost burden to public. </w:t>
      </w:r>
    </w:p>
    <w:p w14:paraId="75C8FB9E" w14:textId="77777777" w:rsidR="00874C7F" w:rsidRPr="00251B0C" w:rsidRDefault="00874C7F" w:rsidP="004E2B23">
      <w:pPr>
        <w:pStyle w:val="ListParagraph"/>
        <w:spacing w:before="120" w:after="120" w:line="240" w:lineRule="auto"/>
        <w:ind w:left="0"/>
        <w:rPr>
          <w:rFonts w:ascii="Times New Roman" w:hAnsi="Times New Roman" w:cs="Times New Roman"/>
          <w:sz w:val="24"/>
          <w:szCs w:val="24"/>
        </w:rPr>
      </w:pPr>
    </w:p>
    <w:p w14:paraId="3A69D7A8" w14:textId="77777777" w:rsidR="00AA4D65" w:rsidRPr="00251B0C" w:rsidRDefault="00AA4D65" w:rsidP="00AA4D65">
      <w:pPr>
        <w:pStyle w:val="ListParagraph"/>
        <w:numPr>
          <w:ilvl w:val="0"/>
          <w:numId w:val="1"/>
        </w:numPr>
        <w:spacing w:before="120" w:after="120"/>
        <w:rPr>
          <w:rFonts w:ascii="Times New Roman" w:hAnsi="Times New Roman" w:cs="Times New Roman"/>
          <w:b/>
          <w:sz w:val="24"/>
          <w:szCs w:val="24"/>
        </w:rPr>
      </w:pPr>
      <w:r w:rsidRPr="00251B0C">
        <w:rPr>
          <w:rFonts w:ascii="Times New Roman" w:hAnsi="Times New Roman" w:cs="Times New Roman"/>
          <w:b/>
          <w:bCs/>
          <w:sz w:val="24"/>
          <w:szCs w:val="24"/>
        </w:rPr>
        <w:t>Efforts to Identify Duplication and Use of Similar Information</w:t>
      </w:r>
      <w:r w:rsidRPr="00251B0C">
        <w:rPr>
          <w:rFonts w:ascii="Times New Roman" w:hAnsi="Times New Roman" w:cs="Times New Roman"/>
          <w:b/>
          <w:sz w:val="24"/>
          <w:szCs w:val="24"/>
        </w:rPr>
        <w:t xml:space="preserve"> </w:t>
      </w:r>
    </w:p>
    <w:p w14:paraId="09831A3B" w14:textId="77777777" w:rsidR="0056441D" w:rsidRPr="00251B0C" w:rsidRDefault="00FE1E33" w:rsidP="004E2B23">
      <w:pPr>
        <w:spacing w:before="120" w:after="120" w:line="240" w:lineRule="auto"/>
        <w:rPr>
          <w:rFonts w:ascii="Times New Roman" w:hAnsi="Times New Roman" w:cs="Times New Roman"/>
          <w:color w:val="000000" w:themeColor="text1"/>
          <w:sz w:val="24"/>
          <w:szCs w:val="24"/>
        </w:rPr>
      </w:pPr>
      <w:r w:rsidRPr="00F43383">
        <w:rPr>
          <w:rFonts w:ascii="Times New Roman" w:hAnsi="Times New Roman" w:cs="Times New Roman"/>
          <w:color w:val="000000" w:themeColor="text1"/>
          <w:sz w:val="24"/>
          <w:szCs w:val="24"/>
        </w:rPr>
        <w:t>Primary care providers</w:t>
      </w:r>
      <w:r>
        <w:rPr>
          <w:rFonts w:ascii="Times New Roman" w:hAnsi="Times New Roman" w:cs="Times New Roman"/>
          <w:color w:val="000000" w:themeColor="text1"/>
          <w:sz w:val="24"/>
          <w:szCs w:val="24"/>
        </w:rPr>
        <w:t xml:space="preserve"> (PCPs)</w:t>
      </w:r>
      <w:r w:rsidRPr="00F43383">
        <w:rPr>
          <w:rFonts w:ascii="Times New Roman" w:hAnsi="Times New Roman" w:cs="Times New Roman"/>
          <w:color w:val="000000" w:themeColor="text1"/>
          <w:sz w:val="24"/>
          <w:szCs w:val="24"/>
        </w:rPr>
        <w:t xml:space="preserve"> have the capacity to perform STD/HIV testing, and to prescribe medication with appropriate clinical follow-up. For many of the most vulnerable patients, primary care providers may be the only healthcare professionals they interact with.</w:t>
      </w:r>
      <w:r>
        <w:rPr>
          <w:rFonts w:ascii="Times New Roman" w:hAnsi="Times New Roman" w:cs="Times New Roman"/>
          <w:color w:val="000000" w:themeColor="text1"/>
          <w:sz w:val="24"/>
          <w:szCs w:val="24"/>
        </w:rPr>
        <w:t xml:space="preserve"> </w:t>
      </w:r>
      <w:r w:rsidR="00756F4E" w:rsidRPr="00251B0C">
        <w:rPr>
          <w:rFonts w:ascii="Times New Roman" w:hAnsi="Times New Roman" w:cs="Times New Roman"/>
          <w:color w:val="000000" w:themeColor="text1"/>
          <w:sz w:val="24"/>
          <w:szCs w:val="24"/>
        </w:rPr>
        <w:t xml:space="preserve">A review of the literature has identified </w:t>
      </w:r>
      <w:r w:rsidR="00756F4E" w:rsidRPr="00251B0C">
        <w:rPr>
          <w:rFonts w:ascii="Times New Roman" w:hAnsi="Times New Roman" w:cs="Times New Roman"/>
          <w:i/>
          <w:color w:val="000000" w:themeColor="text1"/>
          <w:sz w:val="24"/>
          <w:szCs w:val="24"/>
        </w:rPr>
        <w:t>no</w:t>
      </w:r>
      <w:r w:rsidR="00756F4E" w:rsidRPr="00251B0C">
        <w:rPr>
          <w:rFonts w:ascii="Times New Roman" w:hAnsi="Times New Roman" w:cs="Times New Roman"/>
          <w:color w:val="000000" w:themeColor="text1"/>
          <w:sz w:val="24"/>
          <w:szCs w:val="24"/>
        </w:rPr>
        <w:t xml:space="preserve"> studies aimed at identifying the gaps of primary care provider HIV-related knowledge, </w:t>
      </w:r>
      <w:r w:rsidR="002A7D5A" w:rsidRPr="00251B0C">
        <w:rPr>
          <w:rFonts w:ascii="Times New Roman" w:hAnsi="Times New Roman" w:cs="Times New Roman"/>
          <w:color w:val="000000" w:themeColor="text1"/>
          <w:sz w:val="24"/>
          <w:szCs w:val="24"/>
        </w:rPr>
        <w:t xml:space="preserve">beliefs, </w:t>
      </w:r>
      <w:r w:rsidR="00756F4E" w:rsidRPr="00251B0C">
        <w:rPr>
          <w:rFonts w:ascii="Times New Roman" w:hAnsi="Times New Roman" w:cs="Times New Roman"/>
          <w:color w:val="000000" w:themeColor="text1"/>
          <w:sz w:val="24"/>
          <w:szCs w:val="24"/>
        </w:rPr>
        <w:t xml:space="preserve">attitudes, </w:t>
      </w:r>
      <w:r w:rsidR="002A7D5A" w:rsidRPr="00251B0C">
        <w:rPr>
          <w:rFonts w:ascii="Times New Roman" w:hAnsi="Times New Roman" w:cs="Times New Roman"/>
          <w:color w:val="000000" w:themeColor="text1"/>
          <w:sz w:val="24"/>
          <w:szCs w:val="24"/>
        </w:rPr>
        <w:t xml:space="preserve">and </w:t>
      </w:r>
      <w:r w:rsidR="00756F4E" w:rsidRPr="00251B0C">
        <w:rPr>
          <w:rFonts w:ascii="Times New Roman" w:hAnsi="Times New Roman" w:cs="Times New Roman"/>
          <w:color w:val="000000" w:themeColor="text1"/>
          <w:sz w:val="24"/>
          <w:szCs w:val="24"/>
        </w:rPr>
        <w:t>practice</w:t>
      </w:r>
      <w:r w:rsidR="002A7D5A" w:rsidRPr="00251B0C">
        <w:rPr>
          <w:rFonts w:ascii="Times New Roman" w:hAnsi="Times New Roman" w:cs="Times New Roman"/>
          <w:color w:val="000000" w:themeColor="text1"/>
          <w:sz w:val="24"/>
          <w:szCs w:val="24"/>
        </w:rPr>
        <w:t>s</w:t>
      </w:r>
      <w:r w:rsidR="00756F4E" w:rsidRPr="00251B0C">
        <w:rPr>
          <w:rFonts w:ascii="Times New Roman" w:hAnsi="Times New Roman" w:cs="Times New Roman"/>
          <w:color w:val="000000" w:themeColor="text1"/>
          <w:sz w:val="24"/>
          <w:szCs w:val="24"/>
        </w:rPr>
        <w:t xml:space="preserve"> within the six target MSAs. This </w:t>
      </w:r>
      <w:r w:rsidR="006B3DE7" w:rsidRPr="00251B0C">
        <w:rPr>
          <w:rFonts w:ascii="Times New Roman" w:hAnsi="Times New Roman" w:cs="Times New Roman"/>
          <w:color w:val="000000" w:themeColor="text1"/>
          <w:sz w:val="24"/>
          <w:szCs w:val="24"/>
        </w:rPr>
        <w:t xml:space="preserve">K-BAP </w:t>
      </w:r>
      <w:r w:rsidR="00756F4E" w:rsidRPr="00251B0C">
        <w:rPr>
          <w:rFonts w:ascii="Times New Roman" w:hAnsi="Times New Roman" w:cs="Times New Roman"/>
          <w:color w:val="000000" w:themeColor="text1"/>
          <w:sz w:val="24"/>
          <w:szCs w:val="24"/>
        </w:rPr>
        <w:t xml:space="preserve">survey aims to address this </w:t>
      </w:r>
      <w:r w:rsidR="006B3DE7" w:rsidRPr="00251B0C">
        <w:rPr>
          <w:rFonts w:ascii="Times New Roman" w:hAnsi="Times New Roman" w:cs="Times New Roman"/>
          <w:color w:val="000000" w:themeColor="text1"/>
          <w:sz w:val="24"/>
          <w:szCs w:val="24"/>
        </w:rPr>
        <w:t>research gap</w:t>
      </w:r>
      <w:r w:rsidR="00756F4E" w:rsidRPr="00251B0C">
        <w:rPr>
          <w:rFonts w:ascii="Times New Roman" w:hAnsi="Times New Roman" w:cs="Times New Roman"/>
          <w:color w:val="000000" w:themeColor="text1"/>
          <w:sz w:val="24"/>
          <w:szCs w:val="24"/>
        </w:rPr>
        <w:t>.</w:t>
      </w:r>
      <w:r w:rsidR="00756F4E" w:rsidRPr="00251B0C">
        <w:rPr>
          <w:rFonts w:ascii="Times New Roman" w:hAnsi="Times New Roman" w:cs="Times New Roman"/>
          <w:i/>
          <w:color w:val="000000" w:themeColor="text1"/>
          <w:sz w:val="24"/>
          <w:szCs w:val="24"/>
        </w:rPr>
        <w:t xml:space="preserve"> </w:t>
      </w:r>
      <w:r w:rsidRPr="003200BD">
        <w:rPr>
          <w:rFonts w:ascii="Times New Roman" w:hAnsi="Times New Roman" w:cs="Times New Roman"/>
          <w:color w:val="000000" w:themeColor="text1"/>
          <w:sz w:val="24"/>
          <w:szCs w:val="24"/>
        </w:rPr>
        <w:t>Since data</w:t>
      </w:r>
      <w:r w:rsidRPr="00664896">
        <w:rPr>
          <w:rFonts w:ascii="Times New Roman" w:hAnsi="Times New Roman" w:cs="Times New Roman"/>
          <w:color w:val="000000" w:themeColor="text1"/>
          <w:sz w:val="24"/>
          <w:szCs w:val="24"/>
        </w:rPr>
        <w:t xml:space="preserve"> have never been collected from primary care providers in these regions on this critically important topic</w:t>
      </w:r>
      <w:r>
        <w:rPr>
          <w:rFonts w:ascii="Times New Roman" w:hAnsi="Times New Roman" w:cs="Times New Roman"/>
          <w:color w:val="000000" w:themeColor="text1"/>
          <w:sz w:val="24"/>
          <w:szCs w:val="24"/>
        </w:rPr>
        <w:t>, in</w:t>
      </w:r>
      <w:r w:rsidRPr="00664896">
        <w:rPr>
          <w:rFonts w:ascii="Times New Roman" w:hAnsi="Times New Roman" w:cs="Times New Roman"/>
          <w:color w:val="000000" w:themeColor="text1"/>
          <w:sz w:val="24"/>
          <w:szCs w:val="24"/>
        </w:rPr>
        <w:t xml:space="preserve">formation collected from this survey will be used by CDC stakeholders to understand specific deficits in primary care providers’ HIV prevention and treatment practices for the most at-risk members of the public. </w:t>
      </w:r>
      <w:r w:rsidR="0091607B" w:rsidRPr="00251B0C">
        <w:rPr>
          <w:rFonts w:ascii="Times New Roman" w:hAnsi="Times New Roman" w:cs="Times New Roman"/>
          <w:color w:val="000000" w:themeColor="text1"/>
          <w:sz w:val="24"/>
          <w:szCs w:val="24"/>
        </w:rPr>
        <w:t>Assessment of the HIV-related K</w:t>
      </w:r>
      <w:r w:rsidR="002A7D5A" w:rsidRPr="00251B0C">
        <w:rPr>
          <w:rFonts w:ascii="Times New Roman" w:hAnsi="Times New Roman" w:cs="Times New Roman"/>
          <w:color w:val="000000" w:themeColor="text1"/>
          <w:sz w:val="24"/>
          <w:szCs w:val="24"/>
        </w:rPr>
        <w:t>-BAP</w:t>
      </w:r>
      <w:r w:rsidR="0091607B" w:rsidRPr="00251B0C">
        <w:rPr>
          <w:rFonts w:ascii="Times New Roman" w:hAnsi="Times New Roman" w:cs="Times New Roman"/>
          <w:color w:val="000000" w:themeColor="text1"/>
          <w:sz w:val="24"/>
          <w:szCs w:val="24"/>
        </w:rPr>
        <w:t xml:space="preserve"> among HIV specialists has found that, even among providers whose area of focus is HIV treatment, awareness of the efficacy, and use of Pre-Exposure Prophylaxis (PrEP) for HIV infection is limited</w:t>
      </w:r>
      <w:r w:rsidR="0091607B" w:rsidRPr="00251B0C">
        <w:rPr>
          <w:rStyle w:val="EndnoteReference"/>
          <w:rFonts w:ascii="Times New Roman" w:hAnsi="Times New Roman" w:cs="Times New Roman"/>
          <w:color w:val="000000" w:themeColor="text1"/>
          <w:sz w:val="24"/>
          <w:szCs w:val="24"/>
        </w:rPr>
        <w:endnoteReference w:id="11"/>
      </w:r>
      <w:r w:rsidR="00EE3F59" w:rsidRPr="00251B0C">
        <w:rPr>
          <w:rFonts w:ascii="Times New Roman" w:hAnsi="Times New Roman" w:cs="Times New Roman"/>
          <w:color w:val="000000" w:themeColor="text1"/>
          <w:sz w:val="24"/>
          <w:szCs w:val="24"/>
        </w:rPr>
        <w:t xml:space="preserve"> </w:t>
      </w:r>
      <w:r w:rsidR="00961D8F" w:rsidRPr="00251B0C">
        <w:rPr>
          <w:rStyle w:val="EndnoteReference"/>
          <w:rFonts w:ascii="Times New Roman" w:hAnsi="Times New Roman" w:cs="Times New Roman"/>
          <w:color w:val="000000" w:themeColor="text1"/>
          <w:sz w:val="24"/>
          <w:szCs w:val="24"/>
        </w:rPr>
        <w:endnoteReference w:id="12"/>
      </w:r>
      <w:r w:rsidR="0091607B" w:rsidRPr="00251B0C">
        <w:rPr>
          <w:rFonts w:ascii="Times New Roman" w:hAnsi="Times New Roman" w:cs="Times New Roman"/>
          <w:color w:val="000000" w:themeColor="text1"/>
          <w:sz w:val="24"/>
          <w:szCs w:val="24"/>
        </w:rPr>
        <w:t xml:space="preserve">. </w:t>
      </w:r>
      <w:r w:rsidR="0056441D" w:rsidRPr="00251B0C">
        <w:rPr>
          <w:rFonts w:ascii="Times New Roman" w:hAnsi="Times New Roman" w:cs="Times New Roman"/>
          <w:color w:val="000000" w:themeColor="text1"/>
          <w:sz w:val="24"/>
          <w:szCs w:val="24"/>
        </w:rPr>
        <w:t xml:space="preserve"> </w:t>
      </w:r>
      <w:r w:rsidR="006B3DE7" w:rsidRPr="00251B0C">
        <w:rPr>
          <w:rFonts w:ascii="Times New Roman" w:hAnsi="Times New Roman" w:cs="Times New Roman"/>
          <w:color w:val="000000" w:themeColor="text1"/>
          <w:sz w:val="24"/>
          <w:szCs w:val="24"/>
        </w:rPr>
        <w:t xml:space="preserve">Data that provide us information regarding </w:t>
      </w:r>
      <w:r w:rsidR="0063775E" w:rsidRPr="00251B0C">
        <w:rPr>
          <w:rFonts w:ascii="Times New Roman" w:hAnsi="Times New Roman" w:cs="Times New Roman"/>
          <w:color w:val="000000" w:themeColor="text1"/>
          <w:sz w:val="24"/>
          <w:szCs w:val="24"/>
        </w:rPr>
        <w:t xml:space="preserve">primary care </w:t>
      </w:r>
      <w:r w:rsidR="006B3DE7" w:rsidRPr="00251B0C">
        <w:rPr>
          <w:rFonts w:ascii="Times New Roman" w:hAnsi="Times New Roman" w:cs="Times New Roman"/>
          <w:color w:val="000000" w:themeColor="text1"/>
          <w:sz w:val="24"/>
          <w:szCs w:val="24"/>
        </w:rPr>
        <w:t>prov</w:t>
      </w:r>
      <w:r w:rsidR="0063775E" w:rsidRPr="00251B0C">
        <w:rPr>
          <w:rFonts w:ascii="Times New Roman" w:hAnsi="Times New Roman" w:cs="Times New Roman"/>
          <w:color w:val="000000" w:themeColor="text1"/>
          <w:sz w:val="24"/>
          <w:szCs w:val="24"/>
        </w:rPr>
        <w:t>id</w:t>
      </w:r>
      <w:r w:rsidR="006B3DE7" w:rsidRPr="00251B0C">
        <w:rPr>
          <w:rFonts w:ascii="Times New Roman" w:hAnsi="Times New Roman" w:cs="Times New Roman"/>
          <w:color w:val="000000" w:themeColor="text1"/>
          <w:sz w:val="24"/>
          <w:szCs w:val="24"/>
        </w:rPr>
        <w:t>ers’</w:t>
      </w:r>
      <w:r w:rsidR="0063775E" w:rsidRPr="00251B0C">
        <w:rPr>
          <w:rFonts w:ascii="Times New Roman" w:hAnsi="Times New Roman" w:cs="Times New Roman"/>
          <w:color w:val="000000" w:themeColor="text1"/>
          <w:sz w:val="24"/>
          <w:szCs w:val="24"/>
        </w:rPr>
        <w:t xml:space="preserve"> HIV-related</w:t>
      </w:r>
      <w:r w:rsidR="006B3DE7" w:rsidRPr="00251B0C">
        <w:rPr>
          <w:rFonts w:ascii="Times New Roman" w:hAnsi="Times New Roman" w:cs="Times New Roman"/>
          <w:color w:val="000000" w:themeColor="text1"/>
          <w:sz w:val="24"/>
          <w:szCs w:val="24"/>
        </w:rPr>
        <w:t xml:space="preserve"> </w:t>
      </w:r>
      <w:r w:rsidR="0063775E" w:rsidRPr="00251B0C">
        <w:rPr>
          <w:rFonts w:ascii="Times New Roman" w:hAnsi="Times New Roman" w:cs="Times New Roman"/>
          <w:color w:val="000000" w:themeColor="text1"/>
          <w:sz w:val="24"/>
          <w:szCs w:val="24"/>
        </w:rPr>
        <w:t>K-BAPs can only be obtained through primary data collection.</w:t>
      </w:r>
      <w:r w:rsidR="00756F4E" w:rsidRPr="00251B0C">
        <w:rPr>
          <w:rFonts w:ascii="Times New Roman" w:hAnsi="Times New Roman" w:cs="Times New Roman"/>
          <w:color w:val="000000" w:themeColor="text1"/>
          <w:sz w:val="24"/>
          <w:szCs w:val="24"/>
        </w:rPr>
        <w:t xml:space="preserve"> </w:t>
      </w:r>
    </w:p>
    <w:p w14:paraId="059206E1" w14:textId="77777777" w:rsidR="00915BDE" w:rsidRPr="00251B0C" w:rsidRDefault="0056441D" w:rsidP="006072F2">
      <w:pPr>
        <w:spacing w:before="120" w:after="120"/>
        <w:ind w:left="720"/>
        <w:rPr>
          <w:rFonts w:ascii="Times New Roman" w:hAnsi="Times New Roman" w:cs="Times New Roman"/>
          <w:color w:val="FF0000"/>
          <w:sz w:val="24"/>
          <w:szCs w:val="24"/>
        </w:rPr>
      </w:pPr>
      <w:r w:rsidRPr="00251B0C">
        <w:rPr>
          <w:rFonts w:ascii="Times New Roman" w:hAnsi="Times New Roman" w:cs="Times New Roman"/>
          <w:color w:val="1F497D" w:themeColor="text2"/>
          <w:sz w:val="24"/>
          <w:szCs w:val="24"/>
        </w:rPr>
        <w:t xml:space="preserve"> </w:t>
      </w:r>
    </w:p>
    <w:p w14:paraId="4E1E971E" w14:textId="77777777" w:rsidR="00DC55F3" w:rsidRPr="00251B0C" w:rsidRDefault="007E03E6" w:rsidP="008C6487">
      <w:pPr>
        <w:pStyle w:val="ListParagraph"/>
        <w:numPr>
          <w:ilvl w:val="0"/>
          <w:numId w:val="1"/>
        </w:numPr>
        <w:spacing w:before="120" w:after="120"/>
        <w:contextualSpacing w:val="0"/>
        <w:rPr>
          <w:rFonts w:ascii="Times New Roman" w:hAnsi="Times New Roman" w:cs="Times New Roman"/>
          <w:sz w:val="24"/>
          <w:szCs w:val="24"/>
        </w:rPr>
      </w:pPr>
      <w:r w:rsidRPr="00251B0C">
        <w:rPr>
          <w:rFonts w:ascii="Times New Roman" w:hAnsi="Times New Roman" w:cs="Times New Roman"/>
          <w:b/>
          <w:sz w:val="24"/>
          <w:szCs w:val="24"/>
        </w:rPr>
        <w:t>Impact on Small Businesses or Other Small Entities</w:t>
      </w:r>
    </w:p>
    <w:p w14:paraId="06982847" w14:textId="77777777" w:rsidR="00391EE6" w:rsidRPr="00251B0C" w:rsidRDefault="00E53D0D" w:rsidP="00EF1D4C">
      <w:pPr>
        <w:pStyle w:val="ListParagraph"/>
        <w:ind w:left="0"/>
        <w:rPr>
          <w:rFonts w:ascii="Times New Roman" w:hAnsi="Times New Roman" w:cs="Times New Roman"/>
          <w:sz w:val="24"/>
          <w:szCs w:val="24"/>
        </w:rPr>
      </w:pPr>
      <w:r w:rsidRPr="00251B0C">
        <w:rPr>
          <w:rFonts w:ascii="Times New Roman" w:hAnsi="Times New Roman" w:cs="Times New Roman"/>
          <w:sz w:val="24"/>
          <w:szCs w:val="24"/>
        </w:rPr>
        <w:t>This data collection will not involve small businesses.</w:t>
      </w:r>
    </w:p>
    <w:p w14:paraId="164DDF1F" w14:textId="77777777" w:rsidR="00015C2D" w:rsidRPr="00251B0C" w:rsidRDefault="00015C2D" w:rsidP="00391EE6">
      <w:pPr>
        <w:pStyle w:val="ListParagraph"/>
        <w:rPr>
          <w:rFonts w:ascii="Times New Roman" w:hAnsi="Times New Roman" w:cs="Times New Roman"/>
          <w:sz w:val="24"/>
          <w:szCs w:val="24"/>
        </w:rPr>
      </w:pPr>
    </w:p>
    <w:p w14:paraId="44756BFF" w14:textId="77777777" w:rsidR="00DC55F3" w:rsidRPr="00251B0C" w:rsidRDefault="00C11DC8" w:rsidP="008C6487">
      <w:pPr>
        <w:pStyle w:val="ListParagraph"/>
        <w:numPr>
          <w:ilvl w:val="0"/>
          <w:numId w:val="1"/>
        </w:numPr>
        <w:spacing w:before="120" w:after="120"/>
        <w:contextualSpacing w:val="0"/>
        <w:rPr>
          <w:rFonts w:ascii="Times New Roman" w:hAnsi="Times New Roman" w:cs="Times New Roman"/>
          <w:sz w:val="24"/>
          <w:szCs w:val="24"/>
        </w:rPr>
      </w:pPr>
      <w:r w:rsidRPr="00251B0C">
        <w:rPr>
          <w:rFonts w:ascii="Times New Roman" w:hAnsi="Times New Roman" w:cs="Times New Roman"/>
          <w:b/>
          <w:sz w:val="24"/>
          <w:szCs w:val="24"/>
        </w:rPr>
        <w:t>Consequences of Collecting the Information Less Frequently</w:t>
      </w:r>
    </w:p>
    <w:p w14:paraId="67BCF744" w14:textId="77777777" w:rsidR="00191EE5" w:rsidRPr="00251B0C" w:rsidRDefault="00B40EDF" w:rsidP="006B7929">
      <w:pPr>
        <w:pStyle w:val="ListParagraph"/>
        <w:spacing w:before="120" w:after="120" w:line="240" w:lineRule="auto"/>
        <w:ind w:left="0"/>
        <w:contextualSpacing w:val="0"/>
        <w:rPr>
          <w:rFonts w:ascii="Times New Roman" w:hAnsi="Times New Roman" w:cs="Times New Roman"/>
          <w:color w:val="000000" w:themeColor="text1"/>
          <w:sz w:val="24"/>
          <w:szCs w:val="24"/>
        </w:rPr>
      </w:pPr>
      <w:r w:rsidRPr="00251B0C">
        <w:rPr>
          <w:rFonts w:ascii="Times New Roman" w:hAnsi="Times New Roman" w:cs="Times New Roman"/>
          <w:color w:val="000000" w:themeColor="text1"/>
          <w:sz w:val="24"/>
          <w:szCs w:val="24"/>
        </w:rPr>
        <w:t>P</w:t>
      </w:r>
      <w:r w:rsidR="006B7929" w:rsidRPr="00251B0C">
        <w:rPr>
          <w:rFonts w:ascii="Times New Roman" w:hAnsi="Times New Roman" w:cs="Times New Roman"/>
          <w:color w:val="000000" w:themeColor="text1"/>
          <w:sz w:val="24"/>
          <w:szCs w:val="24"/>
        </w:rPr>
        <w:t>rimary care physicians (</w:t>
      </w:r>
      <w:r w:rsidR="00D06F90" w:rsidRPr="00251B0C">
        <w:rPr>
          <w:rFonts w:ascii="Times New Roman" w:hAnsi="Times New Roman" w:cs="Times New Roman"/>
          <w:color w:val="000000" w:themeColor="text1"/>
          <w:sz w:val="24"/>
          <w:szCs w:val="24"/>
        </w:rPr>
        <w:t>PCPs</w:t>
      </w:r>
      <w:r w:rsidR="006B7929" w:rsidRPr="00251B0C">
        <w:rPr>
          <w:rFonts w:ascii="Times New Roman" w:hAnsi="Times New Roman" w:cs="Times New Roman"/>
          <w:color w:val="000000" w:themeColor="text1"/>
          <w:sz w:val="24"/>
          <w:szCs w:val="24"/>
        </w:rPr>
        <w:t>)</w:t>
      </w:r>
      <w:r w:rsidR="00D06F90" w:rsidRPr="00251B0C">
        <w:rPr>
          <w:rFonts w:ascii="Times New Roman" w:hAnsi="Times New Roman" w:cs="Times New Roman"/>
          <w:color w:val="000000" w:themeColor="text1"/>
          <w:sz w:val="24"/>
          <w:szCs w:val="24"/>
        </w:rPr>
        <w:t xml:space="preserve"> visited by black patients were significantly less likely to be board certified and to report being unable to provide high-quality care to all of their patients than PCPs visited by White patients</w:t>
      </w:r>
      <w:r w:rsidR="00D06F90" w:rsidRPr="00251B0C">
        <w:rPr>
          <w:rStyle w:val="EndnoteReference"/>
          <w:rFonts w:ascii="Times New Roman" w:hAnsi="Times New Roman" w:cs="Times New Roman"/>
          <w:color w:val="000000" w:themeColor="text1"/>
          <w:sz w:val="24"/>
          <w:szCs w:val="24"/>
        </w:rPr>
        <w:endnoteReference w:id="13"/>
      </w:r>
      <w:r w:rsidR="00D06F90" w:rsidRPr="00251B0C">
        <w:rPr>
          <w:rFonts w:ascii="Times New Roman" w:hAnsi="Times New Roman" w:cs="Times New Roman"/>
          <w:color w:val="000000" w:themeColor="text1"/>
          <w:sz w:val="24"/>
          <w:szCs w:val="24"/>
        </w:rPr>
        <w:t xml:space="preserve">. These findings underscore the importance of </w:t>
      </w:r>
      <w:r w:rsidR="00892456" w:rsidRPr="00251B0C">
        <w:rPr>
          <w:rFonts w:ascii="Times New Roman" w:hAnsi="Times New Roman" w:cs="Times New Roman"/>
          <w:color w:val="000000" w:themeColor="text1"/>
          <w:sz w:val="24"/>
          <w:szCs w:val="24"/>
        </w:rPr>
        <w:t xml:space="preserve">building the HIV prevention and treatment capacity of PCPs who work with African American </w:t>
      </w:r>
      <w:r w:rsidR="006B7929" w:rsidRPr="00251B0C">
        <w:rPr>
          <w:rFonts w:ascii="Times New Roman" w:hAnsi="Times New Roman" w:cs="Times New Roman"/>
          <w:color w:val="000000" w:themeColor="text1"/>
          <w:sz w:val="24"/>
          <w:szCs w:val="24"/>
        </w:rPr>
        <w:t>patients. Increasing</w:t>
      </w:r>
      <w:r w:rsidR="00191EE5" w:rsidRPr="00251B0C">
        <w:rPr>
          <w:rFonts w:ascii="Times New Roman" w:hAnsi="Times New Roman" w:cs="Times New Roman"/>
          <w:color w:val="000000" w:themeColor="text1"/>
          <w:sz w:val="24"/>
          <w:szCs w:val="24"/>
        </w:rPr>
        <w:t xml:space="preserve"> the rate at which PCPs effectively provide HIV prevention, testing, and treatment to high-risk patients is critical in reducing the rates of HIV in the African American populations hardest hit by the epidemic.</w:t>
      </w:r>
      <w:r w:rsidR="00892456" w:rsidRPr="00251B0C">
        <w:rPr>
          <w:rFonts w:ascii="Times New Roman" w:hAnsi="Times New Roman" w:cs="Times New Roman"/>
          <w:color w:val="000000" w:themeColor="text1"/>
          <w:sz w:val="24"/>
          <w:szCs w:val="24"/>
        </w:rPr>
        <w:t xml:space="preserve"> However, studies show that often, individuals at high risk for HIV do not receive any HIV prevention messages or discussion around testing when they visit their primary care providers</w:t>
      </w:r>
      <w:r w:rsidR="00892456" w:rsidRPr="00251B0C">
        <w:rPr>
          <w:rStyle w:val="EndnoteReference"/>
          <w:rFonts w:ascii="Times New Roman" w:hAnsi="Times New Roman" w:cs="Times New Roman"/>
          <w:color w:val="000000" w:themeColor="text1"/>
          <w:sz w:val="24"/>
          <w:szCs w:val="24"/>
        </w:rPr>
        <w:endnoteReference w:id="14"/>
      </w:r>
      <w:r w:rsidR="00892456" w:rsidRPr="00251B0C">
        <w:rPr>
          <w:rFonts w:ascii="Times New Roman" w:hAnsi="Times New Roman" w:cs="Times New Roman"/>
          <w:color w:val="000000" w:themeColor="text1"/>
          <w:sz w:val="24"/>
          <w:szCs w:val="24"/>
        </w:rPr>
        <w:t xml:space="preserve"> </w:t>
      </w:r>
      <w:r w:rsidR="00892456" w:rsidRPr="00251B0C">
        <w:rPr>
          <w:rStyle w:val="EndnoteReference"/>
          <w:rFonts w:ascii="Times New Roman" w:hAnsi="Times New Roman" w:cs="Times New Roman"/>
          <w:color w:val="000000" w:themeColor="text1"/>
          <w:sz w:val="24"/>
          <w:szCs w:val="24"/>
        </w:rPr>
        <w:endnoteReference w:id="15"/>
      </w:r>
      <w:r w:rsidR="00892456" w:rsidRPr="00251B0C">
        <w:rPr>
          <w:rFonts w:ascii="Times New Roman" w:hAnsi="Times New Roman" w:cs="Times New Roman"/>
          <w:color w:val="000000" w:themeColor="text1"/>
          <w:sz w:val="24"/>
          <w:szCs w:val="24"/>
        </w:rPr>
        <w:t xml:space="preserve">. </w:t>
      </w:r>
      <w:r w:rsidR="00191EE5" w:rsidRPr="00251B0C">
        <w:rPr>
          <w:rFonts w:ascii="Times New Roman" w:hAnsi="Times New Roman" w:cs="Times New Roman"/>
          <w:color w:val="000000" w:themeColor="text1"/>
          <w:sz w:val="24"/>
          <w:szCs w:val="24"/>
        </w:rPr>
        <w:t xml:space="preserve">Without a better understanding of what PCPs know, what they need to know, </w:t>
      </w:r>
      <w:r w:rsidR="00A7252C" w:rsidRPr="00251B0C">
        <w:rPr>
          <w:rFonts w:ascii="Times New Roman" w:hAnsi="Times New Roman" w:cs="Times New Roman"/>
          <w:color w:val="000000" w:themeColor="text1"/>
          <w:sz w:val="24"/>
          <w:szCs w:val="24"/>
        </w:rPr>
        <w:t xml:space="preserve">and what they do, </w:t>
      </w:r>
      <w:r w:rsidR="00191EE5" w:rsidRPr="00251B0C">
        <w:rPr>
          <w:rFonts w:ascii="Times New Roman" w:hAnsi="Times New Roman" w:cs="Times New Roman"/>
          <w:color w:val="000000" w:themeColor="text1"/>
          <w:sz w:val="24"/>
          <w:szCs w:val="24"/>
        </w:rPr>
        <w:t xml:space="preserve">we lack a clear picture of how best to target the limited resources available for training PCPs in building their capacity to alleviate the burden of HIV among vulnerable patients. </w:t>
      </w:r>
    </w:p>
    <w:p w14:paraId="5766DF8B" w14:textId="77777777" w:rsidR="00C22710" w:rsidRPr="00251B0C" w:rsidRDefault="006072F2" w:rsidP="00EF1D4C">
      <w:pPr>
        <w:pStyle w:val="ListParagraph"/>
        <w:spacing w:before="120" w:after="120" w:line="240" w:lineRule="auto"/>
        <w:ind w:left="0"/>
        <w:contextualSpacing w:val="0"/>
        <w:rPr>
          <w:rFonts w:ascii="Times New Roman" w:hAnsi="Times New Roman" w:cs="Times New Roman"/>
          <w:color w:val="000000" w:themeColor="text1"/>
          <w:sz w:val="24"/>
          <w:szCs w:val="24"/>
        </w:rPr>
      </w:pPr>
      <w:r w:rsidRPr="00251B0C">
        <w:rPr>
          <w:rFonts w:ascii="Times New Roman" w:hAnsi="Times New Roman" w:cs="Times New Roman"/>
          <w:color w:val="000000" w:themeColor="text1"/>
          <w:sz w:val="24"/>
          <w:szCs w:val="24"/>
        </w:rPr>
        <w:t xml:space="preserve">If the proposed study is not conducted, </w:t>
      </w:r>
      <w:r w:rsidR="003F4CBC" w:rsidRPr="00251B0C">
        <w:rPr>
          <w:rFonts w:ascii="Times New Roman" w:hAnsi="Times New Roman" w:cs="Times New Roman"/>
          <w:color w:val="000000" w:themeColor="text1"/>
          <w:sz w:val="24"/>
          <w:szCs w:val="24"/>
        </w:rPr>
        <w:t xml:space="preserve">we will be unable to estimate primary care providers’ ability to prevent and treat HIV in the areas with the highest rates of new infections in the nation. </w:t>
      </w:r>
      <w:r w:rsidRPr="00251B0C">
        <w:rPr>
          <w:rFonts w:ascii="Times New Roman" w:hAnsi="Times New Roman" w:cs="Times New Roman"/>
          <w:color w:val="000000" w:themeColor="text1"/>
          <w:sz w:val="24"/>
          <w:szCs w:val="24"/>
        </w:rPr>
        <w:t>HIV will continue to spread amongst the most vulnerable population in the United States</w:t>
      </w:r>
      <w:r w:rsidR="002E79DC" w:rsidRPr="00251B0C">
        <w:rPr>
          <w:rFonts w:ascii="Times New Roman" w:hAnsi="Times New Roman" w:cs="Times New Roman"/>
          <w:color w:val="000000" w:themeColor="text1"/>
          <w:sz w:val="24"/>
          <w:szCs w:val="24"/>
        </w:rPr>
        <w:t xml:space="preserve"> when it could be prevented</w:t>
      </w:r>
      <w:r w:rsidRPr="00251B0C">
        <w:rPr>
          <w:rFonts w:ascii="Times New Roman" w:hAnsi="Times New Roman" w:cs="Times New Roman"/>
          <w:color w:val="000000" w:themeColor="text1"/>
          <w:sz w:val="24"/>
          <w:szCs w:val="24"/>
        </w:rPr>
        <w:t xml:space="preserve">. The outcomes of this study will be used to </w:t>
      </w:r>
      <w:r w:rsidR="00CE4590" w:rsidRPr="00251B0C">
        <w:rPr>
          <w:rFonts w:ascii="Times New Roman" w:hAnsi="Times New Roman" w:cs="Times New Roman"/>
          <w:color w:val="000000" w:themeColor="text1"/>
          <w:sz w:val="24"/>
          <w:szCs w:val="24"/>
        </w:rPr>
        <w:t xml:space="preserve">plan how best to </w:t>
      </w:r>
      <w:r w:rsidRPr="00251B0C">
        <w:rPr>
          <w:rFonts w:ascii="Times New Roman" w:hAnsi="Times New Roman" w:cs="Times New Roman"/>
          <w:color w:val="000000" w:themeColor="text1"/>
          <w:sz w:val="24"/>
          <w:szCs w:val="24"/>
        </w:rPr>
        <w:t>increase primary care providers</w:t>
      </w:r>
      <w:r w:rsidR="00CE4590" w:rsidRPr="00251B0C">
        <w:rPr>
          <w:rFonts w:ascii="Times New Roman" w:hAnsi="Times New Roman" w:cs="Times New Roman"/>
          <w:color w:val="000000" w:themeColor="text1"/>
          <w:sz w:val="24"/>
          <w:szCs w:val="24"/>
        </w:rPr>
        <w:t>’</w:t>
      </w:r>
      <w:r w:rsidRPr="00251B0C">
        <w:rPr>
          <w:rFonts w:ascii="Times New Roman" w:hAnsi="Times New Roman" w:cs="Times New Roman"/>
          <w:color w:val="000000" w:themeColor="text1"/>
          <w:sz w:val="24"/>
          <w:szCs w:val="24"/>
        </w:rPr>
        <w:t xml:space="preserve"> </w:t>
      </w:r>
      <w:r w:rsidR="00CE4590" w:rsidRPr="00251B0C">
        <w:rPr>
          <w:rFonts w:ascii="Times New Roman" w:hAnsi="Times New Roman" w:cs="Times New Roman"/>
          <w:color w:val="000000" w:themeColor="text1"/>
          <w:sz w:val="24"/>
          <w:szCs w:val="24"/>
        </w:rPr>
        <w:t xml:space="preserve">awareness of HIV, </w:t>
      </w:r>
      <w:r w:rsidRPr="00251B0C">
        <w:rPr>
          <w:rFonts w:ascii="Times New Roman" w:hAnsi="Times New Roman" w:cs="Times New Roman"/>
          <w:color w:val="000000" w:themeColor="text1"/>
          <w:sz w:val="24"/>
          <w:szCs w:val="24"/>
        </w:rPr>
        <w:t>ability to talk with their patients about HIV prevention</w:t>
      </w:r>
      <w:r w:rsidR="00CE4590" w:rsidRPr="00251B0C">
        <w:rPr>
          <w:rFonts w:ascii="Times New Roman" w:hAnsi="Times New Roman" w:cs="Times New Roman"/>
          <w:color w:val="000000" w:themeColor="text1"/>
          <w:sz w:val="24"/>
          <w:szCs w:val="24"/>
        </w:rPr>
        <w:t>,</w:t>
      </w:r>
      <w:r w:rsidRPr="00251B0C">
        <w:rPr>
          <w:rFonts w:ascii="Times New Roman" w:hAnsi="Times New Roman" w:cs="Times New Roman"/>
          <w:color w:val="000000" w:themeColor="text1"/>
          <w:sz w:val="24"/>
          <w:szCs w:val="24"/>
        </w:rPr>
        <w:t xml:space="preserve"> as well as potentially identify HIV positive patients and route th</w:t>
      </w:r>
      <w:r w:rsidR="00312AC4" w:rsidRPr="00251B0C">
        <w:rPr>
          <w:rFonts w:ascii="Times New Roman" w:hAnsi="Times New Roman" w:cs="Times New Roman"/>
          <w:color w:val="000000" w:themeColor="text1"/>
          <w:sz w:val="24"/>
          <w:szCs w:val="24"/>
        </w:rPr>
        <w:t>em to needed care and treatment.</w:t>
      </w:r>
      <w:r w:rsidRPr="00251B0C">
        <w:rPr>
          <w:rFonts w:ascii="Times New Roman" w:hAnsi="Times New Roman" w:cs="Times New Roman"/>
          <w:color w:val="000000" w:themeColor="text1"/>
          <w:sz w:val="24"/>
          <w:szCs w:val="24"/>
        </w:rPr>
        <w:t xml:space="preserve"> </w:t>
      </w:r>
    </w:p>
    <w:p w14:paraId="209AAA4B" w14:textId="77777777" w:rsidR="00816C3A" w:rsidRPr="00251B0C" w:rsidRDefault="00816C3A" w:rsidP="006072F2">
      <w:pPr>
        <w:pStyle w:val="ListParagraph"/>
        <w:spacing w:before="120" w:after="120"/>
        <w:contextualSpacing w:val="0"/>
        <w:rPr>
          <w:rFonts w:ascii="Times New Roman" w:hAnsi="Times New Roman" w:cs="Times New Roman"/>
          <w:color w:val="000000" w:themeColor="text1"/>
          <w:sz w:val="24"/>
          <w:szCs w:val="24"/>
        </w:rPr>
      </w:pPr>
    </w:p>
    <w:p w14:paraId="6883CE12" w14:textId="77777777" w:rsidR="00DC55F3" w:rsidRPr="00251B0C" w:rsidRDefault="00C11DC8" w:rsidP="008C6487">
      <w:pPr>
        <w:pStyle w:val="ListParagraph"/>
        <w:numPr>
          <w:ilvl w:val="0"/>
          <w:numId w:val="1"/>
        </w:numPr>
        <w:spacing w:before="120" w:after="120"/>
        <w:contextualSpacing w:val="0"/>
        <w:rPr>
          <w:rFonts w:ascii="Times New Roman" w:hAnsi="Times New Roman" w:cs="Times New Roman"/>
          <w:b/>
          <w:sz w:val="24"/>
          <w:szCs w:val="24"/>
        </w:rPr>
      </w:pPr>
      <w:r w:rsidRPr="00251B0C">
        <w:rPr>
          <w:rFonts w:ascii="Times New Roman" w:hAnsi="Times New Roman" w:cs="Times New Roman"/>
          <w:b/>
          <w:sz w:val="24"/>
          <w:szCs w:val="24"/>
        </w:rPr>
        <w:t>Special Circumstances Relating to the Guidelines of 5 CFR 1320.5</w:t>
      </w:r>
    </w:p>
    <w:p w14:paraId="238565AD" w14:textId="77777777" w:rsidR="00816C3A" w:rsidRPr="00251B0C" w:rsidRDefault="00A53326" w:rsidP="00EF1D4C">
      <w:pPr>
        <w:pStyle w:val="ListParagraph"/>
        <w:spacing w:before="120" w:after="120"/>
        <w:ind w:left="0"/>
        <w:contextualSpacing w:val="0"/>
        <w:rPr>
          <w:rFonts w:ascii="Times New Roman" w:hAnsi="Times New Roman" w:cs="Times New Roman"/>
          <w:sz w:val="24"/>
          <w:szCs w:val="24"/>
        </w:rPr>
      </w:pPr>
      <w:r w:rsidRPr="00251B0C">
        <w:rPr>
          <w:rFonts w:ascii="Times New Roman" w:hAnsi="Times New Roman" w:cs="Times New Roman"/>
          <w:sz w:val="24"/>
          <w:szCs w:val="24"/>
        </w:rPr>
        <w:t>This request fully complies with regulation 5 CRF 1320.5</w:t>
      </w:r>
      <w:r w:rsidR="003472C2" w:rsidRPr="00251B0C">
        <w:rPr>
          <w:rFonts w:ascii="Times New Roman" w:hAnsi="Times New Roman" w:cs="Times New Roman"/>
          <w:sz w:val="24"/>
          <w:szCs w:val="24"/>
        </w:rPr>
        <w:t>.</w:t>
      </w:r>
    </w:p>
    <w:p w14:paraId="4F9A6F38" w14:textId="77777777" w:rsidR="00816C3A" w:rsidRPr="00251B0C" w:rsidRDefault="00816C3A" w:rsidP="003200BD">
      <w:pPr>
        <w:pStyle w:val="TOC1"/>
      </w:pPr>
      <w:r w:rsidRPr="00251B0C">
        <w:t>Comments in Response to the Federal Register Notice and Efforts to Consult Outside the Agency</w:t>
      </w:r>
    </w:p>
    <w:p w14:paraId="72A99B38" w14:textId="77777777" w:rsidR="00DC07A2" w:rsidRPr="00251B0C" w:rsidRDefault="00A53326" w:rsidP="003200BD">
      <w:r w:rsidRPr="003200BD">
        <w:rPr>
          <w:rFonts w:ascii="Times New Roman" w:hAnsi="Times New Roman" w:cs="Times New Roman"/>
        </w:rPr>
        <w:t>A 60-day federal register notice to solicit public comments was published</w:t>
      </w:r>
      <w:r w:rsidR="00E53D0D" w:rsidRPr="003200BD">
        <w:rPr>
          <w:rFonts w:ascii="Times New Roman" w:hAnsi="Times New Roman" w:cs="Times New Roman"/>
        </w:rPr>
        <w:t xml:space="preserve"> in the Federal Register</w:t>
      </w:r>
      <w:r w:rsidRPr="003200BD">
        <w:rPr>
          <w:rFonts w:ascii="Times New Roman" w:hAnsi="Times New Roman" w:cs="Times New Roman"/>
        </w:rPr>
        <w:t xml:space="preserve"> on </w:t>
      </w:r>
      <w:r w:rsidR="00455DE6" w:rsidRPr="003200BD">
        <w:rPr>
          <w:rFonts w:ascii="Times New Roman" w:hAnsi="Times New Roman" w:cs="Times New Roman"/>
        </w:rPr>
        <w:t>03/24/2016</w:t>
      </w:r>
      <w:r w:rsidRPr="003200BD">
        <w:rPr>
          <w:rFonts w:ascii="Times New Roman" w:hAnsi="Times New Roman" w:cs="Times New Roman"/>
        </w:rPr>
        <w:t xml:space="preserve">, Volume </w:t>
      </w:r>
      <w:r w:rsidR="00455DE6" w:rsidRPr="003200BD">
        <w:rPr>
          <w:rFonts w:ascii="Times New Roman" w:hAnsi="Times New Roman" w:cs="Times New Roman"/>
        </w:rPr>
        <w:t>81</w:t>
      </w:r>
      <w:r w:rsidRPr="003200BD">
        <w:rPr>
          <w:rFonts w:ascii="Times New Roman" w:hAnsi="Times New Roman" w:cs="Times New Roman"/>
        </w:rPr>
        <w:t xml:space="preserve">, Number </w:t>
      </w:r>
      <w:r w:rsidR="00455DE6" w:rsidRPr="003200BD">
        <w:rPr>
          <w:rFonts w:ascii="Times New Roman" w:hAnsi="Times New Roman" w:cs="Times New Roman"/>
        </w:rPr>
        <w:t>57</w:t>
      </w:r>
      <w:r w:rsidRPr="003200BD">
        <w:rPr>
          <w:rFonts w:ascii="Times New Roman" w:hAnsi="Times New Roman" w:cs="Times New Roman"/>
        </w:rPr>
        <w:t xml:space="preserve">, Pages </w:t>
      </w:r>
      <w:r w:rsidR="00455DE6" w:rsidRPr="003200BD">
        <w:rPr>
          <w:rFonts w:ascii="Times New Roman" w:hAnsi="Times New Roman" w:cs="Times New Roman"/>
        </w:rPr>
        <w:t>15725-15726</w:t>
      </w:r>
      <w:r w:rsidRPr="003200BD">
        <w:rPr>
          <w:rFonts w:ascii="Times New Roman" w:hAnsi="Times New Roman" w:cs="Times New Roman"/>
        </w:rPr>
        <w:t xml:space="preserve"> (Attachment 2). A</w:t>
      </w:r>
      <w:r w:rsidR="00455DE6" w:rsidRPr="003200BD">
        <w:rPr>
          <w:rFonts w:ascii="Times New Roman" w:hAnsi="Times New Roman" w:cs="Times New Roman"/>
        </w:rPr>
        <w:t xml:space="preserve"> public</w:t>
      </w:r>
      <w:r w:rsidRPr="003200BD">
        <w:rPr>
          <w:rFonts w:ascii="Times New Roman" w:hAnsi="Times New Roman" w:cs="Times New Roman"/>
        </w:rPr>
        <w:t xml:space="preserve"> comment was received and CDC’s standard response was sent (attachment 2a</w:t>
      </w:r>
      <w:r w:rsidRPr="00251B0C">
        <w:t>).</w:t>
      </w:r>
    </w:p>
    <w:p w14:paraId="6FB4B86A" w14:textId="77777777" w:rsidR="002078A1" w:rsidRPr="00251B0C" w:rsidRDefault="002078A1" w:rsidP="002078A1">
      <w:pPr>
        <w:spacing w:after="0" w:line="240" w:lineRule="auto"/>
        <w:rPr>
          <w:rFonts w:ascii="Times New Roman" w:hAnsi="Times New Roman" w:cs="Times New Roman"/>
        </w:rPr>
      </w:pPr>
    </w:p>
    <w:p w14:paraId="0313AB21" w14:textId="77777777" w:rsidR="00816C3A" w:rsidRPr="00251B0C" w:rsidRDefault="00816C3A" w:rsidP="00EF1D4C">
      <w:pPr>
        <w:pStyle w:val="ListParagraph"/>
        <w:spacing w:after="0" w:line="240" w:lineRule="auto"/>
        <w:ind w:left="0"/>
        <w:contextualSpacing w:val="0"/>
        <w:rPr>
          <w:rFonts w:ascii="Times New Roman" w:hAnsi="Times New Roman" w:cs="Times New Roman"/>
          <w:sz w:val="24"/>
          <w:szCs w:val="24"/>
        </w:rPr>
      </w:pPr>
      <w:r w:rsidRPr="00251B0C">
        <w:rPr>
          <w:rFonts w:ascii="Times New Roman" w:hAnsi="Times New Roman" w:cs="Times New Roman"/>
          <w:sz w:val="24"/>
          <w:szCs w:val="24"/>
        </w:rPr>
        <w:t>Consulta</w:t>
      </w:r>
      <w:r w:rsidR="002078A1" w:rsidRPr="00251B0C">
        <w:rPr>
          <w:rFonts w:ascii="Times New Roman" w:hAnsi="Times New Roman" w:cs="Times New Roman"/>
          <w:sz w:val="24"/>
          <w:szCs w:val="24"/>
        </w:rPr>
        <w:t xml:space="preserve">tions were conducted prior to the development of this proposed project with researchers and public health professionals experienced in field of HIV prevention and care among African Americans living with HIV. </w:t>
      </w:r>
      <w:r w:rsidR="00D3116E" w:rsidRPr="00251B0C">
        <w:rPr>
          <w:rFonts w:ascii="Times New Roman" w:hAnsi="Times New Roman" w:cs="Times New Roman"/>
          <w:sz w:val="24"/>
          <w:szCs w:val="24"/>
        </w:rPr>
        <w:t xml:space="preserve">  </w:t>
      </w:r>
    </w:p>
    <w:p w14:paraId="2498C4C4" w14:textId="77777777" w:rsidR="00DC55F3" w:rsidRPr="00251B0C" w:rsidRDefault="00DC55F3" w:rsidP="008C6487">
      <w:pPr>
        <w:spacing w:before="120" w:after="120"/>
        <w:ind w:left="360"/>
        <w:rPr>
          <w:rFonts w:ascii="Times New Roman" w:hAnsi="Times New Roman" w:cs="Times New Roman"/>
          <w:b/>
          <w:sz w:val="24"/>
          <w:szCs w:val="24"/>
        </w:rPr>
      </w:pPr>
    </w:p>
    <w:tbl>
      <w:tblPr>
        <w:tblStyle w:val="TableGrid"/>
        <w:tblW w:w="4050" w:type="dxa"/>
        <w:tblInd w:w="-5" w:type="dxa"/>
        <w:tblLook w:val="04A0" w:firstRow="1" w:lastRow="0" w:firstColumn="1" w:lastColumn="0" w:noHBand="0" w:noVBand="1"/>
      </w:tblPr>
      <w:tblGrid>
        <w:gridCol w:w="4050"/>
      </w:tblGrid>
      <w:tr w:rsidR="00D3116E" w:rsidRPr="00251B0C" w14:paraId="6CFC9659" w14:textId="77777777" w:rsidTr="00D3116E">
        <w:tc>
          <w:tcPr>
            <w:tcW w:w="4050" w:type="dxa"/>
          </w:tcPr>
          <w:p w14:paraId="13C15A64" w14:textId="77777777" w:rsidR="00D3116E" w:rsidRPr="00251B0C" w:rsidRDefault="00D3116E" w:rsidP="002078A1">
            <w:pPr>
              <w:rPr>
                <w:rFonts w:ascii="Times New Roman" w:hAnsi="Times New Roman" w:cs="Times New Roman"/>
                <w:b/>
              </w:rPr>
            </w:pPr>
            <w:r w:rsidRPr="00251B0C">
              <w:rPr>
                <w:rFonts w:ascii="Times New Roman" w:hAnsi="Times New Roman" w:cs="Times New Roman"/>
                <w:b/>
              </w:rPr>
              <w:t>Jesse Milan, Jr., JD</w:t>
            </w:r>
          </w:p>
          <w:p w14:paraId="7BB567DF" w14:textId="77777777" w:rsidR="00D3116E" w:rsidRPr="00251B0C" w:rsidRDefault="00D3116E" w:rsidP="002078A1">
            <w:pPr>
              <w:rPr>
                <w:rFonts w:ascii="Times New Roman" w:hAnsi="Times New Roman" w:cs="Times New Roman"/>
                <w:b/>
              </w:rPr>
            </w:pPr>
            <w:r w:rsidRPr="00251B0C">
              <w:rPr>
                <w:rFonts w:ascii="Times New Roman" w:hAnsi="Times New Roman" w:cs="Times New Roman"/>
                <w:b/>
              </w:rPr>
              <w:t>(HIV Care Professional/Advocate)</w:t>
            </w:r>
          </w:p>
          <w:p w14:paraId="795EC307" w14:textId="77777777" w:rsidR="00D3116E" w:rsidRPr="00251B0C" w:rsidRDefault="00D3116E" w:rsidP="002078A1">
            <w:pPr>
              <w:rPr>
                <w:rFonts w:ascii="Times New Roman" w:hAnsi="Times New Roman" w:cs="Times New Roman"/>
              </w:rPr>
            </w:pPr>
            <w:r w:rsidRPr="00251B0C">
              <w:rPr>
                <w:rFonts w:ascii="Times New Roman" w:hAnsi="Times New Roman" w:cs="Times New Roman"/>
              </w:rPr>
              <w:t>Altarum Institute Consultant</w:t>
            </w:r>
          </w:p>
          <w:p w14:paraId="436CEED6" w14:textId="77777777" w:rsidR="00D3116E" w:rsidRPr="00251B0C" w:rsidRDefault="00D3116E" w:rsidP="002078A1">
            <w:pPr>
              <w:rPr>
                <w:rFonts w:ascii="Times New Roman" w:hAnsi="Times New Roman" w:cs="Times New Roman"/>
              </w:rPr>
            </w:pPr>
            <w:r w:rsidRPr="00251B0C">
              <w:rPr>
                <w:rFonts w:ascii="Times New Roman" w:hAnsi="Times New Roman" w:cs="Times New Roman"/>
              </w:rPr>
              <w:t>1017 Lillies Lane</w:t>
            </w:r>
          </w:p>
          <w:p w14:paraId="451354FE" w14:textId="77777777" w:rsidR="00D3116E" w:rsidRPr="00251B0C" w:rsidRDefault="00D3116E" w:rsidP="002078A1">
            <w:pPr>
              <w:rPr>
                <w:rFonts w:ascii="Times New Roman" w:hAnsi="Times New Roman" w:cs="Times New Roman"/>
              </w:rPr>
            </w:pPr>
            <w:r w:rsidRPr="00251B0C">
              <w:rPr>
                <w:rFonts w:ascii="Times New Roman" w:hAnsi="Times New Roman" w:cs="Times New Roman"/>
              </w:rPr>
              <w:t>Ellicott City, MD 21043</w:t>
            </w:r>
          </w:p>
          <w:p w14:paraId="11B07888" w14:textId="77777777" w:rsidR="00D3116E" w:rsidRPr="00251B0C" w:rsidRDefault="00D3116E" w:rsidP="002078A1">
            <w:pPr>
              <w:rPr>
                <w:rFonts w:ascii="Times New Roman" w:hAnsi="Times New Roman" w:cs="Times New Roman"/>
              </w:rPr>
            </w:pPr>
            <w:r w:rsidRPr="00251B0C">
              <w:rPr>
                <w:rFonts w:ascii="Times New Roman" w:hAnsi="Times New Roman" w:cs="Times New Roman"/>
              </w:rPr>
              <w:t>202-870-7208</w:t>
            </w:r>
          </w:p>
          <w:p w14:paraId="3A0CAE3B" w14:textId="77777777" w:rsidR="00D3116E" w:rsidRPr="00251B0C" w:rsidRDefault="00CB5092" w:rsidP="002078A1">
            <w:pPr>
              <w:rPr>
                <w:rFonts w:ascii="Times New Roman" w:hAnsi="Times New Roman" w:cs="Times New Roman"/>
              </w:rPr>
            </w:pPr>
            <w:hyperlink r:id="rId11" w:history="1">
              <w:r w:rsidR="00D3116E" w:rsidRPr="00251B0C">
                <w:rPr>
                  <w:rStyle w:val="Hyperlink"/>
                  <w:rFonts w:ascii="Times New Roman" w:hAnsi="Times New Roman" w:cs="Times New Roman"/>
                </w:rPr>
                <w:t>jmilanjr@verizon.net</w:t>
              </w:r>
            </w:hyperlink>
          </w:p>
          <w:p w14:paraId="1384E973" w14:textId="77777777" w:rsidR="00D3116E" w:rsidRPr="00251B0C" w:rsidRDefault="00D3116E" w:rsidP="00C075D7">
            <w:pPr>
              <w:rPr>
                <w:rFonts w:ascii="Times New Roman" w:hAnsi="Times New Roman" w:cs="Times New Roman"/>
                <w:color w:val="545454"/>
                <w:lang w:val="en"/>
              </w:rPr>
            </w:pPr>
          </w:p>
        </w:tc>
      </w:tr>
    </w:tbl>
    <w:p w14:paraId="3120CFAA" w14:textId="77777777" w:rsidR="002078A1" w:rsidRPr="00251B0C" w:rsidRDefault="002078A1" w:rsidP="008C6487">
      <w:pPr>
        <w:spacing w:before="120" w:after="120"/>
        <w:ind w:left="360"/>
        <w:rPr>
          <w:rFonts w:ascii="Times New Roman" w:hAnsi="Times New Roman" w:cs="Times New Roman"/>
          <w:b/>
          <w:sz w:val="24"/>
          <w:szCs w:val="24"/>
        </w:rPr>
      </w:pPr>
    </w:p>
    <w:p w14:paraId="52CB85FF" w14:textId="77777777" w:rsidR="008C6487" w:rsidRPr="00251B0C" w:rsidRDefault="00CD3DF3" w:rsidP="003200BD">
      <w:pPr>
        <w:pStyle w:val="TOC1"/>
      </w:pPr>
      <w:r w:rsidRPr="00251B0C">
        <w:t>Explanation of any Payment or Gift to Respondents</w:t>
      </w:r>
    </w:p>
    <w:p w14:paraId="64E06E49" w14:textId="01A3FB07" w:rsidR="00072CED" w:rsidRPr="00251B0C" w:rsidRDefault="00A04952" w:rsidP="00EF1D4C">
      <w:pPr>
        <w:pStyle w:val="TNR"/>
        <w:spacing w:before="120" w:after="120"/>
      </w:pPr>
      <w:r w:rsidRPr="00251B0C">
        <w:rPr>
          <w:color w:val="000000" w:themeColor="text1"/>
        </w:rPr>
        <w:t xml:space="preserve">In the proposed study, participation will be encouraged with the </w:t>
      </w:r>
      <w:r w:rsidR="00E16376" w:rsidRPr="00251B0C">
        <w:rPr>
          <w:color w:val="000000" w:themeColor="text1"/>
        </w:rPr>
        <w:t xml:space="preserve">token of appreciation </w:t>
      </w:r>
      <w:r w:rsidRPr="00251B0C">
        <w:rPr>
          <w:color w:val="000000" w:themeColor="text1"/>
        </w:rPr>
        <w:t xml:space="preserve">of $20 cash for providers who </w:t>
      </w:r>
      <w:r w:rsidR="00495438">
        <w:rPr>
          <w:color w:val="000000" w:themeColor="text1"/>
        </w:rPr>
        <w:t>complete</w:t>
      </w:r>
      <w:r w:rsidR="00FE1E33">
        <w:rPr>
          <w:color w:val="000000" w:themeColor="text1"/>
        </w:rPr>
        <w:t xml:space="preserve"> </w:t>
      </w:r>
      <w:r w:rsidRPr="00251B0C">
        <w:rPr>
          <w:color w:val="000000" w:themeColor="text1"/>
        </w:rPr>
        <w:t xml:space="preserve">the study. This small cash </w:t>
      </w:r>
      <w:r w:rsidR="00E16376" w:rsidRPr="00251B0C">
        <w:rPr>
          <w:color w:val="000000" w:themeColor="text1"/>
        </w:rPr>
        <w:t xml:space="preserve">token of appreciation </w:t>
      </w:r>
      <w:r w:rsidRPr="00251B0C">
        <w:rPr>
          <w:color w:val="000000" w:themeColor="text1"/>
        </w:rPr>
        <w:t>will be used to increase the response rate which will reduce the burden on other providers to complete the survey, lower survey costs, and still allow for enough data collection to perform rigorous statistical analyses. We have selected the use of a</w:t>
      </w:r>
      <w:r w:rsidR="00E16376" w:rsidRPr="00251B0C">
        <w:rPr>
          <w:color w:val="000000" w:themeColor="text1"/>
        </w:rPr>
        <w:t xml:space="preserve"> token of appreciation</w:t>
      </w:r>
      <w:r w:rsidRPr="00251B0C">
        <w:rPr>
          <w:color w:val="000000" w:themeColor="text1"/>
        </w:rPr>
        <w:t>, and the amount of $20, based on the literature and our previous research with providers</w:t>
      </w:r>
      <w:r w:rsidR="00BA7A49" w:rsidRPr="00251B0C">
        <w:rPr>
          <w:rStyle w:val="EndnoteReference"/>
        </w:rPr>
        <w:endnoteReference w:id="16"/>
      </w:r>
      <w:r w:rsidR="00BA7A49" w:rsidRPr="00251B0C">
        <w:rPr>
          <w:noProof/>
        </w:rPr>
        <w:t>.</w:t>
      </w:r>
      <w:r w:rsidRPr="00251B0C">
        <w:rPr>
          <w:color w:val="000000" w:themeColor="text1"/>
        </w:rPr>
        <w:t xml:space="preserve"> </w:t>
      </w:r>
      <w:r w:rsidR="00072CED" w:rsidRPr="00251B0C">
        <w:t xml:space="preserve">Research shows that offering nominal cash </w:t>
      </w:r>
      <w:r w:rsidR="00E16376" w:rsidRPr="00251B0C">
        <w:t xml:space="preserve">tokens of appreciation </w:t>
      </w:r>
      <w:r w:rsidR="00072CED" w:rsidRPr="00251B0C">
        <w:t xml:space="preserve">(&lt;$50) to providers recruited to complete online surveys yields greater response rate and decreased response time compared provider online surveys that offered no cash </w:t>
      </w:r>
      <w:r w:rsidR="00E16376" w:rsidRPr="00251B0C">
        <w:t>tokens of appreciation</w:t>
      </w:r>
      <w:r w:rsidR="004261F0" w:rsidRPr="00251B0C">
        <w:rPr>
          <w:rStyle w:val="EndnoteReference"/>
        </w:rPr>
        <w:endnoteReference w:id="17"/>
      </w:r>
      <w:r w:rsidR="004261F0" w:rsidRPr="00251B0C">
        <w:rPr>
          <w:noProof/>
        </w:rPr>
        <w:t>.</w:t>
      </w:r>
    </w:p>
    <w:p w14:paraId="10F3E0E1" w14:textId="77777777" w:rsidR="00BA7A49" w:rsidRPr="00251B0C" w:rsidRDefault="00A04952" w:rsidP="00575104">
      <w:pPr>
        <w:pStyle w:val="ListParagraph"/>
        <w:spacing w:before="120" w:after="120" w:line="240" w:lineRule="auto"/>
        <w:ind w:left="0"/>
        <w:contextualSpacing w:val="0"/>
        <w:rPr>
          <w:rFonts w:ascii="Times New Roman" w:hAnsi="Times New Roman" w:cs="Times New Roman"/>
          <w:color w:val="000000" w:themeColor="text1"/>
          <w:sz w:val="24"/>
          <w:szCs w:val="24"/>
        </w:rPr>
      </w:pPr>
      <w:r w:rsidRPr="00251B0C">
        <w:rPr>
          <w:rFonts w:ascii="Times New Roman" w:hAnsi="Times New Roman" w:cs="Times New Roman"/>
          <w:color w:val="000000" w:themeColor="text1"/>
          <w:sz w:val="24"/>
          <w:szCs w:val="24"/>
        </w:rPr>
        <w:t xml:space="preserve">In a previous, similar study of HIV </w:t>
      </w:r>
      <w:r w:rsidR="00A55C44" w:rsidRPr="00251B0C">
        <w:rPr>
          <w:rFonts w:ascii="Times New Roman" w:hAnsi="Times New Roman" w:cs="Times New Roman"/>
          <w:color w:val="000000" w:themeColor="text1"/>
          <w:sz w:val="24"/>
          <w:szCs w:val="24"/>
        </w:rPr>
        <w:t xml:space="preserve">specialist </w:t>
      </w:r>
      <w:r w:rsidRPr="00251B0C">
        <w:rPr>
          <w:rFonts w:ascii="Times New Roman" w:hAnsi="Times New Roman" w:cs="Times New Roman"/>
          <w:color w:val="000000" w:themeColor="text1"/>
          <w:sz w:val="24"/>
          <w:szCs w:val="24"/>
        </w:rPr>
        <w:t xml:space="preserve">providers </w:t>
      </w:r>
      <w:r w:rsidR="00A55C44" w:rsidRPr="00251B0C">
        <w:rPr>
          <w:rFonts w:ascii="Times New Roman" w:hAnsi="Times New Roman" w:cs="Times New Roman"/>
          <w:color w:val="000000" w:themeColor="text1"/>
          <w:sz w:val="24"/>
          <w:szCs w:val="24"/>
        </w:rPr>
        <w:t>(CDC’s HIV Medical</w:t>
      </w:r>
      <w:r w:rsidR="00C81524" w:rsidRPr="00251B0C">
        <w:rPr>
          <w:rFonts w:ascii="Times New Roman" w:hAnsi="Times New Roman" w:cs="Times New Roman"/>
          <w:color w:val="000000" w:themeColor="text1"/>
          <w:sz w:val="24"/>
          <w:szCs w:val="24"/>
        </w:rPr>
        <w:t xml:space="preserve"> Monitoring </w:t>
      </w:r>
      <w:r w:rsidR="00E471C2" w:rsidRPr="00251B0C">
        <w:rPr>
          <w:rFonts w:ascii="Times New Roman" w:hAnsi="Times New Roman" w:cs="Times New Roman"/>
          <w:color w:val="000000" w:themeColor="text1"/>
          <w:sz w:val="24"/>
          <w:szCs w:val="24"/>
        </w:rPr>
        <w:t>Project</w:t>
      </w:r>
      <w:r w:rsidR="00613C6E" w:rsidRPr="00251B0C">
        <w:rPr>
          <w:rFonts w:ascii="Times New Roman" w:hAnsi="Times New Roman" w:cs="Times New Roman"/>
          <w:color w:val="000000" w:themeColor="text1"/>
          <w:sz w:val="24"/>
          <w:szCs w:val="24"/>
        </w:rPr>
        <w:t>, OMB #0920-0740</w:t>
      </w:r>
      <w:r w:rsidR="00C81524" w:rsidRPr="00251B0C">
        <w:rPr>
          <w:rFonts w:ascii="Times New Roman" w:hAnsi="Times New Roman" w:cs="Times New Roman"/>
          <w:color w:val="000000" w:themeColor="text1"/>
          <w:sz w:val="24"/>
          <w:szCs w:val="24"/>
        </w:rPr>
        <w:t>)</w:t>
      </w:r>
      <w:r w:rsidR="00A55C44" w:rsidRPr="00251B0C">
        <w:rPr>
          <w:rFonts w:ascii="Times New Roman" w:hAnsi="Times New Roman" w:cs="Times New Roman"/>
          <w:color w:val="000000" w:themeColor="text1"/>
          <w:sz w:val="24"/>
          <w:szCs w:val="24"/>
        </w:rPr>
        <w:t xml:space="preserve"> </w:t>
      </w:r>
      <w:r w:rsidRPr="00251B0C">
        <w:rPr>
          <w:rFonts w:ascii="Times New Roman" w:hAnsi="Times New Roman" w:cs="Times New Roman"/>
          <w:color w:val="000000" w:themeColor="text1"/>
          <w:sz w:val="24"/>
          <w:szCs w:val="24"/>
        </w:rPr>
        <w:t>the use of $20 cash as a</w:t>
      </w:r>
      <w:r w:rsidR="00E16376" w:rsidRPr="00251B0C">
        <w:rPr>
          <w:rFonts w:ascii="Times New Roman" w:hAnsi="Times New Roman" w:cs="Times New Roman"/>
          <w:color w:val="000000" w:themeColor="text1"/>
          <w:sz w:val="24"/>
          <w:szCs w:val="24"/>
        </w:rPr>
        <w:t xml:space="preserve"> token of appreciation</w:t>
      </w:r>
      <w:r w:rsidR="00C075D7" w:rsidRPr="00251B0C">
        <w:rPr>
          <w:rFonts w:ascii="Times New Roman" w:hAnsi="Times New Roman" w:cs="Times New Roman"/>
          <w:color w:val="000000" w:themeColor="text1"/>
          <w:sz w:val="24"/>
          <w:szCs w:val="24"/>
        </w:rPr>
        <w:t xml:space="preserve"> </w:t>
      </w:r>
      <w:r w:rsidRPr="00251B0C">
        <w:rPr>
          <w:rFonts w:ascii="Times New Roman" w:hAnsi="Times New Roman" w:cs="Times New Roman"/>
          <w:color w:val="000000" w:themeColor="text1"/>
          <w:sz w:val="24"/>
          <w:szCs w:val="24"/>
        </w:rPr>
        <w:t xml:space="preserve">resulted in a </w:t>
      </w:r>
      <w:r w:rsidR="00521262" w:rsidRPr="00251B0C">
        <w:rPr>
          <w:rFonts w:ascii="Times New Roman" w:hAnsi="Times New Roman" w:cs="Times New Roman"/>
          <w:color w:val="000000" w:themeColor="text1"/>
          <w:sz w:val="24"/>
          <w:szCs w:val="24"/>
        </w:rPr>
        <w:t>64%</w:t>
      </w:r>
      <w:r w:rsidRPr="00251B0C">
        <w:rPr>
          <w:rFonts w:ascii="Times New Roman" w:hAnsi="Times New Roman" w:cs="Times New Roman"/>
          <w:color w:val="000000" w:themeColor="text1"/>
          <w:sz w:val="24"/>
          <w:szCs w:val="24"/>
        </w:rPr>
        <w:t xml:space="preserve"> response rate, as opposed to the typical </w:t>
      </w:r>
      <w:r w:rsidR="00521262" w:rsidRPr="00251B0C">
        <w:rPr>
          <w:rFonts w:ascii="Times New Roman" w:hAnsi="Times New Roman" w:cs="Times New Roman"/>
          <w:color w:val="000000" w:themeColor="text1"/>
          <w:sz w:val="24"/>
          <w:szCs w:val="24"/>
        </w:rPr>
        <w:t>5% to 10%</w:t>
      </w:r>
      <w:r w:rsidRPr="00251B0C">
        <w:rPr>
          <w:rFonts w:ascii="Times New Roman" w:hAnsi="Times New Roman" w:cs="Times New Roman"/>
          <w:color w:val="000000" w:themeColor="text1"/>
          <w:sz w:val="24"/>
          <w:szCs w:val="24"/>
        </w:rPr>
        <w:t xml:space="preserve"> response rate seen in health care providers</w:t>
      </w:r>
      <w:r w:rsidR="00521262" w:rsidRPr="00251B0C">
        <w:rPr>
          <w:rFonts w:ascii="Times New Roman" w:hAnsi="Times New Roman" w:cs="Times New Roman"/>
          <w:color w:val="000000" w:themeColor="text1"/>
          <w:sz w:val="24"/>
          <w:szCs w:val="24"/>
        </w:rPr>
        <w:t xml:space="preserve"> without </w:t>
      </w:r>
      <w:r w:rsidR="009C5DDD" w:rsidRPr="00251B0C">
        <w:rPr>
          <w:rFonts w:ascii="Times New Roman" w:hAnsi="Times New Roman" w:cs="Times New Roman"/>
          <w:color w:val="000000" w:themeColor="text1"/>
          <w:sz w:val="24"/>
          <w:szCs w:val="24"/>
        </w:rPr>
        <w:t>a token of appreciation</w:t>
      </w:r>
      <w:r w:rsidRPr="00251B0C">
        <w:rPr>
          <w:rFonts w:ascii="Times New Roman" w:hAnsi="Times New Roman" w:cs="Times New Roman"/>
          <w:color w:val="000000" w:themeColor="text1"/>
          <w:sz w:val="24"/>
          <w:szCs w:val="24"/>
        </w:rPr>
        <w:t xml:space="preserve">. </w:t>
      </w:r>
      <w:r w:rsidR="00521262" w:rsidRPr="00251B0C">
        <w:rPr>
          <w:rFonts w:ascii="Times New Roman" w:hAnsi="Times New Roman" w:cs="Times New Roman"/>
          <w:color w:val="000000" w:themeColor="text1"/>
          <w:sz w:val="24"/>
          <w:szCs w:val="24"/>
        </w:rPr>
        <w:t xml:space="preserve">The </w:t>
      </w:r>
      <w:r w:rsidR="00E16376" w:rsidRPr="00251B0C">
        <w:rPr>
          <w:rFonts w:ascii="Times New Roman" w:hAnsi="Times New Roman" w:cs="Times New Roman"/>
          <w:color w:val="000000" w:themeColor="text1"/>
          <w:sz w:val="24"/>
          <w:szCs w:val="24"/>
        </w:rPr>
        <w:t xml:space="preserve">token of appreciation </w:t>
      </w:r>
      <w:r w:rsidR="00A34131" w:rsidRPr="00251B0C">
        <w:rPr>
          <w:rFonts w:ascii="Times New Roman" w:hAnsi="Times New Roman" w:cs="Times New Roman"/>
          <w:color w:val="000000" w:themeColor="text1"/>
          <w:sz w:val="24"/>
          <w:szCs w:val="24"/>
        </w:rPr>
        <w:t xml:space="preserve">presents </w:t>
      </w:r>
      <w:r w:rsidR="00521262" w:rsidRPr="00251B0C">
        <w:rPr>
          <w:rFonts w:ascii="Times New Roman" w:hAnsi="Times New Roman" w:cs="Times New Roman"/>
          <w:color w:val="000000" w:themeColor="text1"/>
          <w:sz w:val="24"/>
          <w:szCs w:val="24"/>
        </w:rPr>
        <w:t xml:space="preserve">no known risks or expected discomfort associated with taking the survey. </w:t>
      </w:r>
      <w:r w:rsidRPr="00251B0C">
        <w:rPr>
          <w:rFonts w:ascii="Times New Roman" w:hAnsi="Times New Roman" w:cs="Times New Roman"/>
          <w:color w:val="000000" w:themeColor="text1"/>
          <w:sz w:val="24"/>
          <w:szCs w:val="24"/>
        </w:rPr>
        <w:t xml:space="preserve">The use of </w:t>
      </w:r>
      <w:r w:rsidR="00E16376" w:rsidRPr="00251B0C">
        <w:rPr>
          <w:rFonts w:ascii="Times New Roman" w:hAnsi="Times New Roman" w:cs="Times New Roman"/>
          <w:color w:val="000000" w:themeColor="text1"/>
          <w:sz w:val="24"/>
          <w:szCs w:val="24"/>
        </w:rPr>
        <w:t xml:space="preserve">tokens of appreciation </w:t>
      </w:r>
      <w:r w:rsidRPr="00251B0C">
        <w:rPr>
          <w:rFonts w:ascii="Times New Roman" w:hAnsi="Times New Roman" w:cs="Times New Roman"/>
          <w:color w:val="000000" w:themeColor="text1"/>
          <w:sz w:val="24"/>
          <w:szCs w:val="24"/>
        </w:rPr>
        <w:t>in the proposed study is even more important as Primary Care Providers may be less inclined to participate as the subject matter is outside of their daily care routine.</w:t>
      </w:r>
      <w:r w:rsidR="00BA7A49" w:rsidRPr="00251B0C">
        <w:rPr>
          <w:rFonts w:ascii="Times New Roman" w:hAnsi="Times New Roman" w:cs="Times New Roman"/>
          <w:color w:val="000000" w:themeColor="text1"/>
          <w:sz w:val="24"/>
          <w:szCs w:val="24"/>
        </w:rPr>
        <w:t xml:space="preserve"> </w:t>
      </w:r>
    </w:p>
    <w:p w14:paraId="7706E2F7" w14:textId="77777777" w:rsidR="00CD3DF3" w:rsidRPr="00251B0C" w:rsidRDefault="00BA7A49" w:rsidP="00575104">
      <w:pPr>
        <w:pStyle w:val="ListParagraph"/>
        <w:spacing w:before="120" w:after="120" w:line="240" w:lineRule="auto"/>
        <w:ind w:left="0"/>
        <w:contextualSpacing w:val="0"/>
        <w:rPr>
          <w:rFonts w:ascii="Times New Roman" w:hAnsi="Times New Roman" w:cs="Times New Roman"/>
          <w:color w:val="000000" w:themeColor="text1"/>
          <w:sz w:val="24"/>
          <w:szCs w:val="24"/>
        </w:rPr>
      </w:pPr>
      <w:r w:rsidRPr="00251B0C">
        <w:rPr>
          <w:rFonts w:ascii="Times New Roman" w:hAnsi="Times New Roman" w:cs="Times New Roman"/>
          <w:sz w:val="24"/>
          <w:szCs w:val="24"/>
        </w:rPr>
        <w:lastRenderedPageBreak/>
        <w:t>This small cash token of appreciation will be used to increase the response rate which will reduce the burden on other providers to complete the survey, lower survey costs, and still allow for enough data collection to perform rigorous statistical analyses.</w:t>
      </w:r>
    </w:p>
    <w:p w14:paraId="5E3E05A8" w14:textId="77777777" w:rsidR="00CD3DF3" w:rsidRPr="00251B0C" w:rsidRDefault="00CD3DF3" w:rsidP="00CD3DF3">
      <w:pPr>
        <w:spacing w:before="120" w:after="120"/>
        <w:rPr>
          <w:rFonts w:ascii="Times New Roman" w:hAnsi="Times New Roman" w:cs="Times New Roman"/>
          <w:color w:val="000000" w:themeColor="text1"/>
          <w:sz w:val="24"/>
          <w:szCs w:val="24"/>
        </w:rPr>
      </w:pPr>
    </w:p>
    <w:p w14:paraId="0C6BD57A" w14:textId="77777777" w:rsidR="00CD3DF3" w:rsidRPr="00CB5092" w:rsidRDefault="00CD3DF3" w:rsidP="003200BD">
      <w:pPr>
        <w:pStyle w:val="TOC1"/>
      </w:pPr>
      <w:r w:rsidRPr="00CB5092">
        <w:t>Protection of the Privacy and Confidentiality of Information Provided by  Respondents</w:t>
      </w:r>
    </w:p>
    <w:p w14:paraId="1FE95BD3" w14:textId="77777777" w:rsidR="00CD3DF3" w:rsidRPr="00251B0C" w:rsidRDefault="00CD3DF3" w:rsidP="00CD3DF3">
      <w:pPr>
        <w:spacing w:after="0" w:line="240" w:lineRule="auto"/>
        <w:rPr>
          <w:rFonts w:ascii="Times New Roman" w:hAnsi="Times New Roman" w:cs="Times New Roman"/>
          <w:sz w:val="24"/>
          <w:szCs w:val="24"/>
        </w:rPr>
      </w:pPr>
      <w:bookmarkStart w:id="1" w:name="_GoBack"/>
      <w:bookmarkEnd w:id="1"/>
    </w:p>
    <w:p w14:paraId="1382995F" w14:textId="55A26C72" w:rsidR="0000258F" w:rsidRDefault="006A6243" w:rsidP="0000258F">
      <w:pPr>
        <w:pStyle w:val="Default"/>
      </w:pPr>
      <w:r w:rsidRPr="006A6243">
        <w:t xml:space="preserve">The CDC NCHHSTP Privacy and Confidentiality Review Officer has assessed this package for applicability of 5 U.S.C. § 552a, and has determined that the Privacy Act does not apply to the information collection.  The proposed primary care provider survey does not involve the collection of personally identifiable information (PII) or data elements from participants.  CDC will receive de-identified data from the contractor, no names or PII will be received by CDC nor stored in a system of records at CDC.       </w:t>
      </w:r>
    </w:p>
    <w:p w14:paraId="57CCE6F1" w14:textId="14427AA6" w:rsidR="0000258F" w:rsidRDefault="000B2F66" w:rsidP="0000258F">
      <w:pPr>
        <w:pStyle w:val="Default"/>
      </w:pPr>
      <w:r w:rsidRPr="00251B0C">
        <w:t xml:space="preserve"> </w:t>
      </w:r>
    </w:p>
    <w:p w14:paraId="120BAB9C" w14:textId="77777777" w:rsidR="0000258F" w:rsidRDefault="0000258F" w:rsidP="0000258F">
      <w:pPr>
        <w:pStyle w:val="Default"/>
      </w:pPr>
      <w:r w:rsidRPr="0000258F">
        <w:t>The collected data will be compiled from the provider survey into a dataset with a data dictionary using commercially available SAS Institute Inc. (SAS) © software. The data will be stored on Altarum computers using whole-disk encryption. Additionally, Altarum hosts all survey data on the Altarum Secure Network (ASN), which is a highly secure network used to store CDC, Department of Defense (DoD), and Veterans Administration (VA) data. The ASN is firewalled from outside access and requires two-factor authentication by select Altarum employees. The datasets shall be delivered to the CDC Project Officer(s) on a monthly basis, using a secure method of data transfer consistent with CDC Information Technology Security protocols. The data will be stored on Altarum computers using whole-disk encryption.</w:t>
      </w:r>
    </w:p>
    <w:p w14:paraId="31909354" w14:textId="77777777" w:rsidR="0000258F" w:rsidRDefault="0000258F" w:rsidP="0000258F">
      <w:pPr>
        <w:pStyle w:val="Default"/>
      </w:pPr>
    </w:p>
    <w:p w14:paraId="277F58F3" w14:textId="64C3408F" w:rsidR="00F47C9E" w:rsidRDefault="00622382" w:rsidP="0000258F">
      <w:pPr>
        <w:pStyle w:val="Default"/>
      </w:pPr>
      <w:r w:rsidRPr="0000258F">
        <w:t>Privacy will be maintained to the extent allowable by law. When participants login into the online survey, they will receive the same message letting them know their responses will remain private.  Individuals that will be calling non-respondents to remind them about the survey will read the same privacy statement in the letter and email contacts to the respondent.</w:t>
      </w:r>
      <w:r w:rsidR="00F47C9E" w:rsidRPr="0000258F">
        <w:t xml:space="preserve"> All collected data will be maintained on the Altarum Security Network (ASN). The ASN is a secure network segment/enclave of systems used for collecting, storing, and manipulating sensitive (i.e., protected health information (PHI) and personally identifiable information (PII)) data used in analyses. The storage of such data must meet all applicable security requirements</w:t>
      </w:r>
      <w:r w:rsidR="00613C6E" w:rsidRPr="0000258F">
        <w:t xml:space="preserve"> (</w:t>
      </w:r>
      <w:r w:rsidR="006E328A" w:rsidRPr="0000258F">
        <w:rPr>
          <w:b/>
        </w:rPr>
        <w:t>A</w:t>
      </w:r>
      <w:r w:rsidR="00613C6E" w:rsidRPr="0000258F">
        <w:rPr>
          <w:b/>
        </w:rPr>
        <w:t>ttachment 8</w:t>
      </w:r>
      <w:r w:rsidR="00613C6E" w:rsidRPr="0000258F">
        <w:t>)</w:t>
      </w:r>
      <w:r w:rsidR="00F47C9E" w:rsidRPr="0000258F">
        <w:t xml:space="preserve">. The ASN is used for contracts where security and controlled network access are key requirements. Once data are collected from participants, PII and PHI (though minimal) are immediately de-linked from dataset. All PII and PHI are held securely within the ASN. At the end of the contract, or no later than December 2020 after completion of data cleaning and analyses, Altarum will securely erase all PII, PHI and survey responses from ASN. </w:t>
      </w:r>
    </w:p>
    <w:p w14:paraId="5B843572" w14:textId="77777777" w:rsidR="00510BCF" w:rsidRPr="00251B0C" w:rsidRDefault="00510BCF" w:rsidP="00E560C3">
      <w:pPr>
        <w:spacing w:before="120" w:after="120"/>
        <w:ind w:left="720"/>
        <w:rPr>
          <w:rFonts w:ascii="Times New Roman" w:hAnsi="Times New Roman" w:cs="Times New Roman"/>
          <w:sz w:val="24"/>
          <w:szCs w:val="24"/>
        </w:rPr>
      </w:pPr>
    </w:p>
    <w:p w14:paraId="7A034814" w14:textId="77777777" w:rsidR="008C6487" w:rsidRPr="00251B0C" w:rsidRDefault="00535951" w:rsidP="003200BD">
      <w:pPr>
        <w:pStyle w:val="TOC1"/>
      </w:pPr>
      <w:r w:rsidRPr="00251B0C">
        <w:t>Institutional Review Board (IRB) and Justification for Sensitive Questions</w:t>
      </w:r>
    </w:p>
    <w:p w14:paraId="6AF11628" w14:textId="77777777" w:rsidR="00E63153" w:rsidRPr="00251B0C" w:rsidRDefault="00E63153" w:rsidP="000918FE">
      <w:pPr>
        <w:spacing w:before="120" w:after="120"/>
        <w:rPr>
          <w:rFonts w:ascii="Times New Roman" w:hAnsi="Times New Roman" w:cs="Times New Roman"/>
          <w:sz w:val="24"/>
          <w:szCs w:val="24"/>
          <w:u w:val="single"/>
        </w:rPr>
      </w:pPr>
      <w:r w:rsidRPr="00251B0C">
        <w:rPr>
          <w:rFonts w:ascii="Times New Roman" w:hAnsi="Times New Roman" w:cs="Times New Roman"/>
          <w:sz w:val="24"/>
          <w:szCs w:val="24"/>
          <w:u w:val="single"/>
        </w:rPr>
        <w:t>IRB Approval</w:t>
      </w:r>
    </w:p>
    <w:p w14:paraId="3DEBF624" w14:textId="77777777" w:rsidR="00FC4BB9" w:rsidRPr="00251B0C" w:rsidRDefault="00E63153" w:rsidP="000918FE">
      <w:pPr>
        <w:spacing w:after="0" w:line="240" w:lineRule="auto"/>
        <w:rPr>
          <w:rFonts w:ascii="Times New Roman" w:hAnsi="Times New Roman" w:cs="Times New Roman"/>
          <w:sz w:val="24"/>
          <w:szCs w:val="24"/>
        </w:rPr>
      </w:pPr>
      <w:r w:rsidRPr="00251B0C">
        <w:rPr>
          <w:rFonts w:ascii="Times New Roman" w:hAnsi="Times New Roman" w:cs="Times New Roman"/>
          <w:sz w:val="24"/>
          <w:szCs w:val="24"/>
        </w:rPr>
        <w:t xml:space="preserve">The protocol for K-BAP </w:t>
      </w:r>
      <w:r w:rsidR="007F6D49" w:rsidRPr="00251B0C">
        <w:rPr>
          <w:rFonts w:ascii="Times New Roman" w:hAnsi="Times New Roman" w:cs="Times New Roman"/>
          <w:sz w:val="24"/>
          <w:szCs w:val="24"/>
        </w:rPr>
        <w:t xml:space="preserve">Study </w:t>
      </w:r>
      <w:r w:rsidR="005245AD" w:rsidRPr="00251B0C">
        <w:rPr>
          <w:rFonts w:ascii="Times New Roman" w:hAnsi="Times New Roman" w:cs="Times New Roman"/>
          <w:sz w:val="24"/>
          <w:szCs w:val="24"/>
        </w:rPr>
        <w:t xml:space="preserve">has been reviewed by CDC and approved </w:t>
      </w:r>
      <w:r w:rsidRPr="00251B0C">
        <w:rPr>
          <w:rFonts w:ascii="Times New Roman" w:hAnsi="Times New Roman" w:cs="Times New Roman"/>
          <w:sz w:val="24"/>
          <w:szCs w:val="24"/>
        </w:rPr>
        <w:t xml:space="preserve">by </w:t>
      </w:r>
      <w:r w:rsidR="005C3852" w:rsidRPr="00251B0C">
        <w:rPr>
          <w:rFonts w:ascii="Times New Roman" w:hAnsi="Times New Roman" w:cs="Times New Roman"/>
          <w:sz w:val="24"/>
          <w:szCs w:val="24"/>
        </w:rPr>
        <w:t>Chesapeake IRB (</w:t>
      </w:r>
      <w:hyperlink r:id="rId12" w:history="1">
        <w:r w:rsidR="005C3852" w:rsidRPr="00251B0C">
          <w:rPr>
            <w:rStyle w:val="Hyperlink"/>
            <w:rFonts w:ascii="Times New Roman" w:hAnsi="Times New Roman" w:cs="Times New Roman"/>
            <w:sz w:val="24"/>
            <w:szCs w:val="24"/>
          </w:rPr>
          <w:t>https://www.chesapeakeirb.com</w:t>
        </w:r>
      </w:hyperlink>
      <w:r w:rsidR="005C3852" w:rsidRPr="00251B0C">
        <w:rPr>
          <w:rFonts w:ascii="Times New Roman" w:hAnsi="Times New Roman" w:cs="Times New Roman"/>
          <w:sz w:val="24"/>
          <w:szCs w:val="24"/>
        </w:rPr>
        <w:t xml:space="preserve">), a third-party review board accredited by the Association for the Accreditation of Human Research Protection Programs (AAHRPP) </w:t>
      </w:r>
      <w:r w:rsidR="00422043" w:rsidRPr="00251B0C">
        <w:rPr>
          <w:rFonts w:ascii="Times New Roman" w:hAnsi="Times New Roman" w:cs="Times New Roman"/>
          <w:sz w:val="24"/>
          <w:szCs w:val="24"/>
        </w:rPr>
        <w:t>(</w:t>
      </w:r>
      <w:r w:rsidRPr="00251B0C">
        <w:rPr>
          <w:rFonts w:ascii="Times New Roman" w:hAnsi="Times New Roman" w:cs="Times New Roman"/>
          <w:b/>
          <w:sz w:val="24"/>
          <w:szCs w:val="24"/>
        </w:rPr>
        <w:t xml:space="preserve">Attachment </w:t>
      </w:r>
      <w:r w:rsidR="00AF713B" w:rsidRPr="00251B0C">
        <w:rPr>
          <w:rFonts w:ascii="Times New Roman" w:hAnsi="Times New Roman" w:cs="Times New Roman"/>
          <w:b/>
          <w:sz w:val="24"/>
          <w:szCs w:val="24"/>
        </w:rPr>
        <w:t>6</w:t>
      </w:r>
      <w:r w:rsidR="00422043" w:rsidRPr="00251B0C">
        <w:rPr>
          <w:rFonts w:ascii="Times New Roman" w:hAnsi="Times New Roman" w:cs="Times New Roman"/>
          <w:b/>
          <w:sz w:val="24"/>
          <w:szCs w:val="24"/>
        </w:rPr>
        <w:t>)</w:t>
      </w:r>
      <w:r w:rsidRPr="00251B0C">
        <w:rPr>
          <w:rFonts w:ascii="Times New Roman" w:hAnsi="Times New Roman" w:cs="Times New Roman"/>
          <w:sz w:val="24"/>
          <w:szCs w:val="24"/>
        </w:rPr>
        <w:t xml:space="preserve">. The IRB-approved surveys are included as </w:t>
      </w:r>
      <w:r w:rsidR="00422043" w:rsidRPr="00251B0C">
        <w:rPr>
          <w:rFonts w:ascii="Times New Roman" w:hAnsi="Times New Roman" w:cs="Times New Roman"/>
          <w:b/>
          <w:sz w:val="24"/>
          <w:szCs w:val="24"/>
        </w:rPr>
        <w:t>A</w:t>
      </w:r>
      <w:r w:rsidRPr="00251B0C">
        <w:rPr>
          <w:rFonts w:ascii="Times New Roman" w:hAnsi="Times New Roman" w:cs="Times New Roman"/>
          <w:b/>
          <w:sz w:val="24"/>
          <w:szCs w:val="24"/>
        </w:rPr>
        <w:t>ttachments 3</w:t>
      </w:r>
      <w:r w:rsidR="00AF713B" w:rsidRPr="00251B0C">
        <w:rPr>
          <w:rFonts w:ascii="Times New Roman" w:hAnsi="Times New Roman" w:cs="Times New Roman"/>
          <w:b/>
          <w:sz w:val="24"/>
          <w:szCs w:val="24"/>
        </w:rPr>
        <w:t>a</w:t>
      </w:r>
      <w:r w:rsidRPr="00251B0C">
        <w:rPr>
          <w:rFonts w:ascii="Times New Roman" w:hAnsi="Times New Roman" w:cs="Times New Roman"/>
          <w:b/>
          <w:sz w:val="24"/>
          <w:szCs w:val="24"/>
        </w:rPr>
        <w:t xml:space="preserve"> and 3</w:t>
      </w:r>
      <w:r w:rsidR="00AF713B" w:rsidRPr="00251B0C">
        <w:rPr>
          <w:rFonts w:ascii="Times New Roman" w:hAnsi="Times New Roman" w:cs="Times New Roman"/>
          <w:b/>
          <w:sz w:val="24"/>
          <w:szCs w:val="24"/>
        </w:rPr>
        <w:t>b</w:t>
      </w:r>
      <w:r w:rsidRPr="00251B0C">
        <w:rPr>
          <w:rFonts w:ascii="Times New Roman" w:hAnsi="Times New Roman" w:cs="Times New Roman"/>
          <w:sz w:val="24"/>
          <w:szCs w:val="24"/>
        </w:rPr>
        <w:t xml:space="preserve">. </w:t>
      </w:r>
      <w:r w:rsidR="00150EB9" w:rsidRPr="00251B0C">
        <w:rPr>
          <w:rFonts w:ascii="Times New Roman" w:hAnsi="Times New Roman" w:cs="Times New Roman"/>
          <w:sz w:val="24"/>
          <w:szCs w:val="24"/>
        </w:rPr>
        <w:t xml:space="preserve">The survey contains questions </w:t>
      </w:r>
      <w:r w:rsidR="00150EB9" w:rsidRPr="00251B0C">
        <w:rPr>
          <w:rFonts w:ascii="Times New Roman" w:hAnsi="Times New Roman" w:cs="Times New Roman"/>
          <w:sz w:val="24"/>
          <w:szCs w:val="24"/>
        </w:rPr>
        <w:lastRenderedPageBreak/>
        <w:t xml:space="preserve">about providers’ knowledge, </w:t>
      </w:r>
      <w:r w:rsidR="00521262" w:rsidRPr="00251B0C">
        <w:rPr>
          <w:rFonts w:ascii="Times New Roman" w:hAnsi="Times New Roman" w:cs="Times New Roman"/>
          <w:sz w:val="24"/>
          <w:szCs w:val="24"/>
        </w:rPr>
        <w:t xml:space="preserve">beliefs, </w:t>
      </w:r>
      <w:r w:rsidR="00150EB9" w:rsidRPr="00251B0C">
        <w:rPr>
          <w:rFonts w:ascii="Times New Roman" w:hAnsi="Times New Roman" w:cs="Times New Roman"/>
          <w:sz w:val="24"/>
          <w:szCs w:val="24"/>
        </w:rPr>
        <w:t xml:space="preserve">attitudes, </w:t>
      </w:r>
      <w:r w:rsidR="00521262" w:rsidRPr="00251B0C">
        <w:rPr>
          <w:rFonts w:ascii="Times New Roman" w:hAnsi="Times New Roman" w:cs="Times New Roman"/>
          <w:sz w:val="24"/>
          <w:szCs w:val="24"/>
        </w:rPr>
        <w:t xml:space="preserve">and </w:t>
      </w:r>
      <w:r w:rsidR="00150EB9" w:rsidRPr="00251B0C">
        <w:rPr>
          <w:rFonts w:ascii="Times New Roman" w:hAnsi="Times New Roman" w:cs="Times New Roman"/>
          <w:sz w:val="24"/>
          <w:szCs w:val="24"/>
        </w:rPr>
        <w:t>practices surrounding HIV prevention and care. Participants will be notified that their participation is voluntary</w:t>
      </w:r>
      <w:r w:rsidR="00535951" w:rsidRPr="00251B0C">
        <w:rPr>
          <w:rFonts w:ascii="Times New Roman" w:hAnsi="Times New Roman" w:cs="Times New Roman"/>
          <w:sz w:val="24"/>
          <w:szCs w:val="24"/>
        </w:rPr>
        <w:t xml:space="preserve"> </w:t>
      </w:r>
      <w:r w:rsidR="00150EB9" w:rsidRPr="00251B0C">
        <w:rPr>
          <w:rFonts w:ascii="Times New Roman" w:hAnsi="Times New Roman" w:cs="Times New Roman"/>
          <w:sz w:val="24"/>
          <w:szCs w:val="24"/>
        </w:rPr>
        <w:t xml:space="preserve">and their name will never be linked to their survey responses. </w:t>
      </w:r>
      <w:r w:rsidR="00535951" w:rsidRPr="00251B0C">
        <w:rPr>
          <w:rFonts w:ascii="Times New Roman" w:hAnsi="Times New Roman" w:cs="Times New Roman"/>
          <w:sz w:val="24"/>
          <w:szCs w:val="24"/>
        </w:rPr>
        <w:t xml:space="preserve">Privacy will be maintained to the extent allowable by law. </w:t>
      </w:r>
      <w:r w:rsidR="00150EB9" w:rsidRPr="00251B0C">
        <w:rPr>
          <w:rFonts w:ascii="Times New Roman" w:hAnsi="Times New Roman" w:cs="Times New Roman"/>
          <w:sz w:val="24"/>
          <w:szCs w:val="24"/>
        </w:rPr>
        <w:t xml:space="preserve">In turn, all </w:t>
      </w:r>
      <w:r w:rsidR="00521262" w:rsidRPr="00251B0C">
        <w:rPr>
          <w:rFonts w:ascii="Times New Roman" w:hAnsi="Times New Roman" w:cs="Times New Roman"/>
          <w:sz w:val="24"/>
          <w:szCs w:val="24"/>
        </w:rPr>
        <w:t>results</w:t>
      </w:r>
      <w:r w:rsidR="00150EB9" w:rsidRPr="00251B0C">
        <w:rPr>
          <w:rFonts w:ascii="Times New Roman" w:hAnsi="Times New Roman" w:cs="Times New Roman"/>
          <w:sz w:val="24"/>
          <w:szCs w:val="24"/>
        </w:rPr>
        <w:t xml:space="preserve"> will be presented as aggregates</w:t>
      </w:r>
      <w:r w:rsidR="00521262" w:rsidRPr="00251B0C">
        <w:rPr>
          <w:rFonts w:ascii="Times New Roman" w:hAnsi="Times New Roman" w:cs="Times New Roman"/>
          <w:sz w:val="24"/>
          <w:szCs w:val="24"/>
        </w:rPr>
        <w:t xml:space="preserve"> and not as individual responses</w:t>
      </w:r>
      <w:r w:rsidR="00150EB9" w:rsidRPr="00251B0C">
        <w:rPr>
          <w:rFonts w:ascii="Times New Roman" w:hAnsi="Times New Roman" w:cs="Times New Roman"/>
          <w:sz w:val="24"/>
          <w:szCs w:val="24"/>
        </w:rPr>
        <w:t>.</w:t>
      </w:r>
      <w:r w:rsidR="00AA2344" w:rsidRPr="00251B0C">
        <w:rPr>
          <w:rFonts w:ascii="Times New Roman" w:hAnsi="Times New Roman" w:cs="Times New Roman"/>
          <w:sz w:val="24"/>
          <w:szCs w:val="24"/>
        </w:rPr>
        <w:t xml:space="preserve"> </w:t>
      </w:r>
      <w:r w:rsidR="00FC4BB9" w:rsidRPr="00251B0C">
        <w:rPr>
          <w:rFonts w:ascii="Times New Roman" w:hAnsi="Times New Roman" w:cs="Times New Roman"/>
          <w:sz w:val="24"/>
          <w:szCs w:val="24"/>
        </w:rPr>
        <w:t xml:space="preserve">Obtaining written informed consent from all eligible participants would be cost and time prohibitive. </w:t>
      </w:r>
      <w:r w:rsidR="00535951" w:rsidRPr="00251B0C">
        <w:rPr>
          <w:rFonts w:ascii="Times New Roman" w:hAnsi="Times New Roman" w:cs="Times New Roman"/>
          <w:sz w:val="24"/>
          <w:szCs w:val="24"/>
        </w:rPr>
        <w:t xml:space="preserve">We will provide </w:t>
      </w:r>
      <w:r w:rsidR="00AF713B" w:rsidRPr="00251B0C">
        <w:rPr>
          <w:rFonts w:ascii="Times New Roman" w:hAnsi="Times New Roman" w:cs="Times New Roman"/>
          <w:sz w:val="24"/>
          <w:szCs w:val="24"/>
        </w:rPr>
        <w:t xml:space="preserve">study information to the </w:t>
      </w:r>
      <w:r w:rsidR="00535951" w:rsidRPr="00251B0C">
        <w:rPr>
          <w:rFonts w:ascii="Times New Roman" w:hAnsi="Times New Roman" w:cs="Times New Roman"/>
          <w:sz w:val="24"/>
          <w:szCs w:val="24"/>
        </w:rPr>
        <w:t>participant</w:t>
      </w:r>
      <w:r w:rsidR="00AF713B" w:rsidRPr="00251B0C">
        <w:rPr>
          <w:rFonts w:ascii="Times New Roman" w:hAnsi="Times New Roman" w:cs="Times New Roman"/>
          <w:sz w:val="24"/>
          <w:szCs w:val="24"/>
        </w:rPr>
        <w:t>s</w:t>
      </w:r>
      <w:r w:rsidR="00DE3939" w:rsidRPr="00251B0C">
        <w:rPr>
          <w:rFonts w:ascii="Times New Roman" w:hAnsi="Times New Roman" w:cs="Times New Roman"/>
          <w:sz w:val="24"/>
          <w:szCs w:val="24"/>
        </w:rPr>
        <w:t xml:space="preserve"> </w:t>
      </w:r>
      <w:r w:rsidR="00535951" w:rsidRPr="00251B0C">
        <w:rPr>
          <w:rFonts w:ascii="Times New Roman" w:hAnsi="Times New Roman" w:cs="Times New Roman"/>
          <w:sz w:val="24"/>
          <w:szCs w:val="24"/>
        </w:rPr>
        <w:t xml:space="preserve">in the </w:t>
      </w:r>
      <w:r w:rsidR="00DE3939" w:rsidRPr="00251B0C">
        <w:rPr>
          <w:rFonts w:ascii="Times New Roman" w:hAnsi="Times New Roman" w:cs="Times New Roman"/>
          <w:sz w:val="24"/>
          <w:szCs w:val="24"/>
        </w:rPr>
        <w:t>email recruitment letter</w:t>
      </w:r>
      <w:r w:rsidR="00535951" w:rsidRPr="00251B0C">
        <w:rPr>
          <w:rFonts w:ascii="Times New Roman" w:hAnsi="Times New Roman" w:cs="Times New Roman"/>
          <w:sz w:val="24"/>
          <w:szCs w:val="24"/>
        </w:rPr>
        <w:t xml:space="preserve"> (</w:t>
      </w:r>
      <w:r w:rsidR="00422043" w:rsidRPr="00251B0C">
        <w:rPr>
          <w:rFonts w:ascii="Times New Roman" w:hAnsi="Times New Roman" w:cs="Times New Roman"/>
          <w:b/>
          <w:sz w:val="24"/>
          <w:szCs w:val="24"/>
        </w:rPr>
        <w:t>A</w:t>
      </w:r>
      <w:r w:rsidR="00912ABF" w:rsidRPr="00251B0C">
        <w:rPr>
          <w:rFonts w:ascii="Times New Roman" w:hAnsi="Times New Roman" w:cs="Times New Roman"/>
          <w:b/>
          <w:sz w:val="24"/>
          <w:szCs w:val="24"/>
        </w:rPr>
        <w:t>ttachment</w:t>
      </w:r>
      <w:r w:rsidR="00535951" w:rsidRPr="00251B0C">
        <w:rPr>
          <w:rFonts w:ascii="Times New Roman" w:hAnsi="Times New Roman" w:cs="Times New Roman"/>
          <w:b/>
          <w:sz w:val="24"/>
          <w:szCs w:val="24"/>
        </w:rPr>
        <w:t xml:space="preserve"> </w:t>
      </w:r>
      <w:r w:rsidR="00DE3939" w:rsidRPr="00251B0C">
        <w:rPr>
          <w:rFonts w:ascii="Times New Roman" w:hAnsi="Times New Roman" w:cs="Times New Roman"/>
          <w:b/>
          <w:sz w:val="24"/>
          <w:szCs w:val="24"/>
        </w:rPr>
        <w:t>5</w:t>
      </w:r>
      <w:r w:rsidR="004B1A32" w:rsidRPr="00251B0C">
        <w:rPr>
          <w:rFonts w:ascii="Times New Roman" w:hAnsi="Times New Roman" w:cs="Times New Roman"/>
          <w:b/>
          <w:sz w:val="24"/>
          <w:szCs w:val="24"/>
        </w:rPr>
        <w:t>a</w:t>
      </w:r>
      <w:r w:rsidR="00535951" w:rsidRPr="00251B0C">
        <w:rPr>
          <w:rFonts w:ascii="Times New Roman" w:hAnsi="Times New Roman" w:cs="Times New Roman"/>
          <w:sz w:val="24"/>
          <w:szCs w:val="24"/>
        </w:rPr>
        <w:t xml:space="preserve">) and </w:t>
      </w:r>
      <w:r w:rsidR="00DE3939" w:rsidRPr="00251B0C">
        <w:rPr>
          <w:rFonts w:ascii="Times New Roman" w:hAnsi="Times New Roman" w:cs="Times New Roman"/>
          <w:sz w:val="24"/>
          <w:szCs w:val="24"/>
        </w:rPr>
        <w:t>c</w:t>
      </w:r>
      <w:r w:rsidR="00535951" w:rsidRPr="00251B0C">
        <w:rPr>
          <w:rFonts w:ascii="Times New Roman" w:hAnsi="Times New Roman" w:cs="Times New Roman"/>
          <w:sz w:val="24"/>
          <w:szCs w:val="24"/>
        </w:rPr>
        <w:t xml:space="preserve">onsent </w:t>
      </w:r>
      <w:r w:rsidR="00DE3939" w:rsidRPr="00251B0C">
        <w:rPr>
          <w:rFonts w:ascii="Times New Roman" w:hAnsi="Times New Roman" w:cs="Times New Roman"/>
          <w:sz w:val="24"/>
          <w:szCs w:val="24"/>
        </w:rPr>
        <w:t>c</w:t>
      </w:r>
      <w:r w:rsidR="00535951" w:rsidRPr="00251B0C">
        <w:rPr>
          <w:rFonts w:ascii="Times New Roman" w:hAnsi="Times New Roman" w:cs="Times New Roman"/>
          <w:sz w:val="24"/>
          <w:szCs w:val="24"/>
        </w:rPr>
        <w:t xml:space="preserve">over </w:t>
      </w:r>
      <w:r w:rsidR="00DE3939" w:rsidRPr="00251B0C">
        <w:rPr>
          <w:rFonts w:ascii="Times New Roman" w:hAnsi="Times New Roman" w:cs="Times New Roman"/>
          <w:sz w:val="24"/>
          <w:szCs w:val="24"/>
        </w:rPr>
        <w:t>l</w:t>
      </w:r>
      <w:r w:rsidR="00535951" w:rsidRPr="00251B0C">
        <w:rPr>
          <w:rFonts w:ascii="Times New Roman" w:hAnsi="Times New Roman" w:cs="Times New Roman"/>
          <w:sz w:val="24"/>
          <w:szCs w:val="24"/>
        </w:rPr>
        <w:t>etter (</w:t>
      </w:r>
      <w:r w:rsidR="00912ABF" w:rsidRPr="00251B0C">
        <w:rPr>
          <w:rFonts w:ascii="Times New Roman" w:hAnsi="Times New Roman" w:cs="Times New Roman"/>
          <w:b/>
          <w:sz w:val="24"/>
          <w:szCs w:val="24"/>
        </w:rPr>
        <w:t>attachment</w:t>
      </w:r>
      <w:r w:rsidR="00535951" w:rsidRPr="00251B0C">
        <w:rPr>
          <w:rFonts w:ascii="Times New Roman" w:hAnsi="Times New Roman" w:cs="Times New Roman"/>
          <w:b/>
          <w:sz w:val="24"/>
          <w:szCs w:val="24"/>
        </w:rPr>
        <w:t xml:space="preserve"> </w:t>
      </w:r>
      <w:r w:rsidR="00DE3939" w:rsidRPr="00251B0C">
        <w:rPr>
          <w:rFonts w:ascii="Times New Roman" w:hAnsi="Times New Roman" w:cs="Times New Roman"/>
          <w:b/>
          <w:sz w:val="24"/>
          <w:szCs w:val="24"/>
        </w:rPr>
        <w:t>5e</w:t>
      </w:r>
      <w:r w:rsidR="00535951" w:rsidRPr="00251B0C">
        <w:rPr>
          <w:rFonts w:ascii="Times New Roman" w:hAnsi="Times New Roman" w:cs="Times New Roman"/>
          <w:sz w:val="24"/>
          <w:szCs w:val="24"/>
        </w:rPr>
        <w:t>).</w:t>
      </w:r>
      <w:r w:rsidR="00150EB9" w:rsidRPr="00251B0C">
        <w:rPr>
          <w:rFonts w:ascii="Times New Roman" w:hAnsi="Times New Roman" w:cs="Times New Roman"/>
          <w:sz w:val="24"/>
          <w:szCs w:val="24"/>
        </w:rPr>
        <w:t xml:space="preserve"> By replying</w:t>
      </w:r>
      <w:r w:rsidR="00521262" w:rsidRPr="00251B0C">
        <w:rPr>
          <w:rFonts w:ascii="Times New Roman" w:hAnsi="Times New Roman" w:cs="Times New Roman"/>
          <w:sz w:val="24"/>
          <w:szCs w:val="24"/>
        </w:rPr>
        <w:t xml:space="preserve"> affirmatively</w:t>
      </w:r>
      <w:r w:rsidR="00150EB9" w:rsidRPr="00251B0C">
        <w:rPr>
          <w:rFonts w:ascii="Times New Roman" w:hAnsi="Times New Roman" w:cs="Times New Roman"/>
          <w:sz w:val="24"/>
          <w:szCs w:val="24"/>
        </w:rPr>
        <w:t xml:space="preserve"> to the recruitment email, the participant is giving their consent.</w:t>
      </w:r>
    </w:p>
    <w:p w14:paraId="204E956D" w14:textId="77777777" w:rsidR="00AA2344" w:rsidRPr="00251B0C" w:rsidRDefault="00AA2344" w:rsidP="000918FE">
      <w:pPr>
        <w:spacing w:after="0" w:line="240" w:lineRule="auto"/>
        <w:rPr>
          <w:rFonts w:ascii="Times New Roman" w:hAnsi="Times New Roman" w:cs="Times New Roman"/>
          <w:sz w:val="24"/>
          <w:szCs w:val="24"/>
        </w:rPr>
      </w:pPr>
    </w:p>
    <w:p w14:paraId="01C741FB" w14:textId="77777777" w:rsidR="00AA2344" w:rsidRPr="00251B0C" w:rsidRDefault="00AA2344" w:rsidP="000918FE">
      <w:pPr>
        <w:spacing w:after="0" w:line="240" w:lineRule="auto"/>
        <w:rPr>
          <w:rFonts w:ascii="Times New Roman" w:hAnsi="Times New Roman" w:cs="Times New Roman"/>
          <w:sz w:val="24"/>
          <w:szCs w:val="24"/>
          <w:u w:val="single"/>
        </w:rPr>
      </w:pPr>
      <w:r w:rsidRPr="00251B0C">
        <w:rPr>
          <w:rFonts w:ascii="Times New Roman" w:hAnsi="Times New Roman" w:cs="Times New Roman"/>
          <w:sz w:val="24"/>
          <w:szCs w:val="24"/>
          <w:u w:val="single"/>
        </w:rPr>
        <w:t>Sensitive Questions</w:t>
      </w:r>
    </w:p>
    <w:p w14:paraId="543AE351" w14:textId="77777777" w:rsidR="00AA2344" w:rsidRPr="00251B0C" w:rsidRDefault="00AA2344" w:rsidP="000918FE">
      <w:pPr>
        <w:spacing w:after="0" w:line="240" w:lineRule="auto"/>
        <w:rPr>
          <w:rFonts w:ascii="Times New Roman" w:hAnsi="Times New Roman" w:cs="Times New Roman"/>
          <w:sz w:val="24"/>
          <w:szCs w:val="24"/>
        </w:rPr>
      </w:pPr>
      <w:r w:rsidRPr="00251B0C">
        <w:rPr>
          <w:rFonts w:ascii="Times New Roman" w:hAnsi="Times New Roman" w:cs="Times New Roman"/>
          <w:sz w:val="24"/>
          <w:szCs w:val="24"/>
        </w:rPr>
        <w:t>While HIV is a sensitive subject matter, the questions are not about the respondent’s health, but rather about elements of their profession, training, and practices as health care providers. Participants will be notified that their participation is voluntary and their name will never be linked to their survey responses. In turn, all results will be presented as aggregates and not as individual responses.</w:t>
      </w:r>
      <w:r w:rsidR="000918FE" w:rsidRPr="00251B0C">
        <w:rPr>
          <w:rFonts w:ascii="Times New Roman" w:hAnsi="Times New Roman" w:cs="Times New Roman"/>
          <w:sz w:val="24"/>
          <w:szCs w:val="24"/>
        </w:rPr>
        <w:t xml:space="preserve"> </w:t>
      </w:r>
    </w:p>
    <w:p w14:paraId="722F8FEA" w14:textId="77777777" w:rsidR="00F16BED" w:rsidRPr="00251B0C" w:rsidRDefault="00F16BED" w:rsidP="000918FE">
      <w:pPr>
        <w:spacing w:before="120" w:after="120"/>
        <w:rPr>
          <w:rFonts w:ascii="Times New Roman" w:hAnsi="Times New Roman" w:cs="Times New Roman"/>
          <w:sz w:val="24"/>
          <w:szCs w:val="24"/>
        </w:rPr>
      </w:pPr>
      <w:r w:rsidRPr="00251B0C">
        <w:rPr>
          <w:rFonts w:ascii="Times New Roman" w:hAnsi="Times New Roman" w:cs="Times New Roman"/>
          <w:sz w:val="24"/>
          <w:szCs w:val="24"/>
        </w:rPr>
        <w:t xml:space="preserve"> </w:t>
      </w:r>
    </w:p>
    <w:p w14:paraId="25B0EDA9" w14:textId="77777777" w:rsidR="008C6487" w:rsidRPr="00251B0C" w:rsidRDefault="004B1A32" w:rsidP="003200BD">
      <w:pPr>
        <w:pStyle w:val="TOC1"/>
      </w:pPr>
      <w:r w:rsidRPr="00251B0C">
        <w:t>Estimates of Annualized Burden Hours and Costs</w:t>
      </w:r>
    </w:p>
    <w:p w14:paraId="0F9A245F" w14:textId="77777777" w:rsidR="003A532E" w:rsidRPr="00251B0C" w:rsidRDefault="00F83070" w:rsidP="000918FE">
      <w:pPr>
        <w:pStyle w:val="Caption"/>
        <w:rPr>
          <w:b w:val="0"/>
          <w:sz w:val="24"/>
          <w:szCs w:val="24"/>
        </w:rPr>
      </w:pPr>
      <w:r w:rsidRPr="00251B0C">
        <w:rPr>
          <w:b w:val="0"/>
          <w:sz w:val="24"/>
          <w:szCs w:val="24"/>
        </w:rPr>
        <w:t>The estimate of annualized burden hours for this data collection is 1</w:t>
      </w:r>
      <w:r w:rsidR="00D3116E" w:rsidRPr="00251B0C">
        <w:rPr>
          <w:b w:val="0"/>
          <w:sz w:val="24"/>
          <w:szCs w:val="24"/>
        </w:rPr>
        <w:t>,219</w:t>
      </w:r>
      <w:r w:rsidRPr="00251B0C">
        <w:rPr>
          <w:b w:val="0"/>
          <w:sz w:val="24"/>
          <w:szCs w:val="24"/>
        </w:rPr>
        <w:t xml:space="preserve"> hours; details are provided in Table A12.1. For the proposed data collection, approximately 4</w:t>
      </w:r>
      <w:r w:rsidR="003A532E" w:rsidRPr="00251B0C">
        <w:rPr>
          <w:b w:val="0"/>
          <w:sz w:val="24"/>
          <w:szCs w:val="24"/>
        </w:rPr>
        <w:t>,</w:t>
      </w:r>
      <w:r w:rsidRPr="00251B0C">
        <w:rPr>
          <w:b w:val="0"/>
          <w:sz w:val="24"/>
          <w:szCs w:val="24"/>
        </w:rPr>
        <w:t>338 primary care provider</w:t>
      </w:r>
      <w:r w:rsidR="00912ABF" w:rsidRPr="00251B0C">
        <w:rPr>
          <w:b w:val="0"/>
          <w:sz w:val="24"/>
          <w:szCs w:val="24"/>
        </w:rPr>
        <w:t>s</w:t>
      </w:r>
      <w:r w:rsidRPr="00251B0C">
        <w:rPr>
          <w:b w:val="0"/>
          <w:sz w:val="24"/>
          <w:szCs w:val="24"/>
        </w:rPr>
        <w:t xml:space="preserve"> will be recruited. Among these </w:t>
      </w:r>
      <w:r w:rsidR="003A532E" w:rsidRPr="00251B0C">
        <w:rPr>
          <w:b w:val="0"/>
          <w:sz w:val="24"/>
          <w:szCs w:val="24"/>
        </w:rPr>
        <w:t xml:space="preserve">recruited </w:t>
      </w:r>
      <w:r w:rsidRPr="00251B0C">
        <w:rPr>
          <w:b w:val="0"/>
          <w:sz w:val="24"/>
          <w:szCs w:val="24"/>
        </w:rPr>
        <w:t xml:space="preserve">providers, approximately 36% will be physicians, 36% will be nurse </w:t>
      </w:r>
      <w:r w:rsidR="003A532E" w:rsidRPr="00251B0C">
        <w:rPr>
          <w:b w:val="0"/>
          <w:sz w:val="24"/>
          <w:szCs w:val="24"/>
        </w:rPr>
        <w:t>practitioners</w:t>
      </w:r>
      <w:r w:rsidRPr="00251B0C">
        <w:rPr>
          <w:b w:val="0"/>
          <w:sz w:val="24"/>
          <w:szCs w:val="24"/>
        </w:rPr>
        <w:t xml:space="preserve">, and 28% will </w:t>
      </w:r>
      <w:r w:rsidR="003A532E" w:rsidRPr="00251B0C">
        <w:rPr>
          <w:b w:val="0"/>
          <w:sz w:val="24"/>
          <w:szCs w:val="24"/>
        </w:rPr>
        <w:t xml:space="preserve">be physician assistants. </w:t>
      </w:r>
    </w:p>
    <w:p w14:paraId="2771F7ED" w14:textId="77777777" w:rsidR="003A532E" w:rsidRPr="00251B0C" w:rsidRDefault="003A532E" w:rsidP="000918FE">
      <w:pPr>
        <w:pStyle w:val="Caption"/>
        <w:rPr>
          <w:b w:val="0"/>
          <w:sz w:val="24"/>
          <w:szCs w:val="24"/>
        </w:rPr>
      </w:pPr>
    </w:p>
    <w:p w14:paraId="5A410767" w14:textId="77777777" w:rsidR="00103F73" w:rsidRPr="00251B0C" w:rsidRDefault="006826E3" w:rsidP="000918FE">
      <w:pPr>
        <w:pStyle w:val="Caption"/>
        <w:rPr>
          <w:b w:val="0"/>
          <w:sz w:val="24"/>
          <w:szCs w:val="24"/>
        </w:rPr>
      </w:pPr>
      <w:r w:rsidRPr="00251B0C">
        <w:rPr>
          <w:b w:val="0"/>
          <w:sz w:val="24"/>
          <w:szCs w:val="24"/>
        </w:rPr>
        <w:t>Of the 4</w:t>
      </w:r>
      <w:r w:rsidR="008B556C" w:rsidRPr="00251B0C">
        <w:rPr>
          <w:b w:val="0"/>
          <w:sz w:val="24"/>
          <w:szCs w:val="24"/>
        </w:rPr>
        <w:t>,</w:t>
      </w:r>
      <w:r w:rsidRPr="00251B0C">
        <w:rPr>
          <w:b w:val="0"/>
          <w:sz w:val="24"/>
          <w:szCs w:val="24"/>
        </w:rPr>
        <w:t xml:space="preserve">338 </w:t>
      </w:r>
      <w:r w:rsidR="003A532E" w:rsidRPr="00251B0C">
        <w:rPr>
          <w:b w:val="0"/>
          <w:sz w:val="24"/>
          <w:szCs w:val="24"/>
        </w:rPr>
        <w:t xml:space="preserve">providers </w:t>
      </w:r>
      <w:r w:rsidR="00F24C6D" w:rsidRPr="00251B0C">
        <w:rPr>
          <w:b w:val="0"/>
          <w:sz w:val="24"/>
          <w:szCs w:val="24"/>
        </w:rPr>
        <w:t>contacted for recruitment</w:t>
      </w:r>
      <w:r w:rsidRPr="00251B0C">
        <w:rPr>
          <w:b w:val="0"/>
          <w:sz w:val="24"/>
          <w:szCs w:val="24"/>
        </w:rPr>
        <w:t>, we anticipate a 4</w:t>
      </w:r>
      <w:r w:rsidR="008B556C" w:rsidRPr="00251B0C">
        <w:rPr>
          <w:b w:val="0"/>
          <w:sz w:val="24"/>
          <w:szCs w:val="24"/>
        </w:rPr>
        <w:t>2</w:t>
      </w:r>
      <w:r w:rsidRPr="00251B0C">
        <w:rPr>
          <w:b w:val="0"/>
          <w:sz w:val="24"/>
          <w:szCs w:val="24"/>
        </w:rPr>
        <w:t>% response rate for those that choose to opt-in the survey</w:t>
      </w:r>
      <w:r w:rsidR="0082330C" w:rsidRPr="00251B0C">
        <w:rPr>
          <w:b w:val="0"/>
          <w:sz w:val="24"/>
          <w:szCs w:val="24"/>
        </w:rPr>
        <w:t xml:space="preserve"> for </w:t>
      </w:r>
      <w:r w:rsidR="00E4258B" w:rsidRPr="00251B0C">
        <w:rPr>
          <w:b w:val="0"/>
          <w:sz w:val="24"/>
          <w:szCs w:val="24"/>
        </w:rPr>
        <w:t xml:space="preserve">estimated </w:t>
      </w:r>
      <w:r w:rsidR="0082330C" w:rsidRPr="00251B0C">
        <w:rPr>
          <w:b w:val="0"/>
          <w:sz w:val="24"/>
          <w:szCs w:val="24"/>
        </w:rPr>
        <w:t>total of 1,</w:t>
      </w:r>
      <w:r w:rsidR="008B556C" w:rsidRPr="00251B0C">
        <w:rPr>
          <w:b w:val="0"/>
          <w:sz w:val="24"/>
          <w:szCs w:val="24"/>
        </w:rPr>
        <w:t>82</w:t>
      </w:r>
      <w:r w:rsidR="00E4258B" w:rsidRPr="00251B0C">
        <w:rPr>
          <w:b w:val="0"/>
          <w:sz w:val="24"/>
          <w:szCs w:val="24"/>
        </w:rPr>
        <w:t>7</w:t>
      </w:r>
      <w:r w:rsidR="0082330C" w:rsidRPr="00251B0C">
        <w:rPr>
          <w:b w:val="0"/>
          <w:sz w:val="24"/>
          <w:szCs w:val="24"/>
        </w:rPr>
        <w:t xml:space="preserve"> </w:t>
      </w:r>
      <w:r w:rsidR="00F24C6D" w:rsidRPr="00251B0C">
        <w:rPr>
          <w:b w:val="0"/>
          <w:sz w:val="24"/>
          <w:szCs w:val="24"/>
        </w:rPr>
        <w:t>participants</w:t>
      </w:r>
      <w:r w:rsidRPr="00251B0C">
        <w:rPr>
          <w:b w:val="0"/>
          <w:sz w:val="24"/>
          <w:szCs w:val="24"/>
        </w:rPr>
        <w:t>.</w:t>
      </w:r>
      <w:r w:rsidR="005E0A0D" w:rsidRPr="00251B0C">
        <w:rPr>
          <w:b w:val="0"/>
          <w:sz w:val="24"/>
          <w:szCs w:val="24"/>
        </w:rPr>
        <w:t xml:space="preserve"> </w:t>
      </w:r>
      <w:r w:rsidR="00103F73" w:rsidRPr="00251B0C">
        <w:rPr>
          <w:b w:val="0"/>
          <w:sz w:val="24"/>
          <w:szCs w:val="24"/>
        </w:rPr>
        <w:t xml:space="preserve">We anticipate </w:t>
      </w:r>
      <w:r w:rsidR="0082330C" w:rsidRPr="00251B0C">
        <w:rPr>
          <w:b w:val="0"/>
          <w:sz w:val="24"/>
          <w:szCs w:val="24"/>
        </w:rPr>
        <w:t xml:space="preserve">the </w:t>
      </w:r>
      <w:r w:rsidR="00C67991" w:rsidRPr="00251B0C">
        <w:rPr>
          <w:b w:val="0"/>
          <w:sz w:val="24"/>
          <w:szCs w:val="24"/>
        </w:rPr>
        <w:t xml:space="preserve">baseline </w:t>
      </w:r>
      <w:r w:rsidR="00DE3939" w:rsidRPr="00251B0C">
        <w:rPr>
          <w:b w:val="0"/>
          <w:sz w:val="24"/>
          <w:szCs w:val="24"/>
        </w:rPr>
        <w:t>screener</w:t>
      </w:r>
      <w:r w:rsidR="0082330C" w:rsidRPr="00251B0C">
        <w:rPr>
          <w:b w:val="0"/>
          <w:sz w:val="24"/>
          <w:szCs w:val="24"/>
        </w:rPr>
        <w:t xml:space="preserve"> </w:t>
      </w:r>
      <w:r w:rsidR="00912ABF" w:rsidRPr="00251B0C">
        <w:rPr>
          <w:b w:val="0"/>
          <w:sz w:val="24"/>
          <w:szCs w:val="24"/>
        </w:rPr>
        <w:t>and the b</w:t>
      </w:r>
      <w:r w:rsidR="00DE3939" w:rsidRPr="00251B0C">
        <w:rPr>
          <w:b w:val="0"/>
          <w:sz w:val="24"/>
          <w:szCs w:val="24"/>
        </w:rPr>
        <w:t>aseline</w:t>
      </w:r>
      <w:r w:rsidR="00E4258B" w:rsidRPr="00251B0C">
        <w:rPr>
          <w:b w:val="0"/>
          <w:sz w:val="24"/>
          <w:szCs w:val="24"/>
        </w:rPr>
        <w:t xml:space="preserve"> survey</w:t>
      </w:r>
      <w:r w:rsidR="0082330C" w:rsidRPr="00251B0C">
        <w:rPr>
          <w:b w:val="0"/>
          <w:sz w:val="24"/>
          <w:szCs w:val="24"/>
        </w:rPr>
        <w:t xml:space="preserve"> </w:t>
      </w:r>
      <w:r w:rsidR="008B556C" w:rsidRPr="00251B0C">
        <w:rPr>
          <w:b w:val="0"/>
          <w:sz w:val="24"/>
          <w:szCs w:val="24"/>
        </w:rPr>
        <w:t>(</w:t>
      </w:r>
      <w:r w:rsidR="00912ABF" w:rsidRPr="00251B0C">
        <w:rPr>
          <w:b w:val="0"/>
          <w:sz w:val="24"/>
          <w:szCs w:val="24"/>
        </w:rPr>
        <w:t>a</w:t>
      </w:r>
      <w:r w:rsidR="008B556C" w:rsidRPr="00251B0C">
        <w:rPr>
          <w:sz w:val="24"/>
          <w:szCs w:val="24"/>
        </w:rPr>
        <w:t xml:space="preserve">ttachment </w:t>
      </w:r>
      <w:r w:rsidR="002F79C4" w:rsidRPr="00251B0C">
        <w:rPr>
          <w:sz w:val="24"/>
          <w:szCs w:val="24"/>
        </w:rPr>
        <w:t>3</w:t>
      </w:r>
      <w:r w:rsidR="00DE3939" w:rsidRPr="00251B0C">
        <w:rPr>
          <w:sz w:val="24"/>
          <w:szCs w:val="24"/>
        </w:rPr>
        <w:t>a</w:t>
      </w:r>
      <w:r w:rsidR="00046EE0" w:rsidRPr="00251B0C">
        <w:rPr>
          <w:sz w:val="24"/>
          <w:szCs w:val="24"/>
        </w:rPr>
        <w:t>, 9a</w:t>
      </w:r>
      <w:r w:rsidR="008B556C" w:rsidRPr="00251B0C">
        <w:rPr>
          <w:b w:val="0"/>
          <w:sz w:val="24"/>
          <w:szCs w:val="24"/>
        </w:rPr>
        <w:t xml:space="preserve">) </w:t>
      </w:r>
      <w:r w:rsidR="0082330C" w:rsidRPr="00251B0C">
        <w:rPr>
          <w:b w:val="0"/>
          <w:sz w:val="24"/>
          <w:szCs w:val="24"/>
        </w:rPr>
        <w:t xml:space="preserve">will take </w:t>
      </w:r>
      <w:r w:rsidR="00FA088E" w:rsidRPr="00251B0C">
        <w:rPr>
          <w:b w:val="0"/>
          <w:sz w:val="24"/>
          <w:szCs w:val="24"/>
        </w:rPr>
        <w:t>30</w:t>
      </w:r>
      <w:r w:rsidR="002E067F" w:rsidRPr="00251B0C">
        <w:rPr>
          <w:b w:val="0"/>
          <w:sz w:val="24"/>
          <w:szCs w:val="24"/>
        </w:rPr>
        <w:t xml:space="preserve"> minutes per respondent for a total of </w:t>
      </w:r>
      <w:r w:rsidR="00E4258B" w:rsidRPr="00251B0C">
        <w:rPr>
          <w:b w:val="0"/>
          <w:sz w:val="24"/>
          <w:szCs w:val="24"/>
        </w:rPr>
        <w:t>8</w:t>
      </w:r>
      <w:r w:rsidR="00912ABF" w:rsidRPr="00251B0C">
        <w:rPr>
          <w:b w:val="0"/>
          <w:sz w:val="24"/>
          <w:szCs w:val="24"/>
        </w:rPr>
        <w:t>8</w:t>
      </w:r>
      <w:r w:rsidR="004B1A32" w:rsidRPr="00251B0C">
        <w:rPr>
          <w:b w:val="0"/>
          <w:sz w:val="24"/>
          <w:szCs w:val="24"/>
        </w:rPr>
        <w:t>3</w:t>
      </w:r>
      <w:r w:rsidR="002E067F" w:rsidRPr="00251B0C">
        <w:rPr>
          <w:b w:val="0"/>
          <w:sz w:val="24"/>
          <w:szCs w:val="24"/>
        </w:rPr>
        <w:t xml:space="preserve"> burden hours</w:t>
      </w:r>
      <w:r w:rsidR="005E0A0D" w:rsidRPr="00251B0C">
        <w:rPr>
          <w:b w:val="0"/>
          <w:sz w:val="24"/>
          <w:szCs w:val="24"/>
        </w:rPr>
        <w:t>.</w:t>
      </w:r>
      <w:r w:rsidR="002E067F" w:rsidRPr="00251B0C">
        <w:rPr>
          <w:b w:val="0"/>
          <w:sz w:val="24"/>
          <w:szCs w:val="24"/>
        </w:rPr>
        <w:t xml:space="preserve"> </w:t>
      </w:r>
      <w:r w:rsidR="00E4258B" w:rsidRPr="00251B0C">
        <w:rPr>
          <w:b w:val="0"/>
          <w:sz w:val="24"/>
          <w:szCs w:val="24"/>
        </w:rPr>
        <w:t xml:space="preserve">We anticipate that approximately half of respondents (about 914 respondents) who completed </w:t>
      </w:r>
      <w:r w:rsidR="00C67991" w:rsidRPr="00251B0C">
        <w:rPr>
          <w:b w:val="0"/>
          <w:sz w:val="24"/>
          <w:szCs w:val="24"/>
        </w:rPr>
        <w:t>baseline</w:t>
      </w:r>
      <w:r w:rsidR="00E4258B" w:rsidRPr="00251B0C">
        <w:rPr>
          <w:b w:val="0"/>
          <w:sz w:val="24"/>
          <w:szCs w:val="24"/>
        </w:rPr>
        <w:t xml:space="preserve"> survey will complete</w:t>
      </w:r>
      <w:r w:rsidR="00330742" w:rsidRPr="00251B0C">
        <w:rPr>
          <w:b w:val="0"/>
          <w:sz w:val="24"/>
          <w:szCs w:val="24"/>
        </w:rPr>
        <w:t xml:space="preserve"> six-month</w:t>
      </w:r>
      <w:r w:rsidR="00E4258B" w:rsidRPr="00251B0C">
        <w:rPr>
          <w:b w:val="0"/>
          <w:sz w:val="24"/>
          <w:szCs w:val="24"/>
        </w:rPr>
        <w:t xml:space="preserve"> </w:t>
      </w:r>
      <w:r w:rsidR="00DB1613" w:rsidRPr="00251B0C">
        <w:rPr>
          <w:b w:val="0"/>
          <w:sz w:val="24"/>
          <w:szCs w:val="24"/>
        </w:rPr>
        <w:t xml:space="preserve">follow-up </w:t>
      </w:r>
      <w:r w:rsidR="00E4258B" w:rsidRPr="00251B0C">
        <w:rPr>
          <w:b w:val="0"/>
          <w:sz w:val="24"/>
          <w:szCs w:val="24"/>
        </w:rPr>
        <w:t xml:space="preserve">survey. </w:t>
      </w:r>
      <w:r w:rsidR="00DB1613" w:rsidRPr="00251B0C">
        <w:rPr>
          <w:b w:val="0"/>
          <w:sz w:val="24"/>
          <w:szCs w:val="24"/>
        </w:rPr>
        <w:t xml:space="preserve">Follow-up </w:t>
      </w:r>
      <w:r w:rsidR="00330742" w:rsidRPr="00251B0C">
        <w:rPr>
          <w:b w:val="0"/>
          <w:sz w:val="24"/>
          <w:szCs w:val="24"/>
        </w:rPr>
        <w:t>screener</w:t>
      </w:r>
      <w:r w:rsidR="00E4258B" w:rsidRPr="00251B0C">
        <w:rPr>
          <w:b w:val="0"/>
          <w:sz w:val="24"/>
          <w:szCs w:val="24"/>
        </w:rPr>
        <w:t xml:space="preserve"> </w:t>
      </w:r>
      <w:r w:rsidR="00912ABF" w:rsidRPr="00251B0C">
        <w:rPr>
          <w:b w:val="0"/>
          <w:sz w:val="24"/>
          <w:szCs w:val="24"/>
        </w:rPr>
        <w:t>and the</w:t>
      </w:r>
      <w:r w:rsidR="00E4258B" w:rsidRPr="00251B0C">
        <w:rPr>
          <w:b w:val="0"/>
          <w:sz w:val="24"/>
          <w:szCs w:val="24"/>
        </w:rPr>
        <w:t xml:space="preserve"> </w:t>
      </w:r>
      <w:r w:rsidR="00DB1613" w:rsidRPr="00251B0C">
        <w:rPr>
          <w:b w:val="0"/>
          <w:sz w:val="24"/>
          <w:szCs w:val="24"/>
        </w:rPr>
        <w:t xml:space="preserve">follow-up </w:t>
      </w:r>
      <w:r w:rsidR="00E4258B" w:rsidRPr="00251B0C">
        <w:rPr>
          <w:b w:val="0"/>
          <w:sz w:val="24"/>
          <w:szCs w:val="24"/>
        </w:rPr>
        <w:t>survey</w:t>
      </w:r>
      <w:r w:rsidR="00896F2A" w:rsidRPr="00251B0C">
        <w:rPr>
          <w:b w:val="0"/>
          <w:sz w:val="24"/>
          <w:szCs w:val="24"/>
        </w:rPr>
        <w:t xml:space="preserve"> </w:t>
      </w:r>
      <w:r w:rsidR="008B556C" w:rsidRPr="00251B0C">
        <w:rPr>
          <w:b w:val="0"/>
          <w:sz w:val="24"/>
          <w:szCs w:val="24"/>
        </w:rPr>
        <w:t>(</w:t>
      </w:r>
      <w:r w:rsidR="00912ABF" w:rsidRPr="00251B0C">
        <w:rPr>
          <w:sz w:val="24"/>
          <w:szCs w:val="24"/>
        </w:rPr>
        <w:t>a</w:t>
      </w:r>
      <w:r w:rsidR="008B556C" w:rsidRPr="00251B0C">
        <w:rPr>
          <w:sz w:val="24"/>
          <w:szCs w:val="24"/>
        </w:rPr>
        <w:t xml:space="preserve">ttachment </w:t>
      </w:r>
      <w:r w:rsidR="002F79C4" w:rsidRPr="00251B0C">
        <w:rPr>
          <w:sz w:val="24"/>
          <w:szCs w:val="24"/>
        </w:rPr>
        <w:t>3</w:t>
      </w:r>
      <w:r w:rsidR="00C67991" w:rsidRPr="00251B0C">
        <w:rPr>
          <w:sz w:val="24"/>
          <w:szCs w:val="24"/>
        </w:rPr>
        <w:t>b</w:t>
      </w:r>
      <w:r w:rsidR="00046EE0" w:rsidRPr="00251B0C">
        <w:rPr>
          <w:sz w:val="24"/>
          <w:szCs w:val="24"/>
        </w:rPr>
        <w:t>, 9b</w:t>
      </w:r>
      <w:r w:rsidR="008B556C" w:rsidRPr="00251B0C">
        <w:rPr>
          <w:sz w:val="24"/>
          <w:szCs w:val="24"/>
        </w:rPr>
        <w:t xml:space="preserve">) </w:t>
      </w:r>
      <w:r w:rsidR="00896F2A" w:rsidRPr="00251B0C">
        <w:rPr>
          <w:b w:val="0"/>
          <w:sz w:val="24"/>
          <w:szCs w:val="24"/>
        </w:rPr>
        <w:t xml:space="preserve">will take </w:t>
      </w:r>
      <w:r w:rsidR="00E4258B" w:rsidRPr="00251B0C">
        <w:rPr>
          <w:b w:val="0"/>
          <w:sz w:val="24"/>
          <w:szCs w:val="24"/>
        </w:rPr>
        <w:t xml:space="preserve">approximately </w:t>
      </w:r>
      <w:r w:rsidR="00E627FB" w:rsidRPr="00251B0C">
        <w:rPr>
          <w:b w:val="0"/>
          <w:sz w:val="24"/>
          <w:szCs w:val="24"/>
        </w:rPr>
        <w:t>20</w:t>
      </w:r>
      <w:r w:rsidR="002E067F" w:rsidRPr="00251B0C">
        <w:rPr>
          <w:b w:val="0"/>
          <w:sz w:val="24"/>
          <w:szCs w:val="24"/>
        </w:rPr>
        <w:t xml:space="preserve"> minutes per respondent </w:t>
      </w:r>
      <w:r w:rsidR="00896F2A" w:rsidRPr="00251B0C">
        <w:rPr>
          <w:b w:val="0"/>
          <w:sz w:val="24"/>
          <w:szCs w:val="24"/>
        </w:rPr>
        <w:t xml:space="preserve">for a total of </w:t>
      </w:r>
      <w:r w:rsidR="00E4258B" w:rsidRPr="00251B0C">
        <w:rPr>
          <w:b w:val="0"/>
          <w:sz w:val="24"/>
          <w:szCs w:val="24"/>
        </w:rPr>
        <w:t>2</w:t>
      </w:r>
      <w:r w:rsidR="00912ABF" w:rsidRPr="00251B0C">
        <w:rPr>
          <w:b w:val="0"/>
          <w:sz w:val="24"/>
          <w:szCs w:val="24"/>
        </w:rPr>
        <w:t>89</w:t>
      </w:r>
      <w:r w:rsidR="00E4258B" w:rsidRPr="00251B0C">
        <w:rPr>
          <w:b w:val="0"/>
          <w:sz w:val="24"/>
          <w:szCs w:val="24"/>
        </w:rPr>
        <w:t xml:space="preserve"> </w:t>
      </w:r>
      <w:r w:rsidR="002E067F" w:rsidRPr="00251B0C">
        <w:rPr>
          <w:b w:val="0"/>
          <w:sz w:val="24"/>
          <w:szCs w:val="24"/>
        </w:rPr>
        <w:t>burden hours</w:t>
      </w:r>
      <w:r w:rsidR="00103F73" w:rsidRPr="00251B0C">
        <w:rPr>
          <w:b w:val="0"/>
          <w:sz w:val="24"/>
          <w:szCs w:val="24"/>
        </w:rPr>
        <w:t xml:space="preserve">.  The total number of burden hours is </w:t>
      </w:r>
      <w:r w:rsidR="00E4258B" w:rsidRPr="00251B0C">
        <w:rPr>
          <w:b w:val="0"/>
          <w:sz w:val="24"/>
          <w:szCs w:val="24"/>
        </w:rPr>
        <w:t>1,</w:t>
      </w:r>
      <w:r w:rsidR="00D3116E" w:rsidRPr="00251B0C">
        <w:rPr>
          <w:b w:val="0"/>
          <w:sz w:val="24"/>
          <w:szCs w:val="24"/>
        </w:rPr>
        <w:t>219</w:t>
      </w:r>
      <w:r w:rsidR="00F24C6D" w:rsidRPr="00251B0C">
        <w:rPr>
          <w:b w:val="0"/>
          <w:sz w:val="24"/>
          <w:szCs w:val="24"/>
        </w:rPr>
        <w:t xml:space="preserve"> burden hours</w:t>
      </w:r>
      <w:r w:rsidR="00103F73" w:rsidRPr="00251B0C">
        <w:rPr>
          <w:b w:val="0"/>
          <w:sz w:val="24"/>
          <w:szCs w:val="24"/>
        </w:rPr>
        <w:t xml:space="preserve">. </w:t>
      </w:r>
      <w:r w:rsidR="00D3116E" w:rsidRPr="00251B0C">
        <w:rPr>
          <w:b w:val="0"/>
          <w:sz w:val="24"/>
          <w:szCs w:val="24"/>
        </w:rPr>
        <w:t>The annualized cost to respondents for the burden hours is estimated to be $73,156; details are provided in Table A12.2.</w:t>
      </w:r>
    </w:p>
    <w:p w14:paraId="0BC5DF20" w14:textId="77777777" w:rsidR="00103F73" w:rsidRPr="00251B0C" w:rsidRDefault="00103F73" w:rsidP="000918FE">
      <w:pPr>
        <w:pStyle w:val="ListParagraph"/>
        <w:ind w:left="0"/>
        <w:rPr>
          <w:rFonts w:ascii="Times New Roman" w:hAnsi="Times New Roman" w:cs="Times New Roman"/>
        </w:rPr>
      </w:pPr>
    </w:p>
    <w:p w14:paraId="410D86E5" w14:textId="77777777" w:rsidR="00103F73" w:rsidRPr="00251B0C" w:rsidRDefault="002005F2" w:rsidP="000918FE">
      <w:pPr>
        <w:pStyle w:val="ListParagraph"/>
        <w:ind w:left="0"/>
        <w:rPr>
          <w:rFonts w:ascii="Times New Roman" w:hAnsi="Times New Roman" w:cs="Times New Roman"/>
          <w:b/>
          <w:sz w:val="24"/>
          <w:szCs w:val="24"/>
        </w:rPr>
      </w:pPr>
      <w:r w:rsidRPr="00251B0C">
        <w:rPr>
          <w:rFonts w:ascii="Times New Roman" w:hAnsi="Times New Roman" w:cs="Times New Roman"/>
          <w:b/>
          <w:sz w:val="24"/>
          <w:szCs w:val="24"/>
        </w:rPr>
        <w:t xml:space="preserve">Table </w:t>
      </w:r>
      <w:r w:rsidR="00103F73" w:rsidRPr="00251B0C">
        <w:rPr>
          <w:rFonts w:ascii="Times New Roman" w:hAnsi="Times New Roman" w:cs="Times New Roman"/>
          <w:b/>
          <w:sz w:val="24"/>
          <w:szCs w:val="24"/>
        </w:rPr>
        <w:t>A12.1: Estimated Annualized Burden Hours</w:t>
      </w:r>
    </w:p>
    <w:p w14:paraId="3EFCE8D7" w14:textId="77777777" w:rsidR="00840F1C" w:rsidRPr="00251B0C" w:rsidRDefault="00840F1C" w:rsidP="00840F1C">
      <w:pPr>
        <w:pStyle w:val="ListParagraph"/>
        <w:rPr>
          <w:rFonts w:ascii="Times New Roman" w:hAnsi="Times New Roman" w:cs="Times New Roman"/>
          <w:b/>
        </w:rPr>
      </w:pPr>
      <w:r w:rsidRPr="00251B0C">
        <w:rPr>
          <w:rFonts w:ascii="Times New Roman" w:hAnsi="Times New Roman" w:cs="Times New Roman"/>
          <w:color w:val="1F497D"/>
        </w:rPr>
        <w:t xml:space="preserve">                                                                                               </w:t>
      </w:r>
    </w:p>
    <w:tbl>
      <w:tblPr>
        <w:tblW w:w="8640" w:type="dxa"/>
        <w:tblInd w:w="-10" w:type="dxa"/>
        <w:tblCellMar>
          <w:left w:w="0" w:type="dxa"/>
          <w:right w:w="0" w:type="dxa"/>
        </w:tblCellMar>
        <w:tblLook w:val="04A0" w:firstRow="1" w:lastRow="0" w:firstColumn="1" w:lastColumn="0" w:noHBand="0" w:noVBand="1"/>
      </w:tblPr>
      <w:tblGrid>
        <w:gridCol w:w="1270"/>
        <w:gridCol w:w="1847"/>
        <w:gridCol w:w="1348"/>
        <w:gridCol w:w="1585"/>
        <w:gridCol w:w="1398"/>
        <w:gridCol w:w="1192"/>
      </w:tblGrid>
      <w:tr w:rsidR="00840F1C" w:rsidRPr="00251B0C" w14:paraId="4858D8CD" w14:textId="77777777" w:rsidTr="00046EE0">
        <w:trPr>
          <w:cantSplit/>
          <w:tblHeader/>
        </w:trPr>
        <w:tc>
          <w:tcPr>
            <w:tcW w:w="1270" w:type="dxa"/>
            <w:tcBorders>
              <w:top w:val="single" w:sz="8" w:space="0" w:color="000000"/>
              <w:left w:val="single" w:sz="8" w:space="0" w:color="000000"/>
              <w:bottom w:val="nil"/>
              <w:right w:val="nil"/>
            </w:tcBorders>
            <w:tcMar>
              <w:top w:w="0" w:type="dxa"/>
              <w:left w:w="129" w:type="dxa"/>
              <w:bottom w:w="0" w:type="dxa"/>
              <w:right w:w="129" w:type="dxa"/>
            </w:tcMar>
            <w:hideMark/>
          </w:tcPr>
          <w:p w14:paraId="077D5E4B" w14:textId="77777777" w:rsidR="00840F1C" w:rsidRPr="00251B0C" w:rsidRDefault="00840F1C" w:rsidP="002005F2">
            <w:pPr>
              <w:spacing w:after="0" w:line="240" w:lineRule="auto"/>
              <w:jc w:val="center"/>
              <w:rPr>
                <w:rFonts w:ascii="Times New Roman" w:hAnsi="Times New Roman" w:cs="Times New Roman"/>
                <w:b/>
                <w:bCs/>
                <w:sz w:val="20"/>
                <w:szCs w:val="20"/>
              </w:rPr>
            </w:pPr>
            <w:r w:rsidRPr="00251B0C">
              <w:rPr>
                <w:rFonts w:ascii="Times New Roman" w:hAnsi="Times New Roman" w:cs="Times New Roman"/>
                <w:b/>
                <w:bCs/>
                <w:sz w:val="20"/>
                <w:szCs w:val="20"/>
              </w:rPr>
              <w:t>Type of Respondent</w:t>
            </w:r>
          </w:p>
        </w:tc>
        <w:tc>
          <w:tcPr>
            <w:tcW w:w="1847" w:type="dxa"/>
            <w:tcBorders>
              <w:top w:val="single" w:sz="8" w:space="0" w:color="000000"/>
              <w:left w:val="single" w:sz="8" w:space="0" w:color="000000"/>
              <w:bottom w:val="nil"/>
              <w:right w:val="nil"/>
            </w:tcBorders>
            <w:tcMar>
              <w:top w:w="0" w:type="dxa"/>
              <w:left w:w="129" w:type="dxa"/>
              <w:bottom w:w="0" w:type="dxa"/>
              <w:right w:w="129" w:type="dxa"/>
            </w:tcMar>
            <w:hideMark/>
          </w:tcPr>
          <w:p w14:paraId="6F972315" w14:textId="77777777" w:rsidR="00840F1C" w:rsidRPr="00251B0C" w:rsidRDefault="00840F1C" w:rsidP="002005F2">
            <w:pPr>
              <w:spacing w:after="0" w:line="240" w:lineRule="auto"/>
              <w:rPr>
                <w:rFonts w:ascii="Times New Roman" w:hAnsi="Times New Roman" w:cs="Times New Roman"/>
                <w:b/>
                <w:bCs/>
                <w:sz w:val="20"/>
                <w:szCs w:val="20"/>
              </w:rPr>
            </w:pPr>
            <w:r w:rsidRPr="00251B0C">
              <w:rPr>
                <w:rFonts w:ascii="Times New Roman" w:hAnsi="Times New Roman" w:cs="Times New Roman"/>
                <w:b/>
                <w:bCs/>
                <w:sz w:val="20"/>
                <w:szCs w:val="20"/>
              </w:rPr>
              <w:t>Form Name</w:t>
            </w:r>
          </w:p>
        </w:tc>
        <w:tc>
          <w:tcPr>
            <w:tcW w:w="1348" w:type="dxa"/>
            <w:tcBorders>
              <w:top w:val="single" w:sz="8" w:space="0" w:color="000000"/>
              <w:left w:val="single" w:sz="8" w:space="0" w:color="000000"/>
              <w:bottom w:val="nil"/>
              <w:right w:val="nil"/>
            </w:tcBorders>
            <w:tcMar>
              <w:top w:w="0" w:type="dxa"/>
              <w:left w:w="129" w:type="dxa"/>
              <w:bottom w:w="0" w:type="dxa"/>
              <w:right w:w="129" w:type="dxa"/>
            </w:tcMar>
            <w:hideMark/>
          </w:tcPr>
          <w:p w14:paraId="1429D38B" w14:textId="77777777" w:rsidR="00840F1C" w:rsidRPr="00251B0C" w:rsidRDefault="00840F1C" w:rsidP="002005F2">
            <w:pPr>
              <w:spacing w:after="0" w:line="240" w:lineRule="auto"/>
              <w:rPr>
                <w:rFonts w:ascii="Times New Roman" w:hAnsi="Times New Roman" w:cs="Times New Roman"/>
                <w:b/>
                <w:bCs/>
                <w:sz w:val="20"/>
                <w:szCs w:val="20"/>
              </w:rPr>
            </w:pPr>
            <w:r w:rsidRPr="00251B0C">
              <w:rPr>
                <w:rFonts w:ascii="Times New Roman" w:hAnsi="Times New Roman" w:cs="Times New Roman"/>
                <w:b/>
                <w:bCs/>
                <w:sz w:val="20"/>
                <w:szCs w:val="20"/>
              </w:rPr>
              <w:t>No. of Respondents</w:t>
            </w:r>
          </w:p>
        </w:tc>
        <w:tc>
          <w:tcPr>
            <w:tcW w:w="1585" w:type="dxa"/>
            <w:tcBorders>
              <w:top w:val="single" w:sz="8" w:space="0" w:color="000000"/>
              <w:left w:val="single" w:sz="8" w:space="0" w:color="000000"/>
              <w:bottom w:val="nil"/>
              <w:right w:val="nil"/>
            </w:tcBorders>
            <w:tcMar>
              <w:top w:w="0" w:type="dxa"/>
              <w:left w:w="129" w:type="dxa"/>
              <w:bottom w:w="0" w:type="dxa"/>
              <w:right w:w="129" w:type="dxa"/>
            </w:tcMar>
            <w:hideMark/>
          </w:tcPr>
          <w:p w14:paraId="23A5392A" w14:textId="77777777" w:rsidR="00840F1C" w:rsidRPr="00251B0C" w:rsidRDefault="00840F1C" w:rsidP="002005F2">
            <w:pPr>
              <w:spacing w:after="0" w:line="240" w:lineRule="auto"/>
              <w:rPr>
                <w:rFonts w:ascii="Times New Roman" w:hAnsi="Times New Roman" w:cs="Times New Roman"/>
                <w:b/>
                <w:bCs/>
                <w:sz w:val="20"/>
                <w:szCs w:val="20"/>
              </w:rPr>
            </w:pPr>
            <w:r w:rsidRPr="00251B0C">
              <w:rPr>
                <w:rFonts w:ascii="Times New Roman" w:hAnsi="Times New Roman" w:cs="Times New Roman"/>
                <w:b/>
                <w:bCs/>
                <w:sz w:val="20"/>
                <w:szCs w:val="20"/>
              </w:rPr>
              <w:t>No. of Responses Per Respondent</w:t>
            </w:r>
          </w:p>
        </w:tc>
        <w:tc>
          <w:tcPr>
            <w:tcW w:w="1398" w:type="dxa"/>
            <w:tcBorders>
              <w:top w:val="single" w:sz="8" w:space="0" w:color="000000"/>
              <w:left w:val="single" w:sz="8" w:space="0" w:color="000000"/>
              <w:bottom w:val="nil"/>
              <w:right w:val="single" w:sz="8" w:space="0" w:color="000000"/>
            </w:tcBorders>
            <w:tcMar>
              <w:top w:w="0" w:type="dxa"/>
              <w:left w:w="129" w:type="dxa"/>
              <w:bottom w:w="0" w:type="dxa"/>
              <w:right w:w="129" w:type="dxa"/>
            </w:tcMar>
            <w:hideMark/>
          </w:tcPr>
          <w:p w14:paraId="148EC68B" w14:textId="77777777" w:rsidR="00840F1C" w:rsidRPr="00251B0C" w:rsidRDefault="00840F1C" w:rsidP="002005F2">
            <w:pPr>
              <w:spacing w:after="0" w:line="240" w:lineRule="auto"/>
              <w:rPr>
                <w:rFonts w:ascii="Times New Roman" w:hAnsi="Times New Roman" w:cs="Times New Roman"/>
                <w:b/>
                <w:bCs/>
                <w:sz w:val="20"/>
                <w:szCs w:val="20"/>
              </w:rPr>
            </w:pPr>
            <w:r w:rsidRPr="00251B0C">
              <w:rPr>
                <w:rFonts w:ascii="Times New Roman" w:hAnsi="Times New Roman" w:cs="Times New Roman"/>
                <w:b/>
                <w:bCs/>
                <w:sz w:val="20"/>
                <w:szCs w:val="20"/>
              </w:rPr>
              <w:t xml:space="preserve">Average Burden Per Response (in Hours) </w:t>
            </w:r>
          </w:p>
        </w:tc>
        <w:tc>
          <w:tcPr>
            <w:tcW w:w="1192" w:type="dxa"/>
            <w:tcBorders>
              <w:top w:val="single" w:sz="8" w:space="0" w:color="000000"/>
              <w:left w:val="nil"/>
              <w:bottom w:val="nil"/>
              <w:right w:val="single" w:sz="8" w:space="0" w:color="000000"/>
            </w:tcBorders>
            <w:tcMar>
              <w:top w:w="0" w:type="dxa"/>
              <w:left w:w="129" w:type="dxa"/>
              <w:bottom w:w="0" w:type="dxa"/>
              <w:right w:w="129" w:type="dxa"/>
            </w:tcMar>
            <w:hideMark/>
          </w:tcPr>
          <w:p w14:paraId="44638482" w14:textId="77777777" w:rsidR="00840F1C" w:rsidRPr="00251B0C" w:rsidRDefault="00840F1C" w:rsidP="002005F2">
            <w:pPr>
              <w:spacing w:after="0" w:line="240" w:lineRule="auto"/>
              <w:rPr>
                <w:rFonts w:ascii="Times New Roman" w:hAnsi="Times New Roman" w:cs="Times New Roman"/>
                <w:b/>
                <w:bCs/>
                <w:sz w:val="20"/>
                <w:szCs w:val="20"/>
              </w:rPr>
            </w:pPr>
            <w:r w:rsidRPr="00251B0C">
              <w:rPr>
                <w:rFonts w:ascii="Times New Roman" w:hAnsi="Times New Roman" w:cs="Times New Roman"/>
                <w:b/>
                <w:bCs/>
                <w:sz w:val="20"/>
                <w:szCs w:val="20"/>
              </w:rPr>
              <w:t xml:space="preserve">Total </w:t>
            </w:r>
          </w:p>
          <w:p w14:paraId="38DF4A0A" w14:textId="77777777" w:rsidR="00840F1C" w:rsidRPr="00251B0C" w:rsidRDefault="00840F1C" w:rsidP="002005F2">
            <w:pPr>
              <w:spacing w:after="0" w:line="240" w:lineRule="auto"/>
              <w:rPr>
                <w:rFonts w:ascii="Times New Roman" w:hAnsi="Times New Roman" w:cs="Times New Roman"/>
                <w:b/>
                <w:bCs/>
                <w:sz w:val="20"/>
                <w:szCs w:val="20"/>
              </w:rPr>
            </w:pPr>
            <w:r w:rsidRPr="00251B0C">
              <w:rPr>
                <w:rFonts w:ascii="Times New Roman" w:hAnsi="Times New Roman" w:cs="Times New Roman"/>
                <w:b/>
                <w:bCs/>
                <w:sz w:val="20"/>
                <w:szCs w:val="20"/>
              </w:rPr>
              <w:t>Burden</w:t>
            </w:r>
          </w:p>
          <w:p w14:paraId="6928412A" w14:textId="77777777" w:rsidR="00840F1C" w:rsidRPr="00251B0C" w:rsidRDefault="00840F1C" w:rsidP="002005F2">
            <w:pPr>
              <w:spacing w:after="0" w:line="240" w:lineRule="auto"/>
              <w:rPr>
                <w:rFonts w:ascii="Times New Roman" w:hAnsi="Times New Roman" w:cs="Times New Roman"/>
                <w:b/>
                <w:bCs/>
                <w:sz w:val="20"/>
                <w:szCs w:val="20"/>
              </w:rPr>
            </w:pPr>
            <w:r w:rsidRPr="00251B0C">
              <w:rPr>
                <w:rFonts w:ascii="Times New Roman" w:hAnsi="Times New Roman" w:cs="Times New Roman"/>
                <w:b/>
                <w:bCs/>
                <w:sz w:val="20"/>
                <w:szCs w:val="20"/>
              </w:rPr>
              <w:t>Hours</w:t>
            </w:r>
          </w:p>
        </w:tc>
      </w:tr>
      <w:tr w:rsidR="00840F1C" w:rsidRPr="00251B0C" w14:paraId="1577CC70" w14:textId="77777777" w:rsidTr="00046EE0">
        <w:trPr>
          <w:cantSplit/>
        </w:trPr>
        <w:tc>
          <w:tcPr>
            <w:tcW w:w="1270" w:type="dxa"/>
            <w:tcBorders>
              <w:top w:val="single" w:sz="8" w:space="0" w:color="auto"/>
              <w:left w:val="single" w:sz="8" w:space="0" w:color="auto"/>
              <w:bottom w:val="single" w:sz="8" w:space="0" w:color="auto"/>
              <w:right w:val="single" w:sz="8" w:space="0" w:color="auto"/>
            </w:tcBorders>
            <w:tcMar>
              <w:top w:w="0" w:type="dxa"/>
              <w:left w:w="129" w:type="dxa"/>
              <w:bottom w:w="0" w:type="dxa"/>
              <w:right w:w="129" w:type="dxa"/>
            </w:tcMar>
            <w:hideMark/>
          </w:tcPr>
          <w:p w14:paraId="13820392" w14:textId="77777777" w:rsidR="00840F1C" w:rsidRPr="00251B0C" w:rsidRDefault="00840F1C" w:rsidP="002078A1">
            <w:pPr>
              <w:jc w:val="center"/>
              <w:rPr>
                <w:rFonts w:ascii="Times New Roman" w:hAnsi="Times New Roman" w:cs="Times New Roman"/>
                <w:sz w:val="20"/>
                <w:szCs w:val="20"/>
              </w:rPr>
            </w:pPr>
            <w:r w:rsidRPr="00251B0C">
              <w:rPr>
                <w:rFonts w:ascii="Times New Roman" w:hAnsi="Times New Roman" w:cs="Times New Roman"/>
                <w:sz w:val="20"/>
                <w:szCs w:val="20"/>
              </w:rPr>
              <w:t>Providers</w:t>
            </w:r>
          </w:p>
        </w:tc>
        <w:tc>
          <w:tcPr>
            <w:tcW w:w="1847" w:type="dxa"/>
            <w:tcBorders>
              <w:top w:val="single" w:sz="8" w:space="0" w:color="000000"/>
              <w:left w:val="nil"/>
              <w:bottom w:val="single" w:sz="8" w:space="0" w:color="000000"/>
              <w:right w:val="nil"/>
            </w:tcBorders>
            <w:tcMar>
              <w:top w:w="0" w:type="dxa"/>
              <w:left w:w="129" w:type="dxa"/>
              <w:bottom w:w="0" w:type="dxa"/>
              <w:right w:w="129" w:type="dxa"/>
            </w:tcMar>
            <w:hideMark/>
          </w:tcPr>
          <w:p w14:paraId="7DCFBC5F" w14:textId="77777777" w:rsidR="00840F1C" w:rsidRPr="00251B0C" w:rsidRDefault="002F79C4" w:rsidP="00242BEB">
            <w:pPr>
              <w:spacing w:after="0" w:line="240" w:lineRule="auto"/>
              <w:ind w:left="-39" w:right="51"/>
              <w:rPr>
                <w:rFonts w:ascii="Times New Roman" w:hAnsi="Times New Roman" w:cs="Times New Roman"/>
                <w:sz w:val="20"/>
                <w:szCs w:val="20"/>
              </w:rPr>
            </w:pPr>
            <w:r w:rsidRPr="00251B0C">
              <w:rPr>
                <w:rFonts w:ascii="Times New Roman" w:hAnsi="Times New Roman" w:cs="Times New Roman"/>
                <w:sz w:val="20"/>
                <w:szCs w:val="20"/>
              </w:rPr>
              <w:t>K-BAP Provider Baseline</w:t>
            </w:r>
            <w:r w:rsidR="00242BEB" w:rsidRPr="00251B0C">
              <w:rPr>
                <w:rFonts w:ascii="Times New Roman" w:hAnsi="Times New Roman" w:cs="Times New Roman"/>
                <w:sz w:val="20"/>
                <w:szCs w:val="20"/>
              </w:rPr>
              <w:t xml:space="preserve"> Screener and </w:t>
            </w:r>
            <w:r w:rsidRPr="00251B0C">
              <w:rPr>
                <w:rFonts w:ascii="Times New Roman" w:hAnsi="Times New Roman" w:cs="Times New Roman"/>
                <w:sz w:val="20"/>
                <w:szCs w:val="20"/>
              </w:rPr>
              <w:t xml:space="preserve"> Survey (Attachment 3a</w:t>
            </w:r>
            <w:r w:rsidR="00046EE0" w:rsidRPr="00251B0C">
              <w:rPr>
                <w:rFonts w:ascii="Times New Roman" w:hAnsi="Times New Roman" w:cs="Times New Roman"/>
                <w:sz w:val="20"/>
                <w:szCs w:val="20"/>
              </w:rPr>
              <w:t>, 9a</w:t>
            </w:r>
            <w:r w:rsidRPr="00251B0C">
              <w:rPr>
                <w:rFonts w:ascii="Times New Roman" w:hAnsi="Times New Roman" w:cs="Times New Roman"/>
                <w:sz w:val="20"/>
                <w:szCs w:val="20"/>
              </w:rPr>
              <w:t>)</w:t>
            </w:r>
          </w:p>
        </w:tc>
        <w:tc>
          <w:tcPr>
            <w:tcW w:w="1348" w:type="dxa"/>
            <w:tcBorders>
              <w:top w:val="single" w:sz="8" w:space="0" w:color="000000"/>
              <w:left w:val="single" w:sz="8" w:space="0" w:color="000000"/>
              <w:bottom w:val="single" w:sz="8" w:space="0" w:color="000000"/>
              <w:right w:val="nil"/>
            </w:tcBorders>
            <w:tcMar>
              <w:top w:w="0" w:type="dxa"/>
              <w:left w:w="129" w:type="dxa"/>
              <w:bottom w:w="0" w:type="dxa"/>
              <w:right w:w="129" w:type="dxa"/>
            </w:tcMar>
            <w:vAlign w:val="center"/>
            <w:hideMark/>
          </w:tcPr>
          <w:p w14:paraId="257A7B87" w14:textId="77777777" w:rsidR="00840F1C" w:rsidRPr="00251B0C" w:rsidRDefault="00840F1C" w:rsidP="00CE01CE">
            <w:pPr>
              <w:jc w:val="right"/>
              <w:rPr>
                <w:rFonts w:ascii="Times New Roman" w:hAnsi="Times New Roman" w:cs="Times New Roman"/>
                <w:sz w:val="20"/>
                <w:szCs w:val="20"/>
              </w:rPr>
            </w:pPr>
            <w:r w:rsidRPr="00251B0C">
              <w:rPr>
                <w:rFonts w:ascii="Times New Roman" w:hAnsi="Times New Roman" w:cs="Times New Roman"/>
                <w:sz w:val="20"/>
                <w:szCs w:val="20"/>
              </w:rPr>
              <w:t>182</w:t>
            </w:r>
            <w:r w:rsidR="00CE01CE" w:rsidRPr="00251B0C">
              <w:rPr>
                <w:rFonts w:ascii="Times New Roman" w:hAnsi="Times New Roman" w:cs="Times New Roman"/>
                <w:sz w:val="20"/>
                <w:szCs w:val="20"/>
              </w:rPr>
              <w:t>7</w:t>
            </w:r>
          </w:p>
        </w:tc>
        <w:tc>
          <w:tcPr>
            <w:tcW w:w="1585" w:type="dxa"/>
            <w:tcBorders>
              <w:top w:val="single" w:sz="8" w:space="0" w:color="000000"/>
              <w:left w:val="single" w:sz="8" w:space="0" w:color="000000"/>
              <w:bottom w:val="single" w:sz="8" w:space="0" w:color="000000"/>
              <w:right w:val="nil"/>
            </w:tcBorders>
            <w:tcMar>
              <w:top w:w="0" w:type="dxa"/>
              <w:left w:w="129" w:type="dxa"/>
              <w:bottom w:w="0" w:type="dxa"/>
              <w:right w:w="129" w:type="dxa"/>
            </w:tcMar>
            <w:vAlign w:val="center"/>
            <w:hideMark/>
          </w:tcPr>
          <w:p w14:paraId="66E1BCFD" w14:textId="77777777" w:rsidR="00840F1C" w:rsidRPr="00251B0C" w:rsidRDefault="007F6D49" w:rsidP="002078A1">
            <w:pPr>
              <w:ind w:right="-39"/>
              <w:jc w:val="right"/>
              <w:rPr>
                <w:rFonts w:ascii="Times New Roman" w:hAnsi="Times New Roman" w:cs="Times New Roman"/>
                <w:sz w:val="20"/>
                <w:szCs w:val="20"/>
              </w:rPr>
            </w:pPr>
            <w:r w:rsidRPr="00251B0C">
              <w:rPr>
                <w:rFonts w:ascii="Times New Roman" w:hAnsi="Times New Roman" w:cs="Times New Roman"/>
                <w:sz w:val="20"/>
                <w:szCs w:val="20"/>
              </w:rPr>
              <w:t>1</w:t>
            </w:r>
          </w:p>
        </w:tc>
        <w:tc>
          <w:tcPr>
            <w:tcW w:w="1398" w:type="dxa"/>
            <w:tcBorders>
              <w:top w:val="single" w:sz="8" w:space="0" w:color="000000"/>
              <w:left w:val="single" w:sz="8" w:space="0" w:color="000000"/>
              <w:bottom w:val="single" w:sz="8" w:space="0" w:color="000000"/>
              <w:right w:val="single" w:sz="8" w:space="0" w:color="000000"/>
            </w:tcBorders>
            <w:tcMar>
              <w:top w:w="0" w:type="dxa"/>
              <w:left w:w="129" w:type="dxa"/>
              <w:bottom w:w="0" w:type="dxa"/>
              <w:right w:w="129" w:type="dxa"/>
            </w:tcMar>
            <w:vAlign w:val="center"/>
            <w:hideMark/>
          </w:tcPr>
          <w:p w14:paraId="7D1C12AB" w14:textId="77777777" w:rsidR="00840F1C" w:rsidRPr="00251B0C" w:rsidRDefault="00E627FB" w:rsidP="00242BEB">
            <w:pPr>
              <w:ind w:right="-39"/>
              <w:jc w:val="right"/>
              <w:rPr>
                <w:rFonts w:ascii="Times New Roman" w:hAnsi="Times New Roman" w:cs="Times New Roman"/>
                <w:sz w:val="20"/>
                <w:szCs w:val="20"/>
              </w:rPr>
            </w:pPr>
            <w:r w:rsidRPr="00251B0C">
              <w:rPr>
                <w:rFonts w:ascii="Times New Roman" w:hAnsi="Times New Roman" w:cs="Times New Roman"/>
                <w:sz w:val="20"/>
                <w:szCs w:val="20"/>
              </w:rPr>
              <w:t>30</w:t>
            </w:r>
            <w:r w:rsidR="00840F1C" w:rsidRPr="00251B0C">
              <w:rPr>
                <w:rFonts w:ascii="Times New Roman" w:hAnsi="Times New Roman" w:cs="Times New Roman"/>
                <w:sz w:val="20"/>
                <w:szCs w:val="20"/>
              </w:rPr>
              <w:t>/60</w:t>
            </w:r>
          </w:p>
        </w:tc>
        <w:tc>
          <w:tcPr>
            <w:tcW w:w="1192" w:type="dxa"/>
            <w:tcBorders>
              <w:top w:val="single" w:sz="8" w:space="0" w:color="000000"/>
              <w:left w:val="nil"/>
              <w:bottom w:val="single" w:sz="8" w:space="0" w:color="000000"/>
              <w:right w:val="single" w:sz="8" w:space="0" w:color="000000"/>
            </w:tcBorders>
            <w:tcMar>
              <w:top w:w="0" w:type="dxa"/>
              <w:left w:w="129" w:type="dxa"/>
              <w:bottom w:w="0" w:type="dxa"/>
              <w:right w:w="129" w:type="dxa"/>
            </w:tcMar>
            <w:vAlign w:val="center"/>
            <w:hideMark/>
          </w:tcPr>
          <w:p w14:paraId="39052561" w14:textId="77777777" w:rsidR="00840F1C" w:rsidRPr="00251B0C" w:rsidRDefault="00E627FB" w:rsidP="00242BEB">
            <w:pPr>
              <w:jc w:val="right"/>
              <w:rPr>
                <w:rFonts w:ascii="Times New Roman" w:hAnsi="Times New Roman" w:cs="Times New Roman"/>
                <w:sz w:val="20"/>
                <w:szCs w:val="20"/>
              </w:rPr>
            </w:pPr>
            <w:r w:rsidRPr="00251B0C">
              <w:rPr>
                <w:rFonts w:ascii="Times New Roman" w:hAnsi="Times New Roman" w:cs="Times New Roman"/>
                <w:sz w:val="20"/>
                <w:szCs w:val="20"/>
              </w:rPr>
              <w:t>914</w:t>
            </w:r>
          </w:p>
        </w:tc>
      </w:tr>
      <w:tr w:rsidR="00840F1C" w:rsidRPr="00251B0C" w14:paraId="6CF7D8E3" w14:textId="77777777" w:rsidTr="00046EE0">
        <w:trPr>
          <w:cantSplit/>
        </w:trPr>
        <w:tc>
          <w:tcPr>
            <w:tcW w:w="1270" w:type="dxa"/>
            <w:tcBorders>
              <w:top w:val="single" w:sz="8" w:space="0" w:color="auto"/>
              <w:left w:val="single" w:sz="8" w:space="0" w:color="auto"/>
              <w:bottom w:val="single" w:sz="8" w:space="0" w:color="auto"/>
              <w:right w:val="single" w:sz="8" w:space="0" w:color="auto"/>
            </w:tcBorders>
            <w:tcMar>
              <w:top w:w="0" w:type="dxa"/>
              <w:left w:w="129" w:type="dxa"/>
              <w:bottom w:w="0" w:type="dxa"/>
              <w:right w:w="129" w:type="dxa"/>
            </w:tcMar>
          </w:tcPr>
          <w:p w14:paraId="2FEAA221" w14:textId="77777777" w:rsidR="00840F1C" w:rsidRPr="00251B0C" w:rsidRDefault="00840F1C" w:rsidP="002078A1">
            <w:pPr>
              <w:jc w:val="center"/>
              <w:rPr>
                <w:rFonts w:ascii="Times New Roman" w:hAnsi="Times New Roman" w:cs="Times New Roman"/>
                <w:sz w:val="20"/>
                <w:szCs w:val="20"/>
              </w:rPr>
            </w:pPr>
            <w:r w:rsidRPr="00251B0C">
              <w:rPr>
                <w:rFonts w:ascii="Times New Roman" w:hAnsi="Times New Roman" w:cs="Times New Roman"/>
                <w:sz w:val="20"/>
                <w:szCs w:val="20"/>
              </w:rPr>
              <w:lastRenderedPageBreak/>
              <w:t>Providers</w:t>
            </w:r>
          </w:p>
        </w:tc>
        <w:tc>
          <w:tcPr>
            <w:tcW w:w="1847" w:type="dxa"/>
            <w:tcBorders>
              <w:top w:val="single" w:sz="8" w:space="0" w:color="auto"/>
              <w:left w:val="nil"/>
              <w:bottom w:val="single" w:sz="8" w:space="0" w:color="000000"/>
              <w:right w:val="nil"/>
            </w:tcBorders>
            <w:tcMar>
              <w:top w:w="0" w:type="dxa"/>
              <w:left w:w="129" w:type="dxa"/>
              <w:bottom w:w="0" w:type="dxa"/>
              <w:right w:w="129" w:type="dxa"/>
            </w:tcMar>
          </w:tcPr>
          <w:p w14:paraId="575AA3BA" w14:textId="77777777" w:rsidR="00840F1C" w:rsidRPr="00251B0C" w:rsidRDefault="002F79C4" w:rsidP="00DB1613">
            <w:pPr>
              <w:spacing w:after="0" w:line="240" w:lineRule="auto"/>
              <w:ind w:left="-39" w:right="51"/>
              <w:rPr>
                <w:rFonts w:ascii="Times New Roman" w:hAnsi="Times New Roman" w:cs="Times New Roman"/>
                <w:sz w:val="20"/>
                <w:szCs w:val="20"/>
              </w:rPr>
            </w:pPr>
            <w:r w:rsidRPr="00251B0C">
              <w:rPr>
                <w:rFonts w:ascii="Times New Roman" w:hAnsi="Times New Roman" w:cs="Times New Roman"/>
                <w:sz w:val="20"/>
                <w:szCs w:val="20"/>
              </w:rPr>
              <w:t xml:space="preserve">K-BAP Provider </w:t>
            </w:r>
            <w:r w:rsidR="00DB1613" w:rsidRPr="00251B0C">
              <w:rPr>
                <w:rFonts w:ascii="Times New Roman" w:hAnsi="Times New Roman" w:cs="Times New Roman"/>
                <w:sz w:val="20"/>
                <w:szCs w:val="20"/>
              </w:rPr>
              <w:t>Follow-Up</w:t>
            </w:r>
            <w:r w:rsidRPr="00251B0C">
              <w:rPr>
                <w:rFonts w:ascii="Times New Roman" w:hAnsi="Times New Roman" w:cs="Times New Roman"/>
                <w:sz w:val="20"/>
                <w:szCs w:val="20"/>
              </w:rPr>
              <w:t xml:space="preserve"> </w:t>
            </w:r>
            <w:r w:rsidR="00242BEB" w:rsidRPr="00251B0C">
              <w:rPr>
                <w:rFonts w:ascii="Times New Roman" w:hAnsi="Times New Roman" w:cs="Times New Roman"/>
                <w:sz w:val="20"/>
                <w:szCs w:val="20"/>
              </w:rPr>
              <w:t xml:space="preserve">Screener and </w:t>
            </w:r>
            <w:r w:rsidRPr="00251B0C">
              <w:rPr>
                <w:rFonts w:ascii="Times New Roman" w:hAnsi="Times New Roman" w:cs="Times New Roman"/>
                <w:sz w:val="20"/>
                <w:szCs w:val="20"/>
              </w:rPr>
              <w:t>Survey (Attachment 3</w:t>
            </w:r>
            <w:r w:rsidR="00A07D86" w:rsidRPr="00251B0C">
              <w:rPr>
                <w:rFonts w:ascii="Times New Roman" w:hAnsi="Times New Roman" w:cs="Times New Roman"/>
                <w:sz w:val="20"/>
                <w:szCs w:val="20"/>
              </w:rPr>
              <w:t>b</w:t>
            </w:r>
            <w:r w:rsidR="00046EE0" w:rsidRPr="00251B0C">
              <w:rPr>
                <w:rFonts w:ascii="Times New Roman" w:hAnsi="Times New Roman" w:cs="Times New Roman"/>
                <w:sz w:val="20"/>
                <w:szCs w:val="20"/>
              </w:rPr>
              <w:t>, 9b</w:t>
            </w:r>
            <w:r w:rsidRPr="00251B0C">
              <w:rPr>
                <w:rFonts w:ascii="Times New Roman" w:hAnsi="Times New Roman" w:cs="Times New Roman"/>
                <w:sz w:val="20"/>
                <w:szCs w:val="20"/>
              </w:rPr>
              <w:t>)</w:t>
            </w:r>
          </w:p>
        </w:tc>
        <w:tc>
          <w:tcPr>
            <w:tcW w:w="1348" w:type="dxa"/>
            <w:tcBorders>
              <w:top w:val="single" w:sz="8" w:space="0" w:color="auto"/>
              <w:left w:val="single" w:sz="8" w:space="0" w:color="000000"/>
              <w:bottom w:val="single" w:sz="8" w:space="0" w:color="000000"/>
              <w:right w:val="nil"/>
            </w:tcBorders>
            <w:tcMar>
              <w:top w:w="0" w:type="dxa"/>
              <w:left w:w="129" w:type="dxa"/>
              <w:bottom w:w="0" w:type="dxa"/>
              <w:right w:w="129" w:type="dxa"/>
            </w:tcMar>
            <w:vAlign w:val="center"/>
          </w:tcPr>
          <w:p w14:paraId="4B480B4F" w14:textId="77777777" w:rsidR="00840F1C" w:rsidRPr="00251B0C" w:rsidRDefault="007B32B6" w:rsidP="00CE01CE">
            <w:pPr>
              <w:jc w:val="right"/>
              <w:rPr>
                <w:rFonts w:ascii="Times New Roman" w:hAnsi="Times New Roman" w:cs="Times New Roman"/>
                <w:sz w:val="20"/>
                <w:szCs w:val="20"/>
              </w:rPr>
            </w:pPr>
            <w:r w:rsidRPr="00251B0C">
              <w:rPr>
                <w:rFonts w:ascii="Times New Roman" w:hAnsi="Times New Roman" w:cs="Times New Roman"/>
                <w:sz w:val="20"/>
                <w:szCs w:val="20"/>
              </w:rPr>
              <w:t>914</w:t>
            </w:r>
          </w:p>
        </w:tc>
        <w:tc>
          <w:tcPr>
            <w:tcW w:w="1585" w:type="dxa"/>
            <w:tcBorders>
              <w:top w:val="single" w:sz="8" w:space="0" w:color="auto"/>
              <w:left w:val="single" w:sz="8" w:space="0" w:color="000000"/>
              <w:bottom w:val="single" w:sz="8" w:space="0" w:color="000000"/>
              <w:right w:val="nil"/>
            </w:tcBorders>
            <w:tcMar>
              <w:top w:w="0" w:type="dxa"/>
              <w:left w:w="129" w:type="dxa"/>
              <w:bottom w:w="0" w:type="dxa"/>
              <w:right w:w="129" w:type="dxa"/>
            </w:tcMar>
            <w:vAlign w:val="center"/>
          </w:tcPr>
          <w:p w14:paraId="25E6AF64" w14:textId="77777777" w:rsidR="00840F1C" w:rsidRPr="00251B0C" w:rsidRDefault="007F6D49" w:rsidP="002078A1">
            <w:pPr>
              <w:ind w:right="-39"/>
              <w:jc w:val="right"/>
              <w:rPr>
                <w:rFonts w:ascii="Times New Roman" w:hAnsi="Times New Roman" w:cs="Times New Roman"/>
                <w:sz w:val="20"/>
                <w:szCs w:val="20"/>
              </w:rPr>
            </w:pPr>
            <w:r w:rsidRPr="00251B0C">
              <w:rPr>
                <w:rFonts w:ascii="Times New Roman" w:hAnsi="Times New Roman" w:cs="Times New Roman"/>
                <w:sz w:val="20"/>
                <w:szCs w:val="20"/>
              </w:rPr>
              <w:t>1</w:t>
            </w:r>
          </w:p>
        </w:tc>
        <w:tc>
          <w:tcPr>
            <w:tcW w:w="1398" w:type="dxa"/>
            <w:tcBorders>
              <w:top w:val="single" w:sz="8" w:space="0" w:color="auto"/>
              <w:left w:val="single" w:sz="8" w:space="0" w:color="000000"/>
              <w:bottom w:val="single" w:sz="8" w:space="0" w:color="000000"/>
              <w:right w:val="single" w:sz="8" w:space="0" w:color="000000"/>
            </w:tcBorders>
            <w:tcMar>
              <w:top w:w="0" w:type="dxa"/>
              <w:left w:w="129" w:type="dxa"/>
              <w:bottom w:w="0" w:type="dxa"/>
              <w:right w:w="129" w:type="dxa"/>
            </w:tcMar>
            <w:vAlign w:val="center"/>
          </w:tcPr>
          <w:p w14:paraId="1DE35311" w14:textId="77777777" w:rsidR="00840F1C" w:rsidRPr="00251B0C" w:rsidRDefault="00E627FB" w:rsidP="002078A1">
            <w:pPr>
              <w:ind w:right="-39"/>
              <w:jc w:val="right"/>
              <w:rPr>
                <w:rFonts w:ascii="Times New Roman" w:hAnsi="Times New Roman" w:cs="Times New Roman"/>
                <w:sz w:val="20"/>
                <w:szCs w:val="20"/>
              </w:rPr>
            </w:pPr>
            <w:r w:rsidRPr="00251B0C">
              <w:rPr>
                <w:rFonts w:ascii="Times New Roman" w:hAnsi="Times New Roman" w:cs="Times New Roman"/>
                <w:sz w:val="20"/>
                <w:szCs w:val="20"/>
              </w:rPr>
              <w:t>20</w:t>
            </w:r>
            <w:r w:rsidR="00840F1C" w:rsidRPr="00251B0C">
              <w:rPr>
                <w:rFonts w:ascii="Times New Roman" w:hAnsi="Times New Roman" w:cs="Times New Roman"/>
                <w:sz w:val="20"/>
                <w:szCs w:val="20"/>
              </w:rPr>
              <w:t>/60</w:t>
            </w:r>
          </w:p>
        </w:tc>
        <w:tc>
          <w:tcPr>
            <w:tcW w:w="1192" w:type="dxa"/>
            <w:tcBorders>
              <w:top w:val="single" w:sz="8" w:space="0" w:color="auto"/>
              <w:left w:val="nil"/>
              <w:bottom w:val="single" w:sz="8" w:space="0" w:color="000000"/>
              <w:right w:val="single" w:sz="8" w:space="0" w:color="000000"/>
            </w:tcBorders>
            <w:tcMar>
              <w:top w:w="0" w:type="dxa"/>
              <w:left w:w="129" w:type="dxa"/>
              <w:bottom w:w="0" w:type="dxa"/>
              <w:right w:w="129" w:type="dxa"/>
            </w:tcMar>
            <w:vAlign w:val="center"/>
          </w:tcPr>
          <w:p w14:paraId="34F66E72" w14:textId="77777777" w:rsidR="00840F1C" w:rsidRPr="00251B0C" w:rsidRDefault="00E627FB" w:rsidP="00242BEB">
            <w:pPr>
              <w:jc w:val="right"/>
              <w:rPr>
                <w:rFonts w:ascii="Times New Roman" w:hAnsi="Times New Roman" w:cs="Times New Roman"/>
                <w:sz w:val="20"/>
                <w:szCs w:val="20"/>
              </w:rPr>
            </w:pPr>
            <w:r w:rsidRPr="00251B0C">
              <w:rPr>
                <w:rFonts w:ascii="Times New Roman" w:hAnsi="Times New Roman" w:cs="Times New Roman"/>
                <w:sz w:val="20"/>
                <w:szCs w:val="20"/>
              </w:rPr>
              <w:t>305</w:t>
            </w:r>
          </w:p>
        </w:tc>
      </w:tr>
      <w:tr w:rsidR="002F79C4" w:rsidRPr="00251B0C" w14:paraId="0285AC5D" w14:textId="77777777" w:rsidTr="000918FE">
        <w:trPr>
          <w:cantSplit/>
        </w:trPr>
        <w:tc>
          <w:tcPr>
            <w:tcW w:w="7448" w:type="dxa"/>
            <w:gridSpan w:val="5"/>
            <w:tcBorders>
              <w:top w:val="nil"/>
              <w:left w:val="single" w:sz="8" w:space="0" w:color="000000"/>
              <w:bottom w:val="single" w:sz="8" w:space="0" w:color="000000"/>
              <w:right w:val="single" w:sz="8" w:space="0" w:color="000000"/>
            </w:tcBorders>
            <w:tcMar>
              <w:top w:w="0" w:type="dxa"/>
              <w:left w:w="129" w:type="dxa"/>
              <w:bottom w:w="0" w:type="dxa"/>
              <w:right w:w="129" w:type="dxa"/>
            </w:tcMar>
            <w:hideMark/>
          </w:tcPr>
          <w:p w14:paraId="7B48759F" w14:textId="77777777" w:rsidR="002F79C4" w:rsidRPr="00251B0C" w:rsidRDefault="002F79C4" w:rsidP="002F79C4">
            <w:pPr>
              <w:ind w:right="224"/>
              <w:rPr>
                <w:rFonts w:ascii="Times New Roman" w:hAnsi="Times New Roman" w:cs="Times New Roman"/>
                <w:b/>
                <w:bCs/>
                <w:sz w:val="20"/>
                <w:szCs w:val="20"/>
              </w:rPr>
            </w:pPr>
            <w:r w:rsidRPr="00251B0C">
              <w:rPr>
                <w:rFonts w:ascii="Times New Roman" w:hAnsi="Times New Roman" w:cs="Times New Roman"/>
                <w:b/>
                <w:bCs/>
                <w:sz w:val="20"/>
                <w:szCs w:val="20"/>
              </w:rPr>
              <w:t>Total</w:t>
            </w:r>
          </w:p>
        </w:tc>
        <w:tc>
          <w:tcPr>
            <w:tcW w:w="1192" w:type="dxa"/>
            <w:tcBorders>
              <w:top w:val="nil"/>
              <w:left w:val="nil"/>
              <w:bottom w:val="single" w:sz="8" w:space="0" w:color="000000"/>
              <w:right w:val="single" w:sz="8" w:space="0" w:color="000000"/>
            </w:tcBorders>
            <w:tcMar>
              <w:top w:w="0" w:type="dxa"/>
              <w:left w:w="129" w:type="dxa"/>
              <w:bottom w:w="0" w:type="dxa"/>
              <w:right w:w="129" w:type="dxa"/>
            </w:tcMar>
            <w:vAlign w:val="center"/>
            <w:hideMark/>
          </w:tcPr>
          <w:p w14:paraId="25D54A07" w14:textId="77777777" w:rsidR="002F79C4" w:rsidRPr="00251B0C" w:rsidRDefault="00D3116E" w:rsidP="00F133D5">
            <w:pPr>
              <w:jc w:val="right"/>
              <w:rPr>
                <w:rFonts w:ascii="Times New Roman" w:hAnsi="Times New Roman" w:cs="Times New Roman"/>
                <w:b/>
                <w:bCs/>
                <w:sz w:val="20"/>
                <w:szCs w:val="20"/>
              </w:rPr>
            </w:pPr>
            <w:r w:rsidRPr="00251B0C">
              <w:rPr>
                <w:rFonts w:ascii="Times New Roman" w:hAnsi="Times New Roman" w:cs="Times New Roman"/>
                <w:b/>
                <w:bCs/>
                <w:sz w:val="20"/>
                <w:szCs w:val="20"/>
              </w:rPr>
              <w:t>1219</w:t>
            </w:r>
          </w:p>
        </w:tc>
      </w:tr>
    </w:tbl>
    <w:p w14:paraId="5D3219A4" w14:textId="77777777" w:rsidR="00840F1C" w:rsidRPr="00251B0C" w:rsidRDefault="00840F1C" w:rsidP="00840F1C">
      <w:pPr>
        <w:pStyle w:val="ListParagraph"/>
        <w:rPr>
          <w:rFonts w:ascii="Times New Roman" w:hAnsi="Times New Roman" w:cs="Times New Roman"/>
          <w:b/>
        </w:rPr>
      </w:pPr>
    </w:p>
    <w:p w14:paraId="660E88B6" w14:textId="77777777" w:rsidR="000918FE" w:rsidRPr="00251B0C" w:rsidRDefault="000918FE" w:rsidP="003A532E">
      <w:pPr>
        <w:pStyle w:val="ListParagraph"/>
        <w:tabs>
          <w:tab w:val="left" w:pos="360"/>
          <w:tab w:val="left" w:pos="720"/>
        </w:tabs>
        <w:autoSpaceDE w:val="0"/>
        <w:autoSpaceDN w:val="0"/>
        <w:adjustRightInd w:val="0"/>
        <w:spacing w:before="120" w:after="120"/>
        <w:contextualSpacing w:val="0"/>
        <w:rPr>
          <w:rFonts w:ascii="Times New Roman" w:hAnsi="Times New Roman" w:cs="Times New Roman"/>
          <w:b/>
          <w:sz w:val="24"/>
          <w:szCs w:val="24"/>
        </w:rPr>
      </w:pPr>
    </w:p>
    <w:p w14:paraId="569FA0AE" w14:textId="77777777" w:rsidR="000918FE" w:rsidRPr="00251B0C" w:rsidRDefault="000918FE" w:rsidP="000918FE">
      <w:pPr>
        <w:pStyle w:val="ListParagraph"/>
        <w:tabs>
          <w:tab w:val="left" w:pos="360"/>
          <w:tab w:val="left" w:pos="720"/>
        </w:tabs>
        <w:autoSpaceDE w:val="0"/>
        <w:autoSpaceDN w:val="0"/>
        <w:adjustRightInd w:val="0"/>
        <w:spacing w:before="120" w:after="120"/>
        <w:ind w:left="0"/>
        <w:contextualSpacing w:val="0"/>
        <w:rPr>
          <w:rFonts w:ascii="Times New Roman" w:hAnsi="Times New Roman" w:cs="Times New Roman"/>
          <w:b/>
          <w:sz w:val="24"/>
          <w:szCs w:val="24"/>
        </w:rPr>
      </w:pPr>
    </w:p>
    <w:p w14:paraId="44E42900" w14:textId="77777777" w:rsidR="000918FE" w:rsidRPr="00251B0C" w:rsidRDefault="000918FE" w:rsidP="000918FE">
      <w:pPr>
        <w:pStyle w:val="ListParagraph"/>
        <w:tabs>
          <w:tab w:val="left" w:pos="360"/>
          <w:tab w:val="left" w:pos="720"/>
        </w:tabs>
        <w:autoSpaceDE w:val="0"/>
        <w:autoSpaceDN w:val="0"/>
        <w:adjustRightInd w:val="0"/>
        <w:spacing w:before="120" w:after="120"/>
        <w:ind w:left="0"/>
        <w:contextualSpacing w:val="0"/>
        <w:rPr>
          <w:rFonts w:ascii="Times New Roman" w:hAnsi="Times New Roman" w:cs="Times New Roman"/>
          <w:b/>
          <w:sz w:val="24"/>
          <w:szCs w:val="24"/>
        </w:rPr>
      </w:pPr>
    </w:p>
    <w:p w14:paraId="0005AD29" w14:textId="77777777" w:rsidR="00A639E3" w:rsidRPr="00251B0C" w:rsidRDefault="00A639E3" w:rsidP="000918FE">
      <w:pPr>
        <w:pStyle w:val="ListParagraph"/>
        <w:tabs>
          <w:tab w:val="left" w:pos="360"/>
          <w:tab w:val="left" w:pos="720"/>
        </w:tabs>
        <w:autoSpaceDE w:val="0"/>
        <w:autoSpaceDN w:val="0"/>
        <w:adjustRightInd w:val="0"/>
        <w:spacing w:before="120" w:after="120"/>
        <w:ind w:left="0"/>
        <w:contextualSpacing w:val="0"/>
        <w:rPr>
          <w:rFonts w:ascii="Times New Roman" w:hAnsi="Times New Roman" w:cs="Times New Roman"/>
          <w:b/>
          <w:sz w:val="24"/>
          <w:szCs w:val="24"/>
        </w:rPr>
      </w:pPr>
      <w:r w:rsidRPr="00251B0C">
        <w:rPr>
          <w:rFonts w:ascii="Times New Roman" w:hAnsi="Times New Roman" w:cs="Times New Roman"/>
          <w:b/>
          <w:sz w:val="24"/>
          <w:szCs w:val="24"/>
        </w:rPr>
        <w:t xml:space="preserve">Table </w:t>
      </w:r>
      <w:r w:rsidR="00E06782" w:rsidRPr="00251B0C">
        <w:rPr>
          <w:rFonts w:ascii="Times New Roman" w:hAnsi="Times New Roman" w:cs="Times New Roman"/>
          <w:b/>
          <w:sz w:val="24"/>
          <w:szCs w:val="24"/>
        </w:rPr>
        <w:t>A12.2 Estimated</w:t>
      </w:r>
      <w:r w:rsidRPr="00251B0C">
        <w:rPr>
          <w:rFonts w:ascii="Times New Roman" w:hAnsi="Times New Roman" w:cs="Times New Roman"/>
          <w:b/>
          <w:sz w:val="24"/>
          <w:szCs w:val="24"/>
        </w:rPr>
        <w:t xml:space="preserve"> Annualized Burden Costs</w:t>
      </w:r>
    </w:p>
    <w:tbl>
      <w:tblPr>
        <w:tblW w:w="8730" w:type="dxa"/>
        <w:tblInd w:w="350" w:type="dxa"/>
        <w:tblCellMar>
          <w:left w:w="0" w:type="dxa"/>
          <w:right w:w="0" w:type="dxa"/>
        </w:tblCellMar>
        <w:tblLook w:val="04A0" w:firstRow="1" w:lastRow="0" w:firstColumn="1" w:lastColumn="0" w:noHBand="0" w:noVBand="1"/>
      </w:tblPr>
      <w:tblGrid>
        <w:gridCol w:w="1440"/>
        <w:gridCol w:w="2430"/>
        <w:gridCol w:w="1080"/>
        <w:gridCol w:w="1914"/>
        <w:gridCol w:w="1866"/>
      </w:tblGrid>
      <w:tr w:rsidR="00232DE0" w:rsidRPr="00251B0C" w14:paraId="12956775" w14:textId="77777777" w:rsidTr="003A532E">
        <w:trPr>
          <w:cantSplit/>
          <w:tblHeader/>
        </w:trPr>
        <w:tc>
          <w:tcPr>
            <w:tcW w:w="1440" w:type="dxa"/>
            <w:tcBorders>
              <w:top w:val="single" w:sz="8" w:space="0" w:color="000000"/>
              <w:left w:val="single" w:sz="8" w:space="0" w:color="000000"/>
              <w:bottom w:val="nil"/>
              <w:right w:val="nil"/>
            </w:tcBorders>
            <w:tcMar>
              <w:top w:w="0" w:type="dxa"/>
              <w:left w:w="129" w:type="dxa"/>
              <w:bottom w:w="0" w:type="dxa"/>
              <w:right w:w="129" w:type="dxa"/>
            </w:tcMar>
            <w:hideMark/>
          </w:tcPr>
          <w:p w14:paraId="74D0AE4C" w14:textId="77777777" w:rsidR="00232DE0" w:rsidRPr="00251B0C" w:rsidRDefault="00232DE0" w:rsidP="00A03B89">
            <w:pPr>
              <w:spacing w:after="0" w:line="240" w:lineRule="auto"/>
              <w:jc w:val="center"/>
              <w:rPr>
                <w:rFonts w:ascii="Times New Roman" w:hAnsi="Times New Roman" w:cs="Times New Roman"/>
                <w:b/>
                <w:bCs/>
                <w:sz w:val="20"/>
                <w:szCs w:val="20"/>
              </w:rPr>
            </w:pPr>
            <w:r w:rsidRPr="00251B0C">
              <w:rPr>
                <w:rFonts w:ascii="Times New Roman" w:hAnsi="Times New Roman" w:cs="Times New Roman"/>
                <w:b/>
                <w:bCs/>
                <w:sz w:val="20"/>
                <w:szCs w:val="20"/>
              </w:rPr>
              <w:t>Type of Respondent</w:t>
            </w:r>
          </w:p>
        </w:tc>
        <w:tc>
          <w:tcPr>
            <w:tcW w:w="2430" w:type="dxa"/>
            <w:tcBorders>
              <w:top w:val="single" w:sz="8" w:space="0" w:color="000000"/>
              <w:left w:val="single" w:sz="8" w:space="0" w:color="000000"/>
              <w:bottom w:val="nil"/>
              <w:right w:val="nil"/>
            </w:tcBorders>
            <w:tcMar>
              <w:top w:w="0" w:type="dxa"/>
              <w:left w:w="129" w:type="dxa"/>
              <w:bottom w:w="0" w:type="dxa"/>
              <w:right w:w="129" w:type="dxa"/>
            </w:tcMar>
            <w:hideMark/>
          </w:tcPr>
          <w:p w14:paraId="04BB807E" w14:textId="77777777" w:rsidR="00232DE0" w:rsidRPr="00251B0C" w:rsidRDefault="00232DE0" w:rsidP="00DF1B5F">
            <w:pPr>
              <w:spacing w:after="0" w:line="240" w:lineRule="auto"/>
              <w:jc w:val="center"/>
              <w:rPr>
                <w:rFonts w:ascii="Times New Roman" w:hAnsi="Times New Roman" w:cs="Times New Roman"/>
                <w:b/>
                <w:bCs/>
                <w:sz w:val="20"/>
                <w:szCs w:val="20"/>
              </w:rPr>
            </w:pPr>
            <w:r w:rsidRPr="00251B0C">
              <w:rPr>
                <w:rFonts w:ascii="Times New Roman" w:hAnsi="Times New Roman" w:cs="Times New Roman"/>
                <w:b/>
                <w:bCs/>
                <w:sz w:val="20"/>
                <w:szCs w:val="20"/>
              </w:rPr>
              <w:t>Form Name</w:t>
            </w:r>
          </w:p>
        </w:tc>
        <w:tc>
          <w:tcPr>
            <w:tcW w:w="1080" w:type="dxa"/>
            <w:tcBorders>
              <w:top w:val="single" w:sz="8" w:space="0" w:color="000000"/>
              <w:left w:val="single" w:sz="8" w:space="0" w:color="000000"/>
              <w:bottom w:val="nil"/>
              <w:right w:val="nil"/>
            </w:tcBorders>
            <w:tcMar>
              <w:top w:w="0" w:type="dxa"/>
              <w:left w:w="129" w:type="dxa"/>
              <w:bottom w:w="0" w:type="dxa"/>
              <w:right w:w="129" w:type="dxa"/>
            </w:tcMar>
            <w:hideMark/>
          </w:tcPr>
          <w:p w14:paraId="283D0BCF" w14:textId="77777777" w:rsidR="00232DE0" w:rsidRPr="00251B0C" w:rsidRDefault="00232DE0" w:rsidP="00DF1B5F">
            <w:pPr>
              <w:spacing w:after="0" w:line="240" w:lineRule="auto"/>
              <w:jc w:val="center"/>
              <w:rPr>
                <w:rFonts w:ascii="Times New Roman" w:hAnsi="Times New Roman" w:cs="Times New Roman"/>
                <w:b/>
                <w:bCs/>
                <w:sz w:val="20"/>
                <w:szCs w:val="20"/>
              </w:rPr>
            </w:pPr>
            <w:r w:rsidRPr="00251B0C">
              <w:rPr>
                <w:rFonts w:ascii="Times New Roman" w:hAnsi="Times New Roman" w:cs="Times New Roman"/>
                <w:b/>
                <w:bCs/>
                <w:sz w:val="20"/>
                <w:szCs w:val="20"/>
              </w:rPr>
              <w:t>Total Burden Hours</w:t>
            </w:r>
          </w:p>
        </w:tc>
        <w:tc>
          <w:tcPr>
            <w:tcW w:w="1914" w:type="dxa"/>
            <w:tcBorders>
              <w:top w:val="single" w:sz="8" w:space="0" w:color="000000"/>
              <w:left w:val="single" w:sz="8" w:space="0" w:color="000000"/>
              <w:bottom w:val="nil"/>
              <w:right w:val="single" w:sz="8" w:space="0" w:color="000000"/>
            </w:tcBorders>
            <w:tcMar>
              <w:top w:w="0" w:type="dxa"/>
              <w:left w:w="129" w:type="dxa"/>
              <w:bottom w:w="0" w:type="dxa"/>
              <w:right w:w="129" w:type="dxa"/>
            </w:tcMar>
            <w:hideMark/>
          </w:tcPr>
          <w:p w14:paraId="48FADA37" w14:textId="77777777" w:rsidR="00232DE0" w:rsidRPr="00251B0C" w:rsidRDefault="00232DE0" w:rsidP="00DF1B5F">
            <w:pPr>
              <w:spacing w:after="0" w:line="240" w:lineRule="auto"/>
              <w:jc w:val="center"/>
              <w:rPr>
                <w:rFonts w:ascii="Times New Roman" w:hAnsi="Times New Roman" w:cs="Times New Roman"/>
                <w:b/>
                <w:bCs/>
                <w:sz w:val="20"/>
                <w:szCs w:val="20"/>
              </w:rPr>
            </w:pPr>
            <w:r w:rsidRPr="00251B0C">
              <w:rPr>
                <w:rFonts w:ascii="Times New Roman" w:hAnsi="Times New Roman" w:cs="Times New Roman"/>
                <w:b/>
                <w:bCs/>
                <w:sz w:val="20"/>
                <w:szCs w:val="20"/>
              </w:rPr>
              <w:t>Hourly Wage Rate</w:t>
            </w:r>
            <w:r w:rsidR="003A532E" w:rsidRPr="00251B0C">
              <w:rPr>
                <w:rFonts w:ascii="Times New Roman" w:hAnsi="Times New Roman" w:cs="Times New Roman"/>
                <w:b/>
                <w:bCs/>
                <w:sz w:val="20"/>
                <w:szCs w:val="20"/>
              </w:rPr>
              <w:t>†</w:t>
            </w:r>
          </w:p>
        </w:tc>
        <w:tc>
          <w:tcPr>
            <w:tcW w:w="1866" w:type="dxa"/>
            <w:tcBorders>
              <w:top w:val="single" w:sz="8" w:space="0" w:color="000000"/>
              <w:left w:val="nil"/>
              <w:bottom w:val="nil"/>
              <w:right w:val="single" w:sz="8" w:space="0" w:color="000000"/>
            </w:tcBorders>
            <w:tcMar>
              <w:top w:w="0" w:type="dxa"/>
              <w:left w:w="129" w:type="dxa"/>
              <w:bottom w:w="0" w:type="dxa"/>
              <w:right w:w="129" w:type="dxa"/>
            </w:tcMar>
            <w:hideMark/>
          </w:tcPr>
          <w:p w14:paraId="5A925DE6" w14:textId="77777777" w:rsidR="00232DE0" w:rsidRPr="00251B0C" w:rsidRDefault="00232DE0" w:rsidP="00DF1B5F">
            <w:pPr>
              <w:spacing w:after="0" w:line="240" w:lineRule="auto"/>
              <w:jc w:val="center"/>
              <w:rPr>
                <w:rFonts w:ascii="Times New Roman" w:hAnsi="Times New Roman" w:cs="Times New Roman"/>
                <w:b/>
                <w:bCs/>
                <w:sz w:val="20"/>
                <w:szCs w:val="20"/>
              </w:rPr>
            </w:pPr>
            <w:r w:rsidRPr="00251B0C">
              <w:rPr>
                <w:rFonts w:ascii="Times New Roman" w:hAnsi="Times New Roman" w:cs="Times New Roman"/>
                <w:b/>
                <w:bCs/>
                <w:sz w:val="20"/>
                <w:szCs w:val="20"/>
              </w:rPr>
              <w:t>Total</w:t>
            </w:r>
          </w:p>
          <w:p w14:paraId="3C292C4D" w14:textId="77777777" w:rsidR="00232DE0" w:rsidRPr="00251B0C" w:rsidRDefault="00232DE0" w:rsidP="00DF1B5F">
            <w:pPr>
              <w:spacing w:after="0" w:line="240" w:lineRule="auto"/>
              <w:jc w:val="center"/>
              <w:rPr>
                <w:rFonts w:ascii="Times New Roman" w:hAnsi="Times New Roman" w:cs="Times New Roman"/>
                <w:b/>
                <w:bCs/>
                <w:sz w:val="20"/>
                <w:szCs w:val="20"/>
              </w:rPr>
            </w:pPr>
            <w:r w:rsidRPr="00251B0C">
              <w:rPr>
                <w:rFonts w:ascii="Times New Roman" w:hAnsi="Times New Roman" w:cs="Times New Roman"/>
                <w:b/>
                <w:bCs/>
                <w:sz w:val="20"/>
                <w:szCs w:val="20"/>
              </w:rPr>
              <w:t>Respondent Costs</w:t>
            </w:r>
          </w:p>
        </w:tc>
      </w:tr>
      <w:tr w:rsidR="00232DE0" w:rsidRPr="00251B0C" w14:paraId="6B99D342" w14:textId="77777777" w:rsidTr="003A532E">
        <w:trPr>
          <w:cantSplit/>
        </w:trPr>
        <w:tc>
          <w:tcPr>
            <w:tcW w:w="1440" w:type="dxa"/>
            <w:tcBorders>
              <w:top w:val="single" w:sz="8" w:space="0" w:color="auto"/>
              <w:left w:val="single" w:sz="8" w:space="0" w:color="auto"/>
              <w:bottom w:val="single" w:sz="8" w:space="0" w:color="auto"/>
              <w:right w:val="single" w:sz="8" w:space="0" w:color="auto"/>
            </w:tcBorders>
            <w:tcMar>
              <w:top w:w="0" w:type="dxa"/>
              <w:left w:w="129" w:type="dxa"/>
              <w:bottom w:w="0" w:type="dxa"/>
              <w:right w:w="129" w:type="dxa"/>
            </w:tcMar>
            <w:hideMark/>
          </w:tcPr>
          <w:p w14:paraId="08AEB30C" w14:textId="77777777" w:rsidR="00232DE0" w:rsidRPr="00251B0C" w:rsidRDefault="00232DE0" w:rsidP="00A03B89">
            <w:pPr>
              <w:jc w:val="center"/>
              <w:rPr>
                <w:rFonts w:ascii="Times New Roman" w:hAnsi="Times New Roman" w:cs="Times New Roman"/>
                <w:sz w:val="20"/>
                <w:szCs w:val="20"/>
              </w:rPr>
            </w:pPr>
            <w:r w:rsidRPr="00251B0C">
              <w:rPr>
                <w:rFonts w:ascii="Times New Roman" w:hAnsi="Times New Roman" w:cs="Times New Roman"/>
                <w:sz w:val="20"/>
                <w:szCs w:val="20"/>
              </w:rPr>
              <w:t>Physicians</w:t>
            </w:r>
          </w:p>
        </w:tc>
        <w:tc>
          <w:tcPr>
            <w:tcW w:w="2430" w:type="dxa"/>
            <w:tcBorders>
              <w:top w:val="single" w:sz="8" w:space="0" w:color="000000"/>
              <w:left w:val="nil"/>
              <w:bottom w:val="single" w:sz="8" w:space="0" w:color="000000"/>
              <w:right w:val="nil"/>
            </w:tcBorders>
            <w:tcMar>
              <w:top w:w="0" w:type="dxa"/>
              <w:left w:w="129" w:type="dxa"/>
              <w:bottom w:w="0" w:type="dxa"/>
              <w:right w:w="129" w:type="dxa"/>
            </w:tcMar>
            <w:hideMark/>
          </w:tcPr>
          <w:p w14:paraId="31178809" w14:textId="77777777" w:rsidR="00232DE0" w:rsidRPr="00251B0C" w:rsidRDefault="00232DE0" w:rsidP="00057471">
            <w:pPr>
              <w:spacing w:after="0" w:line="240" w:lineRule="auto"/>
              <w:ind w:left="-39" w:right="51"/>
              <w:jc w:val="center"/>
              <w:rPr>
                <w:rFonts w:ascii="Times New Roman" w:hAnsi="Times New Roman" w:cs="Times New Roman"/>
                <w:sz w:val="20"/>
                <w:szCs w:val="20"/>
              </w:rPr>
            </w:pPr>
            <w:r w:rsidRPr="00251B0C">
              <w:rPr>
                <w:rFonts w:ascii="Times New Roman" w:hAnsi="Times New Roman" w:cs="Times New Roman"/>
                <w:sz w:val="20"/>
                <w:szCs w:val="20"/>
              </w:rPr>
              <w:t xml:space="preserve">K-BAP Provider Baseline </w:t>
            </w:r>
            <w:r w:rsidR="00057471" w:rsidRPr="00251B0C">
              <w:rPr>
                <w:rFonts w:ascii="Times New Roman" w:hAnsi="Times New Roman" w:cs="Times New Roman"/>
                <w:sz w:val="20"/>
                <w:szCs w:val="20"/>
              </w:rPr>
              <w:t>Screener and Survey</w:t>
            </w:r>
            <w:r w:rsidRPr="00251B0C">
              <w:rPr>
                <w:rFonts w:ascii="Times New Roman" w:hAnsi="Times New Roman" w:cs="Times New Roman"/>
                <w:sz w:val="20"/>
                <w:szCs w:val="20"/>
              </w:rPr>
              <w:t xml:space="preserve"> (Attachment 3a</w:t>
            </w:r>
            <w:r w:rsidR="00046EE0" w:rsidRPr="00251B0C">
              <w:rPr>
                <w:rFonts w:ascii="Times New Roman" w:hAnsi="Times New Roman" w:cs="Times New Roman"/>
                <w:sz w:val="20"/>
                <w:szCs w:val="20"/>
              </w:rPr>
              <w:t>, 9a</w:t>
            </w:r>
            <w:r w:rsidRPr="00251B0C">
              <w:rPr>
                <w:rFonts w:ascii="Times New Roman" w:hAnsi="Times New Roman" w:cs="Times New Roman"/>
                <w:sz w:val="20"/>
                <w:szCs w:val="20"/>
              </w:rPr>
              <w:t>)</w:t>
            </w:r>
          </w:p>
        </w:tc>
        <w:tc>
          <w:tcPr>
            <w:tcW w:w="1080" w:type="dxa"/>
            <w:tcBorders>
              <w:top w:val="single" w:sz="8" w:space="0" w:color="000000"/>
              <w:left w:val="single" w:sz="8" w:space="0" w:color="000000"/>
              <w:bottom w:val="single" w:sz="8" w:space="0" w:color="000000"/>
              <w:right w:val="nil"/>
            </w:tcBorders>
            <w:tcMar>
              <w:top w:w="0" w:type="dxa"/>
              <w:left w:w="129" w:type="dxa"/>
              <w:bottom w:w="0" w:type="dxa"/>
              <w:right w:w="129" w:type="dxa"/>
            </w:tcMar>
            <w:vAlign w:val="center"/>
            <w:hideMark/>
          </w:tcPr>
          <w:p w14:paraId="6ECA8F58" w14:textId="77777777" w:rsidR="00232DE0" w:rsidRPr="00251B0C" w:rsidRDefault="006A6276" w:rsidP="00DF1B5F">
            <w:pPr>
              <w:jc w:val="center"/>
              <w:rPr>
                <w:rFonts w:ascii="Times New Roman" w:hAnsi="Times New Roman" w:cs="Times New Roman"/>
                <w:sz w:val="20"/>
                <w:szCs w:val="20"/>
              </w:rPr>
            </w:pPr>
            <w:r w:rsidRPr="00251B0C">
              <w:rPr>
                <w:rFonts w:ascii="Times New Roman" w:hAnsi="Times New Roman" w:cs="Times New Roman"/>
                <w:sz w:val="20"/>
                <w:szCs w:val="20"/>
              </w:rPr>
              <w:t>318</w:t>
            </w:r>
          </w:p>
        </w:tc>
        <w:tc>
          <w:tcPr>
            <w:tcW w:w="1914" w:type="dxa"/>
            <w:tcBorders>
              <w:top w:val="single" w:sz="8" w:space="0" w:color="000000"/>
              <w:left w:val="single" w:sz="8" w:space="0" w:color="000000"/>
              <w:bottom w:val="single" w:sz="8" w:space="0" w:color="000000"/>
              <w:right w:val="single" w:sz="8" w:space="0" w:color="000000"/>
            </w:tcBorders>
            <w:tcMar>
              <w:top w:w="0" w:type="dxa"/>
              <w:left w:w="129" w:type="dxa"/>
              <w:bottom w:w="0" w:type="dxa"/>
              <w:right w:w="129" w:type="dxa"/>
            </w:tcMar>
            <w:vAlign w:val="center"/>
          </w:tcPr>
          <w:p w14:paraId="6BEA0725" w14:textId="77777777" w:rsidR="00232DE0" w:rsidRPr="00251B0C" w:rsidRDefault="00232DE0" w:rsidP="00DF1B5F">
            <w:pPr>
              <w:ind w:right="-39"/>
              <w:jc w:val="center"/>
              <w:rPr>
                <w:rFonts w:ascii="Times New Roman" w:hAnsi="Times New Roman" w:cs="Times New Roman"/>
                <w:sz w:val="20"/>
                <w:szCs w:val="20"/>
              </w:rPr>
            </w:pPr>
            <w:r w:rsidRPr="00251B0C">
              <w:rPr>
                <w:rFonts w:ascii="Times New Roman" w:hAnsi="Times New Roman" w:cs="Times New Roman"/>
                <w:sz w:val="20"/>
                <w:szCs w:val="20"/>
              </w:rPr>
              <w:t>$91.60</w:t>
            </w:r>
          </w:p>
        </w:tc>
        <w:tc>
          <w:tcPr>
            <w:tcW w:w="1866" w:type="dxa"/>
            <w:tcBorders>
              <w:top w:val="single" w:sz="8" w:space="0" w:color="000000"/>
              <w:left w:val="nil"/>
              <w:bottom w:val="single" w:sz="8" w:space="0" w:color="000000"/>
              <w:right w:val="single" w:sz="8" w:space="0" w:color="000000"/>
            </w:tcBorders>
            <w:tcMar>
              <w:top w:w="0" w:type="dxa"/>
              <w:left w:w="129" w:type="dxa"/>
              <w:bottom w:w="0" w:type="dxa"/>
              <w:right w:w="129" w:type="dxa"/>
            </w:tcMar>
            <w:vAlign w:val="center"/>
          </w:tcPr>
          <w:p w14:paraId="0C21111A" w14:textId="77777777" w:rsidR="00232DE0" w:rsidRPr="00251B0C" w:rsidRDefault="00A03B89" w:rsidP="006A6276">
            <w:pPr>
              <w:jc w:val="center"/>
              <w:rPr>
                <w:rFonts w:ascii="Times New Roman" w:hAnsi="Times New Roman" w:cs="Times New Roman"/>
                <w:sz w:val="20"/>
                <w:szCs w:val="20"/>
              </w:rPr>
            </w:pPr>
            <w:r w:rsidRPr="00251B0C">
              <w:rPr>
                <w:rFonts w:ascii="Times New Roman" w:hAnsi="Times New Roman" w:cs="Times New Roman"/>
                <w:sz w:val="20"/>
                <w:szCs w:val="20"/>
              </w:rPr>
              <w:t>$</w:t>
            </w:r>
            <w:r w:rsidR="006A6276" w:rsidRPr="00251B0C">
              <w:rPr>
                <w:rFonts w:ascii="Times New Roman" w:hAnsi="Times New Roman" w:cs="Times New Roman"/>
                <w:sz w:val="20"/>
                <w:szCs w:val="20"/>
              </w:rPr>
              <w:t>29,129</w:t>
            </w:r>
          </w:p>
        </w:tc>
      </w:tr>
      <w:tr w:rsidR="00232DE0" w:rsidRPr="00251B0C" w14:paraId="16B0B7CA" w14:textId="77777777" w:rsidTr="003A532E">
        <w:trPr>
          <w:cantSplit/>
        </w:trPr>
        <w:tc>
          <w:tcPr>
            <w:tcW w:w="1440" w:type="dxa"/>
            <w:tcBorders>
              <w:top w:val="nil"/>
              <w:left w:val="single" w:sz="8" w:space="0" w:color="auto"/>
              <w:bottom w:val="single" w:sz="8" w:space="0" w:color="auto"/>
              <w:right w:val="single" w:sz="8" w:space="0" w:color="auto"/>
            </w:tcBorders>
            <w:tcMar>
              <w:top w:w="0" w:type="dxa"/>
              <w:left w:w="129" w:type="dxa"/>
              <w:bottom w:w="0" w:type="dxa"/>
              <w:right w:w="129" w:type="dxa"/>
            </w:tcMar>
          </w:tcPr>
          <w:p w14:paraId="074A6964" w14:textId="77777777" w:rsidR="00232DE0" w:rsidRPr="00251B0C" w:rsidRDefault="00232DE0" w:rsidP="00A03B89">
            <w:pPr>
              <w:jc w:val="center"/>
              <w:rPr>
                <w:rFonts w:ascii="Times New Roman" w:hAnsi="Times New Roman" w:cs="Times New Roman"/>
                <w:sz w:val="20"/>
                <w:szCs w:val="20"/>
              </w:rPr>
            </w:pPr>
            <w:r w:rsidRPr="00251B0C">
              <w:rPr>
                <w:rFonts w:ascii="Times New Roman" w:hAnsi="Times New Roman" w:cs="Times New Roman"/>
                <w:sz w:val="20"/>
                <w:szCs w:val="20"/>
              </w:rPr>
              <w:t>Nurse Practitioners</w:t>
            </w:r>
          </w:p>
        </w:tc>
        <w:tc>
          <w:tcPr>
            <w:tcW w:w="2430" w:type="dxa"/>
            <w:tcBorders>
              <w:top w:val="nil"/>
              <w:left w:val="nil"/>
              <w:bottom w:val="single" w:sz="8" w:space="0" w:color="000000"/>
              <w:right w:val="nil"/>
            </w:tcBorders>
            <w:tcMar>
              <w:top w:w="0" w:type="dxa"/>
              <w:left w:w="129" w:type="dxa"/>
              <w:bottom w:w="0" w:type="dxa"/>
              <w:right w:w="129" w:type="dxa"/>
            </w:tcMar>
          </w:tcPr>
          <w:p w14:paraId="4CB9CFB5" w14:textId="77777777" w:rsidR="00232DE0" w:rsidRPr="00251B0C" w:rsidRDefault="00232DE0" w:rsidP="00057471">
            <w:pPr>
              <w:spacing w:after="0" w:line="240" w:lineRule="auto"/>
              <w:ind w:left="-39" w:right="51"/>
              <w:jc w:val="center"/>
              <w:rPr>
                <w:rFonts w:ascii="Times New Roman" w:hAnsi="Times New Roman" w:cs="Times New Roman"/>
                <w:sz w:val="20"/>
                <w:szCs w:val="20"/>
              </w:rPr>
            </w:pPr>
            <w:r w:rsidRPr="00251B0C">
              <w:rPr>
                <w:rFonts w:ascii="Times New Roman" w:hAnsi="Times New Roman" w:cs="Times New Roman"/>
                <w:sz w:val="20"/>
                <w:szCs w:val="20"/>
              </w:rPr>
              <w:t xml:space="preserve">K-BAP Provider Baseline </w:t>
            </w:r>
            <w:r w:rsidR="00057471" w:rsidRPr="00251B0C">
              <w:rPr>
                <w:rFonts w:ascii="Times New Roman" w:hAnsi="Times New Roman" w:cs="Times New Roman"/>
                <w:sz w:val="20"/>
                <w:szCs w:val="20"/>
              </w:rPr>
              <w:t>Screener and Survey</w:t>
            </w:r>
            <w:r w:rsidRPr="00251B0C">
              <w:rPr>
                <w:rFonts w:ascii="Times New Roman" w:hAnsi="Times New Roman" w:cs="Times New Roman"/>
                <w:sz w:val="20"/>
                <w:szCs w:val="20"/>
              </w:rPr>
              <w:t xml:space="preserve"> (Attachment 3a</w:t>
            </w:r>
            <w:r w:rsidR="00046EE0" w:rsidRPr="00251B0C">
              <w:rPr>
                <w:rFonts w:ascii="Times New Roman" w:hAnsi="Times New Roman" w:cs="Times New Roman"/>
                <w:sz w:val="20"/>
                <w:szCs w:val="20"/>
              </w:rPr>
              <w:t>, 9a</w:t>
            </w:r>
            <w:r w:rsidRPr="00251B0C">
              <w:rPr>
                <w:rFonts w:ascii="Times New Roman" w:hAnsi="Times New Roman" w:cs="Times New Roman"/>
                <w:sz w:val="20"/>
                <w:szCs w:val="20"/>
              </w:rPr>
              <w:t>)</w:t>
            </w:r>
          </w:p>
        </w:tc>
        <w:tc>
          <w:tcPr>
            <w:tcW w:w="1080" w:type="dxa"/>
            <w:tcBorders>
              <w:top w:val="nil"/>
              <w:left w:val="single" w:sz="8" w:space="0" w:color="000000"/>
              <w:bottom w:val="single" w:sz="8" w:space="0" w:color="000000"/>
              <w:right w:val="nil"/>
            </w:tcBorders>
            <w:tcMar>
              <w:top w:w="0" w:type="dxa"/>
              <w:left w:w="129" w:type="dxa"/>
              <w:bottom w:w="0" w:type="dxa"/>
              <w:right w:w="129" w:type="dxa"/>
            </w:tcMar>
            <w:vAlign w:val="center"/>
          </w:tcPr>
          <w:p w14:paraId="0F623D4E" w14:textId="77777777" w:rsidR="00232DE0" w:rsidRPr="00251B0C" w:rsidRDefault="006A6276" w:rsidP="00DF1B5F">
            <w:pPr>
              <w:jc w:val="center"/>
              <w:rPr>
                <w:rFonts w:ascii="Times New Roman" w:hAnsi="Times New Roman" w:cs="Times New Roman"/>
                <w:sz w:val="20"/>
                <w:szCs w:val="20"/>
              </w:rPr>
            </w:pPr>
            <w:r w:rsidRPr="00251B0C">
              <w:rPr>
                <w:rFonts w:ascii="Times New Roman" w:hAnsi="Times New Roman" w:cs="Times New Roman"/>
                <w:sz w:val="20"/>
                <w:szCs w:val="20"/>
              </w:rPr>
              <w:t>318</w:t>
            </w:r>
          </w:p>
        </w:tc>
        <w:tc>
          <w:tcPr>
            <w:tcW w:w="1914"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tcPr>
          <w:p w14:paraId="46D6980D" w14:textId="77777777" w:rsidR="00232DE0" w:rsidRPr="00251B0C" w:rsidRDefault="00232DE0" w:rsidP="00DF1B5F">
            <w:pPr>
              <w:ind w:right="-39"/>
              <w:jc w:val="center"/>
              <w:rPr>
                <w:rFonts w:ascii="Times New Roman" w:hAnsi="Times New Roman" w:cs="Times New Roman"/>
                <w:sz w:val="20"/>
                <w:szCs w:val="20"/>
              </w:rPr>
            </w:pPr>
            <w:r w:rsidRPr="00251B0C">
              <w:rPr>
                <w:rFonts w:ascii="Times New Roman" w:hAnsi="Times New Roman" w:cs="Times New Roman"/>
                <w:sz w:val="20"/>
                <w:szCs w:val="20"/>
              </w:rPr>
              <w:t>$45.84</w:t>
            </w:r>
          </w:p>
        </w:tc>
        <w:tc>
          <w:tcPr>
            <w:tcW w:w="1866" w:type="dxa"/>
            <w:tcBorders>
              <w:top w:val="nil"/>
              <w:left w:val="nil"/>
              <w:bottom w:val="single" w:sz="8" w:space="0" w:color="000000"/>
              <w:right w:val="single" w:sz="8" w:space="0" w:color="000000"/>
            </w:tcBorders>
            <w:tcMar>
              <w:top w:w="0" w:type="dxa"/>
              <w:left w:w="129" w:type="dxa"/>
              <w:bottom w:w="0" w:type="dxa"/>
              <w:right w:w="129" w:type="dxa"/>
            </w:tcMar>
            <w:vAlign w:val="center"/>
          </w:tcPr>
          <w:p w14:paraId="319405D6" w14:textId="77777777" w:rsidR="00232DE0" w:rsidRPr="00251B0C" w:rsidRDefault="00A03B89" w:rsidP="006A6276">
            <w:pPr>
              <w:jc w:val="center"/>
              <w:rPr>
                <w:rFonts w:ascii="Times New Roman" w:hAnsi="Times New Roman" w:cs="Times New Roman"/>
                <w:sz w:val="20"/>
                <w:szCs w:val="20"/>
              </w:rPr>
            </w:pPr>
            <w:r w:rsidRPr="00251B0C">
              <w:rPr>
                <w:rFonts w:ascii="Times New Roman" w:hAnsi="Times New Roman" w:cs="Times New Roman"/>
                <w:sz w:val="20"/>
                <w:szCs w:val="20"/>
              </w:rPr>
              <w:t>$</w:t>
            </w:r>
            <w:r w:rsidR="006A6276" w:rsidRPr="00251B0C">
              <w:rPr>
                <w:rFonts w:ascii="Times New Roman" w:hAnsi="Times New Roman" w:cs="Times New Roman"/>
                <w:sz w:val="20"/>
                <w:szCs w:val="20"/>
              </w:rPr>
              <w:t>14,577</w:t>
            </w:r>
          </w:p>
        </w:tc>
      </w:tr>
      <w:tr w:rsidR="00232DE0" w:rsidRPr="00251B0C" w14:paraId="6C8A58DB" w14:textId="77777777" w:rsidTr="003A532E">
        <w:trPr>
          <w:cantSplit/>
        </w:trPr>
        <w:tc>
          <w:tcPr>
            <w:tcW w:w="1440" w:type="dxa"/>
            <w:tcBorders>
              <w:top w:val="nil"/>
              <w:left w:val="single" w:sz="8" w:space="0" w:color="auto"/>
              <w:bottom w:val="single" w:sz="8" w:space="0" w:color="auto"/>
              <w:right w:val="single" w:sz="8" w:space="0" w:color="auto"/>
            </w:tcBorders>
            <w:tcMar>
              <w:top w:w="0" w:type="dxa"/>
              <w:left w:w="129" w:type="dxa"/>
              <w:bottom w:w="0" w:type="dxa"/>
              <w:right w:w="129" w:type="dxa"/>
            </w:tcMar>
          </w:tcPr>
          <w:p w14:paraId="14877A15" w14:textId="77777777" w:rsidR="00232DE0" w:rsidRPr="00251B0C" w:rsidRDefault="00232DE0" w:rsidP="00A03B89">
            <w:pPr>
              <w:jc w:val="center"/>
              <w:rPr>
                <w:rFonts w:ascii="Times New Roman" w:hAnsi="Times New Roman" w:cs="Times New Roman"/>
                <w:sz w:val="20"/>
                <w:szCs w:val="20"/>
              </w:rPr>
            </w:pPr>
            <w:r w:rsidRPr="00251B0C">
              <w:rPr>
                <w:rFonts w:ascii="Times New Roman" w:hAnsi="Times New Roman" w:cs="Times New Roman"/>
                <w:sz w:val="20"/>
                <w:szCs w:val="20"/>
              </w:rPr>
              <w:t>Physician Assistants</w:t>
            </w:r>
          </w:p>
        </w:tc>
        <w:tc>
          <w:tcPr>
            <w:tcW w:w="2430" w:type="dxa"/>
            <w:tcBorders>
              <w:top w:val="nil"/>
              <w:left w:val="nil"/>
              <w:bottom w:val="single" w:sz="8" w:space="0" w:color="000000"/>
              <w:right w:val="nil"/>
            </w:tcBorders>
            <w:tcMar>
              <w:top w:w="0" w:type="dxa"/>
              <w:left w:w="129" w:type="dxa"/>
              <w:bottom w:w="0" w:type="dxa"/>
              <w:right w:w="129" w:type="dxa"/>
            </w:tcMar>
          </w:tcPr>
          <w:p w14:paraId="2C6325DC" w14:textId="77777777" w:rsidR="00232DE0" w:rsidRPr="00251B0C" w:rsidRDefault="00232DE0" w:rsidP="00057471">
            <w:pPr>
              <w:spacing w:after="0" w:line="240" w:lineRule="auto"/>
              <w:ind w:left="-39" w:right="51"/>
              <w:jc w:val="center"/>
              <w:rPr>
                <w:rFonts w:ascii="Times New Roman" w:hAnsi="Times New Roman" w:cs="Times New Roman"/>
                <w:sz w:val="20"/>
                <w:szCs w:val="20"/>
              </w:rPr>
            </w:pPr>
            <w:r w:rsidRPr="00251B0C">
              <w:rPr>
                <w:rFonts w:ascii="Times New Roman" w:hAnsi="Times New Roman" w:cs="Times New Roman"/>
                <w:sz w:val="20"/>
                <w:szCs w:val="20"/>
              </w:rPr>
              <w:t xml:space="preserve">K-BAP Provider Baseline </w:t>
            </w:r>
            <w:r w:rsidR="00057471" w:rsidRPr="00251B0C">
              <w:rPr>
                <w:rFonts w:ascii="Times New Roman" w:hAnsi="Times New Roman" w:cs="Times New Roman"/>
                <w:sz w:val="20"/>
                <w:szCs w:val="20"/>
              </w:rPr>
              <w:t>Screener and Survey</w:t>
            </w:r>
            <w:r w:rsidRPr="00251B0C">
              <w:rPr>
                <w:rFonts w:ascii="Times New Roman" w:hAnsi="Times New Roman" w:cs="Times New Roman"/>
                <w:sz w:val="20"/>
                <w:szCs w:val="20"/>
              </w:rPr>
              <w:t xml:space="preserve"> (Attachment 3a</w:t>
            </w:r>
            <w:r w:rsidR="00046EE0" w:rsidRPr="00251B0C">
              <w:rPr>
                <w:rFonts w:ascii="Times New Roman" w:hAnsi="Times New Roman" w:cs="Times New Roman"/>
                <w:sz w:val="20"/>
                <w:szCs w:val="20"/>
              </w:rPr>
              <w:t>, 9a</w:t>
            </w:r>
            <w:r w:rsidRPr="00251B0C">
              <w:rPr>
                <w:rFonts w:ascii="Times New Roman" w:hAnsi="Times New Roman" w:cs="Times New Roman"/>
                <w:sz w:val="20"/>
                <w:szCs w:val="20"/>
              </w:rPr>
              <w:t>)</w:t>
            </w:r>
          </w:p>
        </w:tc>
        <w:tc>
          <w:tcPr>
            <w:tcW w:w="1080" w:type="dxa"/>
            <w:tcBorders>
              <w:top w:val="nil"/>
              <w:left w:val="single" w:sz="8" w:space="0" w:color="000000"/>
              <w:bottom w:val="single" w:sz="8" w:space="0" w:color="000000"/>
              <w:right w:val="nil"/>
            </w:tcBorders>
            <w:tcMar>
              <w:top w:w="0" w:type="dxa"/>
              <w:left w:w="129" w:type="dxa"/>
              <w:bottom w:w="0" w:type="dxa"/>
              <w:right w:w="129" w:type="dxa"/>
            </w:tcMar>
            <w:vAlign w:val="center"/>
          </w:tcPr>
          <w:p w14:paraId="72B04588" w14:textId="77777777" w:rsidR="00232DE0" w:rsidRPr="00251B0C" w:rsidRDefault="006A6276" w:rsidP="00DF1B5F">
            <w:pPr>
              <w:jc w:val="center"/>
              <w:rPr>
                <w:rFonts w:ascii="Times New Roman" w:hAnsi="Times New Roman" w:cs="Times New Roman"/>
                <w:sz w:val="20"/>
                <w:szCs w:val="20"/>
              </w:rPr>
            </w:pPr>
            <w:r w:rsidRPr="00251B0C">
              <w:rPr>
                <w:rFonts w:ascii="Times New Roman" w:hAnsi="Times New Roman" w:cs="Times New Roman"/>
                <w:sz w:val="20"/>
                <w:szCs w:val="20"/>
              </w:rPr>
              <w:t>247</w:t>
            </w:r>
          </w:p>
        </w:tc>
        <w:tc>
          <w:tcPr>
            <w:tcW w:w="1914"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tcPr>
          <w:p w14:paraId="6F685FB9" w14:textId="77777777" w:rsidR="00232DE0" w:rsidRPr="00251B0C" w:rsidRDefault="00232DE0" w:rsidP="00DF1B5F">
            <w:pPr>
              <w:ind w:right="-39"/>
              <w:jc w:val="center"/>
              <w:rPr>
                <w:rFonts w:ascii="Times New Roman" w:hAnsi="Times New Roman" w:cs="Times New Roman"/>
                <w:sz w:val="20"/>
                <w:szCs w:val="20"/>
              </w:rPr>
            </w:pPr>
            <w:r w:rsidRPr="00251B0C">
              <w:rPr>
                <w:rFonts w:ascii="Times New Roman" w:hAnsi="Times New Roman" w:cs="Times New Roman"/>
                <w:sz w:val="20"/>
                <w:szCs w:val="20"/>
              </w:rPr>
              <w:t>$46.07</w:t>
            </w:r>
          </w:p>
        </w:tc>
        <w:tc>
          <w:tcPr>
            <w:tcW w:w="1866" w:type="dxa"/>
            <w:tcBorders>
              <w:top w:val="nil"/>
              <w:left w:val="nil"/>
              <w:bottom w:val="single" w:sz="8" w:space="0" w:color="000000"/>
              <w:right w:val="single" w:sz="8" w:space="0" w:color="000000"/>
            </w:tcBorders>
            <w:tcMar>
              <w:top w:w="0" w:type="dxa"/>
              <w:left w:w="129" w:type="dxa"/>
              <w:bottom w:w="0" w:type="dxa"/>
              <w:right w:w="129" w:type="dxa"/>
            </w:tcMar>
            <w:vAlign w:val="center"/>
          </w:tcPr>
          <w:p w14:paraId="122D3D03" w14:textId="77777777" w:rsidR="00232DE0" w:rsidRPr="00251B0C" w:rsidRDefault="00A03B89" w:rsidP="006A6276">
            <w:pPr>
              <w:jc w:val="center"/>
              <w:rPr>
                <w:rFonts w:ascii="Times New Roman" w:hAnsi="Times New Roman" w:cs="Times New Roman"/>
                <w:sz w:val="20"/>
                <w:szCs w:val="20"/>
              </w:rPr>
            </w:pPr>
            <w:r w:rsidRPr="00251B0C">
              <w:rPr>
                <w:rFonts w:ascii="Times New Roman" w:hAnsi="Times New Roman" w:cs="Times New Roman"/>
                <w:sz w:val="20"/>
                <w:szCs w:val="20"/>
              </w:rPr>
              <w:t>$</w:t>
            </w:r>
            <w:r w:rsidR="006A6276" w:rsidRPr="00251B0C">
              <w:rPr>
                <w:rFonts w:ascii="Times New Roman" w:hAnsi="Times New Roman" w:cs="Times New Roman"/>
                <w:sz w:val="20"/>
                <w:szCs w:val="20"/>
              </w:rPr>
              <w:t>11,379</w:t>
            </w:r>
          </w:p>
        </w:tc>
      </w:tr>
      <w:tr w:rsidR="00232DE0" w:rsidRPr="00251B0C" w14:paraId="33A13F2B" w14:textId="77777777" w:rsidTr="003A532E">
        <w:trPr>
          <w:cantSplit/>
        </w:trPr>
        <w:tc>
          <w:tcPr>
            <w:tcW w:w="1440" w:type="dxa"/>
            <w:tcBorders>
              <w:top w:val="nil"/>
              <w:left w:val="single" w:sz="8" w:space="0" w:color="auto"/>
              <w:bottom w:val="single" w:sz="8" w:space="0" w:color="auto"/>
              <w:right w:val="single" w:sz="8" w:space="0" w:color="auto"/>
            </w:tcBorders>
            <w:tcMar>
              <w:top w:w="0" w:type="dxa"/>
              <w:left w:w="129" w:type="dxa"/>
              <w:bottom w:w="0" w:type="dxa"/>
              <w:right w:w="129" w:type="dxa"/>
            </w:tcMar>
            <w:hideMark/>
          </w:tcPr>
          <w:p w14:paraId="127FAF50" w14:textId="77777777" w:rsidR="00232DE0" w:rsidRPr="00251B0C" w:rsidRDefault="00232DE0" w:rsidP="00A03B89">
            <w:pPr>
              <w:jc w:val="center"/>
              <w:rPr>
                <w:rFonts w:ascii="Times New Roman" w:hAnsi="Times New Roman" w:cs="Times New Roman"/>
                <w:sz w:val="20"/>
                <w:szCs w:val="20"/>
              </w:rPr>
            </w:pPr>
            <w:r w:rsidRPr="00251B0C">
              <w:rPr>
                <w:rFonts w:ascii="Times New Roman" w:hAnsi="Times New Roman" w:cs="Times New Roman"/>
                <w:sz w:val="20"/>
                <w:szCs w:val="20"/>
              </w:rPr>
              <w:t>Physicians</w:t>
            </w:r>
          </w:p>
        </w:tc>
        <w:tc>
          <w:tcPr>
            <w:tcW w:w="2430" w:type="dxa"/>
            <w:tcBorders>
              <w:top w:val="nil"/>
              <w:left w:val="nil"/>
              <w:bottom w:val="single" w:sz="8" w:space="0" w:color="000000"/>
              <w:right w:val="nil"/>
            </w:tcBorders>
            <w:tcMar>
              <w:top w:w="0" w:type="dxa"/>
              <w:left w:w="129" w:type="dxa"/>
              <w:bottom w:w="0" w:type="dxa"/>
              <w:right w:w="129" w:type="dxa"/>
            </w:tcMar>
            <w:hideMark/>
          </w:tcPr>
          <w:p w14:paraId="47755D50" w14:textId="77777777" w:rsidR="00232DE0" w:rsidRPr="00251B0C" w:rsidRDefault="00232DE0" w:rsidP="00DB1613">
            <w:pPr>
              <w:spacing w:after="0" w:line="240" w:lineRule="auto"/>
              <w:ind w:left="-39" w:right="51"/>
              <w:jc w:val="center"/>
              <w:rPr>
                <w:rFonts w:ascii="Times New Roman" w:hAnsi="Times New Roman" w:cs="Times New Roman"/>
                <w:sz w:val="20"/>
                <w:szCs w:val="20"/>
              </w:rPr>
            </w:pPr>
            <w:r w:rsidRPr="00251B0C">
              <w:rPr>
                <w:rFonts w:ascii="Times New Roman" w:hAnsi="Times New Roman" w:cs="Times New Roman"/>
                <w:sz w:val="20"/>
                <w:szCs w:val="20"/>
              </w:rPr>
              <w:t xml:space="preserve">K-BAP Provider </w:t>
            </w:r>
            <w:r w:rsidR="00DB1613" w:rsidRPr="00251B0C">
              <w:rPr>
                <w:rFonts w:ascii="Times New Roman" w:hAnsi="Times New Roman" w:cs="Times New Roman"/>
                <w:sz w:val="20"/>
                <w:szCs w:val="20"/>
              </w:rPr>
              <w:t>Follow-Up</w:t>
            </w:r>
            <w:r w:rsidRPr="00251B0C">
              <w:rPr>
                <w:rFonts w:ascii="Times New Roman" w:hAnsi="Times New Roman" w:cs="Times New Roman"/>
                <w:sz w:val="20"/>
                <w:szCs w:val="20"/>
              </w:rPr>
              <w:t xml:space="preserve"> </w:t>
            </w:r>
            <w:r w:rsidR="00057471" w:rsidRPr="00251B0C">
              <w:rPr>
                <w:rFonts w:ascii="Times New Roman" w:hAnsi="Times New Roman" w:cs="Times New Roman"/>
                <w:sz w:val="20"/>
                <w:szCs w:val="20"/>
              </w:rPr>
              <w:t>Screener and Survey</w:t>
            </w:r>
            <w:r w:rsidRPr="00251B0C">
              <w:rPr>
                <w:rFonts w:ascii="Times New Roman" w:hAnsi="Times New Roman" w:cs="Times New Roman"/>
                <w:sz w:val="20"/>
                <w:szCs w:val="20"/>
              </w:rPr>
              <w:t xml:space="preserve"> (Attachment 3</w:t>
            </w:r>
            <w:r w:rsidR="00AF713B" w:rsidRPr="00251B0C">
              <w:rPr>
                <w:rFonts w:ascii="Times New Roman" w:hAnsi="Times New Roman" w:cs="Times New Roman"/>
                <w:sz w:val="20"/>
                <w:szCs w:val="20"/>
              </w:rPr>
              <w:t>b</w:t>
            </w:r>
            <w:r w:rsidR="00046EE0" w:rsidRPr="00251B0C">
              <w:rPr>
                <w:rFonts w:ascii="Times New Roman" w:hAnsi="Times New Roman" w:cs="Times New Roman"/>
                <w:sz w:val="20"/>
                <w:szCs w:val="20"/>
              </w:rPr>
              <w:t>, 9b</w:t>
            </w:r>
            <w:r w:rsidRPr="00251B0C">
              <w:rPr>
                <w:rFonts w:ascii="Times New Roman" w:hAnsi="Times New Roman" w:cs="Times New Roman"/>
                <w:sz w:val="20"/>
                <w:szCs w:val="20"/>
              </w:rPr>
              <w:t>)</w:t>
            </w:r>
          </w:p>
        </w:tc>
        <w:tc>
          <w:tcPr>
            <w:tcW w:w="1080" w:type="dxa"/>
            <w:tcBorders>
              <w:top w:val="nil"/>
              <w:left w:val="single" w:sz="8" w:space="0" w:color="000000"/>
              <w:bottom w:val="single" w:sz="8" w:space="0" w:color="000000"/>
              <w:right w:val="nil"/>
            </w:tcBorders>
            <w:tcMar>
              <w:top w:w="0" w:type="dxa"/>
              <w:left w:w="129" w:type="dxa"/>
              <w:bottom w:w="0" w:type="dxa"/>
              <w:right w:w="129" w:type="dxa"/>
            </w:tcMar>
            <w:vAlign w:val="center"/>
            <w:hideMark/>
          </w:tcPr>
          <w:p w14:paraId="7C89AA50" w14:textId="77777777" w:rsidR="00232DE0" w:rsidRPr="00251B0C" w:rsidRDefault="0085464A" w:rsidP="00761F6B">
            <w:pPr>
              <w:jc w:val="center"/>
              <w:rPr>
                <w:rFonts w:ascii="Times New Roman" w:hAnsi="Times New Roman" w:cs="Times New Roman"/>
                <w:sz w:val="20"/>
                <w:szCs w:val="20"/>
              </w:rPr>
            </w:pPr>
            <w:r w:rsidRPr="00251B0C">
              <w:rPr>
                <w:rFonts w:ascii="Times New Roman" w:hAnsi="Times New Roman" w:cs="Times New Roman"/>
                <w:sz w:val="20"/>
                <w:szCs w:val="20"/>
              </w:rPr>
              <w:t>105</w:t>
            </w:r>
          </w:p>
        </w:tc>
        <w:tc>
          <w:tcPr>
            <w:tcW w:w="1914"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tcPr>
          <w:p w14:paraId="4857C09D" w14:textId="77777777" w:rsidR="00232DE0" w:rsidRPr="00251B0C" w:rsidRDefault="00232DE0" w:rsidP="00761F6B">
            <w:pPr>
              <w:ind w:right="-39"/>
              <w:jc w:val="center"/>
              <w:rPr>
                <w:rFonts w:ascii="Times New Roman" w:hAnsi="Times New Roman" w:cs="Times New Roman"/>
                <w:sz w:val="20"/>
                <w:szCs w:val="20"/>
              </w:rPr>
            </w:pPr>
            <w:r w:rsidRPr="00251B0C">
              <w:rPr>
                <w:rFonts w:ascii="Times New Roman" w:hAnsi="Times New Roman" w:cs="Times New Roman"/>
                <w:sz w:val="20"/>
                <w:szCs w:val="20"/>
              </w:rPr>
              <w:t>$91.60</w:t>
            </w:r>
          </w:p>
        </w:tc>
        <w:tc>
          <w:tcPr>
            <w:tcW w:w="1866" w:type="dxa"/>
            <w:tcBorders>
              <w:top w:val="nil"/>
              <w:left w:val="nil"/>
              <w:bottom w:val="single" w:sz="8" w:space="0" w:color="000000"/>
              <w:right w:val="single" w:sz="8" w:space="0" w:color="000000"/>
            </w:tcBorders>
            <w:tcMar>
              <w:top w:w="0" w:type="dxa"/>
              <w:left w:w="129" w:type="dxa"/>
              <w:bottom w:w="0" w:type="dxa"/>
              <w:right w:w="129" w:type="dxa"/>
            </w:tcMar>
            <w:vAlign w:val="center"/>
          </w:tcPr>
          <w:p w14:paraId="6985231F" w14:textId="77777777" w:rsidR="00232DE0" w:rsidRPr="00251B0C" w:rsidRDefault="00A03B89" w:rsidP="0085464A">
            <w:pPr>
              <w:jc w:val="center"/>
              <w:rPr>
                <w:rFonts w:ascii="Times New Roman" w:hAnsi="Times New Roman" w:cs="Times New Roman"/>
                <w:sz w:val="20"/>
                <w:szCs w:val="20"/>
              </w:rPr>
            </w:pPr>
            <w:r w:rsidRPr="00251B0C">
              <w:rPr>
                <w:rFonts w:ascii="Times New Roman" w:hAnsi="Times New Roman" w:cs="Times New Roman"/>
                <w:sz w:val="20"/>
                <w:szCs w:val="20"/>
              </w:rPr>
              <w:t>$</w:t>
            </w:r>
            <w:r w:rsidR="0085464A" w:rsidRPr="00251B0C">
              <w:rPr>
                <w:rFonts w:ascii="Times New Roman" w:hAnsi="Times New Roman" w:cs="Times New Roman"/>
                <w:sz w:val="20"/>
                <w:szCs w:val="20"/>
              </w:rPr>
              <w:t>9,618</w:t>
            </w:r>
          </w:p>
        </w:tc>
      </w:tr>
      <w:tr w:rsidR="00232DE0" w:rsidRPr="00251B0C" w14:paraId="32D7437A" w14:textId="77777777" w:rsidTr="003A532E">
        <w:trPr>
          <w:cantSplit/>
        </w:trPr>
        <w:tc>
          <w:tcPr>
            <w:tcW w:w="1440" w:type="dxa"/>
            <w:tcBorders>
              <w:top w:val="nil"/>
              <w:left w:val="single" w:sz="8" w:space="0" w:color="auto"/>
              <w:bottom w:val="single" w:sz="8" w:space="0" w:color="auto"/>
              <w:right w:val="single" w:sz="8" w:space="0" w:color="auto"/>
            </w:tcBorders>
            <w:tcMar>
              <w:top w:w="0" w:type="dxa"/>
              <w:left w:w="129" w:type="dxa"/>
              <w:bottom w:w="0" w:type="dxa"/>
              <w:right w:w="129" w:type="dxa"/>
            </w:tcMar>
          </w:tcPr>
          <w:p w14:paraId="4C012578" w14:textId="77777777" w:rsidR="00232DE0" w:rsidRPr="00251B0C" w:rsidRDefault="00232DE0" w:rsidP="00A03B89">
            <w:pPr>
              <w:jc w:val="center"/>
              <w:rPr>
                <w:rFonts w:ascii="Times New Roman" w:hAnsi="Times New Roman" w:cs="Times New Roman"/>
                <w:sz w:val="20"/>
                <w:szCs w:val="20"/>
              </w:rPr>
            </w:pPr>
            <w:r w:rsidRPr="00251B0C">
              <w:rPr>
                <w:rFonts w:ascii="Times New Roman" w:hAnsi="Times New Roman" w:cs="Times New Roman"/>
                <w:sz w:val="20"/>
                <w:szCs w:val="20"/>
              </w:rPr>
              <w:t>Nurse Practitioners</w:t>
            </w:r>
          </w:p>
        </w:tc>
        <w:tc>
          <w:tcPr>
            <w:tcW w:w="2430" w:type="dxa"/>
            <w:tcBorders>
              <w:top w:val="nil"/>
              <w:left w:val="nil"/>
              <w:bottom w:val="single" w:sz="8" w:space="0" w:color="000000"/>
              <w:right w:val="nil"/>
            </w:tcBorders>
            <w:tcMar>
              <w:top w:w="0" w:type="dxa"/>
              <w:left w:w="129" w:type="dxa"/>
              <w:bottom w:w="0" w:type="dxa"/>
              <w:right w:w="129" w:type="dxa"/>
            </w:tcMar>
          </w:tcPr>
          <w:p w14:paraId="6307460E" w14:textId="77777777" w:rsidR="00232DE0" w:rsidRPr="00251B0C" w:rsidRDefault="00232DE0" w:rsidP="00057471">
            <w:pPr>
              <w:spacing w:after="0" w:line="240" w:lineRule="auto"/>
              <w:ind w:left="-39" w:right="51"/>
              <w:jc w:val="center"/>
              <w:rPr>
                <w:rFonts w:ascii="Times New Roman" w:hAnsi="Times New Roman" w:cs="Times New Roman"/>
                <w:sz w:val="20"/>
                <w:szCs w:val="20"/>
              </w:rPr>
            </w:pPr>
            <w:r w:rsidRPr="00251B0C">
              <w:rPr>
                <w:rFonts w:ascii="Times New Roman" w:hAnsi="Times New Roman" w:cs="Times New Roman"/>
                <w:sz w:val="20"/>
                <w:szCs w:val="20"/>
              </w:rPr>
              <w:t xml:space="preserve">K-BAP Provider </w:t>
            </w:r>
            <w:r w:rsidR="00DB1613" w:rsidRPr="00251B0C">
              <w:rPr>
                <w:rFonts w:ascii="Times New Roman" w:hAnsi="Times New Roman" w:cs="Times New Roman"/>
                <w:sz w:val="20"/>
                <w:szCs w:val="20"/>
              </w:rPr>
              <w:t>Follow-Up</w:t>
            </w:r>
            <w:r w:rsidRPr="00251B0C">
              <w:rPr>
                <w:rFonts w:ascii="Times New Roman" w:hAnsi="Times New Roman" w:cs="Times New Roman"/>
                <w:sz w:val="20"/>
                <w:szCs w:val="20"/>
              </w:rPr>
              <w:t xml:space="preserve"> </w:t>
            </w:r>
            <w:r w:rsidR="00057471" w:rsidRPr="00251B0C">
              <w:rPr>
                <w:rFonts w:ascii="Times New Roman" w:hAnsi="Times New Roman" w:cs="Times New Roman"/>
                <w:sz w:val="20"/>
                <w:szCs w:val="20"/>
              </w:rPr>
              <w:t>Screener and Survey</w:t>
            </w:r>
            <w:r w:rsidRPr="00251B0C">
              <w:rPr>
                <w:rFonts w:ascii="Times New Roman" w:hAnsi="Times New Roman" w:cs="Times New Roman"/>
                <w:sz w:val="20"/>
                <w:szCs w:val="20"/>
              </w:rPr>
              <w:t xml:space="preserve"> (Attachment 3</w:t>
            </w:r>
            <w:r w:rsidR="00A07D86" w:rsidRPr="00251B0C">
              <w:rPr>
                <w:rFonts w:ascii="Times New Roman" w:hAnsi="Times New Roman" w:cs="Times New Roman"/>
                <w:sz w:val="20"/>
                <w:szCs w:val="20"/>
              </w:rPr>
              <w:t>b</w:t>
            </w:r>
            <w:r w:rsidR="00046EE0" w:rsidRPr="00251B0C">
              <w:rPr>
                <w:rFonts w:ascii="Times New Roman" w:hAnsi="Times New Roman" w:cs="Times New Roman"/>
                <w:sz w:val="20"/>
                <w:szCs w:val="20"/>
              </w:rPr>
              <w:t>, 9b</w:t>
            </w:r>
            <w:r w:rsidRPr="00251B0C">
              <w:rPr>
                <w:rFonts w:ascii="Times New Roman" w:hAnsi="Times New Roman" w:cs="Times New Roman"/>
                <w:sz w:val="20"/>
                <w:szCs w:val="20"/>
              </w:rPr>
              <w:t>)</w:t>
            </w:r>
          </w:p>
        </w:tc>
        <w:tc>
          <w:tcPr>
            <w:tcW w:w="1080" w:type="dxa"/>
            <w:tcBorders>
              <w:top w:val="nil"/>
              <w:left w:val="single" w:sz="8" w:space="0" w:color="000000"/>
              <w:bottom w:val="single" w:sz="8" w:space="0" w:color="000000"/>
              <w:right w:val="nil"/>
            </w:tcBorders>
            <w:tcMar>
              <w:top w:w="0" w:type="dxa"/>
              <w:left w:w="129" w:type="dxa"/>
              <w:bottom w:w="0" w:type="dxa"/>
              <w:right w:w="129" w:type="dxa"/>
            </w:tcMar>
            <w:vAlign w:val="center"/>
          </w:tcPr>
          <w:p w14:paraId="291782A5" w14:textId="77777777" w:rsidR="00232DE0" w:rsidRPr="00251B0C" w:rsidRDefault="0085464A" w:rsidP="00761F6B">
            <w:pPr>
              <w:jc w:val="center"/>
              <w:rPr>
                <w:rFonts w:ascii="Times New Roman" w:hAnsi="Times New Roman" w:cs="Times New Roman"/>
                <w:sz w:val="20"/>
                <w:szCs w:val="20"/>
              </w:rPr>
            </w:pPr>
            <w:r w:rsidRPr="00251B0C">
              <w:rPr>
                <w:rFonts w:ascii="Times New Roman" w:hAnsi="Times New Roman" w:cs="Times New Roman"/>
                <w:sz w:val="20"/>
                <w:szCs w:val="20"/>
              </w:rPr>
              <w:t>105</w:t>
            </w:r>
          </w:p>
        </w:tc>
        <w:tc>
          <w:tcPr>
            <w:tcW w:w="1914"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tcPr>
          <w:p w14:paraId="05FBBB94" w14:textId="77777777" w:rsidR="00232DE0" w:rsidRPr="00251B0C" w:rsidRDefault="00232DE0" w:rsidP="00761F6B">
            <w:pPr>
              <w:ind w:right="-39"/>
              <w:jc w:val="center"/>
              <w:rPr>
                <w:rFonts w:ascii="Times New Roman" w:hAnsi="Times New Roman" w:cs="Times New Roman"/>
                <w:sz w:val="20"/>
                <w:szCs w:val="20"/>
              </w:rPr>
            </w:pPr>
            <w:r w:rsidRPr="00251B0C">
              <w:rPr>
                <w:rFonts w:ascii="Times New Roman" w:hAnsi="Times New Roman" w:cs="Times New Roman"/>
                <w:sz w:val="20"/>
                <w:szCs w:val="20"/>
              </w:rPr>
              <w:t>$45.84</w:t>
            </w:r>
          </w:p>
        </w:tc>
        <w:tc>
          <w:tcPr>
            <w:tcW w:w="1866" w:type="dxa"/>
            <w:tcBorders>
              <w:top w:val="nil"/>
              <w:left w:val="nil"/>
              <w:bottom w:val="single" w:sz="8" w:space="0" w:color="000000"/>
              <w:right w:val="single" w:sz="8" w:space="0" w:color="000000"/>
            </w:tcBorders>
            <w:tcMar>
              <w:top w:w="0" w:type="dxa"/>
              <w:left w:w="129" w:type="dxa"/>
              <w:bottom w:w="0" w:type="dxa"/>
              <w:right w:w="129" w:type="dxa"/>
            </w:tcMar>
            <w:vAlign w:val="center"/>
          </w:tcPr>
          <w:p w14:paraId="2557C2C2" w14:textId="77777777" w:rsidR="00232DE0" w:rsidRPr="00251B0C" w:rsidRDefault="00A03B89" w:rsidP="0085464A">
            <w:pPr>
              <w:jc w:val="center"/>
              <w:rPr>
                <w:rFonts w:ascii="Times New Roman" w:hAnsi="Times New Roman" w:cs="Times New Roman"/>
                <w:sz w:val="20"/>
                <w:szCs w:val="20"/>
              </w:rPr>
            </w:pPr>
            <w:r w:rsidRPr="00251B0C">
              <w:rPr>
                <w:rFonts w:ascii="Times New Roman" w:hAnsi="Times New Roman" w:cs="Times New Roman"/>
                <w:sz w:val="20"/>
                <w:szCs w:val="20"/>
              </w:rPr>
              <w:t>$</w:t>
            </w:r>
            <w:r w:rsidR="0085464A" w:rsidRPr="00251B0C">
              <w:rPr>
                <w:rFonts w:ascii="Times New Roman" w:hAnsi="Times New Roman" w:cs="Times New Roman"/>
                <w:sz w:val="20"/>
                <w:szCs w:val="20"/>
              </w:rPr>
              <w:t>4,813</w:t>
            </w:r>
          </w:p>
        </w:tc>
      </w:tr>
      <w:tr w:rsidR="00232DE0" w:rsidRPr="00251B0C" w14:paraId="4961CE55" w14:textId="77777777" w:rsidTr="003A532E">
        <w:trPr>
          <w:cantSplit/>
        </w:trPr>
        <w:tc>
          <w:tcPr>
            <w:tcW w:w="1440" w:type="dxa"/>
            <w:tcBorders>
              <w:top w:val="nil"/>
              <w:left w:val="single" w:sz="8" w:space="0" w:color="auto"/>
              <w:bottom w:val="single" w:sz="8" w:space="0" w:color="auto"/>
              <w:right w:val="single" w:sz="8" w:space="0" w:color="auto"/>
            </w:tcBorders>
            <w:tcMar>
              <w:top w:w="0" w:type="dxa"/>
              <w:left w:w="129" w:type="dxa"/>
              <w:bottom w:w="0" w:type="dxa"/>
              <w:right w:w="129" w:type="dxa"/>
            </w:tcMar>
          </w:tcPr>
          <w:p w14:paraId="07445F3D" w14:textId="77777777" w:rsidR="00232DE0" w:rsidRPr="00251B0C" w:rsidRDefault="00232DE0" w:rsidP="00A03B89">
            <w:pPr>
              <w:jc w:val="center"/>
              <w:rPr>
                <w:rFonts w:ascii="Times New Roman" w:hAnsi="Times New Roman" w:cs="Times New Roman"/>
                <w:sz w:val="20"/>
                <w:szCs w:val="20"/>
              </w:rPr>
            </w:pPr>
            <w:r w:rsidRPr="00251B0C">
              <w:rPr>
                <w:rFonts w:ascii="Times New Roman" w:hAnsi="Times New Roman" w:cs="Times New Roman"/>
                <w:sz w:val="20"/>
                <w:szCs w:val="20"/>
              </w:rPr>
              <w:t>Physician Assistants</w:t>
            </w:r>
          </w:p>
        </w:tc>
        <w:tc>
          <w:tcPr>
            <w:tcW w:w="2430" w:type="dxa"/>
            <w:tcBorders>
              <w:top w:val="nil"/>
              <w:left w:val="nil"/>
              <w:bottom w:val="single" w:sz="8" w:space="0" w:color="000000"/>
              <w:right w:val="nil"/>
            </w:tcBorders>
            <w:tcMar>
              <w:top w:w="0" w:type="dxa"/>
              <w:left w:w="129" w:type="dxa"/>
              <w:bottom w:w="0" w:type="dxa"/>
              <w:right w:w="129" w:type="dxa"/>
            </w:tcMar>
          </w:tcPr>
          <w:p w14:paraId="65065850" w14:textId="77777777" w:rsidR="00232DE0" w:rsidRPr="00251B0C" w:rsidRDefault="00232DE0" w:rsidP="00057471">
            <w:pPr>
              <w:spacing w:after="0" w:line="240" w:lineRule="auto"/>
              <w:ind w:left="-39" w:right="51"/>
              <w:jc w:val="center"/>
              <w:rPr>
                <w:rFonts w:ascii="Times New Roman" w:hAnsi="Times New Roman" w:cs="Times New Roman"/>
                <w:sz w:val="20"/>
                <w:szCs w:val="20"/>
              </w:rPr>
            </w:pPr>
            <w:r w:rsidRPr="00251B0C">
              <w:rPr>
                <w:rFonts w:ascii="Times New Roman" w:hAnsi="Times New Roman" w:cs="Times New Roman"/>
                <w:sz w:val="20"/>
                <w:szCs w:val="20"/>
              </w:rPr>
              <w:t xml:space="preserve">K-BAP Provider </w:t>
            </w:r>
            <w:r w:rsidR="00DB1613" w:rsidRPr="00251B0C">
              <w:rPr>
                <w:rFonts w:ascii="Times New Roman" w:hAnsi="Times New Roman" w:cs="Times New Roman"/>
                <w:sz w:val="20"/>
                <w:szCs w:val="20"/>
              </w:rPr>
              <w:t xml:space="preserve">Follow-Up </w:t>
            </w:r>
            <w:r w:rsidR="00057471" w:rsidRPr="00251B0C">
              <w:rPr>
                <w:rFonts w:ascii="Times New Roman" w:hAnsi="Times New Roman" w:cs="Times New Roman"/>
                <w:sz w:val="20"/>
                <w:szCs w:val="20"/>
              </w:rPr>
              <w:t>Screener and Survey</w:t>
            </w:r>
            <w:r w:rsidRPr="00251B0C">
              <w:rPr>
                <w:rFonts w:ascii="Times New Roman" w:hAnsi="Times New Roman" w:cs="Times New Roman"/>
                <w:sz w:val="20"/>
                <w:szCs w:val="20"/>
              </w:rPr>
              <w:t xml:space="preserve"> (Attachment 3</w:t>
            </w:r>
            <w:r w:rsidR="00A07D86" w:rsidRPr="00251B0C">
              <w:rPr>
                <w:rFonts w:ascii="Times New Roman" w:hAnsi="Times New Roman" w:cs="Times New Roman"/>
                <w:sz w:val="20"/>
                <w:szCs w:val="20"/>
              </w:rPr>
              <w:t>b</w:t>
            </w:r>
            <w:r w:rsidR="00046EE0" w:rsidRPr="00251B0C">
              <w:rPr>
                <w:rFonts w:ascii="Times New Roman" w:hAnsi="Times New Roman" w:cs="Times New Roman"/>
                <w:sz w:val="20"/>
                <w:szCs w:val="20"/>
              </w:rPr>
              <w:t>, 9b</w:t>
            </w:r>
            <w:r w:rsidRPr="00251B0C">
              <w:rPr>
                <w:rFonts w:ascii="Times New Roman" w:hAnsi="Times New Roman" w:cs="Times New Roman"/>
                <w:sz w:val="20"/>
                <w:szCs w:val="20"/>
              </w:rPr>
              <w:t>)</w:t>
            </w:r>
          </w:p>
        </w:tc>
        <w:tc>
          <w:tcPr>
            <w:tcW w:w="1080" w:type="dxa"/>
            <w:tcBorders>
              <w:top w:val="nil"/>
              <w:left w:val="single" w:sz="8" w:space="0" w:color="000000"/>
              <w:bottom w:val="single" w:sz="8" w:space="0" w:color="000000"/>
              <w:right w:val="nil"/>
            </w:tcBorders>
            <w:tcMar>
              <w:top w:w="0" w:type="dxa"/>
              <w:left w:w="129" w:type="dxa"/>
              <w:bottom w:w="0" w:type="dxa"/>
              <w:right w:w="129" w:type="dxa"/>
            </w:tcMar>
            <w:vAlign w:val="center"/>
          </w:tcPr>
          <w:p w14:paraId="3F76D4E5" w14:textId="77777777" w:rsidR="00232DE0" w:rsidRPr="00251B0C" w:rsidRDefault="0085464A" w:rsidP="00761F6B">
            <w:pPr>
              <w:jc w:val="center"/>
              <w:rPr>
                <w:rFonts w:ascii="Times New Roman" w:hAnsi="Times New Roman" w:cs="Times New Roman"/>
                <w:sz w:val="20"/>
                <w:szCs w:val="20"/>
              </w:rPr>
            </w:pPr>
            <w:r w:rsidRPr="00251B0C">
              <w:rPr>
                <w:rFonts w:ascii="Times New Roman" w:hAnsi="Times New Roman" w:cs="Times New Roman"/>
                <w:sz w:val="20"/>
                <w:szCs w:val="20"/>
              </w:rPr>
              <w:t>79</w:t>
            </w:r>
          </w:p>
        </w:tc>
        <w:tc>
          <w:tcPr>
            <w:tcW w:w="1914" w:type="dxa"/>
            <w:tcBorders>
              <w:top w:val="nil"/>
              <w:left w:val="single" w:sz="8" w:space="0" w:color="000000"/>
              <w:bottom w:val="single" w:sz="8" w:space="0" w:color="000000"/>
              <w:right w:val="single" w:sz="8" w:space="0" w:color="000000"/>
            </w:tcBorders>
            <w:tcMar>
              <w:top w:w="0" w:type="dxa"/>
              <w:left w:w="129" w:type="dxa"/>
              <w:bottom w:w="0" w:type="dxa"/>
              <w:right w:w="129" w:type="dxa"/>
            </w:tcMar>
            <w:vAlign w:val="center"/>
          </w:tcPr>
          <w:p w14:paraId="4CD23B3E" w14:textId="77777777" w:rsidR="00232DE0" w:rsidRPr="00251B0C" w:rsidRDefault="00232DE0" w:rsidP="00761F6B">
            <w:pPr>
              <w:ind w:right="-39"/>
              <w:jc w:val="center"/>
              <w:rPr>
                <w:rFonts w:ascii="Times New Roman" w:hAnsi="Times New Roman" w:cs="Times New Roman"/>
                <w:sz w:val="20"/>
                <w:szCs w:val="20"/>
              </w:rPr>
            </w:pPr>
            <w:r w:rsidRPr="00251B0C">
              <w:rPr>
                <w:rFonts w:ascii="Times New Roman" w:hAnsi="Times New Roman" w:cs="Times New Roman"/>
                <w:sz w:val="20"/>
                <w:szCs w:val="20"/>
              </w:rPr>
              <w:t>$46.07</w:t>
            </w:r>
          </w:p>
        </w:tc>
        <w:tc>
          <w:tcPr>
            <w:tcW w:w="1866" w:type="dxa"/>
            <w:tcBorders>
              <w:top w:val="nil"/>
              <w:left w:val="nil"/>
              <w:bottom w:val="single" w:sz="8" w:space="0" w:color="000000"/>
              <w:right w:val="single" w:sz="8" w:space="0" w:color="000000"/>
            </w:tcBorders>
            <w:tcMar>
              <w:top w:w="0" w:type="dxa"/>
              <w:left w:w="129" w:type="dxa"/>
              <w:bottom w:w="0" w:type="dxa"/>
              <w:right w:w="129" w:type="dxa"/>
            </w:tcMar>
            <w:vAlign w:val="center"/>
          </w:tcPr>
          <w:p w14:paraId="3837A280" w14:textId="77777777" w:rsidR="00232DE0" w:rsidRPr="00251B0C" w:rsidRDefault="00A03B89" w:rsidP="0085464A">
            <w:pPr>
              <w:jc w:val="center"/>
              <w:rPr>
                <w:rFonts w:ascii="Times New Roman" w:hAnsi="Times New Roman" w:cs="Times New Roman"/>
                <w:sz w:val="20"/>
                <w:szCs w:val="20"/>
              </w:rPr>
            </w:pPr>
            <w:r w:rsidRPr="00251B0C">
              <w:rPr>
                <w:rFonts w:ascii="Times New Roman" w:hAnsi="Times New Roman" w:cs="Times New Roman"/>
                <w:sz w:val="20"/>
                <w:szCs w:val="20"/>
              </w:rPr>
              <w:t>$</w:t>
            </w:r>
            <w:r w:rsidR="0085464A" w:rsidRPr="00251B0C">
              <w:rPr>
                <w:rFonts w:ascii="Times New Roman" w:hAnsi="Times New Roman" w:cs="Times New Roman"/>
                <w:sz w:val="20"/>
                <w:szCs w:val="20"/>
              </w:rPr>
              <w:t>3,640</w:t>
            </w:r>
          </w:p>
        </w:tc>
      </w:tr>
      <w:tr w:rsidR="00232DE0" w:rsidRPr="00251B0C" w14:paraId="6AD76980" w14:textId="77777777" w:rsidTr="003A532E">
        <w:trPr>
          <w:cantSplit/>
        </w:trPr>
        <w:tc>
          <w:tcPr>
            <w:tcW w:w="1440" w:type="dxa"/>
            <w:tcBorders>
              <w:top w:val="single" w:sz="8" w:space="0" w:color="auto"/>
              <w:left w:val="single" w:sz="8" w:space="0" w:color="auto"/>
              <w:bottom w:val="single" w:sz="8" w:space="0" w:color="auto"/>
              <w:right w:val="single" w:sz="8" w:space="0" w:color="auto"/>
            </w:tcBorders>
            <w:tcMar>
              <w:top w:w="0" w:type="dxa"/>
              <w:left w:w="129" w:type="dxa"/>
              <w:bottom w:w="0" w:type="dxa"/>
              <w:right w:w="129" w:type="dxa"/>
            </w:tcMar>
          </w:tcPr>
          <w:p w14:paraId="483577CF" w14:textId="77777777" w:rsidR="00232DE0" w:rsidRPr="00251B0C" w:rsidRDefault="005D53EB" w:rsidP="00A03B89">
            <w:pPr>
              <w:jc w:val="center"/>
              <w:rPr>
                <w:rFonts w:ascii="Times New Roman" w:hAnsi="Times New Roman" w:cs="Times New Roman"/>
                <w:b/>
                <w:sz w:val="20"/>
                <w:szCs w:val="20"/>
              </w:rPr>
            </w:pPr>
            <w:r w:rsidRPr="00251B0C">
              <w:rPr>
                <w:rFonts w:ascii="Times New Roman" w:hAnsi="Times New Roman" w:cs="Times New Roman"/>
                <w:b/>
                <w:sz w:val="20"/>
                <w:szCs w:val="20"/>
              </w:rPr>
              <w:t>Total</w:t>
            </w:r>
          </w:p>
        </w:tc>
        <w:tc>
          <w:tcPr>
            <w:tcW w:w="2430" w:type="dxa"/>
            <w:tcBorders>
              <w:top w:val="single" w:sz="8" w:space="0" w:color="auto"/>
              <w:left w:val="nil"/>
              <w:bottom w:val="single" w:sz="8" w:space="0" w:color="000000"/>
              <w:right w:val="nil"/>
            </w:tcBorders>
            <w:tcMar>
              <w:top w:w="0" w:type="dxa"/>
              <w:left w:w="129" w:type="dxa"/>
              <w:bottom w:w="0" w:type="dxa"/>
              <w:right w:w="129" w:type="dxa"/>
            </w:tcMar>
          </w:tcPr>
          <w:p w14:paraId="46420D60" w14:textId="77777777" w:rsidR="00232DE0" w:rsidRPr="00251B0C" w:rsidRDefault="00232DE0" w:rsidP="005D53EB">
            <w:pPr>
              <w:spacing w:after="0" w:line="240" w:lineRule="auto"/>
              <w:ind w:left="-39" w:right="51"/>
              <w:jc w:val="center"/>
              <w:rPr>
                <w:rFonts w:ascii="Times New Roman" w:hAnsi="Times New Roman" w:cs="Times New Roman"/>
                <w:b/>
                <w:sz w:val="20"/>
                <w:szCs w:val="20"/>
              </w:rPr>
            </w:pPr>
          </w:p>
        </w:tc>
        <w:tc>
          <w:tcPr>
            <w:tcW w:w="1080" w:type="dxa"/>
            <w:tcBorders>
              <w:top w:val="single" w:sz="8" w:space="0" w:color="auto"/>
              <w:left w:val="single" w:sz="8" w:space="0" w:color="000000"/>
              <w:bottom w:val="single" w:sz="8" w:space="0" w:color="000000"/>
              <w:right w:val="nil"/>
            </w:tcBorders>
            <w:tcMar>
              <w:top w:w="0" w:type="dxa"/>
              <w:left w:w="129" w:type="dxa"/>
              <w:bottom w:w="0" w:type="dxa"/>
              <w:right w:w="129" w:type="dxa"/>
            </w:tcMar>
            <w:vAlign w:val="center"/>
          </w:tcPr>
          <w:p w14:paraId="6F07F928" w14:textId="77777777" w:rsidR="00232DE0" w:rsidRPr="00251B0C" w:rsidRDefault="00232DE0" w:rsidP="005D53EB">
            <w:pPr>
              <w:jc w:val="center"/>
              <w:rPr>
                <w:rFonts w:ascii="Times New Roman" w:hAnsi="Times New Roman" w:cs="Times New Roman"/>
                <w:b/>
                <w:sz w:val="20"/>
                <w:szCs w:val="20"/>
              </w:rPr>
            </w:pPr>
          </w:p>
        </w:tc>
        <w:tc>
          <w:tcPr>
            <w:tcW w:w="1914" w:type="dxa"/>
            <w:tcBorders>
              <w:top w:val="single" w:sz="8" w:space="0" w:color="auto"/>
              <w:left w:val="single" w:sz="8" w:space="0" w:color="000000"/>
              <w:bottom w:val="single" w:sz="8" w:space="0" w:color="000000"/>
              <w:right w:val="single" w:sz="8" w:space="0" w:color="000000"/>
            </w:tcBorders>
            <w:tcMar>
              <w:top w:w="0" w:type="dxa"/>
              <w:left w:w="129" w:type="dxa"/>
              <w:bottom w:w="0" w:type="dxa"/>
              <w:right w:w="129" w:type="dxa"/>
            </w:tcMar>
            <w:vAlign w:val="center"/>
          </w:tcPr>
          <w:p w14:paraId="1FEE7935" w14:textId="77777777" w:rsidR="00232DE0" w:rsidRPr="00251B0C" w:rsidRDefault="00232DE0" w:rsidP="005D53EB">
            <w:pPr>
              <w:ind w:right="-39"/>
              <w:jc w:val="center"/>
              <w:rPr>
                <w:rFonts w:ascii="Times New Roman" w:hAnsi="Times New Roman" w:cs="Times New Roman"/>
                <w:b/>
                <w:sz w:val="20"/>
                <w:szCs w:val="20"/>
              </w:rPr>
            </w:pPr>
          </w:p>
        </w:tc>
        <w:tc>
          <w:tcPr>
            <w:tcW w:w="1866" w:type="dxa"/>
            <w:tcBorders>
              <w:top w:val="single" w:sz="8" w:space="0" w:color="auto"/>
              <w:left w:val="nil"/>
              <w:bottom w:val="single" w:sz="8" w:space="0" w:color="000000"/>
              <w:right w:val="single" w:sz="8" w:space="0" w:color="000000"/>
            </w:tcBorders>
            <w:tcMar>
              <w:top w:w="0" w:type="dxa"/>
              <w:left w:w="129" w:type="dxa"/>
              <w:bottom w:w="0" w:type="dxa"/>
              <w:right w:w="129" w:type="dxa"/>
            </w:tcMar>
            <w:vAlign w:val="center"/>
          </w:tcPr>
          <w:p w14:paraId="1AAC9B88" w14:textId="77777777" w:rsidR="00232DE0" w:rsidRPr="00251B0C" w:rsidRDefault="00761F6B" w:rsidP="0085464A">
            <w:pPr>
              <w:jc w:val="center"/>
              <w:rPr>
                <w:rFonts w:ascii="Times New Roman" w:hAnsi="Times New Roman" w:cs="Times New Roman"/>
                <w:b/>
                <w:sz w:val="20"/>
                <w:szCs w:val="20"/>
              </w:rPr>
            </w:pPr>
            <w:r w:rsidRPr="00251B0C">
              <w:rPr>
                <w:rFonts w:ascii="Times New Roman" w:hAnsi="Times New Roman" w:cs="Times New Roman"/>
                <w:b/>
                <w:sz w:val="20"/>
                <w:szCs w:val="20"/>
              </w:rPr>
              <w:t>$73,</w:t>
            </w:r>
            <w:r w:rsidR="0085464A" w:rsidRPr="00251B0C">
              <w:rPr>
                <w:rFonts w:ascii="Times New Roman" w:hAnsi="Times New Roman" w:cs="Times New Roman"/>
                <w:b/>
                <w:sz w:val="20"/>
                <w:szCs w:val="20"/>
              </w:rPr>
              <w:t>156</w:t>
            </w:r>
          </w:p>
        </w:tc>
      </w:tr>
    </w:tbl>
    <w:p w14:paraId="64F73D12" w14:textId="77777777" w:rsidR="00396232" w:rsidRPr="00251B0C" w:rsidRDefault="007702C5" w:rsidP="003200BD">
      <w:pPr>
        <w:pStyle w:val="TOC1"/>
      </w:pPr>
      <w:r w:rsidRPr="00251B0C">
        <w:rPr>
          <w:vertAlign w:val="superscript"/>
        </w:rPr>
        <w:t>†</w:t>
      </w:r>
      <w:r w:rsidR="002B2629" w:rsidRPr="00251B0C">
        <w:t>http://data.bls.gov/cgi-bin/print.pl/oes/current/oes_nat.htm</w:t>
      </w:r>
    </w:p>
    <w:p w14:paraId="7BEED931" w14:textId="77777777" w:rsidR="00EC35B9" w:rsidRPr="00251B0C" w:rsidRDefault="00EC35B9" w:rsidP="00EC35B9">
      <w:pPr>
        <w:rPr>
          <w:rFonts w:ascii="Times New Roman" w:hAnsi="Times New Roman" w:cs="Times New Roman"/>
        </w:rPr>
      </w:pPr>
      <w:r w:rsidRPr="00251B0C">
        <w:rPr>
          <w:rFonts w:ascii="Times New Roman" w:hAnsi="Times New Roman" w:cs="Times New Roman"/>
        </w:rPr>
        <w:t xml:space="preserve">The estimates of hourly wages were obtained from the U.S. Department of Labor (Bureau of Labor Statistics Wage Data-http://data.bls.gov/cgi-bin/print.pl/oes/current/oes_nat.htm). </w:t>
      </w:r>
    </w:p>
    <w:p w14:paraId="150F1E18" w14:textId="77777777" w:rsidR="009A33EF" w:rsidRPr="00251B0C" w:rsidRDefault="00E06782" w:rsidP="003200BD">
      <w:pPr>
        <w:pStyle w:val="TOC1"/>
      </w:pPr>
      <w:r w:rsidRPr="00251B0C">
        <w:t>Estimates of Other Total Annual Cost Burden to Respondents or Record Keepers</w:t>
      </w:r>
      <w:r w:rsidRPr="00251B0C" w:rsidDel="00E06782">
        <w:t xml:space="preserve"> </w:t>
      </w:r>
    </w:p>
    <w:p w14:paraId="00024AC6" w14:textId="77777777" w:rsidR="00396232" w:rsidRPr="00251B0C" w:rsidRDefault="00396232" w:rsidP="000B35C9">
      <w:pPr>
        <w:rPr>
          <w:rFonts w:ascii="Times New Roman" w:hAnsi="Times New Roman" w:cs="Times New Roman"/>
          <w:sz w:val="24"/>
          <w:szCs w:val="24"/>
        </w:rPr>
      </w:pPr>
      <w:r w:rsidRPr="00251B0C">
        <w:rPr>
          <w:rFonts w:ascii="Times New Roman" w:hAnsi="Times New Roman" w:cs="Times New Roman"/>
          <w:sz w:val="24"/>
          <w:szCs w:val="24"/>
        </w:rPr>
        <w:t>There are no other costs to respondents associated with this proposed collection of information.</w:t>
      </w:r>
    </w:p>
    <w:p w14:paraId="72FB4F6A" w14:textId="77777777" w:rsidR="00E24F09" w:rsidRPr="00251B0C" w:rsidRDefault="00356539" w:rsidP="003200BD">
      <w:pPr>
        <w:pStyle w:val="TOC1"/>
      </w:pPr>
      <w:r w:rsidRPr="00251B0C">
        <w:lastRenderedPageBreak/>
        <w:t>Annualized Cost to Government</w:t>
      </w:r>
      <w:r w:rsidR="008C6487" w:rsidRPr="00251B0C">
        <w:t xml:space="preserve"> </w:t>
      </w:r>
    </w:p>
    <w:p w14:paraId="2E228C46" w14:textId="77777777" w:rsidR="00E24F09" w:rsidRPr="00251B0C" w:rsidRDefault="00533098" w:rsidP="000B35C9">
      <w:pPr>
        <w:pStyle w:val="ListParagraph"/>
        <w:spacing w:before="120" w:after="120" w:line="240" w:lineRule="auto"/>
        <w:ind w:left="0"/>
        <w:contextualSpacing w:val="0"/>
        <w:rPr>
          <w:rFonts w:ascii="Times New Roman" w:hAnsi="Times New Roman" w:cs="Times New Roman"/>
          <w:sz w:val="24"/>
          <w:szCs w:val="24"/>
        </w:rPr>
      </w:pPr>
      <w:r w:rsidRPr="00251B0C">
        <w:rPr>
          <w:rFonts w:ascii="Times New Roman" w:hAnsi="Times New Roman" w:cs="Times New Roman"/>
          <w:sz w:val="24"/>
          <w:szCs w:val="24"/>
        </w:rPr>
        <w:t>The annual cost to the government is $</w:t>
      </w:r>
      <w:r w:rsidR="009E235C" w:rsidRPr="00251B0C">
        <w:rPr>
          <w:rFonts w:ascii="Times New Roman" w:hAnsi="Times New Roman" w:cs="Times New Roman"/>
          <w:sz w:val="24"/>
          <w:szCs w:val="24"/>
        </w:rPr>
        <w:t>349,000</w:t>
      </w:r>
      <w:r w:rsidR="00E24F09" w:rsidRPr="00251B0C">
        <w:rPr>
          <w:rFonts w:ascii="Times New Roman" w:hAnsi="Times New Roman" w:cs="Times New Roman"/>
          <w:sz w:val="24"/>
          <w:szCs w:val="24"/>
        </w:rPr>
        <w:t xml:space="preserve">. </w:t>
      </w:r>
    </w:p>
    <w:p w14:paraId="7E6C16F1" w14:textId="77777777" w:rsidR="000B35C9" w:rsidRPr="00251B0C" w:rsidRDefault="000B35C9" w:rsidP="003200BD">
      <w:pPr>
        <w:pStyle w:val="TOC1"/>
      </w:pPr>
    </w:p>
    <w:p w14:paraId="13B920A0" w14:textId="77777777" w:rsidR="002172C4" w:rsidRPr="00251B0C" w:rsidRDefault="00E24F09" w:rsidP="003200BD">
      <w:pPr>
        <w:pStyle w:val="TOC1"/>
      </w:pPr>
      <w:r w:rsidRPr="00251B0C">
        <w:t>Exhibit A1</w:t>
      </w:r>
      <w:r w:rsidR="00A83CA8" w:rsidRPr="00251B0C">
        <w:t>4</w:t>
      </w:r>
      <w:r w:rsidRPr="00251B0C">
        <w:t xml:space="preserve">.1: </w:t>
      </w:r>
      <w:r w:rsidR="002172C4" w:rsidRPr="00251B0C">
        <w:t xml:space="preserve">Annualized Cost to Government </w:t>
      </w:r>
    </w:p>
    <w:tbl>
      <w:tblPr>
        <w:tblStyle w:val="TableGrid"/>
        <w:tblW w:w="4414" w:type="pct"/>
        <w:tblInd w:w="288" w:type="dxa"/>
        <w:tblLook w:val="04A0" w:firstRow="1" w:lastRow="0" w:firstColumn="1" w:lastColumn="0" w:noHBand="0" w:noVBand="1"/>
      </w:tblPr>
      <w:tblGrid>
        <w:gridCol w:w="2205"/>
        <w:gridCol w:w="4086"/>
        <w:gridCol w:w="1963"/>
      </w:tblGrid>
      <w:tr w:rsidR="000210B6" w:rsidRPr="00251B0C" w14:paraId="50443F78" w14:textId="77777777" w:rsidTr="00BD1CE4">
        <w:tc>
          <w:tcPr>
            <w:tcW w:w="1336" w:type="pct"/>
          </w:tcPr>
          <w:p w14:paraId="40256461" w14:textId="77777777" w:rsidR="000210B6" w:rsidRPr="00251B0C" w:rsidRDefault="000210B6" w:rsidP="00BD1CE4">
            <w:pPr>
              <w:jc w:val="center"/>
              <w:rPr>
                <w:rFonts w:ascii="Times New Roman" w:hAnsi="Times New Roman" w:cs="Times New Roman"/>
                <w:b/>
              </w:rPr>
            </w:pPr>
            <w:r w:rsidRPr="00251B0C">
              <w:rPr>
                <w:rFonts w:ascii="Times New Roman" w:hAnsi="Times New Roman" w:cs="Times New Roman"/>
                <w:b/>
              </w:rPr>
              <w:t>Expense Type</w:t>
            </w:r>
          </w:p>
          <w:p w14:paraId="7588B74D" w14:textId="77777777" w:rsidR="000210B6" w:rsidRPr="00251B0C" w:rsidRDefault="000210B6" w:rsidP="00BD1CE4">
            <w:pPr>
              <w:jc w:val="center"/>
              <w:rPr>
                <w:rFonts w:ascii="Times New Roman" w:hAnsi="Times New Roman" w:cs="Times New Roman"/>
                <w:b/>
              </w:rPr>
            </w:pPr>
            <w:r w:rsidRPr="00251B0C">
              <w:rPr>
                <w:rFonts w:ascii="Times New Roman" w:hAnsi="Times New Roman" w:cs="Times New Roman"/>
                <w:b/>
              </w:rPr>
              <w:t>(Based on FY14 dollars)</w:t>
            </w:r>
          </w:p>
        </w:tc>
        <w:tc>
          <w:tcPr>
            <w:tcW w:w="2475" w:type="pct"/>
          </w:tcPr>
          <w:p w14:paraId="18ECEB8D" w14:textId="77777777" w:rsidR="000210B6" w:rsidRPr="00251B0C" w:rsidRDefault="000210B6" w:rsidP="00BD1CE4">
            <w:pPr>
              <w:jc w:val="center"/>
              <w:rPr>
                <w:rFonts w:ascii="Times New Roman" w:hAnsi="Times New Roman" w:cs="Times New Roman"/>
                <w:b/>
              </w:rPr>
            </w:pPr>
            <w:r w:rsidRPr="00251B0C">
              <w:rPr>
                <w:rFonts w:ascii="Times New Roman" w:hAnsi="Times New Roman" w:cs="Times New Roman"/>
                <w:b/>
              </w:rPr>
              <w:t>Expense Explanation</w:t>
            </w:r>
          </w:p>
        </w:tc>
        <w:tc>
          <w:tcPr>
            <w:tcW w:w="1189" w:type="pct"/>
          </w:tcPr>
          <w:p w14:paraId="54154D53" w14:textId="77777777" w:rsidR="000210B6" w:rsidRPr="00251B0C" w:rsidRDefault="000210B6" w:rsidP="00BD1CE4">
            <w:pPr>
              <w:jc w:val="center"/>
              <w:rPr>
                <w:rFonts w:ascii="Times New Roman" w:hAnsi="Times New Roman" w:cs="Times New Roman"/>
                <w:b/>
              </w:rPr>
            </w:pPr>
            <w:r w:rsidRPr="00251B0C">
              <w:rPr>
                <w:rFonts w:ascii="Times New Roman" w:hAnsi="Times New Roman" w:cs="Times New Roman"/>
                <w:b/>
              </w:rPr>
              <w:t>Annual Costs (dollars)</w:t>
            </w:r>
          </w:p>
        </w:tc>
      </w:tr>
      <w:tr w:rsidR="000210B6" w:rsidRPr="00251B0C" w14:paraId="163BA7CD" w14:textId="77777777" w:rsidTr="00BD1CE4">
        <w:tc>
          <w:tcPr>
            <w:tcW w:w="1336" w:type="pct"/>
          </w:tcPr>
          <w:p w14:paraId="6543C206" w14:textId="77777777" w:rsidR="000210B6" w:rsidRPr="00251B0C" w:rsidRDefault="000210B6" w:rsidP="00BD1CE4">
            <w:pPr>
              <w:pStyle w:val="ListParagraph"/>
              <w:ind w:left="0"/>
              <w:rPr>
                <w:rFonts w:ascii="Times New Roman" w:hAnsi="Times New Roman" w:cs="Times New Roman"/>
                <w:b/>
              </w:rPr>
            </w:pPr>
            <w:r w:rsidRPr="00251B0C">
              <w:rPr>
                <w:rFonts w:ascii="Times New Roman" w:hAnsi="Times New Roman" w:cs="Times New Roman"/>
                <w:b/>
              </w:rPr>
              <w:t>Direct Costs to the Federal Government</w:t>
            </w:r>
          </w:p>
        </w:tc>
        <w:tc>
          <w:tcPr>
            <w:tcW w:w="2475" w:type="pct"/>
          </w:tcPr>
          <w:p w14:paraId="73773B71" w14:textId="77777777" w:rsidR="000210B6" w:rsidRPr="00251B0C" w:rsidRDefault="000210B6" w:rsidP="00BD1CE4">
            <w:pPr>
              <w:pStyle w:val="ListParagraph"/>
              <w:ind w:left="0"/>
              <w:rPr>
                <w:rFonts w:ascii="Times New Roman" w:hAnsi="Times New Roman" w:cs="Times New Roman"/>
                <w:b/>
              </w:rPr>
            </w:pPr>
          </w:p>
        </w:tc>
        <w:tc>
          <w:tcPr>
            <w:tcW w:w="1189" w:type="pct"/>
          </w:tcPr>
          <w:p w14:paraId="40304108" w14:textId="77777777" w:rsidR="000210B6" w:rsidRPr="00251B0C" w:rsidRDefault="000210B6" w:rsidP="00BD1CE4">
            <w:pPr>
              <w:pStyle w:val="ListParagraph"/>
              <w:ind w:left="0"/>
              <w:jc w:val="center"/>
              <w:rPr>
                <w:rFonts w:ascii="Times New Roman" w:hAnsi="Times New Roman" w:cs="Times New Roman"/>
              </w:rPr>
            </w:pPr>
          </w:p>
        </w:tc>
      </w:tr>
      <w:tr w:rsidR="000210B6" w:rsidRPr="00251B0C" w14:paraId="1B5FDD0A" w14:textId="77777777" w:rsidTr="00BD1CE4">
        <w:tc>
          <w:tcPr>
            <w:tcW w:w="1336" w:type="pct"/>
          </w:tcPr>
          <w:p w14:paraId="09A1196D" w14:textId="77777777" w:rsidR="000210B6" w:rsidRPr="00251B0C" w:rsidRDefault="000210B6" w:rsidP="00BD1CE4">
            <w:pPr>
              <w:pStyle w:val="ListParagraph"/>
              <w:ind w:left="0"/>
              <w:rPr>
                <w:rFonts w:ascii="Times New Roman" w:hAnsi="Times New Roman" w:cs="Times New Roman"/>
              </w:rPr>
            </w:pPr>
          </w:p>
        </w:tc>
        <w:tc>
          <w:tcPr>
            <w:tcW w:w="2475" w:type="pct"/>
          </w:tcPr>
          <w:p w14:paraId="045915AF" w14:textId="77777777" w:rsidR="000210B6" w:rsidRPr="00251B0C" w:rsidRDefault="000210B6" w:rsidP="00BD1CE4">
            <w:pPr>
              <w:pStyle w:val="ListParagraph"/>
              <w:ind w:left="0"/>
              <w:rPr>
                <w:rFonts w:ascii="Times New Roman" w:hAnsi="Times New Roman" w:cs="Times New Roman"/>
              </w:rPr>
            </w:pPr>
            <w:r w:rsidRPr="00251B0C">
              <w:rPr>
                <w:rFonts w:ascii="Times New Roman" w:hAnsi="Times New Roman" w:cs="Times New Roman"/>
                <w:b/>
              </w:rPr>
              <w:t>K-BAP Project Personnel</w:t>
            </w:r>
          </w:p>
        </w:tc>
        <w:tc>
          <w:tcPr>
            <w:tcW w:w="1189" w:type="pct"/>
          </w:tcPr>
          <w:p w14:paraId="68A19F0E" w14:textId="77777777" w:rsidR="000210B6" w:rsidRPr="00251B0C" w:rsidRDefault="000210B6" w:rsidP="00BD1CE4">
            <w:pPr>
              <w:pStyle w:val="ListParagraph"/>
              <w:ind w:left="0"/>
              <w:jc w:val="center"/>
              <w:rPr>
                <w:rFonts w:ascii="Times New Roman" w:hAnsi="Times New Roman" w:cs="Times New Roman"/>
              </w:rPr>
            </w:pPr>
          </w:p>
        </w:tc>
      </w:tr>
      <w:tr w:rsidR="000210B6" w:rsidRPr="00251B0C" w14:paraId="6BC156CD" w14:textId="77777777" w:rsidTr="00BD1CE4">
        <w:tc>
          <w:tcPr>
            <w:tcW w:w="1336" w:type="pct"/>
          </w:tcPr>
          <w:p w14:paraId="47AF9343" w14:textId="77777777" w:rsidR="000210B6" w:rsidRPr="00251B0C" w:rsidRDefault="000210B6" w:rsidP="00BD1CE4">
            <w:pPr>
              <w:pStyle w:val="ListParagraph"/>
              <w:ind w:left="0"/>
              <w:rPr>
                <w:rFonts w:ascii="Times New Roman" w:hAnsi="Times New Roman" w:cs="Times New Roman"/>
              </w:rPr>
            </w:pPr>
          </w:p>
        </w:tc>
        <w:tc>
          <w:tcPr>
            <w:tcW w:w="2475" w:type="pct"/>
          </w:tcPr>
          <w:p w14:paraId="35B147E2" w14:textId="77777777" w:rsidR="000210B6" w:rsidRPr="00251B0C" w:rsidRDefault="000210B6" w:rsidP="000F699B">
            <w:pPr>
              <w:pStyle w:val="ListParagraph"/>
              <w:ind w:left="0"/>
              <w:rPr>
                <w:rFonts w:ascii="Times New Roman" w:hAnsi="Times New Roman" w:cs="Times New Roman"/>
              </w:rPr>
            </w:pPr>
            <w:r w:rsidRPr="00251B0C">
              <w:rPr>
                <w:rFonts w:ascii="Times New Roman" w:hAnsi="Times New Roman" w:cs="Times New Roman"/>
              </w:rPr>
              <w:t>Behavioral Scientist</w:t>
            </w:r>
            <w:r w:rsidR="00C67991" w:rsidRPr="00251B0C">
              <w:rPr>
                <w:rFonts w:ascii="Times New Roman" w:hAnsi="Times New Roman" w:cs="Times New Roman"/>
              </w:rPr>
              <w:t xml:space="preserve"> – GS-</w:t>
            </w:r>
            <w:r w:rsidRPr="00251B0C">
              <w:rPr>
                <w:rFonts w:ascii="Times New Roman" w:hAnsi="Times New Roman" w:cs="Times New Roman"/>
              </w:rPr>
              <w:t>13 40%</w:t>
            </w:r>
          </w:p>
        </w:tc>
        <w:tc>
          <w:tcPr>
            <w:tcW w:w="1189" w:type="pct"/>
          </w:tcPr>
          <w:p w14:paraId="6D1F7B12" w14:textId="77777777" w:rsidR="000210B6" w:rsidRPr="00251B0C" w:rsidRDefault="000210B6" w:rsidP="000210B6">
            <w:pPr>
              <w:pStyle w:val="ListParagraph"/>
              <w:ind w:left="0"/>
              <w:jc w:val="center"/>
              <w:rPr>
                <w:rFonts w:ascii="Times New Roman" w:hAnsi="Times New Roman" w:cs="Times New Roman"/>
              </w:rPr>
            </w:pPr>
            <w:r w:rsidRPr="00251B0C">
              <w:rPr>
                <w:rFonts w:ascii="Times New Roman" w:hAnsi="Times New Roman" w:cs="Times New Roman"/>
              </w:rPr>
              <w:t>$43,</w:t>
            </w:r>
            <w:r w:rsidR="000F699B" w:rsidRPr="00251B0C">
              <w:rPr>
                <w:rFonts w:ascii="Times New Roman" w:hAnsi="Times New Roman" w:cs="Times New Roman"/>
              </w:rPr>
              <w:t>0</w:t>
            </w:r>
            <w:r w:rsidRPr="00251B0C">
              <w:rPr>
                <w:rFonts w:ascii="Times New Roman" w:hAnsi="Times New Roman" w:cs="Times New Roman"/>
              </w:rPr>
              <w:t>00</w:t>
            </w:r>
          </w:p>
        </w:tc>
      </w:tr>
      <w:tr w:rsidR="000210B6" w:rsidRPr="00251B0C" w14:paraId="782352FA" w14:textId="77777777" w:rsidTr="00BD1CE4">
        <w:tc>
          <w:tcPr>
            <w:tcW w:w="1336" w:type="pct"/>
          </w:tcPr>
          <w:p w14:paraId="732BDAA6" w14:textId="77777777" w:rsidR="000210B6" w:rsidRPr="00251B0C" w:rsidRDefault="000210B6" w:rsidP="00BD1CE4">
            <w:pPr>
              <w:pStyle w:val="ListParagraph"/>
              <w:ind w:left="0"/>
              <w:rPr>
                <w:rFonts w:ascii="Times New Roman" w:hAnsi="Times New Roman" w:cs="Times New Roman"/>
              </w:rPr>
            </w:pPr>
          </w:p>
        </w:tc>
        <w:tc>
          <w:tcPr>
            <w:tcW w:w="2475" w:type="pct"/>
          </w:tcPr>
          <w:p w14:paraId="74700CF6" w14:textId="77777777" w:rsidR="000210B6" w:rsidRPr="00251B0C" w:rsidRDefault="000210B6" w:rsidP="00C67991">
            <w:pPr>
              <w:pStyle w:val="ListParagraph"/>
              <w:ind w:left="0"/>
              <w:rPr>
                <w:rFonts w:ascii="Times New Roman" w:hAnsi="Times New Roman" w:cs="Times New Roman"/>
              </w:rPr>
            </w:pPr>
            <w:r w:rsidRPr="00251B0C">
              <w:rPr>
                <w:rFonts w:ascii="Times New Roman" w:hAnsi="Times New Roman" w:cs="Times New Roman"/>
              </w:rPr>
              <w:t>Medical Epidemiologist</w:t>
            </w:r>
            <w:r w:rsidR="00C67991" w:rsidRPr="00251B0C">
              <w:rPr>
                <w:rFonts w:ascii="Times New Roman" w:hAnsi="Times New Roman" w:cs="Times New Roman"/>
              </w:rPr>
              <w:t xml:space="preserve"> </w:t>
            </w:r>
            <w:r w:rsidRPr="00251B0C">
              <w:rPr>
                <w:rFonts w:ascii="Times New Roman" w:hAnsi="Times New Roman" w:cs="Times New Roman"/>
              </w:rPr>
              <w:t>-</w:t>
            </w:r>
            <w:r w:rsidR="00C67991" w:rsidRPr="00251B0C">
              <w:rPr>
                <w:rFonts w:ascii="Times New Roman" w:hAnsi="Times New Roman" w:cs="Times New Roman"/>
              </w:rPr>
              <w:t xml:space="preserve"> CC O-6</w:t>
            </w:r>
            <w:r w:rsidRPr="00251B0C">
              <w:rPr>
                <w:rFonts w:ascii="Times New Roman" w:hAnsi="Times New Roman" w:cs="Times New Roman"/>
              </w:rPr>
              <w:t xml:space="preserve">  </w:t>
            </w:r>
            <w:r w:rsidR="00C67991" w:rsidRPr="00251B0C">
              <w:rPr>
                <w:rFonts w:ascii="Times New Roman" w:hAnsi="Times New Roman" w:cs="Times New Roman"/>
              </w:rPr>
              <w:t>5</w:t>
            </w:r>
            <w:r w:rsidRPr="00251B0C">
              <w:rPr>
                <w:rFonts w:ascii="Times New Roman" w:hAnsi="Times New Roman" w:cs="Times New Roman"/>
              </w:rPr>
              <w:t>%</w:t>
            </w:r>
          </w:p>
        </w:tc>
        <w:tc>
          <w:tcPr>
            <w:tcW w:w="1189" w:type="pct"/>
          </w:tcPr>
          <w:p w14:paraId="09AE208C" w14:textId="77777777" w:rsidR="000210B6" w:rsidRPr="00251B0C" w:rsidRDefault="000210B6" w:rsidP="007309B6">
            <w:pPr>
              <w:pStyle w:val="ListParagraph"/>
              <w:ind w:left="0"/>
              <w:jc w:val="center"/>
              <w:rPr>
                <w:rFonts w:ascii="Times New Roman" w:hAnsi="Times New Roman" w:cs="Times New Roman"/>
              </w:rPr>
            </w:pPr>
            <w:r w:rsidRPr="00251B0C">
              <w:rPr>
                <w:rFonts w:ascii="Times New Roman" w:hAnsi="Times New Roman" w:cs="Times New Roman"/>
              </w:rPr>
              <w:t>$</w:t>
            </w:r>
            <w:r w:rsidR="00A83CA8" w:rsidRPr="00251B0C">
              <w:rPr>
                <w:rFonts w:ascii="Times New Roman" w:hAnsi="Times New Roman" w:cs="Times New Roman"/>
              </w:rPr>
              <w:t>8</w:t>
            </w:r>
            <w:r w:rsidRPr="00251B0C">
              <w:rPr>
                <w:rFonts w:ascii="Times New Roman" w:hAnsi="Times New Roman" w:cs="Times New Roman"/>
              </w:rPr>
              <w:t>,</w:t>
            </w:r>
            <w:r w:rsidR="007309B6" w:rsidRPr="00251B0C">
              <w:rPr>
                <w:rFonts w:ascii="Times New Roman" w:hAnsi="Times New Roman" w:cs="Times New Roman"/>
              </w:rPr>
              <w:t>000</w:t>
            </w:r>
          </w:p>
        </w:tc>
      </w:tr>
      <w:tr w:rsidR="007309B6" w:rsidRPr="00251B0C" w14:paraId="0A62E5A9" w14:textId="77777777" w:rsidTr="00BD1CE4">
        <w:tc>
          <w:tcPr>
            <w:tcW w:w="1336" w:type="pct"/>
          </w:tcPr>
          <w:p w14:paraId="7E3342E4" w14:textId="77777777" w:rsidR="007309B6" w:rsidRPr="00251B0C" w:rsidRDefault="007309B6" w:rsidP="00BD1CE4">
            <w:pPr>
              <w:pStyle w:val="ListParagraph"/>
              <w:ind w:left="0"/>
              <w:rPr>
                <w:rFonts w:ascii="Times New Roman" w:hAnsi="Times New Roman" w:cs="Times New Roman"/>
              </w:rPr>
            </w:pPr>
          </w:p>
        </w:tc>
        <w:tc>
          <w:tcPr>
            <w:tcW w:w="2475" w:type="pct"/>
          </w:tcPr>
          <w:p w14:paraId="0F9A319F" w14:textId="77777777" w:rsidR="007309B6" w:rsidRPr="00251B0C" w:rsidRDefault="000F699B" w:rsidP="00BD1CE4">
            <w:pPr>
              <w:pStyle w:val="ListParagraph"/>
              <w:ind w:left="0"/>
              <w:rPr>
                <w:rFonts w:ascii="Times New Roman" w:hAnsi="Times New Roman" w:cs="Times New Roman"/>
              </w:rPr>
            </w:pPr>
            <w:r w:rsidRPr="00251B0C">
              <w:rPr>
                <w:rFonts w:ascii="Times New Roman" w:hAnsi="Times New Roman" w:cs="Times New Roman"/>
              </w:rPr>
              <w:t xml:space="preserve">Health Scientist </w:t>
            </w:r>
            <w:r w:rsidR="00A83CA8" w:rsidRPr="00251B0C">
              <w:rPr>
                <w:rFonts w:ascii="Times New Roman" w:hAnsi="Times New Roman" w:cs="Times New Roman"/>
              </w:rPr>
              <w:t>–</w:t>
            </w:r>
            <w:r w:rsidRPr="00251B0C">
              <w:rPr>
                <w:rFonts w:ascii="Times New Roman" w:hAnsi="Times New Roman" w:cs="Times New Roman"/>
              </w:rPr>
              <w:t xml:space="preserve"> </w:t>
            </w:r>
            <w:r w:rsidR="00A83CA8" w:rsidRPr="00251B0C">
              <w:rPr>
                <w:rFonts w:ascii="Times New Roman" w:hAnsi="Times New Roman" w:cs="Times New Roman"/>
              </w:rPr>
              <w:t>GS-</w:t>
            </w:r>
            <w:r w:rsidRPr="00251B0C">
              <w:rPr>
                <w:rFonts w:ascii="Times New Roman" w:hAnsi="Times New Roman" w:cs="Times New Roman"/>
              </w:rPr>
              <w:t>12</w:t>
            </w:r>
          </w:p>
        </w:tc>
        <w:tc>
          <w:tcPr>
            <w:tcW w:w="1189" w:type="pct"/>
          </w:tcPr>
          <w:p w14:paraId="296E5FEE" w14:textId="77777777" w:rsidR="007309B6" w:rsidRPr="00251B0C" w:rsidRDefault="000F699B" w:rsidP="00BD1CE4">
            <w:pPr>
              <w:pStyle w:val="ListParagraph"/>
              <w:ind w:left="0"/>
              <w:jc w:val="center"/>
              <w:rPr>
                <w:rFonts w:ascii="Times New Roman" w:hAnsi="Times New Roman" w:cs="Times New Roman"/>
              </w:rPr>
            </w:pPr>
            <w:r w:rsidRPr="00251B0C">
              <w:rPr>
                <w:rFonts w:ascii="Times New Roman" w:hAnsi="Times New Roman" w:cs="Times New Roman"/>
              </w:rPr>
              <w:t>$8,500</w:t>
            </w:r>
          </w:p>
        </w:tc>
      </w:tr>
      <w:tr w:rsidR="000210B6" w:rsidRPr="00251B0C" w14:paraId="1B2382E2" w14:textId="77777777" w:rsidTr="00BD1CE4">
        <w:tc>
          <w:tcPr>
            <w:tcW w:w="1336" w:type="pct"/>
          </w:tcPr>
          <w:p w14:paraId="0F1140B7" w14:textId="77777777" w:rsidR="000210B6" w:rsidRPr="00251B0C" w:rsidRDefault="000210B6" w:rsidP="00BD1CE4">
            <w:pPr>
              <w:pStyle w:val="ListParagraph"/>
              <w:ind w:left="0"/>
              <w:rPr>
                <w:rFonts w:ascii="Times New Roman" w:hAnsi="Times New Roman" w:cs="Times New Roman"/>
              </w:rPr>
            </w:pPr>
          </w:p>
        </w:tc>
        <w:tc>
          <w:tcPr>
            <w:tcW w:w="2475" w:type="pct"/>
          </w:tcPr>
          <w:p w14:paraId="23EC686D" w14:textId="77777777" w:rsidR="000210B6" w:rsidRPr="00251B0C" w:rsidRDefault="000210B6" w:rsidP="000F699B">
            <w:pPr>
              <w:pStyle w:val="ListParagraph"/>
              <w:ind w:left="0"/>
              <w:rPr>
                <w:rFonts w:ascii="Times New Roman" w:hAnsi="Times New Roman" w:cs="Times New Roman"/>
              </w:rPr>
            </w:pPr>
            <w:r w:rsidRPr="00251B0C">
              <w:rPr>
                <w:rFonts w:ascii="Times New Roman" w:hAnsi="Times New Roman" w:cs="Times New Roman"/>
              </w:rPr>
              <w:t xml:space="preserve">Site Visit (1 trip x </w:t>
            </w:r>
            <w:r w:rsidR="000F699B" w:rsidRPr="00251B0C">
              <w:rPr>
                <w:rFonts w:ascii="Times New Roman" w:hAnsi="Times New Roman" w:cs="Times New Roman"/>
              </w:rPr>
              <w:t>3</w:t>
            </w:r>
            <w:r w:rsidRPr="00251B0C">
              <w:rPr>
                <w:rFonts w:ascii="Times New Roman" w:hAnsi="Times New Roman" w:cs="Times New Roman"/>
              </w:rPr>
              <w:t xml:space="preserve"> staff)</w:t>
            </w:r>
          </w:p>
        </w:tc>
        <w:tc>
          <w:tcPr>
            <w:tcW w:w="1189" w:type="pct"/>
          </w:tcPr>
          <w:p w14:paraId="3F6EDD10" w14:textId="77777777" w:rsidR="000210B6" w:rsidRPr="00251B0C" w:rsidRDefault="000210B6" w:rsidP="000F699B">
            <w:pPr>
              <w:pStyle w:val="ListParagraph"/>
              <w:ind w:left="0"/>
              <w:jc w:val="center"/>
              <w:rPr>
                <w:rFonts w:ascii="Times New Roman" w:hAnsi="Times New Roman" w:cs="Times New Roman"/>
              </w:rPr>
            </w:pPr>
            <w:r w:rsidRPr="00251B0C">
              <w:rPr>
                <w:rFonts w:ascii="Times New Roman" w:hAnsi="Times New Roman" w:cs="Times New Roman"/>
              </w:rPr>
              <w:t>$</w:t>
            </w:r>
            <w:r w:rsidR="000F699B" w:rsidRPr="00251B0C">
              <w:rPr>
                <w:rFonts w:ascii="Times New Roman" w:hAnsi="Times New Roman" w:cs="Times New Roman"/>
              </w:rPr>
              <w:t>4,5</w:t>
            </w:r>
            <w:r w:rsidRPr="00251B0C">
              <w:rPr>
                <w:rFonts w:ascii="Times New Roman" w:hAnsi="Times New Roman" w:cs="Times New Roman"/>
              </w:rPr>
              <w:t>00</w:t>
            </w:r>
          </w:p>
        </w:tc>
      </w:tr>
      <w:tr w:rsidR="000210B6" w:rsidRPr="00251B0C" w14:paraId="265148B4" w14:textId="77777777" w:rsidTr="00BD1CE4">
        <w:tc>
          <w:tcPr>
            <w:tcW w:w="1336" w:type="pct"/>
          </w:tcPr>
          <w:p w14:paraId="3C60EA4C" w14:textId="77777777" w:rsidR="000210B6" w:rsidRPr="00251B0C" w:rsidRDefault="000210B6" w:rsidP="00BD1CE4">
            <w:pPr>
              <w:pStyle w:val="ListParagraph"/>
              <w:ind w:left="0"/>
              <w:rPr>
                <w:rFonts w:ascii="Times New Roman" w:hAnsi="Times New Roman" w:cs="Times New Roman"/>
              </w:rPr>
            </w:pPr>
          </w:p>
        </w:tc>
        <w:tc>
          <w:tcPr>
            <w:tcW w:w="2475" w:type="pct"/>
          </w:tcPr>
          <w:p w14:paraId="6D094969" w14:textId="77777777" w:rsidR="000210B6" w:rsidRPr="00251B0C" w:rsidRDefault="000210B6" w:rsidP="00BD1CE4">
            <w:pPr>
              <w:pStyle w:val="ListParagraph"/>
              <w:ind w:left="0"/>
              <w:rPr>
                <w:rFonts w:ascii="Times New Roman" w:hAnsi="Times New Roman" w:cs="Times New Roman"/>
                <w:b/>
              </w:rPr>
            </w:pPr>
            <w:r w:rsidRPr="00251B0C">
              <w:rPr>
                <w:rFonts w:ascii="Times New Roman" w:hAnsi="Times New Roman" w:cs="Times New Roman"/>
                <w:b/>
              </w:rPr>
              <w:t>Total direct costs to federal government</w:t>
            </w:r>
          </w:p>
        </w:tc>
        <w:tc>
          <w:tcPr>
            <w:tcW w:w="1189" w:type="pct"/>
          </w:tcPr>
          <w:p w14:paraId="18523F40" w14:textId="77777777" w:rsidR="000210B6" w:rsidRPr="00251B0C" w:rsidRDefault="000210B6" w:rsidP="00A83CA8">
            <w:pPr>
              <w:pStyle w:val="ListParagraph"/>
              <w:ind w:left="0"/>
              <w:jc w:val="center"/>
              <w:rPr>
                <w:rFonts w:ascii="Times New Roman" w:hAnsi="Times New Roman" w:cs="Times New Roman"/>
                <w:b/>
              </w:rPr>
            </w:pPr>
            <w:r w:rsidRPr="00251B0C">
              <w:rPr>
                <w:rFonts w:ascii="Times New Roman" w:hAnsi="Times New Roman" w:cs="Times New Roman"/>
                <w:b/>
              </w:rPr>
              <w:t>$</w:t>
            </w:r>
            <w:r w:rsidR="000F699B" w:rsidRPr="00251B0C">
              <w:rPr>
                <w:rFonts w:ascii="Times New Roman" w:hAnsi="Times New Roman" w:cs="Times New Roman"/>
                <w:b/>
              </w:rPr>
              <w:t>6</w:t>
            </w:r>
            <w:r w:rsidR="00A83CA8" w:rsidRPr="00251B0C">
              <w:rPr>
                <w:rFonts w:ascii="Times New Roman" w:hAnsi="Times New Roman" w:cs="Times New Roman"/>
                <w:b/>
              </w:rPr>
              <w:t>4</w:t>
            </w:r>
            <w:r w:rsidR="000F699B" w:rsidRPr="00251B0C">
              <w:rPr>
                <w:rFonts w:ascii="Times New Roman" w:hAnsi="Times New Roman" w:cs="Times New Roman"/>
                <w:b/>
              </w:rPr>
              <w:t>,000</w:t>
            </w:r>
          </w:p>
        </w:tc>
      </w:tr>
      <w:tr w:rsidR="000210B6" w:rsidRPr="00251B0C" w14:paraId="686F5663" w14:textId="77777777" w:rsidTr="00BD1CE4">
        <w:tc>
          <w:tcPr>
            <w:tcW w:w="1336" w:type="pct"/>
          </w:tcPr>
          <w:p w14:paraId="175EDBB0" w14:textId="77777777" w:rsidR="000210B6" w:rsidRPr="00251B0C" w:rsidRDefault="000210B6" w:rsidP="00BD1CE4">
            <w:pPr>
              <w:pStyle w:val="ListParagraph"/>
              <w:ind w:left="0"/>
              <w:rPr>
                <w:rFonts w:ascii="Times New Roman" w:hAnsi="Times New Roman" w:cs="Times New Roman"/>
              </w:rPr>
            </w:pPr>
          </w:p>
        </w:tc>
        <w:tc>
          <w:tcPr>
            <w:tcW w:w="2475" w:type="pct"/>
          </w:tcPr>
          <w:p w14:paraId="2D1EAE8E" w14:textId="77777777" w:rsidR="000210B6" w:rsidRPr="00251B0C" w:rsidRDefault="000210B6" w:rsidP="00BD1CE4">
            <w:pPr>
              <w:pStyle w:val="ListParagraph"/>
              <w:ind w:left="0"/>
              <w:rPr>
                <w:rFonts w:ascii="Times New Roman" w:hAnsi="Times New Roman" w:cs="Times New Roman"/>
              </w:rPr>
            </w:pPr>
          </w:p>
        </w:tc>
        <w:tc>
          <w:tcPr>
            <w:tcW w:w="1189" w:type="pct"/>
          </w:tcPr>
          <w:p w14:paraId="0D1B393B" w14:textId="77777777" w:rsidR="000210B6" w:rsidRPr="00251B0C" w:rsidRDefault="000210B6" w:rsidP="00BD1CE4">
            <w:pPr>
              <w:pStyle w:val="ListParagraph"/>
              <w:ind w:left="0"/>
              <w:jc w:val="center"/>
              <w:rPr>
                <w:rFonts w:ascii="Times New Roman" w:hAnsi="Times New Roman" w:cs="Times New Roman"/>
              </w:rPr>
            </w:pPr>
          </w:p>
        </w:tc>
      </w:tr>
      <w:tr w:rsidR="000210B6" w:rsidRPr="00251B0C" w14:paraId="307DA3A5" w14:textId="77777777" w:rsidTr="00BD1CE4">
        <w:trPr>
          <w:trHeight w:val="620"/>
        </w:trPr>
        <w:tc>
          <w:tcPr>
            <w:tcW w:w="1336" w:type="pct"/>
          </w:tcPr>
          <w:p w14:paraId="1251F886" w14:textId="77777777" w:rsidR="000210B6" w:rsidRPr="00251B0C" w:rsidRDefault="000210B6" w:rsidP="00BD1CE4">
            <w:pPr>
              <w:pStyle w:val="ListParagraph"/>
              <w:ind w:left="0"/>
              <w:rPr>
                <w:rFonts w:ascii="Times New Roman" w:hAnsi="Times New Roman" w:cs="Times New Roman"/>
                <w:b/>
              </w:rPr>
            </w:pPr>
            <w:r w:rsidRPr="00251B0C">
              <w:rPr>
                <w:rFonts w:ascii="Times New Roman" w:hAnsi="Times New Roman" w:cs="Times New Roman"/>
                <w:b/>
              </w:rPr>
              <w:t>Contractor and Other Expenses*</w:t>
            </w:r>
          </w:p>
          <w:p w14:paraId="6DB7D703" w14:textId="77777777" w:rsidR="005245AD" w:rsidRPr="00251B0C" w:rsidRDefault="005245AD" w:rsidP="00BD1CE4">
            <w:pPr>
              <w:pStyle w:val="ListParagraph"/>
              <w:ind w:left="0"/>
              <w:rPr>
                <w:rFonts w:ascii="Times New Roman" w:hAnsi="Times New Roman" w:cs="Times New Roman"/>
              </w:rPr>
            </w:pPr>
            <w:r w:rsidRPr="00251B0C">
              <w:rPr>
                <w:rFonts w:ascii="Times New Roman" w:hAnsi="Times New Roman" w:cs="Times New Roman"/>
              </w:rPr>
              <w:t>(Funding Contract#: GS-10F-0261K)</w:t>
            </w:r>
          </w:p>
        </w:tc>
        <w:tc>
          <w:tcPr>
            <w:tcW w:w="2475" w:type="pct"/>
          </w:tcPr>
          <w:p w14:paraId="40C07FFB" w14:textId="77777777" w:rsidR="000210B6" w:rsidRPr="00251B0C" w:rsidRDefault="000210B6" w:rsidP="00BD1CE4">
            <w:pPr>
              <w:rPr>
                <w:rFonts w:ascii="Times New Roman" w:hAnsi="Times New Roman" w:cs="Times New Roman"/>
                <w:color w:val="4F81BD" w:themeColor="accent1"/>
              </w:rPr>
            </w:pPr>
          </w:p>
        </w:tc>
        <w:tc>
          <w:tcPr>
            <w:tcW w:w="1189" w:type="pct"/>
            <w:vAlign w:val="bottom"/>
          </w:tcPr>
          <w:p w14:paraId="33FA9D9F" w14:textId="77777777" w:rsidR="000210B6" w:rsidRPr="00251B0C" w:rsidRDefault="000210B6" w:rsidP="00BD1CE4">
            <w:pPr>
              <w:rPr>
                <w:rFonts w:ascii="Times New Roman" w:hAnsi="Times New Roman" w:cs="Times New Roman"/>
                <w:color w:val="4F81BD" w:themeColor="accent1"/>
              </w:rPr>
            </w:pPr>
          </w:p>
        </w:tc>
      </w:tr>
      <w:tr w:rsidR="000210B6" w:rsidRPr="00251B0C" w14:paraId="4EB98025" w14:textId="77777777" w:rsidTr="00BD1CE4">
        <w:tc>
          <w:tcPr>
            <w:tcW w:w="1336" w:type="pct"/>
          </w:tcPr>
          <w:p w14:paraId="5EFBC456" w14:textId="77777777" w:rsidR="000210B6" w:rsidRPr="00251B0C" w:rsidRDefault="000210B6" w:rsidP="00BD1CE4">
            <w:pPr>
              <w:pStyle w:val="ListParagraph"/>
              <w:ind w:left="0"/>
              <w:rPr>
                <w:rFonts w:ascii="Times New Roman" w:hAnsi="Times New Roman" w:cs="Times New Roman"/>
              </w:rPr>
            </w:pPr>
          </w:p>
        </w:tc>
        <w:tc>
          <w:tcPr>
            <w:tcW w:w="2475" w:type="pct"/>
          </w:tcPr>
          <w:p w14:paraId="7BA7F772" w14:textId="77777777" w:rsidR="000210B6" w:rsidRPr="00251B0C" w:rsidRDefault="000210B6" w:rsidP="00A25BB4">
            <w:pPr>
              <w:rPr>
                <w:rFonts w:ascii="Times New Roman" w:hAnsi="Times New Roman" w:cs="Times New Roman"/>
              </w:rPr>
            </w:pPr>
            <w:r w:rsidRPr="00251B0C">
              <w:rPr>
                <w:rFonts w:ascii="Times New Roman" w:hAnsi="Times New Roman" w:cs="Times New Roman"/>
              </w:rPr>
              <w:t>Salary</w:t>
            </w:r>
            <w:r w:rsidR="00EE0A57" w:rsidRPr="00251B0C">
              <w:rPr>
                <w:rFonts w:ascii="Times New Roman" w:hAnsi="Times New Roman" w:cs="Times New Roman"/>
              </w:rPr>
              <w:t>/w</w:t>
            </w:r>
            <w:r w:rsidRPr="00251B0C">
              <w:rPr>
                <w:rFonts w:ascii="Times New Roman" w:hAnsi="Times New Roman" w:cs="Times New Roman"/>
              </w:rPr>
              <w:t>ages</w:t>
            </w:r>
            <w:r w:rsidR="00EE0A57" w:rsidRPr="00251B0C">
              <w:rPr>
                <w:rFonts w:ascii="Times New Roman" w:hAnsi="Times New Roman" w:cs="Times New Roman"/>
              </w:rPr>
              <w:t xml:space="preserve">, supplies/materials, and </w:t>
            </w:r>
            <w:r w:rsidR="00A25BB4" w:rsidRPr="00251B0C">
              <w:rPr>
                <w:rFonts w:ascii="Times New Roman" w:hAnsi="Times New Roman" w:cs="Times New Roman"/>
              </w:rPr>
              <w:t>o</w:t>
            </w:r>
            <w:r w:rsidR="00EE0A57" w:rsidRPr="00251B0C">
              <w:rPr>
                <w:rFonts w:ascii="Times New Roman" w:hAnsi="Times New Roman" w:cs="Times New Roman"/>
              </w:rPr>
              <w:t xml:space="preserve">ther </w:t>
            </w:r>
            <w:r w:rsidR="00A25BB4" w:rsidRPr="00251B0C">
              <w:rPr>
                <w:rFonts w:ascii="Times New Roman" w:hAnsi="Times New Roman" w:cs="Times New Roman"/>
              </w:rPr>
              <w:t>c</w:t>
            </w:r>
            <w:r w:rsidR="00EE0A57" w:rsidRPr="00251B0C">
              <w:rPr>
                <w:rFonts w:ascii="Times New Roman" w:hAnsi="Times New Roman" w:cs="Times New Roman"/>
              </w:rPr>
              <w:t xml:space="preserve">ontractual </w:t>
            </w:r>
            <w:r w:rsidR="00A25BB4" w:rsidRPr="00251B0C">
              <w:rPr>
                <w:rFonts w:ascii="Times New Roman" w:hAnsi="Times New Roman" w:cs="Times New Roman"/>
              </w:rPr>
              <w:t>s</w:t>
            </w:r>
            <w:r w:rsidR="00EE0A57" w:rsidRPr="00251B0C">
              <w:rPr>
                <w:rFonts w:ascii="Times New Roman" w:hAnsi="Times New Roman" w:cs="Times New Roman"/>
              </w:rPr>
              <w:t>ervices (Altarum Institute)</w:t>
            </w:r>
          </w:p>
        </w:tc>
        <w:tc>
          <w:tcPr>
            <w:tcW w:w="1189" w:type="pct"/>
            <w:vAlign w:val="bottom"/>
          </w:tcPr>
          <w:p w14:paraId="75CCD94E" w14:textId="77777777" w:rsidR="000210B6" w:rsidRPr="00251B0C" w:rsidRDefault="000210B6" w:rsidP="00EE0A57">
            <w:pPr>
              <w:jc w:val="center"/>
              <w:rPr>
                <w:rFonts w:ascii="Times New Roman" w:hAnsi="Times New Roman" w:cs="Times New Roman"/>
              </w:rPr>
            </w:pPr>
            <w:r w:rsidRPr="00251B0C">
              <w:rPr>
                <w:rFonts w:ascii="Times New Roman" w:hAnsi="Times New Roman" w:cs="Times New Roman"/>
              </w:rPr>
              <w:t>$2</w:t>
            </w:r>
            <w:r w:rsidR="00EE0A57" w:rsidRPr="00251B0C">
              <w:rPr>
                <w:rFonts w:ascii="Times New Roman" w:hAnsi="Times New Roman" w:cs="Times New Roman"/>
              </w:rPr>
              <w:t>85,000</w:t>
            </w:r>
          </w:p>
        </w:tc>
      </w:tr>
      <w:tr w:rsidR="000210B6" w:rsidRPr="00251B0C" w14:paraId="16D49813" w14:textId="77777777" w:rsidTr="00BD1CE4">
        <w:tc>
          <w:tcPr>
            <w:tcW w:w="1336" w:type="pct"/>
          </w:tcPr>
          <w:p w14:paraId="3D75DA31" w14:textId="77777777" w:rsidR="000210B6" w:rsidRPr="00251B0C" w:rsidRDefault="000210B6" w:rsidP="00BD1CE4">
            <w:pPr>
              <w:pStyle w:val="ListParagraph"/>
              <w:ind w:left="0"/>
              <w:rPr>
                <w:rFonts w:ascii="Times New Roman" w:hAnsi="Times New Roman" w:cs="Times New Roman"/>
              </w:rPr>
            </w:pPr>
          </w:p>
        </w:tc>
        <w:tc>
          <w:tcPr>
            <w:tcW w:w="2475" w:type="pct"/>
          </w:tcPr>
          <w:p w14:paraId="6D405FF7" w14:textId="77777777" w:rsidR="000210B6" w:rsidRPr="00251B0C" w:rsidRDefault="000210B6" w:rsidP="00BD1CE4">
            <w:pPr>
              <w:pStyle w:val="ListParagraph"/>
              <w:ind w:left="0"/>
              <w:rPr>
                <w:rFonts w:ascii="Times New Roman" w:hAnsi="Times New Roman" w:cs="Times New Roman"/>
                <w:b/>
              </w:rPr>
            </w:pPr>
            <w:r w:rsidRPr="00251B0C">
              <w:rPr>
                <w:rFonts w:ascii="Times New Roman" w:hAnsi="Times New Roman" w:cs="Times New Roman"/>
                <w:b/>
              </w:rPr>
              <w:t>Total contractor and other expenses</w:t>
            </w:r>
          </w:p>
        </w:tc>
        <w:tc>
          <w:tcPr>
            <w:tcW w:w="1189" w:type="pct"/>
          </w:tcPr>
          <w:p w14:paraId="59AE8296" w14:textId="77777777" w:rsidR="000210B6" w:rsidRPr="00251B0C" w:rsidRDefault="000210B6" w:rsidP="00EE0A57">
            <w:pPr>
              <w:pStyle w:val="ListParagraph"/>
              <w:ind w:left="0"/>
              <w:jc w:val="center"/>
              <w:rPr>
                <w:rFonts w:ascii="Times New Roman" w:hAnsi="Times New Roman" w:cs="Times New Roman"/>
              </w:rPr>
            </w:pPr>
            <w:r w:rsidRPr="00251B0C">
              <w:rPr>
                <w:rFonts w:ascii="Times New Roman" w:hAnsi="Times New Roman" w:cs="Times New Roman"/>
                <w:b/>
                <w:bCs/>
              </w:rPr>
              <w:t>$</w:t>
            </w:r>
            <w:r w:rsidR="00EE0A57" w:rsidRPr="00251B0C">
              <w:rPr>
                <w:rFonts w:ascii="Times New Roman" w:hAnsi="Times New Roman" w:cs="Times New Roman"/>
                <w:b/>
                <w:bCs/>
              </w:rPr>
              <w:t>285,000</w:t>
            </w:r>
          </w:p>
        </w:tc>
      </w:tr>
      <w:tr w:rsidR="000210B6" w:rsidRPr="00251B0C" w14:paraId="13F0F2EF" w14:textId="77777777" w:rsidTr="00BD1CE4">
        <w:tc>
          <w:tcPr>
            <w:tcW w:w="1336" w:type="pct"/>
          </w:tcPr>
          <w:p w14:paraId="74DAD3BC" w14:textId="77777777" w:rsidR="000210B6" w:rsidRPr="00251B0C" w:rsidRDefault="000210B6" w:rsidP="00BD1CE4">
            <w:pPr>
              <w:pStyle w:val="ListParagraph"/>
              <w:ind w:left="0"/>
              <w:rPr>
                <w:rFonts w:ascii="Times New Roman" w:hAnsi="Times New Roman" w:cs="Times New Roman"/>
              </w:rPr>
            </w:pPr>
          </w:p>
        </w:tc>
        <w:tc>
          <w:tcPr>
            <w:tcW w:w="2475" w:type="pct"/>
          </w:tcPr>
          <w:p w14:paraId="09F9D467" w14:textId="77777777" w:rsidR="000210B6" w:rsidRPr="00251B0C" w:rsidRDefault="000210B6" w:rsidP="00BD1CE4">
            <w:pPr>
              <w:pStyle w:val="ListParagraph"/>
              <w:ind w:left="0"/>
              <w:rPr>
                <w:rFonts w:ascii="Times New Roman" w:hAnsi="Times New Roman" w:cs="Times New Roman"/>
              </w:rPr>
            </w:pPr>
          </w:p>
        </w:tc>
        <w:tc>
          <w:tcPr>
            <w:tcW w:w="1189" w:type="pct"/>
          </w:tcPr>
          <w:p w14:paraId="505625B2" w14:textId="77777777" w:rsidR="000210B6" w:rsidRPr="00251B0C" w:rsidRDefault="000210B6" w:rsidP="00BD1CE4">
            <w:pPr>
              <w:pStyle w:val="ListParagraph"/>
              <w:ind w:left="0"/>
              <w:jc w:val="center"/>
              <w:rPr>
                <w:rFonts w:ascii="Times New Roman" w:hAnsi="Times New Roman" w:cs="Times New Roman"/>
              </w:rPr>
            </w:pPr>
          </w:p>
        </w:tc>
      </w:tr>
      <w:tr w:rsidR="000210B6" w:rsidRPr="00251B0C" w14:paraId="0FEFF482" w14:textId="77777777" w:rsidTr="00BD1CE4">
        <w:trPr>
          <w:trHeight w:val="368"/>
        </w:trPr>
        <w:tc>
          <w:tcPr>
            <w:tcW w:w="1336" w:type="pct"/>
          </w:tcPr>
          <w:p w14:paraId="1DA4896D" w14:textId="77777777" w:rsidR="000210B6" w:rsidRPr="00251B0C" w:rsidRDefault="000210B6" w:rsidP="00BD1CE4">
            <w:pPr>
              <w:pStyle w:val="ListParagraph"/>
              <w:ind w:left="0"/>
              <w:rPr>
                <w:rFonts w:ascii="Times New Roman" w:hAnsi="Times New Roman" w:cs="Times New Roman"/>
              </w:rPr>
            </w:pPr>
          </w:p>
        </w:tc>
        <w:tc>
          <w:tcPr>
            <w:tcW w:w="2475" w:type="pct"/>
          </w:tcPr>
          <w:p w14:paraId="4C38E2D4" w14:textId="77777777" w:rsidR="000210B6" w:rsidRPr="00251B0C" w:rsidRDefault="000210B6" w:rsidP="00BD1CE4">
            <w:pPr>
              <w:pStyle w:val="ListParagraph"/>
              <w:ind w:left="0"/>
              <w:rPr>
                <w:rFonts w:ascii="Times New Roman" w:hAnsi="Times New Roman" w:cs="Times New Roman"/>
                <w:b/>
              </w:rPr>
            </w:pPr>
            <w:r w:rsidRPr="00251B0C">
              <w:rPr>
                <w:rFonts w:ascii="Times New Roman" w:hAnsi="Times New Roman" w:cs="Times New Roman"/>
                <w:b/>
              </w:rPr>
              <w:t>TOTAL COST TO THE GOVERNMENT</w:t>
            </w:r>
          </w:p>
        </w:tc>
        <w:tc>
          <w:tcPr>
            <w:tcW w:w="1189" w:type="pct"/>
            <w:vAlign w:val="bottom"/>
          </w:tcPr>
          <w:p w14:paraId="3D62BCC0" w14:textId="77777777" w:rsidR="000210B6" w:rsidRPr="00251B0C" w:rsidRDefault="000210B6" w:rsidP="00A83CA8">
            <w:pPr>
              <w:jc w:val="center"/>
              <w:rPr>
                <w:rFonts w:ascii="Times New Roman" w:hAnsi="Times New Roman" w:cs="Times New Roman"/>
                <w:b/>
              </w:rPr>
            </w:pPr>
            <w:r w:rsidRPr="00251B0C">
              <w:rPr>
                <w:rFonts w:ascii="Times New Roman" w:hAnsi="Times New Roman" w:cs="Times New Roman"/>
                <w:b/>
                <w:bCs/>
              </w:rPr>
              <w:t>$</w:t>
            </w:r>
            <w:r w:rsidR="00EE0A57" w:rsidRPr="00251B0C">
              <w:rPr>
                <w:rFonts w:ascii="Times New Roman" w:hAnsi="Times New Roman" w:cs="Times New Roman"/>
                <w:b/>
                <w:bCs/>
              </w:rPr>
              <w:t>3</w:t>
            </w:r>
            <w:r w:rsidR="00A83CA8" w:rsidRPr="00251B0C">
              <w:rPr>
                <w:rFonts w:ascii="Times New Roman" w:hAnsi="Times New Roman" w:cs="Times New Roman"/>
                <w:b/>
                <w:bCs/>
              </w:rPr>
              <w:t>49</w:t>
            </w:r>
            <w:r w:rsidR="00EE0A57" w:rsidRPr="00251B0C">
              <w:rPr>
                <w:rFonts w:ascii="Times New Roman" w:hAnsi="Times New Roman" w:cs="Times New Roman"/>
                <w:b/>
                <w:bCs/>
              </w:rPr>
              <w:t>,000</w:t>
            </w:r>
          </w:p>
        </w:tc>
      </w:tr>
    </w:tbl>
    <w:p w14:paraId="0383E224" w14:textId="77777777" w:rsidR="00337CD0" w:rsidRPr="00251B0C" w:rsidRDefault="00EE0A57" w:rsidP="000B35C9">
      <w:pPr>
        <w:spacing w:before="120" w:after="120" w:line="240" w:lineRule="auto"/>
        <w:ind w:left="360"/>
        <w:rPr>
          <w:rFonts w:ascii="Times New Roman" w:hAnsi="Times New Roman" w:cs="Times New Roman"/>
          <w:sz w:val="24"/>
          <w:szCs w:val="24"/>
        </w:rPr>
      </w:pPr>
      <w:r w:rsidRPr="00251B0C">
        <w:rPr>
          <w:rFonts w:ascii="Times New Roman" w:hAnsi="Times New Roman" w:cs="Times New Roman"/>
          <w:sz w:val="24"/>
          <w:szCs w:val="24"/>
        </w:rPr>
        <w:t>Federal government s</w:t>
      </w:r>
      <w:r w:rsidR="00337CD0" w:rsidRPr="00251B0C">
        <w:rPr>
          <w:rFonts w:ascii="Times New Roman" w:hAnsi="Times New Roman" w:cs="Times New Roman"/>
          <w:sz w:val="24"/>
          <w:szCs w:val="24"/>
        </w:rPr>
        <w:t>alary estimates were obtained from OPM salary scale (</w:t>
      </w:r>
      <w:hyperlink r:id="rId13" w:history="1">
        <w:r w:rsidR="00337CD0" w:rsidRPr="00251B0C">
          <w:rPr>
            <w:rStyle w:val="Hyperlink"/>
            <w:rFonts w:ascii="Times New Roman" w:hAnsi="Times New Roman" w:cs="Times New Roman"/>
            <w:sz w:val="24"/>
            <w:szCs w:val="24"/>
          </w:rPr>
          <w:t>http://www.opm.gov</w:t>
        </w:r>
      </w:hyperlink>
      <w:r w:rsidR="00337CD0" w:rsidRPr="00251B0C">
        <w:rPr>
          <w:rFonts w:ascii="Times New Roman" w:hAnsi="Times New Roman" w:cs="Times New Roman"/>
          <w:sz w:val="24"/>
          <w:szCs w:val="24"/>
        </w:rPr>
        <w:t>) and the United States Public Health Service Commissioned Corps website (</w:t>
      </w:r>
      <w:hyperlink r:id="rId14" w:history="1">
        <w:r w:rsidR="00337CD0" w:rsidRPr="00251B0C">
          <w:rPr>
            <w:rStyle w:val="Hyperlink"/>
            <w:rFonts w:ascii="Times New Roman" w:hAnsi="Times New Roman" w:cs="Times New Roman"/>
            <w:sz w:val="24"/>
            <w:szCs w:val="24"/>
          </w:rPr>
          <w:t>http://dcp.psc.gov</w:t>
        </w:r>
      </w:hyperlink>
      <w:r w:rsidR="00337CD0" w:rsidRPr="00251B0C">
        <w:rPr>
          <w:rFonts w:ascii="Times New Roman" w:hAnsi="Times New Roman" w:cs="Times New Roman"/>
          <w:sz w:val="24"/>
          <w:szCs w:val="24"/>
        </w:rPr>
        <w:t xml:space="preserve">). </w:t>
      </w:r>
    </w:p>
    <w:p w14:paraId="75873A6B" w14:textId="77777777" w:rsidR="00EE0A57" w:rsidRPr="00251B0C" w:rsidRDefault="00EE0A57" w:rsidP="000B35C9">
      <w:pPr>
        <w:spacing w:before="120" w:after="120" w:line="240" w:lineRule="auto"/>
        <w:ind w:left="360"/>
        <w:rPr>
          <w:rFonts w:ascii="Times New Roman" w:hAnsi="Times New Roman" w:cs="Times New Roman"/>
          <w:b/>
          <w:sz w:val="24"/>
          <w:szCs w:val="24"/>
        </w:rPr>
      </w:pPr>
      <w:r w:rsidRPr="00251B0C">
        <w:rPr>
          <w:rFonts w:ascii="Times New Roman" w:hAnsi="Times New Roman" w:cs="Times New Roman"/>
          <w:sz w:val="24"/>
          <w:szCs w:val="24"/>
        </w:rPr>
        <w:t>The personnel related to the K-BAP Project data collection include project officers (</w:t>
      </w:r>
      <w:r w:rsidR="0013398F" w:rsidRPr="00251B0C">
        <w:rPr>
          <w:rFonts w:ascii="Times New Roman" w:hAnsi="Times New Roman" w:cs="Times New Roman"/>
          <w:sz w:val="24"/>
          <w:szCs w:val="24"/>
        </w:rPr>
        <w:t xml:space="preserve">medical epidemiologist, </w:t>
      </w:r>
      <w:r w:rsidRPr="00251B0C">
        <w:rPr>
          <w:rFonts w:ascii="Times New Roman" w:hAnsi="Times New Roman" w:cs="Times New Roman"/>
          <w:sz w:val="24"/>
          <w:szCs w:val="24"/>
        </w:rPr>
        <w:t>behavioral scientist</w:t>
      </w:r>
      <w:r w:rsidR="0013398F" w:rsidRPr="00251B0C">
        <w:rPr>
          <w:rFonts w:ascii="Times New Roman" w:hAnsi="Times New Roman" w:cs="Times New Roman"/>
          <w:sz w:val="24"/>
          <w:szCs w:val="24"/>
        </w:rPr>
        <w:t>, and</w:t>
      </w:r>
      <w:r w:rsidRPr="00251B0C">
        <w:rPr>
          <w:rFonts w:ascii="Times New Roman" w:hAnsi="Times New Roman" w:cs="Times New Roman"/>
          <w:sz w:val="24"/>
          <w:szCs w:val="24"/>
        </w:rPr>
        <w:t xml:space="preserve"> health scientist) at the </w:t>
      </w:r>
      <w:r w:rsidR="0013398F" w:rsidRPr="00251B0C">
        <w:rPr>
          <w:rFonts w:ascii="Times New Roman" w:hAnsi="Times New Roman" w:cs="Times New Roman"/>
          <w:sz w:val="24"/>
          <w:szCs w:val="24"/>
        </w:rPr>
        <w:t>Commissioned Corps O-6, GS-13 and GS-12 levels, respectively</w:t>
      </w:r>
      <w:r w:rsidRPr="00251B0C">
        <w:rPr>
          <w:rFonts w:ascii="Times New Roman" w:hAnsi="Times New Roman" w:cs="Times New Roman"/>
          <w:sz w:val="24"/>
          <w:szCs w:val="24"/>
        </w:rPr>
        <w:t>.</w:t>
      </w:r>
      <w:r w:rsidR="00430577" w:rsidRPr="00251B0C" w:rsidDel="00430577">
        <w:rPr>
          <w:rFonts w:ascii="Times New Roman" w:hAnsi="Times New Roman" w:cs="Times New Roman"/>
          <w:sz w:val="24"/>
          <w:szCs w:val="24"/>
        </w:rPr>
        <w:t xml:space="preserve"> </w:t>
      </w:r>
    </w:p>
    <w:p w14:paraId="5FD915AD" w14:textId="77777777" w:rsidR="00337CD0" w:rsidRPr="00251B0C" w:rsidRDefault="00337CD0" w:rsidP="00430577">
      <w:pPr>
        <w:spacing w:before="120" w:after="120"/>
        <w:ind w:left="360"/>
        <w:rPr>
          <w:rFonts w:ascii="Times New Roman" w:hAnsi="Times New Roman" w:cs="Times New Roman"/>
          <w:b/>
          <w:sz w:val="24"/>
          <w:szCs w:val="24"/>
        </w:rPr>
      </w:pPr>
    </w:p>
    <w:p w14:paraId="262182F6" w14:textId="77777777" w:rsidR="00430577" w:rsidRPr="00251B0C" w:rsidRDefault="00430577" w:rsidP="003200BD">
      <w:pPr>
        <w:pStyle w:val="TOC1"/>
      </w:pPr>
      <w:r w:rsidRPr="00251B0C">
        <w:t>Explanation for Program Changes or Adjustments</w:t>
      </w:r>
    </w:p>
    <w:p w14:paraId="6EA9ED88" w14:textId="77777777" w:rsidR="00386694" w:rsidRPr="00251B0C" w:rsidRDefault="00386694" w:rsidP="003200BD">
      <w:pPr>
        <w:pStyle w:val="TOC1"/>
      </w:pPr>
      <w:r w:rsidRPr="00251B0C">
        <w:t>This is a new data collection.</w:t>
      </w:r>
    </w:p>
    <w:p w14:paraId="080A7644" w14:textId="77777777" w:rsidR="00521262" w:rsidRPr="00251B0C" w:rsidRDefault="00521262" w:rsidP="00521262">
      <w:pPr>
        <w:pStyle w:val="ListParagraph"/>
        <w:spacing w:before="120" w:after="120"/>
        <w:contextualSpacing w:val="0"/>
        <w:rPr>
          <w:rFonts w:ascii="Times New Roman" w:hAnsi="Times New Roman" w:cs="Times New Roman"/>
          <w:sz w:val="24"/>
          <w:szCs w:val="24"/>
        </w:rPr>
      </w:pPr>
    </w:p>
    <w:p w14:paraId="1467CBEC" w14:textId="77777777" w:rsidR="008C6487" w:rsidRPr="00251B0C" w:rsidRDefault="00D81821" w:rsidP="003200BD">
      <w:pPr>
        <w:pStyle w:val="TOC1"/>
      </w:pPr>
      <w:r w:rsidRPr="00251B0C">
        <w:t>Plans for Tabulation and Publication and Project time Schedule</w:t>
      </w:r>
    </w:p>
    <w:p w14:paraId="6D06DF91" w14:textId="77777777" w:rsidR="00D437DC" w:rsidRPr="00251B0C" w:rsidRDefault="00D437DC" w:rsidP="003200BD">
      <w:pPr>
        <w:pStyle w:val="TOC1"/>
      </w:pPr>
      <w:r w:rsidRPr="00251B0C">
        <w:t>Data collectio</w:t>
      </w:r>
      <w:r w:rsidR="00DB1613" w:rsidRPr="00251B0C">
        <w:t>n will be conducted during the 3</w:t>
      </w:r>
      <w:r w:rsidRPr="00251B0C">
        <w:t>-year period after OMB approval.  Data analysis will occur within 6 months of final data collection. The following is a brief overview of the K-BAP Project Timeline.</w:t>
      </w:r>
    </w:p>
    <w:p w14:paraId="3BBBBEC7" w14:textId="77777777" w:rsidR="00D437DC" w:rsidRPr="00251B0C" w:rsidRDefault="00D437DC" w:rsidP="003200BD">
      <w:pPr>
        <w:pStyle w:val="TOC1"/>
      </w:pPr>
    </w:p>
    <w:p w14:paraId="2C92B0EF" w14:textId="77777777" w:rsidR="00D437DC" w:rsidRPr="00251B0C" w:rsidRDefault="00D437DC" w:rsidP="003200BD">
      <w:pPr>
        <w:pStyle w:val="TOC1"/>
      </w:pPr>
      <w:r w:rsidRPr="00251B0C">
        <w:lastRenderedPageBreak/>
        <w:t>Exhibit 16.A</w:t>
      </w:r>
      <w:r w:rsidRPr="00251B0C">
        <w:tab/>
        <w:t>Project Time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9"/>
        <w:gridCol w:w="5121"/>
      </w:tblGrid>
      <w:tr w:rsidR="00D437DC" w:rsidRPr="00251B0C" w14:paraId="05764306" w14:textId="77777777" w:rsidTr="00BD1CE4">
        <w:trPr>
          <w:cantSplit/>
          <w:tblHeader/>
          <w:jc w:val="center"/>
        </w:trPr>
        <w:tc>
          <w:tcPr>
            <w:tcW w:w="4299" w:type="dxa"/>
            <w:vAlign w:val="center"/>
          </w:tcPr>
          <w:p w14:paraId="129A9619" w14:textId="77777777" w:rsidR="00D437DC" w:rsidRPr="00251B0C" w:rsidRDefault="00D437DC" w:rsidP="00BD1CE4">
            <w:pPr>
              <w:spacing w:line="480" w:lineRule="auto"/>
              <w:rPr>
                <w:rFonts w:ascii="Times New Roman" w:hAnsi="Times New Roman" w:cs="Times New Roman"/>
                <w:b/>
              </w:rPr>
            </w:pPr>
            <w:r w:rsidRPr="00251B0C">
              <w:rPr>
                <w:rFonts w:ascii="Times New Roman" w:hAnsi="Times New Roman" w:cs="Times New Roman"/>
                <w:b/>
              </w:rPr>
              <w:t>Activity</w:t>
            </w:r>
          </w:p>
        </w:tc>
        <w:tc>
          <w:tcPr>
            <w:tcW w:w="5213" w:type="dxa"/>
            <w:vAlign w:val="center"/>
          </w:tcPr>
          <w:p w14:paraId="4F7CE551" w14:textId="77777777" w:rsidR="00D437DC" w:rsidRPr="00251B0C" w:rsidRDefault="00D437DC" w:rsidP="00BD1CE4">
            <w:pPr>
              <w:spacing w:line="480" w:lineRule="auto"/>
              <w:rPr>
                <w:rFonts w:ascii="Times New Roman" w:hAnsi="Times New Roman" w:cs="Times New Roman"/>
                <w:b/>
              </w:rPr>
            </w:pPr>
            <w:r w:rsidRPr="00251B0C">
              <w:rPr>
                <w:rFonts w:ascii="Times New Roman" w:hAnsi="Times New Roman" w:cs="Times New Roman"/>
                <w:b/>
              </w:rPr>
              <w:t>Time Schedule</w:t>
            </w:r>
          </w:p>
        </w:tc>
      </w:tr>
      <w:tr w:rsidR="00D437DC" w:rsidRPr="00251B0C" w14:paraId="29400B19" w14:textId="77777777" w:rsidTr="00BD1CE4">
        <w:trPr>
          <w:cantSplit/>
          <w:jc w:val="center"/>
        </w:trPr>
        <w:tc>
          <w:tcPr>
            <w:tcW w:w="4299" w:type="dxa"/>
          </w:tcPr>
          <w:p w14:paraId="24F5F48E" w14:textId="77777777" w:rsidR="00D437DC" w:rsidRPr="00251B0C" w:rsidRDefault="00D437DC" w:rsidP="00BD1CE4">
            <w:pPr>
              <w:rPr>
                <w:rFonts w:ascii="Times New Roman" w:hAnsi="Times New Roman" w:cs="Times New Roman"/>
              </w:rPr>
            </w:pPr>
            <w:r w:rsidRPr="00251B0C">
              <w:rPr>
                <w:rFonts w:ascii="Times New Roman" w:hAnsi="Times New Roman" w:cs="Times New Roman"/>
              </w:rPr>
              <w:t xml:space="preserve">Initiate recruitment </w:t>
            </w:r>
          </w:p>
        </w:tc>
        <w:tc>
          <w:tcPr>
            <w:tcW w:w="5213" w:type="dxa"/>
          </w:tcPr>
          <w:p w14:paraId="0AB3A7FB" w14:textId="77777777" w:rsidR="00D437DC" w:rsidRPr="00251B0C" w:rsidRDefault="00D437DC" w:rsidP="00E35840">
            <w:pPr>
              <w:rPr>
                <w:rFonts w:ascii="Times New Roman" w:hAnsi="Times New Roman" w:cs="Times New Roman"/>
              </w:rPr>
            </w:pPr>
            <w:r w:rsidRPr="00251B0C">
              <w:rPr>
                <w:rFonts w:ascii="Times New Roman" w:hAnsi="Times New Roman" w:cs="Times New Roman"/>
              </w:rPr>
              <w:t>Immediately after OMB approval</w:t>
            </w:r>
            <w:r w:rsidR="00CA1D23" w:rsidRPr="00251B0C">
              <w:rPr>
                <w:rFonts w:ascii="Times New Roman" w:hAnsi="Times New Roman" w:cs="Times New Roman"/>
              </w:rPr>
              <w:t xml:space="preserve"> </w:t>
            </w:r>
          </w:p>
        </w:tc>
      </w:tr>
      <w:tr w:rsidR="00D437DC" w:rsidRPr="00251B0C" w14:paraId="20BCB7AC" w14:textId="77777777" w:rsidTr="00BD1CE4">
        <w:trPr>
          <w:cantSplit/>
          <w:jc w:val="center"/>
        </w:trPr>
        <w:tc>
          <w:tcPr>
            <w:tcW w:w="4299" w:type="dxa"/>
          </w:tcPr>
          <w:p w14:paraId="18F6796E" w14:textId="77777777" w:rsidR="00D437DC" w:rsidRPr="00251B0C" w:rsidRDefault="00D437DC" w:rsidP="00D437DC">
            <w:pPr>
              <w:rPr>
                <w:rFonts w:ascii="Times New Roman" w:hAnsi="Times New Roman" w:cs="Times New Roman"/>
              </w:rPr>
            </w:pPr>
            <w:r w:rsidRPr="00251B0C">
              <w:rPr>
                <w:rFonts w:ascii="Times New Roman" w:hAnsi="Times New Roman" w:cs="Times New Roman"/>
              </w:rPr>
              <w:t xml:space="preserve">Conduct Baseline Data Collection </w:t>
            </w:r>
          </w:p>
        </w:tc>
        <w:tc>
          <w:tcPr>
            <w:tcW w:w="5213" w:type="dxa"/>
          </w:tcPr>
          <w:p w14:paraId="429D1F0B" w14:textId="77777777" w:rsidR="00D437DC" w:rsidRPr="00251B0C" w:rsidRDefault="00D437DC" w:rsidP="00D437DC">
            <w:pPr>
              <w:rPr>
                <w:rFonts w:ascii="Times New Roman" w:hAnsi="Times New Roman" w:cs="Times New Roman"/>
              </w:rPr>
            </w:pPr>
            <w:r w:rsidRPr="00251B0C">
              <w:rPr>
                <w:rFonts w:ascii="Times New Roman" w:hAnsi="Times New Roman" w:cs="Times New Roman"/>
              </w:rPr>
              <w:t>1 month – 5 months after OMB approval</w:t>
            </w:r>
          </w:p>
        </w:tc>
      </w:tr>
      <w:tr w:rsidR="00D437DC" w:rsidRPr="00251B0C" w14:paraId="250B8B92" w14:textId="77777777" w:rsidTr="00BD1CE4">
        <w:trPr>
          <w:cantSplit/>
          <w:jc w:val="center"/>
        </w:trPr>
        <w:tc>
          <w:tcPr>
            <w:tcW w:w="4299" w:type="dxa"/>
          </w:tcPr>
          <w:p w14:paraId="02DF10B0" w14:textId="77777777" w:rsidR="00D437DC" w:rsidRPr="00251B0C" w:rsidRDefault="00D437DC" w:rsidP="00D437DC">
            <w:pPr>
              <w:rPr>
                <w:rFonts w:ascii="Times New Roman" w:hAnsi="Times New Roman" w:cs="Times New Roman"/>
              </w:rPr>
            </w:pPr>
            <w:r w:rsidRPr="00251B0C">
              <w:rPr>
                <w:rFonts w:ascii="Times New Roman" w:hAnsi="Times New Roman" w:cs="Times New Roman"/>
              </w:rPr>
              <w:t xml:space="preserve">Conduct  </w:t>
            </w:r>
            <w:r w:rsidR="00DB1613" w:rsidRPr="00251B0C">
              <w:rPr>
                <w:rFonts w:ascii="Times New Roman" w:hAnsi="Times New Roman" w:cs="Times New Roman"/>
              </w:rPr>
              <w:t xml:space="preserve">Follow-Up </w:t>
            </w:r>
            <w:r w:rsidRPr="00251B0C">
              <w:rPr>
                <w:rFonts w:ascii="Times New Roman" w:hAnsi="Times New Roman" w:cs="Times New Roman"/>
              </w:rPr>
              <w:t>Data Collection</w:t>
            </w:r>
          </w:p>
        </w:tc>
        <w:tc>
          <w:tcPr>
            <w:tcW w:w="5213" w:type="dxa"/>
          </w:tcPr>
          <w:p w14:paraId="428FE330" w14:textId="77777777" w:rsidR="00D437DC" w:rsidRPr="00251B0C" w:rsidRDefault="00D437DC" w:rsidP="00D437DC">
            <w:pPr>
              <w:rPr>
                <w:rFonts w:ascii="Times New Roman" w:hAnsi="Times New Roman" w:cs="Times New Roman"/>
              </w:rPr>
            </w:pPr>
            <w:r w:rsidRPr="00251B0C">
              <w:rPr>
                <w:rFonts w:ascii="Times New Roman" w:hAnsi="Times New Roman" w:cs="Times New Roman"/>
              </w:rPr>
              <w:t>7 months – 11 months after OMB approval</w:t>
            </w:r>
          </w:p>
        </w:tc>
      </w:tr>
      <w:tr w:rsidR="00D437DC" w:rsidRPr="00251B0C" w14:paraId="191B1491" w14:textId="77777777" w:rsidTr="00BD1CE4">
        <w:trPr>
          <w:cantSplit/>
          <w:jc w:val="center"/>
        </w:trPr>
        <w:tc>
          <w:tcPr>
            <w:tcW w:w="4299" w:type="dxa"/>
          </w:tcPr>
          <w:p w14:paraId="46F6366E" w14:textId="77777777" w:rsidR="00D437DC" w:rsidRPr="00251B0C" w:rsidDel="0001420D" w:rsidRDefault="00D437DC" w:rsidP="00BD1CE4">
            <w:pPr>
              <w:rPr>
                <w:rFonts w:ascii="Times New Roman" w:hAnsi="Times New Roman" w:cs="Times New Roman"/>
              </w:rPr>
            </w:pPr>
            <w:r w:rsidRPr="00251B0C">
              <w:rPr>
                <w:rFonts w:ascii="Times New Roman" w:hAnsi="Times New Roman" w:cs="Times New Roman"/>
              </w:rPr>
              <w:t>Data management</w:t>
            </w:r>
          </w:p>
        </w:tc>
        <w:tc>
          <w:tcPr>
            <w:tcW w:w="5213" w:type="dxa"/>
          </w:tcPr>
          <w:p w14:paraId="6E93045B" w14:textId="77777777" w:rsidR="00D437DC" w:rsidRPr="00251B0C" w:rsidDel="0001420D" w:rsidRDefault="00002FEE" w:rsidP="00DB1613">
            <w:pPr>
              <w:rPr>
                <w:rFonts w:ascii="Times New Roman" w:hAnsi="Times New Roman" w:cs="Times New Roman"/>
              </w:rPr>
            </w:pPr>
            <w:r w:rsidRPr="00251B0C">
              <w:rPr>
                <w:rFonts w:ascii="Times New Roman" w:hAnsi="Times New Roman" w:cs="Times New Roman"/>
              </w:rPr>
              <w:t>1</w:t>
            </w:r>
            <w:r w:rsidR="00D437DC" w:rsidRPr="00251B0C">
              <w:rPr>
                <w:rFonts w:ascii="Times New Roman" w:hAnsi="Times New Roman" w:cs="Times New Roman"/>
              </w:rPr>
              <w:t xml:space="preserve"> month – </w:t>
            </w:r>
            <w:r w:rsidRPr="00251B0C">
              <w:rPr>
                <w:rFonts w:ascii="Times New Roman" w:hAnsi="Times New Roman" w:cs="Times New Roman"/>
              </w:rPr>
              <w:t>2 years</w:t>
            </w:r>
            <w:r w:rsidR="00D437DC" w:rsidRPr="00251B0C">
              <w:rPr>
                <w:rFonts w:ascii="Times New Roman" w:hAnsi="Times New Roman" w:cs="Times New Roman"/>
              </w:rPr>
              <w:t xml:space="preserve"> after OMB approval</w:t>
            </w:r>
          </w:p>
        </w:tc>
      </w:tr>
      <w:tr w:rsidR="00D437DC" w:rsidRPr="00251B0C" w14:paraId="45A52A80" w14:textId="77777777" w:rsidTr="00BD1CE4">
        <w:trPr>
          <w:cantSplit/>
          <w:jc w:val="center"/>
        </w:trPr>
        <w:tc>
          <w:tcPr>
            <w:tcW w:w="4299" w:type="dxa"/>
          </w:tcPr>
          <w:p w14:paraId="3EF0BBBE" w14:textId="77777777" w:rsidR="00D437DC" w:rsidRPr="00251B0C" w:rsidRDefault="00D437DC" w:rsidP="00BD1CE4">
            <w:pPr>
              <w:rPr>
                <w:rFonts w:ascii="Times New Roman" w:hAnsi="Times New Roman" w:cs="Times New Roman"/>
              </w:rPr>
            </w:pPr>
            <w:r w:rsidRPr="00251B0C">
              <w:rPr>
                <w:rFonts w:ascii="Times New Roman" w:hAnsi="Times New Roman" w:cs="Times New Roman"/>
              </w:rPr>
              <w:t xml:space="preserve">Analysis </w:t>
            </w:r>
          </w:p>
        </w:tc>
        <w:tc>
          <w:tcPr>
            <w:tcW w:w="5213" w:type="dxa"/>
          </w:tcPr>
          <w:p w14:paraId="345F434A" w14:textId="77777777" w:rsidR="00D437DC" w:rsidRPr="00251B0C" w:rsidRDefault="00D437DC" w:rsidP="00BD1CE4">
            <w:pPr>
              <w:rPr>
                <w:rFonts w:ascii="Times New Roman" w:hAnsi="Times New Roman" w:cs="Times New Roman"/>
              </w:rPr>
            </w:pPr>
            <w:r w:rsidRPr="00251B0C">
              <w:rPr>
                <w:rFonts w:ascii="Times New Roman" w:hAnsi="Times New Roman" w:cs="Times New Roman"/>
              </w:rPr>
              <w:t>Within 6 months of project completion</w:t>
            </w:r>
          </w:p>
        </w:tc>
      </w:tr>
      <w:tr w:rsidR="00D437DC" w:rsidRPr="00251B0C" w14:paraId="15A8FB36" w14:textId="77777777" w:rsidTr="00BD1CE4">
        <w:trPr>
          <w:cantSplit/>
          <w:jc w:val="center"/>
        </w:trPr>
        <w:tc>
          <w:tcPr>
            <w:tcW w:w="4299" w:type="dxa"/>
          </w:tcPr>
          <w:p w14:paraId="6C5C4850" w14:textId="77777777" w:rsidR="00D437DC" w:rsidRPr="00251B0C" w:rsidRDefault="00D437DC" w:rsidP="00BD1CE4">
            <w:pPr>
              <w:rPr>
                <w:rFonts w:ascii="Times New Roman" w:hAnsi="Times New Roman" w:cs="Times New Roman"/>
              </w:rPr>
            </w:pPr>
            <w:r w:rsidRPr="00251B0C">
              <w:rPr>
                <w:rFonts w:ascii="Times New Roman" w:hAnsi="Times New Roman" w:cs="Times New Roman"/>
              </w:rPr>
              <w:t>Publication</w:t>
            </w:r>
          </w:p>
        </w:tc>
        <w:tc>
          <w:tcPr>
            <w:tcW w:w="5213" w:type="dxa"/>
          </w:tcPr>
          <w:p w14:paraId="2B4F20C5" w14:textId="77777777" w:rsidR="00D437DC" w:rsidRPr="00251B0C" w:rsidRDefault="00D437DC" w:rsidP="00BD1CE4">
            <w:pPr>
              <w:rPr>
                <w:rFonts w:ascii="Times New Roman" w:hAnsi="Times New Roman" w:cs="Times New Roman"/>
              </w:rPr>
            </w:pPr>
            <w:r w:rsidRPr="00251B0C">
              <w:rPr>
                <w:rFonts w:ascii="Times New Roman" w:hAnsi="Times New Roman" w:cs="Times New Roman"/>
              </w:rPr>
              <w:t>Within 12 months of project completion</w:t>
            </w:r>
          </w:p>
        </w:tc>
      </w:tr>
    </w:tbl>
    <w:p w14:paraId="0EBA11B3" w14:textId="77777777" w:rsidR="00D437DC" w:rsidRPr="00251B0C" w:rsidRDefault="00E6370A" w:rsidP="003200BD">
      <w:pPr>
        <w:pStyle w:val="TOC1"/>
      </w:pPr>
      <w:r w:rsidRPr="00251B0C">
        <w:t>Reason(s) Display of OMB Expiration Date is Inappropriate</w:t>
      </w:r>
    </w:p>
    <w:p w14:paraId="1345B3A8" w14:textId="77777777" w:rsidR="00E6370A" w:rsidRPr="00251B0C" w:rsidRDefault="00E6370A" w:rsidP="004E0B16">
      <w:pPr>
        <w:pStyle w:val="ListParagraph"/>
        <w:spacing w:before="120" w:after="120"/>
        <w:ind w:left="0"/>
        <w:rPr>
          <w:rFonts w:ascii="Times New Roman" w:hAnsi="Times New Roman" w:cs="Times New Roman"/>
          <w:sz w:val="24"/>
          <w:szCs w:val="24"/>
        </w:rPr>
      </w:pPr>
      <w:r w:rsidRPr="00251B0C">
        <w:rPr>
          <w:rFonts w:ascii="Times New Roman" w:hAnsi="Times New Roman" w:cs="Times New Roman"/>
          <w:sz w:val="24"/>
          <w:szCs w:val="24"/>
        </w:rPr>
        <w:t>The display of the OMB expiration date is not inappropriate.</w:t>
      </w:r>
    </w:p>
    <w:p w14:paraId="7409ED46" w14:textId="77777777" w:rsidR="00391EE6" w:rsidRPr="00251B0C" w:rsidRDefault="00391EE6" w:rsidP="00E6370A">
      <w:pPr>
        <w:pStyle w:val="ListParagraph"/>
        <w:rPr>
          <w:rFonts w:ascii="Times New Roman" w:hAnsi="Times New Roman" w:cs="Times New Roman"/>
          <w:sz w:val="24"/>
          <w:szCs w:val="24"/>
        </w:rPr>
      </w:pPr>
    </w:p>
    <w:p w14:paraId="3BE08DF1" w14:textId="77777777" w:rsidR="00E6370A" w:rsidRPr="00251B0C" w:rsidRDefault="00E6370A" w:rsidP="003200BD">
      <w:pPr>
        <w:pStyle w:val="TOC1"/>
      </w:pPr>
      <w:r w:rsidRPr="00251B0C">
        <w:t xml:space="preserve">Exemptions to Certifications for Paperwork Reduction Act Submissions </w:t>
      </w:r>
    </w:p>
    <w:p w14:paraId="30B2259A" w14:textId="77777777" w:rsidR="00F60F1C" w:rsidRPr="00251B0C" w:rsidRDefault="00F60F1C" w:rsidP="004E0B16">
      <w:pPr>
        <w:pStyle w:val="ListParagraph"/>
        <w:spacing w:before="120" w:after="120"/>
        <w:ind w:left="0"/>
        <w:contextualSpacing w:val="0"/>
        <w:rPr>
          <w:rFonts w:ascii="Times New Roman" w:hAnsi="Times New Roman" w:cs="Times New Roman"/>
          <w:sz w:val="24"/>
          <w:szCs w:val="24"/>
        </w:rPr>
      </w:pPr>
      <w:r w:rsidRPr="00251B0C">
        <w:rPr>
          <w:rFonts w:ascii="Times New Roman" w:hAnsi="Times New Roman" w:cs="Times New Roman"/>
          <w:sz w:val="24"/>
          <w:szCs w:val="24"/>
        </w:rPr>
        <w:t>There are no exceptions</w:t>
      </w:r>
      <w:r w:rsidR="00CA665E" w:rsidRPr="00251B0C">
        <w:rPr>
          <w:rFonts w:ascii="Times New Roman" w:hAnsi="Times New Roman" w:cs="Times New Roman"/>
          <w:sz w:val="24"/>
          <w:szCs w:val="24"/>
        </w:rPr>
        <w:t xml:space="preserve"> to the certification</w:t>
      </w:r>
      <w:r w:rsidRPr="00251B0C">
        <w:rPr>
          <w:rFonts w:ascii="Times New Roman" w:hAnsi="Times New Roman" w:cs="Times New Roman"/>
          <w:sz w:val="24"/>
          <w:szCs w:val="24"/>
        </w:rPr>
        <w:t>.</w:t>
      </w:r>
    </w:p>
    <w:p w14:paraId="3D5950A0" w14:textId="77777777" w:rsidR="00F60F1C" w:rsidRPr="00251B0C" w:rsidRDefault="00F60F1C" w:rsidP="00F60F1C">
      <w:pPr>
        <w:pStyle w:val="ListParagraph"/>
        <w:spacing w:before="120" w:after="120"/>
        <w:contextualSpacing w:val="0"/>
        <w:rPr>
          <w:rFonts w:ascii="Times New Roman" w:hAnsi="Times New Roman" w:cs="Times New Roman"/>
          <w:color w:val="FF0000"/>
          <w:sz w:val="24"/>
          <w:szCs w:val="24"/>
        </w:rPr>
      </w:pPr>
    </w:p>
    <w:p w14:paraId="2676CF23" w14:textId="77777777" w:rsidR="00DA58EF" w:rsidRPr="00251B0C" w:rsidRDefault="00DA58EF" w:rsidP="00F60F1C">
      <w:pPr>
        <w:pStyle w:val="ListParagraph"/>
        <w:spacing w:before="120" w:after="120"/>
        <w:contextualSpacing w:val="0"/>
        <w:rPr>
          <w:rFonts w:ascii="Times New Roman" w:hAnsi="Times New Roman" w:cs="Times New Roman"/>
          <w:color w:val="FF0000"/>
          <w:sz w:val="24"/>
          <w:szCs w:val="24"/>
        </w:rPr>
      </w:pPr>
    </w:p>
    <w:sectPr w:rsidR="00DA58EF" w:rsidRPr="00251B0C">
      <w:footerReference w:type="defaul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AC3BC" w14:textId="77777777" w:rsidR="00647336" w:rsidRDefault="00647336" w:rsidP="00F50641">
      <w:pPr>
        <w:spacing w:after="0" w:line="240" w:lineRule="auto"/>
      </w:pPr>
      <w:r>
        <w:separator/>
      </w:r>
    </w:p>
  </w:endnote>
  <w:endnote w:type="continuationSeparator" w:id="0">
    <w:p w14:paraId="715BA83D" w14:textId="77777777" w:rsidR="00647336" w:rsidRDefault="00647336" w:rsidP="00F50641">
      <w:pPr>
        <w:spacing w:after="0" w:line="240" w:lineRule="auto"/>
      </w:pPr>
      <w:r>
        <w:continuationSeparator/>
      </w:r>
    </w:p>
  </w:endnote>
  <w:endnote w:id="1">
    <w:p w14:paraId="0B59A2DC" w14:textId="77777777" w:rsidR="00BA7A49" w:rsidRDefault="00BA7A49" w:rsidP="00582B1C">
      <w:pPr>
        <w:pStyle w:val="EndnoteText"/>
      </w:pPr>
      <w:r>
        <w:rPr>
          <w:rStyle w:val="EndnoteReference"/>
        </w:rPr>
        <w:endnoteRef/>
      </w:r>
      <w:r>
        <w:t xml:space="preserve"> Office of National AIDS Policy. National HIV/AIDS strategy for the United States. Washington, DC: Office of National AIDS Policy; 2010. Available at http://aids.gov/federal-resources/national-hiv-aids-strategy/nhas.pdf.</w:t>
      </w:r>
    </w:p>
    <w:p w14:paraId="08C97B83" w14:textId="77777777" w:rsidR="00BA7A49" w:rsidRDefault="00BA7A49" w:rsidP="00582B1C">
      <w:pPr>
        <w:pStyle w:val="EndnoteText"/>
      </w:pPr>
    </w:p>
  </w:endnote>
  <w:endnote w:id="2">
    <w:p w14:paraId="3493FCCC" w14:textId="77777777" w:rsidR="00BA7A49" w:rsidRDefault="00BA7A49">
      <w:pPr>
        <w:pStyle w:val="EndnoteText"/>
      </w:pPr>
      <w:r>
        <w:rPr>
          <w:rStyle w:val="EndnoteReference"/>
        </w:rPr>
        <w:endnoteRef/>
      </w:r>
      <w:r>
        <w:t xml:space="preserve"> Reif, S., Wells Pence, B., Hall, I., Hu, X., Whetten, K., &amp; Wilson, E. (20</w:t>
      </w:r>
    </w:p>
    <w:p w14:paraId="2C55FE65" w14:textId="77777777" w:rsidR="00BA7A49" w:rsidRDefault="00BA7A49">
      <w:pPr>
        <w:pStyle w:val="EndnoteText"/>
      </w:pPr>
    </w:p>
  </w:endnote>
  <w:endnote w:id="3">
    <w:p w14:paraId="7A0D2BD3" w14:textId="77777777" w:rsidR="00BA7A49" w:rsidRDefault="00BA7A49" w:rsidP="00007EEC">
      <w:pPr>
        <w:pStyle w:val="EndnoteText"/>
      </w:pPr>
      <w:r>
        <w:rPr>
          <w:rStyle w:val="EndnoteReference"/>
        </w:rPr>
        <w:endnoteRef/>
      </w:r>
      <w:r>
        <w:t xml:space="preserve"> CDC. Estimated HIV incidence in the United States, 2007-2010. HIV surveillance supplemental report 2012; 17(4).</w:t>
      </w:r>
      <w:r w:rsidRPr="00007EEC">
        <w:t xml:space="preserve"> </w:t>
      </w:r>
      <w:r>
        <w:t>Atlanta, GA: US Department of Health and Human Services, CDC. Available at http://www.cdc.gov/hiv/pdf/statistics_hssr_vol_17_no_4.pdf</w:t>
      </w:r>
    </w:p>
    <w:p w14:paraId="66573443" w14:textId="77777777" w:rsidR="00BA7A49" w:rsidRDefault="00BA7A49">
      <w:pPr>
        <w:pStyle w:val="EndnoteText"/>
      </w:pPr>
    </w:p>
  </w:endnote>
  <w:endnote w:id="4">
    <w:p w14:paraId="3A7CDCDC" w14:textId="77777777" w:rsidR="00BA7A49" w:rsidRDefault="00BA7A49">
      <w:pPr>
        <w:pStyle w:val="EndnoteText"/>
      </w:pPr>
      <w:r>
        <w:rPr>
          <w:rStyle w:val="EndnoteReference"/>
        </w:rPr>
        <w:endnoteRef/>
      </w:r>
      <w:r>
        <w:t xml:space="preserve"> CDC. Monitoring selected national HIV prevention and care objectives by using HIV surveillance data: United States and 65 U.S. dependent areas—2011. HIV surveillance supplemental report, 2013. 18(5). Atlanta, GA: US Department of Health and Human Services, CDC; 2013. Available at http://www.cdc.gov/hiv/library/reports/surveilance</w:t>
      </w:r>
    </w:p>
  </w:endnote>
  <w:endnote w:id="5">
    <w:p w14:paraId="6331BAB0" w14:textId="77777777" w:rsidR="00BA7A49" w:rsidRDefault="00BA7A49">
      <w:pPr>
        <w:pStyle w:val="EndnoteText"/>
      </w:pPr>
      <w:r>
        <w:rPr>
          <w:rStyle w:val="EndnoteReference"/>
        </w:rPr>
        <w:endnoteRef/>
      </w:r>
      <w:r>
        <w:t xml:space="preserve"> United States Census Bureau. 2014. Available at: </w:t>
      </w:r>
      <w:hyperlink r:id="rId1" w:history="1">
        <w:r w:rsidRPr="00012A50">
          <w:rPr>
            <w:rStyle w:val="Hyperlink"/>
          </w:rPr>
          <w:t>http://quickfacts.census.gov/qfd/states/00000.html</w:t>
        </w:r>
      </w:hyperlink>
    </w:p>
    <w:p w14:paraId="05D3D8D1" w14:textId="77777777" w:rsidR="00BA7A49" w:rsidRDefault="00BA7A49">
      <w:pPr>
        <w:pStyle w:val="EndnoteText"/>
      </w:pPr>
    </w:p>
  </w:endnote>
  <w:endnote w:id="6">
    <w:p w14:paraId="2B318C77" w14:textId="77777777" w:rsidR="00BA7A49" w:rsidRDefault="00BA7A49">
      <w:pPr>
        <w:pStyle w:val="EndnoteText"/>
      </w:pPr>
      <w:r>
        <w:rPr>
          <w:rStyle w:val="EndnoteReference"/>
        </w:rPr>
        <w:endnoteRef/>
      </w:r>
      <w:r>
        <w:t xml:space="preserve"> Hall, H.I., Frazier, E.L., Rhodes, P., Holtgrave, D.R., Furlow-Parmley, C., Tang, T., Mahle Gray, K., Cohen, S.M., Mermin, J., &amp; Skarbinski, J. (2013). Differences in Human Immunodeficiency Virus care and treatment among subpopulations in the United States. </w:t>
      </w:r>
      <w:r w:rsidRPr="00854553">
        <w:rPr>
          <w:i/>
        </w:rPr>
        <w:t>JAMA Internal Medicine</w:t>
      </w:r>
      <w:r>
        <w:t>; 173(14):1337-1344.</w:t>
      </w:r>
    </w:p>
    <w:p w14:paraId="26E67019" w14:textId="77777777" w:rsidR="00BA7A49" w:rsidRDefault="00BA7A49">
      <w:pPr>
        <w:pStyle w:val="EndnoteText"/>
      </w:pPr>
    </w:p>
  </w:endnote>
  <w:endnote w:id="7">
    <w:p w14:paraId="716731C4" w14:textId="77777777" w:rsidR="00BA7A49" w:rsidRDefault="00BA7A49">
      <w:pPr>
        <w:pStyle w:val="EndnoteText"/>
      </w:pPr>
      <w:r>
        <w:rPr>
          <w:rStyle w:val="EndnoteReference"/>
        </w:rPr>
        <w:endnoteRef/>
      </w:r>
      <w:r>
        <w:t xml:space="preserve"> Dorell, C.G., Sutton, M.Y., Oster, A.M., Hardnett, F., Thomas, P.E., Gaul, Z.J., Mena, L.A., &amp; Heffelfinger, J.D. (2011). Missed opportunities for HIV testing in health care settings among young African American men who have sex with men: Implications for the HIV epidemic. </w:t>
      </w:r>
      <w:r>
        <w:rPr>
          <w:i/>
        </w:rPr>
        <w:t xml:space="preserve">AIDS Patient Care STDS, </w:t>
      </w:r>
      <w:r>
        <w:t>25(11): 657-664.</w:t>
      </w:r>
    </w:p>
    <w:p w14:paraId="1EED1F5F" w14:textId="77777777" w:rsidR="00BA7A49" w:rsidRDefault="00BA7A49">
      <w:pPr>
        <w:pStyle w:val="EndnoteText"/>
      </w:pPr>
    </w:p>
  </w:endnote>
  <w:endnote w:id="8">
    <w:p w14:paraId="09D93A09" w14:textId="77777777" w:rsidR="00BA7A49" w:rsidRDefault="00BA7A49">
      <w:pPr>
        <w:pStyle w:val="EndnoteText"/>
      </w:pPr>
      <w:r>
        <w:rPr>
          <w:rStyle w:val="EndnoteReference"/>
        </w:rPr>
        <w:endnoteRef/>
      </w:r>
      <w:r>
        <w:t xml:space="preserve"> Nakao, J.H., Wiener, D.E., Newman, D.H., Sharp, V.L., &amp; Egan, D.J. (2014). Falling through the cracks? Missed opportunities for earlier HIV diagnosis in a New York City Hospital. </w:t>
      </w:r>
      <w:r>
        <w:rPr>
          <w:i/>
        </w:rPr>
        <w:t xml:space="preserve">International Journal of STD &amp; AIDS; </w:t>
      </w:r>
      <w:r>
        <w:t>25(12): 887-893.</w:t>
      </w:r>
    </w:p>
    <w:p w14:paraId="6D94196C" w14:textId="77777777" w:rsidR="00BA7A49" w:rsidRPr="00B15889" w:rsidRDefault="00BA7A49">
      <w:pPr>
        <w:pStyle w:val="EndnoteText"/>
      </w:pPr>
    </w:p>
  </w:endnote>
  <w:endnote w:id="9">
    <w:p w14:paraId="65A0403D" w14:textId="77777777" w:rsidR="00BA7A49" w:rsidRDefault="00BA7A49">
      <w:pPr>
        <w:pStyle w:val="EndnoteText"/>
      </w:pPr>
      <w:r>
        <w:rPr>
          <w:rStyle w:val="EndnoteReference"/>
        </w:rPr>
        <w:endnoteRef/>
      </w:r>
      <w:r>
        <w:t xml:space="preserve"> Centers for Disease Control and Prevention (CDC). (2006). Missed opportunities for earlier diagnosis of HIV infection—South Carolina, 1997-2005. </w:t>
      </w:r>
      <w:r>
        <w:rPr>
          <w:i/>
        </w:rPr>
        <w:t>MMWR Weekly Report</w:t>
      </w:r>
      <w:r>
        <w:t>; 55:1269-1272.</w:t>
      </w:r>
    </w:p>
    <w:p w14:paraId="4FCD55AD" w14:textId="77777777" w:rsidR="00BA7A49" w:rsidRPr="00B15889" w:rsidRDefault="00BA7A49">
      <w:pPr>
        <w:pStyle w:val="EndnoteText"/>
      </w:pPr>
    </w:p>
  </w:endnote>
  <w:endnote w:id="10">
    <w:p w14:paraId="135CAECF" w14:textId="77777777" w:rsidR="00BA7A49" w:rsidRDefault="00BA7A49">
      <w:pPr>
        <w:pStyle w:val="EndnoteText"/>
      </w:pPr>
      <w:r>
        <w:rPr>
          <w:rStyle w:val="EndnoteReference"/>
        </w:rPr>
        <w:endnoteRef/>
      </w:r>
      <w:r>
        <w:t xml:space="preserve"> Liddicoat, R.V., Horton, N.J., Urban, R. Maier, E., Christiansen, D., &amp; Samet, J.H. (2004). Assessing missed opportunities for HIV testing in medical settings. </w:t>
      </w:r>
      <w:r>
        <w:rPr>
          <w:i/>
        </w:rPr>
        <w:t xml:space="preserve">Journal of General Internal Medicine; </w:t>
      </w:r>
      <w:r>
        <w:t>19; 349-356.</w:t>
      </w:r>
    </w:p>
    <w:p w14:paraId="65AAF052" w14:textId="77777777" w:rsidR="00BA7A49" w:rsidRDefault="00BA7A49">
      <w:pPr>
        <w:pStyle w:val="EndnoteText"/>
      </w:pPr>
    </w:p>
  </w:endnote>
  <w:endnote w:id="11">
    <w:p w14:paraId="69D271AC" w14:textId="77777777" w:rsidR="00BA7A49" w:rsidRDefault="00BA7A49" w:rsidP="0091607B">
      <w:pPr>
        <w:pStyle w:val="EndnoteText"/>
      </w:pPr>
      <w:r>
        <w:rPr>
          <w:rStyle w:val="EndnoteReference"/>
        </w:rPr>
        <w:endnoteRef/>
      </w:r>
      <w:r>
        <w:t xml:space="preserve"> Tellalian, D., Maznavi, K., Bredeek, U.F., &amp; Hardy, W.D. (2013). Pre-exposure prophylaxis (PrEP) for HIV Infection: Results of a survey of HIV Healthcare Providers evaluating their knowledge, attitudes, and prescribing practices. </w:t>
      </w:r>
      <w:r>
        <w:rPr>
          <w:i/>
        </w:rPr>
        <w:t xml:space="preserve">AIDS Patient Care and STDs; </w:t>
      </w:r>
      <w:r>
        <w:t>27(10): 553-559.</w:t>
      </w:r>
    </w:p>
    <w:p w14:paraId="495FC54D" w14:textId="77777777" w:rsidR="00BA7A49" w:rsidRPr="002D51B0" w:rsidRDefault="00BA7A49" w:rsidP="0091607B">
      <w:pPr>
        <w:pStyle w:val="EndnoteText"/>
      </w:pPr>
      <w:r>
        <w:t xml:space="preserve"> </w:t>
      </w:r>
    </w:p>
  </w:endnote>
  <w:endnote w:id="12">
    <w:p w14:paraId="7A20F170" w14:textId="77777777" w:rsidR="00BA7A49" w:rsidRDefault="00BA7A49">
      <w:pPr>
        <w:pStyle w:val="EndnoteText"/>
      </w:pPr>
      <w:r>
        <w:rPr>
          <w:rStyle w:val="EndnoteReference"/>
        </w:rPr>
        <w:endnoteRef/>
      </w:r>
      <w:r>
        <w:t xml:space="preserve"> Mimiaga, M.J., White, J.M., Krakower, D.S., Biello, K.B., &amp; Mayer, K.H. (2014). Suboptimal awareness and comprehension of published preexposure prophylaxis efficacy results among physicians in Massachusetts. </w:t>
      </w:r>
      <w:r>
        <w:rPr>
          <w:i/>
        </w:rPr>
        <w:t>AIDS Care;</w:t>
      </w:r>
      <w:r>
        <w:t xml:space="preserve"> 26(6): 684-693.</w:t>
      </w:r>
    </w:p>
    <w:p w14:paraId="5CDB470D" w14:textId="77777777" w:rsidR="00BA7A49" w:rsidRPr="00961D8F" w:rsidRDefault="00BA7A49">
      <w:pPr>
        <w:pStyle w:val="EndnoteText"/>
      </w:pPr>
    </w:p>
  </w:endnote>
  <w:endnote w:id="13">
    <w:p w14:paraId="6341B72E" w14:textId="77777777" w:rsidR="00BA7A49" w:rsidRPr="00D06F90" w:rsidRDefault="00BA7A49">
      <w:pPr>
        <w:pStyle w:val="EndnoteText"/>
      </w:pPr>
      <w:r>
        <w:rPr>
          <w:rStyle w:val="EndnoteReference"/>
        </w:rPr>
        <w:endnoteRef/>
      </w:r>
      <w:r>
        <w:t xml:space="preserve"> Bach, P.B., Pham, H.H., Schrag, D., Tate, R.C., &amp; Hargraves, J.L. (2004). Primary care physicians who treat blacks and whites. </w:t>
      </w:r>
      <w:r>
        <w:rPr>
          <w:i/>
        </w:rPr>
        <w:t>The New England Journal of Medicine,</w:t>
      </w:r>
      <w:r>
        <w:t xml:space="preserve"> 351: 575-584.</w:t>
      </w:r>
    </w:p>
  </w:endnote>
  <w:endnote w:id="14">
    <w:p w14:paraId="6B1D4A68" w14:textId="77777777" w:rsidR="00BA7A49" w:rsidRDefault="00BA7A49" w:rsidP="00892456">
      <w:pPr>
        <w:pStyle w:val="EndnoteText"/>
      </w:pPr>
      <w:r>
        <w:rPr>
          <w:rStyle w:val="EndnoteReference"/>
        </w:rPr>
        <w:endnoteRef/>
      </w:r>
      <w:r>
        <w:t xml:space="preserve"> Dorell, C.G., Sutton, M.Y., Oster, A.M., Hardnett, F., Thomas, P.E., Gaul, Z.J., Mena, L.A., &amp; Heffelfinger, J.D. (2011). Missed opportunities for HIV testing in health care settings among young African American men who have sex with men: Implications for the HIV epidemic. </w:t>
      </w:r>
      <w:r>
        <w:rPr>
          <w:i/>
        </w:rPr>
        <w:t xml:space="preserve">AIDS Patient Care STDS, </w:t>
      </w:r>
      <w:r>
        <w:t>25(11): 657-664.</w:t>
      </w:r>
    </w:p>
    <w:p w14:paraId="5DBC6ACB" w14:textId="77777777" w:rsidR="00BA7A49" w:rsidRPr="00FD46EE" w:rsidRDefault="00BA7A49" w:rsidP="00892456">
      <w:pPr>
        <w:pStyle w:val="EndnoteText"/>
      </w:pPr>
    </w:p>
  </w:endnote>
  <w:endnote w:id="15">
    <w:p w14:paraId="2059E70F" w14:textId="77777777" w:rsidR="00BA7A49" w:rsidRDefault="00BA7A49" w:rsidP="00892456">
      <w:pPr>
        <w:pStyle w:val="EndnoteText"/>
      </w:pPr>
      <w:r>
        <w:rPr>
          <w:rStyle w:val="EndnoteReference"/>
        </w:rPr>
        <w:endnoteRef/>
      </w:r>
      <w:r>
        <w:t xml:space="preserve"> Centers for Disease Control and Prevention (CDC). (2006). Missed opportunities for earlier diagnosis of HIV infection—South Carolina, 1997-2005. </w:t>
      </w:r>
      <w:r>
        <w:rPr>
          <w:i/>
        </w:rPr>
        <w:t>MMWR Weekly Report</w:t>
      </w:r>
      <w:r>
        <w:t>; 55:1269-1272.</w:t>
      </w:r>
    </w:p>
    <w:p w14:paraId="3401E0D9" w14:textId="77777777" w:rsidR="00BA7A49" w:rsidRDefault="00BA7A49" w:rsidP="00892456">
      <w:pPr>
        <w:pStyle w:val="EndnoteText"/>
      </w:pPr>
    </w:p>
  </w:endnote>
  <w:endnote w:id="16">
    <w:p w14:paraId="471BB9BA" w14:textId="77777777" w:rsidR="00BA7A49" w:rsidRPr="004261F0" w:rsidRDefault="00BA7A49" w:rsidP="00BA7A49">
      <w:pPr>
        <w:pStyle w:val="EndnoteText"/>
      </w:pPr>
      <w:r>
        <w:rPr>
          <w:rStyle w:val="EndnoteReference"/>
        </w:rPr>
        <w:endnoteRef/>
      </w:r>
      <w:r>
        <w:t xml:space="preserve"> </w:t>
      </w:r>
      <w:r w:rsidRPr="00664896">
        <w:rPr>
          <w:noProof/>
        </w:rPr>
        <w:t>Turnbull</w:t>
      </w:r>
      <w:r>
        <w:rPr>
          <w:noProof/>
        </w:rPr>
        <w:t xml:space="preserve">, A.E., </w:t>
      </w:r>
      <w:r w:rsidRPr="00664896">
        <w:rPr>
          <w:noProof/>
        </w:rPr>
        <w:t>O'Connor,</w:t>
      </w:r>
      <w:r>
        <w:rPr>
          <w:noProof/>
        </w:rPr>
        <w:t xml:space="preserve"> C.L., </w:t>
      </w:r>
      <w:r w:rsidRPr="00664896">
        <w:rPr>
          <w:noProof/>
        </w:rPr>
        <w:t xml:space="preserve">Lau, </w:t>
      </w:r>
      <w:r>
        <w:rPr>
          <w:noProof/>
        </w:rPr>
        <w:t>B., H</w:t>
      </w:r>
      <w:r w:rsidRPr="00664896">
        <w:rPr>
          <w:noProof/>
        </w:rPr>
        <w:t>alpern,</w:t>
      </w:r>
      <w:r>
        <w:rPr>
          <w:noProof/>
        </w:rPr>
        <w:t xml:space="preserve"> S.D., </w:t>
      </w:r>
      <w:r w:rsidRPr="00664896">
        <w:rPr>
          <w:noProof/>
        </w:rPr>
        <w:t>Needham</w:t>
      </w:r>
      <w:r>
        <w:rPr>
          <w:noProof/>
        </w:rPr>
        <w:t>, D.M. (</w:t>
      </w:r>
      <w:r w:rsidRPr="00664896">
        <w:rPr>
          <w:noProof/>
        </w:rPr>
        <w:t>2015</w:t>
      </w:r>
      <w:r>
        <w:rPr>
          <w:noProof/>
        </w:rPr>
        <w:t xml:space="preserve">). Allowing physicians to choose the value of compensation for participation in a web-based survey: randomized controlled trial. </w:t>
      </w:r>
      <w:r>
        <w:rPr>
          <w:i/>
          <w:noProof/>
        </w:rPr>
        <w:t>Journal of Medical Interment Research</w:t>
      </w:r>
      <w:r>
        <w:rPr>
          <w:noProof/>
        </w:rPr>
        <w:t>; 17(7): 1-10.</w:t>
      </w:r>
    </w:p>
  </w:endnote>
  <w:endnote w:id="17">
    <w:p w14:paraId="0DB0E6B2" w14:textId="77777777" w:rsidR="00BA7A49" w:rsidRDefault="00BA7A49">
      <w:pPr>
        <w:pStyle w:val="EndnoteText"/>
      </w:pPr>
    </w:p>
    <w:p w14:paraId="568EF123" w14:textId="77777777" w:rsidR="00BA7A49" w:rsidRPr="004261F0" w:rsidRDefault="00BA7A49">
      <w:pPr>
        <w:pStyle w:val="EndnoteText"/>
      </w:pPr>
      <w:r>
        <w:rPr>
          <w:rStyle w:val="EndnoteReference"/>
        </w:rPr>
        <w:endnoteRef/>
      </w:r>
      <w:r>
        <w:t xml:space="preserve"> </w:t>
      </w:r>
      <w:r w:rsidRPr="00664896">
        <w:rPr>
          <w:noProof/>
        </w:rPr>
        <w:t>Turnbull</w:t>
      </w:r>
      <w:r>
        <w:rPr>
          <w:noProof/>
        </w:rPr>
        <w:t xml:space="preserve">, A.E., </w:t>
      </w:r>
      <w:r w:rsidRPr="00664896">
        <w:rPr>
          <w:noProof/>
        </w:rPr>
        <w:t>O'Connor,</w:t>
      </w:r>
      <w:r>
        <w:rPr>
          <w:noProof/>
        </w:rPr>
        <w:t xml:space="preserve"> C.L., </w:t>
      </w:r>
      <w:r w:rsidRPr="00664896">
        <w:rPr>
          <w:noProof/>
        </w:rPr>
        <w:t xml:space="preserve">Lau, </w:t>
      </w:r>
      <w:r>
        <w:rPr>
          <w:noProof/>
        </w:rPr>
        <w:t>B., H</w:t>
      </w:r>
      <w:r w:rsidRPr="00664896">
        <w:rPr>
          <w:noProof/>
        </w:rPr>
        <w:t>alpern,</w:t>
      </w:r>
      <w:r>
        <w:rPr>
          <w:noProof/>
        </w:rPr>
        <w:t xml:space="preserve"> S.D., </w:t>
      </w:r>
      <w:r w:rsidRPr="00664896">
        <w:rPr>
          <w:noProof/>
        </w:rPr>
        <w:t>Needham</w:t>
      </w:r>
      <w:r>
        <w:rPr>
          <w:noProof/>
        </w:rPr>
        <w:t>, D.M. (</w:t>
      </w:r>
      <w:r w:rsidRPr="00664896">
        <w:rPr>
          <w:noProof/>
        </w:rPr>
        <w:t>2015</w:t>
      </w:r>
      <w:r>
        <w:rPr>
          <w:noProof/>
        </w:rPr>
        <w:t xml:space="preserve">). Allowing physicians to choose the value of compensation for participation in a web-based survey: randomized controlled trial. </w:t>
      </w:r>
      <w:r>
        <w:rPr>
          <w:i/>
          <w:noProof/>
        </w:rPr>
        <w:t>Journal of Medical Interment Research</w:t>
      </w:r>
      <w:r>
        <w:rPr>
          <w:noProof/>
        </w:rPr>
        <w:t>; 17(7): 1-10.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89B8F" w14:textId="77777777" w:rsidR="00BA7A49" w:rsidRPr="00E52ED6" w:rsidRDefault="00BA7A49" w:rsidP="00664896">
    <w:pPr>
      <w:pStyle w:val="Footer"/>
      <w:pBdr>
        <w:top w:val="single" w:sz="4" w:space="1" w:color="660000"/>
      </w:pBdr>
      <w:rPr>
        <w:rFonts w:ascii="Calibri" w:hAnsi="Calibri" w:cs="Calibri"/>
        <w:sz w:val="20"/>
        <w:szCs w:val="20"/>
      </w:rPr>
    </w:pPr>
    <w:r w:rsidRPr="00E52ED6">
      <w:rPr>
        <w:rFonts w:ascii="Calibri" w:hAnsi="Calibri" w:cs="Calibri"/>
        <w:sz w:val="20"/>
        <w:szCs w:val="20"/>
      </w:rPr>
      <w:tab/>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CB5092">
      <w:rPr>
        <w:rFonts w:ascii="Calibri" w:hAnsi="Calibri" w:cs="Calibri"/>
        <w:noProof/>
        <w:sz w:val="20"/>
        <w:szCs w:val="20"/>
      </w:rPr>
      <w:t>14</w:t>
    </w:r>
    <w:r w:rsidRPr="00E52ED6">
      <w:rPr>
        <w:rFonts w:ascii="Calibri" w:hAnsi="Calibri" w:cs="Calibri"/>
        <w:noProof/>
        <w:sz w:val="20"/>
        <w:szCs w:val="20"/>
      </w:rPr>
      <w:fldChar w:fldCharType="end"/>
    </w:r>
    <w:r>
      <w:rPr>
        <w:rFonts w:ascii="Calibri" w:hAnsi="Calibri" w:cs="Calibri"/>
        <w:sz w:val="20"/>
        <w:szCs w:val="20"/>
      </w:rPr>
      <w:tab/>
    </w:r>
  </w:p>
  <w:p w14:paraId="3334A493" w14:textId="77777777" w:rsidR="00BA7A49" w:rsidRDefault="00BA7A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2F639" w14:textId="77777777" w:rsidR="00647336" w:rsidRDefault="00647336" w:rsidP="00F50641">
      <w:pPr>
        <w:spacing w:after="0" w:line="240" w:lineRule="auto"/>
      </w:pPr>
      <w:r>
        <w:separator/>
      </w:r>
    </w:p>
  </w:footnote>
  <w:footnote w:type="continuationSeparator" w:id="0">
    <w:p w14:paraId="3103D29E" w14:textId="77777777" w:rsidR="00647336" w:rsidRDefault="00647336" w:rsidP="00F50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3F269" w14:textId="77777777" w:rsidR="00BA7A49" w:rsidRPr="00162767" w:rsidRDefault="00BA7A49" w:rsidP="00664896">
    <w:pPr>
      <w:pStyle w:val="Header"/>
      <w:tabs>
        <w:tab w:val="left" w:pos="5760"/>
      </w:tabs>
    </w:pPr>
  </w:p>
  <w:p w14:paraId="3B277D5D" w14:textId="77777777" w:rsidR="00BA7A49" w:rsidRDefault="00BA7A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363"/>
    <w:multiLevelType w:val="hybridMultilevel"/>
    <w:tmpl w:val="CB7CFD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831745"/>
    <w:multiLevelType w:val="hybridMultilevel"/>
    <w:tmpl w:val="34A03F4C"/>
    <w:lvl w:ilvl="0" w:tplc="970C0C1E">
      <w:start w:val="1"/>
      <w:numFmt w:val="decimal"/>
      <w:pStyle w:val="TOC1"/>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AF3879"/>
    <w:multiLevelType w:val="hybridMultilevel"/>
    <w:tmpl w:val="F0DE19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FFB783D"/>
    <w:multiLevelType w:val="hybridMultilevel"/>
    <w:tmpl w:val="C3A8A9B2"/>
    <w:lvl w:ilvl="0" w:tplc="53ECEEF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026BE"/>
    <w:multiLevelType w:val="hybridMultilevel"/>
    <w:tmpl w:val="0672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A2907"/>
    <w:multiLevelType w:val="hybridMultilevel"/>
    <w:tmpl w:val="777C5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F3AAC"/>
    <w:multiLevelType w:val="hybridMultilevel"/>
    <w:tmpl w:val="0FA69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2D31EE5"/>
    <w:multiLevelType w:val="hybridMultilevel"/>
    <w:tmpl w:val="80DC1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22F31"/>
    <w:multiLevelType w:val="hybridMultilevel"/>
    <w:tmpl w:val="3DFA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215D99"/>
    <w:multiLevelType w:val="hybridMultilevel"/>
    <w:tmpl w:val="B9C07AB8"/>
    <w:lvl w:ilvl="0" w:tplc="F0465B36">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6"/>
  </w:num>
  <w:num w:numId="5">
    <w:abstractNumId w:val="2"/>
  </w:num>
  <w:num w:numId="6">
    <w:abstractNumId w:val="4"/>
  </w:num>
  <w:num w:numId="7">
    <w:abstractNumId w:val="0"/>
  </w:num>
  <w:num w:numId="8">
    <w:abstractNumId w:val="3"/>
  </w:num>
  <w:num w:numId="9">
    <w:abstractNumId w:val="7"/>
  </w:num>
  <w:num w:numId="10">
    <w:abstractNumId w:val="9"/>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BF"/>
    <w:rsid w:val="0000258F"/>
    <w:rsid w:val="00002FEE"/>
    <w:rsid w:val="00007EEC"/>
    <w:rsid w:val="00015C2D"/>
    <w:rsid w:val="000210B6"/>
    <w:rsid w:val="00031115"/>
    <w:rsid w:val="00032167"/>
    <w:rsid w:val="00043B1C"/>
    <w:rsid w:val="00046EE0"/>
    <w:rsid w:val="00050FEC"/>
    <w:rsid w:val="00052FBF"/>
    <w:rsid w:val="00057471"/>
    <w:rsid w:val="00061373"/>
    <w:rsid w:val="00063859"/>
    <w:rsid w:val="00066A91"/>
    <w:rsid w:val="00067A5A"/>
    <w:rsid w:val="00072030"/>
    <w:rsid w:val="00072CED"/>
    <w:rsid w:val="0008006A"/>
    <w:rsid w:val="000918FE"/>
    <w:rsid w:val="00093381"/>
    <w:rsid w:val="000938C6"/>
    <w:rsid w:val="0009518A"/>
    <w:rsid w:val="000A0F3E"/>
    <w:rsid w:val="000A354D"/>
    <w:rsid w:val="000B2F66"/>
    <w:rsid w:val="000B3221"/>
    <w:rsid w:val="000B35C9"/>
    <w:rsid w:val="000B75F5"/>
    <w:rsid w:val="000D3BE1"/>
    <w:rsid w:val="000D3CD8"/>
    <w:rsid w:val="000D508B"/>
    <w:rsid w:val="000F699B"/>
    <w:rsid w:val="00103F73"/>
    <w:rsid w:val="0010402F"/>
    <w:rsid w:val="00125D9E"/>
    <w:rsid w:val="001276DA"/>
    <w:rsid w:val="00132A08"/>
    <w:rsid w:val="00132E7A"/>
    <w:rsid w:val="0013398F"/>
    <w:rsid w:val="0013769C"/>
    <w:rsid w:val="001410F6"/>
    <w:rsid w:val="00150EB9"/>
    <w:rsid w:val="001569B7"/>
    <w:rsid w:val="00157134"/>
    <w:rsid w:val="001635E9"/>
    <w:rsid w:val="00164472"/>
    <w:rsid w:val="00166E8C"/>
    <w:rsid w:val="001671CB"/>
    <w:rsid w:val="00171267"/>
    <w:rsid w:val="00177193"/>
    <w:rsid w:val="0017735F"/>
    <w:rsid w:val="001820E1"/>
    <w:rsid w:val="00191EE5"/>
    <w:rsid w:val="001941C0"/>
    <w:rsid w:val="00194215"/>
    <w:rsid w:val="001A7FF4"/>
    <w:rsid w:val="001B15AA"/>
    <w:rsid w:val="001B3113"/>
    <w:rsid w:val="001B56E2"/>
    <w:rsid w:val="001B6CAB"/>
    <w:rsid w:val="001C7A95"/>
    <w:rsid w:val="001D1D15"/>
    <w:rsid w:val="001D3C19"/>
    <w:rsid w:val="001D58C7"/>
    <w:rsid w:val="001E228D"/>
    <w:rsid w:val="001E53EA"/>
    <w:rsid w:val="001E57B4"/>
    <w:rsid w:val="001E7E31"/>
    <w:rsid w:val="002005F2"/>
    <w:rsid w:val="002018ED"/>
    <w:rsid w:val="002078A1"/>
    <w:rsid w:val="002102C7"/>
    <w:rsid w:val="002111D8"/>
    <w:rsid w:val="002172C4"/>
    <w:rsid w:val="0022701D"/>
    <w:rsid w:val="00230AAD"/>
    <w:rsid w:val="00231B17"/>
    <w:rsid w:val="00232DE0"/>
    <w:rsid w:val="00235F47"/>
    <w:rsid w:val="00242BEB"/>
    <w:rsid w:val="00247AD1"/>
    <w:rsid w:val="00251B0C"/>
    <w:rsid w:val="00254ED0"/>
    <w:rsid w:val="00261494"/>
    <w:rsid w:val="00271ABE"/>
    <w:rsid w:val="002745FB"/>
    <w:rsid w:val="0028115F"/>
    <w:rsid w:val="0029194B"/>
    <w:rsid w:val="00294DA9"/>
    <w:rsid w:val="002A0EBF"/>
    <w:rsid w:val="002A648A"/>
    <w:rsid w:val="002A7D5A"/>
    <w:rsid w:val="002B2629"/>
    <w:rsid w:val="002B3F99"/>
    <w:rsid w:val="002C0136"/>
    <w:rsid w:val="002D51B0"/>
    <w:rsid w:val="002E067F"/>
    <w:rsid w:val="002E56A5"/>
    <w:rsid w:val="002E63B2"/>
    <w:rsid w:val="002E79DC"/>
    <w:rsid w:val="002F413A"/>
    <w:rsid w:val="002F79C4"/>
    <w:rsid w:val="00300F15"/>
    <w:rsid w:val="003030CE"/>
    <w:rsid w:val="00310BDD"/>
    <w:rsid w:val="00312AC4"/>
    <w:rsid w:val="003142E3"/>
    <w:rsid w:val="00316980"/>
    <w:rsid w:val="003200BD"/>
    <w:rsid w:val="003214C5"/>
    <w:rsid w:val="00330742"/>
    <w:rsid w:val="00337CD0"/>
    <w:rsid w:val="003472C2"/>
    <w:rsid w:val="00352DE1"/>
    <w:rsid w:val="003535D6"/>
    <w:rsid w:val="00356539"/>
    <w:rsid w:val="00366960"/>
    <w:rsid w:val="00372336"/>
    <w:rsid w:val="00375025"/>
    <w:rsid w:val="003779B2"/>
    <w:rsid w:val="0038031E"/>
    <w:rsid w:val="00386694"/>
    <w:rsid w:val="00391052"/>
    <w:rsid w:val="00391EE6"/>
    <w:rsid w:val="00393E5D"/>
    <w:rsid w:val="00396232"/>
    <w:rsid w:val="003A1CDD"/>
    <w:rsid w:val="003A532E"/>
    <w:rsid w:val="003B456C"/>
    <w:rsid w:val="003B57E4"/>
    <w:rsid w:val="003C4DE9"/>
    <w:rsid w:val="003C6818"/>
    <w:rsid w:val="003D32BF"/>
    <w:rsid w:val="003E404D"/>
    <w:rsid w:val="003E4690"/>
    <w:rsid w:val="003E64A6"/>
    <w:rsid w:val="003F4CBC"/>
    <w:rsid w:val="00410118"/>
    <w:rsid w:val="004112A9"/>
    <w:rsid w:val="00422043"/>
    <w:rsid w:val="00424A97"/>
    <w:rsid w:val="004261F0"/>
    <w:rsid w:val="00430577"/>
    <w:rsid w:val="00435686"/>
    <w:rsid w:val="004410EA"/>
    <w:rsid w:val="00442CD3"/>
    <w:rsid w:val="0044647A"/>
    <w:rsid w:val="00452F8D"/>
    <w:rsid w:val="004542D8"/>
    <w:rsid w:val="004544EB"/>
    <w:rsid w:val="00455DE6"/>
    <w:rsid w:val="00457449"/>
    <w:rsid w:val="0046016F"/>
    <w:rsid w:val="004704D2"/>
    <w:rsid w:val="004728D1"/>
    <w:rsid w:val="004756B4"/>
    <w:rsid w:val="004811A4"/>
    <w:rsid w:val="00483E3C"/>
    <w:rsid w:val="00495438"/>
    <w:rsid w:val="004A0A6E"/>
    <w:rsid w:val="004A32D2"/>
    <w:rsid w:val="004B1A32"/>
    <w:rsid w:val="004B7ED7"/>
    <w:rsid w:val="004C2DAC"/>
    <w:rsid w:val="004C5D2B"/>
    <w:rsid w:val="004E0B16"/>
    <w:rsid w:val="004E2B23"/>
    <w:rsid w:val="004E2F4D"/>
    <w:rsid w:val="004E42C7"/>
    <w:rsid w:val="004E6093"/>
    <w:rsid w:val="004E77C3"/>
    <w:rsid w:val="004F0464"/>
    <w:rsid w:val="004F3B48"/>
    <w:rsid w:val="00510BCF"/>
    <w:rsid w:val="00521262"/>
    <w:rsid w:val="0052274B"/>
    <w:rsid w:val="005245AD"/>
    <w:rsid w:val="00524B21"/>
    <w:rsid w:val="00525424"/>
    <w:rsid w:val="00533098"/>
    <w:rsid w:val="00535951"/>
    <w:rsid w:val="005444B7"/>
    <w:rsid w:val="005514D2"/>
    <w:rsid w:val="00556D2D"/>
    <w:rsid w:val="00556FEA"/>
    <w:rsid w:val="0056441D"/>
    <w:rsid w:val="00564A18"/>
    <w:rsid w:val="00575104"/>
    <w:rsid w:val="0057513A"/>
    <w:rsid w:val="005766B5"/>
    <w:rsid w:val="00582B1C"/>
    <w:rsid w:val="00583D83"/>
    <w:rsid w:val="005921C3"/>
    <w:rsid w:val="005A2183"/>
    <w:rsid w:val="005A282B"/>
    <w:rsid w:val="005C3852"/>
    <w:rsid w:val="005D1107"/>
    <w:rsid w:val="005D43EA"/>
    <w:rsid w:val="005D53EB"/>
    <w:rsid w:val="005E06AF"/>
    <w:rsid w:val="005E0A0D"/>
    <w:rsid w:val="005E14D9"/>
    <w:rsid w:val="005E3A18"/>
    <w:rsid w:val="005F018C"/>
    <w:rsid w:val="005F2C94"/>
    <w:rsid w:val="005F5706"/>
    <w:rsid w:val="00604698"/>
    <w:rsid w:val="006072F2"/>
    <w:rsid w:val="00610350"/>
    <w:rsid w:val="00613C6E"/>
    <w:rsid w:val="00622382"/>
    <w:rsid w:val="006327C5"/>
    <w:rsid w:val="00632EE6"/>
    <w:rsid w:val="00635647"/>
    <w:rsid w:val="0063775E"/>
    <w:rsid w:val="00647336"/>
    <w:rsid w:val="0065293D"/>
    <w:rsid w:val="00652955"/>
    <w:rsid w:val="00655978"/>
    <w:rsid w:val="00664896"/>
    <w:rsid w:val="00674A5B"/>
    <w:rsid w:val="00675790"/>
    <w:rsid w:val="00676AE9"/>
    <w:rsid w:val="006826E3"/>
    <w:rsid w:val="00686108"/>
    <w:rsid w:val="00686A53"/>
    <w:rsid w:val="006952CB"/>
    <w:rsid w:val="00695678"/>
    <w:rsid w:val="006A6243"/>
    <w:rsid w:val="006A6276"/>
    <w:rsid w:val="006B3DE7"/>
    <w:rsid w:val="006B46F4"/>
    <w:rsid w:val="006B7929"/>
    <w:rsid w:val="006D6C68"/>
    <w:rsid w:val="006E328A"/>
    <w:rsid w:val="006E4DB7"/>
    <w:rsid w:val="006F2AA5"/>
    <w:rsid w:val="00703EEA"/>
    <w:rsid w:val="00714DAF"/>
    <w:rsid w:val="00720AA4"/>
    <w:rsid w:val="007309B6"/>
    <w:rsid w:val="007314AC"/>
    <w:rsid w:val="007435EC"/>
    <w:rsid w:val="00744306"/>
    <w:rsid w:val="007523E8"/>
    <w:rsid w:val="00756F4E"/>
    <w:rsid w:val="007571BB"/>
    <w:rsid w:val="0075757B"/>
    <w:rsid w:val="00761048"/>
    <w:rsid w:val="00761C56"/>
    <w:rsid w:val="00761F6B"/>
    <w:rsid w:val="007661F8"/>
    <w:rsid w:val="007702C5"/>
    <w:rsid w:val="00772140"/>
    <w:rsid w:val="00773415"/>
    <w:rsid w:val="00775541"/>
    <w:rsid w:val="00785ECB"/>
    <w:rsid w:val="00785F7C"/>
    <w:rsid w:val="00795545"/>
    <w:rsid w:val="007A1197"/>
    <w:rsid w:val="007B0F14"/>
    <w:rsid w:val="007B32B6"/>
    <w:rsid w:val="007B384B"/>
    <w:rsid w:val="007B7A55"/>
    <w:rsid w:val="007D1DE8"/>
    <w:rsid w:val="007D4E65"/>
    <w:rsid w:val="007E03E6"/>
    <w:rsid w:val="007E248E"/>
    <w:rsid w:val="007F17E7"/>
    <w:rsid w:val="007F5BA1"/>
    <w:rsid w:val="007F60EB"/>
    <w:rsid w:val="007F6D49"/>
    <w:rsid w:val="00810D76"/>
    <w:rsid w:val="00812620"/>
    <w:rsid w:val="00816C3A"/>
    <w:rsid w:val="00823264"/>
    <w:rsid w:val="0082330C"/>
    <w:rsid w:val="0082425E"/>
    <w:rsid w:val="0083244E"/>
    <w:rsid w:val="0083267A"/>
    <w:rsid w:val="0083532C"/>
    <w:rsid w:val="00836579"/>
    <w:rsid w:val="008407D4"/>
    <w:rsid w:val="00840F1C"/>
    <w:rsid w:val="00843C09"/>
    <w:rsid w:val="00854553"/>
    <w:rsid w:val="0085464A"/>
    <w:rsid w:val="00856022"/>
    <w:rsid w:val="00857ACF"/>
    <w:rsid w:val="008605F6"/>
    <w:rsid w:val="00860E1D"/>
    <w:rsid w:val="00864F73"/>
    <w:rsid w:val="008679ED"/>
    <w:rsid w:val="00874C7F"/>
    <w:rsid w:val="0087560E"/>
    <w:rsid w:val="008822FA"/>
    <w:rsid w:val="00891272"/>
    <w:rsid w:val="00892456"/>
    <w:rsid w:val="00893E38"/>
    <w:rsid w:val="00896F2A"/>
    <w:rsid w:val="008A1E2D"/>
    <w:rsid w:val="008A425A"/>
    <w:rsid w:val="008B556C"/>
    <w:rsid w:val="008B60C0"/>
    <w:rsid w:val="008B685E"/>
    <w:rsid w:val="008C6487"/>
    <w:rsid w:val="008E52A3"/>
    <w:rsid w:val="008E6F90"/>
    <w:rsid w:val="00907CF1"/>
    <w:rsid w:val="009116C0"/>
    <w:rsid w:val="009124B4"/>
    <w:rsid w:val="00912ABF"/>
    <w:rsid w:val="00915BDE"/>
    <w:rsid w:val="0091607B"/>
    <w:rsid w:val="00952A01"/>
    <w:rsid w:val="00955D7C"/>
    <w:rsid w:val="0095710C"/>
    <w:rsid w:val="00961D8F"/>
    <w:rsid w:val="009677D1"/>
    <w:rsid w:val="009706D6"/>
    <w:rsid w:val="009712D2"/>
    <w:rsid w:val="00973475"/>
    <w:rsid w:val="00974340"/>
    <w:rsid w:val="0098397E"/>
    <w:rsid w:val="00986F99"/>
    <w:rsid w:val="00991141"/>
    <w:rsid w:val="009923AE"/>
    <w:rsid w:val="00996C66"/>
    <w:rsid w:val="009A33EF"/>
    <w:rsid w:val="009A45ED"/>
    <w:rsid w:val="009A764C"/>
    <w:rsid w:val="009B62B2"/>
    <w:rsid w:val="009C5DDD"/>
    <w:rsid w:val="009C7A4F"/>
    <w:rsid w:val="009D015D"/>
    <w:rsid w:val="009D0579"/>
    <w:rsid w:val="009D173C"/>
    <w:rsid w:val="009D32DD"/>
    <w:rsid w:val="009E235C"/>
    <w:rsid w:val="009E2508"/>
    <w:rsid w:val="009F231D"/>
    <w:rsid w:val="009F7037"/>
    <w:rsid w:val="00A011D9"/>
    <w:rsid w:val="00A03B89"/>
    <w:rsid w:val="00A04952"/>
    <w:rsid w:val="00A04971"/>
    <w:rsid w:val="00A07D86"/>
    <w:rsid w:val="00A105C8"/>
    <w:rsid w:val="00A15C1A"/>
    <w:rsid w:val="00A23354"/>
    <w:rsid w:val="00A25BB4"/>
    <w:rsid w:val="00A34131"/>
    <w:rsid w:val="00A4247F"/>
    <w:rsid w:val="00A53326"/>
    <w:rsid w:val="00A5501C"/>
    <w:rsid w:val="00A55C44"/>
    <w:rsid w:val="00A639E3"/>
    <w:rsid w:val="00A63AEA"/>
    <w:rsid w:val="00A63B70"/>
    <w:rsid w:val="00A7123F"/>
    <w:rsid w:val="00A7252C"/>
    <w:rsid w:val="00A77766"/>
    <w:rsid w:val="00A83530"/>
    <w:rsid w:val="00A83CA8"/>
    <w:rsid w:val="00A854FE"/>
    <w:rsid w:val="00AA131B"/>
    <w:rsid w:val="00AA2344"/>
    <w:rsid w:val="00AA4D65"/>
    <w:rsid w:val="00AA5C54"/>
    <w:rsid w:val="00AB61ED"/>
    <w:rsid w:val="00AB69AE"/>
    <w:rsid w:val="00AC321A"/>
    <w:rsid w:val="00AC3383"/>
    <w:rsid w:val="00AC3492"/>
    <w:rsid w:val="00AF713B"/>
    <w:rsid w:val="00B11787"/>
    <w:rsid w:val="00B15889"/>
    <w:rsid w:val="00B15CA6"/>
    <w:rsid w:val="00B34A09"/>
    <w:rsid w:val="00B35B1E"/>
    <w:rsid w:val="00B40EDF"/>
    <w:rsid w:val="00B436C8"/>
    <w:rsid w:val="00B44865"/>
    <w:rsid w:val="00B5341D"/>
    <w:rsid w:val="00B82CF2"/>
    <w:rsid w:val="00B92E55"/>
    <w:rsid w:val="00B94101"/>
    <w:rsid w:val="00B97660"/>
    <w:rsid w:val="00BA7A49"/>
    <w:rsid w:val="00BB07EF"/>
    <w:rsid w:val="00BB39AE"/>
    <w:rsid w:val="00BD1CE4"/>
    <w:rsid w:val="00BD3859"/>
    <w:rsid w:val="00BE35F5"/>
    <w:rsid w:val="00BE60E9"/>
    <w:rsid w:val="00BE6263"/>
    <w:rsid w:val="00BE6FA6"/>
    <w:rsid w:val="00BF09A6"/>
    <w:rsid w:val="00C00B98"/>
    <w:rsid w:val="00C06292"/>
    <w:rsid w:val="00C075D7"/>
    <w:rsid w:val="00C11B01"/>
    <w:rsid w:val="00C11DC8"/>
    <w:rsid w:val="00C22710"/>
    <w:rsid w:val="00C27A80"/>
    <w:rsid w:val="00C316E5"/>
    <w:rsid w:val="00C33742"/>
    <w:rsid w:val="00C34EE0"/>
    <w:rsid w:val="00C43F6A"/>
    <w:rsid w:val="00C46A93"/>
    <w:rsid w:val="00C50B3D"/>
    <w:rsid w:val="00C610BF"/>
    <w:rsid w:val="00C63077"/>
    <w:rsid w:val="00C64A23"/>
    <w:rsid w:val="00C6626F"/>
    <w:rsid w:val="00C67991"/>
    <w:rsid w:val="00C718D1"/>
    <w:rsid w:val="00C72408"/>
    <w:rsid w:val="00C81524"/>
    <w:rsid w:val="00C93A7C"/>
    <w:rsid w:val="00CA02E0"/>
    <w:rsid w:val="00CA1581"/>
    <w:rsid w:val="00CA1D23"/>
    <w:rsid w:val="00CA665E"/>
    <w:rsid w:val="00CB1C1F"/>
    <w:rsid w:val="00CB5092"/>
    <w:rsid w:val="00CC37FE"/>
    <w:rsid w:val="00CC7B95"/>
    <w:rsid w:val="00CC7C9E"/>
    <w:rsid w:val="00CD3DF3"/>
    <w:rsid w:val="00CE01CE"/>
    <w:rsid w:val="00CE0879"/>
    <w:rsid w:val="00CE22E8"/>
    <w:rsid w:val="00CE456B"/>
    <w:rsid w:val="00CE4590"/>
    <w:rsid w:val="00CE531C"/>
    <w:rsid w:val="00D00EA9"/>
    <w:rsid w:val="00D06F90"/>
    <w:rsid w:val="00D1238A"/>
    <w:rsid w:val="00D14CC1"/>
    <w:rsid w:val="00D23C15"/>
    <w:rsid w:val="00D3116E"/>
    <w:rsid w:val="00D3222F"/>
    <w:rsid w:val="00D34638"/>
    <w:rsid w:val="00D437DC"/>
    <w:rsid w:val="00D51526"/>
    <w:rsid w:val="00D54A82"/>
    <w:rsid w:val="00D562D1"/>
    <w:rsid w:val="00D56914"/>
    <w:rsid w:val="00D63BDA"/>
    <w:rsid w:val="00D706D6"/>
    <w:rsid w:val="00D7439D"/>
    <w:rsid w:val="00D74475"/>
    <w:rsid w:val="00D80A53"/>
    <w:rsid w:val="00D81821"/>
    <w:rsid w:val="00D9508D"/>
    <w:rsid w:val="00DA1B1C"/>
    <w:rsid w:val="00DA1D21"/>
    <w:rsid w:val="00DA2A62"/>
    <w:rsid w:val="00DA58EF"/>
    <w:rsid w:val="00DA5D14"/>
    <w:rsid w:val="00DA7174"/>
    <w:rsid w:val="00DB1613"/>
    <w:rsid w:val="00DC07A2"/>
    <w:rsid w:val="00DC132B"/>
    <w:rsid w:val="00DC2E42"/>
    <w:rsid w:val="00DC55F3"/>
    <w:rsid w:val="00DD23CE"/>
    <w:rsid w:val="00DD5C7D"/>
    <w:rsid w:val="00DE1417"/>
    <w:rsid w:val="00DE27C8"/>
    <w:rsid w:val="00DE3939"/>
    <w:rsid w:val="00DF1B5F"/>
    <w:rsid w:val="00DF6AA3"/>
    <w:rsid w:val="00E00A86"/>
    <w:rsid w:val="00E056B7"/>
    <w:rsid w:val="00E06782"/>
    <w:rsid w:val="00E1020A"/>
    <w:rsid w:val="00E14583"/>
    <w:rsid w:val="00E16376"/>
    <w:rsid w:val="00E24F09"/>
    <w:rsid w:val="00E27D4E"/>
    <w:rsid w:val="00E35840"/>
    <w:rsid w:val="00E4258B"/>
    <w:rsid w:val="00E431AC"/>
    <w:rsid w:val="00E435E7"/>
    <w:rsid w:val="00E471C2"/>
    <w:rsid w:val="00E53D0D"/>
    <w:rsid w:val="00E53D33"/>
    <w:rsid w:val="00E560C3"/>
    <w:rsid w:val="00E561BA"/>
    <w:rsid w:val="00E617C5"/>
    <w:rsid w:val="00E627FB"/>
    <w:rsid w:val="00E63153"/>
    <w:rsid w:val="00E6370A"/>
    <w:rsid w:val="00E6773F"/>
    <w:rsid w:val="00E70536"/>
    <w:rsid w:val="00E72546"/>
    <w:rsid w:val="00E77A4E"/>
    <w:rsid w:val="00E85504"/>
    <w:rsid w:val="00E95CED"/>
    <w:rsid w:val="00EA115B"/>
    <w:rsid w:val="00EA3772"/>
    <w:rsid w:val="00EA66D7"/>
    <w:rsid w:val="00EB2A27"/>
    <w:rsid w:val="00EC35B9"/>
    <w:rsid w:val="00ED33F7"/>
    <w:rsid w:val="00EE0A57"/>
    <w:rsid w:val="00EE39D2"/>
    <w:rsid w:val="00EE3F59"/>
    <w:rsid w:val="00EF119C"/>
    <w:rsid w:val="00EF1D4C"/>
    <w:rsid w:val="00EF7CB9"/>
    <w:rsid w:val="00F03240"/>
    <w:rsid w:val="00F04A52"/>
    <w:rsid w:val="00F0629D"/>
    <w:rsid w:val="00F06CD5"/>
    <w:rsid w:val="00F10CBF"/>
    <w:rsid w:val="00F13136"/>
    <w:rsid w:val="00F133D5"/>
    <w:rsid w:val="00F156BF"/>
    <w:rsid w:val="00F15B8B"/>
    <w:rsid w:val="00F16BED"/>
    <w:rsid w:val="00F22C2D"/>
    <w:rsid w:val="00F2311B"/>
    <w:rsid w:val="00F24C6D"/>
    <w:rsid w:val="00F31F7F"/>
    <w:rsid w:val="00F44F7F"/>
    <w:rsid w:val="00F46C1B"/>
    <w:rsid w:val="00F47C9E"/>
    <w:rsid w:val="00F50641"/>
    <w:rsid w:val="00F50C4F"/>
    <w:rsid w:val="00F52D13"/>
    <w:rsid w:val="00F573C2"/>
    <w:rsid w:val="00F60F1C"/>
    <w:rsid w:val="00F6281E"/>
    <w:rsid w:val="00F66FFC"/>
    <w:rsid w:val="00F729EE"/>
    <w:rsid w:val="00F83070"/>
    <w:rsid w:val="00F86093"/>
    <w:rsid w:val="00F877D2"/>
    <w:rsid w:val="00F92C44"/>
    <w:rsid w:val="00FA088E"/>
    <w:rsid w:val="00FA1CD2"/>
    <w:rsid w:val="00FA29FD"/>
    <w:rsid w:val="00FC264F"/>
    <w:rsid w:val="00FC4BB9"/>
    <w:rsid w:val="00FC5704"/>
    <w:rsid w:val="00FC6CCA"/>
    <w:rsid w:val="00FD4538"/>
    <w:rsid w:val="00FD46EE"/>
    <w:rsid w:val="00FE02BF"/>
    <w:rsid w:val="00FE1E33"/>
    <w:rsid w:val="00FE2E24"/>
    <w:rsid w:val="00FE4F69"/>
    <w:rsid w:val="00FF2AA4"/>
    <w:rsid w:val="00FF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5866"/>
  <w15:docId w15:val="{7F9C4579-DB27-4CBF-BCC3-E3AE0BAE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45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EBF"/>
    <w:pPr>
      <w:ind w:left="720"/>
      <w:contextualSpacing/>
    </w:pPr>
  </w:style>
  <w:style w:type="character" w:styleId="CommentReference">
    <w:name w:val="annotation reference"/>
    <w:semiHidden/>
    <w:rsid w:val="002A0EBF"/>
    <w:rPr>
      <w:sz w:val="16"/>
      <w:szCs w:val="16"/>
    </w:rPr>
  </w:style>
  <w:style w:type="paragraph" w:styleId="CommentText">
    <w:name w:val="annotation text"/>
    <w:basedOn w:val="Normal"/>
    <w:link w:val="CommentTextChar"/>
    <w:semiHidden/>
    <w:rsid w:val="002A0EB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A0E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0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EBF"/>
    <w:rPr>
      <w:rFonts w:ascii="Tahoma" w:hAnsi="Tahoma" w:cs="Tahoma"/>
      <w:sz w:val="16"/>
      <w:szCs w:val="16"/>
    </w:rPr>
  </w:style>
  <w:style w:type="paragraph" w:styleId="BodyText3">
    <w:name w:val="Body Text 3"/>
    <w:basedOn w:val="Normal"/>
    <w:link w:val="BodyText3Char"/>
    <w:rsid w:val="009A33E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A33EF"/>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F50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641"/>
  </w:style>
  <w:style w:type="paragraph" w:styleId="Footer">
    <w:name w:val="footer"/>
    <w:basedOn w:val="Normal"/>
    <w:link w:val="FooterChar"/>
    <w:uiPriority w:val="99"/>
    <w:unhideWhenUsed/>
    <w:rsid w:val="00F50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41"/>
  </w:style>
  <w:style w:type="paragraph" w:styleId="CommentSubject">
    <w:name w:val="annotation subject"/>
    <w:basedOn w:val="CommentText"/>
    <w:next w:val="CommentText"/>
    <w:link w:val="CommentSubjectChar"/>
    <w:uiPriority w:val="99"/>
    <w:semiHidden/>
    <w:unhideWhenUsed/>
    <w:rsid w:val="00B34A0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34A09"/>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C64A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A23"/>
    <w:rPr>
      <w:sz w:val="20"/>
      <w:szCs w:val="20"/>
    </w:rPr>
  </w:style>
  <w:style w:type="character" w:styleId="EndnoteReference">
    <w:name w:val="endnote reference"/>
    <w:basedOn w:val="DefaultParagraphFont"/>
    <w:uiPriority w:val="99"/>
    <w:semiHidden/>
    <w:unhideWhenUsed/>
    <w:rsid w:val="00C64A23"/>
    <w:rPr>
      <w:vertAlign w:val="superscript"/>
    </w:rPr>
  </w:style>
  <w:style w:type="character" w:styleId="Hyperlink">
    <w:name w:val="Hyperlink"/>
    <w:basedOn w:val="DefaultParagraphFont"/>
    <w:uiPriority w:val="99"/>
    <w:unhideWhenUsed/>
    <w:rsid w:val="00007EEC"/>
    <w:rPr>
      <w:color w:val="0000FF" w:themeColor="hyperlink"/>
      <w:u w:val="single"/>
    </w:rPr>
  </w:style>
  <w:style w:type="paragraph" w:styleId="Revision">
    <w:name w:val="Revision"/>
    <w:hidden/>
    <w:uiPriority w:val="99"/>
    <w:semiHidden/>
    <w:rsid w:val="00860E1D"/>
    <w:pPr>
      <w:spacing w:after="0" w:line="240" w:lineRule="auto"/>
    </w:pPr>
  </w:style>
  <w:style w:type="character" w:styleId="FollowedHyperlink">
    <w:name w:val="FollowedHyperlink"/>
    <w:basedOn w:val="DefaultParagraphFont"/>
    <w:uiPriority w:val="99"/>
    <w:semiHidden/>
    <w:unhideWhenUsed/>
    <w:rsid w:val="00C46A93"/>
    <w:rPr>
      <w:color w:val="800080" w:themeColor="followedHyperlink"/>
      <w:u w:val="single"/>
    </w:rPr>
  </w:style>
  <w:style w:type="paragraph" w:customStyle="1" w:styleId="TNR">
    <w:name w:val="TNR"/>
    <w:basedOn w:val="Normal"/>
    <w:link w:val="TNRChar"/>
    <w:qFormat/>
    <w:rsid w:val="00072CED"/>
    <w:pPr>
      <w:spacing w:before="80" w:after="80" w:line="240" w:lineRule="auto"/>
    </w:pPr>
    <w:rPr>
      <w:rFonts w:ascii="Times New Roman" w:eastAsia="Times New Roman" w:hAnsi="Times New Roman" w:cs="Times New Roman"/>
      <w:sz w:val="24"/>
      <w:szCs w:val="24"/>
    </w:rPr>
  </w:style>
  <w:style w:type="character" w:customStyle="1" w:styleId="TNRChar">
    <w:name w:val="TNR Char"/>
    <w:basedOn w:val="DefaultParagraphFont"/>
    <w:link w:val="TNR"/>
    <w:rsid w:val="00072CE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A7F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7FF4"/>
    <w:rPr>
      <w:sz w:val="20"/>
      <w:szCs w:val="20"/>
    </w:rPr>
  </w:style>
  <w:style w:type="character" w:styleId="FootnoteReference">
    <w:name w:val="footnote reference"/>
    <w:basedOn w:val="DefaultParagraphFont"/>
    <w:uiPriority w:val="99"/>
    <w:semiHidden/>
    <w:unhideWhenUsed/>
    <w:rsid w:val="001A7FF4"/>
    <w:rPr>
      <w:vertAlign w:val="superscript"/>
    </w:rPr>
  </w:style>
  <w:style w:type="paragraph" w:styleId="TOC2">
    <w:name w:val="toc 2"/>
    <w:basedOn w:val="Normal"/>
    <w:next w:val="Normal"/>
    <w:autoRedefine/>
    <w:uiPriority w:val="39"/>
    <w:rsid w:val="00664896"/>
    <w:pPr>
      <w:tabs>
        <w:tab w:val="left" w:pos="720"/>
        <w:tab w:val="right" w:leader="dot" w:pos="9350"/>
      </w:tabs>
      <w:spacing w:after="0" w:line="240" w:lineRule="auto"/>
      <w:ind w:left="720" w:hanging="480"/>
    </w:pPr>
    <w:rPr>
      <w:rFonts w:ascii="Times New Roman" w:eastAsia="Times New Roman" w:hAnsi="Times New Roman" w:cs="Times New Roman"/>
      <w:sz w:val="24"/>
      <w:szCs w:val="24"/>
    </w:rPr>
  </w:style>
  <w:style w:type="paragraph" w:styleId="TOC3">
    <w:name w:val="toc 3"/>
    <w:basedOn w:val="Normal"/>
    <w:next w:val="Normal"/>
    <w:autoRedefine/>
    <w:uiPriority w:val="39"/>
    <w:rsid w:val="00664896"/>
    <w:pPr>
      <w:tabs>
        <w:tab w:val="left" w:pos="960"/>
        <w:tab w:val="right" w:leader="dot" w:pos="9350"/>
      </w:tabs>
      <w:spacing w:after="0" w:line="240" w:lineRule="auto"/>
      <w:ind w:left="960" w:hanging="510"/>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64896"/>
  </w:style>
  <w:style w:type="paragraph" w:styleId="Caption">
    <w:name w:val="caption"/>
    <w:basedOn w:val="Normal"/>
    <w:next w:val="Normal"/>
    <w:uiPriority w:val="99"/>
    <w:qFormat/>
    <w:rsid w:val="00664896"/>
    <w:pPr>
      <w:spacing w:after="0" w:line="240" w:lineRule="auto"/>
    </w:pPr>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745F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745FB"/>
    <w:pPr>
      <w:spacing w:line="259" w:lineRule="auto"/>
      <w:outlineLvl w:val="9"/>
    </w:pPr>
  </w:style>
  <w:style w:type="paragraph" w:styleId="TOC1">
    <w:name w:val="toc 1"/>
    <w:basedOn w:val="Normal"/>
    <w:next w:val="Normal"/>
    <w:autoRedefine/>
    <w:uiPriority w:val="39"/>
    <w:unhideWhenUsed/>
    <w:rsid w:val="003200BD"/>
    <w:pPr>
      <w:numPr>
        <w:numId w:val="1"/>
      </w:numPr>
      <w:spacing w:before="120" w:after="120" w:line="240" w:lineRule="auto"/>
    </w:pPr>
    <w:rPr>
      <w:rFonts w:ascii="Times New Roman" w:eastAsiaTheme="minorEastAsia" w:hAnsi="Times New Roman" w:cs="Times New Roman"/>
      <w:b/>
      <w:bCs/>
      <w:sz w:val="24"/>
      <w:szCs w:val="24"/>
    </w:rPr>
  </w:style>
  <w:style w:type="table" w:styleId="TableGrid">
    <w:name w:val="Table Grid"/>
    <w:basedOn w:val="TableNormal"/>
    <w:uiPriority w:val="59"/>
    <w:rsid w:val="00207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ec5a81-e4d6-4674-97f3-e9220f0136c1">
    <w:name w:val="baec5a81-e4d6-4674-97f3-e9220f0136c1"/>
    <w:basedOn w:val="DefaultParagraphFont"/>
    <w:rsid w:val="002078A1"/>
  </w:style>
  <w:style w:type="character" w:customStyle="1" w:styleId="st1">
    <w:name w:val="st1"/>
    <w:basedOn w:val="DefaultParagraphFont"/>
    <w:rsid w:val="002078A1"/>
  </w:style>
  <w:style w:type="paragraph" w:customStyle="1" w:styleId="Default">
    <w:name w:val="Default"/>
    <w:rsid w:val="00F47C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29875">
      <w:bodyDiv w:val="1"/>
      <w:marLeft w:val="0"/>
      <w:marRight w:val="0"/>
      <w:marTop w:val="0"/>
      <w:marBottom w:val="0"/>
      <w:divBdr>
        <w:top w:val="none" w:sz="0" w:space="0" w:color="auto"/>
        <w:left w:val="none" w:sz="0" w:space="0" w:color="auto"/>
        <w:bottom w:val="none" w:sz="0" w:space="0" w:color="auto"/>
        <w:right w:val="none" w:sz="0" w:space="0" w:color="auto"/>
      </w:divBdr>
    </w:div>
    <w:div w:id="238910149">
      <w:bodyDiv w:val="1"/>
      <w:marLeft w:val="0"/>
      <w:marRight w:val="0"/>
      <w:marTop w:val="0"/>
      <w:marBottom w:val="0"/>
      <w:divBdr>
        <w:top w:val="none" w:sz="0" w:space="0" w:color="auto"/>
        <w:left w:val="none" w:sz="0" w:space="0" w:color="auto"/>
        <w:bottom w:val="none" w:sz="0" w:space="0" w:color="auto"/>
        <w:right w:val="none" w:sz="0" w:space="0" w:color="auto"/>
      </w:divBdr>
    </w:div>
    <w:div w:id="457458707">
      <w:bodyDiv w:val="1"/>
      <w:marLeft w:val="0"/>
      <w:marRight w:val="0"/>
      <w:marTop w:val="0"/>
      <w:marBottom w:val="0"/>
      <w:divBdr>
        <w:top w:val="none" w:sz="0" w:space="0" w:color="auto"/>
        <w:left w:val="none" w:sz="0" w:space="0" w:color="auto"/>
        <w:bottom w:val="none" w:sz="0" w:space="0" w:color="auto"/>
        <w:right w:val="none" w:sz="0" w:space="0" w:color="auto"/>
      </w:divBdr>
    </w:div>
    <w:div w:id="527525520">
      <w:bodyDiv w:val="1"/>
      <w:marLeft w:val="0"/>
      <w:marRight w:val="0"/>
      <w:marTop w:val="0"/>
      <w:marBottom w:val="0"/>
      <w:divBdr>
        <w:top w:val="none" w:sz="0" w:space="0" w:color="auto"/>
        <w:left w:val="none" w:sz="0" w:space="0" w:color="auto"/>
        <w:bottom w:val="none" w:sz="0" w:space="0" w:color="auto"/>
        <w:right w:val="none" w:sz="0" w:space="0" w:color="auto"/>
      </w:divBdr>
    </w:div>
    <w:div w:id="1096949792">
      <w:bodyDiv w:val="1"/>
      <w:marLeft w:val="0"/>
      <w:marRight w:val="0"/>
      <w:marTop w:val="0"/>
      <w:marBottom w:val="0"/>
      <w:divBdr>
        <w:top w:val="none" w:sz="0" w:space="0" w:color="auto"/>
        <w:left w:val="none" w:sz="0" w:space="0" w:color="auto"/>
        <w:bottom w:val="none" w:sz="0" w:space="0" w:color="auto"/>
        <w:right w:val="none" w:sz="0" w:space="0" w:color="auto"/>
      </w:divBdr>
    </w:div>
    <w:div w:id="1147741018">
      <w:bodyDiv w:val="1"/>
      <w:marLeft w:val="0"/>
      <w:marRight w:val="0"/>
      <w:marTop w:val="0"/>
      <w:marBottom w:val="0"/>
      <w:divBdr>
        <w:top w:val="none" w:sz="0" w:space="0" w:color="auto"/>
        <w:left w:val="none" w:sz="0" w:space="0" w:color="auto"/>
        <w:bottom w:val="none" w:sz="0" w:space="0" w:color="auto"/>
        <w:right w:val="none" w:sz="0" w:space="0" w:color="auto"/>
      </w:divBdr>
    </w:div>
    <w:div w:id="1238859175">
      <w:bodyDiv w:val="1"/>
      <w:marLeft w:val="0"/>
      <w:marRight w:val="0"/>
      <w:marTop w:val="0"/>
      <w:marBottom w:val="0"/>
      <w:divBdr>
        <w:top w:val="none" w:sz="0" w:space="0" w:color="auto"/>
        <w:left w:val="none" w:sz="0" w:space="0" w:color="auto"/>
        <w:bottom w:val="none" w:sz="0" w:space="0" w:color="auto"/>
        <w:right w:val="none" w:sz="0" w:space="0" w:color="auto"/>
      </w:divBdr>
    </w:div>
    <w:div w:id="161057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xa3@cdc.gov" TargetMode="External"/><Relationship Id="rId13" Type="http://schemas.openxmlformats.org/officeDocument/2006/relationships/hyperlink" Target="http://www.opm.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esapeakeirb.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ilanjr@verizon.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so5@cdc.gov" TargetMode="External"/><Relationship Id="rId14" Type="http://schemas.openxmlformats.org/officeDocument/2006/relationships/hyperlink" Target="http://dcp.psc.gov"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quickfacts.census.gov/qfd/states/00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Tur15</b:Tag>
    <b:SourceType>JournalArticle</b:SourceType>
    <b:Guid>{2CA9FD46-2992-4284-8F86-C81054094DAA}</b:Guid>
    <b:Title>Allowing physicians to choose the value of compensation for participation in a web-based survey: randomized controlled trial</b:Title>
    <b:JournalName>J Med Internet Res</b:JournalName>
    <b:Year>2015</b:Year>
    <b:Pages>1-10</b:Pages>
    <b:Author>
      <b:Author>
        <b:NameList>
          <b:Person>
            <b:Last>Turnbull </b:Last>
            <b:First>AE</b:First>
          </b:Person>
          <b:Person>
            <b:Last>O'Connor</b:Last>
            <b:First>CL</b:First>
          </b:Person>
          <b:Person>
            <b:Last>Lau</b:Last>
            <b:First>B</b:First>
          </b:Person>
          <b:Person>
            <b:Last>Halpern</b:Last>
            <b:First>SD</b:First>
          </b:Person>
          <b:Person>
            <b:Last>Needham</b:Last>
            <b:First>DM</b:First>
          </b:Person>
        </b:NameList>
      </b:Author>
    </b:Author>
    <b:RefOrder>1</b:RefOrder>
  </b:Source>
</b:Sources>
</file>

<file path=customXml/itemProps1.xml><?xml version="1.0" encoding="utf-8"?>
<ds:datastoreItem xmlns:ds="http://schemas.openxmlformats.org/officeDocument/2006/customXml" ds:itemID="{25BBFE47-034B-41B3-B413-C5724B0F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Nelson</dc:creator>
  <cp:lastModifiedBy>Bonds, Constance (CDC/OID/NCHHSTP)</cp:lastModifiedBy>
  <cp:revision>5</cp:revision>
  <cp:lastPrinted>2016-02-25T17:11:00Z</cp:lastPrinted>
  <dcterms:created xsi:type="dcterms:W3CDTF">2017-01-30T14:56:00Z</dcterms:created>
  <dcterms:modified xsi:type="dcterms:W3CDTF">2017-01-30T18:55:00Z</dcterms:modified>
</cp:coreProperties>
</file>