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FCE" w:rsidRDefault="006D6FCE" w:rsidP="006D6FCE">
      <w:pPr>
        <w:tabs>
          <w:tab w:val="left" w:pos="720"/>
        </w:tabs>
        <w:jc w:val="center"/>
        <w:rPr>
          <w:b/>
          <w:bCs/>
        </w:rPr>
      </w:pPr>
      <w:r w:rsidRPr="00B36BDA">
        <w:rPr>
          <w:b/>
          <w:bCs/>
        </w:rPr>
        <w:t xml:space="preserve">Requirements </w:t>
      </w:r>
      <w:proofErr w:type="gramStart"/>
      <w:r>
        <w:rPr>
          <w:b/>
          <w:bCs/>
        </w:rPr>
        <w:t>U</w:t>
      </w:r>
      <w:r w:rsidRPr="00B36BDA">
        <w:rPr>
          <w:b/>
          <w:bCs/>
        </w:rPr>
        <w:t>nder</w:t>
      </w:r>
      <w:proofErr w:type="gramEnd"/>
      <w:r w:rsidRPr="00B36BDA">
        <w:rPr>
          <w:b/>
          <w:bCs/>
        </w:rPr>
        <w:t xml:space="preserve"> the Comprehensive Smoke</w:t>
      </w:r>
      <w:bookmarkStart w:id="0" w:name="_GoBack"/>
      <w:bookmarkEnd w:id="0"/>
      <w:r w:rsidRPr="00B36BDA">
        <w:rPr>
          <w:b/>
          <w:bCs/>
        </w:rPr>
        <w:t xml:space="preserve">less Tobacco </w:t>
      </w:r>
      <w:smartTag w:uri="urn:schemas-microsoft-com:office:smarttags" w:element="PersonName">
        <w:r w:rsidRPr="00B36BDA">
          <w:rPr>
            <w:b/>
            <w:bCs/>
          </w:rPr>
          <w:t>H</w:t>
        </w:r>
      </w:smartTag>
      <w:r w:rsidRPr="00B36BDA">
        <w:rPr>
          <w:b/>
          <w:bCs/>
        </w:rPr>
        <w:t xml:space="preserve">ealth Education Act of 1986, as </w:t>
      </w:r>
      <w:r>
        <w:rPr>
          <w:b/>
          <w:bCs/>
        </w:rPr>
        <w:t>A</w:t>
      </w:r>
      <w:r w:rsidRPr="00B36BDA">
        <w:rPr>
          <w:b/>
          <w:bCs/>
        </w:rPr>
        <w:t>mended by the Family Smoking Prevention and Tobacco Control Act</w:t>
      </w:r>
    </w:p>
    <w:p w:rsidR="006D6FCE" w:rsidRDefault="006D6FCE" w:rsidP="006D6FCE">
      <w:pPr>
        <w:jc w:val="center"/>
        <w:rPr>
          <w:b/>
          <w:bCs/>
        </w:rPr>
      </w:pPr>
    </w:p>
    <w:p w:rsidR="006D6FCE" w:rsidRDefault="006D6FCE" w:rsidP="006D6FCE">
      <w:pPr>
        <w:jc w:val="center"/>
        <w:rPr>
          <w:b/>
          <w:bCs/>
        </w:rPr>
      </w:pPr>
      <w:r>
        <w:rPr>
          <w:b/>
          <w:bCs/>
        </w:rPr>
        <w:t>0910-0671 -Extension</w:t>
      </w:r>
    </w:p>
    <w:p w:rsidR="006D6FCE" w:rsidRDefault="006D6FCE" w:rsidP="006D6FCE">
      <w:pPr>
        <w:jc w:val="center"/>
        <w:rPr>
          <w:b/>
          <w:bCs/>
        </w:rPr>
      </w:pPr>
    </w:p>
    <w:p w:rsidR="006D6FCE" w:rsidRPr="009A148C" w:rsidRDefault="006D6FCE" w:rsidP="006D6FCE">
      <w:pPr>
        <w:jc w:val="center"/>
        <w:rPr>
          <w:b/>
          <w:bCs/>
        </w:rPr>
      </w:pPr>
      <w:r w:rsidRPr="009A148C">
        <w:rPr>
          <w:b/>
          <w:bCs/>
        </w:rPr>
        <w:t>SUPPORTING STATEMENT</w:t>
      </w:r>
    </w:p>
    <w:p w:rsidR="00810FF1" w:rsidRDefault="00810FF1" w:rsidP="00B23769">
      <w:pPr>
        <w:jc w:val="center"/>
        <w:rPr>
          <w:b/>
        </w:rPr>
      </w:pPr>
    </w:p>
    <w:p w:rsidR="00810FF1" w:rsidRPr="00810FF1" w:rsidRDefault="00810FF1" w:rsidP="00810FF1">
      <w:r>
        <w:rPr>
          <w:b/>
        </w:rPr>
        <w:t xml:space="preserve">Terms of Clearance: </w:t>
      </w:r>
      <w:r w:rsidRPr="007D3DFC">
        <w:t xml:space="preserve"> </w:t>
      </w:r>
      <w:r w:rsidR="006D6FCE">
        <w:t>None.</w:t>
      </w:r>
    </w:p>
    <w:p w:rsidR="00EB7538" w:rsidRDefault="00EB7538" w:rsidP="00EB7538">
      <w:pPr>
        <w:pStyle w:val="NormalWeb"/>
      </w:pPr>
      <w:r>
        <w:rPr>
          <w:b/>
          <w:bCs/>
        </w:rPr>
        <w:t>A. Justification</w:t>
      </w:r>
    </w:p>
    <w:p w:rsidR="008B30AB" w:rsidRPr="00221EBF"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6D6FCE" w:rsidRDefault="006D6FCE" w:rsidP="006D6FCE">
      <w:pPr>
        <w:ind w:left="720"/>
      </w:pPr>
      <w:r w:rsidRPr="00221EBF">
        <w:t>On June 22, 2009, the President signed the Family Smoking Prevention and Tobacco Control Act (the Tobacco Control Act) (Public Law 111-31) into law.  Section 3 of the Comprehensive Smokeless Tobacco Health Education Act of 1986 (the Smokeless Tobacco Act) (15 U.S.C.  4402), as amended by section 204 of the Tobacco Control Act requires, among other things, that all smokeless tobacco product packages and advertisements bear one of four required warning statements.  Section 3(b)(3)(A) of the Smokeless Tobacco Act requires that the warnings be displayed on packaging and advertising for each brand of smokeless tobacco “in accordance with a plan submitted by the tobacco product manufacturer, importer, distributor, or retailer” to, and approved by, FDA.</w:t>
      </w:r>
    </w:p>
    <w:p w:rsidR="00CF4C3A" w:rsidRDefault="00CF4C3A" w:rsidP="006D6FCE">
      <w:pPr>
        <w:ind w:left="720"/>
      </w:pPr>
    </w:p>
    <w:p w:rsidR="00CF4C3A" w:rsidRPr="00221EBF" w:rsidRDefault="00CF4C3A" w:rsidP="006D6FCE">
      <w:pPr>
        <w:ind w:left="720"/>
      </w:pPr>
      <w:r>
        <w:t>This collection of information is for the submission of warning plans to FDA for smokeless tobacco products.</w:t>
      </w:r>
    </w:p>
    <w:p w:rsidR="006D6FCE" w:rsidRPr="00221EBF" w:rsidRDefault="006D6FCE" w:rsidP="006D6FCE">
      <w:pPr>
        <w:ind w:left="720"/>
        <w:rPr>
          <w:highlight w:val="yellow"/>
        </w:rPr>
      </w:pP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544138" w:rsidRDefault="00221EBF" w:rsidP="00544138">
      <w:pPr>
        <w:ind w:left="720"/>
      </w:pPr>
      <w:r w:rsidRPr="00221EBF">
        <w:t>This information collection--the submission to FDA of warning plans for smokeless tobacco products--is statutorily mandated.  The warning plans will be reviewed by FDA, as required by the Smokeless Tobacco Act, to determine whether the companies’ plans for the equal distribution and display of warning statements on packaging and the quarterly rotation of warning statements in advertising for each brand of smokeless tobacco products comply with section 3 of the Smokeless Tobacco Act, as amended.</w:t>
      </w:r>
    </w:p>
    <w:p w:rsidR="00221EBF" w:rsidRDefault="00221EBF" w:rsidP="00544138">
      <w:pPr>
        <w:ind w:left="720"/>
      </w:pPr>
    </w:p>
    <w:p w:rsidR="00CC2894" w:rsidRPr="007F0A08" w:rsidRDefault="007F0A08" w:rsidP="00F207A4">
      <w:pPr>
        <w:ind w:left="720"/>
      </w:pPr>
      <w:r w:rsidRPr="007F0A08">
        <w:t xml:space="preserve">This collection of information is </w:t>
      </w:r>
      <w:r w:rsidR="00BB4ED1">
        <w:t>being collected from p</w:t>
      </w:r>
      <w:r w:rsidRPr="007F0A08">
        <w:t xml:space="preserve">rivate </w:t>
      </w:r>
      <w:r w:rsidR="00BB4ED1">
        <w:t>s</w:t>
      </w:r>
      <w:r w:rsidRPr="007F0A08">
        <w:t>ector for</w:t>
      </w:r>
      <w:r w:rsidR="00BB4ED1">
        <w:t>-</w:t>
      </w:r>
      <w:r w:rsidRPr="007F0A08">
        <w:t>profit businesses</w:t>
      </w:r>
      <w:r w:rsidR="00BB4ED1">
        <w:t>.</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6D5D57" w:rsidRPr="007F0A08" w:rsidRDefault="007F0A08" w:rsidP="00F207A4">
      <w:pPr>
        <w:ind w:left="720"/>
      </w:pPr>
      <w:r w:rsidRPr="007F0A08">
        <w:t xml:space="preserve">The Smokeless Tobacco Act does not specify the means for submission of warning plans.  There are three ways to submit warning plans: electronic format submitted via the FDA Electronic Submission Gateway; electronic format submitted on physical media (e.g., CD or DVD); or paper format.  FDA estimates 90 percent </w:t>
      </w:r>
      <w:r w:rsidR="00CF4C3A">
        <w:t xml:space="preserve">of the expected respondents to this collection of information </w:t>
      </w:r>
      <w:r w:rsidRPr="007F0A08">
        <w:t xml:space="preserve">will submit </w:t>
      </w:r>
      <w:r w:rsidR="00CF4C3A">
        <w:t xml:space="preserve">their warning plans </w:t>
      </w:r>
      <w:r w:rsidRPr="007F0A08">
        <w:t>electronically.</w:t>
      </w:r>
    </w:p>
    <w:p w:rsidR="002746DB" w:rsidRPr="002746DB" w:rsidRDefault="00EB7538" w:rsidP="00EB7538">
      <w:pPr>
        <w:numPr>
          <w:ilvl w:val="0"/>
          <w:numId w:val="1"/>
        </w:numPr>
        <w:spacing w:before="100" w:beforeAutospacing="1" w:after="100" w:afterAutospacing="1"/>
        <w:rPr>
          <w:u w:val="single"/>
        </w:rPr>
      </w:pPr>
      <w:r w:rsidRPr="002746DB">
        <w:rPr>
          <w:u w:val="single"/>
        </w:rPr>
        <w:lastRenderedPageBreak/>
        <w:t xml:space="preserve">Efforts to Identify Duplication and Use of Similar Information </w:t>
      </w:r>
    </w:p>
    <w:p w:rsidR="002746DB" w:rsidRPr="00CE31CF" w:rsidRDefault="00CF4C3A" w:rsidP="00F207A4">
      <w:pPr>
        <w:ind w:left="720"/>
      </w:pPr>
      <w:r>
        <w:t xml:space="preserve">There is no duplication of information being requested by this collection of information.  </w:t>
      </w:r>
      <w:r w:rsidR="00CE31CF" w:rsidRPr="00CE31CF">
        <w:t xml:space="preserve">FDA knows of no other regulations addressing this subject area or requiring disclosure of similar information. Although the warning statement requirements for smokeless tobacco products are similar to those applicable to cigarettes under the Federal Cigarette Labeling and Advertising Act (15 U.S.C. 1333), as amended by the Tobacco Control Act, no other statute provides for warning statements on the packaging or advertising of smokeless tobacco products. Furthermore, except as provided in the Tobacco Control Act, no statement relating to the use of smokeless tobacco products and health, other than the four warning statements required by the Smokeless Tobacco Act, shall be required by any Federal, State, or local statute or regulation to be included on the package or in an advertisement of a smokeless tobacco product.  See section </w:t>
      </w:r>
      <w:r w:rsidR="00010E93">
        <w:t>3</w:t>
      </w:r>
      <w:r w:rsidR="00CE31CF" w:rsidRPr="00CE31CF">
        <w:t>(a) of the Smokeless Tobacco Act, as amended (15 U.S.C. 4406).</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CE31CF" w:rsidRPr="00CE31CF" w:rsidRDefault="00CE31CF" w:rsidP="00CE31CF">
      <w:pPr>
        <w:pStyle w:val="BodyText2"/>
        <w:ind w:left="720"/>
        <w:rPr>
          <w:szCs w:val="24"/>
        </w:rPr>
      </w:pPr>
      <w:r w:rsidRPr="00CE31CF">
        <w:rPr>
          <w:szCs w:val="24"/>
        </w:rPr>
        <w:t>The requirement for submission of warning plans does not fall disproportionately upon small businesses.  The Smokeless Tobacco Act requires the submission of this information from manufacturers, distributors, importers, and retailers that manufacture, package, sell, offer to sell, distribute or import for sale or distribution smokeless tobacco products within the United States.  Retailers may be exempt from this requirement under certain circumstances.</w:t>
      </w:r>
    </w:p>
    <w:p w:rsidR="00CE31CF" w:rsidRPr="00CE31CF" w:rsidRDefault="00CE31CF" w:rsidP="00CE31CF">
      <w:pPr>
        <w:pStyle w:val="BodyText2"/>
        <w:ind w:left="720"/>
        <w:rPr>
          <w:szCs w:val="24"/>
        </w:rPr>
      </w:pPr>
    </w:p>
    <w:p w:rsidR="00CD77C3" w:rsidRDefault="00CE31CF" w:rsidP="00CE31CF">
      <w:pPr>
        <w:pStyle w:val="BodyText2"/>
        <w:ind w:left="720"/>
      </w:pPr>
      <w:r w:rsidRPr="00CE31CF">
        <w:rPr>
          <w:szCs w:val="24"/>
        </w:rPr>
        <w:t xml:space="preserve">CTP has issued </w:t>
      </w:r>
      <w:r w:rsidR="00DF3518">
        <w:rPr>
          <w:szCs w:val="24"/>
        </w:rPr>
        <w:t xml:space="preserve">draft </w:t>
      </w:r>
      <w:r w:rsidRPr="00CE31CF">
        <w:rPr>
          <w:szCs w:val="24"/>
        </w:rPr>
        <w:t>guidance to assist small businesses and other persons required to submit warning plans under the Smokeless Tobacco Act.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CD77C3" w:rsidRPr="00CE31CF" w:rsidRDefault="00CE31CF" w:rsidP="00CE31CF">
      <w:pPr>
        <w:ind w:left="720"/>
      </w:pPr>
      <w:r w:rsidRPr="00CE31CF">
        <w:t>Submission of warning plans for smokeless tobacco products to FDA is required so FDA can review and ensure the plan complies with the requirements set forth in the Smokeless Tobacco Act.</w:t>
      </w:r>
      <w:r w:rsidR="00652CF4">
        <w:t xml:space="preserve"> The consequence of collecting this collection of information less frequently could result in a product being labeled as misbranded or adulterated.</w:t>
      </w: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CE31CF" w:rsidP="00CE31CF">
      <w:pPr>
        <w:ind w:left="720"/>
      </w:pPr>
      <w:r>
        <w:t xml:space="preserve">There </w:t>
      </w:r>
      <w:r w:rsidR="008108FA">
        <w:t>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t>Comments in Response to the Federal Register Notice and Efforts to Consult Outside the Agency</w:t>
      </w:r>
    </w:p>
    <w:p w:rsidR="000D3B2D" w:rsidRDefault="000D3B2D" w:rsidP="000D3B2D">
      <w:pPr>
        <w:ind w:left="720"/>
      </w:pPr>
      <w:r>
        <w:t xml:space="preserve">In the Federal Register of February, 19, 2016 (81 FR 8505), FDA published a 60-day notice requesting public comment on the proposed collection of information.  One </w:t>
      </w:r>
      <w:r w:rsidR="000D45BA">
        <w:t xml:space="preserve">PRA related comment </w:t>
      </w:r>
      <w:r>
        <w:t>was received.</w:t>
      </w:r>
    </w:p>
    <w:p w:rsidR="000D3B2D" w:rsidRDefault="000D3B2D" w:rsidP="000D3B2D">
      <w:pPr>
        <w:ind w:left="720"/>
      </w:pPr>
    </w:p>
    <w:p w:rsidR="000D3B2D" w:rsidRDefault="000D3B2D" w:rsidP="000D3B2D">
      <w:pPr>
        <w:ind w:left="720"/>
      </w:pPr>
      <w:r>
        <w:lastRenderedPageBreak/>
        <w:t>(Comment) The comment believes that warning plans should not be renewed every year, but should remain in force as long as necessary after their approval</w:t>
      </w:r>
      <w:r w:rsidR="000D45BA">
        <w:t>.</w:t>
      </w:r>
    </w:p>
    <w:p w:rsidR="000D45BA" w:rsidRDefault="000D45BA" w:rsidP="000D3B2D">
      <w:pPr>
        <w:ind w:left="720"/>
      </w:pPr>
    </w:p>
    <w:p w:rsidR="000D45BA" w:rsidRDefault="000D3B2D" w:rsidP="000D45BA">
      <w:pPr>
        <w:ind w:left="720"/>
      </w:pPr>
      <w:r>
        <w:t xml:space="preserve">(Response) FDA does not require that a previously FDA-approved warning plan be resubmitted. FDA reviews and approves warning plans only once, unless a submitter seeks to change the distribution or display of warnings on packages or rotation of warnings in advertisements, in which case the submission would be considered a supplement.  The purpose of FDA’s proposed extension is to account for the entry of new smokeless tobacco product brands and advertising onto the market place.  </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CE31CF" w:rsidP="00DD09F5">
      <w:pPr>
        <w:ind w:left="720"/>
      </w:pPr>
      <w:r w:rsidRPr="00CE31CF">
        <w:t>This information collection does not provide for any</w:t>
      </w:r>
      <w:r>
        <w:t xml:space="preserve"> payment or gift to respondents.</w:t>
      </w:r>
    </w:p>
    <w:p w:rsidR="00CD77C3" w:rsidRPr="004C6979" w:rsidRDefault="00EB7538" w:rsidP="00EB7538">
      <w:pPr>
        <w:numPr>
          <w:ilvl w:val="0"/>
          <w:numId w:val="1"/>
        </w:numPr>
        <w:spacing w:before="100" w:beforeAutospacing="1" w:after="100" w:afterAutospacing="1"/>
        <w:rPr>
          <w:u w:val="single"/>
        </w:rPr>
      </w:pPr>
      <w:r w:rsidRPr="004C6979">
        <w:rPr>
          <w:u w:val="single"/>
        </w:rPr>
        <w:t>Assurance of Confidentiality Provided to Respondents</w:t>
      </w:r>
    </w:p>
    <w:p w:rsidR="00107885" w:rsidRPr="009E1DD7" w:rsidRDefault="009E1DD7" w:rsidP="00DD09F5">
      <w:pPr>
        <w:ind w:left="720"/>
      </w:pPr>
      <w:r w:rsidRPr="009E1DD7">
        <w:t>Information submitted under section 3 of the Smokeless Tobacco Act may include, but is not limited to, a company's non-public trade secret or confidential commercial information.  Certain laws govern the confidentiality of warning plan information, including the Freedom of Information Act (FOIA) (5 U.S.C. 552), as well as FDA’s implementing regulations.  FDA’s general regulations concerning the public availability of FDA records are contained in 21 CFR part 20.</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9E1DD7" w:rsidP="00DD09F5">
      <w:pPr>
        <w:ind w:left="720"/>
      </w:pPr>
      <w:r w:rsidRPr="009E1DD7">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9E1DD7" w:rsidRPr="009E1DD7" w:rsidRDefault="009E1DD7" w:rsidP="009E1DD7">
      <w:pPr>
        <w:ind w:left="720"/>
        <w:rPr>
          <w:szCs w:val="20"/>
        </w:rPr>
      </w:pPr>
      <w:r w:rsidRPr="009E1DD7">
        <w:rPr>
          <w:szCs w:val="20"/>
        </w:rPr>
        <w:t xml:space="preserve">In the FEDERAL REGISTER of August 7, 2007 (72 FR 44138), the FTC published a 30-day notice announcing an opportunity for public comment and that the information collection would be sent to OMB for review.  Based on the FTC’s previous experience with the submission of warning plans and FDA’s experience with smokeless tobacco companies (e.g., correspondence associated with user fees under section 919 of the Federal Food, Drug, and Cosmetic Act, as amended by the Tobacco Control Act (21 U.S.C. 387s)), FDA estimates that there are </w:t>
      </w:r>
      <w:r w:rsidR="00652CF4">
        <w:rPr>
          <w:szCs w:val="20"/>
        </w:rPr>
        <w:t>52</w:t>
      </w:r>
      <w:r w:rsidR="00652CF4" w:rsidRPr="009E1DD7">
        <w:rPr>
          <w:szCs w:val="20"/>
        </w:rPr>
        <w:t xml:space="preserve"> </w:t>
      </w:r>
      <w:r w:rsidRPr="009E1DD7">
        <w:rPr>
          <w:szCs w:val="20"/>
        </w:rPr>
        <w:t>companies affected by this information collection. To account for the entry of new smokeless tobacco companies that may be affected by this information collection, FDA is estimating the total number of respondents to be 100.</w:t>
      </w:r>
    </w:p>
    <w:p w:rsidR="009E1DD7" w:rsidRPr="009E1DD7" w:rsidRDefault="009E1DD7" w:rsidP="009E1DD7">
      <w:pPr>
        <w:ind w:left="720"/>
        <w:rPr>
          <w:szCs w:val="20"/>
        </w:rPr>
      </w:pPr>
    </w:p>
    <w:p w:rsidR="004C6979" w:rsidRDefault="009E1DD7" w:rsidP="009E1DD7">
      <w:pPr>
        <w:ind w:left="720"/>
        <w:rPr>
          <w:szCs w:val="20"/>
        </w:rPr>
      </w:pPr>
      <w:r w:rsidRPr="009E1DD7">
        <w:rPr>
          <w:szCs w:val="20"/>
        </w:rPr>
        <w:t>When the FTC requested an extension of their approved information collection in 2007, based on over 20 years implementing the warning plan requirements and taking into account increased computerization and improvements in electronic communication, the FTC estimated submitting an initial plan would take 60 hours. Based on FDA’s experience over the past several years, FDA believes the estimate of 60 hours to complete an initial rotational plan continues to be reasonable.</w:t>
      </w:r>
    </w:p>
    <w:p w:rsidR="009E1DD7" w:rsidRPr="009E1DD7" w:rsidRDefault="009E1DD7" w:rsidP="009E1DD7">
      <w:pPr>
        <w:ind w:left="720"/>
      </w:pPr>
    </w:p>
    <w:p w:rsidR="004C6979" w:rsidRDefault="008B0E29" w:rsidP="00AC6A99">
      <w:pPr>
        <w:ind w:left="720"/>
      </w:pPr>
      <w:r>
        <w:rPr>
          <w:u w:val="single"/>
        </w:rPr>
        <w:t xml:space="preserve">12 a. </w:t>
      </w:r>
      <w:r w:rsidR="00411D11">
        <w:rPr>
          <w:u w:val="single"/>
        </w:rPr>
        <w:t xml:space="preserve">Annualized </w:t>
      </w:r>
      <w:r w:rsidR="004C6979">
        <w:rPr>
          <w:u w:val="single"/>
        </w:rPr>
        <w:t>Hour Burden Estimate</w:t>
      </w:r>
    </w:p>
    <w:p w:rsidR="004C6979" w:rsidRDefault="004C6979" w:rsidP="004C6979"/>
    <w:p w:rsidR="00DC76C7" w:rsidRDefault="009E1DD7" w:rsidP="009E1DD7">
      <w:pPr>
        <w:pStyle w:val="BodyText2"/>
        <w:ind w:left="720"/>
      </w:pPr>
      <w:r w:rsidRPr="009E1DD7">
        <w:t>FDA estimates the burden of this collection of information as follows:</w:t>
      </w:r>
      <w:r w:rsidR="00E00EA0">
        <w:br/>
      </w:r>
    </w:p>
    <w:tbl>
      <w:tblPr>
        <w:tblW w:w="4370"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7"/>
        <w:gridCol w:w="1363"/>
        <w:gridCol w:w="1270"/>
        <w:gridCol w:w="1537"/>
        <w:gridCol w:w="1657"/>
        <w:gridCol w:w="1205"/>
      </w:tblGrid>
      <w:tr w:rsidR="00E65A37" w:rsidRPr="00695DD6" w:rsidTr="000D45BA">
        <w:trPr>
          <w:cantSplit/>
          <w:trHeight w:val="20"/>
          <w:tblHeader/>
        </w:trPr>
        <w:tc>
          <w:tcPr>
            <w:tcW w:w="5000" w:type="pct"/>
            <w:gridSpan w:val="6"/>
            <w:shd w:val="clear" w:color="auto" w:fill="auto"/>
          </w:tcPr>
          <w:p w:rsidR="00E65A37" w:rsidRPr="00695DD6" w:rsidRDefault="00E65A37" w:rsidP="00B86DFA">
            <w:pPr>
              <w:jc w:val="center"/>
            </w:pPr>
            <w:r w:rsidRPr="00695DD6">
              <w:t>Table 1.--Estimated Annual Reporting Burden</w:t>
            </w:r>
            <w:r w:rsidR="008F5E7C" w:rsidRPr="008F5E7C">
              <w:rPr>
                <w:vertAlign w:val="superscript"/>
              </w:rPr>
              <w:t>1</w:t>
            </w:r>
          </w:p>
        </w:tc>
      </w:tr>
      <w:tr w:rsidR="007E2F07" w:rsidRPr="00695DD6" w:rsidTr="000D45BA">
        <w:trPr>
          <w:cantSplit/>
          <w:trHeight w:val="20"/>
          <w:tblHeader/>
        </w:trPr>
        <w:tc>
          <w:tcPr>
            <w:tcW w:w="799" w:type="pct"/>
            <w:shd w:val="clear" w:color="auto" w:fill="auto"/>
          </w:tcPr>
          <w:p w:rsidR="00E65A37" w:rsidRPr="00695DD6" w:rsidRDefault="009E1DD7" w:rsidP="00B86DFA">
            <w:pPr>
              <w:jc w:val="center"/>
            </w:pPr>
            <w:r>
              <w:t>Activity</w:t>
            </w:r>
          </w:p>
        </w:tc>
        <w:tc>
          <w:tcPr>
            <w:tcW w:w="814" w:type="pct"/>
            <w:shd w:val="clear" w:color="auto" w:fill="auto"/>
          </w:tcPr>
          <w:p w:rsidR="00E65A37" w:rsidRPr="00695DD6" w:rsidRDefault="00E65A37" w:rsidP="009E1DD7">
            <w:pPr>
              <w:jc w:val="center"/>
            </w:pPr>
            <w:r w:rsidRPr="00695DD6">
              <w:t>N</w:t>
            </w:r>
            <w:r w:rsidR="009E1DD7">
              <w:t>umber</w:t>
            </w:r>
            <w:r w:rsidRPr="00695DD6">
              <w:t xml:space="preserve"> of </w:t>
            </w:r>
            <w:r w:rsidR="009E1DD7">
              <w:t>r</w:t>
            </w:r>
            <w:r w:rsidRPr="00695DD6">
              <w:t>espondents</w:t>
            </w:r>
          </w:p>
        </w:tc>
        <w:tc>
          <w:tcPr>
            <w:tcW w:w="759" w:type="pct"/>
            <w:shd w:val="clear" w:color="auto" w:fill="auto"/>
          </w:tcPr>
          <w:p w:rsidR="00E65A37" w:rsidRPr="00695DD6" w:rsidRDefault="00E65A37" w:rsidP="009E1DD7">
            <w:pPr>
              <w:jc w:val="center"/>
            </w:pPr>
            <w:r w:rsidRPr="00B86DFA">
              <w:rPr>
                <w:bCs/>
              </w:rPr>
              <w:t>N</w:t>
            </w:r>
            <w:r w:rsidR="009E1DD7">
              <w:rPr>
                <w:bCs/>
              </w:rPr>
              <w:t>umber</w:t>
            </w:r>
            <w:r w:rsidRPr="00B86DFA">
              <w:rPr>
                <w:bCs/>
              </w:rPr>
              <w:t xml:space="preserve"> of </w:t>
            </w:r>
            <w:r w:rsidR="009E1DD7">
              <w:rPr>
                <w:bCs/>
              </w:rPr>
              <w:t>r</w:t>
            </w:r>
            <w:r w:rsidRPr="00B86DFA">
              <w:rPr>
                <w:bCs/>
              </w:rPr>
              <w:t xml:space="preserve">esponses per </w:t>
            </w:r>
            <w:r w:rsidR="009E1DD7">
              <w:rPr>
                <w:bCs/>
              </w:rPr>
              <w:t>r</w:t>
            </w:r>
            <w:r w:rsidRPr="00B86DFA">
              <w:rPr>
                <w:bCs/>
              </w:rPr>
              <w:t>espondent</w:t>
            </w:r>
          </w:p>
        </w:tc>
        <w:tc>
          <w:tcPr>
            <w:tcW w:w="918" w:type="pct"/>
            <w:shd w:val="clear" w:color="auto" w:fill="auto"/>
          </w:tcPr>
          <w:p w:rsidR="00E65A37" w:rsidRPr="00695DD6" w:rsidRDefault="00E65A37" w:rsidP="009E1DD7">
            <w:pPr>
              <w:jc w:val="center"/>
            </w:pPr>
            <w:r w:rsidRPr="00695DD6">
              <w:t xml:space="preserve">Total </w:t>
            </w:r>
            <w:r w:rsidR="009E1DD7">
              <w:t>a</w:t>
            </w:r>
            <w:r w:rsidRPr="00695DD6">
              <w:t xml:space="preserve">nnual </w:t>
            </w:r>
            <w:r w:rsidR="009E1DD7">
              <w:t>r</w:t>
            </w:r>
            <w:r w:rsidRPr="00695DD6">
              <w:t>esponses</w:t>
            </w:r>
          </w:p>
        </w:tc>
        <w:tc>
          <w:tcPr>
            <w:tcW w:w="990" w:type="pct"/>
            <w:shd w:val="clear" w:color="auto" w:fill="auto"/>
          </w:tcPr>
          <w:p w:rsidR="00E65A37" w:rsidRPr="00695DD6" w:rsidRDefault="00E65A37" w:rsidP="009E1DD7">
            <w:pPr>
              <w:jc w:val="center"/>
            </w:pPr>
            <w:r w:rsidRPr="00B86DFA">
              <w:rPr>
                <w:bCs/>
              </w:rPr>
              <w:t xml:space="preserve">Average </w:t>
            </w:r>
            <w:r w:rsidR="009E1DD7">
              <w:rPr>
                <w:bCs/>
              </w:rPr>
              <w:t>b</w:t>
            </w:r>
            <w:r w:rsidRPr="00B86DFA">
              <w:rPr>
                <w:bCs/>
              </w:rPr>
              <w:t xml:space="preserve">urden per </w:t>
            </w:r>
            <w:r w:rsidR="009E1DD7">
              <w:rPr>
                <w:bCs/>
              </w:rPr>
              <w:t>r</w:t>
            </w:r>
            <w:r w:rsidRPr="00B86DFA">
              <w:rPr>
                <w:bCs/>
              </w:rPr>
              <w:t>esponse</w:t>
            </w:r>
          </w:p>
        </w:tc>
        <w:tc>
          <w:tcPr>
            <w:tcW w:w="721" w:type="pct"/>
            <w:shd w:val="clear" w:color="auto" w:fill="auto"/>
          </w:tcPr>
          <w:p w:rsidR="00E65A37" w:rsidRPr="00695DD6" w:rsidRDefault="00E65A37" w:rsidP="009E1DD7">
            <w:pPr>
              <w:jc w:val="center"/>
            </w:pPr>
            <w:r w:rsidRPr="00695DD6">
              <w:t xml:space="preserve">Total </w:t>
            </w:r>
            <w:r w:rsidR="009E1DD7">
              <w:t>h</w:t>
            </w:r>
            <w:r w:rsidRPr="00695DD6">
              <w:t>ours</w:t>
            </w:r>
          </w:p>
        </w:tc>
      </w:tr>
      <w:tr w:rsidR="007E2F07" w:rsidRPr="00695DD6" w:rsidTr="000D45BA">
        <w:trPr>
          <w:cantSplit/>
          <w:trHeight w:val="20"/>
        </w:trPr>
        <w:tc>
          <w:tcPr>
            <w:tcW w:w="799" w:type="pct"/>
            <w:shd w:val="clear" w:color="auto" w:fill="auto"/>
          </w:tcPr>
          <w:p w:rsidR="007E2F07" w:rsidRPr="00695DD6" w:rsidRDefault="009E1DD7" w:rsidP="007E2F07">
            <w:r>
              <w:t>Submission of rotational plans for health warning label statements</w:t>
            </w:r>
          </w:p>
        </w:tc>
        <w:tc>
          <w:tcPr>
            <w:tcW w:w="814" w:type="pct"/>
            <w:shd w:val="clear" w:color="auto" w:fill="auto"/>
          </w:tcPr>
          <w:p w:rsidR="00E65A37" w:rsidRPr="00695DD6" w:rsidRDefault="008F5E7C" w:rsidP="007E2F07">
            <w:r>
              <w:t>100</w:t>
            </w:r>
          </w:p>
        </w:tc>
        <w:tc>
          <w:tcPr>
            <w:tcW w:w="759" w:type="pct"/>
            <w:shd w:val="clear" w:color="auto" w:fill="auto"/>
          </w:tcPr>
          <w:p w:rsidR="00E65A37" w:rsidRPr="00695DD6" w:rsidRDefault="008F5E7C" w:rsidP="007E2F07">
            <w:r>
              <w:t>1</w:t>
            </w:r>
          </w:p>
        </w:tc>
        <w:tc>
          <w:tcPr>
            <w:tcW w:w="918" w:type="pct"/>
            <w:shd w:val="clear" w:color="auto" w:fill="auto"/>
          </w:tcPr>
          <w:p w:rsidR="00E65A37" w:rsidRPr="00695DD6" w:rsidRDefault="008F5E7C" w:rsidP="007E2F07">
            <w:r>
              <w:t>100</w:t>
            </w:r>
          </w:p>
        </w:tc>
        <w:tc>
          <w:tcPr>
            <w:tcW w:w="990" w:type="pct"/>
            <w:shd w:val="clear" w:color="auto" w:fill="auto"/>
          </w:tcPr>
          <w:p w:rsidR="00E65A37" w:rsidRPr="00695DD6" w:rsidRDefault="008F5E7C" w:rsidP="007E2F07">
            <w:r>
              <w:t>60</w:t>
            </w:r>
          </w:p>
        </w:tc>
        <w:tc>
          <w:tcPr>
            <w:tcW w:w="721" w:type="pct"/>
            <w:shd w:val="clear" w:color="auto" w:fill="auto"/>
          </w:tcPr>
          <w:p w:rsidR="00E65A37" w:rsidRPr="00695DD6" w:rsidRDefault="008F5E7C" w:rsidP="007E2F07">
            <w:r>
              <w:t>6,000</w:t>
            </w:r>
          </w:p>
        </w:tc>
      </w:tr>
    </w:tbl>
    <w:p w:rsidR="008F5E7C" w:rsidRPr="001A679F" w:rsidRDefault="008F5E7C" w:rsidP="000D45BA">
      <w:pPr>
        <w:ind w:right="-360" w:firstLine="720"/>
        <w:rPr>
          <w:color w:val="000000"/>
          <w:sz w:val="18"/>
          <w:szCs w:val="18"/>
        </w:rPr>
      </w:pPr>
      <w:r>
        <w:rPr>
          <w:color w:val="000000"/>
          <w:sz w:val="18"/>
          <w:szCs w:val="18"/>
          <w:vertAlign w:val="superscript"/>
        </w:rPr>
        <w:t xml:space="preserve"> </w:t>
      </w:r>
      <w:r w:rsidRPr="001A679F">
        <w:rPr>
          <w:color w:val="000000"/>
          <w:sz w:val="18"/>
          <w:szCs w:val="18"/>
          <w:vertAlign w:val="superscript"/>
        </w:rPr>
        <w:t>1</w:t>
      </w:r>
      <w:r w:rsidRPr="001A679F">
        <w:rPr>
          <w:color w:val="000000"/>
          <w:sz w:val="18"/>
          <w:szCs w:val="18"/>
        </w:rPr>
        <w:t xml:space="preserve"> There are no capital costs or operating and maintenance costs associated with this collection of information</w:t>
      </w:r>
    </w:p>
    <w:p w:rsidR="003740BC" w:rsidRDefault="003740BC" w:rsidP="00A93ED9">
      <w:pPr>
        <w:pStyle w:val="BodyText2"/>
        <w:ind w:left="360"/>
      </w:pPr>
    </w:p>
    <w:p w:rsidR="00A93ED9" w:rsidRDefault="00A93ED9" w:rsidP="00A93ED9">
      <w:pPr>
        <w:pStyle w:val="BodyText2"/>
        <w:ind w:left="360"/>
      </w:pPr>
      <w:r w:rsidRPr="00C75CBF">
        <w:t xml:space="preserve">12b. </w:t>
      </w:r>
      <w:r w:rsidR="00411D11" w:rsidRPr="00C75CBF">
        <w:rPr>
          <w:u w:val="single"/>
        </w:rPr>
        <w:t>Annualized Cost Burden Estimate</w:t>
      </w:r>
    </w:p>
    <w:p w:rsidR="00A93ED9" w:rsidRDefault="00A93ED9" w:rsidP="001D495A">
      <w:pPr>
        <w:pStyle w:val="BodyText2"/>
        <w:ind w:left="720"/>
      </w:pPr>
    </w:p>
    <w:p w:rsidR="000D48FD" w:rsidRDefault="008F5E7C" w:rsidP="001D495A">
      <w:pPr>
        <w:pStyle w:val="BodyText2"/>
        <w:ind w:left="720"/>
      </w:pPr>
      <w:r w:rsidRPr="008F5E7C">
        <w:t xml:space="preserve">The estimated annual reporting cost to respondents for submitting rotational warning plans is $1,218,000.  This estimate is based on the assumption that management or attorneys will account for 80 percent of the estimated 6,000 hours required to draft initial plans, at an hourly </w:t>
      </w:r>
      <w:r w:rsidR="00CD62D4">
        <w:t xml:space="preserve">billing </w:t>
      </w:r>
      <w:r w:rsidRPr="008F5E7C">
        <w:t xml:space="preserve">rate of $250 per hour, and that clerical support will account for the remaining time (20 percent) at an hourly </w:t>
      </w:r>
      <w:r w:rsidR="00CD62D4">
        <w:t xml:space="preserve">billing </w:t>
      </w:r>
      <w:r w:rsidRPr="008F5E7C">
        <w:t>rate of $15. [Management and attorneys’ time (6,000 hours x 0.80 x $250 = $1,200,000) + clerical time (6,000 hours x 0.20 x $15 = $18,000) = $1,218,000.]</w:t>
      </w:r>
    </w:p>
    <w:p w:rsidR="003740BC" w:rsidRDefault="003740BC" w:rsidP="001D495A">
      <w:pPr>
        <w:pStyle w:val="BodyText2"/>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3740BC" w:rsidTr="00B86DFA">
        <w:tc>
          <w:tcPr>
            <w:tcW w:w="2160" w:type="dxa"/>
            <w:shd w:val="clear" w:color="auto" w:fill="auto"/>
          </w:tcPr>
          <w:p w:rsidR="003740BC" w:rsidRDefault="008F5E7C" w:rsidP="00AF08FC">
            <w:pPr>
              <w:jc w:val="center"/>
            </w:pPr>
            <w:r>
              <w:t>Respondent</w:t>
            </w:r>
          </w:p>
        </w:tc>
        <w:tc>
          <w:tcPr>
            <w:tcW w:w="1800" w:type="dxa"/>
            <w:shd w:val="clear" w:color="auto" w:fill="auto"/>
          </w:tcPr>
          <w:p w:rsidR="003740BC" w:rsidRDefault="003740BC" w:rsidP="00AF08FC">
            <w:pPr>
              <w:jc w:val="center"/>
            </w:pPr>
            <w:r>
              <w:t xml:space="preserve">Total </w:t>
            </w:r>
            <w:r w:rsidR="008F5E7C">
              <w:t>b</w:t>
            </w:r>
            <w:r>
              <w:t xml:space="preserve">urden </w:t>
            </w:r>
            <w:r w:rsidR="008F5E7C">
              <w:t>h</w:t>
            </w:r>
            <w:r>
              <w:t>ours</w:t>
            </w:r>
          </w:p>
        </w:tc>
        <w:tc>
          <w:tcPr>
            <w:tcW w:w="2394" w:type="dxa"/>
            <w:shd w:val="clear" w:color="auto" w:fill="auto"/>
          </w:tcPr>
          <w:p w:rsidR="003740BC" w:rsidRDefault="008F5E7C" w:rsidP="00AF08FC">
            <w:pPr>
              <w:jc w:val="center"/>
            </w:pPr>
            <w:r>
              <w:t>Hourly wage grade</w:t>
            </w:r>
          </w:p>
        </w:tc>
        <w:tc>
          <w:tcPr>
            <w:tcW w:w="1926" w:type="dxa"/>
            <w:shd w:val="clear" w:color="auto" w:fill="auto"/>
          </w:tcPr>
          <w:p w:rsidR="003740BC" w:rsidRDefault="008F5E7C" w:rsidP="00AF08FC">
            <w:pPr>
              <w:jc w:val="center"/>
            </w:pPr>
            <w:r>
              <w:t>Total c</w:t>
            </w:r>
            <w:r w:rsidR="003740BC">
              <w:t>osts</w:t>
            </w:r>
          </w:p>
        </w:tc>
      </w:tr>
      <w:tr w:rsidR="00047E01" w:rsidTr="00B86DFA">
        <w:tc>
          <w:tcPr>
            <w:tcW w:w="2160" w:type="dxa"/>
            <w:shd w:val="clear" w:color="auto" w:fill="auto"/>
          </w:tcPr>
          <w:p w:rsidR="00047E01" w:rsidRPr="004C301F" w:rsidRDefault="00047E01" w:rsidP="008D5383">
            <w:pPr>
              <w:tabs>
                <w:tab w:val="left" w:pos="540"/>
                <w:tab w:val="left" w:pos="630"/>
              </w:tabs>
            </w:pPr>
            <w:r w:rsidRPr="004C301F">
              <w:t>Tobacco industry: management and attorneys</w:t>
            </w:r>
          </w:p>
        </w:tc>
        <w:tc>
          <w:tcPr>
            <w:tcW w:w="1800" w:type="dxa"/>
            <w:shd w:val="clear" w:color="auto" w:fill="auto"/>
          </w:tcPr>
          <w:p w:rsidR="00047E01" w:rsidRDefault="00047E01" w:rsidP="00AF08FC">
            <w:pPr>
              <w:jc w:val="center"/>
            </w:pPr>
            <w:r>
              <w:t>4,800</w:t>
            </w:r>
          </w:p>
        </w:tc>
        <w:tc>
          <w:tcPr>
            <w:tcW w:w="2394" w:type="dxa"/>
            <w:shd w:val="clear" w:color="auto" w:fill="auto"/>
          </w:tcPr>
          <w:p w:rsidR="00047E01" w:rsidRDefault="00047E01" w:rsidP="00AF08FC">
            <w:pPr>
              <w:jc w:val="center"/>
            </w:pPr>
            <w:r>
              <w:t>$250</w:t>
            </w:r>
          </w:p>
        </w:tc>
        <w:tc>
          <w:tcPr>
            <w:tcW w:w="1926" w:type="dxa"/>
            <w:shd w:val="clear" w:color="auto" w:fill="auto"/>
          </w:tcPr>
          <w:p w:rsidR="00047E01" w:rsidRDefault="00047E01" w:rsidP="00AF08FC">
            <w:pPr>
              <w:jc w:val="right"/>
            </w:pPr>
            <w:r>
              <w:t>$1,200,000</w:t>
            </w:r>
          </w:p>
        </w:tc>
      </w:tr>
      <w:tr w:rsidR="00047E01" w:rsidTr="00B86DFA">
        <w:tc>
          <w:tcPr>
            <w:tcW w:w="2160" w:type="dxa"/>
            <w:shd w:val="clear" w:color="auto" w:fill="auto"/>
          </w:tcPr>
          <w:p w:rsidR="00047E01" w:rsidRDefault="00047E01" w:rsidP="00047E01">
            <w:r>
              <w:t>Tobacco industry:</w:t>
            </w:r>
          </w:p>
          <w:p w:rsidR="00047E01" w:rsidRDefault="00047E01" w:rsidP="00047E01">
            <w:r>
              <w:t>clerical</w:t>
            </w:r>
          </w:p>
        </w:tc>
        <w:tc>
          <w:tcPr>
            <w:tcW w:w="1800" w:type="dxa"/>
            <w:shd w:val="clear" w:color="auto" w:fill="auto"/>
          </w:tcPr>
          <w:p w:rsidR="00047E01" w:rsidRPr="004C301F" w:rsidRDefault="00047E01" w:rsidP="00AF08FC">
            <w:pPr>
              <w:tabs>
                <w:tab w:val="left" w:pos="540"/>
                <w:tab w:val="left" w:pos="630"/>
              </w:tabs>
              <w:jc w:val="center"/>
            </w:pPr>
            <w:r w:rsidRPr="004C301F">
              <w:t>1,200</w:t>
            </w:r>
          </w:p>
        </w:tc>
        <w:tc>
          <w:tcPr>
            <w:tcW w:w="2394" w:type="dxa"/>
            <w:shd w:val="clear" w:color="auto" w:fill="auto"/>
          </w:tcPr>
          <w:p w:rsidR="00047E01" w:rsidRPr="004C301F" w:rsidRDefault="00047E01" w:rsidP="00AF08FC">
            <w:pPr>
              <w:tabs>
                <w:tab w:val="left" w:pos="540"/>
                <w:tab w:val="left" w:pos="630"/>
              </w:tabs>
              <w:jc w:val="center"/>
            </w:pPr>
            <w:r w:rsidRPr="004C301F">
              <w:t>$15</w:t>
            </w:r>
          </w:p>
        </w:tc>
        <w:tc>
          <w:tcPr>
            <w:tcW w:w="1926" w:type="dxa"/>
            <w:shd w:val="clear" w:color="auto" w:fill="auto"/>
          </w:tcPr>
          <w:p w:rsidR="00047E01" w:rsidRPr="004C301F" w:rsidRDefault="00047E01" w:rsidP="008D5383">
            <w:pPr>
              <w:tabs>
                <w:tab w:val="left" w:pos="540"/>
                <w:tab w:val="left" w:pos="630"/>
              </w:tabs>
              <w:jc w:val="right"/>
            </w:pPr>
            <w:r w:rsidRPr="004C301F">
              <w:t>$18,000</w:t>
            </w:r>
          </w:p>
        </w:tc>
      </w:tr>
      <w:tr w:rsidR="00047E01" w:rsidTr="00B86DFA">
        <w:tc>
          <w:tcPr>
            <w:tcW w:w="6354" w:type="dxa"/>
            <w:gridSpan w:val="3"/>
            <w:shd w:val="clear" w:color="auto" w:fill="auto"/>
          </w:tcPr>
          <w:p w:rsidR="00047E01" w:rsidRDefault="00047E01" w:rsidP="00754497">
            <w:r>
              <w:t>Total</w:t>
            </w:r>
          </w:p>
        </w:tc>
        <w:tc>
          <w:tcPr>
            <w:tcW w:w="1926" w:type="dxa"/>
            <w:shd w:val="clear" w:color="auto" w:fill="auto"/>
          </w:tcPr>
          <w:p w:rsidR="00047E01" w:rsidRPr="004C301F" w:rsidRDefault="00047E01" w:rsidP="008D5383">
            <w:pPr>
              <w:tabs>
                <w:tab w:val="left" w:pos="540"/>
                <w:tab w:val="left" w:pos="630"/>
              </w:tabs>
              <w:jc w:val="right"/>
            </w:pPr>
            <w:r>
              <w:t>$1,218,000</w:t>
            </w:r>
          </w:p>
        </w:tc>
      </w:tr>
    </w:tbl>
    <w:p w:rsidR="003740BC" w:rsidRDefault="003740BC" w:rsidP="00047E01">
      <w:pPr>
        <w:pStyle w:val="BodyText2"/>
      </w:pPr>
    </w:p>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AF08FC" w:rsidRDefault="00AF08FC" w:rsidP="00AF08FC">
      <w:pPr>
        <w:tabs>
          <w:tab w:val="left" w:pos="450"/>
          <w:tab w:val="left" w:pos="720"/>
          <w:tab w:val="left" w:pos="810"/>
        </w:tabs>
        <w:ind w:left="720"/>
      </w:pPr>
      <w:r w:rsidRPr="002035EB">
        <w:t>The requirement</w:t>
      </w:r>
      <w:r>
        <w:t xml:space="preserve"> to submit a warning plan for smokeless tobacco products</w:t>
      </w:r>
      <w:r w:rsidRPr="002035EB">
        <w:t xml:space="preserve"> impose</w:t>
      </w:r>
      <w:r>
        <w:t>s</w:t>
      </w:r>
      <w:r w:rsidRPr="002035EB">
        <w:t xml:space="preserve"> minimal start-up costs. </w:t>
      </w:r>
      <w:r w:rsidR="00CD62D4">
        <w:t>As a normal business practice, t</w:t>
      </w:r>
      <w:r w:rsidRPr="002035EB">
        <w:t>he companies may keep</w:t>
      </w:r>
      <w:r>
        <w:t xml:space="preserve"> </w:t>
      </w:r>
      <w:r w:rsidRPr="002035EB">
        <w:t xml:space="preserve">copies of their plans to </w:t>
      </w:r>
      <w:r w:rsidR="00CD62D4">
        <w:t>document</w:t>
      </w:r>
      <w:r w:rsidR="00CD62D4" w:rsidRPr="002035EB">
        <w:t xml:space="preserve"> </w:t>
      </w:r>
      <w:r w:rsidRPr="002035EB">
        <w:t xml:space="preserve">that </w:t>
      </w:r>
      <w:r>
        <w:t>packaging</w:t>
      </w:r>
      <w:r w:rsidRPr="002035EB">
        <w:t xml:space="preserve"> and advertising complies with the </w:t>
      </w:r>
      <w:r>
        <w:t>r</w:t>
      </w:r>
      <w:r w:rsidRPr="002035EB">
        <w:t xml:space="preserve">equirements of </w:t>
      </w:r>
      <w:r w:rsidRPr="002035EB">
        <w:lastRenderedPageBreak/>
        <w:t>the</w:t>
      </w:r>
      <w:r>
        <w:t xml:space="preserve"> </w:t>
      </w:r>
      <w:r w:rsidRPr="002035EB">
        <w:t xml:space="preserve">Smokeless Tobacco Act. </w:t>
      </w:r>
      <w:r w:rsidR="00CD62D4">
        <w:t xml:space="preserve">This would </w:t>
      </w:r>
      <w:r w:rsidRPr="002035EB">
        <w:t>require the use of office supplies, e.g., file</w:t>
      </w:r>
      <w:r>
        <w:t xml:space="preserve"> </w:t>
      </w:r>
      <w:r w:rsidRPr="002035EB">
        <w:t>folders and paper, all of which the companies should have on hand in the ordinary course of their</w:t>
      </w:r>
      <w:r>
        <w:t xml:space="preserve"> </w:t>
      </w:r>
      <w:r w:rsidRPr="002035EB">
        <w:t>business.</w:t>
      </w:r>
      <w:r>
        <w:t xml:space="preserve"> </w:t>
      </w:r>
      <w:r w:rsidRPr="002035EB">
        <w:t>While companies submitting initial plans may incur one-time capital expenditures for</w:t>
      </w:r>
      <w:r>
        <w:t xml:space="preserve"> </w:t>
      </w:r>
      <w:r w:rsidRPr="002035EB">
        <w:t>equipment used to print package labels</w:t>
      </w:r>
      <w:r>
        <w:t>,</w:t>
      </w:r>
      <w:r w:rsidRPr="002035EB">
        <w:t xml:space="preserve"> or to</w:t>
      </w:r>
      <w:r>
        <w:t xml:space="preserve"> </w:t>
      </w:r>
      <w:r w:rsidRPr="002035EB">
        <w:t>prepare acetates for advertising, in order to include the statutory health warnings</w:t>
      </w:r>
      <w:r>
        <w:t>,</w:t>
      </w:r>
      <w:r w:rsidRPr="002035EB">
        <w:t xml:space="preserve"> the warnings themselves disclose information </w:t>
      </w:r>
      <w:r>
        <w:t>supplied</w:t>
      </w:r>
      <w:r w:rsidRPr="002035EB">
        <w:t xml:space="preserve"> by the </w:t>
      </w:r>
      <w:r>
        <w:t>F</w:t>
      </w:r>
      <w:r w:rsidRPr="002035EB">
        <w:t xml:space="preserve">ederal </w:t>
      </w:r>
      <w:r>
        <w:t>G</w:t>
      </w:r>
      <w:r w:rsidRPr="002035EB">
        <w:t>overnment. As such, the disclosure does not constitute a “collection of</w:t>
      </w:r>
      <w:r>
        <w:t xml:space="preserve"> </w:t>
      </w:r>
      <w:r w:rsidRPr="002035EB">
        <w:t>information” as it is defined in the regulations implementing the PRA, nor, by extension, do the</w:t>
      </w:r>
      <w:r>
        <w:t xml:space="preserve"> </w:t>
      </w:r>
      <w:r w:rsidRPr="002035EB">
        <w:t xml:space="preserve">financial resources expended in relation to it constitute paperwork “burden.” </w:t>
      </w:r>
      <w:r w:rsidR="00652CF4">
        <w:t>(</w:t>
      </w:r>
      <w:r w:rsidRPr="002035EB">
        <w:t>See 5 CFR</w:t>
      </w:r>
      <w:r>
        <w:t xml:space="preserve"> </w:t>
      </w:r>
      <w:r w:rsidRPr="002035EB">
        <w:t>1320.3(c)(2)</w:t>
      </w:r>
      <w:r w:rsidR="00652CF4">
        <w:t>)</w:t>
      </w:r>
      <w:r w:rsidRPr="002035EB">
        <w:t xml:space="preserve">. Moreover, any expenditures relating to the statutory health warning </w:t>
      </w:r>
      <w:r>
        <w:t>r</w:t>
      </w:r>
      <w:r w:rsidRPr="002035EB">
        <w:t>equirements</w:t>
      </w:r>
      <w:r>
        <w:t xml:space="preserve"> </w:t>
      </w:r>
      <w:r w:rsidRPr="002035EB">
        <w:t xml:space="preserve">would likely be minimal. After </w:t>
      </w:r>
      <w:r>
        <w:t>FDA</w:t>
      </w:r>
      <w:r w:rsidRPr="002035EB">
        <w:t xml:space="preserve"> approves a plan for the equal</w:t>
      </w:r>
      <w:r>
        <w:rPr>
          <w:bCs/>
        </w:rPr>
        <w:t xml:space="preserve"> distribution and display of warning statements on packaging, and the quarterly rotation of warning statements in advertising for each brand of smokeless tobacco product, </w:t>
      </w:r>
      <w:r>
        <w:t xml:space="preserve">as </w:t>
      </w:r>
      <w:r w:rsidRPr="002035EB">
        <w:t>required by the Smokeless Tobacco Act, the companies are required</w:t>
      </w:r>
      <w:r>
        <w:t xml:space="preserve"> </w:t>
      </w:r>
      <w:r w:rsidRPr="002035EB">
        <w:t xml:space="preserve">to make additional submissions to </w:t>
      </w:r>
      <w:r>
        <w:t>FDA</w:t>
      </w:r>
      <w:r w:rsidRPr="002035EB">
        <w:t xml:space="preserve"> only if they change the</w:t>
      </w:r>
      <w:r>
        <w:t>ir warning plan</w:t>
      </w:r>
      <w:r w:rsidRPr="002035EB">
        <w:t>. Once companies have prepared the artwork for printing the required</w:t>
      </w:r>
      <w:r>
        <w:t xml:space="preserve"> </w:t>
      </w:r>
      <w:r w:rsidRPr="002035EB">
        <w:t>warnings on package</w:t>
      </w:r>
      <w:r>
        <w:t>s</w:t>
      </w:r>
      <w:r w:rsidRPr="002035EB">
        <w:t>, there is no additional start-up costs associated with the display of</w:t>
      </w:r>
      <w:r>
        <w:t xml:space="preserve"> </w:t>
      </w:r>
      <w:r w:rsidRPr="002035EB">
        <w:t xml:space="preserve">the warnings on packaging. Similarly, once companies have prepared artwork for </w:t>
      </w:r>
      <w:r>
        <w:t>including</w:t>
      </w:r>
      <w:r w:rsidRPr="002035EB">
        <w:t xml:space="preserve"> warnings in advertising, there is no additional start-up costs</w:t>
      </w:r>
      <w:r>
        <w:t xml:space="preserve"> </w:t>
      </w:r>
      <w:r w:rsidRPr="002035EB">
        <w:t>associated with printing the warnings in those materials.</w:t>
      </w:r>
    </w:p>
    <w:p w:rsidR="00AF08FC" w:rsidRDefault="00AF08FC" w:rsidP="00AF08FC">
      <w:pPr>
        <w:ind w:left="1080"/>
      </w:pPr>
    </w:p>
    <w:p w:rsidR="00350523" w:rsidRDefault="00AF08FC" w:rsidP="00AF08FC">
      <w:pPr>
        <w:ind w:left="720"/>
      </w:pPr>
      <w:r w:rsidRPr="001B03A9">
        <w:t>There will likely be small capital costs associated with this collection that pertain to the postage for mailing submissions.  Estimating this cost is problematic because the costs would vary depending on the size/weight of the mailed submission</w:t>
      </w:r>
      <w:r>
        <w:t>.  FDA’s</w:t>
      </w:r>
      <w:r w:rsidRPr="001B03A9">
        <w:t xml:space="preserve"> estimate is based upon all </w:t>
      </w:r>
      <w:r>
        <w:t>100</w:t>
      </w:r>
      <w:r w:rsidRPr="001B03A9">
        <w:t xml:space="preserve"> respondents mailing in their submission at a postage rate of $12 for a </w:t>
      </w:r>
      <w:r>
        <w:t>5-</w:t>
      </w:r>
      <w:r w:rsidRPr="001B03A9">
        <w:t>pound parcel (business parcel post mail delivered from the furthest delivery zone).</w:t>
      </w:r>
      <w:r>
        <w:t xml:space="preserve"> </w:t>
      </w:r>
      <w:r w:rsidRPr="00DA02B7">
        <w:t>Therefore</w:t>
      </w:r>
      <w:r>
        <w:t xml:space="preserve"> due to the increase in respondents, </w:t>
      </w:r>
      <w:r w:rsidRPr="00DA02B7">
        <w:t xml:space="preserve">FDA estimates that the total postage cost for mailing the rotational warning plans </w:t>
      </w:r>
      <w:r>
        <w:t>will be $1,200</w:t>
      </w:r>
      <w:r w:rsidR="00652CF4">
        <w:t>.</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8638BE" w:rsidRPr="008638BE" w:rsidRDefault="008638BE" w:rsidP="008638BE">
      <w:pPr>
        <w:pStyle w:val="BodyText2"/>
        <w:ind w:left="720"/>
        <w:rPr>
          <w:szCs w:val="24"/>
        </w:rPr>
      </w:pPr>
      <w:r w:rsidRPr="008638BE">
        <w:rPr>
          <w:szCs w:val="24"/>
        </w:rPr>
        <w:t xml:space="preserve">FDA anticipates that the Federal Government will incur the following costs: </w:t>
      </w:r>
    </w:p>
    <w:p w:rsidR="008638BE" w:rsidRPr="008638BE" w:rsidRDefault="008638BE" w:rsidP="008638BE">
      <w:pPr>
        <w:pStyle w:val="BodyText2"/>
        <w:ind w:left="720"/>
        <w:rPr>
          <w:szCs w:val="24"/>
        </w:rPr>
      </w:pPr>
    </w:p>
    <w:p w:rsidR="008638BE" w:rsidRPr="008638BE" w:rsidRDefault="008638BE" w:rsidP="008638BE">
      <w:pPr>
        <w:pStyle w:val="BodyText2"/>
        <w:ind w:left="720"/>
        <w:rPr>
          <w:szCs w:val="24"/>
        </w:rPr>
      </w:pPr>
      <w:r w:rsidRPr="008638BE">
        <w:rPr>
          <w:szCs w:val="24"/>
        </w:rPr>
        <w:t>Staff Costs:</w:t>
      </w:r>
    </w:p>
    <w:p w:rsidR="008638BE" w:rsidRPr="008638BE" w:rsidRDefault="008638BE" w:rsidP="008638BE">
      <w:pPr>
        <w:pStyle w:val="BodyText2"/>
        <w:ind w:left="720"/>
        <w:rPr>
          <w:szCs w:val="24"/>
        </w:rPr>
      </w:pPr>
      <w:r w:rsidRPr="008638BE">
        <w:rPr>
          <w:szCs w:val="24"/>
        </w:rPr>
        <w:t>Full-time Equivalents (FTE) = 50 percent of 1 full time equivalent</w:t>
      </w:r>
    </w:p>
    <w:p w:rsidR="008638BE" w:rsidRPr="008638BE" w:rsidRDefault="008638BE" w:rsidP="008638BE">
      <w:pPr>
        <w:pStyle w:val="BodyText2"/>
        <w:ind w:left="720"/>
        <w:rPr>
          <w:szCs w:val="24"/>
        </w:rPr>
      </w:pPr>
      <w:r w:rsidRPr="008638BE">
        <w:rPr>
          <w:szCs w:val="24"/>
        </w:rPr>
        <w:t xml:space="preserve">Annual Cost per FTE=$116,000 </w:t>
      </w:r>
    </w:p>
    <w:p w:rsidR="008638BE" w:rsidRPr="008638BE" w:rsidRDefault="008638BE" w:rsidP="008638BE">
      <w:pPr>
        <w:pStyle w:val="BodyText2"/>
        <w:ind w:left="720"/>
        <w:rPr>
          <w:szCs w:val="24"/>
        </w:rPr>
      </w:pPr>
      <w:r w:rsidRPr="008638BE">
        <w:rPr>
          <w:szCs w:val="24"/>
        </w:rPr>
        <w:t>Total Annual Cost to the Federal Government = $58,000</w:t>
      </w:r>
    </w:p>
    <w:p w:rsidR="008638BE" w:rsidRPr="008638BE" w:rsidRDefault="008638BE" w:rsidP="008638BE">
      <w:pPr>
        <w:pStyle w:val="BodyText2"/>
        <w:ind w:left="720"/>
        <w:rPr>
          <w:szCs w:val="24"/>
        </w:rPr>
      </w:pPr>
    </w:p>
    <w:p w:rsidR="00A70426" w:rsidRDefault="008638BE" w:rsidP="008638BE">
      <w:pPr>
        <w:pStyle w:val="BodyText2"/>
        <w:ind w:left="720"/>
      </w:pPr>
      <w:r w:rsidRPr="008638BE">
        <w:rPr>
          <w:szCs w:val="24"/>
        </w:rPr>
        <w:t>FDA estimates that the current year’s cost of implementing this requirement is approximately $58,000.  This estimate is based on the assumption that approximately 50 percent of an FTE’s work year is devoted to administering the requirements. The salary rate of $116,000 includes salary, benefits, overhead, technical staff, support staff, etc.  This annual rate was determined by the Agency’s current estimates of staff expenses.</w:t>
      </w:r>
    </w:p>
    <w:p w:rsidR="004C6979" w:rsidRPr="004C6979" w:rsidRDefault="00EB7538" w:rsidP="00EB7538">
      <w:pPr>
        <w:numPr>
          <w:ilvl w:val="0"/>
          <w:numId w:val="1"/>
        </w:numPr>
        <w:spacing w:before="100" w:beforeAutospacing="1" w:after="100" w:afterAutospacing="1"/>
        <w:rPr>
          <w:u w:val="single"/>
        </w:rPr>
      </w:pPr>
      <w:r w:rsidRPr="004C6979">
        <w:rPr>
          <w:u w:val="single"/>
        </w:rPr>
        <w:t>Explanation for Program Changes or Adjustments</w:t>
      </w:r>
    </w:p>
    <w:p w:rsidR="00AF08FC" w:rsidRDefault="00C11955" w:rsidP="00174460">
      <w:pPr>
        <w:pStyle w:val="BodyTextIndent"/>
        <w:ind w:left="720"/>
      </w:pPr>
      <w:r>
        <w:t>There are no changes to this collection.</w:t>
      </w:r>
    </w:p>
    <w:p w:rsidR="004C6979" w:rsidRPr="004C6979" w:rsidRDefault="00EB7538" w:rsidP="00EB7538">
      <w:pPr>
        <w:numPr>
          <w:ilvl w:val="0"/>
          <w:numId w:val="1"/>
        </w:numPr>
        <w:spacing w:before="100" w:beforeAutospacing="1" w:after="100" w:afterAutospacing="1"/>
        <w:rPr>
          <w:u w:val="single"/>
        </w:rPr>
      </w:pPr>
      <w:r w:rsidRPr="004C6979">
        <w:rPr>
          <w:u w:val="single"/>
        </w:rPr>
        <w:lastRenderedPageBreak/>
        <w:t>Plans for Tabulation and Publication and Project Time Schedule</w:t>
      </w:r>
    </w:p>
    <w:p w:rsidR="003C4EBB" w:rsidRDefault="00AF08FC" w:rsidP="00AF08FC">
      <w:pPr>
        <w:ind w:left="720"/>
      </w:pPr>
      <w:r w:rsidRPr="00AF08FC">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AF08FC" w:rsidP="00D730BF">
      <w:pPr>
        <w:ind w:left="720"/>
      </w:pPr>
      <w:r w:rsidRPr="00AF08FC">
        <w:t>FDA is not requesting an exemption for display of the OMB expiration date.</w:t>
      </w: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2746DB" w:rsidRPr="00891C55" w:rsidRDefault="00891C55" w:rsidP="00891C55">
      <w:pPr>
        <w:spacing w:before="100" w:beforeAutospacing="1" w:after="100" w:afterAutospacing="1"/>
        <w:ind w:left="720"/>
      </w:pPr>
      <w:r w:rsidRPr="00891C55">
        <w:t>No exceptions to the certification statement were identified.</w:t>
      </w:r>
      <w:r>
        <w:t xml:space="preserve"> </w:t>
      </w:r>
    </w:p>
    <w:sectPr w:rsidR="002746DB" w:rsidRPr="00891C55" w:rsidSect="00EB7538">
      <w:footerReference w:type="even"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157" w:rsidRDefault="00F65157">
      <w:r>
        <w:separator/>
      </w:r>
    </w:p>
  </w:endnote>
  <w:endnote w:type="continuationSeparator" w:id="0">
    <w:p w:rsidR="00F65157" w:rsidRDefault="00F6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3DE5" w:rsidRDefault="00E63D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4698">
      <w:rPr>
        <w:rStyle w:val="PageNumber"/>
        <w:noProof/>
      </w:rPr>
      <w:t>1</w:t>
    </w:r>
    <w:r>
      <w:rPr>
        <w:rStyle w:val="PageNumber"/>
      </w:rPr>
      <w:fldChar w:fldCharType="end"/>
    </w:r>
  </w:p>
  <w:p w:rsidR="00E63DE5" w:rsidRDefault="00E63D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157" w:rsidRDefault="00F65157">
      <w:r>
        <w:separator/>
      </w:r>
    </w:p>
  </w:footnote>
  <w:footnote w:type="continuationSeparator" w:id="0">
    <w:p w:rsidR="00F65157" w:rsidRDefault="00F6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0"/>
  </w:num>
  <w:num w:numId="5">
    <w:abstractNumId w:val="7"/>
  </w:num>
  <w:num w:numId="6">
    <w:abstractNumId w:val="22"/>
  </w:num>
  <w:num w:numId="7">
    <w:abstractNumId w:val="27"/>
  </w:num>
  <w:num w:numId="8">
    <w:abstractNumId w:val="4"/>
  </w:num>
  <w:num w:numId="9">
    <w:abstractNumId w:val="23"/>
  </w:num>
  <w:num w:numId="10">
    <w:abstractNumId w:val="19"/>
  </w:num>
  <w:num w:numId="11">
    <w:abstractNumId w:val="9"/>
  </w:num>
  <w:num w:numId="12">
    <w:abstractNumId w:val="30"/>
  </w:num>
  <w:num w:numId="13">
    <w:abstractNumId w:val="18"/>
  </w:num>
  <w:num w:numId="14">
    <w:abstractNumId w:val="8"/>
  </w:num>
  <w:num w:numId="15">
    <w:abstractNumId w:val="14"/>
  </w:num>
  <w:num w:numId="16">
    <w:abstractNumId w:val="13"/>
  </w:num>
  <w:num w:numId="17">
    <w:abstractNumId w:val="26"/>
  </w:num>
  <w:num w:numId="18">
    <w:abstractNumId w:val="29"/>
  </w:num>
  <w:num w:numId="19">
    <w:abstractNumId w:val="28"/>
  </w:num>
  <w:num w:numId="20">
    <w:abstractNumId w:val="17"/>
  </w:num>
  <w:num w:numId="21">
    <w:abstractNumId w:val="12"/>
  </w:num>
  <w:num w:numId="22">
    <w:abstractNumId w:val="3"/>
  </w:num>
  <w:num w:numId="23">
    <w:abstractNumId w:val="24"/>
  </w:num>
  <w:num w:numId="24">
    <w:abstractNumId w:val="21"/>
  </w:num>
  <w:num w:numId="25">
    <w:abstractNumId w:val="11"/>
  </w:num>
  <w:num w:numId="26">
    <w:abstractNumId w:val="6"/>
  </w:num>
  <w:num w:numId="27">
    <w:abstractNumId w:val="31"/>
  </w:num>
  <w:num w:numId="28">
    <w:abstractNumId w:val="25"/>
  </w:num>
  <w:num w:numId="29">
    <w:abstractNumId w:val="5"/>
  </w:num>
  <w:num w:numId="30">
    <w:abstractNumId w:val="16"/>
  </w:num>
  <w:num w:numId="31">
    <w:abstractNumId w:val="2"/>
  </w:num>
  <w:num w:numId="32">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5A72"/>
    <w:rsid w:val="00010E93"/>
    <w:rsid w:val="00047E01"/>
    <w:rsid w:val="0006570F"/>
    <w:rsid w:val="000C560C"/>
    <w:rsid w:val="000D3B2D"/>
    <w:rsid w:val="000D45BA"/>
    <w:rsid w:val="000D48FD"/>
    <w:rsid w:val="000E1C64"/>
    <w:rsid w:val="000F7119"/>
    <w:rsid w:val="00100739"/>
    <w:rsid w:val="00107885"/>
    <w:rsid w:val="00114FC4"/>
    <w:rsid w:val="0012329C"/>
    <w:rsid w:val="00134FA7"/>
    <w:rsid w:val="00137950"/>
    <w:rsid w:val="00152F29"/>
    <w:rsid w:val="00174460"/>
    <w:rsid w:val="00185270"/>
    <w:rsid w:val="001A3B5A"/>
    <w:rsid w:val="001B7CE9"/>
    <w:rsid w:val="001D495A"/>
    <w:rsid w:val="001E244C"/>
    <w:rsid w:val="001F1437"/>
    <w:rsid w:val="00221EBF"/>
    <w:rsid w:val="002259EF"/>
    <w:rsid w:val="00242ED1"/>
    <w:rsid w:val="00254069"/>
    <w:rsid w:val="002734E5"/>
    <w:rsid w:val="002746DB"/>
    <w:rsid w:val="00280CAF"/>
    <w:rsid w:val="00282F09"/>
    <w:rsid w:val="002A1210"/>
    <w:rsid w:val="002D14D8"/>
    <w:rsid w:val="002D4799"/>
    <w:rsid w:val="002E3FA4"/>
    <w:rsid w:val="003113FF"/>
    <w:rsid w:val="0032277F"/>
    <w:rsid w:val="00350523"/>
    <w:rsid w:val="00364E8D"/>
    <w:rsid w:val="003740BC"/>
    <w:rsid w:val="003801A3"/>
    <w:rsid w:val="00383D90"/>
    <w:rsid w:val="003B42B3"/>
    <w:rsid w:val="003B6384"/>
    <w:rsid w:val="003C4EBB"/>
    <w:rsid w:val="003D1531"/>
    <w:rsid w:val="003E4EC6"/>
    <w:rsid w:val="003E527E"/>
    <w:rsid w:val="003E553E"/>
    <w:rsid w:val="003E7078"/>
    <w:rsid w:val="003F3DF5"/>
    <w:rsid w:val="00411D11"/>
    <w:rsid w:val="00415E23"/>
    <w:rsid w:val="0041670D"/>
    <w:rsid w:val="00424061"/>
    <w:rsid w:val="00442A3C"/>
    <w:rsid w:val="00443969"/>
    <w:rsid w:val="00447D74"/>
    <w:rsid w:val="00450A74"/>
    <w:rsid w:val="004546BF"/>
    <w:rsid w:val="00465350"/>
    <w:rsid w:val="004846BF"/>
    <w:rsid w:val="004C6979"/>
    <w:rsid w:val="004D3E7A"/>
    <w:rsid w:val="00544138"/>
    <w:rsid w:val="00584583"/>
    <w:rsid w:val="005A4099"/>
    <w:rsid w:val="005C38B2"/>
    <w:rsid w:val="005C5029"/>
    <w:rsid w:val="005C55C2"/>
    <w:rsid w:val="005C745C"/>
    <w:rsid w:val="005D4DF5"/>
    <w:rsid w:val="005E6E13"/>
    <w:rsid w:val="00610EC2"/>
    <w:rsid w:val="00611D6B"/>
    <w:rsid w:val="00623BBE"/>
    <w:rsid w:val="00652CF4"/>
    <w:rsid w:val="00694698"/>
    <w:rsid w:val="006A26C6"/>
    <w:rsid w:val="006A7D5D"/>
    <w:rsid w:val="006D5D57"/>
    <w:rsid w:val="006D6FCE"/>
    <w:rsid w:val="006F4D6D"/>
    <w:rsid w:val="00705086"/>
    <w:rsid w:val="00754497"/>
    <w:rsid w:val="00787C39"/>
    <w:rsid w:val="00795DF3"/>
    <w:rsid w:val="007A373C"/>
    <w:rsid w:val="007B225C"/>
    <w:rsid w:val="007C75B1"/>
    <w:rsid w:val="007D3DFC"/>
    <w:rsid w:val="007E2F07"/>
    <w:rsid w:val="007F0A08"/>
    <w:rsid w:val="0080776D"/>
    <w:rsid w:val="00810145"/>
    <w:rsid w:val="008108FA"/>
    <w:rsid w:val="00810FF1"/>
    <w:rsid w:val="00822336"/>
    <w:rsid w:val="00823DFA"/>
    <w:rsid w:val="00843752"/>
    <w:rsid w:val="0085725E"/>
    <w:rsid w:val="008638BE"/>
    <w:rsid w:val="00885B09"/>
    <w:rsid w:val="00891C55"/>
    <w:rsid w:val="00892400"/>
    <w:rsid w:val="008A209D"/>
    <w:rsid w:val="008B0E29"/>
    <w:rsid w:val="008B0EFA"/>
    <w:rsid w:val="008B30AB"/>
    <w:rsid w:val="008F5E7C"/>
    <w:rsid w:val="00905DEF"/>
    <w:rsid w:val="00913B43"/>
    <w:rsid w:val="00930203"/>
    <w:rsid w:val="009311D2"/>
    <w:rsid w:val="009311E6"/>
    <w:rsid w:val="00931275"/>
    <w:rsid w:val="00936AC7"/>
    <w:rsid w:val="0095261E"/>
    <w:rsid w:val="00953B64"/>
    <w:rsid w:val="009A1674"/>
    <w:rsid w:val="009C0B7B"/>
    <w:rsid w:val="009C684F"/>
    <w:rsid w:val="009D074C"/>
    <w:rsid w:val="009E1DD7"/>
    <w:rsid w:val="009F2B4F"/>
    <w:rsid w:val="009F66B5"/>
    <w:rsid w:val="00A16221"/>
    <w:rsid w:val="00A20A7D"/>
    <w:rsid w:val="00A35D42"/>
    <w:rsid w:val="00A46CCF"/>
    <w:rsid w:val="00A53451"/>
    <w:rsid w:val="00A70426"/>
    <w:rsid w:val="00A73337"/>
    <w:rsid w:val="00A90D69"/>
    <w:rsid w:val="00A91E9A"/>
    <w:rsid w:val="00A93ED9"/>
    <w:rsid w:val="00A96221"/>
    <w:rsid w:val="00AA62CA"/>
    <w:rsid w:val="00AC6A99"/>
    <w:rsid w:val="00AF08FC"/>
    <w:rsid w:val="00B055EF"/>
    <w:rsid w:val="00B23769"/>
    <w:rsid w:val="00B81808"/>
    <w:rsid w:val="00B86DFA"/>
    <w:rsid w:val="00B936D0"/>
    <w:rsid w:val="00BB4ED1"/>
    <w:rsid w:val="00BE3600"/>
    <w:rsid w:val="00C01F6F"/>
    <w:rsid w:val="00C11955"/>
    <w:rsid w:val="00C149AB"/>
    <w:rsid w:val="00C40694"/>
    <w:rsid w:val="00C70542"/>
    <w:rsid w:val="00C75CBF"/>
    <w:rsid w:val="00CC2894"/>
    <w:rsid w:val="00CD62D4"/>
    <w:rsid w:val="00CD77C3"/>
    <w:rsid w:val="00CE112C"/>
    <w:rsid w:val="00CE31CF"/>
    <w:rsid w:val="00CF4C3A"/>
    <w:rsid w:val="00CF55D4"/>
    <w:rsid w:val="00D608DA"/>
    <w:rsid w:val="00D730BF"/>
    <w:rsid w:val="00DC76C7"/>
    <w:rsid w:val="00DD09F5"/>
    <w:rsid w:val="00DD4201"/>
    <w:rsid w:val="00DE5711"/>
    <w:rsid w:val="00DF3518"/>
    <w:rsid w:val="00E00EA0"/>
    <w:rsid w:val="00E26758"/>
    <w:rsid w:val="00E4357B"/>
    <w:rsid w:val="00E63DE5"/>
    <w:rsid w:val="00E65A37"/>
    <w:rsid w:val="00E77B48"/>
    <w:rsid w:val="00E91799"/>
    <w:rsid w:val="00EA21FE"/>
    <w:rsid w:val="00EA34E3"/>
    <w:rsid w:val="00EB7538"/>
    <w:rsid w:val="00F207A4"/>
    <w:rsid w:val="00F355AC"/>
    <w:rsid w:val="00F45C00"/>
    <w:rsid w:val="00F65157"/>
    <w:rsid w:val="00F71A5A"/>
    <w:rsid w:val="00F769E0"/>
    <w:rsid w:val="00FC6BDE"/>
    <w:rsid w:val="00FE0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2Char">
    <w:name w:val="Body Text 2 Char"/>
    <w:basedOn w:val="DefaultParagraphFont"/>
    <w:link w:val="BodyText2"/>
    <w:rsid w:val="00610EC2"/>
    <w:rPr>
      <w:sz w:val="24"/>
    </w:rPr>
  </w:style>
  <w:style w:type="paragraph" w:styleId="FootnoteText">
    <w:name w:val="footnote text"/>
    <w:basedOn w:val="Normal"/>
    <w:link w:val="FootnoteTextChar"/>
    <w:rsid w:val="00610EC2"/>
    <w:rPr>
      <w:sz w:val="20"/>
      <w:szCs w:val="20"/>
    </w:rPr>
  </w:style>
  <w:style w:type="character" w:customStyle="1" w:styleId="FootnoteTextChar">
    <w:name w:val="Footnote Text Char"/>
    <w:basedOn w:val="DefaultParagraphFont"/>
    <w:link w:val="FootnoteText"/>
    <w:rsid w:val="00610EC2"/>
  </w:style>
  <w:style w:type="character" w:styleId="FootnoteReference">
    <w:name w:val="footnote reference"/>
    <w:rsid w:val="00610EC2"/>
    <w:rPr>
      <w:vertAlign w:val="superscript"/>
    </w:rPr>
  </w:style>
  <w:style w:type="character" w:styleId="Hyperlink">
    <w:name w:val="Hyperlink"/>
    <w:rsid w:val="00610EC2"/>
    <w:rPr>
      <w:color w:val="0000FF"/>
      <w:u w:val="single"/>
    </w:rPr>
  </w:style>
  <w:style w:type="character" w:styleId="FollowedHyperlink">
    <w:name w:val="FollowedHyperlink"/>
    <w:basedOn w:val="DefaultParagraphFont"/>
    <w:rsid w:val="00610EC2"/>
    <w:rPr>
      <w:color w:val="800080" w:themeColor="followedHyperlink"/>
      <w:u w:val="single"/>
    </w:rPr>
  </w:style>
  <w:style w:type="character" w:styleId="CommentReference">
    <w:name w:val="annotation reference"/>
    <w:basedOn w:val="DefaultParagraphFont"/>
    <w:rsid w:val="009C0B7B"/>
    <w:rPr>
      <w:sz w:val="16"/>
      <w:szCs w:val="16"/>
    </w:rPr>
  </w:style>
  <w:style w:type="paragraph" w:styleId="CommentText">
    <w:name w:val="annotation text"/>
    <w:basedOn w:val="Normal"/>
    <w:link w:val="CommentTextChar"/>
    <w:rsid w:val="009C0B7B"/>
    <w:rPr>
      <w:sz w:val="20"/>
      <w:szCs w:val="20"/>
    </w:rPr>
  </w:style>
  <w:style w:type="character" w:customStyle="1" w:styleId="CommentTextChar">
    <w:name w:val="Comment Text Char"/>
    <w:basedOn w:val="DefaultParagraphFont"/>
    <w:link w:val="CommentText"/>
    <w:rsid w:val="009C0B7B"/>
  </w:style>
  <w:style w:type="paragraph" w:styleId="CommentSubject">
    <w:name w:val="annotation subject"/>
    <w:basedOn w:val="CommentText"/>
    <w:next w:val="CommentText"/>
    <w:link w:val="CommentSubjectChar"/>
    <w:rsid w:val="009C0B7B"/>
    <w:rPr>
      <w:b/>
      <w:bCs/>
    </w:rPr>
  </w:style>
  <w:style w:type="character" w:customStyle="1" w:styleId="CommentSubjectChar">
    <w:name w:val="Comment Subject Char"/>
    <w:basedOn w:val="CommentTextChar"/>
    <w:link w:val="CommentSubject"/>
    <w:rsid w:val="009C0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customStyle="1" w:styleId="BodyText2Char">
    <w:name w:val="Body Text 2 Char"/>
    <w:basedOn w:val="DefaultParagraphFont"/>
    <w:link w:val="BodyText2"/>
    <w:rsid w:val="00610EC2"/>
    <w:rPr>
      <w:sz w:val="24"/>
    </w:rPr>
  </w:style>
  <w:style w:type="paragraph" w:styleId="FootnoteText">
    <w:name w:val="footnote text"/>
    <w:basedOn w:val="Normal"/>
    <w:link w:val="FootnoteTextChar"/>
    <w:rsid w:val="00610EC2"/>
    <w:rPr>
      <w:sz w:val="20"/>
      <w:szCs w:val="20"/>
    </w:rPr>
  </w:style>
  <w:style w:type="character" w:customStyle="1" w:styleId="FootnoteTextChar">
    <w:name w:val="Footnote Text Char"/>
    <w:basedOn w:val="DefaultParagraphFont"/>
    <w:link w:val="FootnoteText"/>
    <w:rsid w:val="00610EC2"/>
  </w:style>
  <w:style w:type="character" w:styleId="FootnoteReference">
    <w:name w:val="footnote reference"/>
    <w:rsid w:val="00610EC2"/>
    <w:rPr>
      <w:vertAlign w:val="superscript"/>
    </w:rPr>
  </w:style>
  <w:style w:type="character" w:styleId="Hyperlink">
    <w:name w:val="Hyperlink"/>
    <w:rsid w:val="00610EC2"/>
    <w:rPr>
      <w:color w:val="0000FF"/>
      <w:u w:val="single"/>
    </w:rPr>
  </w:style>
  <w:style w:type="character" w:styleId="FollowedHyperlink">
    <w:name w:val="FollowedHyperlink"/>
    <w:basedOn w:val="DefaultParagraphFont"/>
    <w:rsid w:val="00610EC2"/>
    <w:rPr>
      <w:color w:val="800080" w:themeColor="followedHyperlink"/>
      <w:u w:val="single"/>
    </w:rPr>
  </w:style>
  <w:style w:type="character" w:styleId="CommentReference">
    <w:name w:val="annotation reference"/>
    <w:basedOn w:val="DefaultParagraphFont"/>
    <w:rsid w:val="009C0B7B"/>
    <w:rPr>
      <w:sz w:val="16"/>
      <w:szCs w:val="16"/>
    </w:rPr>
  </w:style>
  <w:style w:type="paragraph" w:styleId="CommentText">
    <w:name w:val="annotation text"/>
    <w:basedOn w:val="Normal"/>
    <w:link w:val="CommentTextChar"/>
    <w:rsid w:val="009C0B7B"/>
    <w:rPr>
      <w:sz w:val="20"/>
      <w:szCs w:val="20"/>
    </w:rPr>
  </w:style>
  <w:style w:type="character" w:customStyle="1" w:styleId="CommentTextChar">
    <w:name w:val="Comment Text Char"/>
    <w:basedOn w:val="DefaultParagraphFont"/>
    <w:link w:val="CommentText"/>
    <w:rsid w:val="009C0B7B"/>
  </w:style>
  <w:style w:type="paragraph" w:styleId="CommentSubject">
    <w:name w:val="annotation subject"/>
    <w:basedOn w:val="CommentText"/>
    <w:next w:val="CommentText"/>
    <w:link w:val="CommentSubjectChar"/>
    <w:rsid w:val="009C0B7B"/>
    <w:rPr>
      <w:b/>
      <w:bCs/>
    </w:rPr>
  </w:style>
  <w:style w:type="character" w:customStyle="1" w:styleId="CommentSubjectChar">
    <w:name w:val="Comment Subject Char"/>
    <w:basedOn w:val="CommentTextChar"/>
    <w:link w:val="CommentSubject"/>
    <w:rsid w:val="009C0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1893</Words>
  <Characters>10628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Sanford, Amber</dc:creator>
  <cp:lastModifiedBy>Sanford, Amber</cp:lastModifiedBy>
  <cp:revision>2</cp:revision>
  <cp:lastPrinted>2013-10-24T17:23:00Z</cp:lastPrinted>
  <dcterms:created xsi:type="dcterms:W3CDTF">2016-08-01T15:15:00Z</dcterms:created>
  <dcterms:modified xsi:type="dcterms:W3CDTF">2016-08-01T15:15:00Z</dcterms:modified>
</cp:coreProperties>
</file>