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9D" w:rsidRPr="001C2A2F" w:rsidRDefault="00644D9D" w:rsidP="00644D9D">
      <w:pPr>
        <w:jc w:val="center"/>
        <w:rPr>
          <w:rFonts w:asciiTheme="minorHAnsi" w:eastAsia="Garamond" w:hAnsiTheme="minorHAnsi" w:cs="Garamond"/>
          <w:b/>
          <w:color w:val="000000"/>
          <w:sz w:val="22"/>
          <w:szCs w:val="22"/>
        </w:rPr>
      </w:pPr>
      <w:r>
        <w:rPr>
          <w:rFonts w:asciiTheme="minorHAnsi" w:hAnsiTheme="minorHAnsi"/>
          <w:b/>
          <w:sz w:val="22"/>
          <w:szCs w:val="22"/>
        </w:rPr>
        <w:t>Online Testing of Respondent Messaging</w:t>
      </w:r>
    </w:p>
    <w:p w:rsidR="00644D9D" w:rsidRPr="001C2A2F" w:rsidRDefault="00644D9D" w:rsidP="00644D9D">
      <w:pPr>
        <w:rPr>
          <w:rFonts w:asciiTheme="minorHAnsi" w:eastAsia="Garamond" w:hAnsiTheme="minorHAnsi" w:cs="Garamond"/>
          <w:b/>
          <w:color w:val="000000"/>
          <w:sz w:val="22"/>
          <w:szCs w:val="22"/>
        </w:rPr>
      </w:pPr>
      <w:r w:rsidRPr="001C2A2F">
        <w:rPr>
          <w:rFonts w:asciiTheme="minorHAnsi" w:eastAsia="Garamond" w:hAnsiTheme="minorHAnsi" w:cs="Garamond"/>
          <w:b/>
          <w:color w:val="000000"/>
          <w:sz w:val="22"/>
          <w:szCs w:val="22"/>
        </w:rPr>
        <w:t>Background</w:t>
      </w:r>
    </w:p>
    <w:p w:rsidR="00644D9D" w:rsidRPr="001C2A2F" w:rsidRDefault="00644D9D" w:rsidP="00644D9D">
      <w:pPr>
        <w:tabs>
          <w:tab w:val="right" w:pos="9360"/>
        </w:tabs>
        <w:rPr>
          <w:rFonts w:asciiTheme="minorHAnsi" w:hAnsiTheme="minorHAnsi"/>
          <w:sz w:val="22"/>
          <w:szCs w:val="22"/>
        </w:rPr>
      </w:pPr>
    </w:p>
    <w:p w:rsidR="00644D9D" w:rsidRDefault="00644D9D" w:rsidP="00644D9D">
      <w:pPr>
        <w:spacing w:line="276" w:lineRule="auto"/>
        <w:rPr>
          <w:rFonts w:asciiTheme="minorHAnsi" w:hAnsiTheme="minorHAnsi"/>
          <w:color w:val="000000"/>
          <w:sz w:val="22"/>
          <w:szCs w:val="22"/>
        </w:rPr>
      </w:pPr>
      <w:r>
        <w:rPr>
          <w:rFonts w:asciiTheme="minorHAnsi" w:hAnsiTheme="minorHAnsi"/>
          <w:sz w:val="22"/>
        </w:rPr>
        <w:t xml:space="preserve">In late 2015/early 2016, researchers from the Center for Survey Measurement (CSM) conducted research </w:t>
      </w:r>
      <w:r w:rsidRPr="00D76358">
        <w:rPr>
          <w:rFonts w:asciiTheme="minorHAnsi" w:hAnsiTheme="minorHAnsi"/>
          <w:color w:val="000000"/>
          <w:sz w:val="22"/>
          <w:szCs w:val="22"/>
        </w:rPr>
        <w:t xml:space="preserve">on </w:t>
      </w:r>
      <w:r>
        <w:rPr>
          <w:rFonts w:asciiTheme="minorHAnsi" w:hAnsiTheme="minorHAnsi"/>
          <w:color w:val="000000"/>
          <w:sz w:val="22"/>
          <w:szCs w:val="22"/>
        </w:rPr>
        <w:t>conveying legally</w:t>
      </w:r>
      <w:r w:rsidRPr="00D76358">
        <w:rPr>
          <w:rFonts w:asciiTheme="minorHAnsi" w:hAnsiTheme="minorHAnsi"/>
          <w:color w:val="000000"/>
          <w:sz w:val="22"/>
          <w:szCs w:val="22"/>
        </w:rPr>
        <w:t xml:space="preserve"> required information to respondents in a way that is clear and easy to understand. This research </w:t>
      </w:r>
      <w:r>
        <w:rPr>
          <w:rFonts w:asciiTheme="minorHAnsi" w:hAnsiTheme="minorHAnsi"/>
          <w:color w:val="000000"/>
          <w:sz w:val="22"/>
          <w:szCs w:val="22"/>
        </w:rPr>
        <w:t>explored</w:t>
      </w:r>
      <w:r w:rsidRPr="00D76358">
        <w:rPr>
          <w:rFonts w:asciiTheme="minorHAnsi" w:hAnsiTheme="minorHAnsi"/>
          <w:color w:val="000000"/>
          <w:sz w:val="22"/>
          <w:szCs w:val="22"/>
        </w:rPr>
        <w:t xml:space="preserve"> various ways of communicating the required description of access to data collected by Title 13, as well as other language required by the </w:t>
      </w:r>
      <w:r>
        <w:rPr>
          <w:rFonts w:asciiTheme="minorHAnsi" w:hAnsiTheme="minorHAnsi"/>
          <w:color w:val="000000"/>
          <w:sz w:val="22"/>
          <w:szCs w:val="22"/>
        </w:rPr>
        <w:t xml:space="preserve">Paperwork Reduction Act (PRA). </w:t>
      </w:r>
      <w:r w:rsidRPr="00D76358">
        <w:rPr>
          <w:rFonts w:asciiTheme="minorHAnsi" w:hAnsiTheme="minorHAnsi"/>
          <w:color w:val="000000"/>
          <w:sz w:val="22"/>
          <w:szCs w:val="22"/>
        </w:rPr>
        <w:t xml:space="preserve">This </w:t>
      </w:r>
      <w:r>
        <w:rPr>
          <w:rFonts w:asciiTheme="minorHAnsi" w:hAnsiTheme="minorHAnsi"/>
          <w:color w:val="000000"/>
          <w:sz w:val="22"/>
          <w:szCs w:val="22"/>
        </w:rPr>
        <w:t>consisted of</w:t>
      </w:r>
      <w:r w:rsidRPr="00D76358">
        <w:rPr>
          <w:rFonts w:asciiTheme="minorHAnsi" w:hAnsiTheme="minorHAnsi"/>
          <w:color w:val="000000"/>
          <w:sz w:val="22"/>
          <w:szCs w:val="22"/>
        </w:rPr>
        <w:t xml:space="preserve"> two</w:t>
      </w:r>
      <w:r>
        <w:rPr>
          <w:rFonts w:asciiTheme="minorHAnsi" w:hAnsiTheme="minorHAnsi"/>
          <w:color w:val="000000"/>
          <w:sz w:val="22"/>
          <w:szCs w:val="22"/>
        </w:rPr>
        <w:t xml:space="preserve"> stages,</w:t>
      </w:r>
      <w:r w:rsidRPr="00D76358">
        <w:rPr>
          <w:rFonts w:asciiTheme="minorHAnsi" w:hAnsiTheme="minorHAnsi"/>
          <w:color w:val="000000"/>
          <w:sz w:val="22"/>
          <w:szCs w:val="22"/>
        </w:rPr>
        <w:t xml:space="preserve"> starting with a rather large qualitative data collection </w:t>
      </w:r>
      <w:r>
        <w:rPr>
          <w:rFonts w:asciiTheme="minorHAnsi" w:hAnsiTheme="minorHAnsi"/>
          <w:color w:val="000000"/>
          <w:sz w:val="22"/>
          <w:szCs w:val="22"/>
        </w:rPr>
        <w:t xml:space="preserve">of our opt-in affinity panel </w:t>
      </w:r>
      <w:r w:rsidRPr="00D76358">
        <w:rPr>
          <w:rFonts w:asciiTheme="minorHAnsi" w:hAnsiTheme="minorHAnsi"/>
          <w:color w:val="000000"/>
          <w:sz w:val="22"/>
          <w:szCs w:val="22"/>
        </w:rPr>
        <w:t>exploring many possible options for this language, followed by a smaller-scale cognitive test of those options that seem most viable and reliable based on findings from the larger study.</w:t>
      </w:r>
    </w:p>
    <w:p w:rsidR="00644D9D" w:rsidRDefault="00644D9D" w:rsidP="00644D9D">
      <w:pPr>
        <w:spacing w:line="276" w:lineRule="auto"/>
        <w:rPr>
          <w:rFonts w:asciiTheme="minorHAnsi" w:hAnsiTheme="minorHAnsi"/>
          <w:color w:val="000000"/>
          <w:sz w:val="22"/>
          <w:szCs w:val="22"/>
        </w:rPr>
      </w:pPr>
    </w:p>
    <w:p w:rsidR="00644D9D" w:rsidRDefault="00644D9D" w:rsidP="00644D9D">
      <w:pPr>
        <w:spacing w:line="276" w:lineRule="auto"/>
        <w:rPr>
          <w:rFonts w:asciiTheme="minorHAnsi" w:hAnsiTheme="minorHAnsi"/>
          <w:sz w:val="22"/>
        </w:rPr>
      </w:pPr>
      <w:r>
        <w:rPr>
          <w:rFonts w:asciiTheme="minorHAnsi" w:hAnsiTheme="minorHAnsi"/>
          <w:color w:val="000000"/>
          <w:sz w:val="22"/>
          <w:szCs w:val="22"/>
        </w:rPr>
        <w:t xml:space="preserve">The data collection with the opt-in affinity panel in this research </w:t>
      </w:r>
      <w:r>
        <w:rPr>
          <w:rFonts w:asciiTheme="minorHAnsi" w:hAnsiTheme="minorHAnsi"/>
          <w:sz w:val="22"/>
        </w:rPr>
        <w:t xml:space="preserve">gave us </w:t>
      </w:r>
      <w:r w:rsidRPr="00084E36">
        <w:rPr>
          <w:rFonts w:asciiTheme="minorHAnsi" w:hAnsiTheme="minorHAnsi"/>
          <w:sz w:val="22"/>
        </w:rPr>
        <w:t>valuable cognitive testing</w:t>
      </w:r>
      <w:r>
        <w:rPr>
          <w:rFonts w:asciiTheme="minorHAnsi" w:hAnsiTheme="minorHAnsi"/>
          <w:sz w:val="22"/>
        </w:rPr>
        <w:t>-like</w:t>
      </w:r>
      <w:r w:rsidRPr="00084E36">
        <w:rPr>
          <w:rFonts w:asciiTheme="minorHAnsi" w:hAnsiTheme="minorHAnsi"/>
          <w:sz w:val="22"/>
        </w:rPr>
        <w:t xml:space="preserve"> feedback</w:t>
      </w:r>
      <w:r>
        <w:rPr>
          <w:rFonts w:asciiTheme="minorHAnsi" w:hAnsiTheme="minorHAnsi"/>
          <w:sz w:val="22"/>
        </w:rPr>
        <w:t xml:space="preserve">, suggesting that this method has potential as a component of a broader pretesting technique. It may be particularly useful for evaluating a large number of messages when it is not possible to do so with in-person cognitive testing. </w:t>
      </w:r>
    </w:p>
    <w:p w:rsidR="00644D9D" w:rsidRPr="001C2A2F" w:rsidRDefault="00644D9D" w:rsidP="00644D9D">
      <w:pPr>
        <w:tabs>
          <w:tab w:val="right" w:pos="9360"/>
        </w:tabs>
        <w:rPr>
          <w:rFonts w:asciiTheme="minorHAnsi" w:hAnsiTheme="minorHAnsi"/>
          <w:sz w:val="22"/>
          <w:szCs w:val="22"/>
        </w:rPr>
      </w:pPr>
    </w:p>
    <w:p w:rsidR="00644D9D" w:rsidRPr="001C2A2F" w:rsidRDefault="00644D9D" w:rsidP="00644D9D">
      <w:pPr>
        <w:rPr>
          <w:rFonts w:asciiTheme="minorHAnsi" w:eastAsia="Garamond" w:hAnsiTheme="minorHAnsi" w:cs="Garamond"/>
          <w:b/>
          <w:color w:val="000000"/>
          <w:sz w:val="22"/>
          <w:szCs w:val="22"/>
        </w:rPr>
      </w:pPr>
      <w:r w:rsidRPr="001C2A2F">
        <w:rPr>
          <w:rFonts w:asciiTheme="minorHAnsi" w:eastAsia="Garamond" w:hAnsiTheme="minorHAnsi" w:cs="Garamond"/>
          <w:b/>
          <w:color w:val="000000"/>
          <w:sz w:val="22"/>
          <w:szCs w:val="22"/>
        </w:rPr>
        <w:t>Purpose of research</w:t>
      </w:r>
    </w:p>
    <w:p w:rsidR="00644D9D" w:rsidRPr="001C2A2F" w:rsidRDefault="00644D9D" w:rsidP="00644D9D">
      <w:pPr>
        <w:tabs>
          <w:tab w:val="right" w:pos="9360"/>
        </w:tabs>
        <w:rPr>
          <w:rFonts w:asciiTheme="minorHAnsi" w:hAnsiTheme="minorHAnsi"/>
          <w:sz w:val="22"/>
          <w:szCs w:val="22"/>
        </w:rPr>
      </w:pPr>
    </w:p>
    <w:p w:rsidR="00644D9D" w:rsidRDefault="00644D9D" w:rsidP="00644D9D">
      <w:pPr>
        <w:tabs>
          <w:tab w:val="right" w:pos="9360"/>
        </w:tabs>
        <w:spacing w:line="276" w:lineRule="auto"/>
        <w:rPr>
          <w:rFonts w:asciiTheme="minorHAnsi" w:hAnsiTheme="minorHAnsi"/>
          <w:sz w:val="22"/>
          <w:szCs w:val="22"/>
        </w:rPr>
      </w:pPr>
      <w:r w:rsidRPr="001C2A2F">
        <w:rPr>
          <w:rFonts w:asciiTheme="minorHAnsi" w:hAnsiTheme="minorHAnsi"/>
          <w:sz w:val="22"/>
          <w:szCs w:val="22"/>
        </w:rPr>
        <w:t>Th</w:t>
      </w:r>
      <w:r>
        <w:rPr>
          <w:rFonts w:asciiTheme="minorHAnsi" w:hAnsiTheme="minorHAnsi"/>
          <w:sz w:val="22"/>
          <w:szCs w:val="22"/>
        </w:rPr>
        <w:t xml:space="preserve">is submission builds on this prior research by replicating the same qualitative data collection using two different sample sources: a sample from the Census Bureau Contact Frame and a sample from Amazon Mechanical Turk. Previous research has shown that feedback may vary by sample source in this type of online unmoderated cognitive testing </w:t>
      </w:r>
      <w:r w:rsidRPr="00E842BA">
        <w:rPr>
          <w:rFonts w:asciiTheme="minorHAnsi" w:hAnsiTheme="minorHAnsi"/>
          <w:sz w:val="22"/>
          <w:szCs w:val="22"/>
        </w:rPr>
        <w:t>(e.g., Edgar 2013; Fowler et al., 2015; Cook et al., 2015).</w:t>
      </w:r>
      <w:r>
        <w:rPr>
          <w:rFonts w:asciiTheme="minorHAnsi" w:hAnsiTheme="minorHAnsi"/>
          <w:sz w:val="22"/>
          <w:szCs w:val="22"/>
        </w:rPr>
        <w:t xml:space="preserve"> Using different sample sources may also allow us</w:t>
      </w:r>
      <w:r w:rsidRPr="00450D3A">
        <w:rPr>
          <w:rFonts w:asciiTheme="minorHAnsi" w:hAnsiTheme="minorHAnsi"/>
          <w:sz w:val="22"/>
          <w:szCs w:val="22"/>
        </w:rPr>
        <w:t xml:space="preserve"> to obtain reactions from a greater number and more diverse respondent pool</w:t>
      </w:r>
      <w:r>
        <w:rPr>
          <w:rFonts w:asciiTheme="minorHAnsi" w:hAnsiTheme="minorHAnsi"/>
          <w:sz w:val="22"/>
          <w:szCs w:val="22"/>
        </w:rPr>
        <w:t>. We will be able to add to this literature by comparing the feedback we get on this messaging with the feedback received during the prior submission.</w:t>
      </w:r>
    </w:p>
    <w:p w:rsidR="00644D9D" w:rsidRDefault="00644D9D" w:rsidP="00644D9D">
      <w:pPr>
        <w:tabs>
          <w:tab w:val="right" w:pos="9360"/>
        </w:tabs>
        <w:spacing w:line="276" w:lineRule="auto"/>
        <w:rPr>
          <w:rFonts w:asciiTheme="minorHAnsi" w:hAnsiTheme="minorHAnsi"/>
          <w:sz w:val="22"/>
          <w:szCs w:val="22"/>
        </w:rPr>
      </w:pPr>
    </w:p>
    <w:p w:rsidR="00644D9D" w:rsidRPr="001C2A2F" w:rsidRDefault="00644D9D" w:rsidP="00644D9D">
      <w:pPr>
        <w:tabs>
          <w:tab w:val="right" w:pos="9360"/>
        </w:tabs>
        <w:rPr>
          <w:rFonts w:asciiTheme="minorHAnsi" w:hAnsiTheme="minorHAnsi"/>
          <w:b/>
          <w:sz w:val="22"/>
          <w:szCs w:val="22"/>
        </w:rPr>
      </w:pPr>
      <w:r w:rsidRPr="001C2A2F">
        <w:rPr>
          <w:rFonts w:asciiTheme="minorHAnsi" w:hAnsiTheme="minorHAnsi"/>
          <w:b/>
          <w:sz w:val="22"/>
          <w:szCs w:val="22"/>
        </w:rPr>
        <w:t>Timeline and Location</w:t>
      </w:r>
    </w:p>
    <w:p w:rsidR="00644D9D" w:rsidRPr="001C2A2F" w:rsidRDefault="00644D9D" w:rsidP="00644D9D">
      <w:pPr>
        <w:widowControl/>
        <w:autoSpaceDE/>
        <w:autoSpaceDN/>
        <w:adjustRightInd/>
        <w:spacing w:before="100" w:beforeAutospacing="1" w:after="100" w:afterAutospacing="1" w:line="276" w:lineRule="auto"/>
        <w:rPr>
          <w:rFonts w:asciiTheme="minorHAnsi" w:eastAsia="@MingLiU_HKSCS" w:hAnsiTheme="minorHAnsi"/>
          <w:sz w:val="22"/>
          <w:szCs w:val="22"/>
        </w:rPr>
      </w:pPr>
      <w:r w:rsidRPr="001C2A2F">
        <w:rPr>
          <w:rFonts w:asciiTheme="minorHAnsi" w:hAnsiTheme="minorHAnsi"/>
          <w:sz w:val="22"/>
          <w:szCs w:val="22"/>
        </w:rPr>
        <w:t xml:space="preserve">In September 2016, staff from the Demographic Statistical Methods Division (DSMD) </w:t>
      </w:r>
      <w:r>
        <w:rPr>
          <w:rFonts w:asciiTheme="minorHAnsi" w:hAnsiTheme="minorHAnsi"/>
          <w:sz w:val="22"/>
          <w:szCs w:val="22"/>
        </w:rPr>
        <w:t>and Center for Survey Measurement (CSM) will collect responses from two samples over a two-week period.</w:t>
      </w:r>
    </w:p>
    <w:p w:rsidR="00644D9D" w:rsidRPr="001C2A2F" w:rsidRDefault="00644D9D" w:rsidP="00644D9D">
      <w:pPr>
        <w:widowControl/>
        <w:autoSpaceDE/>
        <w:autoSpaceDN/>
        <w:adjustRightInd/>
        <w:spacing w:before="100" w:beforeAutospacing="1" w:after="100" w:afterAutospacing="1"/>
        <w:rPr>
          <w:rFonts w:asciiTheme="minorHAnsi" w:eastAsia="@MingLiU_HKSCS" w:hAnsiTheme="minorHAnsi"/>
          <w:b/>
          <w:sz w:val="22"/>
          <w:szCs w:val="22"/>
        </w:rPr>
      </w:pPr>
      <w:r w:rsidRPr="001C2A2F">
        <w:rPr>
          <w:rFonts w:asciiTheme="minorHAnsi" w:eastAsia="@MingLiU_HKSCS" w:hAnsiTheme="minorHAnsi"/>
          <w:b/>
          <w:sz w:val="22"/>
          <w:szCs w:val="22"/>
        </w:rPr>
        <w:t>Sample and Recruitment</w:t>
      </w:r>
    </w:p>
    <w:p w:rsidR="00644D9D" w:rsidRDefault="00644D9D" w:rsidP="00644D9D">
      <w:pPr>
        <w:widowControl/>
        <w:autoSpaceDE/>
        <w:autoSpaceDN/>
        <w:adjustRightInd/>
        <w:spacing w:before="100" w:beforeAutospacing="1" w:after="100" w:afterAutospacing="1" w:line="276" w:lineRule="auto"/>
        <w:rPr>
          <w:rFonts w:asciiTheme="minorHAnsi" w:hAnsiTheme="minorHAnsi"/>
          <w:sz w:val="22"/>
          <w:szCs w:val="22"/>
        </w:rPr>
      </w:pPr>
      <w:r>
        <w:rPr>
          <w:rFonts w:asciiTheme="minorHAnsi" w:eastAsia="@MingLiU_HKSCS" w:hAnsiTheme="minorHAnsi"/>
          <w:sz w:val="22"/>
          <w:szCs w:val="22"/>
        </w:rPr>
        <w:t xml:space="preserve">Two samples will be used for this research: </w:t>
      </w:r>
      <w:r>
        <w:rPr>
          <w:rFonts w:asciiTheme="minorHAnsi" w:hAnsiTheme="minorHAnsi"/>
          <w:sz w:val="22"/>
          <w:szCs w:val="22"/>
        </w:rPr>
        <w:t xml:space="preserve">a sample from the Census Bureau Contact Frame and a sample from Amazon Mechanical Turk. </w:t>
      </w:r>
      <w:proofErr w:type="spellStart"/>
      <w:r>
        <w:rPr>
          <w:rFonts w:asciiTheme="minorHAnsi" w:hAnsiTheme="minorHAnsi"/>
          <w:sz w:val="22"/>
          <w:szCs w:val="22"/>
        </w:rPr>
        <w:t>Mechnical</w:t>
      </w:r>
      <w:proofErr w:type="spellEnd"/>
      <w:r>
        <w:rPr>
          <w:rFonts w:asciiTheme="minorHAnsi" w:hAnsiTheme="minorHAnsi"/>
          <w:sz w:val="22"/>
          <w:szCs w:val="22"/>
        </w:rPr>
        <w:t xml:space="preserve"> Turk has been used for similar research by researchers at the Bureau of Labor Statistics, among other places.</w:t>
      </w:r>
    </w:p>
    <w:p w:rsidR="00644D9D" w:rsidRDefault="00644D9D" w:rsidP="00644D9D">
      <w:pPr>
        <w:widowControl/>
        <w:autoSpaceDE/>
        <w:autoSpaceDN/>
        <w:adjustRightInd/>
        <w:spacing w:before="100" w:beforeAutospacing="1" w:after="100" w:afterAutospacing="1" w:line="276" w:lineRule="auto"/>
        <w:rPr>
          <w:rFonts w:asciiTheme="minorHAnsi" w:hAnsiTheme="minorHAnsi"/>
          <w:sz w:val="22"/>
          <w:szCs w:val="22"/>
        </w:rPr>
      </w:pPr>
      <w:r>
        <w:rPr>
          <w:rFonts w:asciiTheme="minorHAnsi" w:hAnsiTheme="minorHAnsi"/>
          <w:sz w:val="22"/>
          <w:szCs w:val="22"/>
        </w:rPr>
        <w:t xml:space="preserve">Staff from the Center for Administrative Records Research and Applications (CARRA) will sample email addresses from 10,000 MAFIDS in the Contact Frame. </w:t>
      </w:r>
      <w:r w:rsidRPr="00D76358">
        <w:rPr>
          <w:rFonts w:asciiTheme="minorHAnsi" w:hAnsiTheme="minorHAnsi"/>
          <w:sz w:val="22"/>
          <w:szCs w:val="22"/>
        </w:rPr>
        <w:t xml:space="preserve">We expect to achieve a </w:t>
      </w:r>
      <w:r>
        <w:rPr>
          <w:rFonts w:asciiTheme="minorHAnsi" w:hAnsiTheme="minorHAnsi"/>
          <w:sz w:val="22"/>
          <w:szCs w:val="22"/>
        </w:rPr>
        <w:t>2</w:t>
      </w:r>
      <w:r w:rsidRPr="00D76358">
        <w:rPr>
          <w:rFonts w:asciiTheme="minorHAnsi" w:hAnsiTheme="minorHAnsi"/>
          <w:sz w:val="22"/>
          <w:szCs w:val="22"/>
        </w:rPr>
        <w:t xml:space="preserve">% response rate, in accordance with </w:t>
      </w:r>
      <w:r>
        <w:rPr>
          <w:rFonts w:asciiTheme="minorHAnsi" w:hAnsiTheme="minorHAnsi"/>
          <w:sz w:val="22"/>
          <w:szCs w:val="22"/>
        </w:rPr>
        <w:t>recent studies, with a goal of 2</w:t>
      </w:r>
      <w:r w:rsidRPr="00D76358">
        <w:rPr>
          <w:rFonts w:asciiTheme="minorHAnsi" w:hAnsiTheme="minorHAnsi"/>
          <w:sz w:val="22"/>
          <w:szCs w:val="22"/>
        </w:rPr>
        <w:t>00 completes for this study. This will allow approxima</w:t>
      </w:r>
      <w:r>
        <w:rPr>
          <w:rFonts w:asciiTheme="minorHAnsi" w:hAnsiTheme="minorHAnsi"/>
          <w:sz w:val="22"/>
          <w:szCs w:val="22"/>
        </w:rPr>
        <w:t>tely 100 responses per message.</w:t>
      </w:r>
      <w:r w:rsidRPr="0053109D">
        <w:rPr>
          <w:rFonts w:asciiTheme="minorHAnsi" w:hAnsiTheme="minorHAnsi"/>
          <w:sz w:val="22"/>
          <w:szCs w:val="22"/>
        </w:rPr>
        <w:t xml:space="preserve"> </w:t>
      </w:r>
      <w:r w:rsidRPr="00D76358">
        <w:rPr>
          <w:rFonts w:asciiTheme="minorHAnsi" w:hAnsiTheme="minorHAnsi"/>
          <w:sz w:val="22"/>
          <w:szCs w:val="22"/>
        </w:rPr>
        <w:t xml:space="preserve">CSM staff will send </w:t>
      </w:r>
      <w:r>
        <w:rPr>
          <w:rFonts w:asciiTheme="minorHAnsi" w:hAnsiTheme="minorHAnsi"/>
          <w:sz w:val="22"/>
          <w:szCs w:val="22"/>
        </w:rPr>
        <w:t>up to three</w:t>
      </w:r>
      <w:r w:rsidRPr="00D76358">
        <w:rPr>
          <w:rFonts w:asciiTheme="minorHAnsi" w:hAnsiTheme="minorHAnsi"/>
          <w:sz w:val="22"/>
          <w:szCs w:val="22"/>
        </w:rPr>
        <w:t xml:space="preserve"> emails through GovDelivery</w:t>
      </w:r>
      <w:r>
        <w:rPr>
          <w:rFonts w:asciiTheme="minorHAnsi" w:hAnsiTheme="minorHAnsi"/>
          <w:sz w:val="22"/>
          <w:szCs w:val="22"/>
        </w:rPr>
        <w:t xml:space="preserve"> for this sample: </w:t>
      </w:r>
    </w:p>
    <w:p w:rsidR="00644D9D" w:rsidRPr="00D76358" w:rsidRDefault="00644D9D" w:rsidP="00644D9D">
      <w:pPr>
        <w:widowControl/>
        <w:numPr>
          <w:ilvl w:val="0"/>
          <w:numId w:val="1"/>
        </w:numPr>
        <w:rPr>
          <w:rFonts w:asciiTheme="minorHAnsi" w:hAnsiTheme="minorHAnsi"/>
          <w:color w:val="000000"/>
          <w:sz w:val="22"/>
          <w:szCs w:val="22"/>
        </w:rPr>
      </w:pPr>
      <w:r>
        <w:rPr>
          <w:rFonts w:asciiTheme="minorHAnsi" w:hAnsiTheme="minorHAnsi"/>
          <w:color w:val="000000"/>
          <w:sz w:val="22"/>
          <w:szCs w:val="22"/>
        </w:rPr>
        <w:lastRenderedPageBreak/>
        <w:t xml:space="preserve">An </w:t>
      </w:r>
      <w:r w:rsidRPr="00D76358">
        <w:rPr>
          <w:rFonts w:asciiTheme="minorHAnsi" w:hAnsiTheme="minorHAnsi"/>
          <w:color w:val="000000"/>
          <w:sz w:val="22"/>
          <w:szCs w:val="22"/>
        </w:rPr>
        <w:t xml:space="preserve">initial email on a Monday, </w:t>
      </w:r>
    </w:p>
    <w:p w:rsidR="00644D9D" w:rsidRPr="00D76358" w:rsidRDefault="00644D9D" w:rsidP="00644D9D">
      <w:pPr>
        <w:widowControl/>
        <w:numPr>
          <w:ilvl w:val="0"/>
          <w:numId w:val="1"/>
        </w:numPr>
        <w:rPr>
          <w:rFonts w:asciiTheme="minorHAnsi" w:hAnsiTheme="minorHAnsi"/>
          <w:color w:val="000000"/>
          <w:sz w:val="22"/>
          <w:szCs w:val="22"/>
        </w:rPr>
      </w:pPr>
      <w:r>
        <w:rPr>
          <w:rFonts w:asciiTheme="minorHAnsi" w:hAnsiTheme="minorHAnsi"/>
          <w:color w:val="000000"/>
          <w:sz w:val="22"/>
          <w:szCs w:val="22"/>
        </w:rPr>
        <w:t>A r</w:t>
      </w:r>
      <w:r w:rsidRPr="00D76358">
        <w:rPr>
          <w:rFonts w:asciiTheme="minorHAnsi" w:hAnsiTheme="minorHAnsi"/>
          <w:color w:val="000000"/>
          <w:sz w:val="22"/>
          <w:szCs w:val="22"/>
        </w:rPr>
        <w:t>eminder email on the following Thursday (if they have not yet clicked on the link to the survey), and</w:t>
      </w:r>
    </w:p>
    <w:p w:rsidR="00644D9D" w:rsidRPr="00D76358" w:rsidRDefault="00644D9D" w:rsidP="00644D9D">
      <w:pPr>
        <w:widowControl/>
        <w:numPr>
          <w:ilvl w:val="0"/>
          <w:numId w:val="1"/>
        </w:numPr>
        <w:rPr>
          <w:rFonts w:asciiTheme="minorHAnsi" w:hAnsiTheme="minorHAnsi"/>
          <w:color w:val="000000"/>
          <w:sz w:val="22"/>
          <w:szCs w:val="22"/>
        </w:rPr>
      </w:pPr>
      <w:r>
        <w:rPr>
          <w:rFonts w:asciiTheme="minorHAnsi" w:hAnsiTheme="minorHAnsi"/>
          <w:color w:val="000000"/>
          <w:sz w:val="22"/>
          <w:szCs w:val="22"/>
        </w:rPr>
        <w:t xml:space="preserve">A </w:t>
      </w:r>
      <w:r w:rsidRPr="00D76358">
        <w:rPr>
          <w:rFonts w:asciiTheme="minorHAnsi" w:hAnsiTheme="minorHAnsi"/>
          <w:color w:val="000000"/>
          <w:sz w:val="22"/>
          <w:szCs w:val="22"/>
        </w:rPr>
        <w:t>final reminder email on the following Monday (if they have not yet clicked on the link to the survey</w:t>
      </w:r>
      <w:r>
        <w:rPr>
          <w:rFonts w:asciiTheme="minorHAnsi" w:hAnsiTheme="minorHAnsi"/>
          <w:color w:val="000000"/>
          <w:sz w:val="22"/>
          <w:szCs w:val="22"/>
        </w:rPr>
        <w:t xml:space="preserve">) </w:t>
      </w:r>
      <w:r w:rsidRPr="00D76358">
        <w:rPr>
          <w:rFonts w:asciiTheme="minorHAnsi" w:hAnsiTheme="minorHAnsi"/>
          <w:color w:val="000000"/>
          <w:sz w:val="22"/>
          <w:szCs w:val="22"/>
        </w:rPr>
        <w:t>with the survey closing the following Friday.</w:t>
      </w:r>
    </w:p>
    <w:p w:rsidR="00644D9D" w:rsidRDefault="00644D9D" w:rsidP="00644D9D">
      <w:pPr>
        <w:widowControl/>
        <w:autoSpaceDE/>
        <w:autoSpaceDN/>
        <w:adjustRightInd/>
        <w:spacing w:before="100" w:beforeAutospacing="1" w:after="100" w:afterAutospacing="1" w:line="276" w:lineRule="auto"/>
        <w:rPr>
          <w:rFonts w:asciiTheme="minorHAnsi" w:hAnsiTheme="minorHAnsi"/>
          <w:sz w:val="22"/>
          <w:szCs w:val="22"/>
        </w:rPr>
      </w:pPr>
      <w:r>
        <w:rPr>
          <w:rFonts w:asciiTheme="minorHAnsi" w:hAnsiTheme="minorHAnsi"/>
          <w:sz w:val="22"/>
          <w:szCs w:val="22"/>
        </w:rPr>
        <w:t>Copies of these emails are included in Attachment A. The text is identical to the text used in the prior submission.</w:t>
      </w:r>
    </w:p>
    <w:p w:rsidR="00644D9D" w:rsidRDefault="00644D9D" w:rsidP="00644D9D">
      <w:pPr>
        <w:widowControl/>
        <w:autoSpaceDE/>
        <w:autoSpaceDN/>
        <w:adjustRightInd/>
        <w:spacing w:before="100" w:beforeAutospacing="1" w:after="100" w:afterAutospacing="1" w:line="276" w:lineRule="auto"/>
        <w:rPr>
          <w:rFonts w:asciiTheme="minorHAnsi" w:hAnsiTheme="minorHAnsi"/>
          <w:sz w:val="22"/>
          <w:szCs w:val="22"/>
        </w:rPr>
      </w:pPr>
      <w:r>
        <w:rPr>
          <w:rFonts w:asciiTheme="minorHAnsi" w:hAnsiTheme="minorHAnsi"/>
          <w:sz w:val="22"/>
          <w:szCs w:val="22"/>
        </w:rPr>
        <w:t>Up to 200 respondents from the Amazon Mechanical Turk opt-in panel will have the opportunity to complete the survey over the same two-week period as the Contact Frame sample. Respondents who are interested in the task will volunteer to respond and thus respondents will not be scientifically selected. Respondents will be restricted to people living in the United States. The invitation for these respondents is shown in Attachment B.</w:t>
      </w:r>
    </w:p>
    <w:p w:rsidR="00644D9D" w:rsidRPr="001C2A2F" w:rsidRDefault="00644D9D" w:rsidP="00644D9D">
      <w:pPr>
        <w:widowControl/>
        <w:autoSpaceDE/>
        <w:autoSpaceDN/>
        <w:adjustRightInd/>
        <w:spacing w:before="100" w:beforeAutospacing="1" w:after="100" w:afterAutospacing="1" w:line="276" w:lineRule="auto"/>
        <w:rPr>
          <w:rFonts w:asciiTheme="minorHAnsi" w:hAnsiTheme="minorHAnsi"/>
          <w:sz w:val="22"/>
          <w:szCs w:val="22"/>
        </w:rPr>
      </w:pPr>
      <w:r w:rsidRPr="00D76358">
        <w:rPr>
          <w:rFonts w:asciiTheme="minorHAnsi" w:hAnsiTheme="minorHAnsi"/>
          <w:sz w:val="22"/>
          <w:szCs w:val="22"/>
        </w:rPr>
        <w:t xml:space="preserve">CSM will host the survey </w:t>
      </w:r>
      <w:r>
        <w:rPr>
          <w:rFonts w:asciiTheme="minorHAnsi" w:hAnsiTheme="minorHAnsi"/>
          <w:sz w:val="22"/>
          <w:szCs w:val="22"/>
        </w:rPr>
        <w:t xml:space="preserve">for both samples </w:t>
      </w:r>
      <w:r w:rsidRPr="00D76358">
        <w:rPr>
          <w:rFonts w:asciiTheme="minorHAnsi" w:hAnsiTheme="minorHAnsi"/>
          <w:sz w:val="22"/>
          <w:szCs w:val="22"/>
        </w:rPr>
        <w:t>through Survey Monkey and will collect no personally identifiable data.</w:t>
      </w:r>
      <w:r>
        <w:rPr>
          <w:rFonts w:asciiTheme="minorHAnsi" w:hAnsiTheme="minorHAnsi"/>
          <w:sz w:val="22"/>
          <w:szCs w:val="22"/>
        </w:rPr>
        <w:t xml:space="preserve"> </w:t>
      </w:r>
      <w:r w:rsidRPr="001C2A2F">
        <w:rPr>
          <w:rFonts w:asciiTheme="minorHAnsi" w:hAnsiTheme="minorHAnsi"/>
          <w:sz w:val="22"/>
          <w:szCs w:val="22"/>
        </w:rPr>
        <w:t xml:space="preserve">The </w:t>
      </w:r>
      <w:r>
        <w:rPr>
          <w:rFonts w:asciiTheme="minorHAnsi" w:hAnsiTheme="minorHAnsi"/>
          <w:sz w:val="22"/>
          <w:szCs w:val="22"/>
        </w:rPr>
        <w:t>questions asked and messages shown to respondents in the Survey Monkey instrument will be identical to that used in the prior OMB submission and are shown in Attachments C and D.</w:t>
      </w:r>
    </w:p>
    <w:p w:rsidR="00644D9D" w:rsidRPr="001C2A2F" w:rsidRDefault="00644D9D" w:rsidP="00644D9D">
      <w:pPr>
        <w:widowControl/>
        <w:autoSpaceDE/>
        <w:autoSpaceDN/>
        <w:adjustRightInd/>
        <w:spacing w:before="100" w:beforeAutospacing="1" w:after="100" w:afterAutospacing="1" w:line="276" w:lineRule="auto"/>
        <w:rPr>
          <w:rFonts w:asciiTheme="minorHAnsi" w:eastAsia="@MingLiU_HKSCS" w:hAnsiTheme="minorHAnsi"/>
          <w:b/>
          <w:sz w:val="22"/>
          <w:szCs w:val="22"/>
        </w:rPr>
      </w:pPr>
      <w:r w:rsidRPr="001C2A2F">
        <w:rPr>
          <w:rFonts w:asciiTheme="minorHAnsi" w:hAnsiTheme="minorHAnsi"/>
          <w:b/>
          <w:sz w:val="22"/>
          <w:szCs w:val="22"/>
        </w:rPr>
        <w:t>Methodology</w:t>
      </w:r>
      <w:r w:rsidRPr="001C2A2F">
        <w:rPr>
          <w:rFonts w:asciiTheme="minorHAnsi" w:hAnsiTheme="minorHAnsi"/>
          <w:b/>
          <w:sz w:val="22"/>
          <w:szCs w:val="22"/>
        </w:rPr>
        <w:tab/>
      </w:r>
    </w:p>
    <w:p w:rsidR="00644D9D" w:rsidRDefault="00644D9D" w:rsidP="00644D9D">
      <w:pPr>
        <w:pStyle w:val="ListParagraph"/>
        <w:spacing w:after="200" w:line="276" w:lineRule="auto"/>
        <w:ind w:left="0"/>
        <w:rPr>
          <w:rFonts w:asciiTheme="minorHAnsi" w:hAnsiTheme="minorHAnsi"/>
          <w:sz w:val="22"/>
          <w:szCs w:val="22"/>
        </w:rPr>
      </w:pPr>
      <w:r w:rsidRPr="00D76358">
        <w:rPr>
          <w:rFonts w:asciiTheme="minorHAnsi" w:hAnsiTheme="minorHAnsi"/>
          <w:color w:val="000000"/>
          <w:sz w:val="22"/>
          <w:szCs w:val="22"/>
        </w:rPr>
        <w:t xml:space="preserve">Respondents </w:t>
      </w:r>
      <w:r>
        <w:rPr>
          <w:rFonts w:asciiTheme="minorHAnsi" w:hAnsiTheme="minorHAnsi"/>
          <w:color w:val="000000"/>
          <w:sz w:val="22"/>
          <w:szCs w:val="22"/>
        </w:rPr>
        <w:t xml:space="preserve">in both samples </w:t>
      </w:r>
      <w:r w:rsidRPr="00D76358">
        <w:rPr>
          <w:rFonts w:asciiTheme="minorHAnsi" w:hAnsiTheme="minorHAnsi"/>
          <w:color w:val="000000"/>
          <w:sz w:val="22"/>
          <w:szCs w:val="22"/>
        </w:rPr>
        <w:t>will be shown</w:t>
      </w:r>
      <w:r>
        <w:rPr>
          <w:rFonts w:asciiTheme="minorHAnsi" w:hAnsiTheme="minorHAnsi"/>
          <w:color w:val="000000"/>
          <w:sz w:val="22"/>
          <w:szCs w:val="22"/>
        </w:rPr>
        <w:t xml:space="preserve"> nine messages from Attachment D. A</w:t>
      </w:r>
      <w:r w:rsidRPr="00D76358">
        <w:rPr>
          <w:rFonts w:asciiTheme="minorHAnsi" w:hAnsiTheme="minorHAnsi"/>
          <w:sz w:val="22"/>
          <w:szCs w:val="22"/>
        </w:rPr>
        <w:t>fter each statement, respondents will be asked</w:t>
      </w:r>
      <w:r>
        <w:rPr>
          <w:rFonts w:asciiTheme="minorHAnsi" w:hAnsiTheme="minorHAnsi"/>
          <w:sz w:val="22"/>
          <w:szCs w:val="22"/>
        </w:rPr>
        <w:t>,</w:t>
      </w:r>
      <w:r w:rsidRPr="00D76358">
        <w:rPr>
          <w:rFonts w:asciiTheme="minorHAnsi" w:hAnsiTheme="minorHAnsi"/>
          <w:sz w:val="22"/>
          <w:szCs w:val="22"/>
        </w:rPr>
        <w:t xml:space="preserve"> “In your own words, what is this message telling you?” After responding to each of these, respondents will be asked if they have any further comments about things they liked or didn’t like about the messages they saw. Then, they will be asked some very general demographics, shown </w:t>
      </w:r>
      <w:r>
        <w:rPr>
          <w:rFonts w:asciiTheme="minorHAnsi" w:hAnsiTheme="minorHAnsi"/>
          <w:sz w:val="22"/>
          <w:szCs w:val="22"/>
        </w:rPr>
        <w:t>in Attachment C</w:t>
      </w:r>
      <w:r w:rsidRPr="00D76358">
        <w:rPr>
          <w:rFonts w:asciiTheme="minorHAnsi" w:hAnsiTheme="minorHAnsi"/>
          <w:sz w:val="22"/>
          <w:szCs w:val="22"/>
        </w:rPr>
        <w:t>.</w:t>
      </w:r>
    </w:p>
    <w:p w:rsidR="00644D9D" w:rsidRDefault="00644D9D" w:rsidP="00644D9D">
      <w:pPr>
        <w:pStyle w:val="ListParagraph"/>
        <w:spacing w:after="200" w:line="276" w:lineRule="auto"/>
        <w:ind w:left="0"/>
        <w:rPr>
          <w:rFonts w:asciiTheme="minorHAnsi" w:hAnsiTheme="minorHAnsi"/>
          <w:sz w:val="22"/>
          <w:szCs w:val="22"/>
        </w:rPr>
      </w:pPr>
    </w:p>
    <w:p w:rsidR="00644D9D" w:rsidRDefault="00644D9D" w:rsidP="00644D9D">
      <w:pPr>
        <w:pStyle w:val="ListParagraph"/>
        <w:spacing w:after="200" w:line="276" w:lineRule="auto"/>
        <w:ind w:left="0"/>
        <w:rPr>
          <w:rFonts w:asciiTheme="minorHAnsi" w:hAnsiTheme="minorHAnsi"/>
          <w:sz w:val="22"/>
          <w:szCs w:val="22"/>
        </w:rPr>
      </w:pPr>
      <w:r>
        <w:rPr>
          <w:rFonts w:asciiTheme="minorHAnsi" w:hAnsiTheme="minorHAnsi"/>
          <w:sz w:val="22"/>
          <w:szCs w:val="22"/>
        </w:rPr>
        <w:t xml:space="preserve">For respondents from Amazon Mechanical Turk only, respondents will be asked to create a five-digit code at the end of the survey, and then enter this same code on the Mechanical Turk website. This is to prevent Mechanical Turk respondents from stating that they completed the survey in order to receive the incentive when they did not actually do so. The code will not be used to link respondent answers in the Survey Monkey survey to respondent identity.  </w:t>
      </w:r>
    </w:p>
    <w:p w:rsidR="00644D9D" w:rsidRDefault="00644D9D" w:rsidP="00644D9D">
      <w:pPr>
        <w:spacing w:line="276" w:lineRule="auto"/>
        <w:rPr>
          <w:rFonts w:asciiTheme="minorHAnsi" w:hAnsiTheme="minorHAnsi"/>
          <w:sz w:val="22"/>
          <w:szCs w:val="22"/>
        </w:rPr>
      </w:pPr>
      <w:r>
        <w:rPr>
          <w:rFonts w:asciiTheme="minorHAnsi" w:hAnsiTheme="minorHAnsi"/>
          <w:sz w:val="22"/>
          <w:szCs w:val="22"/>
        </w:rPr>
        <w:t>We will compare respondent demographics across sample sources. We will also analyze user responses and identify if any of the messages were more or less likely to be understood.</w:t>
      </w:r>
    </w:p>
    <w:p w:rsidR="00644D9D" w:rsidRPr="00D76358" w:rsidRDefault="00644D9D" w:rsidP="00644D9D">
      <w:pPr>
        <w:pStyle w:val="ListParagraph"/>
        <w:spacing w:after="200" w:line="276" w:lineRule="auto"/>
        <w:ind w:left="0"/>
        <w:rPr>
          <w:rFonts w:asciiTheme="minorHAnsi" w:hAnsiTheme="minorHAnsi"/>
          <w:sz w:val="22"/>
          <w:szCs w:val="22"/>
        </w:rPr>
      </w:pPr>
    </w:p>
    <w:p w:rsidR="00644D9D" w:rsidRPr="001C2A2F" w:rsidRDefault="00644D9D" w:rsidP="00644D9D">
      <w:pPr>
        <w:tabs>
          <w:tab w:val="right" w:pos="9360"/>
        </w:tabs>
        <w:spacing w:line="276" w:lineRule="auto"/>
        <w:rPr>
          <w:rFonts w:asciiTheme="minorHAnsi" w:hAnsiTheme="minorHAnsi"/>
          <w:b/>
          <w:sz w:val="22"/>
          <w:szCs w:val="22"/>
        </w:rPr>
      </w:pPr>
      <w:r w:rsidRPr="001C2A2F">
        <w:rPr>
          <w:rFonts w:asciiTheme="minorHAnsi" w:hAnsiTheme="minorHAnsi"/>
          <w:b/>
          <w:sz w:val="22"/>
          <w:szCs w:val="22"/>
        </w:rPr>
        <w:t>Consent and Incentive</w:t>
      </w:r>
    </w:p>
    <w:p w:rsidR="00644D9D" w:rsidRPr="001C2A2F" w:rsidRDefault="00644D9D" w:rsidP="00644D9D">
      <w:pPr>
        <w:tabs>
          <w:tab w:val="right" w:pos="9360"/>
        </w:tabs>
        <w:spacing w:line="276" w:lineRule="auto"/>
        <w:rPr>
          <w:rFonts w:asciiTheme="minorHAnsi" w:hAnsiTheme="minorHAnsi"/>
          <w:sz w:val="22"/>
          <w:szCs w:val="22"/>
        </w:rPr>
      </w:pPr>
    </w:p>
    <w:p w:rsidR="00644D9D" w:rsidRDefault="00644D9D" w:rsidP="00644D9D">
      <w:pPr>
        <w:pStyle w:val="BodyText"/>
        <w:spacing w:after="240" w:line="276" w:lineRule="auto"/>
        <w:rPr>
          <w:rFonts w:asciiTheme="minorHAnsi" w:hAnsiTheme="minorHAnsi"/>
          <w:szCs w:val="22"/>
        </w:rPr>
      </w:pPr>
      <w:r>
        <w:rPr>
          <w:rFonts w:asciiTheme="minorHAnsi" w:hAnsiTheme="minorHAnsi"/>
          <w:szCs w:val="22"/>
        </w:rPr>
        <w:t>Participants will be informed of the OMB number and the voluntary nature of the study:</w:t>
      </w:r>
    </w:p>
    <w:p w:rsidR="00644D9D" w:rsidRDefault="00644D9D" w:rsidP="00644D9D">
      <w:pPr>
        <w:pStyle w:val="BodyText"/>
        <w:spacing w:after="240" w:line="276" w:lineRule="auto"/>
        <w:ind w:left="720"/>
        <w:rPr>
          <w:rFonts w:asciiTheme="minorHAnsi" w:hAnsiTheme="minorHAnsi"/>
          <w:szCs w:val="22"/>
        </w:rPr>
      </w:pPr>
      <w:r w:rsidRPr="00AC5096">
        <w:rPr>
          <w:rFonts w:asciiTheme="minorHAnsi" w:hAnsiTheme="minorHAnsi"/>
          <w:szCs w:val="22"/>
        </w:rPr>
        <w:t xml:space="preserve">Thank you for agreeing to participate in this survey. On the next screens, you will be asked to read nine short excerpts about the U.S. Census Bureau. After each excerpt, you will be asked a </w:t>
      </w:r>
      <w:r w:rsidRPr="00AC5096">
        <w:rPr>
          <w:rFonts w:asciiTheme="minorHAnsi" w:hAnsiTheme="minorHAnsi"/>
          <w:szCs w:val="22"/>
        </w:rPr>
        <w:lastRenderedPageBreak/>
        <w:t xml:space="preserve">follow up question. Please answer each question to the best of your abilities. Remember that your answers will be kept confidential. </w:t>
      </w:r>
      <w:r>
        <w:rPr>
          <w:rFonts w:asciiTheme="minorHAnsi" w:hAnsiTheme="minorHAnsi"/>
          <w:szCs w:val="22"/>
        </w:rPr>
        <w:t>This survey will take 10 minutes or less to complete.</w:t>
      </w:r>
    </w:p>
    <w:p w:rsidR="00644D9D" w:rsidRPr="005445E1" w:rsidRDefault="00644D9D" w:rsidP="00644D9D">
      <w:pPr>
        <w:spacing w:line="276" w:lineRule="auto"/>
        <w:ind w:left="720"/>
        <w:contextualSpacing/>
        <w:jc w:val="both"/>
        <w:rPr>
          <w:rFonts w:asciiTheme="minorHAnsi" w:hAnsiTheme="minorHAnsi"/>
          <w:sz w:val="22"/>
          <w:szCs w:val="22"/>
        </w:rPr>
      </w:pPr>
      <w:r w:rsidRPr="005445E1">
        <w:rPr>
          <w:rFonts w:asciiTheme="minorHAnsi" w:hAnsiTheme="minorHAnsi"/>
          <w:sz w:val="22"/>
          <w:szCs w:val="22"/>
        </w:rPr>
        <w:t>Your responses will not be shared with anyone in a way that could personally identify you. Your participation in this study is voluntary. The legal authority under which this information is being collected is Title 13 U.S.C. Chapter 5 Sections 141 and 193. This data collection is approved under OMB No. 0607-0978 and the approval expires 04/30/17.</w:t>
      </w:r>
      <w:r w:rsidRPr="005445E1">
        <w:rPr>
          <w:rFonts w:asciiTheme="minorHAnsi" w:hAnsiTheme="minorHAnsi"/>
          <w:sz w:val="22"/>
          <w:szCs w:val="22"/>
          <w:lang w:val="en"/>
        </w:rPr>
        <w:t xml:space="preserve"> This data collection uses third-party web site to collect data. This survey does not collect personally identifiable information. The results from this survey will be used to conduct primary research to enhance planning efforts for current and future surveys and censuses.</w:t>
      </w:r>
    </w:p>
    <w:p w:rsidR="00644D9D" w:rsidRPr="00AC5096" w:rsidRDefault="00644D9D" w:rsidP="00644D9D">
      <w:pPr>
        <w:pStyle w:val="BodyText"/>
        <w:spacing w:after="240" w:line="276" w:lineRule="auto"/>
        <w:ind w:left="720"/>
        <w:rPr>
          <w:rFonts w:asciiTheme="minorHAnsi" w:hAnsiTheme="minorHAnsi"/>
          <w:szCs w:val="22"/>
        </w:rPr>
      </w:pPr>
    </w:p>
    <w:p w:rsidR="00644D9D" w:rsidRDefault="00644D9D" w:rsidP="00644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eastAsia="@MingLiU_HKSCS" w:hAnsiTheme="minorHAnsi"/>
          <w:sz w:val="22"/>
          <w:szCs w:val="22"/>
        </w:rPr>
      </w:pPr>
      <w:r w:rsidRPr="001C2A2F">
        <w:rPr>
          <w:rFonts w:asciiTheme="minorHAnsi" w:eastAsia="@MingLiU_HKSCS" w:hAnsiTheme="minorHAnsi"/>
          <w:sz w:val="22"/>
          <w:szCs w:val="22"/>
        </w:rPr>
        <w:t xml:space="preserve">Respondents </w:t>
      </w:r>
      <w:r>
        <w:rPr>
          <w:rFonts w:asciiTheme="minorHAnsi" w:eastAsia="@MingLiU_HKSCS" w:hAnsiTheme="minorHAnsi"/>
          <w:sz w:val="22"/>
          <w:szCs w:val="22"/>
        </w:rPr>
        <w:t xml:space="preserve">in the contact frame sample </w:t>
      </w:r>
      <w:r w:rsidRPr="001C2A2F">
        <w:rPr>
          <w:rFonts w:asciiTheme="minorHAnsi" w:eastAsia="@MingLiU_HKSCS" w:hAnsiTheme="minorHAnsi"/>
          <w:sz w:val="22"/>
          <w:szCs w:val="22"/>
        </w:rPr>
        <w:t xml:space="preserve">will </w:t>
      </w:r>
      <w:r>
        <w:rPr>
          <w:rFonts w:asciiTheme="minorHAnsi" w:eastAsia="@MingLiU_HKSCS" w:hAnsiTheme="minorHAnsi"/>
          <w:sz w:val="22"/>
          <w:szCs w:val="22"/>
        </w:rPr>
        <w:t>not receive compensation for their participation. Respondents in the Amazon Mechanical Turk sample will receive $0.50 for their participation. Fielding a study on the Mechanical Turk requires payment of an incentive.</w:t>
      </w:r>
    </w:p>
    <w:p w:rsidR="00644D9D" w:rsidRPr="001C2A2F" w:rsidRDefault="00644D9D" w:rsidP="00644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eastAsia="@MingLiU_HKSCS" w:hAnsiTheme="minorHAnsi"/>
          <w:sz w:val="22"/>
          <w:szCs w:val="22"/>
        </w:rPr>
      </w:pPr>
    </w:p>
    <w:p w:rsidR="00644D9D" w:rsidRDefault="00644D9D" w:rsidP="00644D9D">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olor w:val="000000"/>
          <w:sz w:val="22"/>
          <w:szCs w:val="22"/>
        </w:rPr>
      </w:pPr>
      <w:r>
        <w:rPr>
          <w:rFonts w:asciiTheme="minorHAnsi" w:hAnsiTheme="minorHAnsi"/>
          <w:color w:val="000000"/>
          <w:sz w:val="22"/>
          <w:szCs w:val="22"/>
        </w:rPr>
        <w:t>The estimated respondent burden is calculated as follows:</w:t>
      </w:r>
      <w:bookmarkStart w:id="0" w:name="_GoBack"/>
      <w:bookmarkEnd w:id="0"/>
    </w:p>
    <w:p w:rsidR="00644D9D" w:rsidRDefault="00644D9D" w:rsidP="00644D9D">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olor w:val="000000"/>
          <w:sz w:val="22"/>
          <w:szCs w:val="22"/>
        </w:rPr>
      </w:pPr>
    </w:p>
    <w:tbl>
      <w:tblPr>
        <w:tblStyle w:val="TableGrid"/>
        <w:tblW w:w="9879" w:type="dxa"/>
        <w:tblInd w:w="-455" w:type="dxa"/>
        <w:tblLayout w:type="fixed"/>
        <w:tblLook w:val="04A0" w:firstRow="1" w:lastRow="0" w:firstColumn="1" w:lastColumn="0" w:noHBand="0" w:noVBand="1"/>
      </w:tblPr>
      <w:tblGrid>
        <w:gridCol w:w="1643"/>
        <w:gridCol w:w="1260"/>
        <w:gridCol w:w="1132"/>
        <w:gridCol w:w="1091"/>
        <w:gridCol w:w="1276"/>
        <w:gridCol w:w="1192"/>
        <w:gridCol w:w="1109"/>
        <w:gridCol w:w="1176"/>
      </w:tblGrid>
      <w:tr w:rsidR="00644D9D" w:rsidRPr="00830493" w:rsidTr="00A01D4A">
        <w:trPr>
          <w:trHeight w:val="1526"/>
        </w:trPr>
        <w:tc>
          <w:tcPr>
            <w:tcW w:w="1643" w:type="dxa"/>
            <w:tcBorders>
              <w:top w:val="single" w:sz="4" w:space="0" w:color="auto"/>
              <w:left w:val="single" w:sz="4" w:space="0" w:color="auto"/>
              <w:bottom w:val="single" w:sz="4" w:space="0" w:color="auto"/>
              <w:right w:val="single" w:sz="4" w:space="0" w:color="auto"/>
            </w:tcBorders>
            <w:vAlign w:val="bottom"/>
          </w:tcPr>
          <w:p w:rsidR="00644D9D" w:rsidRPr="00AA282E" w:rsidRDefault="00644D9D" w:rsidP="00A01D4A">
            <w:pPr>
              <w:keepNext/>
              <w:keepLines/>
              <w:spacing w:line="276" w:lineRule="auto"/>
              <w:jc w:val="center"/>
              <w:rPr>
                <w:rFonts w:asciiTheme="minorHAnsi" w:eastAsia="Times New Roman" w:hAnsiTheme="minorHAnsi"/>
                <w:sz w:val="20"/>
              </w:rPr>
            </w:pPr>
          </w:p>
        </w:tc>
        <w:tc>
          <w:tcPr>
            <w:tcW w:w="1260" w:type="dxa"/>
            <w:tcBorders>
              <w:top w:val="single" w:sz="4" w:space="0" w:color="auto"/>
              <w:left w:val="single" w:sz="4" w:space="0" w:color="auto"/>
              <w:bottom w:val="single" w:sz="4" w:space="0" w:color="auto"/>
              <w:right w:val="single" w:sz="4" w:space="0" w:color="auto"/>
            </w:tcBorders>
            <w:vAlign w:val="bottom"/>
            <w:hideMark/>
          </w:tcPr>
          <w:p w:rsidR="00644D9D" w:rsidRPr="00AA282E" w:rsidRDefault="00644D9D" w:rsidP="00A01D4A">
            <w:pPr>
              <w:keepNext/>
              <w:keepLines/>
              <w:spacing w:line="276" w:lineRule="auto"/>
              <w:jc w:val="center"/>
              <w:rPr>
                <w:rFonts w:asciiTheme="minorHAnsi" w:eastAsia="Times New Roman" w:hAnsiTheme="minorHAnsi"/>
                <w:sz w:val="20"/>
              </w:rPr>
            </w:pPr>
            <w:r w:rsidRPr="00AA282E">
              <w:rPr>
                <w:rFonts w:asciiTheme="minorHAnsi" w:hAnsiTheme="minorHAnsi"/>
                <w:sz w:val="20"/>
              </w:rPr>
              <w:t># of Participants Screened</w:t>
            </w:r>
          </w:p>
        </w:tc>
        <w:tc>
          <w:tcPr>
            <w:tcW w:w="1132" w:type="dxa"/>
            <w:tcBorders>
              <w:top w:val="single" w:sz="4" w:space="0" w:color="auto"/>
              <w:left w:val="single" w:sz="4" w:space="0" w:color="auto"/>
              <w:bottom w:val="single" w:sz="4" w:space="0" w:color="auto"/>
              <w:right w:val="single" w:sz="4" w:space="0" w:color="auto"/>
            </w:tcBorders>
            <w:vAlign w:val="bottom"/>
            <w:hideMark/>
          </w:tcPr>
          <w:p w:rsidR="00644D9D" w:rsidRPr="00AA282E" w:rsidRDefault="00644D9D" w:rsidP="00A01D4A">
            <w:pPr>
              <w:keepNext/>
              <w:keepLines/>
              <w:spacing w:line="276" w:lineRule="auto"/>
              <w:jc w:val="center"/>
              <w:rPr>
                <w:rFonts w:asciiTheme="minorHAnsi" w:eastAsia="Times New Roman" w:hAnsiTheme="minorHAnsi"/>
                <w:sz w:val="20"/>
              </w:rPr>
            </w:pPr>
            <w:r w:rsidRPr="00AA282E">
              <w:rPr>
                <w:rFonts w:asciiTheme="minorHAnsi" w:hAnsiTheme="minorHAnsi"/>
                <w:sz w:val="20"/>
              </w:rPr>
              <w:t>Minutes per participant for Screening</w:t>
            </w:r>
          </w:p>
        </w:tc>
        <w:tc>
          <w:tcPr>
            <w:tcW w:w="1091" w:type="dxa"/>
            <w:tcBorders>
              <w:top w:val="single" w:sz="4" w:space="0" w:color="auto"/>
              <w:left w:val="single" w:sz="4" w:space="0" w:color="auto"/>
              <w:bottom w:val="single" w:sz="4" w:space="0" w:color="auto"/>
              <w:right w:val="single" w:sz="4" w:space="0" w:color="auto"/>
            </w:tcBorders>
            <w:vAlign w:val="bottom"/>
            <w:hideMark/>
          </w:tcPr>
          <w:p w:rsidR="00644D9D" w:rsidRPr="00AA282E" w:rsidRDefault="00644D9D" w:rsidP="00A01D4A">
            <w:pPr>
              <w:keepNext/>
              <w:keepLines/>
              <w:spacing w:line="276" w:lineRule="auto"/>
              <w:jc w:val="center"/>
              <w:rPr>
                <w:rFonts w:asciiTheme="minorHAnsi" w:eastAsia="Times New Roman" w:hAnsiTheme="minorHAnsi"/>
                <w:sz w:val="20"/>
              </w:rPr>
            </w:pPr>
            <w:r w:rsidRPr="00AA282E">
              <w:rPr>
                <w:rFonts w:asciiTheme="minorHAnsi" w:hAnsiTheme="minorHAnsi"/>
                <w:sz w:val="20"/>
              </w:rPr>
              <w:t>Total Screening Burden</w:t>
            </w:r>
          </w:p>
        </w:tc>
        <w:tc>
          <w:tcPr>
            <w:tcW w:w="1276" w:type="dxa"/>
            <w:tcBorders>
              <w:top w:val="single" w:sz="4" w:space="0" w:color="auto"/>
              <w:left w:val="single" w:sz="4" w:space="0" w:color="auto"/>
              <w:bottom w:val="single" w:sz="4" w:space="0" w:color="auto"/>
              <w:right w:val="single" w:sz="4" w:space="0" w:color="auto"/>
            </w:tcBorders>
            <w:vAlign w:val="bottom"/>
            <w:hideMark/>
          </w:tcPr>
          <w:p w:rsidR="00644D9D" w:rsidRPr="00AA282E" w:rsidRDefault="00644D9D" w:rsidP="00A01D4A">
            <w:pPr>
              <w:keepNext/>
              <w:keepLines/>
              <w:spacing w:line="276" w:lineRule="auto"/>
              <w:jc w:val="center"/>
              <w:rPr>
                <w:rFonts w:asciiTheme="minorHAnsi" w:eastAsia="Times New Roman" w:hAnsiTheme="minorHAnsi"/>
                <w:sz w:val="20"/>
              </w:rPr>
            </w:pPr>
            <w:r w:rsidRPr="00AA282E">
              <w:rPr>
                <w:rFonts w:asciiTheme="minorHAnsi" w:hAnsiTheme="minorHAnsi"/>
                <w:sz w:val="20"/>
              </w:rPr>
              <w:t>Maximum number of Participants</w:t>
            </w:r>
          </w:p>
        </w:tc>
        <w:tc>
          <w:tcPr>
            <w:tcW w:w="1192" w:type="dxa"/>
            <w:tcBorders>
              <w:top w:val="single" w:sz="4" w:space="0" w:color="auto"/>
              <w:left w:val="single" w:sz="4" w:space="0" w:color="auto"/>
              <w:bottom w:val="single" w:sz="4" w:space="0" w:color="auto"/>
              <w:right w:val="single" w:sz="4" w:space="0" w:color="auto"/>
            </w:tcBorders>
            <w:vAlign w:val="bottom"/>
            <w:hideMark/>
          </w:tcPr>
          <w:p w:rsidR="00644D9D" w:rsidRPr="00AA282E" w:rsidRDefault="00644D9D" w:rsidP="00A01D4A">
            <w:pPr>
              <w:keepNext/>
              <w:keepLines/>
              <w:spacing w:line="276" w:lineRule="auto"/>
              <w:jc w:val="center"/>
              <w:rPr>
                <w:rFonts w:asciiTheme="minorHAnsi" w:eastAsia="Times New Roman" w:hAnsiTheme="minorHAnsi"/>
                <w:sz w:val="20"/>
              </w:rPr>
            </w:pPr>
            <w:r w:rsidRPr="00AA282E">
              <w:rPr>
                <w:rFonts w:asciiTheme="minorHAnsi" w:hAnsiTheme="minorHAnsi"/>
                <w:sz w:val="20"/>
              </w:rPr>
              <w:t>Minutes per participant for data collection</w:t>
            </w:r>
          </w:p>
        </w:tc>
        <w:tc>
          <w:tcPr>
            <w:tcW w:w="1109" w:type="dxa"/>
            <w:tcBorders>
              <w:top w:val="single" w:sz="4" w:space="0" w:color="auto"/>
              <w:left w:val="single" w:sz="4" w:space="0" w:color="auto"/>
              <w:bottom w:val="single" w:sz="4" w:space="0" w:color="auto"/>
              <w:right w:val="single" w:sz="4" w:space="0" w:color="auto"/>
            </w:tcBorders>
            <w:vAlign w:val="bottom"/>
            <w:hideMark/>
          </w:tcPr>
          <w:p w:rsidR="00644D9D" w:rsidRPr="00AA282E" w:rsidRDefault="00644D9D" w:rsidP="00A01D4A">
            <w:pPr>
              <w:keepNext/>
              <w:keepLines/>
              <w:spacing w:line="276" w:lineRule="auto"/>
              <w:jc w:val="center"/>
              <w:rPr>
                <w:rFonts w:asciiTheme="minorHAnsi" w:eastAsia="Times New Roman" w:hAnsiTheme="minorHAnsi"/>
                <w:sz w:val="20"/>
              </w:rPr>
            </w:pPr>
            <w:r w:rsidRPr="00AA282E">
              <w:rPr>
                <w:rFonts w:asciiTheme="minorHAnsi" w:hAnsiTheme="minorHAnsi"/>
                <w:sz w:val="20"/>
              </w:rPr>
              <w:t>Total Collection Burden</w:t>
            </w:r>
          </w:p>
        </w:tc>
        <w:tc>
          <w:tcPr>
            <w:tcW w:w="1176" w:type="dxa"/>
            <w:tcBorders>
              <w:top w:val="single" w:sz="4" w:space="0" w:color="auto"/>
              <w:left w:val="single" w:sz="4" w:space="0" w:color="auto"/>
              <w:bottom w:val="single" w:sz="4" w:space="0" w:color="auto"/>
              <w:right w:val="single" w:sz="4" w:space="0" w:color="auto"/>
            </w:tcBorders>
            <w:vAlign w:val="bottom"/>
            <w:hideMark/>
          </w:tcPr>
          <w:p w:rsidR="00644D9D" w:rsidRPr="00AA282E" w:rsidRDefault="00644D9D" w:rsidP="00A01D4A">
            <w:pPr>
              <w:keepNext/>
              <w:keepLines/>
              <w:spacing w:line="276" w:lineRule="auto"/>
              <w:jc w:val="center"/>
              <w:rPr>
                <w:rFonts w:asciiTheme="minorHAnsi" w:eastAsia="Times New Roman" w:hAnsiTheme="minorHAnsi"/>
                <w:sz w:val="20"/>
              </w:rPr>
            </w:pPr>
            <w:r w:rsidRPr="00AA282E">
              <w:rPr>
                <w:rFonts w:asciiTheme="minorHAnsi" w:hAnsiTheme="minorHAnsi"/>
                <w:sz w:val="20"/>
              </w:rPr>
              <w:t>Total Maximum Burden (Screening + Collection)</w:t>
            </w:r>
          </w:p>
        </w:tc>
      </w:tr>
      <w:tr w:rsidR="00644D9D" w:rsidRPr="00830493" w:rsidTr="00A01D4A">
        <w:trPr>
          <w:trHeight w:val="608"/>
        </w:trPr>
        <w:tc>
          <w:tcPr>
            <w:tcW w:w="1643" w:type="dxa"/>
            <w:tcBorders>
              <w:top w:val="single" w:sz="4" w:space="0" w:color="auto"/>
              <w:left w:val="single" w:sz="4" w:space="0" w:color="auto"/>
              <w:bottom w:val="single" w:sz="4" w:space="0" w:color="auto"/>
              <w:right w:val="single" w:sz="4" w:space="0" w:color="auto"/>
            </w:tcBorders>
            <w:hideMark/>
          </w:tcPr>
          <w:p w:rsidR="00644D9D" w:rsidRPr="00830493" w:rsidRDefault="00644D9D" w:rsidP="00644D9D">
            <w:pPr>
              <w:pStyle w:val="ListParagraph"/>
              <w:keepNext/>
              <w:keepLines/>
              <w:widowControl/>
              <w:numPr>
                <w:ilvl w:val="0"/>
                <w:numId w:val="2"/>
              </w:numPr>
              <w:autoSpaceDE/>
              <w:autoSpaceDN/>
              <w:adjustRightInd/>
              <w:spacing w:line="276" w:lineRule="auto"/>
              <w:ind w:left="342"/>
              <w:rPr>
                <w:rFonts w:asciiTheme="minorHAnsi" w:hAnsiTheme="minorHAnsi"/>
                <w:sz w:val="22"/>
              </w:rPr>
            </w:pPr>
            <w:r>
              <w:rPr>
                <w:rFonts w:asciiTheme="minorHAnsi" w:hAnsiTheme="minorHAnsi"/>
                <w:sz w:val="22"/>
              </w:rPr>
              <w:t>Mechanical Turk</w:t>
            </w:r>
          </w:p>
        </w:tc>
        <w:tc>
          <w:tcPr>
            <w:tcW w:w="1260"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w:t>
            </w:r>
          </w:p>
        </w:tc>
        <w:tc>
          <w:tcPr>
            <w:tcW w:w="1091"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200</w:t>
            </w:r>
          </w:p>
        </w:tc>
        <w:tc>
          <w:tcPr>
            <w:tcW w:w="1192"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1</w:t>
            </w:r>
            <w:r w:rsidRPr="00830493">
              <w:rPr>
                <w:rFonts w:asciiTheme="minorHAnsi" w:hAnsiTheme="minorHAnsi"/>
                <w:sz w:val="22"/>
              </w:rPr>
              <w:t>0</w:t>
            </w:r>
          </w:p>
        </w:tc>
        <w:tc>
          <w:tcPr>
            <w:tcW w:w="1109"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sidRPr="00830493">
              <w:rPr>
                <w:rFonts w:asciiTheme="minorHAnsi" w:hAnsiTheme="minorHAnsi"/>
                <w:sz w:val="22"/>
              </w:rPr>
              <w:t>2,</w:t>
            </w:r>
            <w:r>
              <w:rPr>
                <w:rFonts w:asciiTheme="minorHAnsi" w:hAnsiTheme="minorHAnsi"/>
                <w:sz w:val="22"/>
              </w:rPr>
              <w:t>0</w:t>
            </w:r>
            <w:r w:rsidRPr="00830493">
              <w:rPr>
                <w:rFonts w:asciiTheme="minorHAnsi" w:hAnsiTheme="minorHAnsi"/>
                <w:sz w:val="22"/>
              </w:rPr>
              <w:t>00</w:t>
            </w:r>
          </w:p>
        </w:tc>
        <w:tc>
          <w:tcPr>
            <w:tcW w:w="1176"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2,200</w:t>
            </w:r>
          </w:p>
        </w:tc>
      </w:tr>
      <w:tr w:rsidR="00644D9D" w:rsidRPr="00830493" w:rsidTr="00A01D4A">
        <w:trPr>
          <w:trHeight w:val="608"/>
        </w:trPr>
        <w:tc>
          <w:tcPr>
            <w:tcW w:w="1643" w:type="dxa"/>
            <w:tcBorders>
              <w:top w:val="single" w:sz="4" w:space="0" w:color="auto"/>
              <w:left w:val="single" w:sz="4" w:space="0" w:color="auto"/>
              <w:bottom w:val="single" w:sz="4" w:space="0" w:color="auto"/>
              <w:right w:val="single" w:sz="4" w:space="0" w:color="auto"/>
            </w:tcBorders>
            <w:hideMark/>
          </w:tcPr>
          <w:p w:rsidR="00644D9D" w:rsidRPr="00830493" w:rsidRDefault="00644D9D" w:rsidP="00644D9D">
            <w:pPr>
              <w:pStyle w:val="ListParagraph"/>
              <w:keepNext/>
              <w:keepLines/>
              <w:widowControl/>
              <w:numPr>
                <w:ilvl w:val="0"/>
                <w:numId w:val="2"/>
              </w:numPr>
              <w:autoSpaceDE/>
              <w:autoSpaceDN/>
              <w:adjustRightInd/>
              <w:spacing w:line="276" w:lineRule="auto"/>
              <w:ind w:left="342"/>
              <w:rPr>
                <w:rFonts w:asciiTheme="minorHAnsi" w:hAnsiTheme="minorHAnsi"/>
                <w:sz w:val="22"/>
              </w:rPr>
            </w:pPr>
            <w:r>
              <w:rPr>
                <w:rFonts w:asciiTheme="minorHAnsi" w:hAnsiTheme="minorHAnsi"/>
                <w:sz w:val="22"/>
              </w:rPr>
              <w:t>Contact Frame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sidRPr="00830493">
              <w:rPr>
                <w:rFonts w:asciiTheme="minorHAnsi" w:hAnsiTheme="minorHAnsi"/>
                <w:sz w:val="22"/>
              </w:rPr>
              <w:t>10,000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w:t>
            </w:r>
          </w:p>
        </w:tc>
        <w:tc>
          <w:tcPr>
            <w:tcW w:w="1091"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w:t>
            </w:r>
            <w:r w:rsidRPr="00830493">
              <w:rPr>
                <w:rFonts w:asciiTheme="minorHAnsi" w:hAnsiTheme="minorHAnsi"/>
                <w:sz w:val="22"/>
              </w:rPr>
              <w:t>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sidRPr="00830493">
              <w:rPr>
                <w:rFonts w:asciiTheme="minorHAnsi" w:hAnsiTheme="minorHAnsi"/>
                <w:sz w:val="22"/>
              </w:rPr>
              <w:t>200</w:t>
            </w:r>
          </w:p>
        </w:tc>
        <w:tc>
          <w:tcPr>
            <w:tcW w:w="1192"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10</w:t>
            </w:r>
          </w:p>
        </w:tc>
        <w:tc>
          <w:tcPr>
            <w:tcW w:w="1109"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w:t>
            </w:r>
            <w:r w:rsidRPr="00830493">
              <w:rPr>
                <w:rFonts w:asciiTheme="minorHAnsi" w:hAnsiTheme="minorHAnsi"/>
                <w:sz w:val="22"/>
              </w:rPr>
              <w:t>,000</w:t>
            </w:r>
          </w:p>
        </w:tc>
        <w:tc>
          <w:tcPr>
            <w:tcW w:w="1176" w:type="dxa"/>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22</w:t>
            </w:r>
            <w:r w:rsidRPr="00830493">
              <w:rPr>
                <w:rFonts w:asciiTheme="minorHAnsi" w:hAnsiTheme="minorHAnsi"/>
                <w:sz w:val="22"/>
              </w:rPr>
              <w:t>,000</w:t>
            </w:r>
          </w:p>
        </w:tc>
      </w:tr>
      <w:tr w:rsidR="00644D9D" w:rsidRPr="00830493" w:rsidTr="00A01D4A">
        <w:trPr>
          <w:trHeight w:val="1243"/>
        </w:trPr>
        <w:tc>
          <w:tcPr>
            <w:tcW w:w="8703" w:type="dxa"/>
            <w:gridSpan w:val="7"/>
            <w:tcBorders>
              <w:top w:val="single" w:sz="4" w:space="0" w:color="auto"/>
              <w:left w:val="single" w:sz="4" w:space="0" w:color="auto"/>
              <w:bottom w:val="single" w:sz="4" w:space="0" w:color="auto"/>
              <w:right w:val="single" w:sz="4" w:space="0" w:color="auto"/>
            </w:tcBorders>
            <w:vAlign w:val="center"/>
            <w:hideMark/>
          </w:tcPr>
          <w:p w:rsidR="00644D9D" w:rsidRPr="00830493" w:rsidRDefault="00644D9D" w:rsidP="00A01D4A">
            <w:pPr>
              <w:keepNext/>
              <w:keepLines/>
              <w:spacing w:line="276" w:lineRule="auto"/>
              <w:jc w:val="right"/>
              <w:rPr>
                <w:rFonts w:asciiTheme="minorHAnsi" w:eastAsia="Times New Roman" w:hAnsiTheme="minorHAnsi"/>
                <w:sz w:val="22"/>
              </w:rPr>
            </w:pPr>
            <w:r w:rsidRPr="00830493">
              <w:rPr>
                <w:rFonts w:asciiTheme="minorHAnsi" w:hAnsiTheme="minorHAnsi"/>
                <w:sz w:val="22"/>
              </w:rPr>
              <w:t>Total Burden</w:t>
            </w:r>
          </w:p>
        </w:tc>
        <w:tc>
          <w:tcPr>
            <w:tcW w:w="1176" w:type="dxa"/>
            <w:tcBorders>
              <w:top w:val="single" w:sz="4" w:space="0" w:color="auto"/>
              <w:left w:val="single" w:sz="4" w:space="0" w:color="auto"/>
              <w:bottom w:val="single" w:sz="4" w:space="0" w:color="auto"/>
              <w:right w:val="single" w:sz="4" w:space="0" w:color="auto"/>
            </w:tcBorders>
            <w:vAlign w:val="center"/>
          </w:tcPr>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24,2</w:t>
            </w:r>
            <w:r w:rsidRPr="00830493">
              <w:rPr>
                <w:rFonts w:asciiTheme="minorHAnsi" w:hAnsiTheme="minorHAnsi"/>
                <w:sz w:val="22"/>
              </w:rPr>
              <w:t>00 minutes</w:t>
            </w:r>
          </w:p>
          <w:p w:rsidR="00644D9D" w:rsidRPr="00830493" w:rsidRDefault="00644D9D" w:rsidP="00A01D4A">
            <w:pPr>
              <w:keepNext/>
              <w:keepLines/>
              <w:spacing w:line="276" w:lineRule="auto"/>
              <w:jc w:val="center"/>
              <w:rPr>
                <w:rFonts w:asciiTheme="minorHAnsi" w:hAnsiTheme="minorHAnsi"/>
                <w:sz w:val="22"/>
              </w:rPr>
            </w:pPr>
          </w:p>
          <w:p w:rsidR="00644D9D" w:rsidRPr="00830493" w:rsidRDefault="00644D9D" w:rsidP="00A01D4A">
            <w:pPr>
              <w:keepNext/>
              <w:keepLines/>
              <w:spacing w:line="276" w:lineRule="auto"/>
              <w:jc w:val="center"/>
              <w:rPr>
                <w:rFonts w:asciiTheme="minorHAnsi" w:eastAsia="Times New Roman" w:hAnsiTheme="minorHAnsi"/>
                <w:sz w:val="22"/>
              </w:rPr>
            </w:pPr>
            <w:r>
              <w:rPr>
                <w:rFonts w:asciiTheme="minorHAnsi" w:hAnsiTheme="minorHAnsi"/>
                <w:sz w:val="22"/>
              </w:rPr>
              <w:t>403.33</w:t>
            </w:r>
            <w:r w:rsidRPr="00830493">
              <w:rPr>
                <w:rFonts w:asciiTheme="minorHAnsi" w:hAnsiTheme="minorHAnsi"/>
                <w:sz w:val="22"/>
              </w:rPr>
              <w:t xml:space="preserve"> hours</w:t>
            </w:r>
          </w:p>
        </w:tc>
      </w:tr>
    </w:tbl>
    <w:p w:rsidR="00644D9D" w:rsidRPr="00D76358" w:rsidRDefault="00644D9D" w:rsidP="00644D9D">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olor w:val="000000"/>
          <w:sz w:val="22"/>
          <w:szCs w:val="22"/>
        </w:rPr>
      </w:pPr>
    </w:p>
    <w:p w:rsidR="00644D9D" w:rsidRPr="001C2A2F" w:rsidRDefault="00644D9D" w:rsidP="00644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eastAsia="@MingLiU_HKSCS" w:hAnsiTheme="minorHAnsi"/>
          <w:sz w:val="22"/>
          <w:szCs w:val="22"/>
        </w:rPr>
      </w:pPr>
    </w:p>
    <w:p w:rsidR="00644D9D" w:rsidRPr="001C2A2F" w:rsidRDefault="00644D9D" w:rsidP="00644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eastAsia="@MingLiU_HKSCS" w:hAnsiTheme="minorHAnsi"/>
          <w:sz w:val="22"/>
          <w:szCs w:val="22"/>
        </w:rPr>
      </w:pPr>
      <w:r w:rsidRPr="001C2A2F">
        <w:rPr>
          <w:rFonts w:asciiTheme="minorHAnsi" w:eastAsia="@MingLiU_HKSCS" w:hAnsiTheme="minorHAnsi"/>
          <w:sz w:val="22"/>
          <w:szCs w:val="22"/>
        </w:rPr>
        <w:t xml:space="preserve">In order to meet project deadlines for this work, we need to receive OMB approval no later than </w:t>
      </w:r>
      <w:r>
        <w:rPr>
          <w:rFonts w:asciiTheme="minorHAnsi" w:eastAsia="@MingLiU_HKSCS" w:hAnsiTheme="minorHAnsi"/>
          <w:sz w:val="22"/>
          <w:szCs w:val="22"/>
        </w:rPr>
        <w:t>September 9</w:t>
      </w:r>
      <w:r w:rsidRPr="001C2A2F">
        <w:rPr>
          <w:rFonts w:asciiTheme="minorHAnsi" w:eastAsia="@MingLiU_HKSCS" w:hAnsiTheme="minorHAnsi"/>
          <w:sz w:val="22"/>
          <w:szCs w:val="22"/>
        </w:rPr>
        <w:t>, 2016.</w:t>
      </w:r>
    </w:p>
    <w:p w:rsidR="00644D9D" w:rsidRPr="001C2A2F" w:rsidRDefault="00644D9D" w:rsidP="00644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eastAsia="@MingLiU_HKSCS" w:hAnsiTheme="minorHAnsi"/>
          <w:sz w:val="22"/>
          <w:szCs w:val="22"/>
        </w:rPr>
      </w:pPr>
    </w:p>
    <w:p w:rsidR="00644D9D" w:rsidRPr="001C2A2F" w:rsidRDefault="00644D9D" w:rsidP="00644D9D">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eastAsia="@MingLiU_HKSCS" w:hAnsiTheme="minorHAnsi"/>
          <w:sz w:val="22"/>
          <w:szCs w:val="22"/>
        </w:rPr>
      </w:pPr>
      <w:r w:rsidRPr="001C2A2F">
        <w:rPr>
          <w:rFonts w:asciiTheme="minorHAnsi" w:eastAsia="@MingLiU_HKSCS" w:hAnsiTheme="minorHAnsi"/>
          <w:sz w:val="22"/>
          <w:szCs w:val="22"/>
        </w:rPr>
        <w:t xml:space="preserve">The contact person for questions regarding data collection and study design is: </w:t>
      </w:r>
      <w:r w:rsidRPr="001C2A2F">
        <w:rPr>
          <w:rFonts w:asciiTheme="minorHAnsi" w:eastAsia="@MingLiU_HKSCS" w:hAnsiTheme="minorHAnsi"/>
          <w:sz w:val="22"/>
          <w:szCs w:val="22"/>
        </w:rPr>
        <w:tab/>
      </w:r>
    </w:p>
    <w:p w:rsidR="00644D9D" w:rsidRPr="001C2A2F" w:rsidRDefault="00644D9D" w:rsidP="00644D9D">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sz w:val="22"/>
          <w:szCs w:val="22"/>
        </w:rPr>
      </w:pPr>
    </w:p>
    <w:p w:rsidR="00644D9D" w:rsidRPr="001C2A2F" w:rsidRDefault="00644D9D" w:rsidP="00644D9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sz w:val="22"/>
          <w:szCs w:val="22"/>
        </w:rPr>
      </w:pPr>
      <w:r w:rsidRPr="001C2A2F">
        <w:rPr>
          <w:rFonts w:asciiTheme="minorHAnsi" w:eastAsia="@MingLiU_HKSCS" w:hAnsiTheme="minorHAnsi"/>
          <w:sz w:val="22"/>
          <w:szCs w:val="22"/>
        </w:rPr>
        <w:tab/>
      </w:r>
      <w:r>
        <w:rPr>
          <w:rFonts w:asciiTheme="minorHAnsi" w:eastAsia="@MingLiU_HKSCS" w:hAnsiTheme="minorHAnsi"/>
          <w:sz w:val="22"/>
          <w:szCs w:val="22"/>
        </w:rPr>
        <w:t xml:space="preserve">Jessica </w:t>
      </w:r>
      <w:proofErr w:type="spellStart"/>
      <w:r>
        <w:rPr>
          <w:rFonts w:asciiTheme="minorHAnsi" w:eastAsia="@MingLiU_HKSCS" w:hAnsiTheme="minorHAnsi"/>
          <w:sz w:val="22"/>
          <w:szCs w:val="22"/>
        </w:rPr>
        <w:t>Holzberg</w:t>
      </w:r>
      <w:proofErr w:type="spellEnd"/>
      <w:r w:rsidRPr="001C2A2F">
        <w:rPr>
          <w:rFonts w:asciiTheme="minorHAnsi" w:eastAsia="@MingLiU_HKSCS" w:hAnsiTheme="minorHAnsi"/>
          <w:sz w:val="22"/>
          <w:szCs w:val="22"/>
        </w:rPr>
        <w:br/>
      </w:r>
      <w:r w:rsidRPr="001C2A2F">
        <w:rPr>
          <w:rFonts w:asciiTheme="minorHAnsi" w:eastAsia="@MingLiU_HKSCS" w:hAnsiTheme="minorHAnsi"/>
          <w:sz w:val="22"/>
          <w:szCs w:val="22"/>
        </w:rPr>
        <w:tab/>
        <w:t>Demographic Statistical Methods Division</w:t>
      </w:r>
    </w:p>
    <w:p w:rsidR="00644D9D" w:rsidRPr="001C2A2F" w:rsidRDefault="00644D9D" w:rsidP="00644D9D">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sz w:val="22"/>
          <w:szCs w:val="22"/>
        </w:rPr>
      </w:pPr>
      <w:r w:rsidRPr="001C2A2F">
        <w:rPr>
          <w:rFonts w:asciiTheme="minorHAnsi" w:eastAsia="@MingLiU_HKSCS" w:hAnsiTheme="minorHAnsi"/>
          <w:sz w:val="22"/>
          <w:szCs w:val="22"/>
        </w:rPr>
        <w:lastRenderedPageBreak/>
        <w:tab/>
        <w:t xml:space="preserve">U.S. Census Bureau </w:t>
      </w:r>
    </w:p>
    <w:p w:rsidR="00644D9D" w:rsidRPr="001C2A2F" w:rsidRDefault="00644D9D" w:rsidP="00644D9D">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sz w:val="22"/>
          <w:szCs w:val="22"/>
        </w:rPr>
      </w:pPr>
      <w:r w:rsidRPr="001C2A2F">
        <w:rPr>
          <w:rFonts w:asciiTheme="minorHAnsi" w:eastAsia="@MingLiU_HKSCS" w:hAnsiTheme="minorHAnsi"/>
          <w:sz w:val="22"/>
          <w:szCs w:val="22"/>
        </w:rPr>
        <w:tab/>
        <w:t>Room 7H</w:t>
      </w:r>
      <w:r>
        <w:rPr>
          <w:rFonts w:asciiTheme="minorHAnsi" w:eastAsia="@MingLiU_HKSCS" w:hAnsiTheme="minorHAnsi"/>
          <w:sz w:val="22"/>
          <w:szCs w:val="22"/>
        </w:rPr>
        <w:t>160E</w:t>
      </w:r>
    </w:p>
    <w:p w:rsidR="00644D9D" w:rsidRPr="001C2A2F" w:rsidRDefault="00644D9D" w:rsidP="00644D9D">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sz w:val="22"/>
          <w:szCs w:val="22"/>
        </w:rPr>
      </w:pPr>
      <w:r w:rsidRPr="001C2A2F">
        <w:rPr>
          <w:rFonts w:asciiTheme="minorHAnsi" w:eastAsia="@MingLiU_HKSCS" w:hAnsiTheme="minorHAnsi"/>
          <w:sz w:val="22"/>
          <w:szCs w:val="22"/>
        </w:rPr>
        <w:tab/>
        <w:t>Washington, D.C. 20233</w:t>
      </w:r>
    </w:p>
    <w:p w:rsidR="00644D9D" w:rsidRDefault="00644D9D" w:rsidP="00644D9D">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sz w:val="22"/>
          <w:szCs w:val="22"/>
        </w:rPr>
      </w:pPr>
      <w:r w:rsidRPr="001C2A2F">
        <w:rPr>
          <w:rFonts w:asciiTheme="minorHAnsi" w:eastAsia="@MingLiU_HKSCS" w:hAnsiTheme="minorHAnsi"/>
          <w:sz w:val="22"/>
          <w:szCs w:val="22"/>
        </w:rPr>
        <w:tab/>
        <w:t>(301) 763-</w:t>
      </w:r>
      <w:r>
        <w:rPr>
          <w:rFonts w:asciiTheme="minorHAnsi" w:eastAsia="@MingLiU_HKSCS" w:hAnsiTheme="minorHAnsi"/>
          <w:sz w:val="22"/>
          <w:szCs w:val="22"/>
        </w:rPr>
        <w:t>2298</w:t>
      </w:r>
    </w:p>
    <w:p w:rsidR="00644D9D" w:rsidRDefault="00644D9D" w:rsidP="00644D9D">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sz w:val="22"/>
          <w:szCs w:val="22"/>
        </w:rPr>
      </w:pPr>
      <w:r>
        <w:rPr>
          <w:rFonts w:asciiTheme="minorHAnsi" w:eastAsia="@MingLiU_HKSCS" w:hAnsiTheme="minorHAnsi"/>
          <w:sz w:val="22"/>
          <w:szCs w:val="22"/>
        </w:rPr>
        <w:tab/>
      </w:r>
      <w:hyperlink r:id="rId6" w:history="1">
        <w:r w:rsidRPr="00170D6E">
          <w:rPr>
            <w:rStyle w:val="Hyperlink"/>
            <w:rFonts w:asciiTheme="minorHAnsi" w:eastAsia="@MingLiU_HKSCS" w:hAnsiTheme="minorHAnsi"/>
            <w:sz w:val="22"/>
            <w:szCs w:val="22"/>
          </w:rPr>
          <w:t>Jessica.holzberg@census.gov</w:t>
        </w:r>
      </w:hyperlink>
    </w:p>
    <w:p w:rsidR="00644D9D" w:rsidRDefault="00644D9D" w:rsidP="00644D9D">
      <w:pPr>
        <w:widowControl/>
        <w:autoSpaceDE/>
        <w:autoSpaceDN/>
        <w:adjustRightInd/>
        <w:spacing w:after="200" w:line="276" w:lineRule="auto"/>
        <w:rPr>
          <w:rFonts w:asciiTheme="minorHAnsi" w:eastAsia="@MingLiU_HKSCS" w:hAnsiTheme="minorHAnsi"/>
          <w:sz w:val="22"/>
          <w:szCs w:val="22"/>
        </w:rPr>
      </w:pPr>
      <w:r>
        <w:rPr>
          <w:rFonts w:asciiTheme="minorHAnsi" w:eastAsia="@MingLiU_HKSCS" w:hAnsiTheme="minorHAnsi"/>
          <w:sz w:val="22"/>
          <w:szCs w:val="22"/>
        </w:rPr>
        <w:br w:type="page"/>
      </w:r>
    </w:p>
    <w:p w:rsidR="003D2339" w:rsidRDefault="003D2339"/>
    <w:sectPr w:rsidR="003D2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9F6"/>
    <w:multiLevelType w:val="hybridMultilevel"/>
    <w:tmpl w:val="B1F0DE44"/>
    <w:lvl w:ilvl="0" w:tplc="0409000F">
      <w:start w:val="1"/>
      <w:numFmt w:val="decimal"/>
      <w:lvlText w:val="%1."/>
      <w:lvlJc w:val="left"/>
      <w:pPr>
        <w:ind w:left="2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E5D4184"/>
    <w:multiLevelType w:val="hybridMultilevel"/>
    <w:tmpl w:val="2D8CB528"/>
    <w:lvl w:ilvl="0" w:tplc="F64C6E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Empty"/>
  </w:docVars>
  <w:rsids>
    <w:rsidRoot w:val="00644D9D"/>
    <w:rsid w:val="003D2339"/>
    <w:rsid w:val="0064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9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4D9D"/>
    <w:pPr>
      <w:ind w:left="720"/>
      <w:contextualSpacing/>
    </w:pPr>
  </w:style>
  <w:style w:type="character" w:styleId="Hyperlink">
    <w:name w:val="Hyperlink"/>
    <w:basedOn w:val="DefaultParagraphFont"/>
    <w:uiPriority w:val="99"/>
    <w:unhideWhenUsed/>
    <w:rsid w:val="00644D9D"/>
    <w:rPr>
      <w:color w:val="0000FF" w:themeColor="hyperlink"/>
      <w:u w:val="single"/>
    </w:rPr>
  </w:style>
  <w:style w:type="character" w:styleId="CommentReference">
    <w:name w:val="annotation reference"/>
    <w:basedOn w:val="DefaultParagraphFont"/>
    <w:uiPriority w:val="99"/>
    <w:semiHidden/>
    <w:unhideWhenUsed/>
    <w:rsid w:val="00644D9D"/>
    <w:rPr>
      <w:sz w:val="16"/>
      <w:szCs w:val="16"/>
    </w:rPr>
  </w:style>
  <w:style w:type="paragraph" w:styleId="CommentText">
    <w:name w:val="annotation text"/>
    <w:basedOn w:val="Normal"/>
    <w:link w:val="CommentTextChar"/>
    <w:uiPriority w:val="99"/>
    <w:semiHidden/>
    <w:unhideWhenUsed/>
    <w:rsid w:val="00644D9D"/>
    <w:rPr>
      <w:sz w:val="20"/>
      <w:szCs w:val="20"/>
    </w:rPr>
  </w:style>
  <w:style w:type="character" w:customStyle="1" w:styleId="CommentTextChar">
    <w:name w:val="Comment Text Char"/>
    <w:basedOn w:val="DefaultParagraphFont"/>
    <w:link w:val="CommentText"/>
    <w:uiPriority w:val="99"/>
    <w:semiHidden/>
    <w:rsid w:val="00644D9D"/>
    <w:rPr>
      <w:rFonts w:ascii="Times New Roman" w:eastAsiaTheme="minorEastAsia" w:hAnsi="Times New Roman" w:cs="Times New Roman"/>
      <w:sz w:val="20"/>
      <w:szCs w:val="20"/>
    </w:rPr>
  </w:style>
  <w:style w:type="character" w:customStyle="1" w:styleId="ListParagraphChar">
    <w:name w:val="List Paragraph Char"/>
    <w:link w:val="ListParagraph"/>
    <w:uiPriority w:val="34"/>
    <w:rsid w:val="00644D9D"/>
    <w:rPr>
      <w:rFonts w:ascii="Times New Roman" w:eastAsiaTheme="minorEastAsia" w:hAnsi="Times New Roman" w:cs="Times New Roman"/>
      <w:sz w:val="24"/>
      <w:szCs w:val="24"/>
    </w:rPr>
  </w:style>
  <w:style w:type="paragraph" w:styleId="BodyText">
    <w:name w:val="Body Text"/>
    <w:basedOn w:val="Normal"/>
    <w:link w:val="BodyTextChar"/>
    <w:unhideWhenUsed/>
    <w:rsid w:val="00644D9D"/>
    <w:pPr>
      <w:widowControl/>
      <w:autoSpaceDE/>
      <w:autoSpaceDN/>
      <w:adjustRightInd/>
    </w:pPr>
    <w:rPr>
      <w:rFonts w:eastAsia="Times New Roman"/>
      <w:sz w:val="22"/>
      <w:szCs w:val="20"/>
    </w:rPr>
  </w:style>
  <w:style w:type="character" w:customStyle="1" w:styleId="BodyTextChar">
    <w:name w:val="Body Text Char"/>
    <w:basedOn w:val="DefaultParagraphFont"/>
    <w:link w:val="BodyText"/>
    <w:rsid w:val="00644D9D"/>
    <w:rPr>
      <w:rFonts w:ascii="Times New Roman" w:eastAsia="Times New Roman" w:hAnsi="Times New Roman" w:cs="Times New Roman"/>
      <w:szCs w:val="20"/>
    </w:rPr>
  </w:style>
  <w:style w:type="table" w:styleId="TableGrid">
    <w:name w:val="Table Grid"/>
    <w:basedOn w:val="TableNormal"/>
    <w:uiPriority w:val="59"/>
    <w:rsid w:val="00644D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D9D"/>
    <w:rPr>
      <w:rFonts w:ascii="Tahoma" w:hAnsi="Tahoma" w:cs="Tahoma"/>
      <w:sz w:val="16"/>
      <w:szCs w:val="16"/>
    </w:rPr>
  </w:style>
  <w:style w:type="character" w:customStyle="1" w:styleId="BalloonTextChar">
    <w:name w:val="Balloon Text Char"/>
    <w:basedOn w:val="DefaultParagraphFont"/>
    <w:link w:val="BalloonText"/>
    <w:uiPriority w:val="99"/>
    <w:semiHidden/>
    <w:rsid w:val="00644D9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9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4D9D"/>
    <w:pPr>
      <w:ind w:left="720"/>
      <w:contextualSpacing/>
    </w:pPr>
  </w:style>
  <w:style w:type="character" w:styleId="Hyperlink">
    <w:name w:val="Hyperlink"/>
    <w:basedOn w:val="DefaultParagraphFont"/>
    <w:uiPriority w:val="99"/>
    <w:unhideWhenUsed/>
    <w:rsid w:val="00644D9D"/>
    <w:rPr>
      <w:color w:val="0000FF" w:themeColor="hyperlink"/>
      <w:u w:val="single"/>
    </w:rPr>
  </w:style>
  <w:style w:type="character" w:styleId="CommentReference">
    <w:name w:val="annotation reference"/>
    <w:basedOn w:val="DefaultParagraphFont"/>
    <w:uiPriority w:val="99"/>
    <w:semiHidden/>
    <w:unhideWhenUsed/>
    <w:rsid w:val="00644D9D"/>
    <w:rPr>
      <w:sz w:val="16"/>
      <w:szCs w:val="16"/>
    </w:rPr>
  </w:style>
  <w:style w:type="paragraph" w:styleId="CommentText">
    <w:name w:val="annotation text"/>
    <w:basedOn w:val="Normal"/>
    <w:link w:val="CommentTextChar"/>
    <w:uiPriority w:val="99"/>
    <w:semiHidden/>
    <w:unhideWhenUsed/>
    <w:rsid w:val="00644D9D"/>
    <w:rPr>
      <w:sz w:val="20"/>
      <w:szCs w:val="20"/>
    </w:rPr>
  </w:style>
  <w:style w:type="character" w:customStyle="1" w:styleId="CommentTextChar">
    <w:name w:val="Comment Text Char"/>
    <w:basedOn w:val="DefaultParagraphFont"/>
    <w:link w:val="CommentText"/>
    <w:uiPriority w:val="99"/>
    <w:semiHidden/>
    <w:rsid w:val="00644D9D"/>
    <w:rPr>
      <w:rFonts w:ascii="Times New Roman" w:eastAsiaTheme="minorEastAsia" w:hAnsi="Times New Roman" w:cs="Times New Roman"/>
      <w:sz w:val="20"/>
      <w:szCs w:val="20"/>
    </w:rPr>
  </w:style>
  <w:style w:type="character" w:customStyle="1" w:styleId="ListParagraphChar">
    <w:name w:val="List Paragraph Char"/>
    <w:link w:val="ListParagraph"/>
    <w:uiPriority w:val="34"/>
    <w:rsid w:val="00644D9D"/>
    <w:rPr>
      <w:rFonts w:ascii="Times New Roman" w:eastAsiaTheme="minorEastAsia" w:hAnsi="Times New Roman" w:cs="Times New Roman"/>
      <w:sz w:val="24"/>
      <w:szCs w:val="24"/>
    </w:rPr>
  </w:style>
  <w:style w:type="paragraph" w:styleId="BodyText">
    <w:name w:val="Body Text"/>
    <w:basedOn w:val="Normal"/>
    <w:link w:val="BodyTextChar"/>
    <w:unhideWhenUsed/>
    <w:rsid w:val="00644D9D"/>
    <w:pPr>
      <w:widowControl/>
      <w:autoSpaceDE/>
      <w:autoSpaceDN/>
      <w:adjustRightInd/>
    </w:pPr>
    <w:rPr>
      <w:rFonts w:eastAsia="Times New Roman"/>
      <w:sz w:val="22"/>
      <w:szCs w:val="20"/>
    </w:rPr>
  </w:style>
  <w:style w:type="character" w:customStyle="1" w:styleId="BodyTextChar">
    <w:name w:val="Body Text Char"/>
    <w:basedOn w:val="DefaultParagraphFont"/>
    <w:link w:val="BodyText"/>
    <w:rsid w:val="00644D9D"/>
    <w:rPr>
      <w:rFonts w:ascii="Times New Roman" w:eastAsia="Times New Roman" w:hAnsi="Times New Roman" w:cs="Times New Roman"/>
      <w:szCs w:val="20"/>
    </w:rPr>
  </w:style>
  <w:style w:type="table" w:styleId="TableGrid">
    <w:name w:val="Table Grid"/>
    <w:basedOn w:val="TableNormal"/>
    <w:uiPriority w:val="59"/>
    <w:rsid w:val="00644D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D9D"/>
    <w:rPr>
      <w:rFonts w:ascii="Tahoma" w:hAnsi="Tahoma" w:cs="Tahoma"/>
      <w:sz w:val="16"/>
      <w:szCs w:val="16"/>
    </w:rPr>
  </w:style>
  <w:style w:type="character" w:customStyle="1" w:styleId="BalloonTextChar">
    <w:name w:val="Balloon Text Char"/>
    <w:basedOn w:val="DefaultParagraphFont"/>
    <w:link w:val="BalloonText"/>
    <w:uiPriority w:val="99"/>
    <w:semiHidden/>
    <w:rsid w:val="00644D9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holzberg@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F9E1A209.dotm</Template>
  <TotalTime>0</TotalTime>
  <Pages>5</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dc:creator>
  <cp:lastModifiedBy>Jennifer Hunter Childs</cp:lastModifiedBy>
  <cp:revision>1</cp:revision>
  <dcterms:created xsi:type="dcterms:W3CDTF">2016-08-16T19:59:00Z</dcterms:created>
  <dcterms:modified xsi:type="dcterms:W3CDTF">2016-08-16T19:59:00Z</dcterms:modified>
</cp:coreProperties>
</file>