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4A" w:rsidRDefault="00B9414A" w:rsidP="00B9414A">
      <w:pPr>
        <w:pStyle w:val="Title"/>
        <w:spacing w:after="240"/>
        <w:rPr>
          <w:rFonts w:ascii="Times New Roman" w:hAnsi="Times New Roman"/>
          <w:szCs w:val="24"/>
          <w:u w:val="none"/>
        </w:rPr>
      </w:pPr>
      <w:r w:rsidRPr="00205696">
        <w:rPr>
          <w:rFonts w:ascii="Times New Roman" w:hAnsi="Times New Roman"/>
          <w:szCs w:val="24"/>
          <w:u w:val="none"/>
        </w:rPr>
        <w:t xml:space="preserve">SUPPORTING STATEMENT </w:t>
      </w:r>
      <w:r w:rsidRPr="00205696">
        <w:rPr>
          <w:rFonts w:ascii="Times New Roman" w:hAnsi="Times New Roman"/>
          <w:szCs w:val="24"/>
          <w:u w:val="none"/>
        </w:rPr>
        <w:br/>
        <w:t xml:space="preserve">for the Paperwork Reduction Act Information Collection Submission for </w:t>
      </w:r>
      <w:r>
        <w:rPr>
          <w:rFonts w:ascii="Times New Roman" w:hAnsi="Times New Roman"/>
          <w:szCs w:val="24"/>
          <w:u w:val="none"/>
        </w:rPr>
        <w:t>Rule 17a-5</w:t>
      </w:r>
    </w:p>
    <w:p w:rsidR="003C595B" w:rsidRPr="007A1B7C" w:rsidRDefault="003C595B" w:rsidP="003C595B">
      <w:pPr>
        <w:spacing w:after="240"/>
        <w:ind w:right="72" w:firstLine="720"/>
      </w:pPr>
      <w:r w:rsidRPr="007A1B7C">
        <w:rPr>
          <w:spacing w:val="-3"/>
        </w:rPr>
        <w:t>T</w:t>
      </w:r>
      <w:r w:rsidRPr="007A1B7C">
        <w:rPr>
          <w:spacing w:val="-2"/>
        </w:rPr>
        <w:t>hi</w:t>
      </w:r>
      <w:r w:rsidRPr="007A1B7C">
        <w:t>s</w:t>
      </w:r>
      <w:r w:rsidRPr="007A1B7C">
        <w:rPr>
          <w:spacing w:val="-7"/>
        </w:rPr>
        <w:t xml:space="preserve"> </w:t>
      </w:r>
      <w:r w:rsidRPr="007A1B7C">
        <w:rPr>
          <w:spacing w:val="-2"/>
        </w:rPr>
        <w:t>su</w:t>
      </w:r>
      <w:r w:rsidRPr="007A1B7C">
        <w:rPr>
          <w:spacing w:val="-5"/>
        </w:rPr>
        <w:t>b</w:t>
      </w:r>
      <w:r w:rsidRPr="007A1B7C">
        <w:rPr>
          <w:spacing w:val="-2"/>
        </w:rPr>
        <w:t>m</w:t>
      </w:r>
      <w:r w:rsidRPr="007A1B7C">
        <w:rPr>
          <w:spacing w:val="-4"/>
        </w:rPr>
        <w:t>i</w:t>
      </w:r>
      <w:r w:rsidRPr="007A1B7C">
        <w:rPr>
          <w:spacing w:val="-2"/>
        </w:rPr>
        <w:t>ss</w:t>
      </w:r>
      <w:r w:rsidRPr="007A1B7C">
        <w:rPr>
          <w:spacing w:val="-4"/>
        </w:rPr>
        <w:t>i</w:t>
      </w:r>
      <w:r w:rsidRPr="007A1B7C">
        <w:rPr>
          <w:spacing w:val="-2"/>
        </w:rPr>
        <w:t>o</w:t>
      </w:r>
      <w:r w:rsidRPr="007A1B7C">
        <w:t>n</w:t>
      </w:r>
      <w:r w:rsidRPr="007A1B7C">
        <w:rPr>
          <w:spacing w:val="-7"/>
        </w:rPr>
        <w:t xml:space="preserve"> </w:t>
      </w:r>
      <w:r w:rsidRPr="007A1B7C">
        <w:rPr>
          <w:spacing w:val="-2"/>
        </w:rPr>
        <w:t>i</w:t>
      </w:r>
      <w:r w:rsidRPr="007A1B7C">
        <w:t>s</w:t>
      </w:r>
      <w:r w:rsidRPr="007A1B7C">
        <w:rPr>
          <w:spacing w:val="-5"/>
        </w:rPr>
        <w:t xml:space="preserve"> </w:t>
      </w:r>
      <w:r w:rsidRPr="007A1B7C">
        <w:rPr>
          <w:spacing w:val="-2"/>
        </w:rPr>
        <w:t>b</w:t>
      </w:r>
      <w:r w:rsidRPr="007A1B7C">
        <w:rPr>
          <w:spacing w:val="-6"/>
        </w:rPr>
        <w:t>e</w:t>
      </w:r>
      <w:r w:rsidRPr="007A1B7C">
        <w:rPr>
          <w:spacing w:val="-2"/>
        </w:rPr>
        <w:t>in</w:t>
      </w:r>
      <w:r w:rsidRPr="007A1B7C">
        <w:t>g</w:t>
      </w:r>
      <w:r w:rsidRPr="007A1B7C">
        <w:rPr>
          <w:spacing w:val="-7"/>
        </w:rPr>
        <w:t xml:space="preserve"> </w:t>
      </w:r>
      <w:r w:rsidRPr="007A1B7C">
        <w:rPr>
          <w:spacing w:val="-2"/>
        </w:rPr>
        <w:t>m</w:t>
      </w:r>
      <w:r w:rsidRPr="007A1B7C">
        <w:rPr>
          <w:spacing w:val="-3"/>
        </w:rPr>
        <w:t>a</w:t>
      </w:r>
      <w:r w:rsidRPr="007A1B7C">
        <w:rPr>
          <w:spacing w:val="-2"/>
        </w:rPr>
        <w:t>d</w:t>
      </w:r>
      <w:r w:rsidRPr="007A1B7C">
        <w:t>e</w:t>
      </w:r>
      <w:r w:rsidRPr="007A1B7C">
        <w:rPr>
          <w:spacing w:val="-6"/>
        </w:rPr>
        <w:t xml:space="preserve"> </w:t>
      </w:r>
      <w:r w:rsidRPr="007A1B7C">
        <w:rPr>
          <w:spacing w:val="-2"/>
        </w:rPr>
        <w:t>pu</w:t>
      </w:r>
      <w:r w:rsidRPr="007A1B7C">
        <w:rPr>
          <w:spacing w:val="-3"/>
        </w:rPr>
        <w:t>r</w:t>
      </w:r>
      <w:r w:rsidRPr="007A1B7C">
        <w:rPr>
          <w:spacing w:val="-5"/>
        </w:rPr>
        <w:t>s</w:t>
      </w:r>
      <w:r w:rsidRPr="007A1B7C">
        <w:rPr>
          <w:spacing w:val="-2"/>
        </w:rPr>
        <w:t>u</w:t>
      </w:r>
      <w:r w:rsidRPr="007A1B7C">
        <w:rPr>
          <w:spacing w:val="-3"/>
        </w:rPr>
        <w:t>a</w:t>
      </w:r>
      <w:r w:rsidRPr="007A1B7C">
        <w:rPr>
          <w:spacing w:val="-2"/>
        </w:rPr>
        <w:t>n</w:t>
      </w:r>
      <w:r w:rsidRPr="007A1B7C">
        <w:t>t</w:t>
      </w:r>
      <w:r w:rsidRPr="007A1B7C">
        <w:rPr>
          <w:spacing w:val="-7"/>
        </w:rPr>
        <w:t xml:space="preserve"> </w:t>
      </w:r>
      <w:r w:rsidRPr="007A1B7C">
        <w:rPr>
          <w:spacing w:val="-2"/>
        </w:rPr>
        <w:t>t</w:t>
      </w:r>
      <w:r w:rsidRPr="007A1B7C">
        <w:t>o</w:t>
      </w:r>
      <w:r w:rsidRPr="007A1B7C">
        <w:rPr>
          <w:spacing w:val="-7"/>
        </w:rPr>
        <w:t xml:space="preserve"> </w:t>
      </w:r>
      <w:r w:rsidRPr="007A1B7C">
        <w:rPr>
          <w:spacing w:val="-2"/>
        </w:rPr>
        <w:t>th</w:t>
      </w:r>
      <w:r w:rsidRPr="007A1B7C">
        <w:t>e</w:t>
      </w:r>
      <w:r w:rsidRPr="007A1B7C">
        <w:rPr>
          <w:spacing w:val="-8"/>
        </w:rPr>
        <w:t xml:space="preserve"> </w:t>
      </w:r>
      <w:r w:rsidRPr="007A1B7C">
        <w:rPr>
          <w:spacing w:val="-1"/>
        </w:rPr>
        <w:t>P</w:t>
      </w:r>
      <w:r w:rsidRPr="007A1B7C">
        <w:rPr>
          <w:spacing w:val="-3"/>
        </w:rPr>
        <w:t>a</w:t>
      </w:r>
      <w:r w:rsidRPr="007A1B7C">
        <w:rPr>
          <w:spacing w:val="-5"/>
        </w:rPr>
        <w:t>p</w:t>
      </w:r>
      <w:r w:rsidRPr="007A1B7C">
        <w:rPr>
          <w:spacing w:val="-3"/>
        </w:rPr>
        <w:t>erw</w:t>
      </w:r>
      <w:r w:rsidRPr="007A1B7C">
        <w:rPr>
          <w:spacing w:val="-2"/>
        </w:rPr>
        <w:t>o</w:t>
      </w:r>
      <w:r w:rsidRPr="007A1B7C">
        <w:rPr>
          <w:spacing w:val="-3"/>
        </w:rPr>
        <w:t>r</w:t>
      </w:r>
      <w:r w:rsidRPr="007A1B7C">
        <w:t>k</w:t>
      </w:r>
      <w:r w:rsidRPr="007A1B7C">
        <w:rPr>
          <w:spacing w:val="-5"/>
        </w:rPr>
        <w:t xml:space="preserve"> </w:t>
      </w:r>
      <w:r w:rsidRPr="007A1B7C">
        <w:rPr>
          <w:spacing w:val="-2"/>
        </w:rPr>
        <w:t>R</w:t>
      </w:r>
      <w:r w:rsidRPr="007A1B7C">
        <w:rPr>
          <w:spacing w:val="-3"/>
        </w:rPr>
        <w:t>e</w:t>
      </w:r>
      <w:r w:rsidRPr="007A1B7C">
        <w:rPr>
          <w:spacing w:val="-2"/>
        </w:rPr>
        <w:t>du</w:t>
      </w:r>
      <w:r w:rsidRPr="007A1B7C">
        <w:rPr>
          <w:spacing w:val="-6"/>
        </w:rPr>
        <w:t>c</w:t>
      </w:r>
      <w:r w:rsidRPr="007A1B7C">
        <w:rPr>
          <w:spacing w:val="-2"/>
        </w:rPr>
        <w:t>ti</w:t>
      </w:r>
      <w:r w:rsidRPr="007A1B7C">
        <w:rPr>
          <w:spacing w:val="-5"/>
        </w:rPr>
        <w:t>o</w:t>
      </w:r>
      <w:r w:rsidRPr="007A1B7C">
        <w:t>n</w:t>
      </w:r>
      <w:r w:rsidRPr="007A1B7C">
        <w:rPr>
          <w:spacing w:val="-5"/>
        </w:rPr>
        <w:t xml:space="preserve"> </w:t>
      </w:r>
      <w:r w:rsidRPr="007A1B7C">
        <w:rPr>
          <w:spacing w:val="-3"/>
        </w:rPr>
        <w:t>Ac</w:t>
      </w:r>
      <w:r w:rsidRPr="007A1B7C">
        <w:t>t</w:t>
      </w:r>
      <w:r w:rsidRPr="007A1B7C">
        <w:rPr>
          <w:spacing w:val="-7"/>
        </w:rPr>
        <w:t xml:space="preserve"> </w:t>
      </w:r>
      <w:r w:rsidRPr="007A1B7C">
        <w:rPr>
          <w:spacing w:val="-2"/>
        </w:rPr>
        <w:t>o</w:t>
      </w:r>
      <w:r w:rsidRPr="007A1B7C">
        <w:t>f</w:t>
      </w:r>
      <w:r w:rsidRPr="007A1B7C">
        <w:rPr>
          <w:spacing w:val="-8"/>
        </w:rPr>
        <w:t xml:space="preserve"> </w:t>
      </w:r>
      <w:r w:rsidRPr="007A1B7C">
        <w:rPr>
          <w:spacing w:val="-2"/>
        </w:rPr>
        <w:t>1995</w:t>
      </w:r>
      <w:r w:rsidRPr="007A1B7C">
        <w:t>,</w:t>
      </w:r>
      <w:r w:rsidRPr="007A1B7C">
        <w:rPr>
          <w:spacing w:val="-7"/>
        </w:rPr>
        <w:t xml:space="preserve"> </w:t>
      </w:r>
      <w:r w:rsidRPr="007A1B7C">
        <w:rPr>
          <w:spacing w:val="-2"/>
        </w:rPr>
        <w:t>4</w:t>
      </w:r>
      <w:r w:rsidRPr="007A1B7C">
        <w:t>4</w:t>
      </w:r>
      <w:r w:rsidRPr="007A1B7C">
        <w:rPr>
          <w:spacing w:val="-5"/>
        </w:rPr>
        <w:t xml:space="preserve"> </w:t>
      </w:r>
      <w:r w:rsidRPr="007A1B7C">
        <w:rPr>
          <w:spacing w:val="-3"/>
        </w:rPr>
        <w:t>U</w:t>
      </w:r>
      <w:r w:rsidRPr="007A1B7C">
        <w:rPr>
          <w:spacing w:val="-5"/>
        </w:rPr>
        <w:t>.</w:t>
      </w:r>
      <w:r w:rsidRPr="007A1B7C">
        <w:rPr>
          <w:spacing w:val="-1"/>
        </w:rPr>
        <w:t>S</w:t>
      </w:r>
      <w:r w:rsidRPr="007A1B7C">
        <w:rPr>
          <w:spacing w:val="-5"/>
        </w:rPr>
        <w:t>.</w:t>
      </w:r>
      <w:r w:rsidRPr="007A1B7C">
        <w:rPr>
          <w:spacing w:val="-2"/>
        </w:rPr>
        <w:t>C</w:t>
      </w:r>
      <w:r w:rsidRPr="007A1B7C">
        <w:t xml:space="preserve">. </w:t>
      </w:r>
      <w:r w:rsidRPr="007A1B7C">
        <w:rPr>
          <w:spacing w:val="-1"/>
        </w:rPr>
        <w:t>S</w:t>
      </w:r>
      <w:r w:rsidRPr="007A1B7C">
        <w:rPr>
          <w:spacing w:val="-3"/>
        </w:rPr>
        <w:t>ec</w:t>
      </w:r>
      <w:r w:rsidRPr="007A1B7C">
        <w:rPr>
          <w:spacing w:val="-2"/>
        </w:rPr>
        <w:t>t</w:t>
      </w:r>
      <w:r w:rsidRPr="007A1B7C">
        <w:rPr>
          <w:spacing w:val="-4"/>
        </w:rPr>
        <w:t>i</w:t>
      </w:r>
      <w:r w:rsidRPr="007A1B7C">
        <w:rPr>
          <w:spacing w:val="-2"/>
        </w:rPr>
        <w:t>o</w:t>
      </w:r>
      <w:r w:rsidRPr="007A1B7C">
        <w:t>n</w:t>
      </w:r>
      <w:r w:rsidRPr="007A1B7C">
        <w:rPr>
          <w:spacing w:val="-5"/>
        </w:rPr>
        <w:t xml:space="preserve"> 3</w:t>
      </w:r>
      <w:r w:rsidRPr="007A1B7C">
        <w:rPr>
          <w:spacing w:val="-2"/>
        </w:rPr>
        <w:t>50</w:t>
      </w:r>
      <w:r w:rsidRPr="007A1B7C">
        <w:t>1</w:t>
      </w:r>
      <w:r w:rsidRPr="007A1B7C">
        <w:rPr>
          <w:spacing w:val="-5"/>
        </w:rPr>
        <w:t xml:space="preserve"> </w:t>
      </w:r>
      <w:r w:rsidRPr="007A1B7C">
        <w:rPr>
          <w:spacing w:val="-6"/>
        </w:rPr>
        <w:t>e</w:t>
      </w:r>
      <w:r w:rsidRPr="007A1B7C">
        <w:t>t</w:t>
      </w:r>
      <w:r w:rsidRPr="007A1B7C">
        <w:rPr>
          <w:spacing w:val="-4"/>
        </w:rPr>
        <w:t xml:space="preserve"> </w:t>
      </w:r>
      <w:r w:rsidRPr="007A1B7C">
        <w:rPr>
          <w:spacing w:val="-2"/>
        </w:rPr>
        <w:t>s</w:t>
      </w:r>
      <w:r w:rsidRPr="007A1B7C">
        <w:rPr>
          <w:spacing w:val="-3"/>
        </w:rPr>
        <w:t>e</w:t>
      </w:r>
      <w:r w:rsidRPr="007A1B7C">
        <w:rPr>
          <w:spacing w:val="-5"/>
        </w:rPr>
        <w:t>q</w:t>
      </w:r>
      <w:r w:rsidRPr="007A1B7C">
        <w:t>.</w:t>
      </w:r>
    </w:p>
    <w:p w:rsidR="00B9414A" w:rsidRPr="00205696" w:rsidRDefault="00B9414A" w:rsidP="00B9414A">
      <w:pPr>
        <w:keepNext/>
        <w:spacing w:after="240"/>
        <w:rPr>
          <w:b/>
          <w:caps/>
        </w:rPr>
      </w:pPr>
      <w:r w:rsidRPr="00205696">
        <w:rPr>
          <w:b/>
          <w:caps/>
        </w:rPr>
        <w:t>A.</w:t>
      </w:r>
      <w:r w:rsidRPr="00205696">
        <w:rPr>
          <w:b/>
          <w:caps/>
        </w:rPr>
        <w:tab/>
        <w:t>Justification</w:t>
      </w:r>
    </w:p>
    <w:p w:rsidR="00B9414A" w:rsidRPr="00205696" w:rsidRDefault="00B9414A" w:rsidP="00B9414A">
      <w:pPr>
        <w:keepNext/>
        <w:spacing w:after="240"/>
        <w:ind w:firstLine="720"/>
        <w:rPr>
          <w:b/>
        </w:rPr>
      </w:pPr>
      <w:r w:rsidRPr="00205696">
        <w:rPr>
          <w:b/>
        </w:rPr>
        <w:t>1.</w:t>
      </w:r>
      <w:r w:rsidRPr="00205696">
        <w:rPr>
          <w:b/>
        </w:rPr>
        <w:tab/>
        <w:t>Necessity of Information Collection</w:t>
      </w:r>
    </w:p>
    <w:p w:rsidR="00B9414A" w:rsidRDefault="00B9414A" w:rsidP="00B9414A">
      <w:pPr>
        <w:ind w:firstLine="720"/>
      </w:pPr>
      <w:r>
        <w:t>Section 17(a)(1)</w:t>
      </w:r>
      <w:r w:rsidRPr="00205696">
        <w:rPr>
          <w:rStyle w:val="FootnoteReference"/>
        </w:rPr>
        <w:footnoteReference w:id="1"/>
      </w:r>
      <w:r>
        <w:t xml:space="preserve"> of the Securities Exchange Act of 1934 (“Exchange Act”) provides that broker-dealers must make and keep records, furnish copies of the records, and make and disseminate reports as the Securities and Exchange Commission (“Commission”), by rule, prescribes.  Section 17(e)(1)(A)</w:t>
      </w:r>
      <w:r>
        <w:rPr>
          <w:rStyle w:val="FootnoteReference"/>
        </w:rPr>
        <w:footnoteReference w:id="2"/>
      </w:r>
      <w:r>
        <w:t xml:space="preserve"> of the Exchange Act requires every broker-dealer registered with the Commission to file annually with the Commission: (1) a balance sheet and income statement “certified by an independent public accounting firm, or by a registered public accounting firm </w:t>
      </w:r>
      <w:r w:rsidRPr="00254A97">
        <w:t>if the firm is required to be registered under the Sarbanes-Oxley Act of 2002</w:t>
      </w:r>
      <w:r>
        <w:t>”; and (2) such other financial statements (which shall, as the Commission specifies, be certified) and information concerning its financial condition as the Commission, by rule, may prescribe.  A registered public accounting firm means a public accounting firm registered with the Public Company Accounting Oversight Board (“PCAOB”).</w:t>
      </w:r>
      <w:r>
        <w:rPr>
          <w:rStyle w:val="FootnoteReference"/>
        </w:rPr>
        <w:footnoteReference w:id="3"/>
      </w:r>
      <w:r>
        <w:t xml:space="preserve">  Section 17(e)(2)</w:t>
      </w:r>
      <w:r>
        <w:rPr>
          <w:rStyle w:val="FootnoteReference"/>
        </w:rPr>
        <w:footnoteReference w:id="4"/>
      </w:r>
      <w:r>
        <w:t xml:space="preserve"> of the Exchange Act provides that the Commission, by rule, may prescribe the form and content of the financial statements and the accounting principles and standards used in their preparation. </w:t>
      </w:r>
    </w:p>
    <w:p w:rsidR="00B9414A" w:rsidRDefault="00B9414A" w:rsidP="00B9414A"/>
    <w:p w:rsidR="00B9414A" w:rsidRPr="001350E6" w:rsidRDefault="00B9414A" w:rsidP="008223FB">
      <w:r>
        <w:tab/>
        <w:t>Rule 17a-5</w:t>
      </w:r>
      <w:r>
        <w:rPr>
          <w:rStyle w:val="FootnoteReference"/>
        </w:rPr>
        <w:footnoteReference w:id="5"/>
      </w:r>
      <w:r>
        <w:t xml:space="preserve"> under the Exchange Act is a reporting rule for broker-dealers.</w:t>
      </w:r>
      <w:r>
        <w:rPr>
          <w:rStyle w:val="FootnoteReference"/>
        </w:rPr>
        <w:footnoteReference w:id="6"/>
      </w:r>
      <w:r>
        <w:t xml:space="preserve">  Paragraph (a) of </w:t>
      </w:r>
      <w:r w:rsidRPr="001350E6">
        <w:t>Rule 17a-5 requires broker-dealers to file Form X-17A-5</w:t>
      </w:r>
      <w:r w:rsidR="008223FB">
        <w:t>,</w:t>
      </w:r>
      <w:r w:rsidR="008223FB">
        <w:rPr>
          <w:rStyle w:val="FootnoteReference"/>
        </w:rPr>
        <w:footnoteReference w:id="7"/>
      </w:r>
      <w:r w:rsidRPr="001350E6">
        <w:t xml:space="preserve"> the Financial and Operational Combined Uniform Single Report (“FOCUS Report”).  The FOCUS Report was designed to eliminate the overlapping regulatory reports required by various self-regulatory organizations and the Commission and to reduce reporting burdens.  The FOCUS Report consists of: (1) Part I which is a monthly report that must be filed by every broker-dealer that clears transactions or carries customer accounts;</w:t>
      </w:r>
      <w:r>
        <w:rPr>
          <w:rStyle w:val="FootnoteReference"/>
        </w:rPr>
        <w:footnoteReference w:id="8"/>
      </w:r>
      <w:r w:rsidRPr="001350E6">
        <w:t xml:space="preserve"> (2) one of three alternative quarterly reports: a comprehensive Part II which must be filed by every broker-dealer that clears transactions or carries customer accounts, a less detailed Part IIA</w:t>
      </w:r>
      <w:r>
        <w:t xml:space="preserve"> </w:t>
      </w:r>
      <w:r w:rsidRPr="001350E6">
        <w:t xml:space="preserve">which must be filed by broker-dealers that do not clear transactions or carry customer accounts, or a Part IIB that is filed only by specialized broker-dealers registered </w:t>
      </w:r>
      <w:r w:rsidRPr="001350E6">
        <w:lastRenderedPageBreak/>
        <w:t>with the Commission as over-the counter (“OTC”) derivatives dealers;</w:t>
      </w:r>
      <w:r>
        <w:rPr>
          <w:rStyle w:val="FootnoteReference"/>
        </w:rPr>
        <w:footnoteReference w:id="9"/>
      </w:r>
      <w:r w:rsidRPr="001350E6">
        <w:t xml:space="preserve"> and (</w:t>
      </w:r>
      <w:r>
        <w:t>3) Part III, a Facing Page,</w:t>
      </w:r>
      <w:r w:rsidRPr="001350E6">
        <w:t xml:space="preserve"> which must be filed with the annual audited financial statements</w:t>
      </w:r>
      <w:r>
        <w:t xml:space="preserve"> broker-dealers file with the Commission pursuant to paragraph (d) of Rule 17a-5</w:t>
      </w:r>
      <w:r w:rsidRPr="001350E6">
        <w:t>.</w:t>
      </w:r>
    </w:p>
    <w:p w:rsidR="006F734B" w:rsidRDefault="006F734B" w:rsidP="00B9414A">
      <w:pPr>
        <w:ind w:firstLine="720"/>
      </w:pPr>
    </w:p>
    <w:p w:rsidR="00B9414A" w:rsidRDefault="00B9414A" w:rsidP="00B9414A">
      <w:pPr>
        <w:ind w:firstLine="720"/>
      </w:pPr>
      <w:r>
        <w:t>Paragraph (c) of Rule 17a-5 requires broker-dealers to furnish certain financial information to customers.</w:t>
      </w:r>
      <w:r>
        <w:rPr>
          <w:rStyle w:val="FootnoteReference"/>
        </w:rPr>
        <w:footnoteReference w:id="10"/>
      </w:r>
      <w:r>
        <w:t xml:space="preserve">  Paragraph (d) of Rule 17a-5 requires broker-dealers, subject to limited exception, to file annual reports, including </w:t>
      </w:r>
      <w:r w:rsidRPr="009F2BE7">
        <w:t>financial statements and supporting schedules that</w:t>
      </w:r>
      <w:r>
        <w:t xml:space="preserve"> generally</w:t>
      </w:r>
      <w:r w:rsidRPr="009F2BE7">
        <w:t xml:space="preserve"> must be audited by a PCAOB-registered</w:t>
      </w:r>
      <w:r>
        <w:t xml:space="preserve"> independent public</w:t>
      </w:r>
      <w:r w:rsidRPr="009F2BE7">
        <w:t xml:space="preserve"> accountant</w:t>
      </w:r>
      <w:r>
        <w:t xml:space="preserve"> in accordance with PCAOB standards.</w:t>
      </w:r>
      <w:r>
        <w:rPr>
          <w:rStyle w:val="FootnoteReference"/>
        </w:rPr>
        <w:footnoteReference w:id="11"/>
      </w:r>
      <w:r>
        <w:t xml:space="preserve">  Paragraph (h) of Rule 17a-5 contains notification requirements related to certain findings made during the course of the independent accountant’s audit.</w:t>
      </w:r>
      <w:r>
        <w:rPr>
          <w:rStyle w:val="FootnoteReference"/>
        </w:rPr>
        <w:footnoteReference w:id="12"/>
      </w:r>
      <w:r>
        <w:t xml:space="preserve">  Paragraph (k) of Rule 17a-5 pertains to supplemental reports to be filed by broker-dealers that compute certain capital charges in accordance with Appendix E to Exchange Act Rule 15c3-1.</w:t>
      </w:r>
      <w:r>
        <w:rPr>
          <w:rStyle w:val="FootnoteReference"/>
        </w:rPr>
        <w:footnoteReference w:id="13"/>
      </w:r>
      <w:r>
        <w:t xml:space="preserve">  Paragraph (p) of Rule 17a-5 provides that OTC derivatives dealers may comply with Rule 17a-5 by complying with Exchange Act Rule 17a-12.</w:t>
      </w:r>
      <w:r>
        <w:rPr>
          <w:rStyle w:val="FootnoteReference"/>
        </w:rPr>
        <w:footnoteReference w:id="14"/>
      </w:r>
    </w:p>
    <w:p w:rsidR="006F734B" w:rsidRDefault="00B9414A" w:rsidP="00BA17F6">
      <w:r>
        <w:tab/>
      </w:r>
    </w:p>
    <w:p w:rsidR="00974684" w:rsidRDefault="00B9414A" w:rsidP="00B9414A">
      <w:r w:rsidRPr="00205696">
        <w:tab/>
        <w:t>On April 17, 2014, the Commission proposed amendments to its recordkeeping and reporting rules for broker-dealers as well as new recordkeeping and reporting rules (the “SBS Recordkeeping Release”)</w:t>
      </w:r>
      <w:bookmarkStart w:id="0" w:name="_Ref409020357"/>
      <w:r w:rsidRPr="00205696">
        <w:rPr>
          <w:rStyle w:val="FootnoteReference"/>
        </w:rPr>
        <w:footnoteReference w:id="15"/>
      </w:r>
      <w:bookmarkEnd w:id="0"/>
      <w:r w:rsidRPr="00205696">
        <w:t xml:space="preserve"> for security-based swap dealers (“SBSDs”) and major security-based swap participants (“MSBSPs”) pursuant to  its authority in Sections 17(a) and 15F(f) of the Exchange Act.</w:t>
      </w:r>
      <w:r w:rsidRPr="00205696">
        <w:rPr>
          <w:rStyle w:val="FootnoteReference"/>
        </w:rPr>
        <w:footnoteReference w:id="16"/>
      </w:r>
      <w:r w:rsidRPr="00205696">
        <w:t xml:space="preserve">  More specifically, </w:t>
      </w:r>
      <w:r w:rsidR="006F72D5" w:rsidRPr="0065324A">
        <w:t>pursuant to sections 17(a)</w:t>
      </w:r>
      <w:r w:rsidR="0044145E">
        <w:t xml:space="preserve"> and 15F(f)</w:t>
      </w:r>
      <w:r w:rsidR="006F72D5" w:rsidRPr="0065324A">
        <w:t xml:space="preserve"> of the Exchange Act, the Commission is proposing new </w:t>
      </w:r>
      <w:r w:rsidR="006F72D5">
        <w:t xml:space="preserve">FOCUS Report </w:t>
      </w:r>
      <w:r w:rsidR="006F72D5" w:rsidRPr="0065324A">
        <w:t>Form SBS</w:t>
      </w:r>
      <w:r w:rsidR="006F72D5">
        <w:t xml:space="preserve"> (“Form SBS”)</w:t>
      </w:r>
      <w:r w:rsidR="006F72D5" w:rsidRPr="0065324A">
        <w:t xml:space="preserve"> that would be used by all types of SBSDs and MSBSPs to report financial </w:t>
      </w:r>
      <w:r w:rsidR="006F72D5">
        <w:t xml:space="preserve">and operational </w:t>
      </w:r>
      <w:r w:rsidR="006F72D5" w:rsidRPr="0065324A">
        <w:t xml:space="preserve">information and, in the case of broker-dealer SBSDs and broker-dealer MSBSPs, replace their use of </w:t>
      </w:r>
      <w:r w:rsidR="006F72D5">
        <w:t xml:space="preserve">Part II, Part IIA, Part IIB, or Part II CSE of </w:t>
      </w:r>
      <w:r w:rsidR="0044145E">
        <w:t>Form X-17A-5 (</w:t>
      </w:r>
      <w:r w:rsidR="006F72D5">
        <w:t>the</w:t>
      </w:r>
      <w:r w:rsidR="006F72D5" w:rsidRPr="0065324A">
        <w:t xml:space="preserve"> </w:t>
      </w:r>
      <w:r w:rsidR="0044145E">
        <w:t>“</w:t>
      </w:r>
      <w:r w:rsidR="006F72D5">
        <w:t>FOCUS Report</w:t>
      </w:r>
      <w:r w:rsidR="0044145E">
        <w:t>”)</w:t>
      </w:r>
      <w:r w:rsidRPr="00205696">
        <w:t>.</w:t>
      </w:r>
      <w:r w:rsidRPr="00205696">
        <w:rPr>
          <w:rStyle w:val="FootnoteReference"/>
        </w:rPr>
        <w:footnoteReference w:id="17"/>
      </w:r>
      <w:r w:rsidRPr="00205696">
        <w:t xml:space="preserve">  </w:t>
      </w:r>
    </w:p>
    <w:p w:rsidR="00FD478F" w:rsidRDefault="00FD478F" w:rsidP="00B9414A"/>
    <w:p w:rsidR="00B9414A" w:rsidRPr="00205696" w:rsidRDefault="00BA5AE4" w:rsidP="00974684">
      <w:pPr>
        <w:ind w:firstLine="720"/>
      </w:pPr>
      <w:r>
        <w:t>In the SBS Recordkeeping Release, t</w:t>
      </w:r>
      <w:r w:rsidR="00974684">
        <w:t>he Commission propose</w:t>
      </w:r>
      <w:r>
        <w:t>d</w:t>
      </w:r>
      <w:r w:rsidR="00974684">
        <w:t xml:space="preserve"> to amend paragraph (a)(1)(iv) of Rule 17a-5</w:t>
      </w:r>
      <w:r w:rsidR="00AF74B4">
        <w:t xml:space="preserve"> to</w:t>
      </w:r>
      <w:r w:rsidR="00974684">
        <w:t xml:space="preserve"> require broker</w:t>
      </w:r>
      <w:r w:rsidR="00974684">
        <w:noBreakHyphen/>
        <w:t>dealer SBSDs</w:t>
      </w:r>
      <w:r w:rsidR="00FE0B50">
        <w:t xml:space="preserve">, including </w:t>
      </w:r>
      <w:r w:rsidR="00FE0B50" w:rsidRPr="00205696">
        <w:t xml:space="preserve">alternative net capital </w:t>
      </w:r>
      <w:r w:rsidR="00FE0B50">
        <w:t>(“ANC”) broker-dealer SBSDs,</w:t>
      </w:r>
      <w:r w:rsidR="00974684">
        <w:t xml:space="preserve"> and broker-dealer MSBSPs to file proposed Form SBS </w:t>
      </w:r>
      <w:r w:rsidR="00AF74B4">
        <w:t xml:space="preserve">on a </w:t>
      </w:r>
      <w:r w:rsidR="00974684">
        <w:t>monthly</w:t>
      </w:r>
      <w:r w:rsidR="00AF74B4">
        <w:t xml:space="preserve"> basis</w:t>
      </w:r>
      <w:r w:rsidR="00974684">
        <w:t xml:space="preserve"> instead of filing the applicable part of Form X</w:t>
      </w:r>
      <w:r w:rsidR="00974684">
        <w:noBreakHyphen/>
        <w:t>17A</w:t>
      </w:r>
      <w:r w:rsidR="00974684">
        <w:noBreakHyphen/>
        <w:t>5</w:t>
      </w:r>
      <w:r w:rsidR="00FE0B50">
        <w:t xml:space="preserve"> on a monthly or</w:t>
      </w:r>
      <w:r w:rsidR="00D76271">
        <w:t xml:space="preserve"> </w:t>
      </w:r>
      <w:r w:rsidR="00974684">
        <w:t>quarterly</w:t>
      </w:r>
      <w:r w:rsidR="00FE0B50">
        <w:t xml:space="preserve"> basis</w:t>
      </w:r>
      <w:r w:rsidR="00974684">
        <w:t>.</w:t>
      </w:r>
      <w:r w:rsidR="00974684">
        <w:rPr>
          <w:rStyle w:val="FootnoteReference"/>
        </w:rPr>
        <w:footnoteReference w:id="18"/>
      </w:r>
      <w:r w:rsidR="00974684">
        <w:t xml:space="preserve">  Additionally, the Commission propose</w:t>
      </w:r>
      <w:r>
        <w:t>d</w:t>
      </w:r>
      <w:r w:rsidR="00974684">
        <w:t xml:space="preserve"> to add paragraph (a)(5)(vii) to Rule 17a</w:t>
      </w:r>
      <w:r w:rsidR="00974684">
        <w:noBreakHyphen/>
        <w:t>5, which would require ANC broker-dealers to file the results of the firm’s monthly liquidity stress test with the Commission.</w:t>
      </w:r>
      <w:r w:rsidR="00974684">
        <w:rPr>
          <w:rStyle w:val="FootnoteReference"/>
        </w:rPr>
        <w:footnoteReference w:id="19"/>
      </w:r>
      <w:r w:rsidR="002E14FC">
        <w:t xml:space="preserve">  The Commission also propose</w:t>
      </w:r>
      <w:r>
        <w:t>d</w:t>
      </w:r>
      <w:r w:rsidR="002E14FC">
        <w:t xml:space="preserve"> to amend paragraph (e)(2) of Rule 17a-5 to simplify the description of a broker-dealer’s obligations in connection with filing the annual reports with the Commission</w:t>
      </w:r>
      <w:r w:rsidR="003C0F53">
        <w:t xml:space="preserve">, the firm’s designated examining authority, and, in most cases with the </w:t>
      </w:r>
      <w:r w:rsidR="001A6346">
        <w:t>Securities</w:t>
      </w:r>
      <w:r w:rsidR="003C0F53">
        <w:t xml:space="preserve"> Investor Protection Corporation</w:t>
      </w:r>
      <w:r w:rsidR="001A6346">
        <w:t>.</w:t>
      </w:r>
      <w:r w:rsidR="001A6346">
        <w:rPr>
          <w:rStyle w:val="FootnoteReference"/>
        </w:rPr>
        <w:footnoteReference w:id="20"/>
      </w:r>
      <w:r>
        <w:t xml:space="preserve">  In addition, the Commission proposed several technical amendments to Rule 17a-5 to account for </w:t>
      </w:r>
      <w:r w:rsidR="00A00491">
        <w:t>proposed Form SBS and to account for proposed Rule 18a-4 under the Exchange Act, which would establish requirements relating to an SBSD’s segregation of collateral given to an SBSD to secure</w:t>
      </w:r>
      <w:r w:rsidR="00D604AD">
        <w:t xml:space="preserve"> a security-based swap (“SBS”) </w:t>
      </w:r>
      <w:r w:rsidR="00A00491">
        <w:t>transaction.</w:t>
      </w:r>
      <w:r w:rsidR="00941F97">
        <w:rPr>
          <w:rStyle w:val="FootnoteReference"/>
        </w:rPr>
        <w:footnoteReference w:id="21"/>
      </w:r>
    </w:p>
    <w:p w:rsidR="00B9414A" w:rsidRPr="00205696" w:rsidRDefault="00B9414A" w:rsidP="00974684">
      <w:r w:rsidRPr="00205696">
        <w:t xml:space="preserve"> </w:t>
      </w:r>
    </w:p>
    <w:p w:rsidR="00B9414A" w:rsidRPr="00205696" w:rsidRDefault="00B9414A" w:rsidP="00B9414A">
      <w:pPr>
        <w:keepNext/>
        <w:spacing w:after="240"/>
        <w:ind w:left="1440" w:hanging="720"/>
        <w:rPr>
          <w:b/>
        </w:rPr>
      </w:pPr>
      <w:r w:rsidRPr="00205696">
        <w:rPr>
          <w:b/>
        </w:rPr>
        <w:t>2.</w:t>
      </w:r>
      <w:r w:rsidRPr="00205696">
        <w:rPr>
          <w:b/>
        </w:rPr>
        <w:tab/>
        <w:t>Purpose and Use of the Information Collection</w:t>
      </w:r>
    </w:p>
    <w:p w:rsidR="00053A91" w:rsidRDefault="00053A91" w:rsidP="00053A91">
      <w:pPr>
        <w:ind w:firstLine="720"/>
      </w:pPr>
      <w:r>
        <w:t>Reports required to be made under Rule 17a-5 are used, among other things, to monitor the financial and operational condition of a broker-dealer by Commission staff and by the broker-dealer’s designated examining authority (“DEA”).  The reports required under Rule 17a-5 are one of the primary means of ensuring compliance with the financial responsibility rules.  A firm’s failure to comply with these rules would severely impair the ability of the Commission and the firm’s DEA to protect customers.</w:t>
      </w:r>
    </w:p>
    <w:p w:rsidR="00053A91" w:rsidRDefault="00053A91" w:rsidP="00053A91"/>
    <w:p w:rsidR="00053A91" w:rsidRDefault="00053A91" w:rsidP="00053A91">
      <w:r>
        <w:tab/>
        <w:t xml:space="preserve">FOCUS Report data is used in preparation for broker-dealer examinations and inspections.  The completed forms also are used to determine which firms are engaged in various securities-related activities, the extent to which they are engaged in those activities, and how economic events and government policies might affect various segments of the securities industry.  The proposed Form SBS </w:t>
      </w:r>
      <w:r w:rsidR="00C24AE5">
        <w:t xml:space="preserve">would </w:t>
      </w:r>
      <w:r>
        <w:t xml:space="preserve">fulfill the same purpose of the FOCUS Report while also accounting for the </w:t>
      </w:r>
      <w:r w:rsidR="00D604AD">
        <w:t xml:space="preserve">SBS </w:t>
      </w:r>
      <w:r>
        <w:t>activities of the SBSDs and MSBSPs.</w:t>
      </w:r>
    </w:p>
    <w:p w:rsidR="00053A91" w:rsidRDefault="00053A91" w:rsidP="00053A91">
      <w:r>
        <w:tab/>
      </w:r>
    </w:p>
    <w:p w:rsidR="00B9414A" w:rsidRPr="00205696" w:rsidRDefault="00B9414A" w:rsidP="00B9414A">
      <w:pPr>
        <w:keepNext/>
        <w:spacing w:after="240"/>
        <w:ind w:left="1440" w:hanging="720"/>
        <w:rPr>
          <w:b/>
          <w:bCs/>
        </w:rPr>
      </w:pPr>
      <w:r w:rsidRPr="00205696">
        <w:rPr>
          <w:b/>
          <w:bCs/>
        </w:rPr>
        <w:t>3.</w:t>
      </w:r>
      <w:r w:rsidRPr="00205696">
        <w:rPr>
          <w:b/>
          <w:bCs/>
        </w:rPr>
        <w:tab/>
        <w:t>Consideration Given to Information Technology</w:t>
      </w:r>
    </w:p>
    <w:p w:rsidR="00B9414A" w:rsidRPr="00205696" w:rsidRDefault="00FD478F" w:rsidP="00B9414A">
      <w:pPr>
        <w:spacing w:after="240"/>
        <w:ind w:firstLine="720"/>
      </w:pPr>
      <w:r>
        <w:t>The data required in the FOCUS Report is tailored to the complexity of the broker-dealer’s business.  The burden is therefore commensurate with the type of business in which the firm engages.  A</w:t>
      </w:r>
      <w:r w:rsidRPr="00C80EA1">
        <w:t xml:space="preserve">pproximately 90% of FOCUS Reports </w:t>
      </w:r>
      <w:r>
        <w:t>a</w:t>
      </w:r>
      <w:r w:rsidRPr="00C80EA1">
        <w:t xml:space="preserve">re filed electronically.  </w:t>
      </w:r>
      <w:r>
        <w:t xml:space="preserve">The Commission expects that most, if not all, Form SBSs will be filed electronically.  Annual reports, however, are filed with the Commission in paper form.  </w:t>
      </w:r>
    </w:p>
    <w:p w:rsidR="00B9414A" w:rsidRPr="00205696" w:rsidRDefault="00B9414A" w:rsidP="00B9414A">
      <w:pPr>
        <w:keepNext/>
        <w:spacing w:after="240"/>
        <w:ind w:firstLine="720"/>
        <w:rPr>
          <w:b/>
        </w:rPr>
      </w:pPr>
      <w:r w:rsidRPr="00205696">
        <w:rPr>
          <w:b/>
        </w:rPr>
        <w:lastRenderedPageBreak/>
        <w:t>4.</w:t>
      </w:r>
      <w:r w:rsidRPr="00205696">
        <w:rPr>
          <w:b/>
        </w:rPr>
        <w:tab/>
        <w:t>Duplication</w:t>
      </w:r>
    </w:p>
    <w:p w:rsidR="00FD478F" w:rsidRDefault="00FD478F" w:rsidP="00FD478F">
      <w:pPr>
        <w:ind w:firstLine="720"/>
      </w:pPr>
      <w:r>
        <w:t>Rule 17a-5 was designed to eliminate duplicative reporting requirements among the various securities self-regulatory organizations.  Therefore, any duplication of the information requested is minimal.  The amendments to Rule 17a-5 described in the SBS Recordkeeping Release require either the filing of a FOCUS Report or Form SBS, but never both, in order to prevent duplicative reporting requirements.</w:t>
      </w:r>
    </w:p>
    <w:p w:rsidR="00B9414A" w:rsidRPr="00205696" w:rsidRDefault="00B9414A" w:rsidP="00FD478F">
      <w:r w:rsidRPr="00205696">
        <w:t xml:space="preserve">  </w:t>
      </w:r>
    </w:p>
    <w:p w:rsidR="00B9414A" w:rsidRPr="00205696" w:rsidRDefault="00B9414A" w:rsidP="00B9414A">
      <w:pPr>
        <w:keepNext/>
        <w:spacing w:after="240"/>
        <w:ind w:firstLine="720"/>
        <w:rPr>
          <w:b/>
        </w:rPr>
      </w:pPr>
      <w:r w:rsidRPr="00205696">
        <w:rPr>
          <w:b/>
        </w:rPr>
        <w:t>5.</w:t>
      </w:r>
      <w:r w:rsidRPr="00205696">
        <w:rPr>
          <w:b/>
        </w:rPr>
        <w:tab/>
        <w:t>Effect on Small Entities</w:t>
      </w:r>
    </w:p>
    <w:p w:rsidR="00FD478F" w:rsidRDefault="00FD478F" w:rsidP="00B9414A">
      <w:pPr>
        <w:spacing w:after="240"/>
        <w:ind w:firstLine="720"/>
      </w:pPr>
      <w:r>
        <w:t>As discussed above, a broker-dealer typically must file one of three alternative quarterly reports on Form X-17A-5: (1) a comprehensive Part II of Form X-17A-5, which must be filed by every broker-dealer that clears transactions or carries customer accounts; (2) a less detailed Part IIA, which must be filed by a broker-dealer that does not clear transactions or carry customer accounts; or (3) a Part IIB, which is filed only by a specialized broker-dealer registered with the Commission as an OTC derivatives dealer.  The majority of small broker-dealers file Part IIA of Form X-17A-5 because they do not clear transactions or carry customer accounts.  Part IIA is shorter and requires less time to complete than Part II.  Out of 513 firms that must file Part II, only 19 are small firms.  It would be inappropriate to provide these small firms with an exemption from Rule 17a-5 because the FOCUS Report provides Commission and DEA staff with critical financial information from the firms responsible for the safekeeping and disposition of customer funds and securities.</w:t>
      </w:r>
      <w:r w:rsidR="00B9414A" w:rsidRPr="00205696">
        <w:t xml:space="preserve">  </w:t>
      </w:r>
    </w:p>
    <w:p w:rsidR="00B9414A" w:rsidRPr="00205696" w:rsidRDefault="00FD478F" w:rsidP="00B9414A">
      <w:pPr>
        <w:spacing w:after="240"/>
        <w:ind w:firstLine="720"/>
      </w:pPr>
      <w:r>
        <w:t>T</w:t>
      </w:r>
      <w:r w:rsidR="00B9414A">
        <w:t>he Commission does not anticipate that many</w:t>
      </w:r>
      <w:r w:rsidR="00C24AE5">
        <w:t>, if any,</w:t>
      </w:r>
      <w:r w:rsidR="00B9414A">
        <w:t xml:space="preserve"> small broker-dealers will be affected by the SBS </w:t>
      </w:r>
      <w:r w:rsidR="0044145E">
        <w:t xml:space="preserve">Recordkeeping </w:t>
      </w:r>
      <w:r w:rsidR="00B9414A">
        <w:t>Release’s proposed amendments to Rule 17a-</w:t>
      </w:r>
      <w:r>
        <w:t>5</w:t>
      </w:r>
      <w:r w:rsidR="00C24AE5">
        <w:t xml:space="preserve"> because the Commission expects only broker-dealers with relatively complex business models to register as SBSDs.</w:t>
      </w:r>
    </w:p>
    <w:p w:rsidR="00B9414A" w:rsidRPr="00205696" w:rsidRDefault="00B9414A" w:rsidP="00B9414A">
      <w:pPr>
        <w:keepNext/>
        <w:spacing w:after="240"/>
        <w:ind w:firstLine="720"/>
        <w:rPr>
          <w:b/>
        </w:rPr>
      </w:pPr>
      <w:r w:rsidRPr="00205696">
        <w:rPr>
          <w:b/>
        </w:rPr>
        <w:t>6.</w:t>
      </w:r>
      <w:r w:rsidRPr="00205696">
        <w:rPr>
          <w:b/>
        </w:rPr>
        <w:tab/>
        <w:t>Consequences of Not Conducting Collection</w:t>
      </w:r>
    </w:p>
    <w:p w:rsidR="00B9414A" w:rsidRPr="00205696" w:rsidRDefault="00FD478F" w:rsidP="00B9414A">
      <w:pPr>
        <w:pStyle w:val="BodyText"/>
        <w:spacing w:after="240"/>
        <w:ind w:firstLine="720"/>
        <w:rPr>
          <w:rFonts w:ascii="Times New Roman" w:hAnsi="Times New Roman"/>
          <w:szCs w:val="24"/>
        </w:rPr>
      </w:pPr>
      <w:r>
        <w:rPr>
          <w:rFonts w:ascii="Times New Roman" w:hAnsi="Times New Roman"/>
        </w:rPr>
        <w:t>The required reports are used by securities regulators to monitor the financial and operational condition of broker-dealers.  If the required reports were not made, the ability of the Commission and the DEAs to monitor the financial and operational condition of broker-dealers would be impaired potentially affecting regulators’ capability to protect customers.  Further, if the required collections were conducted less frequently, the information in the reports would become outdated.</w:t>
      </w:r>
      <w:r w:rsidR="00B9414A" w:rsidRPr="00205696">
        <w:rPr>
          <w:rFonts w:ascii="Times New Roman" w:hAnsi="Times New Roman"/>
          <w:szCs w:val="24"/>
        </w:rPr>
        <w:t xml:space="preserve">  </w:t>
      </w:r>
    </w:p>
    <w:p w:rsidR="00B9414A" w:rsidRPr="00205696" w:rsidRDefault="00B9414A" w:rsidP="00B9414A">
      <w:pPr>
        <w:keepNext/>
        <w:spacing w:after="240"/>
        <w:ind w:firstLine="720"/>
        <w:rPr>
          <w:b/>
        </w:rPr>
      </w:pPr>
      <w:r w:rsidRPr="00205696">
        <w:rPr>
          <w:b/>
        </w:rPr>
        <w:t>7.</w:t>
      </w:r>
      <w:r w:rsidRPr="00205696">
        <w:rPr>
          <w:b/>
        </w:rPr>
        <w:tab/>
        <w:t>Inconsistencies with Guidelines in 5 CFR 1320.5(d)(2)</w:t>
      </w:r>
    </w:p>
    <w:p w:rsidR="00B9414A" w:rsidRPr="00205696" w:rsidRDefault="00B9414A" w:rsidP="00B9414A">
      <w:pPr>
        <w:pStyle w:val="BodyTextIndent3"/>
        <w:spacing w:after="240"/>
        <w:rPr>
          <w:rFonts w:ascii="Times New Roman" w:hAnsi="Times New Roman"/>
        </w:rPr>
      </w:pPr>
      <w:r w:rsidRPr="00205696">
        <w:rPr>
          <w:rFonts w:ascii="Times New Roman" w:hAnsi="Times New Roman"/>
        </w:rPr>
        <w:t>There are no special circumstances.  This collection is consistent with the guidelines in 5 CFR 1320.5(d)(2).</w:t>
      </w:r>
    </w:p>
    <w:p w:rsidR="00B9414A" w:rsidRPr="00205696" w:rsidRDefault="00B9414A" w:rsidP="00B9414A">
      <w:pPr>
        <w:keepNext/>
        <w:spacing w:after="240"/>
        <w:ind w:firstLine="720"/>
        <w:rPr>
          <w:b/>
        </w:rPr>
      </w:pPr>
      <w:r w:rsidRPr="00205696">
        <w:rPr>
          <w:b/>
        </w:rPr>
        <w:t>8.</w:t>
      </w:r>
      <w:r w:rsidRPr="00205696">
        <w:rPr>
          <w:b/>
        </w:rPr>
        <w:tab/>
        <w:t>Consultations Outside the Agency</w:t>
      </w:r>
    </w:p>
    <w:p w:rsidR="00B9414A" w:rsidRPr="001D7DA8" w:rsidRDefault="00B9414A" w:rsidP="00B9414A">
      <w:pPr>
        <w:pStyle w:val="BodyText"/>
        <w:spacing w:after="240"/>
        <w:ind w:firstLine="720"/>
        <w:rPr>
          <w:rFonts w:ascii="Times New Roman" w:hAnsi="Times New Roman"/>
          <w:szCs w:val="24"/>
        </w:rPr>
      </w:pPr>
      <w:r w:rsidRPr="00205696">
        <w:rPr>
          <w:rFonts w:ascii="Times New Roman" w:hAnsi="Times New Roman"/>
          <w:szCs w:val="24"/>
        </w:rPr>
        <w:t xml:space="preserve">The Commission has issued a release soliciting comment on the new “collection of information” requirements and associated paperwork burdens.  A copy of the </w:t>
      </w:r>
      <w:r>
        <w:rPr>
          <w:rFonts w:ascii="Times New Roman" w:hAnsi="Times New Roman"/>
          <w:szCs w:val="24"/>
        </w:rPr>
        <w:t>SBS Recordkeeping R</w:t>
      </w:r>
      <w:r w:rsidRPr="00205696">
        <w:rPr>
          <w:rFonts w:ascii="Times New Roman" w:hAnsi="Times New Roman"/>
          <w:szCs w:val="24"/>
        </w:rPr>
        <w:t xml:space="preserve">elease is attached.  Comments on Commission releases are generally received from registrants, investors, and other market participants.  In addition, the Commission and staff </w:t>
      </w:r>
      <w:r w:rsidRPr="00205696">
        <w:rPr>
          <w:rFonts w:ascii="Times New Roman" w:hAnsi="Times New Roman"/>
          <w:szCs w:val="24"/>
        </w:rPr>
        <w:lastRenderedPageBreak/>
        <w:t>participate in ongoing dialogue with representatives of various market participants through public conferences, meetings and informal exchanges.  Any comments received on this proposed rulemaking will be posted on the Commission’s public website, and made available through</w:t>
      </w:r>
      <w:r>
        <w:rPr>
          <w:rFonts w:ascii="Times New Roman" w:hAnsi="Times New Roman"/>
          <w:szCs w:val="24"/>
        </w:rPr>
        <w:t xml:space="preserve"> </w:t>
      </w:r>
      <w:hyperlink r:id="rId9" w:history="1">
        <w:r w:rsidR="00803964" w:rsidRPr="001D786F">
          <w:rPr>
            <w:rStyle w:val="Hyperlink"/>
            <w:rFonts w:ascii="Times New Roman" w:hAnsi="Times New Roman"/>
          </w:rPr>
          <w:t>http://www.sec.gov/rules/proposed.shtml</w:t>
        </w:r>
      </w:hyperlink>
      <w:r w:rsidRPr="00205696">
        <w:rPr>
          <w:rFonts w:ascii="Times New Roman" w:hAnsi="Times New Roman"/>
          <w:szCs w:val="24"/>
        </w:rPr>
        <w:t xml:space="preserve">. </w:t>
      </w:r>
      <w:r w:rsidR="00865444">
        <w:rPr>
          <w:rFonts w:ascii="Times New Roman" w:hAnsi="Times New Roman"/>
          <w:szCs w:val="24"/>
        </w:rPr>
        <w:t xml:space="preserve"> </w:t>
      </w:r>
      <w:r w:rsidRPr="00205696">
        <w:rPr>
          <w:rFonts w:ascii="Times New Roman" w:hAnsi="Times New Roman"/>
          <w:szCs w:val="24"/>
        </w:rPr>
        <w:t>The Commission will consider all comments received prior to publishing the final rule, and will explain in any adopting release how the final rule responds to such comments, in accordance with 5 C.F.R. 1320.11(f).</w:t>
      </w:r>
    </w:p>
    <w:p w:rsidR="00B9414A" w:rsidRPr="00205696" w:rsidRDefault="00B9414A" w:rsidP="00B9414A">
      <w:pPr>
        <w:keepNext/>
        <w:spacing w:after="240"/>
        <w:ind w:firstLine="720"/>
        <w:rPr>
          <w:b/>
        </w:rPr>
      </w:pPr>
      <w:r w:rsidRPr="00205696">
        <w:rPr>
          <w:b/>
        </w:rPr>
        <w:t>9.</w:t>
      </w:r>
      <w:r w:rsidRPr="00205696">
        <w:rPr>
          <w:b/>
        </w:rPr>
        <w:tab/>
        <w:t xml:space="preserve">Payment or Gift </w:t>
      </w:r>
    </w:p>
    <w:p w:rsidR="00B9414A" w:rsidRPr="00205696" w:rsidRDefault="00B9414A" w:rsidP="00B9414A">
      <w:pPr>
        <w:spacing w:after="240"/>
        <w:ind w:firstLine="720"/>
      </w:pPr>
      <w:r w:rsidRPr="00205696">
        <w:t>No payment or gift is provided to respondents.</w:t>
      </w:r>
    </w:p>
    <w:p w:rsidR="00B9414A" w:rsidRPr="00205696" w:rsidRDefault="00B9414A" w:rsidP="00B9414A">
      <w:pPr>
        <w:keepNext/>
        <w:spacing w:after="240"/>
        <w:ind w:firstLine="720"/>
        <w:rPr>
          <w:b/>
        </w:rPr>
      </w:pPr>
      <w:r w:rsidRPr="00205696">
        <w:rPr>
          <w:b/>
        </w:rPr>
        <w:t>10.</w:t>
      </w:r>
      <w:r w:rsidRPr="00205696">
        <w:rPr>
          <w:b/>
        </w:rPr>
        <w:tab/>
        <w:t>Confidentiality</w:t>
      </w:r>
    </w:p>
    <w:p w:rsidR="000B3CC7" w:rsidRDefault="000B3CC7" w:rsidP="00B9414A">
      <w:pPr>
        <w:pStyle w:val="BodyText"/>
        <w:spacing w:after="240"/>
        <w:ind w:firstLine="720"/>
        <w:rPr>
          <w:rFonts w:ascii="Times New Roman" w:hAnsi="Times New Roman"/>
        </w:rPr>
      </w:pPr>
      <w:r>
        <w:rPr>
          <w:rFonts w:ascii="Times New Roman" w:hAnsi="Times New Roman"/>
        </w:rPr>
        <w:t>Reports filed pursuant to paragraph (a) of Rule 17a-5</w:t>
      </w:r>
      <w:r w:rsidR="00871BA8">
        <w:rPr>
          <w:rFonts w:ascii="Times New Roman" w:hAnsi="Times New Roman"/>
        </w:rPr>
        <w:t xml:space="preserve"> (FOCUS Reports and proposed Form SBS)</w:t>
      </w:r>
      <w:r>
        <w:rPr>
          <w:rFonts w:ascii="Times New Roman" w:hAnsi="Times New Roman"/>
        </w:rPr>
        <w:t xml:space="preserve"> are deemed to be confidential pursuant to paragraph (a)(</w:t>
      </w:r>
      <w:r w:rsidR="00871BA8">
        <w:rPr>
          <w:rFonts w:ascii="Times New Roman" w:hAnsi="Times New Roman"/>
        </w:rPr>
        <w:t>2</w:t>
      </w:r>
      <w:r>
        <w:rPr>
          <w:rFonts w:ascii="Times New Roman" w:hAnsi="Times New Roman"/>
        </w:rPr>
        <w:t>) of Rule 17a-5.</w:t>
      </w:r>
      <w:r>
        <w:rPr>
          <w:rStyle w:val="FootnoteReference"/>
          <w:rFonts w:ascii="Times New Roman" w:hAnsi="Times New Roman"/>
        </w:rPr>
        <w:footnoteReference w:id="22"/>
      </w:r>
      <w:r>
        <w:rPr>
          <w:rFonts w:ascii="Times New Roman" w:hAnsi="Times New Roman"/>
        </w:rPr>
        <w:t xml:space="preserve">  </w:t>
      </w:r>
      <w:r w:rsidR="00871BA8">
        <w:rPr>
          <w:rFonts w:ascii="Times New Roman" w:hAnsi="Times New Roman"/>
        </w:rPr>
        <w:t xml:space="preserve">Annual reports filed by broker-dealers under paragraph (d) of Rule 17a-5 are not </w:t>
      </w:r>
      <w:r w:rsidRPr="00E657EA">
        <w:rPr>
          <w:rFonts w:ascii="Times New Roman" w:hAnsi="Times New Roman"/>
        </w:rPr>
        <w:t>confidential, except that if the Statement of Financial Condition is bound separately from the balance of the annual reports, and each page of the balance of the annual reports is stamped “confidential,” then the balance of the annual reports shall be deemed confidential to the extent permitted by law.</w:t>
      </w:r>
      <w:r w:rsidRPr="00E657EA">
        <w:rPr>
          <w:rFonts w:ascii="Times New Roman" w:hAnsi="Times New Roman"/>
          <w:vertAlign w:val="superscript"/>
        </w:rPr>
        <w:footnoteReference w:id="23"/>
      </w:r>
      <w:r w:rsidRPr="00E657EA">
        <w:rPr>
          <w:rFonts w:ascii="Times New Roman" w:hAnsi="Times New Roman"/>
        </w:rPr>
        <w:t xml:space="preserve">  </w:t>
      </w:r>
      <w:r w:rsidR="00D76271">
        <w:rPr>
          <w:rFonts w:ascii="Times New Roman" w:hAnsi="Times New Roman"/>
        </w:rPr>
        <w:t>Broker-dealers are also required to furnish customers with their audited statement of financial condition and certain information about their annual reports on an annual basis.</w:t>
      </w:r>
      <w:r w:rsidR="00D76271">
        <w:rPr>
          <w:rStyle w:val="FootnoteReference"/>
          <w:rFonts w:ascii="Times New Roman" w:hAnsi="Times New Roman"/>
        </w:rPr>
        <w:footnoteReference w:id="24"/>
      </w:r>
      <w:r w:rsidR="00D76271">
        <w:rPr>
          <w:rFonts w:ascii="Times New Roman" w:hAnsi="Times New Roman"/>
        </w:rPr>
        <w:t xml:space="preserve">  </w:t>
      </w:r>
      <w:r w:rsidRPr="00E657EA">
        <w:rPr>
          <w:rFonts w:ascii="Times New Roman" w:hAnsi="Times New Roman"/>
        </w:rPr>
        <w:t xml:space="preserve">  </w:t>
      </w:r>
      <w:r w:rsidR="00D76271">
        <w:rPr>
          <w:rFonts w:ascii="Times New Roman" w:hAnsi="Times New Roman"/>
        </w:rPr>
        <w:t xml:space="preserve">  In addition, broker-dealers are required to furnish customers with unaudited financial statements dated six months from the date of the audited statements.</w:t>
      </w:r>
      <w:r w:rsidR="00D76271">
        <w:rPr>
          <w:rStyle w:val="FootnoteReference"/>
          <w:rFonts w:ascii="Times New Roman" w:hAnsi="Times New Roman"/>
        </w:rPr>
        <w:footnoteReference w:id="25"/>
      </w:r>
      <w:r w:rsidRPr="00E657EA">
        <w:rPr>
          <w:rFonts w:ascii="Times New Roman" w:hAnsi="Times New Roman"/>
        </w:rPr>
        <w:t xml:space="preserve">  With respect to the other information collected under the amendments, a broker-dealer can request the confidential treatment of the information.</w:t>
      </w:r>
      <w:r w:rsidRPr="00E657EA">
        <w:rPr>
          <w:rFonts w:ascii="Times New Roman" w:hAnsi="Times New Roman"/>
          <w:vertAlign w:val="superscript"/>
        </w:rPr>
        <w:footnoteReference w:id="26"/>
      </w:r>
      <w:r w:rsidRPr="00E657EA">
        <w:rPr>
          <w:rFonts w:ascii="Times New Roman" w:hAnsi="Times New Roman"/>
        </w:rPr>
        <w:t xml:space="preserve">  If such a confidential</w:t>
      </w:r>
      <w:r>
        <w:rPr>
          <w:rFonts w:ascii="Times New Roman" w:hAnsi="Times New Roman"/>
        </w:rPr>
        <w:t xml:space="preserve"> treatment request is made, </w:t>
      </w:r>
      <w:r w:rsidRPr="00E657EA">
        <w:rPr>
          <w:rFonts w:ascii="Times New Roman" w:hAnsi="Times New Roman"/>
        </w:rPr>
        <w:t xml:space="preserve">the information </w:t>
      </w:r>
      <w:r>
        <w:rPr>
          <w:rFonts w:ascii="Times New Roman" w:hAnsi="Times New Roman"/>
        </w:rPr>
        <w:t xml:space="preserve">will be treated as </w:t>
      </w:r>
      <w:r w:rsidRPr="00E657EA">
        <w:rPr>
          <w:rFonts w:ascii="Times New Roman" w:hAnsi="Times New Roman"/>
        </w:rPr>
        <w:t>confidential to the extent permitted by law.</w:t>
      </w:r>
      <w:r w:rsidRPr="00E657EA">
        <w:rPr>
          <w:rFonts w:ascii="Times New Roman" w:hAnsi="Times New Roman"/>
          <w:vertAlign w:val="superscript"/>
        </w:rPr>
        <w:footnoteReference w:id="27"/>
      </w:r>
    </w:p>
    <w:p w:rsidR="00B9414A" w:rsidRPr="00205696" w:rsidRDefault="00B9414A" w:rsidP="00B9414A">
      <w:pPr>
        <w:pStyle w:val="BodyText"/>
        <w:spacing w:after="240"/>
        <w:ind w:firstLine="720"/>
        <w:rPr>
          <w:rFonts w:ascii="Times New Roman" w:hAnsi="Times New Roman"/>
          <w:szCs w:val="24"/>
        </w:rPr>
      </w:pPr>
      <w:r w:rsidRPr="00205696">
        <w:rPr>
          <w:rFonts w:ascii="Times New Roman" w:hAnsi="Times New Roman"/>
          <w:szCs w:val="24"/>
        </w:rPr>
        <w:t xml:space="preserve">Subject to the provisions of the Freedom of Information Act, 5 U.S.C. § 552, and the Commission’s rules thereunder (17 CFR 200.80(b)(4)(iii)), the Commission generally does not publish or make available information contained in reports, summaries, analyses, letters, or memoranda arising out of, in anticipation of, or in connection with an examination or inspection of the books and records of any person or any other investigation.  </w:t>
      </w:r>
    </w:p>
    <w:p w:rsidR="00B9414A" w:rsidRPr="00205696" w:rsidRDefault="00B9414A" w:rsidP="00B9414A">
      <w:pPr>
        <w:keepNext/>
        <w:spacing w:after="240"/>
        <w:ind w:firstLine="720"/>
        <w:rPr>
          <w:b/>
        </w:rPr>
      </w:pPr>
      <w:r w:rsidRPr="00205696">
        <w:rPr>
          <w:b/>
        </w:rPr>
        <w:lastRenderedPageBreak/>
        <w:t>11.</w:t>
      </w:r>
      <w:r w:rsidRPr="00205696">
        <w:rPr>
          <w:b/>
        </w:rPr>
        <w:tab/>
        <w:t>Sensitive Questions</w:t>
      </w:r>
    </w:p>
    <w:p w:rsidR="00B9414A" w:rsidRPr="00205696" w:rsidRDefault="00B9414A" w:rsidP="00B9414A">
      <w:pPr>
        <w:spacing w:after="240"/>
        <w:ind w:firstLine="720"/>
      </w:pPr>
      <w:r w:rsidRPr="00205696">
        <w:t xml:space="preserve">Not applicable.  </w:t>
      </w:r>
      <w:r w:rsidR="00803964" w:rsidRPr="0090769E">
        <w:t>The collection of information will not include Personally Identifiable Information.</w:t>
      </w:r>
      <w:r w:rsidR="00803964" w:rsidRPr="0090769E">
        <w:rPr>
          <w:rStyle w:val="FootnoteReference"/>
        </w:rPr>
        <w:footnoteReference w:id="28"/>
      </w:r>
      <w:r w:rsidR="00803964">
        <w:t xml:space="preserve">  </w:t>
      </w:r>
      <w:r w:rsidRPr="00205696">
        <w:t>No information of a sensitive nature is required.</w:t>
      </w:r>
    </w:p>
    <w:p w:rsidR="00B9414A" w:rsidRPr="00205696" w:rsidRDefault="00B9414A" w:rsidP="00B9414A">
      <w:pPr>
        <w:keepNext/>
        <w:spacing w:after="240"/>
        <w:ind w:firstLine="720"/>
        <w:rPr>
          <w:b/>
        </w:rPr>
      </w:pPr>
      <w:r w:rsidRPr="00205696">
        <w:rPr>
          <w:b/>
        </w:rPr>
        <w:t>12.</w:t>
      </w:r>
      <w:r w:rsidRPr="00205696">
        <w:rPr>
          <w:b/>
        </w:rPr>
        <w:tab/>
        <w:t>Burden of Information Collection</w:t>
      </w:r>
    </w:p>
    <w:p w:rsidR="00235BCF" w:rsidRDefault="00B9414A" w:rsidP="00036005">
      <w:pPr>
        <w:ind w:firstLine="720"/>
        <w:rPr>
          <w:spacing w:val="-3"/>
        </w:rPr>
      </w:pPr>
      <w:r w:rsidRPr="00F44CE8">
        <w:rPr>
          <w:spacing w:val="-3"/>
        </w:rPr>
        <w:t>All broker-dealers are subject to Rule 17a-</w:t>
      </w:r>
      <w:r w:rsidR="00563417" w:rsidRPr="00F44CE8">
        <w:rPr>
          <w:spacing w:val="-3"/>
        </w:rPr>
        <w:t>5</w:t>
      </w:r>
      <w:r w:rsidR="00235BCF" w:rsidRPr="00F44CE8">
        <w:rPr>
          <w:spacing w:val="-3"/>
        </w:rPr>
        <w:t>.</w:t>
      </w:r>
      <w:r w:rsidRPr="00F44CE8">
        <w:rPr>
          <w:spacing w:val="-3"/>
        </w:rPr>
        <w:t xml:space="preserve">  </w:t>
      </w:r>
      <w:r w:rsidR="00235BCF" w:rsidRPr="00F44CE8">
        <w:t>Prior to the SBS Recordkeeping Release, t</w:t>
      </w:r>
      <w:r w:rsidRPr="00F44CE8">
        <w:t xml:space="preserve">he </w:t>
      </w:r>
      <w:r w:rsidR="00036005" w:rsidRPr="00F44CE8">
        <w:t>Commission estimate</w:t>
      </w:r>
      <w:r w:rsidR="00235BCF" w:rsidRPr="00F44CE8">
        <w:t>d</w:t>
      </w:r>
      <w:r w:rsidR="00036005" w:rsidRPr="00F44CE8">
        <w:t xml:space="preserve">, </w:t>
      </w:r>
      <w:r w:rsidR="007A6203" w:rsidRPr="00F44CE8">
        <w:t xml:space="preserve">based on its </w:t>
      </w:r>
      <w:r w:rsidR="00036005" w:rsidRPr="00F44CE8">
        <w:t xml:space="preserve">history and experience reviewing these filings and communicating with broker-dealers regarding the reports, </w:t>
      </w:r>
      <w:r w:rsidR="00235BCF" w:rsidRPr="00F44CE8">
        <w:t xml:space="preserve">that the ongoing burden for a registered broker-dealer to comply with the requirements of Rule 17a-5 </w:t>
      </w:r>
      <w:r w:rsidR="002367A1">
        <w:t>totaled approximately 385,140 hours with a total annual cost of $57,051,</w:t>
      </w:r>
      <w:r w:rsidR="00782F53">
        <w:t>0</w:t>
      </w:r>
      <w:r w:rsidR="002367A1">
        <w:t>00.</w:t>
      </w:r>
      <w:r w:rsidR="002367A1">
        <w:rPr>
          <w:rStyle w:val="FootnoteReference"/>
        </w:rPr>
        <w:footnoteReference w:id="29"/>
      </w:r>
      <w:r w:rsidR="002367A1">
        <w:t xml:space="preserve">  </w:t>
      </w:r>
      <w:r w:rsidR="00235BCF" w:rsidRPr="00280A0B">
        <w:t>Based on</w:t>
      </w:r>
      <w:r w:rsidR="00271A2E" w:rsidRPr="00280A0B">
        <w:t xml:space="preserve"> updated</w:t>
      </w:r>
      <w:r w:rsidR="00235BCF" w:rsidRPr="00280A0B">
        <w:t xml:space="preserve"> FOCUS Report data from</w:t>
      </w:r>
      <w:r w:rsidR="00271A2E" w:rsidRPr="00280A0B">
        <w:t xml:space="preserve"> 2</w:t>
      </w:r>
      <w:r w:rsidR="0091059F" w:rsidRPr="00280A0B">
        <w:t>01</w:t>
      </w:r>
      <w:r w:rsidR="000715A7" w:rsidRPr="00280A0B">
        <w:t>3</w:t>
      </w:r>
      <w:r w:rsidR="00235BCF" w:rsidRPr="00280A0B">
        <w:t xml:space="preserve"> there were</w:t>
      </w:r>
      <w:r w:rsidR="000715A7" w:rsidRPr="00280A0B">
        <w:t xml:space="preserve"> approximately 487</w:t>
      </w:r>
      <w:r w:rsidR="00235BCF" w:rsidRPr="00280A0B">
        <w:t xml:space="preserve"> broker-dealers that filed </w:t>
      </w:r>
      <w:r w:rsidR="00833082" w:rsidRPr="00280A0B">
        <w:t>monthly</w:t>
      </w:r>
      <w:r w:rsidR="00235BCF" w:rsidRPr="00280A0B">
        <w:t xml:space="preserve"> and </w:t>
      </w:r>
      <w:r w:rsidR="001E0321" w:rsidRPr="00280A0B">
        <w:t>4,058</w:t>
      </w:r>
      <w:r w:rsidR="00235BCF" w:rsidRPr="00280A0B">
        <w:t xml:space="preserve"> broker-dealers that filed quarterly</w:t>
      </w:r>
      <w:r w:rsidR="0091059F" w:rsidRPr="00280A0B">
        <w:t xml:space="preserve"> as of </w:t>
      </w:r>
      <w:r w:rsidR="001E0321" w:rsidRPr="00280A0B">
        <w:t>April 1, 2013</w:t>
      </w:r>
      <w:r w:rsidR="00235BCF" w:rsidRPr="00280A0B">
        <w:t xml:space="preserve">. </w:t>
      </w:r>
      <w:r w:rsidR="00865444">
        <w:t xml:space="preserve"> </w:t>
      </w:r>
      <w:r w:rsidR="00DA1306" w:rsidRPr="00280A0B">
        <w:rPr>
          <w:spacing w:val="-3"/>
        </w:rPr>
        <w:t>Of these 4,</w:t>
      </w:r>
      <w:r w:rsidR="00280A0B" w:rsidRPr="00280A0B">
        <w:rPr>
          <w:spacing w:val="-3"/>
        </w:rPr>
        <w:t>545 broker-dealers, 1,508</w:t>
      </w:r>
      <w:r w:rsidR="00DA1306" w:rsidRPr="00280A0B">
        <w:rPr>
          <w:spacing w:val="-3"/>
        </w:rPr>
        <w:t xml:space="preserve"> are</w:t>
      </w:r>
      <w:r w:rsidR="00A06488">
        <w:rPr>
          <w:spacing w:val="-3"/>
        </w:rPr>
        <w:t xml:space="preserve"> estimated to be</w:t>
      </w:r>
      <w:r w:rsidR="00DA1306" w:rsidRPr="00280A0B">
        <w:rPr>
          <w:spacing w:val="-3"/>
        </w:rPr>
        <w:t xml:space="preserve"> small business entities. </w:t>
      </w:r>
      <w:r w:rsidR="00A06488">
        <w:rPr>
          <w:spacing w:val="-3"/>
        </w:rPr>
        <w:t xml:space="preserve"> </w:t>
      </w:r>
    </w:p>
    <w:p w:rsidR="00A62FB1" w:rsidRDefault="00A62FB1" w:rsidP="00036005">
      <w:pPr>
        <w:ind w:firstLine="720"/>
        <w:rPr>
          <w:spacing w:val="-3"/>
        </w:rPr>
      </w:pPr>
    </w:p>
    <w:p w:rsidR="00A62FB1" w:rsidRPr="00831DEC" w:rsidRDefault="00A62FB1" w:rsidP="00031D2D">
      <w:pPr>
        <w:rPr>
          <w:b/>
          <w:smallCaps/>
          <w:u w:val="single"/>
        </w:rPr>
      </w:pPr>
      <w:r w:rsidRPr="00831DEC">
        <w:rPr>
          <w:b/>
          <w:smallCaps/>
          <w:spacing w:val="-3"/>
          <w:u w:val="single"/>
        </w:rPr>
        <w:t>Previously adopted</w:t>
      </w:r>
    </w:p>
    <w:p w:rsidR="00036005" w:rsidRDefault="00036005" w:rsidP="00036005"/>
    <w:p w:rsidR="00A62FB1" w:rsidRDefault="00A62FB1" w:rsidP="00031D2D">
      <w:pPr>
        <w:ind w:firstLine="720"/>
      </w:pPr>
      <w:r w:rsidRPr="00031D2D">
        <w:rPr>
          <w:b/>
        </w:rPr>
        <w:t>Requirement to</w:t>
      </w:r>
      <w:r w:rsidR="00EE5E73">
        <w:rPr>
          <w:b/>
        </w:rPr>
        <w:t xml:space="preserve"> Prepare and File FOCUS Reports – </w:t>
      </w:r>
      <w:r w:rsidRPr="00031D2D">
        <w:rPr>
          <w:b/>
        </w:rPr>
        <w:t>Paragraph (a) of Rule 17a-5</w:t>
      </w:r>
      <w:r w:rsidR="00031D2D">
        <w:rPr>
          <w:b/>
        </w:rPr>
        <w:t xml:space="preserve">: </w:t>
      </w:r>
      <w:r>
        <w:t>Commission staff estimates that each FOCUS Report and annual audited financial statement</w:t>
      </w:r>
      <w:r w:rsidRPr="00E8648A">
        <w:t xml:space="preserve"> required to be filed under Rule 17a-5 </w:t>
      </w:r>
      <w:r>
        <w:t xml:space="preserve">takes </w:t>
      </w:r>
      <w:r w:rsidRPr="00E8648A">
        <w:t>approximately 12 hours</w:t>
      </w:r>
      <w:r>
        <w:t xml:space="preserve"> to prepare and file</w:t>
      </w:r>
      <w:r w:rsidRPr="00E8648A">
        <w:t xml:space="preserve">.  </w:t>
      </w:r>
      <w:r>
        <w:t xml:space="preserve">This estimate is based on Commission staff’s history and experience reviewing these filings and communicating with broker-dealers regarding the reports.  </w:t>
      </w:r>
    </w:p>
    <w:p w:rsidR="00A62FB1" w:rsidRPr="00A62FB1" w:rsidRDefault="00A62FB1" w:rsidP="00A62FB1"/>
    <w:p w:rsidR="00A62FB1" w:rsidRPr="00031D2D" w:rsidRDefault="00A62FB1" w:rsidP="00A62FB1">
      <w:pPr>
        <w:pStyle w:val="ListParagraph"/>
        <w:numPr>
          <w:ilvl w:val="0"/>
          <w:numId w:val="1"/>
        </w:numPr>
        <w:rPr>
          <w:i/>
        </w:rPr>
      </w:pPr>
      <w:r w:rsidRPr="00031D2D">
        <w:rPr>
          <w:i/>
        </w:rPr>
        <w:t>Monthly Reports</w:t>
      </w:r>
    </w:p>
    <w:p w:rsidR="00A62FB1" w:rsidRPr="00A62FB1" w:rsidRDefault="00A62FB1" w:rsidP="00A62FB1">
      <w:pPr>
        <w:pStyle w:val="ListParagraph"/>
        <w:ind w:left="1800"/>
      </w:pPr>
    </w:p>
    <w:p w:rsidR="00A62FB1" w:rsidRDefault="009B6200" w:rsidP="00EE5E73">
      <w:pPr>
        <w:ind w:firstLine="720"/>
      </w:pPr>
      <w:r>
        <w:t>As of April 1, 2013</w:t>
      </w:r>
      <w:r w:rsidR="00A62FB1">
        <w:t xml:space="preserve">, </w:t>
      </w:r>
      <w:r w:rsidR="00A62FB1" w:rsidRPr="00E8648A">
        <w:t xml:space="preserve">approximately </w:t>
      </w:r>
      <w:r>
        <w:t>487</w:t>
      </w:r>
      <w:r w:rsidR="00A62FB1" w:rsidRPr="00E8648A">
        <w:t xml:space="preserve"> firms </w:t>
      </w:r>
      <w:r w:rsidR="00A62FB1">
        <w:t xml:space="preserve">cleared transactions or carried customer accounts and therefore </w:t>
      </w:r>
      <w:r w:rsidR="00A62FB1" w:rsidRPr="00E8648A">
        <w:t>filed monthly reports</w:t>
      </w:r>
      <w:r w:rsidR="00A62FB1">
        <w:t xml:space="preserve">.  As a result, each firm would have an annual </w:t>
      </w:r>
      <w:r w:rsidR="004B577B">
        <w:t xml:space="preserve">reporting </w:t>
      </w:r>
      <w:r w:rsidR="00A62FB1">
        <w:t>burden of 144 hours</w:t>
      </w:r>
      <w:r w:rsidR="00910426">
        <w:rPr>
          <w:rStyle w:val="FootnoteReference"/>
        </w:rPr>
        <w:footnoteReference w:id="30"/>
      </w:r>
      <w:r w:rsidR="00910426">
        <w:t xml:space="preserve"> </w:t>
      </w:r>
      <w:r w:rsidR="00A62FB1">
        <w:t>resulting in a</w:t>
      </w:r>
      <w:r w:rsidR="00910426">
        <w:t>nnual industry burden of 7</w:t>
      </w:r>
      <w:r w:rsidR="005E14DC">
        <w:t>0,128</w:t>
      </w:r>
      <w:r w:rsidR="00910426">
        <w:t xml:space="preserve"> hours.</w:t>
      </w:r>
      <w:r w:rsidR="00910426">
        <w:rPr>
          <w:rStyle w:val="FootnoteReference"/>
        </w:rPr>
        <w:footnoteReference w:id="31"/>
      </w:r>
      <w:r w:rsidR="00910426">
        <w:t xml:space="preserve">  </w:t>
      </w:r>
    </w:p>
    <w:p w:rsidR="00EE5E73" w:rsidRDefault="00EE5E73" w:rsidP="00EE5E73">
      <w:pPr>
        <w:ind w:firstLine="720"/>
      </w:pPr>
    </w:p>
    <w:p w:rsidR="00A62FB1" w:rsidRPr="00031D2D" w:rsidRDefault="00A62FB1" w:rsidP="00A62FB1">
      <w:pPr>
        <w:pStyle w:val="ListParagraph"/>
        <w:numPr>
          <w:ilvl w:val="0"/>
          <w:numId w:val="1"/>
        </w:numPr>
        <w:rPr>
          <w:i/>
        </w:rPr>
      </w:pPr>
      <w:r w:rsidRPr="00031D2D">
        <w:rPr>
          <w:i/>
        </w:rPr>
        <w:t>Quarterly Reports</w:t>
      </w:r>
    </w:p>
    <w:p w:rsidR="00A62FB1" w:rsidRPr="00A62FB1" w:rsidRDefault="00A62FB1" w:rsidP="00A62FB1">
      <w:pPr>
        <w:pStyle w:val="ListParagraph"/>
        <w:ind w:left="1800"/>
      </w:pPr>
    </w:p>
    <w:p w:rsidR="00A62FB1" w:rsidRDefault="009B6200" w:rsidP="00A62FB1">
      <w:pPr>
        <w:ind w:firstLine="720"/>
      </w:pPr>
      <w:r>
        <w:t>As of April 1, 2013</w:t>
      </w:r>
      <w:r w:rsidR="00A62FB1">
        <w:t xml:space="preserve">, </w:t>
      </w:r>
      <w:r w:rsidR="00A62FB1" w:rsidRPr="00E8648A">
        <w:t>approximately 4</w:t>
      </w:r>
      <w:r w:rsidR="00A62FB1" w:rsidRPr="00544057">
        <w:t>,</w:t>
      </w:r>
      <w:r>
        <w:t>058</w:t>
      </w:r>
      <w:r w:rsidR="00A62FB1" w:rsidRPr="00E8648A">
        <w:t xml:space="preserve"> firms filed quarterly reports</w:t>
      </w:r>
      <w:r w:rsidR="00910426">
        <w:t xml:space="preserve">.  As a result, each firm would have an annual </w:t>
      </w:r>
      <w:r w:rsidR="004B577B">
        <w:t xml:space="preserve">reporting </w:t>
      </w:r>
      <w:r w:rsidR="00910426">
        <w:t>burden of 48 hours</w:t>
      </w:r>
      <w:r w:rsidR="00910426">
        <w:rPr>
          <w:rStyle w:val="FootnoteReference"/>
        </w:rPr>
        <w:footnoteReference w:id="32"/>
      </w:r>
      <w:r w:rsidR="00910426">
        <w:t xml:space="preserve"> resulting in annual industry burden of </w:t>
      </w:r>
      <w:r>
        <w:t>194,784</w:t>
      </w:r>
      <w:r w:rsidR="00910426">
        <w:t xml:space="preserve"> hours.</w:t>
      </w:r>
      <w:r w:rsidR="00910426">
        <w:rPr>
          <w:rStyle w:val="FootnoteReference"/>
        </w:rPr>
        <w:footnoteReference w:id="33"/>
      </w:r>
      <w:r w:rsidR="00910426">
        <w:t xml:space="preserve"> </w:t>
      </w:r>
    </w:p>
    <w:p w:rsidR="00F62122" w:rsidRDefault="00A62FB1" w:rsidP="00031D2D">
      <w:pPr>
        <w:ind w:firstLine="720"/>
      </w:pPr>
      <w:r w:rsidRPr="00031D2D">
        <w:rPr>
          <w:b/>
        </w:rPr>
        <w:lastRenderedPageBreak/>
        <w:t>Requirement to File Supplemental Repo</w:t>
      </w:r>
      <w:r w:rsidR="00EE5E73">
        <w:rPr>
          <w:b/>
        </w:rPr>
        <w:t>rts –</w:t>
      </w:r>
      <w:r w:rsidRPr="00031D2D">
        <w:rPr>
          <w:b/>
        </w:rPr>
        <w:t xml:space="preserve"> Paragraph</w:t>
      </w:r>
      <w:r w:rsidR="00EE5E73">
        <w:rPr>
          <w:b/>
        </w:rPr>
        <w:t xml:space="preserve"> </w:t>
      </w:r>
      <w:r w:rsidRPr="00031D2D">
        <w:rPr>
          <w:b/>
        </w:rPr>
        <w:t>(k) of Rule 17a-5</w:t>
      </w:r>
      <w:r w:rsidR="00031D2D">
        <w:rPr>
          <w:b/>
        </w:rPr>
        <w:t xml:space="preserve">: </w:t>
      </w:r>
      <w:r>
        <w:t>As previously explained, paragraph (k) of Rule 17a-5 requires broker-dealers that compute certain capital charges in accordance with Appendix E to Exchange Act Rule 15c3-1</w:t>
      </w:r>
      <w:r>
        <w:rPr>
          <w:vertAlign w:val="superscript"/>
        </w:rPr>
        <w:footnoteReference w:id="34"/>
      </w:r>
      <w:r>
        <w:t xml:space="preserve"> to file supplemental reports with the Commission regarding their internal risk management controls.  The Commission currently estimates that </w:t>
      </w:r>
      <w:r w:rsidRPr="00E8648A">
        <w:t xml:space="preserve">approximately </w:t>
      </w:r>
      <w:r w:rsidR="005344C2">
        <w:t>10</w:t>
      </w:r>
      <w:r w:rsidRPr="00E8648A">
        <w:t xml:space="preserve"> broker-dealers will elect to use Appendix E to Rule 15c3-1 to compute certain of their capital charges.  </w:t>
      </w:r>
    </w:p>
    <w:p w:rsidR="00F62122" w:rsidRDefault="00F62122" w:rsidP="00A62FB1"/>
    <w:p w:rsidR="00F62122" w:rsidRPr="00031D2D" w:rsidRDefault="00F62122" w:rsidP="00F62122">
      <w:pPr>
        <w:pStyle w:val="ListParagraph"/>
        <w:numPr>
          <w:ilvl w:val="0"/>
          <w:numId w:val="5"/>
        </w:numPr>
        <w:rPr>
          <w:i/>
        </w:rPr>
      </w:pPr>
      <w:r w:rsidRPr="00031D2D">
        <w:rPr>
          <w:i/>
        </w:rPr>
        <w:t>Appendix E – Additional Monthly Reports</w:t>
      </w:r>
    </w:p>
    <w:p w:rsidR="00F62122" w:rsidRPr="00A62FB1" w:rsidRDefault="00F62122" w:rsidP="00F62122">
      <w:pPr>
        <w:pStyle w:val="ListParagraph"/>
        <w:ind w:left="1800"/>
      </w:pPr>
    </w:p>
    <w:p w:rsidR="00F62122" w:rsidRDefault="00F62122" w:rsidP="003C595B">
      <w:pPr>
        <w:ind w:firstLine="720"/>
      </w:pPr>
      <w:r w:rsidRPr="00E8648A">
        <w:t xml:space="preserve">The average amount of time necessary to prepare and file the </w:t>
      </w:r>
      <w:r>
        <w:t xml:space="preserve">required </w:t>
      </w:r>
      <w:r w:rsidRPr="00E8648A">
        <w:t xml:space="preserve">additional monthly reports by </w:t>
      </w:r>
      <w:r>
        <w:t>each firm</w:t>
      </w:r>
      <w:r w:rsidRPr="00E8648A">
        <w:t xml:space="preserve"> is approximately 4 hours per month</w:t>
      </w:r>
      <w:r>
        <w:t xml:space="preserve">.  As a result, each firm would have an annual </w:t>
      </w:r>
      <w:r w:rsidR="004B577B">
        <w:t xml:space="preserve">reporting </w:t>
      </w:r>
      <w:r>
        <w:t>burden of 48 hours</w:t>
      </w:r>
      <w:r>
        <w:rPr>
          <w:rStyle w:val="FootnoteReference"/>
        </w:rPr>
        <w:footnoteReference w:id="35"/>
      </w:r>
      <w:r>
        <w:t xml:space="preserve"> resulting in annual industry burden of 4</w:t>
      </w:r>
      <w:r w:rsidR="005344C2">
        <w:t>80</w:t>
      </w:r>
      <w:r>
        <w:t xml:space="preserve"> hours.</w:t>
      </w:r>
      <w:r>
        <w:rPr>
          <w:rStyle w:val="FootnoteReference"/>
        </w:rPr>
        <w:footnoteReference w:id="36"/>
      </w:r>
      <w:r>
        <w:t xml:space="preserve">  This estimate is based on Commission staff’s history and experience reviewing these filings and communicating with broker-dealers regarding the reports.   </w:t>
      </w:r>
    </w:p>
    <w:p w:rsidR="00831DEC" w:rsidRDefault="00831DEC" w:rsidP="003C595B">
      <w:pPr>
        <w:ind w:firstLine="720"/>
      </w:pPr>
    </w:p>
    <w:p w:rsidR="00F62122" w:rsidRPr="00031D2D" w:rsidRDefault="00F62122" w:rsidP="00F62122">
      <w:pPr>
        <w:pStyle w:val="ListParagraph"/>
        <w:numPr>
          <w:ilvl w:val="0"/>
          <w:numId w:val="5"/>
        </w:numPr>
        <w:rPr>
          <w:i/>
        </w:rPr>
      </w:pPr>
      <w:r w:rsidRPr="00031D2D">
        <w:rPr>
          <w:i/>
        </w:rPr>
        <w:t>Appendix E – Additional Quarterly Reports</w:t>
      </w:r>
    </w:p>
    <w:p w:rsidR="00F62122" w:rsidRPr="00A62FB1" w:rsidRDefault="00F62122" w:rsidP="00F62122">
      <w:pPr>
        <w:pStyle w:val="ListParagraph"/>
        <w:ind w:left="1800"/>
      </w:pPr>
    </w:p>
    <w:p w:rsidR="00831DEC" w:rsidRDefault="00F62122" w:rsidP="00EE5E73">
      <w:pPr>
        <w:ind w:firstLine="720"/>
      </w:pPr>
      <w:r w:rsidRPr="00E8648A">
        <w:t xml:space="preserve">The average amount of time necessary to prepare and file the </w:t>
      </w:r>
      <w:r>
        <w:t xml:space="preserve">required </w:t>
      </w:r>
      <w:r w:rsidRPr="00E8648A">
        <w:t>additional</w:t>
      </w:r>
      <w:r>
        <w:t xml:space="preserve"> </w:t>
      </w:r>
      <w:r w:rsidRPr="00E8648A">
        <w:t>quarterly reports is about 8 hours per quarter</w:t>
      </w:r>
      <w:r>
        <w:t xml:space="preserve">.  As a result, each firm would have an annual </w:t>
      </w:r>
      <w:r w:rsidR="004B577B">
        <w:t xml:space="preserve">reporting </w:t>
      </w:r>
      <w:r>
        <w:t>burden of 32 hours</w:t>
      </w:r>
      <w:r>
        <w:rPr>
          <w:rStyle w:val="FootnoteReference"/>
        </w:rPr>
        <w:footnoteReference w:id="37"/>
      </w:r>
      <w:r>
        <w:t xml:space="preserve"> resulting in annual industry burden of </w:t>
      </w:r>
      <w:r w:rsidR="005344C2">
        <w:t>320</w:t>
      </w:r>
      <w:r>
        <w:t xml:space="preserve"> hours.</w:t>
      </w:r>
      <w:r>
        <w:rPr>
          <w:rStyle w:val="FootnoteReference"/>
        </w:rPr>
        <w:footnoteReference w:id="38"/>
      </w:r>
      <w:r>
        <w:t xml:space="preserve"> This estimate is based on Commission staff’s history and experience reviewing these filings and communicating with broker-dealers regarding the reports.  </w:t>
      </w:r>
    </w:p>
    <w:p w:rsidR="00EE5E73" w:rsidRDefault="00EE5E73" w:rsidP="00EE5E73">
      <w:pPr>
        <w:ind w:firstLine="720"/>
      </w:pPr>
    </w:p>
    <w:p w:rsidR="00F62122" w:rsidRPr="00031D2D" w:rsidRDefault="00F62122" w:rsidP="00F62122">
      <w:pPr>
        <w:pStyle w:val="ListParagraph"/>
        <w:numPr>
          <w:ilvl w:val="0"/>
          <w:numId w:val="5"/>
        </w:numPr>
        <w:rPr>
          <w:i/>
        </w:rPr>
      </w:pPr>
      <w:r w:rsidRPr="00031D2D">
        <w:rPr>
          <w:i/>
        </w:rPr>
        <w:t>Appendix E – Additional Annual Reports</w:t>
      </w:r>
    </w:p>
    <w:p w:rsidR="00F62122" w:rsidRPr="00A62FB1" w:rsidRDefault="00F62122" w:rsidP="00F62122">
      <w:pPr>
        <w:pStyle w:val="ListParagraph"/>
        <w:ind w:left="1800"/>
      </w:pPr>
    </w:p>
    <w:p w:rsidR="00A62FB1" w:rsidRPr="00E8648A" w:rsidRDefault="00F62122" w:rsidP="004B577B">
      <w:pPr>
        <w:ind w:firstLine="720"/>
      </w:pPr>
      <w:r>
        <w:t>T</w:t>
      </w:r>
      <w:r w:rsidRPr="00E8648A">
        <w:t xml:space="preserve">he average amount of time necessary to prepare and file the additional supplemental reports with the annual audit required is approximately 40 hours per year.  </w:t>
      </w:r>
      <w:r>
        <w:t xml:space="preserve">As a result, each firm would have an annual </w:t>
      </w:r>
      <w:r w:rsidR="004B577B">
        <w:t xml:space="preserve">reporting </w:t>
      </w:r>
      <w:r>
        <w:t>burden of 40 hours</w:t>
      </w:r>
      <w:r>
        <w:rPr>
          <w:rStyle w:val="FootnoteReference"/>
        </w:rPr>
        <w:footnoteReference w:id="39"/>
      </w:r>
      <w:r>
        <w:t xml:space="preserve"> resulting in annual industry burden of </w:t>
      </w:r>
      <w:r w:rsidR="005344C2">
        <w:t>4</w:t>
      </w:r>
      <w:r w:rsidR="005E14DC">
        <w:t xml:space="preserve">00 </w:t>
      </w:r>
      <w:r>
        <w:lastRenderedPageBreak/>
        <w:t>hours.</w:t>
      </w:r>
      <w:r>
        <w:rPr>
          <w:rStyle w:val="FootnoteReference"/>
        </w:rPr>
        <w:footnoteReference w:id="40"/>
      </w:r>
      <w:r w:rsidR="004B577B">
        <w:t xml:space="preserve"> </w:t>
      </w:r>
      <w:r>
        <w:t>T</w:t>
      </w:r>
      <w:r w:rsidR="00A62FB1">
        <w:t xml:space="preserve">his estimate is based on Commission staff’s history and experience reviewing these filings and communicating with broker-dealers regarding the reports.  </w:t>
      </w:r>
    </w:p>
    <w:p w:rsidR="00A62FB1" w:rsidRPr="00E8648A" w:rsidRDefault="00A62FB1" w:rsidP="00A62FB1"/>
    <w:p w:rsidR="00831DEC" w:rsidRPr="00E8648A" w:rsidRDefault="00831DEC" w:rsidP="00831DEC">
      <w:pPr>
        <w:ind w:firstLine="720"/>
      </w:pPr>
      <w:r w:rsidRPr="00031D2D">
        <w:rPr>
          <w:b/>
        </w:rPr>
        <w:t xml:space="preserve">Requirement to File </w:t>
      </w:r>
      <w:r>
        <w:rPr>
          <w:b/>
        </w:rPr>
        <w:t>Annual Audited Reports –</w:t>
      </w:r>
      <w:r w:rsidR="001D468A">
        <w:rPr>
          <w:b/>
        </w:rPr>
        <w:t xml:space="preserve"> Paragraph (d) o</w:t>
      </w:r>
      <w:r>
        <w:rPr>
          <w:b/>
        </w:rPr>
        <w:t>f Ru</w:t>
      </w:r>
      <w:r w:rsidRPr="00031D2D">
        <w:rPr>
          <w:b/>
        </w:rPr>
        <w:t>le 17a-5</w:t>
      </w:r>
      <w:r>
        <w:rPr>
          <w:b/>
        </w:rPr>
        <w:t xml:space="preserve">: </w:t>
      </w:r>
      <w:r>
        <w:t xml:space="preserve">As of fiscal year 2013, </w:t>
      </w:r>
      <w:r w:rsidRPr="00E8648A">
        <w:t>approximately 4,</w:t>
      </w:r>
      <w:r>
        <w:t>345</w:t>
      </w:r>
      <w:r w:rsidRPr="00E8648A">
        <w:t xml:space="preserve"> firms filed annual audited </w:t>
      </w:r>
      <w:r>
        <w:t>financial statements.</w:t>
      </w:r>
      <w:r w:rsidR="00111363">
        <w:rPr>
          <w:rStyle w:val="FootnoteReference"/>
        </w:rPr>
        <w:footnoteReference w:id="41"/>
      </w:r>
      <w:r>
        <w:t xml:space="preserve"> </w:t>
      </w:r>
      <w:r w:rsidRPr="00E8648A">
        <w:t xml:space="preserve"> </w:t>
      </w:r>
      <w:r>
        <w:t>As a result, each firm would have an annual reporting burden of 12 hours</w:t>
      </w:r>
      <w:r>
        <w:rPr>
          <w:rStyle w:val="FootnoteReference"/>
        </w:rPr>
        <w:footnoteReference w:id="42"/>
      </w:r>
      <w:r>
        <w:t xml:space="preserve"> resulting in annual industry burden of 52,140 hours.</w:t>
      </w:r>
      <w:r>
        <w:rPr>
          <w:rStyle w:val="FootnoteReference"/>
        </w:rPr>
        <w:footnoteReference w:id="43"/>
      </w:r>
    </w:p>
    <w:p w:rsidR="00831DEC" w:rsidRDefault="00831DEC" w:rsidP="00031D2D">
      <w:pPr>
        <w:ind w:firstLine="720"/>
        <w:rPr>
          <w:b/>
        </w:rPr>
      </w:pPr>
    </w:p>
    <w:p w:rsidR="00A62FB1" w:rsidRPr="00031D2D" w:rsidRDefault="00A62FB1" w:rsidP="00031D2D">
      <w:pPr>
        <w:ind w:firstLine="720"/>
        <w:rPr>
          <w:b/>
        </w:rPr>
      </w:pPr>
      <w:r w:rsidRPr="00031D2D">
        <w:rPr>
          <w:b/>
        </w:rPr>
        <w:t>Requirement to File Compliance Report or Exemption Report</w:t>
      </w:r>
      <w:r w:rsidR="00EE5E73">
        <w:rPr>
          <w:b/>
        </w:rPr>
        <w:t xml:space="preserve"> –</w:t>
      </w:r>
      <w:r w:rsidRPr="00031D2D">
        <w:rPr>
          <w:b/>
        </w:rPr>
        <w:t xml:space="preserve"> Paragraphs</w:t>
      </w:r>
      <w:r w:rsidR="00EE5E73">
        <w:rPr>
          <w:b/>
        </w:rPr>
        <w:t xml:space="preserve"> </w:t>
      </w:r>
      <w:r w:rsidRPr="00031D2D">
        <w:rPr>
          <w:b/>
        </w:rPr>
        <w:t>(d)(3)–(4) of Rule 17a-5</w:t>
      </w:r>
      <w:r w:rsidR="00031D2D">
        <w:rPr>
          <w:b/>
        </w:rPr>
        <w:t xml:space="preserve">: </w:t>
      </w:r>
      <w:r w:rsidR="00031D2D" w:rsidRPr="002A7C58">
        <w:t xml:space="preserve">As of </w:t>
      </w:r>
      <w:r w:rsidR="00831DEC">
        <w:t>April 1, 2013</w:t>
      </w:r>
      <w:r w:rsidR="005344C2">
        <w:t>, 4,545</w:t>
      </w:r>
      <w:r w:rsidR="00031D2D" w:rsidRPr="002A7C58">
        <w:t xml:space="preserve"> broker-dealers filed FOCUS Reports with the Commission.  Of these, 4,</w:t>
      </w:r>
      <w:r w:rsidR="00415FB1">
        <w:t>342</w:t>
      </w:r>
      <w:r w:rsidR="00031D2D" w:rsidRPr="002A7C58">
        <w:t xml:space="preserve"> broker-dealers claimed exemptions from Rule 15c3-3.  </w:t>
      </w:r>
    </w:p>
    <w:p w:rsidR="00A62FB1" w:rsidRDefault="00A62FB1" w:rsidP="00A62FB1"/>
    <w:p w:rsidR="00207362" w:rsidRPr="00031D2D" w:rsidRDefault="00207362" w:rsidP="00207362">
      <w:pPr>
        <w:pStyle w:val="ListParagraph"/>
        <w:numPr>
          <w:ilvl w:val="0"/>
          <w:numId w:val="6"/>
        </w:numPr>
        <w:rPr>
          <w:i/>
        </w:rPr>
      </w:pPr>
      <w:r w:rsidRPr="00031D2D">
        <w:rPr>
          <w:i/>
        </w:rPr>
        <w:t xml:space="preserve">Compliance Report Requirement </w:t>
      </w:r>
    </w:p>
    <w:p w:rsidR="00207362" w:rsidRPr="00A62FB1" w:rsidRDefault="00207362" w:rsidP="00207362">
      <w:pPr>
        <w:pStyle w:val="ListParagraph"/>
        <w:ind w:left="1800"/>
      </w:pPr>
    </w:p>
    <w:p w:rsidR="00207362" w:rsidRDefault="000315C3" w:rsidP="00207362">
      <w:pPr>
        <w:ind w:firstLine="720"/>
      </w:pPr>
      <w:r>
        <w:t>As of April 1, 2013, t</w:t>
      </w:r>
      <w:r w:rsidR="00031D2D">
        <w:t>here</w:t>
      </w:r>
      <w:r w:rsidR="00207362" w:rsidRPr="002A7C58">
        <w:t xml:space="preserve"> are approximately </w:t>
      </w:r>
      <w:r w:rsidR="00415FB1">
        <w:t>203</w:t>
      </w:r>
      <w:r w:rsidR="00207362" w:rsidRPr="002A7C58">
        <w:t xml:space="preserve"> carrying broker-dealers (4,</w:t>
      </w:r>
      <w:r w:rsidR="005344C2">
        <w:t>545</w:t>
      </w:r>
      <w:r w:rsidR="00207362" w:rsidRPr="002A7C58">
        <w:t xml:space="preserve"> – 4,</w:t>
      </w:r>
      <w:r w:rsidR="00415FB1">
        <w:t xml:space="preserve">342 </w:t>
      </w:r>
      <w:r w:rsidR="00207362" w:rsidRPr="002A7C58">
        <w:t xml:space="preserve">= </w:t>
      </w:r>
      <w:r w:rsidR="00415FB1">
        <w:t>203</w:t>
      </w:r>
      <w:r w:rsidR="00207362">
        <w:t xml:space="preserve">) that must comply with Rule 15c3-3 and therefore must file compliance reports.  It will take a carrying broker-dealer approximately 60 hours to prepare the compliance report.  As a result, each carrying broker-dealer would have an annual </w:t>
      </w:r>
      <w:r w:rsidR="004B577B">
        <w:t xml:space="preserve">reporting </w:t>
      </w:r>
      <w:r w:rsidR="00207362">
        <w:t>burden of 60 hours</w:t>
      </w:r>
      <w:r w:rsidR="00207362">
        <w:rPr>
          <w:rStyle w:val="FootnoteReference"/>
        </w:rPr>
        <w:footnoteReference w:id="44"/>
      </w:r>
      <w:r w:rsidR="00207362">
        <w:t xml:space="preserve"> resulting in annual industry burden of </w:t>
      </w:r>
      <w:r w:rsidR="00415FB1">
        <w:t>12,180</w:t>
      </w:r>
      <w:r w:rsidR="00207362">
        <w:t xml:space="preserve"> hours.</w:t>
      </w:r>
      <w:r w:rsidR="00207362">
        <w:rPr>
          <w:rStyle w:val="FootnoteReference"/>
        </w:rPr>
        <w:footnoteReference w:id="45"/>
      </w:r>
    </w:p>
    <w:p w:rsidR="00207362" w:rsidRDefault="00207362" w:rsidP="00207362">
      <w:pPr>
        <w:ind w:firstLine="720"/>
      </w:pPr>
    </w:p>
    <w:p w:rsidR="00207362" w:rsidRPr="00031D2D" w:rsidRDefault="00207362" w:rsidP="00207362">
      <w:pPr>
        <w:pStyle w:val="ListParagraph"/>
        <w:numPr>
          <w:ilvl w:val="0"/>
          <w:numId w:val="6"/>
        </w:numPr>
        <w:rPr>
          <w:i/>
        </w:rPr>
      </w:pPr>
      <w:r w:rsidRPr="00031D2D">
        <w:rPr>
          <w:i/>
        </w:rPr>
        <w:t>Exemption Report Requirement</w:t>
      </w:r>
    </w:p>
    <w:p w:rsidR="00207362" w:rsidRPr="00A62FB1" w:rsidRDefault="00207362" w:rsidP="00207362">
      <w:pPr>
        <w:pStyle w:val="ListParagraph"/>
        <w:ind w:left="1800"/>
      </w:pPr>
    </w:p>
    <w:p w:rsidR="00207362" w:rsidRPr="00E8648A" w:rsidRDefault="00207362" w:rsidP="00207362">
      <w:pPr>
        <w:ind w:firstLine="720"/>
      </w:pPr>
      <w:r>
        <w:t>As stated above, a</w:t>
      </w:r>
      <w:r w:rsidR="00A62FB1" w:rsidRPr="002A7C58">
        <w:t xml:space="preserve">s of </w:t>
      </w:r>
      <w:r w:rsidR="00831DEC">
        <w:t>April 1,</w:t>
      </w:r>
      <w:r w:rsidR="005344C2">
        <w:t xml:space="preserve"> 2013</w:t>
      </w:r>
      <w:r w:rsidR="00A62FB1" w:rsidRPr="002A7C58">
        <w:t>, 4,</w:t>
      </w:r>
      <w:r w:rsidR="005344C2">
        <w:t>545</w:t>
      </w:r>
      <w:r w:rsidR="00A62FB1" w:rsidRPr="002A7C58">
        <w:t xml:space="preserve"> broker-dealers filed FOCUS Reports with the Commission.  Of these, </w:t>
      </w:r>
      <w:r w:rsidR="005344C2">
        <w:t>4,</w:t>
      </w:r>
      <w:r w:rsidR="00415FB1">
        <w:t>342</w:t>
      </w:r>
      <w:r w:rsidR="00A62FB1" w:rsidRPr="002A7C58">
        <w:t xml:space="preserve"> broker-dealers claimed exemptions from Rule 15c3-3.  </w:t>
      </w:r>
      <w:r w:rsidR="00A62FB1">
        <w:t>It will take a broker-dealer claiming an exemption from Rule 15c3-3 approximately 7 hours to complete the exemption report</w:t>
      </w:r>
      <w:r>
        <w:t xml:space="preserve">. As a result, each firm would have an annual </w:t>
      </w:r>
      <w:r w:rsidR="004B577B">
        <w:t xml:space="preserve">reporting </w:t>
      </w:r>
      <w:r>
        <w:t>burden of 7 hours</w:t>
      </w:r>
      <w:r>
        <w:rPr>
          <w:rStyle w:val="FootnoteReference"/>
        </w:rPr>
        <w:footnoteReference w:id="46"/>
      </w:r>
      <w:r>
        <w:t xml:space="preserve"> resulting in annual industry burden of </w:t>
      </w:r>
      <w:r w:rsidR="00415FB1">
        <w:t>30,394</w:t>
      </w:r>
      <w:r>
        <w:t xml:space="preserve"> hours.</w:t>
      </w:r>
      <w:r>
        <w:rPr>
          <w:rStyle w:val="FootnoteReference"/>
        </w:rPr>
        <w:footnoteReference w:id="47"/>
      </w:r>
    </w:p>
    <w:p w:rsidR="00831DEC" w:rsidRDefault="00831DEC" w:rsidP="00A62FB1">
      <w:pPr>
        <w:ind w:firstLine="720"/>
        <w:rPr>
          <w:b/>
        </w:rPr>
      </w:pPr>
    </w:p>
    <w:p w:rsidR="00A62FB1" w:rsidRDefault="00A62FB1" w:rsidP="00A62FB1">
      <w:pPr>
        <w:ind w:firstLine="720"/>
      </w:pPr>
      <w:r w:rsidRPr="000315C3">
        <w:rPr>
          <w:b/>
        </w:rPr>
        <w:t>Requirement to File A</w:t>
      </w:r>
      <w:r w:rsidR="00EE5E73">
        <w:rPr>
          <w:b/>
        </w:rPr>
        <w:t>nnual Audited Reports with SIPC –</w:t>
      </w:r>
      <w:r w:rsidRPr="000315C3">
        <w:rPr>
          <w:b/>
        </w:rPr>
        <w:t xml:space="preserve"> Paragraph</w:t>
      </w:r>
      <w:r w:rsidR="00EE5E73">
        <w:rPr>
          <w:b/>
        </w:rPr>
        <w:t xml:space="preserve"> </w:t>
      </w:r>
      <w:r w:rsidRPr="000315C3">
        <w:rPr>
          <w:b/>
        </w:rPr>
        <w:t>(d)(6) of Rule 17a-5</w:t>
      </w:r>
      <w:r w:rsidR="00031D2D" w:rsidRPr="000315C3">
        <w:rPr>
          <w:b/>
        </w:rPr>
        <w:t xml:space="preserve">:  </w:t>
      </w:r>
      <w:r w:rsidRPr="000315C3">
        <w:t xml:space="preserve">According to SIPC, as of </w:t>
      </w:r>
      <w:r w:rsidR="000315C3">
        <w:t>April 1, 2013</w:t>
      </w:r>
      <w:r w:rsidRPr="000315C3">
        <w:t xml:space="preserve">, </w:t>
      </w:r>
      <w:r w:rsidR="004C6FCB">
        <w:t xml:space="preserve">there were </w:t>
      </w:r>
      <w:r w:rsidR="00831DEC">
        <w:t xml:space="preserve">approximately </w:t>
      </w:r>
      <w:r w:rsidR="004C6FCB">
        <w:t xml:space="preserve">4,320 broker-dealers </w:t>
      </w:r>
      <w:r w:rsidR="0095704F">
        <w:t>required to file</w:t>
      </w:r>
      <w:r w:rsidR="004C6FCB">
        <w:t xml:space="preserve"> annual reports with SIPC.  </w:t>
      </w:r>
      <w:r>
        <w:t>It will take a broker-dealer approximately 30 minutes to file the annual reports with SIPC</w:t>
      </w:r>
      <w:r w:rsidR="00207362">
        <w:t xml:space="preserve">.  As a result, each firm would have an annual </w:t>
      </w:r>
      <w:r w:rsidR="004B577B">
        <w:t xml:space="preserve">third-party disclosure </w:t>
      </w:r>
      <w:r w:rsidR="00207362">
        <w:t>burden of .5 hours</w:t>
      </w:r>
      <w:r w:rsidR="00207362">
        <w:rPr>
          <w:rStyle w:val="FootnoteReference"/>
        </w:rPr>
        <w:footnoteReference w:id="48"/>
      </w:r>
      <w:r w:rsidR="00207362">
        <w:t xml:space="preserve"> resulting in annual industry burden of </w:t>
      </w:r>
      <w:r w:rsidR="004C6FCB">
        <w:t>2,160</w:t>
      </w:r>
      <w:r w:rsidR="00207362">
        <w:t xml:space="preserve"> hours.</w:t>
      </w:r>
      <w:r w:rsidR="00207362">
        <w:rPr>
          <w:rStyle w:val="FootnoteReference"/>
        </w:rPr>
        <w:footnoteReference w:id="49"/>
      </w:r>
      <w:r>
        <w:t xml:space="preserve"> </w:t>
      </w:r>
    </w:p>
    <w:p w:rsidR="00A62FB1" w:rsidRDefault="00A62FB1" w:rsidP="00A62FB1">
      <w:pPr>
        <w:ind w:firstLine="720"/>
      </w:pPr>
    </w:p>
    <w:p w:rsidR="00A62FB1" w:rsidRDefault="00A62FB1" w:rsidP="00A62FB1">
      <w:pPr>
        <w:ind w:firstLine="720"/>
        <w:rPr>
          <w:bCs/>
        </w:rPr>
      </w:pPr>
      <w:r w:rsidRPr="00031D2D">
        <w:rPr>
          <w:b/>
        </w:rPr>
        <w:t>Requirement to File Annual Reports</w:t>
      </w:r>
      <w:r w:rsidR="00EE5E73">
        <w:rPr>
          <w:b/>
        </w:rPr>
        <w:t xml:space="preserve"> – </w:t>
      </w:r>
      <w:r w:rsidRPr="00031D2D">
        <w:rPr>
          <w:b/>
        </w:rPr>
        <w:t>Paragraph</w:t>
      </w:r>
      <w:r w:rsidR="00EE5E73">
        <w:rPr>
          <w:b/>
        </w:rPr>
        <w:t xml:space="preserve"> </w:t>
      </w:r>
      <w:r w:rsidRPr="00031D2D">
        <w:rPr>
          <w:b/>
        </w:rPr>
        <w:t>(d)(1)(ii) of Rule 17a-5</w:t>
      </w:r>
      <w:r w:rsidR="00031D2D">
        <w:rPr>
          <w:b/>
        </w:rPr>
        <w:t xml:space="preserve">:  </w:t>
      </w:r>
      <w:r>
        <w:t>P</w:t>
      </w:r>
      <w:r w:rsidRPr="00D31460">
        <w:t>aragraph (d)(1)(ii) of Rule 17a-5 require</w:t>
      </w:r>
      <w:r w:rsidR="0095704F">
        <w:t>s</w:t>
      </w:r>
      <w:r w:rsidRPr="00D31460">
        <w:t xml:space="preserve"> that a copy of a DEA’s written approval to change a broker-dealer’s fiscal year end be sent to the Commission’s principal office in Washington</w:t>
      </w:r>
      <w:r>
        <w:t>,</w:t>
      </w:r>
      <w:r w:rsidRPr="00D31460">
        <w:t xml:space="preserve"> DC, in addition to the regional office of the Commission for the region in which the broker-dealer has its principal place of business.  Based on the number of copies of approvals received by the Commission and staff experience in the application of Rule 17a-5, </w:t>
      </w:r>
      <w:r>
        <w:t>an estimated</w:t>
      </w:r>
      <w:r w:rsidRPr="00D31460">
        <w:t xml:space="preserve"> 75 broker-dealers will receive approval each year t</w:t>
      </w:r>
      <w:r>
        <w:t>o change their fiscal year end.</w:t>
      </w:r>
      <w:r w:rsidRPr="00D31460">
        <w:t xml:space="preserve">  </w:t>
      </w:r>
      <w:r>
        <w:rPr>
          <w:bCs/>
        </w:rPr>
        <w:t>It will</w:t>
      </w:r>
      <w:r w:rsidRPr="00D31460">
        <w:rPr>
          <w:bCs/>
        </w:rPr>
        <w:t xml:space="preserve"> take </w:t>
      </w:r>
      <w:r>
        <w:rPr>
          <w:bCs/>
        </w:rPr>
        <w:t xml:space="preserve">the broker-dealer approximately </w:t>
      </w:r>
      <w:r w:rsidRPr="00D31460">
        <w:rPr>
          <w:bCs/>
        </w:rPr>
        <w:t>10 minutes</w:t>
      </w:r>
      <w:r w:rsidR="00CC5835">
        <w:rPr>
          <w:rStyle w:val="FootnoteReference"/>
        </w:rPr>
        <w:footnoteReference w:id="50"/>
      </w:r>
      <w:r w:rsidR="00207362">
        <w:rPr>
          <w:bCs/>
        </w:rPr>
        <w:t xml:space="preserve"> </w:t>
      </w:r>
      <w:r w:rsidRPr="00D31460">
        <w:rPr>
          <w:bCs/>
        </w:rPr>
        <w:t>to copy and send an additional copy of the approval to the Commission’s principal office in Washington, DC</w:t>
      </w:r>
      <w:r w:rsidR="00207362">
        <w:rPr>
          <w:bCs/>
        </w:rPr>
        <w:t xml:space="preserve">.  </w:t>
      </w:r>
      <w:r w:rsidR="00207362">
        <w:t xml:space="preserve">As a result, each firm would have an annual </w:t>
      </w:r>
      <w:r w:rsidR="004B577B">
        <w:t xml:space="preserve">reporting </w:t>
      </w:r>
      <w:r w:rsidR="00207362">
        <w:t xml:space="preserve">burden of </w:t>
      </w:r>
      <w:r w:rsidR="000315C3">
        <w:t xml:space="preserve">about </w:t>
      </w:r>
      <w:r w:rsidR="00207362">
        <w:t>.</w:t>
      </w:r>
      <w:r w:rsidR="000315C3">
        <w:t>17</w:t>
      </w:r>
      <w:r w:rsidR="00207362">
        <w:t xml:space="preserve"> hours</w:t>
      </w:r>
      <w:r w:rsidR="00207362">
        <w:rPr>
          <w:rStyle w:val="FootnoteReference"/>
        </w:rPr>
        <w:footnoteReference w:id="51"/>
      </w:r>
      <w:r w:rsidR="00207362">
        <w:t xml:space="preserve"> resulting in annual industry burden of </w:t>
      </w:r>
      <w:r w:rsidR="000315C3">
        <w:t>about 12.5</w:t>
      </w:r>
      <w:r w:rsidR="00207362">
        <w:t xml:space="preserve"> hours.</w:t>
      </w:r>
      <w:r w:rsidR="00207362">
        <w:rPr>
          <w:rStyle w:val="FootnoteReference"/>
        </w:rPr>
        <w:footnoteReference w:id="52"/>
      </w:r>
      <w:r w:rsidRPr="00D31460">
        <w:rPr>
          <w:bCs/>
        </w:rPr>
        <w:t xml:space="preserve"> </w:t>
      </w:r>
    </w:p>
    <w:p w:rsidR="00A62FB1" w:rsidRDefault="00A62FB1" w:rsidP="00A62FB1">
      <w:pPr>
        <w:ind w:firstLine="720"/>
        <w:rPr>
          <w:bCs/>
        </w:rPr>
      </w:pPr>
    </w:p>
    <w:p w:rsidR="00A6494D" w:rsidRPr="00A6494D" w:rsidRDefault="00A6494D" w:rsidP="00A62FB1">
      <w:pPr>
        <w:ind w:firstLine="720"/>
        <w:rPr>
          <w:bCs/>
        </w:rPr>
      </w:pPr>
      <w:r>
        <w:rPr>
          <w:b/>
          <w:bCs/>
        </w:rPr>
        <w:t>Requirement to File SIPC Annual General Assessment Reconciliation</w:t>
      </w:r>
      <w:r w:rsidR="00BE261F">
        <w:rPr>
          <w:b/>
          <w:bCs/>
        </w:rPr>
        <w:t xml:space="preserve"> Form or Exclusion from Membership Form</w:t>
      </w:r>
      <w:r>
        <w:rPr>
          <w:b/>
          <w:bCs/>
        </w:rPr>
        <w:t xml:space="preserve"> – Paragraph (e)(4) of Rule 17a-5:</w:t>
      </w:r>
      <w:r>
        <w:rPr>
          <w:bCs/>
        </w:rPr>
        <w:t xml:space="preserve">  </w:t>
      </w:r>
      <w:r w:rsidR="00BE261F">
        <w:rPr>
          <w:bCs/>
        </w:rPr>
        <w:t xml:space="preserve">Commission staff estimates that it would take a broker-dealer approximately 5 hours to file SIPC’s annual assessment reconciliation form or certification of exclusion from membership form.  </w:t>
      </w:r>
      <w:r w:rsidR="003918D0">
        <w:rPr>
          <w:bCs/>
        </w:rPr>
        <w:t xml:space="preserve">As of fiscal year 2013, approximately </w:t>
      </w:r>
      <w:r w:rsidR="001A54DB">
        <w:rPr>
          <w:bCs/>
        </w:rPr>
        <w:t>4,180</w:t>
      </w:r>
      <w:r w:rsidR="003918D0">
        <w:rPr>
          <w:bCs/>
        </w:rPr>
        <w:t xml:space="preserve"> broker-dealers filed SIPC</w:t>
      </w:r>
      <w:r w:rsidR="00BE261F">
        <w:rPr>
          <w:bCs/>
        </w:rPr>
        <w:t>’s</w:t>
      </w:r>
      <w:r w:rsidR="003918D0">
        <w:rPr>
          <w:bCs/>
        </w:rPr>
        <w:t xml:space="preserve"> annual assessment reconciliation</w:t>
      </w:r>
      <w:r w:rsidR="00BE261F">
        <w:rPr>
          <w:bCs/>
        </w:rPr>
        <w:t xml:space="preserve"> form and approximately </w:t>
      </w:r>
      <w:r w:rsidR="001A54DB">
        <w:rPr>
          <w:bCs/>
        </w:rPr>
        <w:t>213</w:t>
      </w:r>
      <w:r w:rsidR="00BE261F">
        <w:rPr>
          <w:bCs/>
        </w:rPr>
        <w:t xml:space="preserve"> broker-dealers filed SIPC’s certification of exclusion from membership form, resulting in an annual industry burden of about </w:t>
      </w:r>
      <w:r w:rsidR="001A54DB">
        <w:rPr>
          <w:bCs/>
        </w:rPr>
        <w:t>21,965</w:t>
      </w:r>
      <w:r w:rsidR="00BE261F">
        <w:rPr>
          <w:bCs/>
        </w:rPr>
        <w:t xml:space="preserve"> hours</w:t>
      </w:r>
      <w:r w:rsidR="003918D0">
        <w:rPr>
          <w:bCs/>
        </w:rPr>
        <w:t>.</w:t>
      </w:r>
      <w:r w:rsidR="00BE261F">
        <w:rPr>
          <w:rStyle w:val="FootnoteReference"/>
          <w:bCs/>
        </w:rPr>
        <w:footnoteReference w:id="53"/>
      </w:r>
    </w:p>
    <w:p w:rsidR="00A6494D" w:rsidRDefault="00A6494D" w:rsidP="00A62FB1">
      <w:pPr>
        <w:ind w:firstLine="720"/>
        <w:rPr>
          <w:b/>
          <w:bCs/>
        </w:rPr>
      </w:pPr>
    </w:p>
    <w:p w:rsidR="00C704B3" w:rsidRDefault="00A62FB1" w:rsidP="00A62FB1">
      <w:pPr>
        <w:ind w:firstLine="720"/>
      </w:pPr>
      <w:r w:rsidRPr="00031D2D">
        <w:rPr>
          <w:b/>
          <w:bCs/>
        </w:rPr>
        <w:t>Requirement to File Statement Regardin</w:t>
      </w:r>
      <w:r w:rsidR="00EE5E73">
        <w:rPr>
          <w:b/>
          <w:bCs/>
        </w:rPr>
        <w:t>g Independent Public Accountant –</w:t>
      </w:r>
      <w:r w:rsidRPr="00031D2D">
        <w:rPr>
          <w:b/>
          <w:bCs/>
        </w:rPr>
        <w:t xml:space="preserve"> Paragraph</w:t>
      </w:r>
      <w:r w:rsidR="00EE5E73">
        <w:rPr>
          <w:b/>
          <w:bCs/>
        </w:rPr>
        <w:t xml:space="preserve"> </w:t>
      </w:r>
      <w:r w:rsidRPr="00031D2D">
        <w:rPr>
          <w:b/>
          <w:bCs/>
        </w:rPr>
        <w:t>(f)(2) of Rule 17a-5</w:t>
      </w:r>
      <w:r w:rsidR="00031D2D">
        <w:rPr>
          <w:b/>
          <w:bCs/>
        </w:rPr>
        <w:t xml:space="preserve">: </w:t>
      </w:r>
      <w:r>
        <w:t>P</w:t>
      </w:r>
      <w:r w:rsidRPr="00B160A4">
        <w:t>aragraph (f)(2) of Rule 17a-5</w:t>
      </w:r>
      <w:r>
        <w:t xml:space="preserve"> </w:t>
      </w:r>
      <w:r w:rsidR="0095704F">
        <w:t>r</w:t>
      </w:r>
      <w:r w:rsidR="00EE5E73">
        <w:t xml:space="preserve">equires </w:t>
      </w:r>
      <w:r w:rsidR="0095704F">
        <w:t xml:space="preserve">broker-dealers to prepare a statement providing information regarding the </w:t>
      </w:r>
      <w:r w:rsidRPr="00B160A4">
        <w:t xml:space="preserve">broker-dealer’s independent public accountant </w:t>
      </w:r>
      <w:r w:rsidR="0095704F">
        <w:t>and to file it e</w:t>
      </w:r>
      <w:r w:rsidRPr="00B160A4">
        <w:t xml:space="preserve">ach year with the Commission and </w:t>
      </w:r>
      <w:r>
        <w:t>its</w:t>
      </w:r>
      <w:r w:rsidRPr="00B160A4">
        <w:t xml:space="preserve"> DEA (except that if the engagement is of a continuing nature, no further filing is required).</w:t>
      </w:r>
      <w:r>
        <w:t xml:space="preserve">  </w:t>
      </w:r>
      <w:r w:rsidRPr="00B160A4">
        <w:t xml:space="preserve">  </w:t>
      </w:r>
    </w:p>
    <w:p w:rsidR="00AD0045" w:rsidRDefault="00AD0045" w:rsidP="00AD0045">
      <w:pPr>
        <w:pStyle w:val="ListParagraph"/>
        <w:spacing w:after="200" w:line="276" w:lineRule="auto"/>
        <w:ind w:left="1080"/>
        <w:rPr>
          <w:i/>
        </w:rPr>
      </w:pPr>
    </w:p>
    <w:p w:rsidR="00C704B3" w:rsidRPr="00AD0045" w:rsidRDefault="0095704F" w:rsidP="00AD0045">
      <w:pPr>
        <w:pStyle w:val="ListParagraph"/>
        <w:numPr>
          <w:ilvl w:val="0"/>
          <w:numId w:val="9"/>
        </w:numPr>
        <w:spacing w:after="200" w:line="276" w:lineRule="auto"/>
        <w:rPr>
          <w:i/>
        </w:rPr>
      </w:pPr>
      <w:r>
        <w:rPr>
          <w:i/>
        </w:rPr>
        <w:t xml:space="preserve">Rule </w:t>
      </w:r>
      <w:r w:rsidR="00C704B3" w:rsidRPr="00AD0045">
        <w:rPr>
          <w:i/>
        </w:rPr>
        <w:t>17a-5(f)(2) - C</w:t>
      </w:r>
      <w:r w:rsidR="009C48AA" w:rsidRPr="00AD0045">
        <w:rPr>
          <w:i/>
        </w:rPr>
        <w:t>arrying or Clearing Broker-Dealer</w:t>
      </w:r>
    </w:p>
    <w:p w:rsidR="00C704B3" w:rsidRPr="00A62FB1" w:rsidRDefault="00C704B3" w:rsidP="00C704B3">
      <w:pPr>
        <w:pStyle w:val="ListParagraph"/>
        <w:ind w:left="1800"/>
      </w:pPr>
    </w:p>
    <w:p w:rsidR="00E16F8F" w:rsidRDefault="009C48AA" w:rsidP="00EE5E73">
      <w:pPr>
        <w:ind w:firstLine="720"/>
      </w:pPr>
      <w:r>
        <w:t xml:space="preserve">It will </w:t>
      </w:r>
      <w:r w:rsidRPr="00B160A4">
        <w:t xml:space="preserve">take a carrying or clearing broker-dealer approximately </w:t>
      </w:r>
      <w:r>
        <w:t>10</w:t>
      </w:r>
      <w:r w:rsidRPr="00B160A4">
        <w:t xml:space="preserve"> hours on a one-time basis to amend its statement regarding its accountant, and file the new statement with the Commission.</w:t>
      </w:r>
      <w:r w:rsidRPr="009C48AA">
        <w:t xml:space="preserve"> </w:t>
      </w:r>
      <w:r>
        <w:t xml:space="preserve">As a result, each carrying or clearing broker-dealer would have a one-time burden of 10 hours or </w:t>
      </w:r>
      <w:r w:rsidR="00E16F8F">
        <w:t>about</w:t>
      </w:r>
      <w:r w:rsidR="00031D2D">
        <w:t xml:space="preserve"> </w:t>
      </w:r>
      <w:r>
        <w:t>3.33 hours on annualized basis</w:t>
      </w:r>
      <w:r>
        <w:rPr>
          <w:rStyle w:val="FootnoteReference"/>
        </w:rPr>
        <w:footnoteReference w:id="54"/>
      </w:r>
      <w:r>
        <w:t xml:space="preserve"> resulting in annual industry burden of </w:t>
      </w:r>
      <w:r w:rsidR="005E14DC">
        <w:t>4,870</w:t>
      </w:r>
      <w:r>
        <w:t xml:space="preserve"> hours</w:t>
      </w:r>
      <w:r w:rsidR="000315C3">
        <w:rPr>
          <w:rStyle w:val="FootnoteReference"/>
        </w:rPr>
        <w:footnoteReference w:id="55"/>
      </w:r>
      <w:r>
        <w:t xml:space="preserve"> or </w:t>
      </w:r>
      <w:r w:rsidR="000D54AE">
        <w:t xml:space="preserve">about </w:t>
      </w:r>
      <w:r>
        <w:t>1,</w:t>
      </w:r>
      <w:r w:rsidR="005E14DC">
        <w:t>623</w:t>
      </w:r>
      <w:r w:rsidR="0095704F">
        <w:t>.33</w:t>
      </w:r>
      <w:r w:rsidR="005E14DC">
        <w:t xml:space="preserve"> </w:t>
      </w:r>
      <w:r>
        <w:t>hours on an annualized basis.</w:t>
      </w:r>
      <w:r>
        <w:rPr>
          <w:rStyle w:val="FootnoteReference"/>
        </w:rPr>
        <w:footnoteReference w:id="56"/>
      </w:r>
    </w:p>
    <w:p w:rsidR="00EE5E73" w:rsidRDefault="00EE5E73" w:rsidP="00EE5E73">
      <w:pPr>
        <w:ind w:firstLine="720"/>
      </w:pPr>
    </w:p>
    <w:p w:rsidR="00C704B3" w:rsidRPr="00AD0045" w:rsidRDefault="0095704F" w:rsidP="00AD0045">
      <w:pPr>
        <w:pStyle w:val="ListParagraph"/>
        <w:numPr>
          <w:ilvl w:val="0"/>
          <w:numId w:val="9"/>
        </w:numPr>
        <w:rPr>
          <w:i/>
        </w:rPr>
      </w:pPr>
      <w:r>
        <w:rPr>
          <w:i/>
        </w:rPr>
        <w:t xml:space="preserve">Rule </w:t>
      </w:r>
      <w:r w:rsidR="00C704B3" w:rsidRPr="00AD0045">
        <w:rPr>
          <w:i/>
        </w:rPr>
        <w:t>17a-5(f)(2) – Broker-Dealers that Neither Carry nor Clear Transactions</w:t>
      </w:r>
    </w:p>
    <w:p w:rsidR="00C704B3" w:rsidRPr="00A62FB1" w:rsidRDefault="00C704B3" w:rsidP="00C704B3">
      <w:pPr>
        <w:pStyle w:val="ListParagraph"/>
        <w:ind w:left="1800"/>
      </w:pPr>
    </w:p>
    <w:p w:rsidR="009C48AA" w:rsidRDefault="009C48AA" w:rsidP="009C48AA">
      <w:pPr>
        <w:ind w:firstLine="720"/>
      </w:pPr>
      <w:r>
        <w:t xml:space="preserve">It will </w:t>
      </w:r>
      <w:r w:rsidRPr="00B160A4">
        <w:t xml:space="preserve">take a </w:t>
      </w:r>
      <w:r>
        <w:t>broker-dealer</w:t>
      </w:r>
      <w:r w:rsidRPr="00B160A4">
        <w:t xml:space="preserve"> that neither carr</w:t>
      </w:r>
      <w:r w:rsidR="0095704F">
        <w:t>ies</w:t>
      </w:r>
      <w:r w:rsidRPr="00B160A4">
        <w:t xml:space="preserve"> customer accounts nor clear</w:t>
      </w:r>
      <w:r w:rsidR="0095704F">
        <w:t>s</w:t>
      </w:r>
      <w:r w:rsidRPr="00B160A4">
        <w:t xml:space="preserve"> transactions approximately</w:t>
      </w:r>
      <w:r>
        <w:t xml:space="preserve"> 2</w:t>
      </w:r>
      <w:r w:rsidRPr="00B160A4">
        <w:t xml:space="preserve"> hours on a one-time basis to amend its statement regarding its accountant, </w:t>
      </w:r>
      <w:r w:rsidR="0095704F">
        <w:t xml:space="preserve">and </w:t>
      </w:r>
      <w:r w:rsidRPr="00B160A4">
        <w:t>file the new statement with the Commission.</w:t>
      </w:r>
      <w:r>
        <w:t xml:space="preserve">  As a result, each carrying or clearing broker-dealer would have a one-time burden of 2 hours or </w:t>
      </w:r>
      <w:r w:rsidR="00E16F8F">
        <w:t>about</w:t>
      </w:r>
      <w:r w:rsidR="00031D2D">
        <w:t xml:space="preserve"> </w:t>
      </w:r>
      <w:r>
        <w:t>.6</w:t>
      </w:r>
      <w:r w:rsidR="00031D2D">
        <w:t>7</w:t>
      </w:r>
      <w:r>
        <w:t xml:space="preserve"> hours on </w:t>
      </w:r>
      <w:r w:rsidR="0095704F">
        <w:t xml:space="preserve">an </w:t>
      </w:r>
      <w:r>
        <w:t>annualized basis</w:t>
      </w:r>
      <w:r>
        <w:rPr>
          <w:rStyle w:val="FootnoteReference"/>
        </w:rPr>
        <w:footnoteReference w:id="57"/>
      </w:r>
      <w:r>
        <w:t xml:space="preserve"> resulting in annual industry burden of </w:t>
      </w:r>
      <w:r w:rsidR="000D54AE">
        <w:t>8,116</w:t>
      </w:r>
      <w:r>
        <w:t xml:space="preserve"> hours</w:t>
      </w:r>
      <w:r w:rsidR="000D54AE">
        <w:rPr>
          <w:rStyle w:val="FootnoteReference"/>
        </w:rPr>
        <w:footnoteReference w:id="58"/>
      </w:r>
      <w:r>
        <w:t xml:space="preserve"> or </w:t>
      </w:r>
      <w:r w:rsidR="000D54AE">
        <w:t xml:space="preserve">about </w:t>
      </w:r>
      <w:r w:rsidR="00FF7089">
        <w:t>2,705</w:t>
      </w:r>
      <w:r w:rsidR="000D54AE">
        <w:t>.33</w:t>
      </w:r>
      <w:r>
        <w:t xml:space="preserve"> hours on an annualized basis.</w:t>
      </w:r>
      <w:r w:rsidR="005E14DC">
        <w:rPr>
          <w:rStyle w:val="FootnoteReference"/>
        </w:rPr>
        <w:footnoteReference w:id="59"/>
      </w:r>
    </w:p>
    <w:p w:rsidR="002620EA" w:rsidRDefault="002620EA" w:rsidP="009C48AA">
      <w:pPr>
        <w:ind w:firstLine="720"/>
      </w:pPr>
    </w:p>
    <w:p w:rsidR="002620EA" w:rsidRDefault="002620EA" w:rsidP="002620EA">
      <w:pPr>
        <w:ind w:firstLine="720"/>
        <w:rPr>
          <w:b/>
          <w:bCs/>
        </w:rPr>
      </w:pPr>
      <w:r w:rsidRPr="00031D2D">
        <w:rPr>
          <w:b/>
          <w:bCs/>
        </w:rPr>
        <w:t xml:space="preserve">Requirement to File Statement Regarding </w:t>
      </w:r>
      <w:r>
        <w:rPr>
          <w:b/>
          <w:bCs/>
        </w:rPr>
        <w:t xml:space="preserve">Change of </w:t>
      </w:r>
      <w:r w:rsidRPr="00031D2D">
        <w:rPr>
          <w:b/>
          <w:bCs/>
        </w:rPr>
        <w:t>Independent Pu</w:t>
      </w:r>
      <w:r>
        <w:rPr>
          <w:b/>
          <w:bCs/>
        </w:rPr>
        <w:t>blic Accountant</w:t>
      </w:r>
      <w:r w:rsidR="00EE5E73">
        <w:rPr>
          <w:b/>
          <w:bCs/>
        </w:rPr>
        <w:t xml:space="preserve"> –</w:t>
      </w:r>
      <w:r>
        <w:rPr>
          <w:b/>
          <w:bCs/>
        </w:rPr>
        <w:t xml:space="preserve"> Paragraph</w:t>
      </w:r>
      <w:r w:rsidR="00EE5E73">
        <w:rPr>
          <w:b/>
          <w:bCs/>
        </w:rPr>
        <w:t xml:space="preserve"> </w:t>
      </w:r>
      <w:r>
        <w:rPr>
          <w:b/>
          <w:bCs/>
        </w:rPr>
        <w:t>(f)(3</w:t>
      </w:r>
      <w:r w:rsidRPr="00031D2D">
        <w:rPr>
          <w:b/>
          <w:bCs/>
        </w:rPr>
        <w:t>) of Rule 17a-5</w:t>
      </w:r>
      <w:r>
        <w:rPr>
          <w:b/>
          <w:bCs/>
        </w:rPr>
        <w:t xml:space="preserve">: </w:t>
      </w:r>
    </w:p>
    <w:p w:rsidR="002620EA" w:rsidRDefault="002620EA" w:rsidP="002620EA">
      <w:pPr>
        <w:ind w:firstLine="720"/>
        <w:rPr>
          <w:b/>
          <w:bCs/>
        </w:rPr>
      </w:pPr>
    </w:p>
    <w:p w:rsidR="002620EA" w:rsidRDefault="002620EA" w:rsidP="002620EA">
      <w:pPr>
        <w:ind w:firstLine="720"/>
      </w:pPr>
      <w:r w:rsidRPr="002620EA">
        <w:t xml:space="preserve">Paragraph (f)(3) of Rule 17a-5 requires a broker-dealer to file a notice with the Commission if it replaces the independent public accountant engaged to prepare reports covering the annual reports.  The estimated one-time burden associated with this requirement is approximately 2 hours, </w:t>
      </w:r>
      <w:r w:rsidR="000D54AE">
        <w:t>or about .67 hours on an annualized basis.</w:t>
      </w:r>
      <w:r w:rsidR="000D54AE">
        <w:rPr>
          <w:rStyle w:val="FootnoteReference"/>
        </w:rPr>
        <w:footnoteReference w:id="60"/>
      </w:r>
      <w:r w:rsidR="000D54AE">
        <w:t xml:space="preserve">  T</w:t>
      </w:r>
      <w:r w:rsidRPr="002620EA">
        <w:t>he Commission estimates that approximately 50 of these notices are filed per year</w:t>
      </w:r>
      <w:r>
        <w:t xml:space="preserve"> resulting in annu</w:t>
      </w:r>
      <w:r w:rsidR="000D54AE">
        <w:t>al industry burden of 100 hours</w:t>
      </w:r>
      <w:r>
        <w:rPr>
          <w:rStyle w:val="FootnoteReference"/>
        </w:rPr>
        <w:footnoteReference w:id="61"/>
      </w:r>
      <w:r w:rsidR="000D54AE">
        <w:t xml:space="preserve"> or about 33.33 hours on an annualized basis.</w:t>
      </w:r>
      <w:r w:rsidR="000D54AE">
        <w:rPr>
          <w:rStyle w:val="FootnoteReference"/>
        </w:rPr>
        <w:footnoteReference w:id="62"/>
      </w:r>
      <w:r w:rsidR="000D54AE">
        <w:t xml:space="preserve"> </w:t>
      </w:r>
    </w:p>
    <w:p w:rsidR="009C48AA" w:rsidRDefault="009C48AA" w:rsidP="00C704B3">
      <w:pPr>
        <w:ind w:firstLine="720"/>
      </w:pPr>
    </w:p>
    <w:p w:rsidR="00031D2D" w:rsidRPr="000D54AE" w:rsidRDefault="00031D2D" w:rsidP="00031D2D">
      <w:pPr>
        <w:rPr>
          <w:b/>
          <w:smallCaps/>
          <w:u w:val="single"/>
        </w:rPr>
      </w:pPr>
      <w:r w:rsidRPr="000D54AE">
        <w:rPr>
          <w:b/>
          <w:smallCaps/>
          <w:spacing w:val="-3"/>
          <w:u w:val="single"/>
        </w:rPr>
        <w:t>Proposed Amendments</w:t>
      </w:r>
      <w:r w:rsidR="00281E5C">
        <w:rPr>
          <w:b/>
          <w:smallCaps/>
          <w:spacing w:val="-3"/>
          <w:u w:val="single"/>
        </w:rPr>
        <w:t xml:space="preserve"> to Rule 17a</w:t>
      </w:r>
      <w:r w:rsidR="000D54AE" w:rsidRPr="000D54AE">
        <w:rPr>
          <w:b/>
          <w:smallCaps/>
          <w:spacing w:val="-3"/>
          <w:u w:val="single"/>
        </w:rPr>
        <w:t>-5</w:t>
      </w:r>
    </w:p>
    <w:p w:rsidR="00031D2D" w:rsidRDefault="00031D2D" w:rsidP="00C704B3">
      <w:pPr>
        <w:ind w:firstLine="720"/>
      </w:pPr>
    </w:p>
    <w:p w:rsidR="00B9414A" w:rsidRDefault="00B9414A" w:rsidP="00A9797D">
      <w:pPr>
        <w:ind w:firstLine="720"/>
      </w:pPr>
      <w:r w:rsidRPr="00205696">
        <w:t>The proposed amendments to Rule 17a-</w:t>
      </w:r>
      <w:r w:rsidR="004D0292">
        <w:t>5</w:t>
      </w:r>
      <w:r w:rsidRPr="00205696">
        <w:t xml:space="preserve"> described in the SBS Recordkeeping Release would establish additional </w:t>
      </w:r>
      <w:r w:rsidR="00B22587">
        <w:t>reporting</w:t>
      </w:r>
      <w:r w:rsidR="00B22587" w:rsidRPr="00205696">
        <w:t xml:space="preserve"> </w:t>
      </w:r>
      <w:r w:rsidRPr="00205696">
        <w:t xml:space="preserve">requirements applicable to broker-dealers that to the extent they engage in </w:t>
      </w:r>
      <w:r w:rsidR="00D604AD">
        <w:t>SBS</w:t>
      </w:r>
      <w:r w:rsidRPr="00205696">
        <w:t xml:space="preserve"> or swap activities.</w:t>
      </w:r>
      <w:r w:rsidRPr="00205696">
        <w:rPr>
          <w:rStyle w:val="FootnoteReference"/>
        </w:rPr>
        <w:footnoteReference w:id="63"/>
      </w:r>
      <w:r w:rsidRPr="00205696">
        <w:t xml:space="preserve">  The Commission expects that many of the additional proposed amendments, which are largely technical in nature, </w:t>
      </w:r>
      <w:r w:rsidR="00B22587">
        <w:t>would</w:t>
      </w:r>
      <w:r w:rsidR="00B22587" w:rsidRPr="00205696">
        <w:t xml:space="preserve"> </w:t>
      </w:r>
      <w:r w:rsidRPr="00205696">
        <w:t xml:space="preserve">not impose an </w:t>
      </w:r>
      <w:r w:rsidR="00B22587">
        <w:t xml:space="preserve">additional </w:t>
      </w:r>
      <w:r w:rsidRPr="00205696">
        <w:t xml:space="preserve">hour burden or costs.  Those amendments that </w:t>
      </w:r>
      <w:r w:rsidR="00BB41C3">
        <w:t>would</w:t>
      </w:r>
      <w:r w:rsidR="00BB41C3" w:rsidRPr="00205696">
        <w:t xml:space="preserve"> </w:t>
      </w:r>
      <w:r w:rsidRPr="00205696">
        <w:t>impose an additional one-time initial burden or an additional ongoing burden to the industry are discussed below.</w:t>
      </w:r>
    </w:p>
    <w:p w:rsidR="00235BCF" w:rsidRPr="00205696" w:rsidRDefault="00235BCF" w:rsidP="00A9797D">
      <w:pPr>
        <w:ind w:firstLine="720"/>
      </w:pPr>
    </w:p>
    <w:p w:rsidR="000D54AE" w:rsidRDefault="00FB27F6" w:rsidP="00EE5E73">
      <w:pPr>
        <w:ind w:firstLine="720"/>
      </w:pPr>
      <w:r w:rsidRPr="00F40BD6">
        <w:rPr>
          <w:b/>
        </w:rPr>
        <w:t xml:space="preserve">Form SBS for </w:t>
      </w:r>
      <w:r w:rsidR="004D0292" w:rsidRPr="00F40BD6">
        <w:rPr>
          <w:b/>
        </w:rPr>
        <w:t>Broker-D</w:t>
      </w:r>
      <w:r w:rsidR="00A9797D" w:rsidRPr="00F40BD6">
        <w:rPr>
          <w:b/>
        </w:rPr>
        <w:t xml:space="preserve">ealer SBSDs and </w:t>
      </w:r>
      <w:r w:rsidR="004D0292" w:rsidRPr="00F40BD6">
        <w:rPr>
          <w:b/>
        </w:rPr>
        <w:t>Broker-Dealer MSBSPs</w:t>
      </w:r>
      <w:r w:rsidR="00B9414A" w:rsidRPr="00F40BD6">
        <w:rPr>
          <w:b/>
        </w:rPr>
        <w:t xml:space="preserve">: </w:t>
      </w:r>
      <w:r w:rsidR="004D0292">
        <w:t>The Commission proposes to amend par</w:t>
      </w:r>
      <w:r>
        <w:t>agraph (a)(1)(iv) of Rule 17a-5</w:t>
      </w:r>
      <w:r w:rsidR="004D0292">
        <w:t xml:space="preserve"> </w:t>
      </w:r>
      <w:r>
        <w:t>to</w:t>
      </w:r>
      <w:r w:rsidR="004D0292">
        <w:t xml:space="preserve"> require broker</w:t>
      </w:r>
      <w:r w:rsidR="004D0292">
        <w:noBreakHyphen/>
        <w:t>dealer SBSDs and broker-dealer MSBSPs to file proposed Form SBS monthly instead of filing the applicable part of Form X</w:t>
      </w:r>
      <w:r w:rsidR="004D0292">
        <w:noBreakHyphen/>
        <w:t>17A</w:t>
      </w:r>
      <w:r w:rsidR="004D0292">
        <w:noBreakHyphen/>
        <w:t>5 quarterly.</w:t>
      </w:r>
      <w:r w:rsidR="004D0292">
        <w:rPr>
          <w:rStyle w:val="FootnoteReference"/>
        </w:rPr>
        <w:footnoteReference w:id="64"/>
      </w:r>
      <w:r w:rsidR="00A9797D" w:rsidRPr="00A9797D">
        <w:t xml:space="preserve"> </w:t>
      </w:r>
    </w:p>
    <w:p w:rsidR="00EE5E73" w:rsidRDefault="00EE5E73" w:rsidP="00EE5E73">
      <w:pPr>
        <w:ind w:firstLine="720"/>
      </w:pPr>
    </w:p>
    <w:p w:rsidR="00E16F8F" w:rsidRPr="00AD0045" w:rsidRDefault="00E16F8F" w:rsidP="00E16F8F">
      <w:pPr>
        <w:pStyle w:val="ListParagraph"/>
        <w:numPr>
          <w:ilvl w:val="0"/>
          <w:numId w:val="10"/>
        </w:numPr>
        <w:spacing w:after="200" w:line="276" w:lineRule="auto"/>
        <w:rPr>
          <w:i/>
        </w:rPr>
      </w:pPr>
      <w:r>
        <w:rPr>
          <w:i/>
        </w:rPr>
        <w:t>Form SBS for Broker-Dealer SBSDs: Amendment to Paragraph (a)(1)(iv)</w:t>
      </w:r>
    </w:p>
    <w:p w:rsidR="00BB2F94" w:rsidRDefault="00A9797D" w:rsidP="00A9797D">
      <w:pPr>
        <w:ind w:firstLine="720"/>
      </w:pPr>
      <w:r>
        <w:t xml:space="preserve">Given that SBSDs are expected to be </w:t>
      </w:r>
      <w:r w:rsidR="006846FE">
        <w:t>relatively large and</w:t>
      </w:r>
      <w:r>
        <w:t xml:space="preserve"> sophisticated firms, the Commission assumes that all non-model broker-dealer SBSDs are carrying firms that file Part II</w:t>
      </w:r>
      <w:r w:rsidR="00BB41C3">
        <w:t xml:space="preserve"> of the FOCUS Report</w:t>
      </w:r>
      <w:r>
        <w:t>.  Although sections of Part II are also found in proposed Form SBS, the burden on non-model broker</w:t>
      </w:r>
      <w:r>
        <w:noBreakHyphen/>
        <w:t xml:space="preserve">dealer SBSDs would increase, because non-model broker-dealer SBSDs would complete additional sections and line items </w:t>
      </w:r>
      <w:r w:rsidR="00BB41C3">
        <w:t xml:space="preserve">in Form SBS that </w:t>
      </w:r>
      <w:r w:rsidR="008D2245">
        <w:t>elicit</w:t>
      </w:r>
      <w:r>
        <w:t xml:space="preserve"> more detail about their </w:t>
      </w:r>
      <w:r w:rsidR="00D604AD">
        <w:t>SBS</w:t>
      </w:r>
      <w:r>
        <w:t xml:space="preserve"> and swap activities.</w:t>
      </w:r>
      <w:r>
        <w:rPr>
          <w:rStyle w:val="FootnoteReference"/>
        </w:rPr>
        <w:footnoteReference w:id="65"/>
      </w:r>
      <w:r>
        <w:t xml:space="preserve">  In consideration of these additional requirements, the </w:t>
      </w:r>
      <w:r>
        <w:lastRenderedPageBreak/>
        <w:t xml:space="preserve">Commission estimates that the requirement for non-model broker-dealer SBSDs to file proposed Form SBS every month </w:t>
      </w:r>
      <w:r w:rsidRPr="00BB2F94">
        <w:t>would impose an initial burden of</w:t>
      </w:r>
      <w:r w:rsidR="004912E4">
        <w:t xml:space="preserve"> an additional</w:t>
      </w:r>
      <w:r w:rsidRPr="00BB2F94">
        <w:t xml:space="preserve"> 50 hours per firm in the first year and an ongoing burden of 240 hours per firm in each year (including the first year).  The Commission estimates that there </w:t>
      </w:r>
      <w:r w:rsidR="00BB41C3">
        <w:t>will be</w:t>
      </w:r>
      <w:r w:rsidR="00BB41C3" w:rsidRPr="00BB2F94">
        <w:t xml:space="preserve"> </w:t>
      </w:r>
      <w:r w:rsidR="009F74E1">
        <w:t>six</w:t>
      </w:r>
      <w:r w:rsidRPr="00BB2F94">
        <w:t xml:space="preserve"> non-model broker-dealer SBSDs, </w:t>
      </w:r>
      <w:r w:rsidR="00BB41C3">
        <w:t xml:space="preserve">resulting in </w:t>
      </w:r>
      <w:r w:rsidRPr="00BB2F94">
        <w:t xml:space="preserve">an initial burden </w:t>
      </w:r>
      <w:r w:rsidR="00BB41C3">
        <w:t xml:space="preserve">to the industry </w:t>
      </w:r>
      <w:r w:rsidRPr="00BB2F94">
        <w:t xml:space="preserve">of </w:t>
      </w:r>
      <w:r w:rsidR="004912E4">
        <w:t xml:space="preserve">an additional </w:t>
      </w:r>
      <w:r w:rsidRPr="00BB2F94">
        <w:t>300 hours</w:t>
      </w:r>
      <w:r w:rsidRPr="00BB2F94">
        <w:rPr>
          <w:rStyle w:val="FootnoteReference"/>
        </w:rPr>
        <w:footnoteReference w:id="66"/>
      </w:r>
      <w:r w:rsidRPr="00BB2F94">
        <w:t xml:space="preserve"> in the first year and an ongoing burden of 1,440 hours per year (including the first year).</w:t>
      </w:r>
      <w:r w:rsidRPr="00BB2F94">
        <w:rPr>
          <w:rStyle w:val="FootnoteReference"/>
        </w:rPr>
        <w:footnoteReference w:id="67"/>
      </w:r>
      <w:r w:rsidRPr="00BB2F94">
        <w:t xml:space="preserve">  Over a three year period, the total industry burden would be </w:t>
      </w:r>
      <w:r w:rsidR="00BB2F94" w:rsidRPr="00BB2F94">
        <w:t>4,620</w:t>
      </w:r>
      <w:r w:rsidRPr="00BB2F94">
        <w:t xml:space="preserve"> hours,</w:t>
      </w:r>
      <w:r w:rsidRPr="00BB2F94">
        <w:rPr>
          <w:rStyle w:val="FootnoteReference"/>
        </w:rPr>
        <w:footnoteReference w:id="68"/>
      </w:r>
      <w:r w:rsidRPr="00BB2F94">
        <w:t xml:space="preserve"> or </w:t>
      </w:r>
      <w:r w:rsidR="00BB2F94" w:rsidRPr="00BB2F94">
        <w:t>1,540</w:t>
      </w:r>
      <w:r w:rsidRPr="00BB2F94">
        <w:t xml:space="preserve"> hours per year when annualized.</w:t>
      </w:r>
      <w:r w:rsidRPr="00BB2F94">
        <w:rPr>
          <w:rStyle w:val="FootnoteReference"/>
        </w:rPr>
        <w:footnoteReference w:id="69"/>
      </w:r>
    </w:p>
    <w:p w:rsidR="00833082" w:rsidRPr="00BB2F94" w:rsidRDefault="00833082" w:rsidP="00A9797D">
      <w:pPr>
        <w:ind w:firstLine="720"/>
      </w:pPr>
    </w:p>
    <w:p w:rsidR="00E16F8F" w:rsidRPr="00AD0045" w:rsidRDefault="00E16F8F" w:rsidP="00E16F8F">
      <w:pPr>
        <w:pStyle w:val="ListParagraph"/>
        <w:numPr>
          <w:ilvl w:val="0"/>
          <w:numId w:val="10"/>
        </w:numPr>
        <w:spacing w:after="200" w:line="276" w:lineRule="auto"/>
        <w:rPr>
          <w:i/>
        </w:rPr>
      </w:pPr>
      <w:r>
        <w:rPr>
          <w:i/>
        </w:rPr>
        <w:t>Form SBS for Broker-Dealer MSBSPs: Amendment to Paragraph (a)(1)(iv)</w:t>
      </w:r>
    </w:p>
    <w:p w:rsidR="00B9414A" w:rsidRPr="00BB2F94" w:rsidRDefault="00A9797D" w:rsidP="00BB2F94">
      <w:pPr>
        <w:ind w:firstLine="720"/>
      </w:pPr>
      <w:r>
        <w:t xml:space="preserve">Broker-dealer MSBSPs would be required to file proposed Form SBS instead of Part II or Part IIA of </w:t>
      </w:r>
      <w:r w:rsidR="000B0940">
        <w:t>the FOCUS Report</w:t>
      </w:r>
      <w:r>
        <w:t xml:space="preserve">.  Given that MSBSPs are expected to be relatively </w:t>
      </w:r>
      <w:r w:rsidR="006846FE">
        <w:t xml:space="preserve">large and </w:t>
      </w:r>
      <w:r>
        <w:t xml:space="preserve">sophisticated firms, the Commission assumes that broker-dealer MSBSPs are carrying firms that </w:t>
      </w:r>
      <w:r w:rsidR="000B0940">
        <w:t xml:space="preserve">currently </w:t>
      </w:r>
      <w:r>
        <w:t>file Part II</w:t>
      </w:r>
      <w:r w:rsidR="000B0940">
        <w:t xml:space="preserve"> of the FOCUS Report</w:t>
      </w:r>
      <w:r>
        <w:t>.  Although sections of Part II are also found in proposed Form SBS, the burden on broker</w:t>
      </w:r>
      <w:r>
        <w:noBreakHyphen/>
        <w:t xml:space="preserve">dealer MSBSPs would increase because broker-dealer MSBSPs would complete additional sections and line items eliciting more detail about their </w:t>
      </w:r>
      <w:r w:rsidR="00D604AD">
        <w:t>SBS</w:t>
      </w:r>
      <w:r>
        <w:t xml:space="preserve"> and swap activities.</w:t>
      </w:r>
      <w:r>
        <w:rPr>
          <w:rStyle w:val="FootnoteReference"/>
        </w:rPr>
        <w:footnoteReference w:id="70"/>
      </w:r>
      <w:r>
        <w:t xml:space="preserve">  In consideration of these additional requirements, the Commission </w:t>
      </w:r>
      <w:r>
        <w:lastRenderedPageBreak/>
        <w:t xml:space="preserve">estimates that the requirement for broker-dealer MSBSPs to file proposed Form SBS every month </w:t>
      </w:r>
      <w:r w:rsidR="00BB2F94" w:rsidRPr="00BB2F94">
        <w:t xml:space="preserve">would impose an initial burden of </w:t>
      </w:r>
      <w:r w:rsidR="00BB2F94">
        <w:t>40</w:t>
      </w:r>
      <w:r w:rsidR="00BB2F94" w:rsidRPr="00BB2F94">
        <w:t xml:space="preserve"> hours per firm in the first year and an ongoing burden of </w:t>
      </w:r>
      <w:r w:rsidR="00BB2F94">
        <w:t>210</w:t>
      </w:r>
      <w:r w:rsidR="00BB2F94" w:rsidRPr="00BB2F94">
        <w:t xml:space="preserve"> hours per firm in each year (including the first year).  </w:t>
      </w:r>
      <w:r w:rsidR="00A66FCB">
        <w:t xml:space="preserve">The estimated hourly burdens for broker-dealer MSBSPs are slightly less than the estimates for broker-dealer SBSDs because broker-dealer MSBSPs would not be required to complete the parts of Form SBS relating Rule 18a-4.  </w:t>
      </w:r>
      <w:r w:rsidR="00BB2F94" w:rsidRPr="00BB2F94">
        <w:t xml:space="preserve">The Commission estimates that there </w:t>
      </w:r>
      <w:r w:rsidR="004912E4">
        <w:t xml:space="preserve">will be one </w:t>
      </w:r>
      <w:r w:rsidR="00BB2F94">
        <w:t>broker-dealer MSBSP</w:t>
      </w:r>
      <w:r w:rsidR="00BB2F94" w:rsidRPr="00BB2F94">
        <w:t xml:space="preserve">, </w:t>
      </w:r>
      <w:r w:rsidR="004912E4">
        <w:t>resulting in</w:t>
      </w:r>
      <w:r w:rsidR="00BB2F94" w:rsidRPr="00BB2F94">
        <w:t xml:space="preserve"> an initial burden of</w:t>
      </w:r>
      <w:r w:rsidR="004912E4">
        <w:t xml:space="preserve"> an additional</w:t>
      </w:r>
      <w:r w:rsidR="00BB2F94" w:rsidRPr="00BB2F94">
        <w:t xml:space="preserve"> </w:t>
      </w:r>
      <w:r w:rsidR="00BB2F94">
        <w:t>40</w:t>
      </w:r>
      <w:r w:rsidR="00BB2F94" w:rsidRPr="00BB2F94">
        <w:t xml:space="preserve"> hours</w:t>
      </w:r>
      <w:r w:rsidR="00BB2F94" w:rsidRPr="00BB2F94">
        <w:rPr>
          <w:rStyle w:val="FootnoteReference"/>
        </w:rPr>
        <w:footnoteReference w:id="71"/>
      </w:r>
      <w:r w:rsidR="00BB2F94" w:rsidRPr="00BB2F94">
        <w:t xml:space="preserve"> in the first year and an </w:t>
      </w:r>
      <w:r w:rsidR="004912E4">
        <w:t xml:space="preserve">additional </w:t>
      </w:r>
      <w:r w:rsidR="00BB2F94" w:rsidRPr="00BB2F94">
        <w:t xml:space="preserve">ongoing burden of </w:t>
      </w:r>
      <w:r w:rsidR="00BB2F94">
        <w:t>210</w:t>
      </w:r>
      <w:r w:rsidR="00BB2F94" w:rsidRPr="00BB2F94">
        <w:t xml:space="preserve"> hours per year (including the first year).</w:t>
      </w:r>
      <w:r w:rsidR="00BB2F94" w:rsidRPr="00BB2F94">
        <w:rPr>
          <w:rStyle w:val="FootnoteReference"/>
        </w:rPr>
        <w:footnoteReference w:id="72"/>
      </w:r>
      <w:r w:rsidR="00BB2F94" w:rsidRPr="00BB2F94">
        <w:t xml:space="preserve">  Over a three year period, the total industry burden would be </w:t>
      </w:r>
      <w:r w:rsidR="00BB2F94">
        <w:t>670</w:t>
      </w:r>
      <w:r w:rsidR="00BB2F94" w:rsidRPr="00BB2F94">
        <w:t xml:space="preserve"> hours,</w:t>
      </w:r>
      <w:r w:rsidR="00BB2F94" w:rsidRPr="00BB2F94">
        <w:rPr>
          <w:rStyle w:val="FootnoteReference"/>
        </w:rPr>
        <w:footnoteReference w:id="73"/>
      </w:r>
      <w:r w:rsidR="00BB2F94" w:rsidRPr="00BB2F94">
        <w:t xml:space="preserve"> or about </w:t>
      </w:r>
      <w:r w:rsidR="00BB2F94">
        <w:t>223</w:t>
      </w:r>
      <w:r w:rsidR="000D54AE">
        <w:t>.33</w:t>
      </w:r>
      <w:r w:rsidR="00BB2F94" w:rsidRPr="00BB2F94">
        <w:t xml:space="preserve"> hours per year when annualized.</w:t>
      </w:r>
      <w:r w:rsidR="00BB2F94" w:rsidRPr="00BB2F94">
        <w:rPr>
          <w:rStyle w:val="FootnoteReference"/>
        </w:rPr>
        <w:footnoteReference w:id="74"/>
      </w:r>
    </w:p>
    <w:p w:rsidR="00B9414A" w:rsidRPr="00205696" w:rsidRDefault="00B9414A" w:rsidP="00B9414A">
      <w:pPr>
        <w:ind w:firstLine="720"/>
      </w:pPr>
    </w:p>
    <w:p w:rsidR="00B9414A" w:rsidRDefault="00FB27F6" w:rsidP="00A9797D">
      <w:pPr>
        <w:ind w:firstLine="720"/>
      </w:pPr>
      <w:r w:rsidRPr="00F40BD6">
        <w:rPr>
          <w:b/>
        </w:rPr>
        <w:t xml:space="preserve">Form SBS for </w:t>
      </w:r>
      <w:r w:rsidR="004D0292" w:rsidRPr="00F40BD6">
        <w:rPr>
          <w:b/>
        </w:rPr>
        <w:t>ANC Broker-Dealers</w:t>
      </w:r>
      <w:r w:rsidR="00B9414A" w:rsidRPr="00F40BD6">
        <w:rPr>
          <w:b/>
        </w:rPr>
        <w:t xml:space="preserve">: </w:t>
      </w:r>
      <w:r>
        <w:t xml:space="preserve">The Commission proposes to amend paragraph (a)(1)(iv) of 17a-5 to require ANC broker-dealer SBSDs to file proposed Form SBS instead of Part II CSE of </w:t>
      </w:r>
      <w:r w:rsidRPr="00A9797D">
        <w:t>Form X</w:t>
      </w:r>
      <w:r w:rsidRPr="00A9797D">
        <w:noBreakHyphen/>
        <w:t>17A</w:t>
      </w:r>
      <w:r w:rsidRPr="00A9797D">
        <w:noBreakHyphen/>
        <w:t>5.</w:t>
      </w:r>
      <w:r w:rsidRPr="00A9797D">
        <w:rPr>
          <w:rStyle w:val="FootnoteReference"/>
        </w:rPr>
        <w:footnoteReference w:id="75"/>
      </w:r>
      <w:r w:rsidR="00325993" w:rsidRPr="00A9797D">
        <w:t xml:space="preserve">  Although proposed Form SBS is modeled on Part II CSE, the burden on ANC broker</w:t>
      </w:r>
      <w:r w:rsidR="00325993" w:rsidRPr="00A9797D">
        <w:noBreakHyphen/>
        <w:t xml:space="preserve">dealer SBSDs would increase, because ANC broker-dealer SBSDs would file monthly instead of quarterly and would complete additional sections and line items eliciting more detail about their </w:t>
      </w:r>
      <w:r w:rsidR="00D604AD">
        <w:t>SBS</w:t>
      </w:r>
      <w:r w:rsidR="00325993" w:rsidRPr="00A9797D">
        <w:t xml:space="preserve"> and swap activities.</w:t>
      </w:r>
      <w:r w:rsidR="00325993" w:rsidRPr="00A9797D">
        <w:rPr>
          <w:rStyle w:val="FootnoteReference"/>
        </w:rPr>
        <w:footnoteReference w:id="76"/>
      </w:r>
      <w:r w:rsidR="00325993" w:rsidRPr="00A9797D">
        <w:t xml:space="preserve">  In consideration of these additional requirements, the Commission estimates that the requirement for ANC broker-dealer SBSDs to file proposed Form SBS every month would impose an initial burden of 25 hours per firm in the first year and an ongoing annual burden of 228 hours per firm in each year (including the first year).  The Commission estimates that there </w:t>
      </w:r>
      <w:r w:rsidR="0035738A">
        <w:t>will be</w:t>
      </w:r>
      <w:r w:rsidR="0035738A" w:rsidRPr="00A9797D">
        <w:t xml:space="preserve"> </w:t>
      </w:r>
      <w:r w:rsidR="00325993" w:rsidRPr="00A9797D">
        <w:t xml:space="preserve">10 ANC broker-dealers </w:t>
      </w:r>
      <w:r w:rsidR="0035738A">
        <w:t xml:space="preserve">that will register </w:t>
      </w:r>
      <w:r w:rsidR="00325993" w:rsidRPr="00A9797D">
        <w:t>as SBSDs adding to the industry an initial burden of 250 hours</w:t>
      </w:r>
      <w:r w:rsidR="00325993" w:rsidRPr="00A9797D">
        <w:rPr>
          <w:rStyle w:val="FootnoteReference"/>
        </w:rPr>
        <w:footnoteReference w:id="77"/>
      </w:r>
      <w:r w:rsidR="00325993" w:rsidRPr="00A9797D">
        <w:t xml:space="preserve"> in the first year and an ongoing burden of 2,280 hours per year (including the first year).</w:t>
      </w:r>
      <w:r w:rsidR="00325993" w:rsidRPr="00A9797D">
        <w:rPr>
          <w:rStyle w:val="FootnoteReference"/>
        </w:rPr>
        <w:footnoteReference w:id="78"/>
      </w:r>
      <w:r w:rsidR="00325993" w:rsidRPr="00A9797D">
        <w:t xml:space="preserve">  Over a three year period, the total industry burden would be 7,090 hours,</w:t>
      </w:r>
      <w:r w:rsidR="00325993" w:rsidRPr="00A9797D">
        <w:rPr>
          <w:rStyle w:val="FootnoteReference"/>
        </w:rPr>
        <w:footnoteReference w:id="79"/>
      </w:r>
      <w:r w:rsidR="00325993" w:rsidRPr="00A9797D">
        <w:t xml:space="preserve"> or </w:t>
      </w:r>
      <w:r w:rsidR="00E16F8F">
        <w:t xml:space="preserve">about </w:t>
      </w:r>
      <w:r w:rsidR="00A9797D" w:rsidRPr="00A9797D">
        <w:t>2,363</w:t>
      </w:r>
      <w:r w:rsidR="000D54AE">
        <w:t>.33</w:t>
      </w:r>
      <w:r w:rsidR="00325993" w:rsidRPr="00A9797D">
        <w:t xml:space="preserve"> hours per year when annualized.</w:t>
      </w:r>
      <w:r w:rsidR="00325993" w:rsidRPr="00A9797D">
        <w:rPr>
          <w:rStyle w:val="FootnoteReference"/>
        </w:rPr>
        <w:footnoteReference w:id="80"/>
      </w:r>
    </w:p>
    <w:p w:rsidR="00A9797D" w:rsidRPr="00A9797D" w:rsidRDefault="00A9797D" w:rsidP="00A9797D">
      <w:pPr>
        <w:ind w:firstLine="720"/>
        <w:rPr>
          <w:b/>
        </w:rPr>
      </w:pPr>
    </w:p>
    <w:p w:rsidR="001918CA" w:rsidRDefault="00FB27F6" w:rsidP="00237FBD">
      <w:pPr>
        <w:ind w:firstLine="720"/>
        <w:rPr>
          <w:b/>
        </w:rPr>
      </w:pPr>
      <w:r w:rsidRPr="0022102A">
        <w:rPr>
          <w:b/>
        </w:rPr>
        <w:t>Liquidity Stress Test for ANC Broker-Dealers:</w:t>
      </w:r>
      <w:r>
        <w:rPr>
          <w:b/>
          <w:i/>
        </w:rPr>
        <w:t xml:space="preserve"> </w:t>
      </w:r>
      <w:r>
        <w:t>Additionally, the Commission proposes to add paragraph (a)(5)(vii) to Rule 17a</w:t>
      </w:r>
      <w:r>
        <w:noBreakHyphen/>
        <w:t>5, which would require ANC broker-dealers</w:t>
      </w:r>
      <w:r w:rsidR="00316B51">
        <w:t>, including ANC broker-dealer SBSDs,</w:t>
      </w:r>
      <w:r>
        <w:t xml:space="preserve"> to file the results of the firm’s monthly liquidity stress test with the Commission.</w:t>
      </w:r>
      <w:r>
        <w:rPr>
          <w:rStyle w:val="FootnoteReference"/>
        </w:rPr>
        <w:footnoteReference w:id="81"/>
      </w:r>
      <w:r w:rsidR="007A6203">
        <w:t xml:space="preserve"> </w:t>
      </w:r>
      <w:r w:rsidR="007A6203" w:rsidRPr="007A6203">
        <w:t xml:space="preserve"> Because the burden of actually performing the liquidity stress test and creating a liquidity funding plan is already accounted for in the PRA estimate for the proposed amendments to Rule 15c3-1,  the burden imposed by proposed paragraph (a)(5)(vii) is the requirement to file a copy of the results with the Commission.  The Commission estimates that paragraph (a)(5)(vii) to Rule 17a-5, as proposed to be amended, would impose </w:t>
      </w:r>
      <w:r w:rsidR="007A6203">
        <w:t xml:space="preserve">no initial burden, and </w:t>
      </w:r>
      <w:r w:rsidR="007A6203" w:rsidRPr="007A6203">
        <w:t xml:space="preserve">an annual burden of </w:t>
      </w:r>
      <w:r w:rsidR="007A6203">
        <w:t>12</w:t>
      </w:r>
      <w:r w:rsidR="007A6203" w:rsidRPr="007A6203">
        <w:t xml:space="preserve"> hours per ANC broker-dealer</w:t>
      </w:r>
      <w:r w:rsidR="00316B51">
        <w:t xml:space="preserve"> (one liquidity stress test result per month)</w:t>
      </w:r>
      <w:r w:rsidR="007A6203" w:rsidRPr="007A6203">
        <w:t xml:space="preserve">.   The Commission estimates that there </w:t>
      </w:r>
      <w:r w:rsidR="00316B51">
        <w:t>will</w:t>
      </w:r>
      <w:r w:rsidR="009F74E1">
        <w:t xml:space="preserve"> be </w:t>
      </w:r>
      <w:r w:rsidR="008A0D4C">
        <w:t>10</w:t>
      </w:r>
      <w:r w:rsidR="007A6203" w:rsidRPr="007A6203">
        <w:t xml:space="preserve"> ANC broker-dealers</w:t>
      </w:r>
      <w:r w:rsidR="00325993">
        <w:t xml:space="preserve"> </w:t>
      </w:r>
      <w:r w:rsidR="00316B51">
        <w:t>following the adoption of the SBS Recordkeeping Release</w:t>
      </w:r>
      <w:r w:rsidR="007A6203" w:rsidRPr="007A6203">
        <w:t>, resulting in an industry-wide ongoing</w:t>
      </w:r>
      <w:r w:rsidR="00325993">
        <w:t xml:space="preserve"> annual</w:t>
      </w:r>
      <w:r w:rsidR="007A6203" w:rsidRPr="007A6203">
        <w:t xml:space="preserve"> burden of 120 hours per year.</w:t>
      </w:r>
      <w:r w:rsidR="007A6203">
        <w:rPr>
          <w:rStyle w:val="FootnoteReference"/>
        </w:rPr>
        <w:footnoteReference w:id="82"/>
      </w:r>
      <w:r w:rsidR="007A6203" w:rsidRPr="007A6203">
        <w:t xml:space="preserve"> </w:t>
      </w:r>
      <w:r>
        <w:t xml:space="preserve">  </w:t>
      </w:r>
      <w:r w:rsidR="00B9414A" w:rsidRPr="00FB27F6">
        <w:rPr>
          <w:b/>
        </w:rPr>
        <w:t xml:space="preserve"> </w:t>
      </w:r>
    </w:p>
    <w:p w:rsidR="00237FBD" w:rsidRDefault="00237FBD" w:rsidP="00237FBD">
      <w:pPr>
        <w:ind w:firstLine="720"/>
      </w:pPr>
    </w:p>
    <w:p w:rsidR="00A9390B" w:rsidRDefault="00B9414A" w:rsidP="00B9414A">
      <w:pPr>
        <w:ind w:firstLine="720"/>
      </w:pPr>
      <w:r w:rsidRPr="00926F67">
        <w:t xml:space="preserve">Therefore, </w:t>
      </w:r>
      <w:r w:rsidR="009A77EA">
        <w:t xml:space="preserve">over a three year period, </w:t>
      </w:r>
      <w:r w:rsidRPr="00926F67">
        <w:t xml:space="preserve">the resulting estimated total </w:t>
      </w:r>
      <w:r w:rsidR="00316B51" w:rsidRPr="00926F67">
        <w:t>annual</w:t>
      </w:r>
      <w:r w:rsidRPr="00926F67">
        <w:t xml:space="preserve"> hour burden to comply with Rule 17a-</w:t>
      </w:r>
      <w:r w:rsidR="00DD149B" w:rsidRPr="00926F67">
        <w:t>5</w:t>
      </w:r>
      <w:r w:rsidR="005A4016" w:rsidRPr="00926F67">
        <w:t xml:space="preserve"> as amended is approximately </w:t>
      </w:r>
      <w:r w:rsidR="00415FB1">
        <w:t>371,6</w:t>
      </w:r>
      <w:r w:rsidR="00237FBD">
        <w:t>07</w:t>
      </w:r>
      <w:r w:rsidR="00D17D30">
        <w:t xml:space="preserve"> </w:t>
      </w:r>
      <w:r w:rsidRPr="00926F67">
        <w:t xml:space="preserve">hours.  </w:t>
      </w:r>
    </w:p>
    <w:p w:rsidR="00237FBD" w:rsidRDefault="00237FBD">
      <w:pPr>
        <w:spacing w:after="200" w:line="276" w:lineRule="auto"/>
      </w:pPr>
      <w:r>
        <w:br w:type="page"/>
      </w:r>
    </w:p>
    <w:tbl>
      <w:tblPr>
        <w:tblW w:w="9740" w:type="dxa"/>
        <w:jc w:val="center"/>
        <w:tblCellMar>
          <w:left w:w="0" w:type="dxa"/>
          <w:right w:w="0" w:type="dxa"/>
        </w:tblCellMar>
        <w:tblLook w:val="04A0" w:firstRow="1" w:lastRow="0" w:firstColumn="1" w:lastColumn="0" w:noHBand="0" w:noVBand="1"/>
      </w:tblPr>
      <w:tblGrid>
        <w:gridCol w:w="1360"/>
        <w:gridCol w:w="1000"/>
        <w:gridCol w:w="540"/>
        <w:gridCol w:w="780"/>
        <w:gridCol w:w="720"/>
        <w:gridCol w:w="740"/>
        <w:gridCol w:w="880"/>
        <w:gridCol w:w="760"/>
        <w:gridCol w:w="700"/>
        <w:gridCol w:w="1480"/>
        <w:gridCol w:w="780"/>
      </w:tblGrid>
      <w:tr w:rsidR="002276B4" w:rsidTr="002276B4">
        <w:trPr>
          <w:trHeight w:val="150"/>
          <w:jc w:val="center"/>
        </w:trPr>
        <w:tc>
          <w:tcPr>
            <w:tcW w:w="9740" w:type="dxa"/>
            <w:gridSpan w:val="11"/>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lastRenderedPageBreak/>
              <w:t>Summary of Hourly Burdens </w:t>
            </w:r>
          </w:p>
        </w:tc>
      </w:tr>
      <w:tr w:rsidR="002276B4" w:rsidTr="002276B4">
        <w:trPr>
          <w:trHeight w:val="160"/>
          <w:jc w:val="center"/>
        </w:trPr>
        <w:tc>
          <w:tcPr>
            <w:tcW w:w="0" w:type="auto"/>
            <w:tcBorders>
              <w:top w:val="nil"/>
              <w:left w:val="single" w:sz="8"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2276B4" w:rsidRDefault="002276B4">
            <w:pPr>
              <w:jc w:val="center"/>
              <w:rPr>
                <w:b/>
                <w:bCs/>
                <w:color w:val="000000"/>
                <w:sz w:val="16"/>
                <w:szCs w:val="16"/>
              </w:rPr>
            </w:pPr>
            <w:r>
              <w:rPr>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rFonts w:ascii="Calibri" w:hAnsi="Calibri"/>
                <w:b/>
                <w:bCs/>
                <w:color w:val="000000"/>
                <w:sz w:val="12"/>
                <w:szCs w:val="12"/>
              </w:rPr>
            </w:pPr>
            <w:r>
              <w:rPr>
                <w:rFonts w:ascii="Calibri" w:hAnsi="Calibri"/>
                <w:b/>
                <w:bCs/>
                <w:color w:val="000000"/>
                <w:sz w:val="12"/>
                <w:szCs w:val="12"/>
              </w:rPr>
              <w:t> </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A.</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B.</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C.</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 xml:space="preserve">D. </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E.</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F.</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G.</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2276B4" w:rsidRDefault="002276B4">
            <w:pPr>
              <w:jc w:val="center"/>
              <w:rPr>
                <w:color w:val="FF0000"/>
                <w:sz w:val="12"/>
                <w:szCs w:val="12"/>
              </w:rPr>
            </w:pPr>
            <w:r>
              <w:rPr>
                <w:color w:val="FF0000"/>
                <w:sz w:val="12"/>
                <w:szCs w:val="12"/>
              </w:rPr>
              <w:t> </w:t>
            </w:r>
          </w:p>
        </w:tc>
        <w:tc>
          <w:tcPr>
            <w:tcW w:w="0" w:type="auto"/>
            <w:tcBorders>
              <w:top w:val="nil"/>
              <w:left w:val="nil"/>
              <w:bottom w:val="single" w:sz="4" w:space="0" w:color="auto"/>
              <w:right w:val="single" w:sz="8" w:space="0" w:color="auto"/>
            </w:tcBorders>
            <w:shd w:val="clear" w:color="000000" w:fill="D9D9D9"/>
            <w:noWrap/>
            <w:tcMar>
              <w:top w:w="15" w:type="dxa"/>
              <w:left w:w="15" w:type="dxa"/>
              <w:bottom w:w="0" w:type="dxa"/>
              <w:right w:w="15" w:type="dxa"/>
            </w:tcMar>
            <w:vAlign w:val="bottom"/>
            <w:hideMark/>
          </w:tcPr>
          <w:p w:rsidR="002276B4" w:rsidRDefault="002276B4">
            <w:pPr>
              <w:rPr>
                <w:rFonts w:ascii="Calibri" w:hAnsi="Calibri"/>
                <w:color w:val="000000"/>
                <w:sz w:val="22"/>
                <w:szCs w:val="22"/>
              </w:rPr>
            </w:pPr>
            <w:r>
              <w:rPr>
                <w:rFonts w:ascii="Calibri" w:hAnsi="Calibri"/>
                <w:color w:val="000000"/>
                <w:sz w:val="22"/>
                <w:szCs w:val="22"/>
              </w:rPr>
              <w:t> </w:t>
            </w:r>
          </w:p>
        </w:tc>
      </w:tr>
      <w:tr w:rsidR="002276B4" w:rsidTr="002276B4">
        <w:trPr>
          <w:trHeight w:val="732"/>
          <w:jc w:val="center"/>
        </w:trPr>
        <w:tc>
          <w:tcPr>
            <w:tcW w:w="1360" w:type="dxa"/>
            <w:tcBorders>
              <w:top w:val="nil"/>
              <w:left w:val="single" w:sz="8"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Name of Information Collection</w:t>
            </w:r>
          </w:p>
        </w:tc>
        <w:tc>
          <w:tcPr>
            <w:tcW w:w="100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Type of Burden</w:t>
            </w:r>
          </w:p>
        </w:tc>
        <w:tc>
          <w:tcPr>
            <w:tcW w:w="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Number of Entities Impacted</w:t>
            </w:r>
          </w:p>
        </w:tc>
        <w:tc>
          <w:tcPr>
            <w:tcW w:w="7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Annual Responses per Entity</w:t>
            </w:r>
          </w:p>
        </w:tc>
        <w:tc>
          <w:tcPr>
            <w:tcW w:w="7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Initial Burden per Entity per Response</w:t>
            </w:r>
          </w:p>
        </w:tc>
        <w:tc>
          <w:tcPr>
            <w:tcW w:w="7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Initial Burden Annualized per Entity per Response</w:t>
            </w:r>
          </w:p>
        </w:tc>
        <w:tc>
          <w:tcPr>
            <w:tcW w:w="8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Ongoing Burden per Entity per Response</w:t>
            </w:r>
          </w:p>
        </w:tc>
        <w:tc>
          <w:tcPr>
            <w:tcW w:w="7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Annual Burden Per Entity per Response</w:t>
            </w:r>
          </w:p>
        </w:tc>
        <w:tc>
          <w:tcPr>
            <w:tcW w:w="70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Total Annual Burden Per Entity</w:t>
            </w:r>
          </w:p>
        </w:tc>
        <w:tc>
          <w:tcPr>
            <w:tcW w:w="14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 xml:space="preserve">Total Industry Burden                  </w:t>
            </w:r>
          </w:p>
        </w:tc>
        <w:tc>
          <w:tcPr>
            <w:tcW w:w="780" w:type="dxa"/>
            <w:tcBorders>
              <w:top w:val="nil"/>
              <w:left w:val="nil"/>
              <w:bottom w:val="single" w:sz="4" w:space="0" w:color="auto"/>
              <w:right w:val="single" w:sz="8" w:space="0" w:color="auto"/>
            </w:tcBorders>
            <w:shd w:val="clear" w:color="000000" w:fill="D9D9D9"/>
            <w:tcMar>
              <w:top w:w="15" w:type="dxa"/>
              <w:left w:w="15" w:type="dxa"/>
              <w:bottom w:w="0" w:type="dxa"/>
              <w:right w:w="15" w:type="dxa"/>
            </w:tcMar>
            <w:vAlign w:val="center"/>
            <w:hideMark/>
          </w:tcPr>
          <w:p w:rsidR="002276B4" w:rsidRDefault="002276B4">
            <w:pPr>
              <w:jc w:val="center"/>
              <w:rPr>
                <w:b/>
                <w:bCs/>
                <w:color w:val="000000"/>
                <w:sz w:val="12"/>
                <w:szCs w:val="12"/>
              </w:rPr>
            </w:pPr>
            <w:r>
              <w:rPr>
                <w:b/>
                <w:bCs/>
                <w:color w:val="000000"/>
                <w:sz w:val="12"/>
                <w:szCs w:val="12"/>
              </w:rPr>
              <w:t xml:space="preserve"> Small Business Entities Affected</w:t>
            </w:r>
          </w:p>
        </w:tc>
      </w:tr>
      <w:tr w:rsidR="002276B4" w:rsidTr="002276B4">
        <w:trPr>
          <w:trHeight w:val="210"/>
          <w:jc w:val="center"/>
        </w:trPr>
        <w:tc>
          <w:tcPr>
            <w:tcW w:w="1360" w:type="dxa"/>
            <w:tcBorders>
              <w:top w:val="nil"/>
              <w:left w:val="single" w:sz="8"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w:t>
            </w:r>
          </w:p>
        </w:tc>
        <w:tc>
          <w:tcPr>
            <w:tcW w:w="100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w:t>
            </w:r>
          </w:p>
        </w:tc>
        <w:tc>
          <w:tcPr>
            <w:tcW w:w="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w:t>
            </w:r>
          </w:p>
        </w:tc>
        <w:tc>
          <w:tcPr>
            <w:tcW w:w="7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w:t>
            </w:r>
          </w:p>
        </w:tc>
        <w:tc>
          <w:tcPr>
            <w:tcW w:w="7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w:t>
            </w:r>
          </w:p>
        </w:tc>
        <w:tc>
          <w:tcPr>
            <w:tcW w:w="7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[C ÷ 3 years]</w:t>
            </w:r>
          </w:p>
        </w:tc>
        <w:tc>
          <w:tcPr>
            <w:tcW w:w="8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w:t>
            </w:r>
          </w:p>
        </w:tc>
        <w:tc>
          <w:tcPr>
            <w:tcW w:w="7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D + E]</w:t>
            </w:r>
          </w:p>
        </w:tc>
        <w:tc>
          <w:tcPr>
            <w:tcW w:w="70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[F * B]</w:t>
            </w:r>
          </w:p>
        </w:tc>
        <w:tc>
          <w:tcPr>
            <w:tcW w:w="14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 xml:space="preserve">[G * A]  </w:t>
            </w:r>
          </w:p>
        </w:tc>
        <w:tc>
          <w:tcPr>
            <w:tcW w:w="780" w:type="dxa"/>
            <w:tcBorders>
              <w:top w:val="nil"/>
              <w:left w:val="nil"/>
              <w:bottom w:val="single" w:sz="4" w:space="0" w:color="auto"/>
              <w:right w:val="single" w:sz="8" w:space="0" w:color="auto"/>
            </w:tcBorders>
            <w:shd w:val="clear" w:color="000000" w:fill="D9D9D9"/>
            <w:tcMar>
              <w:top w:w="15" w:type="dxa"/>
              <w:left w:w="15" w:type="dxa"/>
              <w:bottom w:w="0" w:type="dxa"/>
              <w:right w:w="15" w:type="dxa"/>
            </w:tcMar>
            <w:vAlign w:val="center"/>
            <w:hideMark/>
          </w:tcPr>
          <w:p w:rsidR="002276B4" w:rsidRDefault="002276B4">
            <w:pPr>
              <w:jc w:val="center"/>
              <w:rPr>
                <w:color w:val="FF0000"/>
                <w:sz w:val="12"/>
                <w:szCs w:val="12"/>
              </w:rPr>
            </w:pPr>
            <w:r>
              <w:rPr>
                <w:color w:val="FF0000"/>
                <w:sz w:val="12"/>
                <w:szCs w:val="12"/>
              </w:rPr>
              <w:t>[A * 0 %]</w:t>
            </w:r>
          </w:p>
        </w:tc>
      </w:tr>
      <w:tr w:rsidR="002276B4" w:rsidTr="002276B4">
        <w:trPr>
          <w:trHeight w:val="49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 FOCUS Reports - Monthly Reports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487</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12</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144.00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70,128.00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19</w:t>
            </w:r>
          </w:p>
        </w:tc>
      </w:tr>
      <w:tr w:rsidR="002276B4" w:rsidTr="002276B4">
        <w:trPr>
          <w:trHeight w:val="49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 FOCUS Reports - Quarterly Reports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4,058</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48.00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194,784.00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1,489</w:t>
            </w:r>
          </w:p>
        </w:tc>
      </w:tr>
      <w:tr w:rsidR="002276B4" w:rsidTr="002276B4">
        <w:trPr>
          <w:trHeight w:val="82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17a-5(k): Supplemental Reports - Appendix E - Additional Monthly Reports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12</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48.00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480.00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82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17a-5(k): Supplemental Reports - Appendix E - Additional Quarterly Reports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8.00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8.00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32.00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320.00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82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17a-5(k): Supplemental Reports - Appendix E - Additional Annual Reports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33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 Annual Audited Reports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4,345</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52,140.00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1,508</w:t>
            </w:r>
          </w:p>
        </w:tc>
      </w:tr>
      <w:tr w:rsidR="002276B4" w:rsidTr="002276B4">
        <w:trPr>
          <w:trHeight w:val="33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17a-5(d)(3): Compliance Report</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203</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60.00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60.00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60.00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12,180.00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33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17a-5(d)(4): Exemption Report</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4,342</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7.00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7.00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7.00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30,394.00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1,508</w:t>
            </w:r>
          </w:p>
        </w:tc>
      </w:tr>
      <w:tr w:rsidR="002276B4" w:rsidTr="002276B4">
        <w:trPr>
          <w:trHeight w:val="49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17a-5(d)(6): Annual Audit Reports with SIPC</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Third-Party Disclosure</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4,320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0.50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0.50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0.50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2,160.00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1,440</w:t>
            </w:r>
          </w:p>
        </w:tc>
      </w:tr>
      <w:tr w:rsidR="002276B4" w:rsidTr="002276B4">
        <w:trPr>
          <w:trHeight w:val="49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17a-5(d)(1)(ii): Change of Fiscal Year End</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75</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0.17</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0.17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0.17</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12.50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25</w:t>
            </w:r>
          </w:p>
        </w:tc>
      </w:tr>
      <w:tr w:rsidR="002276B4" w:rsidTr="002276B4">
        <w:trPr>
          <w:trHeight w:val="777"/>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17a-5(e)(4): Annual General Assessment Reconciliation or Exclusion from Membership Form</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4,393</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5.00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5.00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5.00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21,965.00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1,524</w:t>
            </w:r>
          </w:p>
        </w:tc>
      </w:tr>
      <w:tr w:rsidR="002276B4" w:rsidTr="002276B4">
        <w:trPr>
          <w:trHeight w:val="82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17a-5(f)(2): Statement Regarding Independent Public Accountant - Carrying or Clearing BD</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487</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3.33</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bookmarkStart w:id="1" w:name="RANGE!G16"/>
            <w:r>
              <w:rPr>
                <w:color w:val="000000"/>
                <w:sz w:val="12"/>
                <w:szCs w:val="12"/>
              </w:rPr>
              <w:t>0.00</w:t>
            </w:r>
            <w:bookmarkEnd w:id="1"/>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3.33</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3.33</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1,623.33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19</w:t>
            </w:r>
          </w:p>
        </w:tc>
      </w:tr>
      <w:tr w:rsidR="002276B4" w:rsidTr="002276B4">
        <w:trPr>
          <w:trHeight w:val="99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17a-5(f)(2): Statement Regarding Independent Public Accountant - Non-Carrying or Non-Clearing BD</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4,058</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0.67</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0.67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0.67</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2,705.33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1,489</w:t>
            </w:r>
          </w:p>
        </w:tc>
      </w:tr>
      <w:tr w:rsidR="002276B4" w:rsidTr="002276B4">
        <w:trPr>
          <w:trHeight w:val="66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Rule 17a-5(f)(3): Statement Regarding Change in Independent Public Accountant</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50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0.67</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0.67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0.67</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33.33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17</w:t>
            </w:r>
          </w:p>
        </w:tc>
      </w:tr>
      <w:tr w:rsidR="002276B4" w:rsidTr="002276B4">
        <w:trPr>
          <w:trHeight w:val="66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Form SBS for Broker-Dealer SBSDs: Amendment to Paragraph (a)(1)(iv)</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6</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50.00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16.67</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240.00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256.67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256.67</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1,540.00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66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Form SBS for Broker-Dealer MSBSPs: Amendment to Paragraph (a)(1)(iv)</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40.00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13.33</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210.00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223.33</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223.33</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223.33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330"/>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Form SBS for ANC Broker-Dealers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25.00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8.33</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228.00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236.33</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236.33</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2,363.33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495"/>
          <w:jc w:val="center"/>
        </w:trPr>
        <w:tc>
          <w:tcPr>
            <w:tcW w:w="13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Liquidity Stress Test for ANC Broker-Dealers</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Reporting</w:t>
            </w:r>
          </w:p>
        </w:tc>
        <w:tc>
          <w:tcPr>
            <w:tcW w:w="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10</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center"/>
              <w:rPr>
                <w:color w:val="000000"/>
                <w:sz w:val="12"/>
                <w:szCs w:val="12"/>
              </w:rPr>
            </w:pPr>
            <w:r>
              <w:rPr>
                <w:color w:val="000000"/>
                <w:sz w:val="12"/>
                <w:szCs w:val="12"/>
              </w:rPr>
              <w:t>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0.00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w:t>
            </w:r>
          </w:p>
        </w:tc>
        <w:tc>
          <w:tcPr>
            <w:tcW w:w="1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120.00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2276B4" w:rsidRDefault="002276B4">
            <w:pPr>
              <w:jc w:val="right"/>
              <w:rPr>
                <w:color w:val="000000"/>
                <w:sz w:val="12"/>
                <w:szCs w:val="12"/>
              </w:rPr>
            </w:pPr>
            <w:r>
              <w:rPr>
                <w:color w:val="000000"/>
                <w:sz w:val="12"/>
                <w:szCs w:val="12"/>
              </w:rPr>
              <w:t>0</w:t>
            </w:r>
          </w:p>
        </w:tc>
      </w:tr>
      <w:tr w:rsidR="002276B4" w:rsidTr="002276B4">
        <w:trPr>
          <w:trHeight w:val="180"/>
          <w:jc w:val="center"/>
        </w:trPr>
        <w:tc>
          <w:tcPr>
            <w:tcW w:w="6780" w:type="dxa"/>
            <w:gridSpan w:val="8"/>
            <w:tcBorders>
              <w:top w:val="single" w:sz="4" w:space="0" w:color="auto"/>
              <w:left w:val="single" w:sz="8" w:space="0" w:color="auto"/>
              <w:bottom w:val="single" w:sz="8" w:space="0" w:color="auto"/>
              <w:right w:val="single" w:sz="4" w:space="0" w:color="000000"/>
            </w:tcBorders>
            <w:shd w:val="clear" w:color="auto" w:fill="auto"/>
            <w:tcMar>
              <w:top w:w="15" w:type="dxa"/>
              <w:left w:w="15" w:type="dxa"/>
              <w:bottom w:w="0" w:type="dxa"/>
              <w:right w:w="15" w:type="dxa"/>
            </w:tcMar>
            <w:vAlign w:val="center"/>
            <w:hideMark/>
          </w:tcPr>
          <w:p w:rsidR="002276B4" w:rsidRDefault="002276B4">
            <w:pPr>
              <w:jc w:val="right"/>
              <w:rPr>
                <w:b/>
                <w:bCs/>
                <w:color w:val="000000"/>
                <w:sz w:val="12"/>
                <w:szCs w:val="12"/>
              </w:rPr>
            </w:pPr>
            <w:r>
              <w:rPr>
                <w:b/>
                <w:bCs/>
                <w:color w:val="000000"/>
                <w:sz w:val="12"/>
                <w:szCs w:val="12"/>
              </w:rPr>
              <w:t xml:space="preserve">TOTAL HOURLY BURDEN FOR ALL RESPONDENTS </w:t>
            </w:r>
          </w:p>
        </w:tc>
        <w:tc>
          <w:tcPr>
            <w:tcW w:w="700"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b/>
                <w:bCs/>
                <w:color w:val="000000"/>
                <w:sz w:val="12"/>
                <w:szCs w:val="12"/>
              </w:rPr>
            </w:pPr>
            <w:r>
              <w:rPr>
                <w:b/>
                <w:bCs/>
                <w:color w:val="000000"/>
                <w:sz w:val="12"/>
                <w:szCs w:val="12"/>
              </w:rPr>
              <w:t> </w:t>
            </w:r>
          </w:p>
        </w:tc>
        <w:tc>
          <w:tcPr>
            <w:tcW w:w="1480"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2276B4" w:rsidRDefault="002276B4">
            <w:pPr>
              <w:jc w:val="right"/>
              <w:rPr>
                <w:b/>
                <w:bCs/>
                <w:color w:val="000000"/>
                <w:sz w:val="12"/>
                <w:szCs w:val="12"/>
              </w:rPr>
            </w:pPr>
            <w:r>
              <w:rPr>
                <w:b/>
                <w:bCs/>
                <w:color w:val="000000"/>
                <w:sz w:val="12"/>
                <w:szCs w:val="12"/>
              </w:rPr>
              <w:t>393,572.17</w:t>
            </w:r>
          </w:p>
        </w:tc>
        <w:tc>
          <w:tcPr>
            <w:tcW w:w="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276B4" w:rsidRDefault="002276B4">
            <w:pPr>
              <w:jc w:val="right"/>
              <w:rPr>
                <w:b/>
                <w:bCs/>
                <w:color w:val="000000"/>
                <w:sz w:val="12"/>
                <w:szCs w:val="12"/>
              </w:rPr>
            </w:pPr>
            <w:r>
              <w:rPr>
                <w:b/>
                <w:bCs/>
                <w:color w:val="000000"/>
                <w:sz w:val="12"/>
                <w:szCs w:val="12"/>
              </w:rPr>
              <w:t> </w:t>
            </w:r>
          </w:p>
        </w:tc>
      </w:tr>
    </w:tbl>
    <w:p w:rsidR="00B9414A" w:rsidRPr="00205696" w:rsidRDefault="00B9414A" w:rsidP="00B9414A">
      <w:pPr>
        <w:keepNext/>
        <w:spacing w:after="240"/>
        <w:ind w:firstLine="720"/>
        <w:rPr>
          <w:b/>
        </w:rPr>
      </w:pPr>
      <w:r w:rsidRPr="00205696">
        <w:rPr>
          <w:b/>
        </w:rPr>
        <w:t>13.</w:t>
      </w:r>
      <w:r w:rsidRPr="00205696">
        <w:rPr>
          <w:b/>
        </w:rPr>
        <w:tab/>
        <w:t>Costs to Respondents</w:t>
      </w:r>
    </w:p>
    <w:p w:rsidR="00F625ED" w:rsidRDefault="00F625ED" w:rsidP="003C595B">
      <w:pPr>
        <w:ind w:firstLine="720"/>
      </w:pPr>
      <w:r w:rsidRPr="00031D2D">
        <w:rPr>
          <w:b/>
        </w:rPr>
        <w:t>Requirement to File Compli</w:t>
      </w:r>
      <w:r w:rsidR="00EE5E73">
        <w:rPr>
          <w:b/>
        </w:rPr>
        <w:t>ance Report or Exemption Report –</w:t>
      </w:r>
      <w:r w:rsidRPr="00031D2D">
        <w:rPr>
          <w:b/>
        </w:rPr>
        <w:t xml:space="preserve"> Paragraphs</w:t>
      </w:r>
      <w:r w:rsidR="00EE5E73">
        <w:rPr>
          <w:b/>
        </w:rPr>
        <w:t xml:space="preserve"> </w:t>
      </w:r>
      <w:r w:rsidRPr="00031D2D">
        <w:rPr>
          <w:b/>
        </w:rPr>
        <w:t>(d)(3)–(4) of Rule 17a-5</w:t>
      </w:r>
      <w:r>
        <w:rPr>
          <w:b/>
        </w:rPr>
        <w:t xml:space="preserve">: </w:t>
      </w:r>
      <w:r w:rsidRPr="002A7C58">
        <w:t xml:space="preserve">As </w:t>
      </w:r>
      <w:r>
        <w:t xml:space="preserve">stated above, as of </w:t>
      </w:r>
      <w:r w:rsidR="000D54AE">
        <w:t>April 1,</w:t>
      </w:r>
      <w:r>
        <w:t xml:space="preserve"> 2013, 4,545</w:t>
      </w:r>
      <w:r w:rsidRPr="002A7C58">
        <w:t xml:space="preserve"> broker-dealers filed FOCUS Reports with the Commission.  Of these, 4,</w:t>
      </w:r>
      <w:r w:rsidR="00415FB1">
        <w:t>342</w:t>
      </w:r>
      <w:r w:rsidRPr="002A7C58">
        <w:t xml:space="preserve"> broker-dealers claimed exemptions from Rule 15c3-3.  </w:t>
      </w:r>
    </w:p>
    <w:p w:rsidR="003C595B" w:rsidRDefault="003C595B" w:rsidP="003C595B">
      <w:pPr>
        <w:ind w:firstLine="720"/>
      </w:pPr>
    </w:p>
    <w:p w:rsidR="00F625ED" w:rsidRPr="00031D2D" w:rsidRDefault="00F625ED" w:rsidP="00F625ED">
      <w:pPr>
        <w:pStyle w:val="ListParagraph"/>
        <w:numPr>
          <w:ilvl w:val="0"/>
          <w:numId w:val="13"/>
        </w:numPr>
        <w:rPr>
          <w:i/>
        </w:rPr>
      </w:pPr>
      <w:r w:rsidRPr="00031D2D">
        <w:rPr>
          <w:i/>
        </w:rPr>
        <w:t xml:space="preserve">Compliance Report Requirement </w:t>
      </w:r>
    </w:p>
    <w:p w:rsidR="00F625ED" w:rsidRPr="00A62FB1" w:rsidRDefault="00F625ED" w:rsidP="00F625ED">
      <w:pPr>
        <w:pStyle w:val="ListParagraph"/>
        <w:ind w:left="1800"/>
      </w:pPr>
    </w:p>
    <w:p w:rsidR="00F625ED" w:rsidRDefault="00F625ED" w:rsidP="00F625ED">
      <w:pPr>
        <w:ind w:firstLine="720"/>
      </w:pPr>
      <w:r>
        <w:t xml:space="preserve">As </w:t>
      </w:r>
      <w:r w:rsidR="00415FB1">
        <w:t xml:space="preserve">stated above, as </w:t>
      </w:r>
      <w:r>
        <w:t>of April 1, 2013, there</w:t>
      </w:r>
      <w:r w:rsidRPr="002A7C58">
        <w:t xml:space="preserve"> are approximately </w:t>
      </w:r>
      <w:r w:rsidR="00415FB1">
        <w:t>203</w:t>
      </w:r>
      <w:r w:rsidRPr="002A7C58">
        <w:t xml:space="preserve"> carrying broker-dealers (4,</w:t>
      </w:r>
      <w:r>
        <w:t>545</w:t>
      </w:r>
      <w:r w:rsidRPr="002A7C58">
        <w:t xml:space="preserve"> – 4,</w:t>
      </w:r>
      <w:r w:rsidR="00415FB1">
        <w:t>342</w:t>
      </w:r>
      <w:r w:rsidRPr="002A7C58">
        <w:t xml:space="preserve"> = </w:t>
      </w:r>
      <w:r w:rsidR="00415FB1">
        <w:t>203</w:t>
      </w:r>
      <w:r>
        <w:t xml:space="preserve">) that must comply with Rule 15c3-3 and therefore must file compliance reports. </w:t>
      </w:r>
      <w:r w:rsidRPr="00CA1CDB">
        <w:t xml:space="preserve">The estimated cost associated with the independent public accountant’s examination of the compliance report will be an average incremental cost of approximately $150,000 per carrying broker-dealer per year.  </w:t>
      </w:r>
      <w:r w:rsidR="00415FB1" w:rsidRPr="00CA1CDB">
        <w:t>This result in an industry-wide annual ongoing reporting cost of approximately $30,450,000 per year.</w:t>
      </w:r>
      <w:r w:rsidR="00415FB1" w:rsidRPr="00CA1CDB">
        <w:rPr>
          <w:rStyle w:val="FootnoteReference"/>
        </w:rPr>
        <w:footnoteReference w:id="83"/>
      </w:r>
      <w:r w:rsidR="00415FB1" w:rsidRPr="00CA1CDB">
        <w:t xml:space="preserve">  </w:t>
      </w:r>
    </w:p>
    <w:p w:rsidR="00F625ED" w:rsidRDefault="00F625ED" w:rsidP="00F625ED">
      <w:pPr>
        <w:ind w:firstLine="720"/>
      </w:pPr>
    </w:p>
    <w:p w:rsidR="00F625ED" w:rsidRPr="00031D2D" w:rsidRDefault="00F625ED" w:rsidP="00F625ED">
      <w:pPr>
        <w:pStyle w:val="ListParagraph"/>
        <w:numPr>
          <w:ilvl w:val="0"/>
          <w:numId w:val="13"/>
        </w:numPr>
        <w:rPr>
          <w:i/>
        </w:rPr>
      </w:pPr>
      <w:r w:rsidRPr="00031D2D">
        <w:rPr>
          <w:i/>
        </w:rPr>
        <w:t>Exemption Report Requirement</w:t>
      </w:r>
    </w:p>
    <w:p w:rsidR="00F625ED" w:rsidRPr="00A62FB1" w:rsidRDefault="00F625ED" w:rsidP="00F625ED">
      <w:pPr>
        <w:pStyle w:val="ListParagraph"/>
        <w:ind w:left="1800"/>
      </w:pPr>
    </w:p>
    <w:p w:rsidR="00415FB1" w:rsidRDefault="00F625ED" w:rsidP="00F625ED">
      <w:pPr>
        <w:ind w:firstLine="720"/>
      </w:pPr>
      <w:r>
        <w:t>As stated above, a</w:t>
      </w:r>
      <w:r w:rsidRPr="002A7C58">
        <w:t xml:space="preserve">s of </w:t>
      </w:r>
      <w:r w:rsidR="000D54AE">
        <w:t xml:space="preserve">April 1, </w:t>
      </w:r>
      <w:r>
        <w:t>2013</w:t>
      </w:r>
      <w:r w:rsidRPr="002A7C58">
        <w:t xml:space="preserve">, </w:t>
      </w:r>
      <w:r>
        <w:t>4,</w:t>
      </w:r>
      <w:r w:rsidR="00415FB1">
        <w:t>342</w:t>
      </w:r>
      <w:r w:rsidRPr="002A7C58">
        <w:t xml:space="preserve"> broker-dealers claimed exemptions from Rule 15c3-3.  </w:t>
      </w:r>
      <w:r w:rsidR="00426019" w:rsidRPr="00CA1CDB">
        <w:t xml:space="preserve">The cost associated with </w:t>
      </w:r>
      <w:r w:rsidR="00814E32" w:rsidRPr="00CA1CDB">
        <w:t>the</w:t>
      </w:r>
      <w:r w:rsidR="00426019" w:rsidRPr="00CA1CDB">
        <w:t xml:space="preserve"> independent public accountant’s review of the exemption report </w:t>
      </w:r>
      <w:r w:rsidR="004B53F3">
        <w:t>is estimated to create an ongoing cost of</w:t>
      </w:r>
      <w:r w:rsidR="00426019" w:rsidRPr="00CA1CDB">
        <w:t xml:space="preserve"> $3,000</w:t>
      </w:r>
      <w:r w:rsidR="00E84A54" w:rsidRPr="00CA1CDB">
        <w:t xml:space="preserve"> </w:t>
      </w:r>
      <w:r w:rsidR="00426019" w:rsidRPr="00CA1CDB">
        <w:t xml:space="preserve">per non-carrying broker-dealer per year, for a total industry-wide annual reporting cost </w:t>
      </w:r>
      <w:r w:rsidR="00591431" w:rsidRPr="00CA1CDB">
        <w:t>of approximately $</w:t>
      </w:r>
      <w:r w:rsidR="00C05F34" w:rsidRPr="00CA1CDB">
        <w:t>13,026,000</w:t>
      </w:r>
      <w:r w:rsidR="00B0689B" w:rsidRPr="00CA1CDB">
        <w:t>.</w:t>
      </w:r>
      <w:r w:rsidR="00B0689B" w:rsidRPr="00CA1CDB">
        <w:rPr>
          <w:rStyle w:val="FootnoteReference"/>
        </w:rPr>
        <w:footnoteReference w:id="84"/>
      </w:r>
      <w:r w:rsidR="00426019" w:rsidRPr="00CA1CDB">
        <w:t xml:space="preserve">  </w:t>
      </w:r>
    </w:p>
    <w:p w:rsidR="00415FB1" w:rsidRDefault="00415FB1" w:rsidP="00F625ED">
      <w:pPr>
        <w:ind w:firstLine="720"/>
      </w:pPr>
    </w:p>
    <w:p w:rsidR="00B9414A" w:rsidRPr="00CA1CDB" w:rsidRDefault="00B9414A" w:rsidP="00F625ED">
      <w:pPr>
        <w:ind w:firstLine="720"/>
      </w:pPr>
      <w:r w:rsidRPr="00CA1CDB">
        <w:t xml:space="preserve">Therefore, the total </w:t>
      </w:r>
      <w:r w:rsidR="00E84A54" w:rsidRPr="00CA1CDB">
        <w:t xml:space="preserve">ongoing </w:t>
      </w:r>
      <w:r w:rsidRPr="00CA1CDB">
        <w:t>cost burden associated with Rule 17a-</w:t>
      </w:r>
      <w:r w:rsidR="00426019" w:rsidRPr="00CA1CDB">
        <w:t>5</w:t>
      </w:r>
      <w:r w:rsidRPr="00CA1CDB">
        <w:t xml:space="preserve"> is approximately </w:t>
      </w:r>
      <w:r w:rsidR="00F70966" w:rsidRPr="00CA1CDB">
        <w:t>$43,476,000</w:t>
      </w:r>
      <w:r w:rsidR="006252DA" w:rsidRPr="00CA1CDB">
        <w:t>.</w:t>
      </w:r>
      <w:r w:rsidR="00743CB5" w:rsidRPr="00CA1CDB">
        <w:rPr>
          <w:rStyle w:val="FootnoteReference"/>
        </w:rPr>
        <w:footnoteReference w:id="85"/>
      </w:r>
    </w:p>
    <w:p w:rsidR="00F56FCF" w:rsidRDefault="00F56FCF" w:rsidP="00490EA4">
      <w:pPr>
        <w:ind w:firstLine="720"/>
      </w:pPr>
    </w:p>
    <w:tbl>
      <w:tblPr>
        <w:tblW w:w="9740" w:type="dxa"/>
        <w:jc w:val="center"/>
        <w:tblInd w:w="93" w:type="dxa"/>
        <w:tblLook w:val="04A0" w:firstRow="1" w:lastRow="0" w:firstColumn="1" w:lastColumn="0" w:noHBand="0" w:noVBand="1"/>
      </w:tblPr>
      <w:tblGrid>
        <w:gridCol w:w="1360"/>
        <w:gridCol w:w="1000"/>
        <w:gridCol w:w="703"/>
        <w:gridCol w:w="780"/>
        <w:gridCol w:w="720"/>
        <w:gridCol w:w="803"/>
        <w:gridCol w:w="880"/>
        <w:gridCol w:w="760"/>
        <w:gridCol w:w="700"/>
        <w:gridCol w:w="1480"/>
        <w:gridCol w:w="780"/>
      </w:tblGrid>
      <w:tr w:rsidR="00281E5C" w:rsidRPr="00281E5C" w:rsidTr="00281E5C">
        <w:trPr>
          <w:trHeight w:val="150"/>
          <w:jc w:val="center"/>
        </w:trPr>
        <w:tc>
          <w:tcPr>
            <w:tcW w:w="974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1E5C" w:rsidRPr="00281E5C" w:rsidRDefault="00281E5C" w:rsidP="00281E5C">
            <w:pPr>
              <w:jc w:val="center"/>
              <w:rPr>
                <w:b/>
                <w:bCs/>
                <w:color w:val="000000"/>
                <w:sz w:val="12"/>
                <w:szCs w:val="12"/>
              </w:rPr>
            </w:pPr>
            <w:r w:rsidRPr="00281E5C">
              <w:rPr>
                <w:b/>
                <w:bCs/>
                <w:color w:val="000000"/>
                <w:sz w:val="12"/>
                <w:szCs w:val="12"/>
              </w:rPr>
              <w:t>Summary of Dollar Costs</w:t>
            </w:r>
          </w:p>
        </w:tc>
      </w:tr>
      <w:tr w:rsidR="00281E5C" w:rsidRPr="00281E5C" w:rsidTr="00281E5C">
        <w:trPr>
          <w:trHeight w:val="300"/>
          <w:jc w:val="center"/>
        </w:trPr>
        <w:tc>
          <w:tcPr>
            <w:tcW w:w="1360" w:type="dxa"/>
            <w:tcBorders>
              <w:top w:val="nil"/>
              <w:left w:val="single" w:sz="8" w:space="0" w:color="auto"/>
              <w:bottom w:val="single" w:sz="4" w:space="0" w:color="auto"/>
              <w:right w:val="single" w:sz="4" w:space="0" w:color="auto"/>
            </w:tcBorders>
            <w:shd w:val="clear" w:color="000000" w:fill="D9D9D9"/>
            <w:noWrap/>
            <w:vAlign w:val="center"/>
            <w:hideMark/>
          </w:tcPr>
          <w:p w:rsidR="00281E5C" w:rsidRPr="00281E5C" w:rsidRDefault="00281E5C" w:rsidP="00281E5C">
            <w:pPr>
              <w:jc w:val="center"/>
              <w:rPr>
                <w:b/>
                <w:bCs/>
                <w:color w:val="000000"/>
                <w:sz w:val="16"/>
                <w:szCs w:val="16"/>
              </w:rPr>
            </w:pPr>
            <w:r w:rsidRPr="00281E5C">
              <w:rPr>
                <w:b/>
                <w:bCs/>
                <w:color w:val="000000"/>
                <w:sz w:val="16"/>
                <w:szCs w:val="16"/>
              </w:rPr>
              <w:t> </w:t>
            </w:r>
          </w:p>
        </w:tc>
        <w:tc>
          <w:tcPr>
            <w:tcW w:w="100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rFonts w:ascii="Calibri" w:hAnsi="Calibri"/>
                <w:b/>
                <w:bCs/>
                <w:color w:val="000000"/>
                <w:sz w:val="12"/>
                <w:szCs w:val="12"/>
              </w:rPr>
            </w:pPr>
            <w:r w:rsidRPr="00281E5C">
              <w:rPr>
                <w:rFonts w:ascii="Calibri" w:hAnsi="Calibri"/>
                <w:b/>
                <w:bCs/>
                <w:color w:val="000000"/>
                <w:sz w:val="12"/>
                <w:szCs w:val="12"/>
              </w:rPr>
              <w:t> </w:t>
            </w:r>
          </w:p>
        </w:tc>
        <w:tc>
          <w:tcPr>
            <w:tcW w:w="54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A.</w:t>
            </w:r>
          </w:p>
        </w:tc>
        <w:tc>
          <w:tcPr>
            <w:tcW w:w="78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B.</w:t>
            </w:r>
          </w:p>
        </w:tc>
        <w:tc>
          <w:tcPr>
            <w:tcW w:w="72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C.</w:t>
            </w:r>
          </w:p>
        </w:tc>
        <w:tc>
          <w:tcPr>
            <w:tcW w:w="74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 xml:space="preserve">D. </w:t>
            </w:r>
          </w:p>
        </w:tc>
        <w:tc>
          <w:tcPr>
            <w:tcW w:w="88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E.</w:t>
            </w:r>
          </w:p>
        </w:tc>
        <w:tc>
          <w:tcPr>
            <w:tcW w:w="76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F.</w:t>
            </w:r>
          </w:p>
        </w:tc>
        <w:tc>
          <w:tcPr>
            <w:tcW w:w="70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G.</w:t>
            </w:r>
          </w:p>
        </w:tc>
        <w:tc>
          <w:tcPr>
            <w:tcW w:w="1480" w:type="dxa"/>
            <w:tcBorders>
              <w:top w:val="nil"/>
              <w:left w:val="nil"/>
              <w:bottom w:val="single" w:sz="4" w:space="0" w:color="auto"/>
              <w:right w:val="single" w:sz="4" w:space="0" w:color="auto"/>
            </w:tcBorders>
            <w:shd w:val="clear" w:color="000000" w:fill="D9D9D9"/>
            <w:noWrap/>
            <w:vAlign w:val="bottom"/>
            <w:hideMark/>
          </w:tcPr>
          <w:p w:rsidR="00281E5C" w:rsidRPr="00281E5C" w:rsidRDefault="00281E5C" w:rsidP="00281E5C">
            <w:pPr>
              <w:jc w:val="center"/>
              <w:rPr>
                <w:color w:val="FF0000"/>
                <w:sz w:val="12"/>
                <w:szCs w:val="12"/>
              </w:rPr>
            </w:pPr>
            <w:r w:rsidRPr="00281E5C">
              <w:rPr>
                <w:color w:val="FF0000"/>
                <w:sz w:val="12"/>
                <w:szCs w:val="12"/>
              </w:rPr>
              <w:t> </w:t>
            </w:r>
          </w:p>
        </w:tc>
        <w:tc>
          <w:tcPr>
            <w:tcW w:w="780" w:type="dxa"/>
            <w:tcBorders>
              <w:top w:val="nil"/>
              <w:left w:val="nil"/>
              <w:bottom w:val="single" w:sz="4" w:space="0" w:color="auto"/>
              <w:right w:val="single" w:sz="8" w:space="0" w:color="auto"/>
            </w:tcBorders>
            <w:shd w:val="clear" w:color="000000" w:fill="D9D9D9"/>
            <w:noWrap/>
            <w:vAlign w:val="bottom"/>
            <w:hideMark/>
          </w:tcPr>
          <w:p w:rsidR="00281E5C" w:rsidRPr="00281E5C" w:rsidRDefault="00281E5C" w:rsidP="00281E5C">
            <w:pPr>
              <w:rPr>
                <w:rFonts w:ascii="Calibri" w:hAnsi="Calibri"/>
                <w:color w:val="000000"/>
                <w:sz w:val="22"/>
                <w:szCs w:val="22"/>
              </w:rPr>
            </w:pPr>
            <w:r w:rsidRPr="00281E5C">
              <w:rPr>
                <w:rFonts w:ascii="Calibri" w:hAnsi="Calibri"/>
                <w:color w:val="000000"/>
                <w:sz w:val="22"/>
                <w:szCs w:val="22"/>
              </w:rPr>
              <w:t> </w:t>
            </w:r>
          </w:p>
        </w:tc>
      </w:tr>
      <w:tr w:rsidR="00281E5C" w:rsidRPr="00281E5C" w:rsidTr="00281E5C">
        <w:trPr>
          <w:trHeight w:val="825"/>
          <w:jc w:val="center"/>
        </w:trPr>
        <w:tc>
          <w:tcPr>
            <w:tcW w:w="1360" w:type="dxa"/>
            <w:tcBorders>
              <w:top w:val="nil"/>
              <w:left w:val="single" w:sz="8" w:space="0" w:color="auto"/>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Name of Information Collection</w:t>
            </w:r>
          </w:p>
        </w:tc>
        <w:tc>
          <w:tcPr>
            <w:tcW w:w="100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Type of Burden</w:t>
            </w:r>
          </w:p>
        </w:tc>
        <w:tc>
          <w:tcPr>
            <w:tcW w:w="54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Number of Entities Impacted</w:t>
            </w:r>
          </w:p>
        </w:tc>
        <w:tc>
          <w:tcPr>
            <w:tcW w:w="78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Annual Responses per Entity</w:t>
            </w:r>
          </w:p>
        </w:tc>
        <w:tc>
          <w:tcPr>
            <w:tcW w:w="72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Initial Cost per Entity per Response</w:t>
            </w:r>
          </w:p>
        </w:tc>
        <w:tc>
          <w:tcPr>
            <w:tcW w:w="74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Initial Cost Annualized per Entity per Response</w:t>
            </w:r>
          </w:p>
        </w:tc>
        <w:tc>
          <w:tcPr>
            <w:tcW w:w="88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Ongoing Cost per Entity per Response</w:t>
            </w:r>
          </w:p>
        </w:tc>
        <w:tc>
          <w:tcPr>
            <w:tcW w:w="76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Annual Cost Per Entity per Response</w:t>
            </w:r>
          </w:p>
        </w:tc>
        <w:tc>
          <w:tcPr>
            <w:tcW w:w="70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Total Annual Cost Per Entity</w:t>
            </w:r>
          </w:p>
        </w:tc>
        <w:tc>
          <w:tcPr>
            <w:tcW w:w="148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 xml:space="preserve">Total Industry Cost               </w:t>
            </w:r>
          </w:p>
        </w:tc>
        <w:tc>
          <w:tcPr>
            <w:tcW w:w="780" w:type="dxa"/>
            <w:tcBorders>
              <w:top w:val="nil"/>
              <w:left w:val="nil"/>
              <w:bottom w:val="single" w:sz="4" w:space="0" w:color="auto"/>
              <w:right w:val="single" w:sz="8" w:space="0" w:color="auto"/>
            </w:tcBorders>
            <w:shd w:val="clear" w:color="000000" w:fill="D9D9D9"/>
            <w:vAlign w:val="center"/>
            <w:hideMark/>
          </w:tcPr>
          <w:p w:rsidR="00281E5C" w:rsidRPr="00281E5C" w:rsidRDefault="00281E5C" w:rsidP="00281E5C">
            <w:pPr>
              <w:jc w:val="center"/>
              <w:rPr>
                <w:b/>
                <w:bCs/>
                <w:color w:val="000000"/>
                <w:sz w:val="12"/>
                <w:szCs w:val="12"/>
              </w:rPr>
            </w:pPr>
            <w:r w:rsidRPr="00281E5C">
              <w:rPr>
                <w:b/>
                <w:bCs/>
                <w:color w:val="000000"/>
                <w:sz w:val="12"/>
                <w:szCs w:val="12"/>
              </w:rPr>
              <w:t xml:space="preserve"> Small Business Entities Affected</w:t>
            </w:r>
          </w:p>
        </w:tc>
      </w:tr>
      <w:tr w:rsidR="00281E5C" w:rsidRPr="00281E5C" w:rsidTr="00281E5C">
        <w:trPr>
          <w:trHeight w:val="330"/>
          <w:jc w:val="center"/>
        </w:trPr>
        <w:tc>
          <w:tcPr>
            <w:tcW w:w="1360" w:type="dxa"/>
            <w:tcBorders>
              <w:top w:val="nil"/>
              <w:left w:val="single" w:sz="8" w:space="0" w:color="auto"/>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w:t>
            </w:r>
          </w:p>
        </w:tc>
        <w:tc>
          <w:tcPr>
            <w:tcW w:w="100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w:t>
            </w:r>
          </w:p>
        </w:tc>
        <w:tc>
          <w:tcPr>
            <w:tcW w:w="54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w:t>
            </w:r>
          </w:p>
        </w:tc>
        <w:tc>
          <w:tcPr>
            <w:tcW w:w="78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w:t>
            </w:r>
          </w:p>
        </w:tc>
        <w:tc>
          <w:tcPr>
            <w:tcW w:w="72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w:t>
            </w:r>
          </w:p>
        </w:tc>
        <w:tc>
          <w:tcPr>
            <w:tcW w:w="74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[C ÷ 3 years]</w:t>
            </w:r>
          </w:p>
        </w:tc>
        <w:tc>
          <w:tcPr>
            <w:tcW w:w="88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w:t>
            </w:r>
          </w:p>
        </w:tc>
        <w:tc>
          <w:tcPr>
            <w:tcW w:w="76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D + E]</w:t>
            </w:r>
          </w:p>
        </w:tc>
        <w:tc>
          <w:tcPr>
            <w:tcW w:w="70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[F * B]</w:t>
            </w:r>
          </w:p>
        </w:tc>
        <w:tc>
          <w:tcPr>
            <w:tcW w:w="1480" w:type="dxa"/>
            <w:tcBorders>
              <w:top w:val="nil"/>
              <w:left w:val="nil"/>
              <w:bottom w:val="single" w:sz="4" w:space="0" w:color="auto"/>
              <w:right w:val="single" w:sz="4"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 xml:space="preserve">[G * A]  </w:t>
            </w:r>
          </w:p>
        </w:tc>
        <w:tc>
          <w:tcPr>
            <w:tcW w:w="780" w:type="dxa"/>
            <w:tcBorders>
              <w:top w:val="nil"/>
              <w:left w:val="nil"/>
              <w:bottom w:val="single" w:sz="4" w:space="0" w:color="auto"/>
              <w:right w:val="single" w:sz="8" w:space="0" w:color="auto"/>
            </w:tcBorders>
            <w:shd w:val="clear" w:color="000000" w:fill="D9D9D9"/>
            <w:vAlign w:val="center"/>
            <w:hideMark/>
          </w:tcPr>
          <w:p w:rsidR="00281E5C" w:rsidRPr="00281E5C" w:rsidRDefault="00281E5C" w:rsidP="00281E5C">
            <w:pPr>
              <w:jc w:val="center"/>
              <w:rPr>
                <w:color w:val="FF0000"/>
                <w:sz w:val="12"/>
                <w:szCs w:val="12"/>
              </w:rPr>
            </w:pPr>
            <w:r w:rsidRPr="00281E5C">
              <w:rPr>
                <w:color w:val="FF0000"/>
                <w:sz w:val="12"/>
                <w:szCs w:val="12"/>
              </w:rPr>
              <w:t>[A * 0 %]</w:t>
            </w:r>
          </w:p>
        </w:tc>
      </w:tr>
      <w:tr w:rsidR="00281E5C" w:rsidRPr="00281E5C" w:rsidTr="00281E5C">
        <w:trPr>
          <w:trHeight w:val="330"/>
          <w:jc w:val="center"/>
        </w:trPr>
        <w:tc>
          <w:tcPr>
            <w:tcW w:w="1360" w:type="dxa"/>
            <w:tcBorders>
              <w:top w:val="nil"/>
              <w:left w:val="single" w:sz="8" w:space="0" w:color="auto"/>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Rule 17a-5(d)(3): Compliance Report</w:t>
            </w:r>
          </w:p>
        </w:tc>
        <w:tc>
          <w:tcPr>
            <w:tcW w:w="100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Reporting</w:t>
            </w:r>
          </w:p>
        </w:tc>
        <w:tc>
          <w:tcPr>
            <w:tcW w:w="54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203</w:t>
            </w:r>
          </w:p>
        </w:tc>
        <w:tc>
          <w:tcPr>
            <w:tcW w:w="78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1</w:t>
            </w:r>
          </w:p>
        </w:tc>
        <w:tc>
          <w:tcPr>
            <w:tcW w:w="72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$0</w:t>
            </w:r>
          </w:p>
        </w:tc>
        <w:tc>
          <w:tcPr>
            <w:tcW w:w="74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$0</w:t>
            </w:r>
          </w:p>
        </w:tc>
        <w:tc>
          <w:tcPr>
            <w:tcW w:w="88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$150,000</w:t>
            </w:r>
          </w:p>
        </w:tc>
        <w:tc>
          <w:tcPr>
            <w:tcW w:w="76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$150,000</w:t>
            </w:r>
          </w:p>
        </w:tc>
        <w:tc>
          <w:tcPr>
            <w:tcW w:w="70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$150,000</w:t>
            </w:r>
          </w:p>
        </w:tc>
        <w:tc>
          <w:tcPr>
            <w:tcW w:w="148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$30,450,000</w:t>
            </w:r>
          </w:p>
        </w:tc>
        <w:tc>
          <w:tcPr>
            <w:tcW w:w="780" w:type="dxa"/>
            <w:tcBorders>
              <w:top w:val="nil"/>
              <w:left w:val="nil"/>
              <w:bottom w:val="single" w:sz="4" w:space="0" w:color="auto"/>
              <w:right w:val="single" w:sz="8" w:space="0" w:color="auto"/>
            </w:tcBorders>
            <w:shd w:val="clear" w:color="auto" w:fill="auto"/>
            <w:noWrap/>
            <w:vAlign w:val="center"/>
            <w:hideMark/>
          </w:tcPr>
          <w:p w:rsidR="00281E5C" w:rsidRPr="00281E5C" w:rsidRDefault="00281E5C" w:rsidP="00281E5C">
            <w:pPr>
              <w:jc w:val="right"/>
              <w:rPr>
                <w:color w:val="000000"/>
                <w:sz w:val="12"/>
                <w:szCs w:val="12"/>
              </w:rPr>
            </w:pPr>
            <w:r w:rsidRPr="00281E5C">
              <w:rPr>
                <w:color w:val="000000"/>
                <w:sz w:val="12"/>
                <w:szCs w:val="12"/>
              </w:rPr>
              <w:t>0</w:t>
            </w:r>
          </w:p>
        </w:tc>
      </w:tr>
      <w:tr w:rsidR="00281E5C" w:rsidRPr="00281E5C" w:rsidTr="00281E5C">
        <w:trPr>
          <w:trHeight w:val="330"/>
          <w:jc w:val="center"/>
        </w:trPr>
        <w:tc>
          <w:tcPr>
            <w:tcW w:w="1360" w:type="dxa"/>
            <w:tcBorders>
              <w:top w:val="nil"/>
              <w:left w:val="single" w:sz="8" w:space="0" w:color="auto"/>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Rule 17a-5(d)(4): Exemption Report</w:t>
            </w:r>
          </w:p>
        </w:tc>
        <w:tc>
          <w:tcPr>
            <w:tcW w:w="100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Reporting</w:t>
            </w:r>
          </w:p>
        </w:tc>
        <w:tc>
          <w:tcPr>
            <w:tcW w:w="54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4,342</w:t>
            </w:r>
          </w:p>
        </w:tc>
        <w:tc>
          <w:tcPr>
            <w:tcW w:w="78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center"/>
              <w:rPr>
                <w:color w:val="000000"/>
                <w:sz w:val="12"/>
                <w:szCs w:val="12"/>
              </w:rPr>
            </w:pPr>
            <w:r w:rsidRPr="00281E5C">
              <w:rPr>
                <w:color w:val="000000"/>
                <w:sz w:val="12"/>
                <w:szCs w:val="12"/>
              </w:rPr>
              <w:t>1</w:t>
            </w:r>
          </w:p>
        </w:tc>
        <w:tc>
          <w:tcPr>
            <w:tcW w:w="72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$0</w:t>
            </w:r>
          </w:p>
        </w:tc>
        <w:tc>
          <w:tcPr>
            <w:tcW w:w="74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$0</w:t>
            </w:r>
          </w:p>
        </w:tc>
        <w:tc>
          <w:tcPr>
            <w:tcW w:w="88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$3,000</w:t>
            </w:r>
          </w:p>
        </w:tc>
        <w:tc>
          <w:tcPr>
            <w:tcW w:w="76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$3,000</w:t>
            </w:r>
          </w:p>
        </w:tc>
        <w:tc>
          <w:tcPr>
            <w:tcW w:w="70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$3,000</w:t>
            </w:r>
          </w:p>
        </w:tc>
        <w:tc>
          <w:tcPr>
            <w:tcW w:w="1480" w:type="dxa"/>
            <w:tcBorders>
              <w:top w:val="nil"/>
              <w:left w:val="nil"/>
              <w:bottom w:val="single" w:sz="4" w:space="0" w:color="auto"/>
              <w:right w:val="single" w:sz="4" w:space="0" w:color="auto"/>
            </w:tcBorders>
            <w:shd w:val="clear" w:color="auto" w:fill="auto"/>
            <w:vAlign w:val="center"/>
            <w:hideMark/>
          </w:tcPr>
          <w:p w:rsidR="00281E5C" w:rsidRPr="00281E5C" w:rsidRDefault="00281E5C" w:rsidP="00281E5C">
            <w:pPr>
              <w:jc w:val="right"/>
              <w:rPr>
                <w:color w:val="000000"/>
                <w:sz w:val="12"/>
                <w:szCs w:val="12"/>
              </w:rPr>
            </w:pPr>
            <w:r w:rsidRPr="00281E5C">
              <w:rPr>
                <w:color w:val="000000"/>
                <w:sz w:val="12"/>
                <w:szCs w:val="12"/>
              </w:rPr>
              <w:t>$13,026,000</w:t>
            </w:r>
          </w:p>
        </w:tc>
        <w:tc>
          <w:tcPr>
            <w:tcW w:w="780" w:type="dxa"/>
            <w:tcBorders>
              <w:top w:val="nil"/>
              <w:left w:val="nil"/>
              <w:bottom w:val="single" w:sz="4" w:space="0" w:color="auto"/>
              <w:right w:val="single" w:sz="8" w:space="0" w:color="auto"/>
            </w:tcBorders>
            <w:shd w:val="clear" w:color="auto" w:fill="auto"/>
            <w:noWrap/>
            <w:vAlign w:val="center"/>
            <w:hideMark/>
          </w:tcPr>
          <w:p w:rsidR="00281E5C" w:rsidRPr="00281E5C" w:rsidRDefault="00281E5C" w:rsidP="00281E5C">
            <w:pPr>
              <w:jc w:val="right"/>
              <w:rPr>
                <w:color w:val="000000"/>
                <w:sz w:val="12"/>
                <w:szCs w:val="12"/>
              </w:rPr>
            </w:pPr>
            <w:r w:rsidRPr="00281E5C">
              <w:rPr>
                <w:color w:val="000000"/>
                <w:sz w:val="12"/>
                <w:szCs w:val="12"/>
              </w:rPr>
              <w:t>1,508</w:t>
            </w:r>
          </w:p>
        </w:tc>
      </w:tr>
      <w:tr w:rsidR="00281E5C" w:rsidRPr="00281E5C" w:rsidTr="00281E5C">
        <w:trPr>
          <w:trHeight w:val="180"/>
          <w:jc w:val="center"/>
        </w:trPr>
        <w:tc>
          <w:tcPr>
            <w:tcW w:w="6780" w:type="dxa"/>
            <w:gridSpan w:val="8"/>
            <w:tcBorders>
              <w:top w:val="single" w:sz="4" w:space="0" w:color="auto"/>
              <w:left w:val="single" w:sz="8" w:space="0" w:color="auto"/>
              <w:bottom w:val="single" w:sz="8" w:space="0" w:color="auto"/>
              <w:right w:val="single" w:sz="4" w:space="0" w:color="auto"/>
            </w:tcBorders>
            <w:shd w:val="clear" w:color="auto" w:fill="auto"/>
            <w:vAlign w:val="center"/>
            <w:hideMark/>
          </w:tcPr>
          <w:p w:rsidR="00281E5C" w:rsidRPr="00281E5C" w:rsidRDefault="00281E5C" w:rsidP="00281E5C">
            <w:pPr>
              <w:jc w:val="right"/>
              <w:rPr>
                <w:b/>
                <w:bCs/>
                <w:color w:val="000000"/>
                <w:sz w:val="12"/>
                <w:szCs w:val="12"/>
              </w:rPr>
            </w:pPr>
            <w:r w:rsidRPr="00281E5C">
              <w:rPr>
                <w:b/>
                <w:bCs/>
                <w:color w:val="000000"/>
                <w:sz w:val="12"/>
                <w:szCs w:val="12"/>
              </w:rPr>
              <w:t xml:space="preserve">TOTAL COST FOR ALL RESPONDENTS </w:t>
            </w:r>
          </w:p>
        </w:tc>
        <w:tc>
          <w:tcPr>
            <w:tcW w:w="700" w:type="dxa"/>
            <w:tcBorders>
              <w:top w:val="nil"/>
              <w:left w:val="nil"/>
              <w:bottom w:val="single" w:sz="8" w:space="0" w:color="auto"/>
              <w:right w:val="single" w:sz="4" w:space="0" w:color="auto"/>
            </w:tcBorders>
            <w:shd w:val="clear" w:color="auto" w:fill="auto"/>
            <w:vAlign w:val="center"/>
            <w:hideMark/>
          </w:tcPr>
          <w:p w:rsidR="00281E5C" w:rsidRPr="00281E5C" w:rsidRDefault="00281E5C" w:rsidP="00281E5C">
            <w:pPr>
              <w:jc w:val="right"/>
              <w:rPr>
                <w:b/>
                <w:bCs/>
                <w:color w:val="000000"/>
                <w:sz w:val="12"/>
                <w:szCs w:val="12"/>
              </w:rPr>
            </w:pPr>
            <w:r w:rsidRPr="00281E5C">
              <w:rPr>
                <w:b/>
                <w:bCs/>
                <w:color w:val="000000"/>
                <w:sz w:val="12"/>
                <w:szCs w:val="12"/>
              </w:rPr>
              <w:t> </w:t>
            </w:r>
          </w:p>
        </w:tc>
        <w:tc>
          <w:tcPr>
            <w:tcW w:w="1480" w:type="dxa"/>
            <w:tcBorders>
              <w:top w:val="nil"/>
              <w:left w:val="nil"/>
              <w:bottom w:val="single" w:sz="8" w:space="0" w:color="auto"/>
              <w:right w:val="single" w:sz="4" w:space="0" w:color="auto"/>
            </w:tcBorders>
            <w:shd w:val="clear" w:color="auto" w:fill="auto"/>
            <w:vAlign w:val="center"/>
            <w:hideMark/>
          </w:tcPr>
          <w:p w:rsidR="00281E5C" w:rsidRPr="00281E5C" w:rsidRDefault="00281E5C" w:rsidP="00281E5C">
            <w:pPr>
              <w:jc w:val="right"/>
              <w:rPr>
                <w:b/>
                <w:bCs/>
                <w:color w:val="000000"/>
                <w:sz w:val="12"/>
                <w:szCs w:val="12"/>
              </w:rPr>
            </w:pPr>
            <w:r w:rsidRPr="00281E5C">
              <w:rPr>
                <w:b/>
                <w:bCs/>
                <w:color w:val="000000"/>
                <w:sz w:val="12"/>
                <w:szCs w:val="12"/>
              </w:rPr>
              <w:t>$43,476,000.00</w:t>
            </w:r>
          </w:p>
        </w:tc>
        <w:tc>
          <w:tcPr>
            <w:tcW w:w="780" w:type="dxa"/>
            <w:tcBorders>
              <w:top w:val="nil"/>
              <w:left w:val="nil"/>
              <w:bottom w:val="single" w:sz="8" w:space="0" w:color="auto"/>
              <w:right w:val="single" w:sz="8" w:space="0" w:color="auto"/>
            </w:tcBorders>
            <w:shd w:val="clear" w:color="auto" w:fill="auto"/>
            <w:vAlign w:val="center"/>
            <w:hideMark/>
          </w:tcPr>
          <w:p w:rsidR="00281E5C" w:rsidRPr="00281E5C" w:rsidRDefault="00281E5C" w:rsidP="00281E5C">
            <w:pPr>
              <w:jc w:val="right"/>
              <w:rPr>
                <w:b/>
                <w:bCs/>
                <w:color w:val="000000"/>
                <w:sz w:val="12"/>
                <w:szCs w:val="12"/>
              </w:rPr>
            </w:pPr>
            <w:r w:rsidRPr="00281E5C">
              <w:rPr>
                <w:b/>
                <w:bCs/>
                <w:color w:val="000000"/>
                <w:sz w:val="12"/>
                <w:szCs w:val="12"/>
              </w:rPr>
              <w:t> </w:t>
            </w:r>
          </w:p>
        </w:tc>
      </w:tr>
    </w:tbl>
    <w:p w:rsidR="00415FB1" w:rsidRPr="00591431" w:rsidRDefault="00415FB1" w:rsidP="00490EA4">
      <w:pPr>
        <w:ind w:firstLine="720"/>
      </w:pPr>
    </w:p>
    <w:p w:rsidR="00B9414A" w:rsidRPr="00205696" w:rsidRDefault="00B9414A" w:rsidP="00B9414A">
      <w:pPr>
        <w:keepNext/>
        <w:spacing w:after="240"/>
        <w:ind w:firstLine="720"/>
        <w:rPr>
          <w:b/>
        </w:rPr>
      </w:pPr>
      <w:r w:rsidRPr="00205696">
        <w:rPr>
          <w:b/>
        </w:rPr>
        <w:t>14.</w:t>
      </w:r>
      <w:r w:rsidRPr="00205696">
        <w:rPr>
          <w:b/>
        </w:rPr>
        <w:tab/>
        <w:t>Cost to Federal Government</w:t>
      </w:r>
    </w:p>
    <w:p w:rsidR="00B9414A" w:rsidRPr="00205696" w:rsidRDefault="00741BAC" w:rsidP="00B9414A">
      <w:pPr>
        <w:pStyle w:val="BodyText"/>
        <w:spacing w:after="240"/>
        <w:ind w:firstLine="720"/>
        <w:rPr>
          <w:rFonts w:ascii="Times New Roman" w:hAnsi="Times New Roman"/>
          <w:szCs w:val="24"/>
        </w:rPr>
      </w:pPr>
      <w:r>
        <w:rPr>
          <w:rFonts w:ascii="Times New Roman" w:hAnsi="Times New Roman"/>
        </w:rPr>
        <w:t>Rule 17a-5 is not expected to result in costs to the federal government due to contracting, information technology, development, hiring one or more new employees, or reallocating existing employees.</w:t>
      </w:r>
    </w:p>
    <w:p w:rsidR="00B9414A" w:rsidRPr="00205696" w:rsidRDefault="00B9414A" w:rsidP="00B9414A">
      <w:pPr>
        <w:keepNext/>
        <w:spacing w:after="240"/>
        <w:ind w:firstLine="720"/>
        <w:rPr>
          <w:b/>
        </w:rPr>
      </w:pPr>
      <w:r w:rsidRPr="00205696">
        <w:rPr>
          <w:b/>
        </w:rPr>
        <w:lastRenderedPageBreak/>
        <w:t>15.</w:t>
      </w:r>
      <w:r w:rsidRPr="00205696">
        <w:rPr>
          <w:b/>
        </w:rPr>
        <w:tab/>
        <w:t>Changes in Burden</w:t>
      </w:r>
    </w:p>
    <w:p w:rsidR="00B9414A" w:rsidRPr="00205696" w:rsidRDefault="00B9414A" w:rsidP="00B9414A">
      <w:pPr>
        <w:spacing w:after="240"/>
        <w:ind w:firstLine="720"/>
        <w:rPr>
          <w:bCs/>
        </w:rPr>
      </w:pPr>
      <w:r w:rsidRPr="008036C7">
        <w:rPr>
          <w:bCs/>
        </w:rPr>
        <w:t xml:space="preserve">The annual ongoing hour burden of </w:t>
      </w:r>
      <w:r w:rsidR="003C595B">
        <w:t>3</w:t>
      </w:r>
      <w:r w:rsidR="002276B4">
        <w:t>93,572</w:t>
      </w:r>
      <w:r w:rsidR="00547495" w:rsidRPr="00547495">
        <w:rPr>
          <w:bCs/>
        </w:rPr>
        <w:t xml:space="preserve"> </w:t>
      </w:r>
      <w:r w:rsidRPr="008036C7">
        <w:t xml:space="preserve">hours </w:t>
      </w:r>
      <w:r w:rsidRPr="008036C7">
        <w:rPr>
          <w:bCs/>
        </w:rPr>
        <w:t xml:space="preserve">reflects a </w:t>
      </w:r>
      <w:r w:rsidR="002276B4">
        <w:rPr>
          <w:bCs/>
        </w:rPr>
        <w:t>8,432</w:t>
      </w:r>
      <w:r w:rsidRPr="008036C7">
        <w:rPr>
          <w:bCs/>
        </w:rPr>
        <w:t xml:space="preserve"> hour </w:t>
      </w:r>
      <w:r w:rsidR="002276B4">
        <w:rPr>
          <w:bCs/>
        </w:rPr>
        <w:t>increase</w:t>
      </w:r>
      <w:bookmarkStart w:id="2" w:name="_GoBack"/>
      <w:bookmarkEnd w:id="2"/>
      <w:r w:rsidRPr="008036C7">
        <w:rPr>
          <w:bCs/>
        </w:rPr>
        <w:t xml:space="preserve"> </w:t>
      </w:r>
      <w:r w:rsidR="006F4BDE" w:rsidRPr="008036C7">
        <w:rPr>
          <w:bCs/>
        </w:rPr>
        <w:t xml:space="preserve">from </w:t>
      </w:r>
      <w:r w:rsidRPr="008036C7">
        <w:rPr>
          <w:bCs/>
        </w:rPr>
        <w:t xml:space="preserve">the current OMB inventory of </w:t>
      </w:r>
      <w:r w:rsidR="006F4BDE" w:rsidRPr="008036C7">
        <w:rPr>
          <w:bCs/>
        </w:rPr>
        <w:t>3</w:t>
      </w:r>
      <w:r w:rsidR="003C595B">
        <w:rPr>
          <w:bCs/>
        </w:rPr>
        <w:t>85,140</w:t>
      </w:r>
      <w:r w:rsidRPr="008036C7">
        <w:t xml:space="preserve"> </w:t>
      </w:r>
      <w:r w:rsidRPr="008036C7">
        <w:rPr>
          <w:bCs/>
        </w:rPr>
        <w:t xml:space="preserve">hours.  This change incorporates a decrease in the number of respondents, </w:t>
      </w:r>
      <w:r w:rsidR="003C595B">
        <w:rPr>
          <w:bCs/>
        </w:rPr>
        <w:t xml:space="preserve">and an increase in the number of hours </w:t>
      </w:r>
      <w:r w:rsidRPr="008036C7">
        <w:t xml:space="preserve">attributable to </w:t>
      </w:r>
      <w:r w:rsidR="00334BD2" w:rsidRPr="008036C7">
        <w:t xml:space="preserve">the </w:t>
      </w:r>
      <w:r w:rsidR="00237FBD">
        <w:t xml:space="preserve">proposed </w:t>
      </w:r>
      <w:r w:rsidR="00334BD2" w:rsidRPr="008036C7">
        <w:t>amendments to Rule 17a-5 described in the SBS Recordkeeping Release</w:t>
      </w:r>
      <w:r w:rsidRPr="008036C7">
        <w:rPr>
          <w:bCs/>
        </w:rPr>
        <w:t>.</w:t>
      </w:r>
      <w:r w:rsidRPr="00205696">
        <w:rPr>
          <w:bCs/>
        </w:rPr>
        <w:t xml:space="preserve"> </w:t>
      </w:r>
    </w:p>
    <w:p w:rsidR="00B9414A" w:rsidRPr="00591431" w:rsidRDefault="00B9414A" w:rsidP="00B9414A">
      <w:pPr>
        <w:spacing w:after="240"/>
        <w:ind w:firstLine="720"/>
      </w:pPr>
      <w:r w:rsidRPr="00CA1CDB">
        <w:rPr>
          <w:bCs/>
        </w:rPr>
        <w:t>The annual cost burden of</w:t>
      </w:r>
      <w:r w:rsidR="00426019" w:rsidRPr="00CA1CDB">
        <w:rPr>
          <w:bCs/>
        </w:rPr>
        <w:t xml:space="preserve"> $</w:t>
      </w:r>
      <w:r w:rsidR="007C6554" w:rsidRPr="00CA1CDB">
        <w:t>4</w:t>
      </w:r>
      <w:r w:rsidR="00CA1CDB" w:rsidRPr="00CA1CDB">
        <w:t>3,476,000</w:t>
      </w:r>
      <w:r w:rsidR="00EE054E" w:rsidRPr="00CA1CDB">
        <w:t xml:space="preserve"> </w:t>
      </w:r>
      <w:r w:rsidR="00426019" w:rsidRPr="00CA1CDB">
        <w:rPr>
          <w:bCs/>
        </w:rPr>
        <w:t>is</w:t>
      </w:r>
      <w:r w:rsidRPr="00CA1CDB">
        <w:rPr>
          <w:bCs/>
        </w:rPr>
        <w:t xml:space="preserve"> </w:t>
      </w:r>
      <w:r w:rsidR="00797999" w:rsidRPr="00CA1CDB">
        <w:rPr>
          <w:bCs/>
        </w:rPr>
        <w:t>$</w:t>
      </w:r>
      <w:r w:rsidR="00CA1CDB" w:rsidRPr="00CA1CDB">
        <w:rPr>
          <w:bCs/>
        </w:rPr>
        <w:t>13,575,000</w:t>
      </w:r>
      <w:r w:rsidRPr="00CA1CDB">
        <w:t xml:space="preserve"> </w:t>
      </w:r>
      <w:r w:rsidR="00797999" w:rsidRPr="00CA1CDB">
        <w:t>lower</w:t>
      </w:r>
      <w:r w:rsidRPr="00CA1CDB">
        <w:rPr>
          <w:bCs/>
        </w:rPr>
        <w:t xml:space="preserve"> than the current OMB inventory of $</w:t>
      </w:r>
      <w:r w:rsidR="00426019" w:rsidRPr="00CA1CDB">
        <w:rPr>
          <w:bCs/>
        </w:rPr>
        <w:t>57,051,000</w:t>
      </w:r>
      <w:r w:rsidRPr="00CA1CDB">
        <w:rPr>
          <w:bCs/>
        </w:rPr>
        <w:t xml:space="preserve">.  This </w:t>
      </w:r>
      <w:r w:rsidR="00387E6E" w:rsidRPr="00CA1CDB">
        <w:rPr>
          <w:bCs/>
        </w:rPr>
        <w:t>decreased</w:t>
      </w:r>
      <w:r w:rsidR="006853A3" w:rsidRPr="00CA1CDB">
        <w:rPr>
          <w:bCs/>
        </w:rPr>
        <w:t xml:space="preserve"> </w:t>
      </w:r>
      <w:r w:rsidRPr="00CA1CDB">
        <w:rPr>
          <w:bCs/>
        </w:rPr>
        <w:t xml:space="preserve">cost estimate reflects </w:t>
      </w:r>
      <w:r w:rsidR="00BE43CA" w:rsidRPr="00CA1CDB">
        <w:rPr>
          <w:bCs/>
        </w:rPr>
        <w:t>a decrease</w:t>
      </w:r>
      <w:r w:rsidR="00426019" w:rsidRPr="00CA1CDB">
        <w:rPr>
          <w:bCs/>
        </w:rPr>
        <w:t xml:space="preserve"> in the number of carrying broker-dealers, from 292 to </w:t>
      </w:r>
      <w:r w:rsidR="00797999" w:rsidRPr="00CA1CDB">
        <w:t>20</w:t>
      </w:r>
      <w:r w:rsidR="00CA1CDB" w:rsidRPr="00CA1CDB">
        <w:t>3</w:t>
      </w:r>
      <w:r w:rsidR="00426019" w:rsidRPr="00CA1CDB">
        <w:rPr>
          <w:bCs/>
        </w:rPr>
        <w:t xml:space="preserve"> carrying broker-dealers, and a decrease in the number of non-carrying broker-dealers from 4,417 to </w:t>
      </w:r>
      <w:r w:rsidR="00D96735">
        <w:rPr>
          <w:bCs/>
        </w:rPr>
        <w:t>4</w:t>
      </w:r>
      <w:r w:rsidR="00BE43CA" w:rsidRPr="00CA1CDB">
        <w:rPr>
          <w:bCs/>
        </w:rPr>
        <w:t>,</w:t>
      </w:r>
      <w:r w:rsidR="00CA1CDB" w:rsidRPr="00CA1CDB">
        <w:rPr>
          <w:bCs/>
        </w:rPr>
        <w:t>342</w:t>
      </w:r>
      <w:r w:rsidRPr="00CA1CDB">
        <w:rPr>
          <w:bCs/>
        </w:rPr>
        <w:t>.</w:t>
      </w:r>
    </w:p>
    <w:p w:rsidR="00B9414A" w:rsidRPr="00205696" w:rsidRDefault="00B9414A" w:rsidP="00B9414A">
      <w:pPr>
        <w:keepNext/>
        <w:spacing w:after="240"/>
        <w:ind w:firstLine="720"/>
        <w:rPr>
          <w:b/>
        </w:rPr>
      </w:pPr>
      <w:r w:rsidRPr="00205696">
        <w:rPr>
          <w:b/>
        </w:rPr>
        <w:t>16.</w:t>
      </w:r>
      <w:r w:rsidRPr="00205696">
        <w:rPr>
          <w:b/>
        </w:rPr>
        <w:tab/>
        <w:t>Information Collection Planned for Statistical Purposes</w:t>
      </w:r>
    </w:p>
    <w:p w:rsidR="00B9414A" w:rsidRPr="00205696" w:rsidRDefault="00B9414A" w:rsidP="00B9414A">
      <w:pPr>
        <w:pStyle w:val="BodyText"/>
        <w:spacing w:after="240"/>
        <w:ind w:firstLine="720"/>
        <w:rPr>
          <w:rFonts w:ascii="Times New Roman" w:hAnsi="Times New Roman"/>
          <w:szCs w:val="24"/>
        </w:rPr>
      </w:pPr>
      <w:r w:rsidRPr="00205696">
        <w:rPr>
          <w:rFonts w:ascii="Times New Roman" w:hAnsi="Times New Roman"/>
          <w:szCs w:val="24"/>
        </w:rPr>
        <w:t>Not applicable.  The information collection is not used for statistical purposes.</w:t>
      </w:r>
    </w:p>
    <w:p w:rsidR="00B9414A" w:rsidRPr="00205696" w:rsidRDefault="00B9414A" w:rsidP="00B9414A">
      <w:pPr>
        <w:keepNext/>
        <w:spacing w:after="240"/>
        <w:ind w:firstLine="720"/>
        <w:rPr>
          <w:b/>
        </w:rPr>
      </w:pPr>
      <w:r w:rsidRPr="00205696">
        <w:rPr>
          <w:b/>
        </w:rPr>
        <w:t>17.</w:t>
      </w:r>
      <w:r w:rsidRPr="00205696">
        <w:rPr>
          <w:b/>
        </w:rPr>
        <w:tab/>
        <w:t>OMB Expiration Date Display Approval</w:t>
      </w:r>
    </w:p>
    <w:p w:rsidR="00B9414A" w:rsidRPr="00205696" w:rsidRDefault="00F33C68" w:rsidP="00B9414A">
      <w:pPr>
        <w:spacing w:after="240"/>
        <w:ind w:firstLine="720"/>
      </w:pPr>
      <w:r>
        <w:t>We request authorization to omit the expiration date on the electronic version of the forms, although the OMB control number will be displayed</w:t>
      </w:r>
      <w:r w:rsidR="003407AC" w:rsidRPr="00C1552C">
        <w:t>.</w:t>
      </w:r>
      <w:r>
        <w:t xml:space="preserve">  Including the expiration date on the electronic version of the forms will result in increased costs, because the need to make changes to the forms may not follow the application’s scheduled version release dates.</w:t>
      </w:r>
    </w:p>
    <w:p w:rsidR="00B9414A" w:rsidRPr="00205696" w:rsidRDefault="00B9414A" w:rsidP="00B9414A">
      <w:pPr>
        <w:keepNext/>
        <w:spacing w:after="240"/>
        <w:ind w:firstLine="720"/>
        <w:rPr>
          <w:b/>
        </w:rPr>
      </w:pPr>
      <w:r w:rsidRPr="00205696">
        <w:rPr>
          <w:b/>
        </w:rPr>
        <w:t>18.</w:t>
      </w:r>
      <w:r w:rsidRPr="00205696">
        <w:rPr>
          <w:b/>
        </w:rPr>
        <w:tab/>
        <w:t>Exceptions to Certification for Paperwork Reduction Act Submissions</w:t>
      </w:r>
    </w:p>
    <w:p w:rsidR="00B9414A" w:rsidRPr="00205696" w:rsidRDefault="00B9414A" w:rsidP="00B9414A">
      <w:pPr>
        <w:spacing w:after="240"/>
        <w:ind w:firstLine="720"/>
      </w:pPr>
      <w:r w:rsidRPr="00205696">
        <w:t>This collection complies with the requirements in 5 CFR 1320.9.</w:t>
      </w:r>
    </w:p>
    <w:p w:rsidR="00B9414A" w:rsidRPr="00205696" w:rsidRDefault="00B9414A" w:rsidP="00B9414A">
      <w:pPr>
        <w:keepNext/>
        <w:spacing w:after="240"/>
        <w:rPr>
          <w:b/>
          <w:caps/>
        </w:rPr>
      </w:pPr>
      <w:r w:rsidRPr="00205696">
        <w:rPr>
          <w:b/>
          <w:caps/>
        </w:rPr>
        <w:t>B.</w:t>
      </w:r>
      <w:r w:rsidRPr="00205696">
        <w:rPr>
          <w:b/>
          <w:caps/>
        </w:rPr>
        <w:tab/>
        <w:t>Collections of Information Employing Statistical Methods</w:t>
      </w:r>
    </w:p>
    <w:p w:rsidR="00B9414A" w:rsidRPr="00205696" w:rsidRDefault="00B9414A" w:rsidP="00B9414A">
      <w:pPr>
        <w:pStyle w:val="BodyTextIndent3"/>
        <w:spacing w:after="240"/>
        <w:rPr>
          <w:rFonts w:ascii="Times New Roman" w:hAnsi="Times New Roman"/>
        </w:rPr>
      </w:pPr>
      <w:r w:rsidRPr="00205696">
        <w:rPr>
          <w:rFonts w:ascii="Times New Roman" w:hAnsi="Times New Roman"/>
        </w:rPr>
        <w:t>This collection does not involve statistical methods.</w:t>
      </w:r>
    </w:p>
    <w:p w:rsidR="00D8187C" w:rsidRDefault="00D8187C"/>
    <w:sectPr w:rsidR="00D8187C">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8C6" w:rsidRDefault="00A768C6" w:rsidP="00B9414A">
      <w:r>
        <w:separator/>
      </w:r>
    </w:p>
  </w:endnote>
  <w:endnote w:type="continuationSeparator" w:id="0">
    <w:p w:rsidR="00A768C6" w:rsidRDefault="00A768C6" w:rsidP="00B9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DB" w:rsidRDefault="001A5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54DB" w:rsidRDefault="001A54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80745"/>
      <w:docPartObj>
        <w:docPartGallery w:val="Page Numbers (Bottom of Page)"/>
        <w:docPartUnique/>
      </w:docPartObj>
    </w:sdtPr>
    <w:sdtEndPr>
      <w:rPr>
        <w:noProof/>
      </w:rPr>
    </w:sdtEndPr>
    <w:sdtContent>
      <w:p w:rsidR="001A54DB" w:rsidRDefault="001A54DB">
        <w:pPr>
          <w:pStyle w:val="Footer"/>
          <w:jc w:val="center"/>
        </w:pPr>
        <w:r>
          <w:fldChar w:fldCharType="begin"/>
        </w:r>
        <w:r>
          <w:instrText xml:space="preserve"> PAGE   \* MERGEFORMAT </w:instrText>
        </w:r>
        <w:r>
          <w:fldChar w:fldCharType="separate"/>
        </w:r>
        <w:r w:rsidR="002276B4">
          <w:rPr>
            <w:noProof/>
          </w:rPr>
          <w:t>16</w:t>
        </w:r>
        <w:r>
          <w:rPr>
            <w:noProof/>
          </w:rPr>
          <w:fldChar w:fldCharType="end"/>
        </w:r>
      </w:p>
    </w:sdtContent>
  </w:sdt>
  <w:p w:rsidR="001A54DB" w:rsidRDefault="001A54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8C6" w:rsidRDefault="00A768C6" w:rsidP="00B9414A">
      <w:r>
        <w:separator/>
      </w:r>
    </w:p>
  </w:footnote>
  <w:footnote w:type="continuationSeparator" w:id="0">
    <w:p w:rsidR="00A768C6" w:rsidRDefault="00A768C6" w:rsidP="00B9414A">
      <w:r>
        <w:continuationSeparator/>
      </w:r>
    </w:p>
  </w:footnote>
  <w:footnote w:id="1">
    <w:p w:rsidR="001A54DB" w:rsidRPr="00FD60D1" w:rsidRDefault="001A54DB" w:rsidP="003A6C71">
      <w:pPr>
        <w:pStyle w:val="FootnoteText"/>
        <w:spacing w:after="120"/>
        <w:ind w:left="720" w:hanging="720"/>
      </w:pPr>
      <w:r w:rsidRPr="00FD60D1">
        <w:rPr>
          <w:vertAlign w:val="superscript"/>
        </w:rPr>
        <w:footnoteRef/>
      </w:r>
      <w:r w:rsidRPr="00FD60D1">
        <w:tab/>
      </w:r>
      <w:r w:rsidRPr="00FD60D1">
        <w:rPr>
          <w:i/>
        </w:rPr>
        <w:t xml:space="preserve">See </w:t>
      </w:r>
      <w:r w:rsidRPr="00FD60D1">
        <w:t>15 U.S.C. § 78q(a)(1).</w:t>
      </w:r>
    </w:p>
  </w:footnote>
  <w:footnote w:id="2">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15 U.S.C. § 78q(e)(1)(A).</w:t>
      </w:r>
    </w:p>
  </w:footnote>
  <w:footnote w:id="3">
    <w:p w:rsidR="001A54DB" w:rsidRPr="00FD60D1" w:rsidRDefault="001A54DB" w:rsidP="003A6C71">
      <w:pPr>
        <w:pStyle w:val="FootnoteText"/>
        <w:spacing w:after="120"/>
      </w:pPr>
      <w:r w:rsidRPr="00FD60D1">
        <w:rPr>
          <w:rStyle w:val="FootnoteReference"/>
        </w:rPr>
        <w:footnoteRef/>
      </w:r>
      <w:r w:rsidRPr="00FD60D1">
        <w:t xml:space="preserve"> </w:t>
      </w:r>
      <w:r w:rsidRPr="00FD60D1">
        <w:tab/>
        <w:t>Section 2(a)(12) of the Sarbanes-Oxley Act of 2002 (Pub. L. No. 107-204).</w:t>
      </w:r>
    </w:p>
  </w:footnote>
  <w:footnote w:id="4">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15 U.S.C. § 78q(e)(2).</w:t>
      </w:r>
    </w:p>
  </w:footnote>
  <w:footnote w:id="5">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17 CFR 240.17a-5.</w:t>
      </w:r>
    </w:p>
  </w:footnote>
  <w:footnote w:id="6">
    <w:p w:rsidR="001A54DB" w:rsidRPr="00FD60D1" w:rsidRDefault="001A54DB" w:rsidP="003A6C71">
      <w:pPr>
        <w:pStyle w:val="FootnoteText"/>
        <w:spacing w:after="120"/>
      </w:pPr>
      <w:r w:rsidRPr="00FD60D1">
        <w:rPr>
          <w:rStyle w:val="FootnoteReference"/>
        </w:rPr>
        <w:footnoteRef/>
      </w:r>
      <w:r w:rsidRPr="00FD60D1">
        <w:t xml:space="preserve"> </w:t>
      </w:r>
      <w:r w:rsidRPr="00FD60D1">
        <w:tab/>
        <w:t>The Office of Management and Budget (“OMB”) Control Number for Rule 17a-5 is 3235-0123.</w:t>
      </w:r>
    </w:p>
  </w:footnote>
  <w:footnote w:id="7">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17 CFR 249.617.</w:t>
      </w:r>
    </w:p>
  </w:footnote>
  <w:footnote w:id="8">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 xml:space="preserve">In practice, broker-dealers are no longer required to file Part I of the FOCUS Report.  </w:t>
      </w:r>
      <w:r w:rsidRPr="00FD60D1">
        <w:rPr>
          <w:i/>
        </w:rPr>
        <w:t>See</w:t>
      </w:r>
      <w:r>
        <w:t xml:space="preserve"> 17 CFR 240.17a</w:t>
      </w:r>
      <w:r>
        <w:noBreakHyphen/>
      </w:r>
      <w:r w:rsidRPr="00FD60D1">
        <w:t>5(a)(4).</w:t>
      </w:r>
    </w:p>
  </w:footnote>
  <w:footnote w:id="9">
    <w:p w:rsidR="001A54DB" w:rsidRPr="00FD60D1" w:rsidRDefault="001A54DB" w:rsidP="003A6C71">
      <w:pPr>
        <w:pStyle w:val="FootnoteText"/>
        <w:spacing w:after="120"/>
        <w:ind w:left="720" w:hanging="720"/>
        <w:rPr>
          <w:b/>
        </w:rPr>
      </w:pPr>
      <w:r w:rsidRPr="00FD60D1">
        <w:rPr>
          <w:rStyle w:val="FootnoteReference"/>
        </w:rPr>
        <w:footnoteRef/>
      </w:r>
      <w:r w:rsidRPr="00FD60D1">
        <w:t xml:space="preserve"> </w:t>
      </w:r>
      <w:r w:rsidRPr="00FD60D1">
        <w:tab/>
        <w:t>These quarterly reports must be filed within 17 business days after the end of each calendar quarter and within 17 days after the end of the fiscal year of the broker-dealer if that date is not the end of a calendar quarter.  However, if a broker-dealer ceases to be a member in good standing of a national securities exchange or registered national securities association, paragraph (b) of Rule 17a-5 requires the broker-dealer to file its final applicable report within two business days after the broker-dealer ceases to be a member in good standing of such exchange or association, subject to certain exceptions.</w:t>
      </w:r>
    </w:p>
  </w:footnote>
  <w:footnote w:id="10">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 xml:space="preserve">See </w:t>
      </w:r>
      <w:r w:rsidRPr="00FD60D1">
        <w:t xml:space="preserve">17 CFR 240.17a-5(c).  Paragraph (c) of Rule 17a-5 is subject to a separate Paperwork Reduction Act filing (OMB Control Number 3235-0199). </w:t>
      </w:r>
    </w:p>
  </w:footnote>
  <w:footnote w:id="11">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17 CFR 240.17a-5(d).</w:t>
      </w:r>
    </w:p>
  </w:footnote>
  <w:footnote w:id="12">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17 CFR 240.17a-5(h).</w:t>
      </w:r>
    </w:p>
  </w:footnote>
  <w:footnote w:id="13">
    <w:p w:rsidR="001A54DB" w:rsidRPr="00FD60D1" w:rsidRDefault="001A54DB" w:rsidP="003A6C71">
      <w:pPr>
        <w:pStyle w:val="FootnoteText"/>
        <w:spacing w:after="120"/>
        <w:rPr>
          <w:lang w:val="es-ES"/>
        </w:rPr>
      </w:pPr>
      <w:r w:rsidRPr="00FD60D1">
        <w:rPr>
          <w:rStyle w:val="FootnoteReference"/>
        </w:rPr>
        <w:footnoteRef/>
      </w:r>
      <w:r w:rsidRPr="00FD60D1">
        <w:rPr>
          <w:lang w:val="es-ES"/>
        </w:rPr>
        <w:t xml:space="preserve"> </w:t>
      </w:r>
      <w:r w:rsidRPr="00FD60D1">
        <w:rPr>
          <w:lang w:val="es-ES"/>
        </w:rPr>
        <w:tab/>
      </w:r>
      <w:r w:rsidRPr="00FD60D1">
        <w:rPr>
          <w:i/>
        </w:rPr>
        <w:t xml:space="preserve">See </w:t>
      </w:r>
      <w:r w:rsidRPr="00FD60D1">
        <w:rPr>
          <w:lang w:val="es-ES"/>
        </w:rPr>
        <w:t>17 CFR 240.17a-5(k); 17 CFR 240.15c3-1e.</w:t>
      </w:r>
    </w:p>
  </w:footnote>
  <w:footnote w:id="14">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 xml:space="preserve">See </w:t>
      </w:r>
      <w:r w:rsidRPr="00FD60D1">
        <w:t>17 CFR 240.17a-5(p); 17 CFR 240.17a-12.</w:t>
      </w:r>
    </w:p>
  </w:footnote>
  <w:footnote w:id="15">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See Recordkeeping and Reporting Requirements for Security-Based Swap Dealers, Major Security-Based Swap Participants, and Broker-Dealers; Capital Rule for Certain Security-Based Swap Dealers; Proposed Rule</w:t>
      </w:r>
      <w:r>
        <w:rPr>
          <w:i/>
        </w:rPr>
        <w:t>s</w:t>
      </w:r>
      <w:r>
        <w:t xml:space="preserve"> (“</w:t>
      </w:r>
      <w:r>
        <w:rPr>
          <w:i/>
        </w:rPr>
        <w:t>SBS Recordkeeping Release”)</w:t>
      </w:r>
      <w:r w:rsidRPr="00FD60D1">
        <w:t xml:space="preserve"> Exchange Act Release No. 71</w:t>
      </w:r>
      <w:r>
        <w:t>958 (Apr. 17, 2014), 79 FR 25193</w:t>
      </w:r>
      <w:r w:rsidRPr="00FD60D1">
        <w:t xml:space="preserve"> (May 2, 2014).  </w:t>
      </w:r>
    </w:p>
  </w:footnote>
  <w:footnote w:id="16">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 xml:space="preserve">Section 764 of the Dodd-Frank Wall Street Reform and Consumer Protection Act (the “Dodd-Frank Act”) added Section 15F to the Exchange Act.  </w:t>
      </w:r>
      <w:r w:rsidRPr="00FD60D1">
        <w:rPr>
          <w:i/>
        </w:rPr>
        <w:t xml:space="preserve">See </w:t>
      </w:r>
      <w:r w:rsidRPr="00FD60D1">
        <w:t xml:space="preserve">Public Law 111-203, § 764; 15 U.S.C. 78o-10.  Section 15F(f)(2) provides that the Commission shall adopt rules governing reporting and recordkeeping for SBSDs and MSBSPs.  </w:t>
      </w:r>
      <w:r w:rsidRPr="00FD60D1">
        <w:rPr>
          <w:i/>
        </w:rPr>
        <w:t>See</w:t>
      </w:r>
      <w:r w:rsidRPr="00FD60D1">
        <w:t xml:space="preserve"> 15 U.S.C. 78o-10(f)(2).</w:t>
      </w:r>
    </w:p>
  </w:footnote>
  <w:footnote w:id="17">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 xml:space="preserve">See </w:t>
      </w:r>
      <w:r>
        <w:rPr>
          <w:i/>
        </w:rPr>
        <w:t>SBS Recordkeeping Release</w:t>
      </w:r>
      <w:r w:rsidRPr="00FD60D1">
        <w:t>.</w:t>
      </w:r>
    </w:p>
  </w:footnote>
  <w:footnote w:id="18">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Pr>
          <w:i/>
        </w:rPr>
        <w:t xml:space="preserve">See </w:t>
      </w:r>
      <w:r w:rsidRPr="00FD60D1">
        <w:t xml:space="preserve"> paragraph (a)(</w:t>
      </w:r>
      <w:r>
        <w:t>1</w:t>
      </w:r>
      <w:r w:rsidRPr="00FD60D1">
        <w:t>)(iv) of Rule 17a-5, as proposed to be amended.</w:t>
      </w:r>
    </w:p>
  </w:footnote>
  <w:footnote w:id="19">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See</w:t>
      </w:r>
      <w:r w:rsidRPr="00FD60D1">
        <w:t xml:space="preserve"> paragraph (a)(5)(vii) of Rule 17a-5, as proposed to be amended.  </w:t>
      </w:r>
    </w:p>
  </w:footnote>
  <w:footnote w:id="20">
    <w:p w:rsidR="001A54DB" w:rsidRPr="001A6346" w:rsidRDefault="001A54DB" w:rsidP="003A6C71">
      <w:pPr>
        <w:pStyle w:val="FootnoteText"/>
        <w:spacing w:after="120"/>
      </w:pPr>
      <w:r>
        <w:rPr>
          <w:rStyle w:val="FootnoteReference"/>
        </w:rPr>
        <w:footnoteRef/>
      </w:r>
      <w:r>
        <w:t xml:space="preserve"> </w:t>
      </w:r>
      <w:r>
        <w:tab/>
      </w:r>
      <w:r>
        <w:rPr>
          <w:i/>
        </w:rPr>
        <w:t>See</w:t>
      </w:r>
      <w:r>
        <w:t xml:space="preserve"> paragraph (e)(2) of Rule 17a-5, as proposed to be amended.</w:t>
      </w:r>
    </w:p>
  </w:footnote>
  <w:footnote w:id="21">
    <w:p w:rsidR="001A54DB" w:rsidRPr="00941F97" w:rsidRDefault="001A54DB" w:rsidP="003A6C71">
      <w:pPr>
        <w:pStyle w:val="FootnoteText"/>
        <w:spacing w:after="120"/>
        <w:ind w:left="720" w:hanging="720"/>
      </w:pPr>
      <w:r>
        <w:rPr>
          <w:rStyle w:val="FootnoteReference"/>
        </w:rPr>
        <w:footnoteRef/>
      </w:r>
      <w:r>
        <w:t xml:space="preserve"> </w:t>
      </w:r>
      <w:r>
        <w:tab/>
      </w:r>
      <w:r>
        <w:rPr>
          <w:i/>
        </w:rPr>
        <w:t>See</w:t>
      </w:r>
      <w:r>
        <w:t xml:space="preserve"> </w:t>
      </w:r>
      <w:r>
        <w:rPr>
          <w:i/>
        </w:rPr>
        <w:t>e.g.</w:t>
      </w:r>
      <w:r>
        <w:t>,</w:t>
      </w:r>
      <w:r>
        <w:rPr>
          <w:i/>
        </w:rPr>
        <w:t xml:space="preserve"> </w:t>
      </w:r>
      <w:r>
        <w:t>paragraphs (a)(1)(iv), (a)(1)(v), (a)(3), (b)(1), (d)(1)(i)(B), (d)(2), (d)(3), and (h) of Rule 17a-5, as proposed to be amended.</w:t>
      </w:r>
    </w:p>
  </w:footnote>
  <w:footnote w:id="22">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See</w:t>
      </w:r>
      <w:r w:rsidRPr="00FD60D1">
        <w:t xml:space="preserve"> </w:t>
      </w:r>
      <w:r>
        <w:t>paragraph (e)(2) of Rule 17a-5, a proposed to be amended.</w:t>
      </w:r>
    </w:p>
  </w:footnote>
  <w:footnote w:id="23">
    <w:p w:rsidR="001A54DB" w:rsidRPr="00FD60D1" w:rsidRDefault="001A54DB" w:rsidP="003A6C71">
      <w:pPr>
        <w:pStyle w:val="FootnoteText"/>
        <w:spacing w:after="120"/>
      </w:pPr>
      <w:r w:rsidRPr="00FD60D1">
        <w:rPr>
          <w:rStyle w:val="FootnoteReference"/>
        </w:rPr>
        <w:footnoteRef/>
      </w:r>
      <w:r w:rsidRPr="00FD60D1">
        <w:t xml:space="preserve"> </w:t>
      </w:r>
      <w:r w:rsidRPr="00FD60D1">
        <w:tab/>
      </w:r>
      <w:r w:rsidRPr="00FD60D1">
        <w:rPr>
          <w:i/>
        </w:rPr>
        <w:t>See</w:t>
      </w:r>
      <w:r w:rsidRPr="00FD60D1">
        <w:t xml:space="preserve"> paragraph (e)(3) of Rule 17a-5, </w:t>
      </w:r>
      <w:r>
        <w:t>as proposed to be</w:t>
      </w:r>
      <w:r w:rsidRPr="00FD60D1">
        <w:t xml:space="preserve"> amended.</w:t>
      </w:r>
    </w:p>
  </w:footnote>
  <w:footnote w:id="24">
    <w:p w:rsidR="001A54DB" w:rsidRPr="00D76271" w:rsidRDefault="001A54DB" w:rsidP="003A6C71">
      <w:pPr>
        <w:pStyle w:val="FootnoteText"/>
        <w:spacing w:after="120"/>
      </w:pPr>
      <w:r>
        <w:rPr>
          <w:rStyle w:val="FootnoteReference"/>
        </w:rPr>
        <w:footnoteRef/>
      </w:r>
      <w:r>
        <w:t xml:space="preserve"> </w:t>
      </w:r>
      <w:r>
        <w:tab/>
      </w:r>
      <w:r>
        <w:rPr>
          <w:i/>
        </w:rPr>
        <w:t>See</w:t>
      </w:r>
      <w:r>
        <w:t xml:space="preserve"> paragraph (c)(2) of Rule 17a-5, as proposed to be amended.</w:t>
      </w:r>
    </w:p>
  </w:footnote>
  <w:footnote w:id="25">
    <w:p w:rsidR="001A54DB" w:rsidRDefault="001A54DB" w:rsidP="003A6C71">
      <w:pPr>
        <w:pStyle w:val="FootnoteText"/>
        <w:spacing w:after="120"/>
      </w:pPr>
      <w:r>
        <w:rPr>
          <w:rStyle w:val="FootnoteReference"/>
        </w:rPr>
        <w:footnoteRef/>
      </w:r>
      <w:r>
        <w:t xml:space="preserve"> </w:t>
      </w:r>
      <w:r>
        <w:tab/>
      </w:r>
      <w:r>
        <w:rPr>
          <w:i/>
        </w:rPr>
        <w:t>See</w:t>
      </w:r>
      <w:r>
        <w:t xml:space="preserve"> paragraph (c)(3) of Rule 17a-5, as proposed to be amended.</w:t>
      </w:r>
    </w:p>
  </w:footnote>
  <w:footnote w:id="26">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See</w:t>
      </w:r>
      <w:r w:rsidRPr="00FD60D1">
        <w:t xml:space="preserve"> 17 CFR 200.83.  Information regarding requests for confidential treatment of information submitted to the Commission is </w:t>
      </w:r>
      <w:r w:rsidRPr="003A6C71">
        <w:t>available at</w:t>
      </w:r>
      <w:r w:rsidRPr="00FD60D1">
        <w:t xml:space="preserve"> http://www.sec.gov/foia/howfo2.htm#privacy.</w:t>
      </w:r>
    </w:p>
  </w:footnote>
  <w:footnote w:id="27">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See, e.g.</w:t>
      </w:r>
      <w:r w:rsidRPr="00FD60D1">
        <w:t>, 15 U.S.C. 78x (governing the public availability of information obtained by the Commission);</w:t>
      </w:r>
      <w:r w:rsidRPr="00FD60D1" w:rsidDel="0004368C">
        <w:t xml:space="preserve"> </w:t>
      </w:r>
      <w:r>
        <w:t>5 </w:t>
      </w:r>
      <w:r w:rsidRPr="00FD60D1">
        <w:t xml:space="preserve">U.S.C. 552 </w:t>
      </w:r>
      <w:r w:rsidRPr="00FD60D1">
        <w:rPr>
          <w:i/>
        </w:rPr>
        <w:t>et seq</w:t>
      </w:r>
      <w:r w:rsidRPr="00FD60D1">
        <w:t>.</w:t>
      </w:r>
    </w:p>
  </w:footnote>
  <w:footnote w:id="28">
    <w:p w:rsidR="001A54DB" w:rsidRPr="001D786F" w:rsidRDefault="001A54DB" w:rsidP="00803964">
      <w:pPr>
        <w:pStyle w:val="Default"/>
        <w:spacing w:after="120"/>
        <w:ind w:left="720" w:hanging="720"/>
        <w:rPr>
          <w:sz w:val="20"/>
          <w:szCs w:val="20"/>
        </w:rPr>
      </w:pPr>
      <w:r w:rsidRPr="001D786F">
        <w:rPr>
          <w:rStyle w:val="FootnoteReference"/>
          <w:sz w:val="20"/>
          <w:szCs w:val="20"/>
        </w:rPr>
        <w:footnoteRef/>
      </w:r>
      <w:r w:rsidRPr="001D786F">
        <w:rPr>
          <w:sz w:val="20"/>
          <w:szCs w:val="20"/>
        </w:rPr>
        <w:t xml:space="preserve"> </w:t>
      </w:r>
      <w:r w:rsidRPr="001D786F">
        <w:rPr>
          <w:sz w:val="20"/>
          <w:szCs w:val="20"/>
        </w:rPr>
        <w:tab/>
        <w:t xml:space="preserve">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29">
    <w:p w:rsidR="001A54DB" w:rsidRPr="00BB41C3" w:rsidRDefault="001A54DB" w:rsidP="003A6C71">
      <w:pPr>
        <w:pStyle w:val="FootnoteText"/>
        <w:spacing w:after="120"/>
        <w:ind w:left="720" w:hanging="720"/>
      </w:pPr>
      <w:r>
        <w:rPr>
          <w:rStyle w:val="FootnoteReference"/>
        </w:rPr>
        <w:footnoteRef/>
      </w:r>
      <w:r>
        <w:t xml:space="preserve"> </w:t>
      </w:r>
      <w:r>
        <w:tab/>
      </w:r>
      <w:r w:rsidRPr="00D63F93">
        <w:rPr>
          <w:i/>
          <w:iCs/>
        </w:rPr>
        <w:t xml:space="preserve">See </w:t>
      </w:r>
      <w:r w:rsidRPr="00D63F93">
        <w:t xml:space="preserve">Commission, </w:t>
      </w:r>
      <w:r>
        <w:rPr>
          <w:i/>
          <w:iCs/>
        </w:rPr>
        <w:t xml:space="preserve">Supporting Statement for </w:t>
      </w:r>
      <w:r w:rsidRPr="00D63F93">
        <w:rPr>
          <w:i/>
          <w:iCs/>
        </w:rPr>
        <w:t>the Pape</w:t>
      </w:r>
      <w:r>
        <w:rPr>
          <w:i/>
          <w:iCs/>
        </w:rPr>
        <w:t xml:space="preserve">rwork Reduction Act Information </w:t>
      </w:r>
      <w:r w:rsidRPr="00D63F93">
        <w:rPr>
          <w:i/>
          <w:iCs/>
        </w:rPr>
        <w:t>Colle</w:t>
      </w:r>
      <w:r>
        <w:rPr>
          <w:i/>
          <w:iCs/>
        </w:rPr>
        <w:t>ction Submission for Rule 17a–5</w:t>
      </w:r>
      <w:r w:rsidRPr="00D63F93">
        <w:rPr>
          <w:i/>
          <w:iCs/>
        </w:rPr>
        <w:t xml:space="preserve"> </w:t>
      </w:r>
      <w:r>
        <w:t>(Dec. 18, 2013</w:t>
      </w:r>
      <w:r w:rsidRPr="00D63F93">
        <w:t xml:space="preserve">), </w:t>
      </w:r>
      <w:r w:rsidRPr="00D63F93">
        <w:rPr>
          <w:i/>
          <w:iCs/>
        </w:rPr>
        <w:t>available at</w:t>
      </w:r>
      <w:r w:rsidRPr="00493A6A">
        <w:rPr>
          <w:iCs/>
        </w:rPr>
        <w:t xml:space="preserve"> </w:t>
      </w:r>
      <w:r w:rsidRPr="00B96E96">
        <w:t>http://www.reginfo.gov/public/do/DownloadDocument?objectID=47531201</w:t>
      </w:r>
      <w:r>
        <w:t>.</w:t>
      </w:r>
    </w:p>
  </w:footnote>
  <w:footnote w:id="30">
    <w:p w:rsidR="001A54DB" w:rsidRPr="00BB41C3" w:rsidRDefault="001A54DB" w:rsidP="00910426">
      <w:pPr>
        <w:pStyle w:val="FootnoteText"/>
        <w:spacing w:after="120"/>
        <w:ind w:left="720" w:hanging="720"/>
      </w:pPr>
      <w:r>
        <w:rPr>
          <w:rStyle w:val="FootnoteReference"/>
        </w:rPr>
        <w:footnoteRef/>
      </w:r>
      <w:r>
        <w:t xml:space="preserve"> </w:t>
      </w:r>
      <w:r>
        <w:tab/>
      </w:r>
      <w:r>
        <w:rPr>
          <w:iCs/>
        </w:rPr>
        <w:t>12 hours x 12 responses per year = 144 hours per respondent</w:t>
      </w:r>
      <w:r>
        <w:t>.</w:t>
      </w:r>
    </w:p>
  </w:footnote>
  <w:footnote w:id="31">
    <w:p w:rsidR="001A54DB" w:rsidRPr="00BB41C3" w:rsidRDefault="001A54DB" w:rsidP="00910426">
      <w:pPr>
        <w:pStyle w:val="FootnoteText"/>
        <w:spacing w:after="120"/>
        <w:ind w:left="720" w:hanging="720"/>
      </w:pPr>
      <w:r>
        <w:rPr>
          <w:rStyle w:val="FootnoteReference"/>
        </w:rPr>
        <w:footnoteRef/>
      </w:r>
      <w:r>
        <w:t xml:space="preserve"> </w:t>
      </w:r>
      <w:r>
        <w:tab/>
      </w:r>
      <w:r>
        <w:rPr>
          <w:iCs/>
        </w:rPr>
        <w:t>144 hours per respondent x 487 respondents = 70,128 hours per year</w:t>
      </w:r>
      <w:r>
        <w:t>.</w:t>
      </w:r>
    </w:p>
  </w:footnote>
  <w:footnote w:id="32">
    <w:p w:rsidR="001A54DB" w:rsidRPr="00BB41C3" w:rsidRDefault="001A54DB" w:rsidP="00910426">
      <w:pPr>
        <w:pStyle w:val="FootnoteText"/>
        <w:spacing w:after="120"/>
        <w:ind w:left="720" w:hanging="720"/>
      </w:pPr>
      <w:r>
        <w:rPr>
          <w:rStyle w:val="FootnoteReference"/>
        </w:rPr>
        <w:footnoteRef/>
      </w:r>
      <w:r>
        <w:t xml:space="preserve"> </w:t>
      </w:r>
      <w:r>
        <w:tab/>
      </w:r>
      <w:r>
        <w:rPr>
          <w:iCs/>
        </w:rPr>
        <w:t>12 hours x 4 responses per year = 48 hours per respondent</w:t>
      </w:r>
      <w:r>
        <w:t>.</w:t>
      </w:r>
    </w:p>
  </w:footnote>
  <w:footnote w:id="33">
    <w:p w:rsidR="001A54DB" w:rsidRPr="00BB41C3" w:rsidRDefault="001A54DB" w:rsidP="00910426">
      <w:pPr>
        <w:pStyle w:val="FootnoteText"/>
        <w:spacing w:after="120"/>
        <w:ind w:left="720" w:hanging="720"/>
      </w:pPr>
      <w:r>
        <w:rPr>
          <w:rStyle w:val="FootnoteReference"/>
        </w:rPr>
        <w:footnoteRef/>
      </w:r>
      <w:r>
        <w:t xml:space="preserve"> </w:t>
      </w:r>
      <w:r>
        <w:tab/>
      </w:r>
      <w:r>
        <w:rPr>
          <w:iCs/>
        </w:rPr>
        <w:t>48 hours per respondent x 4,058 respondents = 194,784 hours per year</w:t>
      </w:r>
      <w:r>
        <w:t>.</w:t>
      </w:r>
    </w:p>
  </w:footnote>
  <w:footnote w:id="34">
    <w:p w:rsidR="001A54DB" w:rsidRPr="00D87506" w:rsidRDefault="001A54DB" w:rsidP="00A62FB1">
      <w:pPr>
        <w:pStyle w:val="FootnoteText"/>
        <w:spacing w:after="120"/>
        <w:ind w:left="720" w:hanging="720"/>
      </w:pPr>
      <w:r w:rsidRPr="00D87506">
        <w:rPr>
          <w:rStyle w:val="FootnoteReference"/>
        </w:rPr>
        <w:footnoteRef/>
      </w:r>
      <w:r w:rsidRPr="00D87506">
        <w:t xml:space="preserve"> </w:t>
      </w:r>
      <w:r w:rsidRPr="00D87506">
        <w:tab/>
        <w:t>Generally, a broker-dealer meeting certain conditions, including the existence of strong internal risk management practices, may apply to the Commission for authorization to use the alternative method for computing capital contained in Appendix E to Rule 15c3-1, thereby permitting the firm to utilize the mathematical modeling methods it uses to manage its own business risk, including value-at-risk models and scenario analysis, to compute deductions from net capital for market risks and for credit risks arising from OTC derivatives transactions.</w:t>
      </w:r>
    </w:p>
  </w:footnote>
  <w:footnote w:id="35">
    <w:p w:rsidR="001A54DB" w:rsidRPr="00BB41C3" w:rsidRDefault="001A54DB" w:rsidP="00F62122">
      <w:pPr>
        <w:pStyle w:val="FootnoteText"/>
        <w:spacing w:after="120"/>
        <w:ind w:left="720" w:hanging="720"/>
      </w:pPr>
      <w:r>
        <w:rPr>
          <w:rStyle w:val="FootnoteReference"/>
        </w:rPr>
        <w:footnoteRef/>
      </w:r>
      <w:r>
        <w:t xml:space="preserve"> </w:t>
      </w:r>
      <w:r>
        <w:tab/>
      </w:r>
      <w:r>
        <w:rPr>
          <w:iCs/>
        </w:rPr>
        <w:t>4 hours x 12 responses per year = 48 hours per respondent</w:t>
      </w:r>
      <w:r>
        <w:t>.</w:t>
      </w:r>
    </w:p>
  </w:footnote>
  <w:footnote w:id="36">
    <w:p w:rsidR="001A54DB" w:rsidRPr="00BB41C3" w:rsidRDefault="001A54DB" w:rsidP="00F62122">
      <w:pPr>
        <w:pStyle w:val="FootnoteText"/>
        <w:spacing w:after="120"/>
        <w:ind w:left="720" w:hanging="720"/>
      </w:pPr>
      <w:r>
        <w:rPr>
          <w:rStyle w:val="FootnoteReference"/>
        </w:rPr>
        <w:footnoteRef/>
      </w:r>
      <w:r>
        <w:t xml:space="preserve"> </w:t>
      </w:r>
      <w:r>
        <w:tab/>
      </w:r>
      <w:r>
        <w:rPr>
          <w:iCs/>
        </w:rPr>
        <w:t>48 hours per respondent x 10 respondents = 480 hours per year</w:t>
      </w:r>
      <w:r>
        <w:t>.</w:t>
      </w:r>
    </w:p>
  </w:footnote>
  <w:footnote w:id="37">
    <w:p w:rsidR="001A54DB" w:rsidRPr="00BB41C3" w:rsidRDefault="001A54DB" w:rsidP="00F62122">
      <w:pPr>
        <w:pStyle w:val="FootnoteText"/>
        <w:spacing w:after="120"/>
        <w:ind w:left="720" w:hanging="720"/>
      </w:pPr>
      <w:r>
        <w:rPr>
          <w:rStyle w:val="FootnoteReference"/>
        </w:rPr>
        <w:footnoteRef/>
      </w:r>
      <w:r>
        <w:t xml:space="preserve"> </w:t>
      </w:r>
      <w:r>
        <w:tab/>
      </w:r>
      <w:r>
        <w:rPr>
          <w:iCs/>
        </w:rPr>
        <w:t>8 hours x 4 responses per year = 32 hours per respondent</w:t>
      </w:r>
      <w:r>
        <w:t>.</w:t>
      </w:r>
    </w:p>
  </w:footnote>
  <w:footnote w:id="38">
    <w:p w:rsidR="001A54DB" w:rsidRPr="00BB41C3" w:rsidRDefault="001A54DB" w:rsidP="00F62122">
      <w:pPr>
        <w:pStyle w:val="FootnoteText"/>
        <w:spacing w:after="120"/>
        <w:ind w:left="720" w:hanging="720"/>
      </w:pPr>
      <w:r>
        <w:rPr>
          <w:rStyle w:val="FootnoteReference"/>
        </w:rPr>
        <w:footnoteRef/>
      </w:r>
      <w:r>
        <w:t xml:space="preserve"> </w:t>
      </w:r>
      <w:r>
        <w:tab/>
      </w:r>
      <w:r>
        <w:rPr>
          <w:iCs/>
        </w:rPr>
        <w:t>32 hours per respondent x 10 respondents = 320 hours per year</w:t>
      </w:r>
      <w:r>
        <w:t>.</w:t>
      </w:r>
    </w:p>
  </w:footnote>
  <w:footnote w:id="39">
    <w:p w:rsidR="001A54DB" w:rsidRPr="00BB41C3" w:rsidRDefault="001A54DB" w:rsidP="00F62122">
      <w:pPr>
        <w:pStyle w:val="FootnoteText"/>
        <w:spacing w:after="120"/>
        <w:ind w:left="720" w:hanging="720"/>
      </w:pPr>
      <w:r>
        <w:rPr>
          <w:rStyle w:val="FootnoteReference"/>
        </w:rPr>
        <w:footnoteRef/>
      </w:r>
      <w:r>
        <w:t xml:space="preserve"> </w:t>
      </w:r>
      <w:r>
        <w:tab/>
      </w:r>
      <w:r>
        <w:rPr>
          <w:iCs/>
        </w:rPr>
        <w:t>40 hours x 1 response per year = 40 hours per respondent</w:t>
      </w:r>
      <w:r>
        <w:t>.</w:t>
      </w:r>
    </w:p>
  </w:footnote>
  <w:footnote w:id="40">
    <w:p w:rsidR="001A54DB" w:rsidRPr="00BB41C3" w:rsidRDefault="001A54DB" w:rsidP="00F62122">
      <w:pPr>
        <w:pStyle w:val="FootnoteText"/>
        <w:spacing w:after="120"/>
        <w:ind w:left="720" w:hanging="720"/>
      </w:pPr>
      <w:r>
        <w:rPr>
          <w:rStyle w:val="FootnoteReference"/>
        </w:rPr>
        <w:footnoteRef/>
      </w:r>
      <w:r>
        <w:t xml:space="preserve"> </w:t>
      </w:r>
      <w:r>
        <w:tab/>
      </w:r>
      <w:r>
        <w:rPr>
          <w:iCs/>
        </w:rPr>
        <w:t>40 hours per respondent x 10 respondents = 400 hours per year</w:t>
      </w:r>
      <w:r>
        <w:t>.</w:t>
      </w:r>
    </w:p>
  </w:footnote>
  <w:footnote w:id="41">
    <w:p w:rsidR="001A54DB" w:rsidRDefault="001A54DB" w:rsidP="00197535">
      <w:pPr>
        <w:pStyle w:val="FootnoteText"/>
        <w:spacing w:after="120"/>
        <w:ind w:left="720" w:hanging="720"/>
      </w:pPr>
      <w:r>
        <w:rPr>
          <w:rStyle w:val="FootnoteReference"/>
        </w:rPr>
        <w:footnoteRef/>
      </w:r>
      <w:r>
        <w:t xml:space="preserve"> </w:t>
      </w:r>
      <w:r>
        <w:tab/>
        <w:t>This filing includes Form X-17A-5 Schedule I and Form X-17A-5 Part III.  The burden estimate also includes related filing responsibilities under paragraph (c) of Rule 17a-5.</w:t>
      </w:r>
    </w:p>
  </w:footnote>
  <w:footnote w:id="42">
    <w:p w:rsidR="001A54DB" w:rsidRPr="00BB41C3" w:rsidRDefault="001A54DB" w:rsidP="00831DEC">
      <w:pPr>
        <w:pStyle w:val="FootnoteText"/>
        <w:spacing w:after="120"/>
        <w:ind w:left="720" w:hanging="720"/>
      </w:pPr>
      <w:r>
        <w:rPr>
          <w:rStyle w:val="FootnoteReference"/>
        </w:rPr>
        <w:footnoteRef/>
      </w:r>
      <w:r>
        <w:t xml:space="preserve"> </w:t>
      </w:r>
      <w:r>
        <w:tab/>
      </w:r>
      <w:r>
        <w:rPr>
          <w:iCs/>
        </w:rPr>
        <w:t>12 hours x 1 response per year = 12 hours per respondent</w:t>
      </w:r>
      <w:r>
        <w:t>.</w:t>
      </w:r>
    </w:p>
  </w:footnote>
  <w:footnote w:id="43">
    <w:p w:rsidR="001A54DB" w:rsidRPr="00BB41C3" w:rsidRDefault="001A54DB" w:rsidP="00831DEC">
      <w:pPr>
        <w:pStyle w:val="FootnoteText"/>
        <w:spacing w:after="120"/>
        <w:ind w:left="720" w:hanging="720"/>
      </w:pPr>
      <w:r>
        <w:rPr>
          <w:rStyle w:val="FootnoteReference"/>
        </w:rPr>
        <w:footnoteRef/>
      </w:r>
      <w:r>
        <w:t xml:space="preserve"> </w:t>
      </w:r>
      <w:r>
        <w:tab/>
      </w:r>
      <w:r>
        <w:rPr>
          <w:iCs/>
        </w:rPr>
        <w:t>12 hours per respondent x 4,345 respondents = 52,140 hours per year</w:t>
      </w:r>
      <w:r>
        <w:t>.</w:t>
      </w:r>
    </w:p>
  </w:footnote>
  <w:footnote w:id="44">
    <w:p w:rsidR="001A54DB" w:rsidRPr="00BB41C3" w:rsidRDefault="001A54DB" w:rsidP="00207362">
      <w:pPr>
        <w:pStyle w:val="FootnoteText"/>
        <w:spacing w:after="120"/>
        <w:ind w:left="720" w:hanging="720"/>
      </w:pPr>
      <w:r>
        <w:rPr>
          <w:rStyle w:val="FootnoteReference"/>
        </w:rPr>
        <w:footnoteRef/>
      </w:r>
      <w:r>
        <w:t xml:space="preserve"> </w:t>
      </w:r>
      <w:r>
        <w:tab/>
      </w:r>
      <w:r>
        <w:rPr>
          <w:iCs/>
        </w:rPr>
        <w:t>60 hours x 1 response per year = 60 hours per respondent</w:t>
      </w:r>
      <w:r>
        <w:t>.</w:t>
      </w:r>
    </w:p>
  </w:footnote>
  <w:footnote w:id="45">
    <w:p w:rsidR="001A54DB" w:rsidRPr="00BB41C3" w:rsidRDefault="001A54DB" w:rsidP="00207362">
      <w:pPr>
        <w:pStyle w:val="FootnoteText"/>
        <w:spacing w:after="120"/>
        <w:ind w:left="720" w:hanging="720"/>
      </w:pPr>
      <w:r>
        <w:rPr>
          <w:rStyle w:val="FootnoteReference"/>
        </w:rPr>
        <w:footnoteRef/>
      </w:r>
      <w:r>
        <w:t xml:space="preserve"> </w:t>
      </w:r>
      <w:r>
        <w:tab/>
      </w:r>
      <w:r>
        <w:rPr>
          <w:iCs/>
        </w:rPr>
        <w:t>60 hours per respondent x 203 respondents = 12,180 hours per year</w:t>
      </w:r>
      <w:r>
        <w:t>.</w:t>
      </w:r>
    </w:p>
  </w:footnote>
  <w:footnote w:id="46">
    <w:p w:rsidR="001A54DB" w:rsidRPr="00BB41C3" w:rsidRDefault="001A54DB" w:rsidP="00207362">
      <w:pPr>
        <w:pStyle w:val="FootnoteText"/>
        <w:spacing w:after="120"/>
        <w:ind w:left="720" w:hanging="720"/>
      </w:pPr>
      <w:r>
        <w:rPr>
          <w:rStyle w:val="FootnoteReference"/>
        </w:rPr>
        <w:footnoteRef/>
      </w:r>
      <w:r>
        <w:t xml:space="preserve"> </w:t>
      </w:r>
      <w:r>
        <w:tab/>
      </w:r>
      <w:r>
        <w:rPr>
          <w:iCs/>
        </w:rPr>
        <w:t>7 hours x 1 response per year = 7 hours per respondent</w:t>
      </w:r>
      <w:r>
        <w:t>.</w:t>
      </w:r>
    </w:p>
  </w:footnote>
  <w:footnote w:id="47">
    <w:p w:rsidR="001A54DB" w:rsidRPr="00BB41C3" w:rsidRDefault="001A54DB" w:rsidP="00207362">
      <w:pPr>
        <w:pStyle w:val="FootnoteText"/>
        <w:spacing w:after="120"/>
        <w:ind w:left="720" w:hanging="720"/>
      </w:pPr>
      <w:r>
        <w:rPr>
          <w:rStyle w:val="FootnoteReference"/>
        </w:rPr>
        <w:footnoteRef/>
      </w:r>
      <w:r>
        <w:t xml:space="preserve"> </w:t>
      </w:r>
      <w:r>
        <w:tab/>
      </w:r>
      <w:r>
        <w:rPr>
          <w:iCs/>
        </w:rPr>
        <w:t>7 hours per respondent x 4,342 respondents = 30,394 hours per year</w:t>
      </w:r>
      <w:r>
        <w:t>.</w:t>
      </w:r>
    </w:p>
  </w:footnote>
  <w:footnote w:id="48">
    <w:p w:rsidR="001A54DB" w:rsidRPr="00BB41C3" w:rsidRDefault="001A54DB" w:rsidP="00207362">
      <w:pPr>
        <w:pStyle w:val="FootnoteText"/>
        <w:spacing w:after="120"/>
        <w:ind w:left="720" w:hanging="720"/>
      </w:pPr>
      <w:r>
        <w:rPr>
          <w:rStyle w:val="FootnoteReference"/>
        </w:rPr>
        <w:footnoteRef/>
      </w:r>
      <w:r>
        <w:t xml:space="preserve"> </w:t>
      </w:r>
      <w:r>
        <w:tab/>
      </w:r>
      <w:r>
        <w:rPr>
          <w:iCs/>
        </w:rPr>
        <w:t>.5 hours x 1 response per year = .5 hours per respondent</w:t>
      </w:r>
      <w:r>
        <w:t>.</w:t>
      </w:r>
    </w:p>
  </w:footnote>
  <w:footnote w:id="49">
    <w:p w:rsidR="001A54DB" w:rsidRPr="00BB41C3" w:rsidRDefault="001A54DB" w:rsidP="00207362">
      <w:pPr>
        <w:pStyle w:val="FootnoteText"/>
        <w:spacing w:after="120"/>
        <w:ind w:left="720" w:hanging="720"/>
      </w:pPr>
      <w:r>
        <w:rPr>
          <w:rStyle w:val="FootnoteReference"/>
        </w:rPr>
        <w:footnoteRef/>
      </w:r>
      <w:r>
        <w:t xml:space="preserve"> </w:t>
      </w:r>
      <w:r>
        <w:tab/>
      </w:r>
      <w:r>
        <w:rPr>
          <w:iCs/>
        </w:rPr>
        <w:t>.5 hours per respondent x 4,320 respondents = 2,160 hours per year</w:t>
      </w:r>
      <w:r>
        <w:t>.</w:t>
      </w:r>
    </w:p>
  </w:footnote>
  <w:footnote w:id="50">
    <w:p w:rsidR="001A54DB" w:rsidRPr="00BB41C3" w:rsidRDefault="001A54DB" w:rsidP="00CC5835">
      <w:pPr>
        <w:pStyle w:val="FootnoteText"/>
        <w:spacing w:after="120"/>
        <w:ind w:left="720" w:hanging="720"/>
      </w:pPr>
      <w:r>
        <w:rPr>
          <w:rStyle w:val="FootnoteReference"/>
        </w:rPr>
        <w:footnoteRef/>
      </w:r>
      <w:r>
        <w:t xml:space="preserve"> </w:t>
      </w:r>
      <w:r>
        <w:tab/>
      </w:r>
      <w:r>
        <w:rPr>
          <w:iCs/>
        </w:rPr>
        <w:t>10 minutes / 60 minutes = .1667 hours</w:t>
      </w:r>
      <w:r>
        <w:t>.</w:t>
      </w:r>
    </w:p>
  </w:footnote>
  <w:footnote w:id="51">
    <w:p w:rsidR="001A54DB" w:rsidRPr="00BB41C3" w:rsidRDefault="001A54DB" w:rsidP="00207362">
      <w:pPr>
        <w:pStyle w:val="FootnoteText"/>
        <w:spacing w:after="120"/>
        <w:ind w:left="720" w:hanging="720"/>
      </w:pPr>
      <w:r>
        <w:rPr>
          <w:rStyle w:val="FootnoteReference"/>
        </w:rPr>
        <w:footnoteRef/>
      </w:r>
      <w:r>
        <w:t xml:space="preserve"> </w:t>
      </w:r>
      <w:r>
        <w:tab/>
      </w:r>
      <w:r>
        <w:rPr>
          <w:iCs/>
        </w:rPr>
        <w:t>.167 hours x 1 response per year = .167 hours per respondent</w:t>
      </w:r>
      <w:r>
        <w:t>.</w:t>
      </w:r>
    </w:p>
  </w:footnote>
  <w:footnote w:id="52">
    <w:p w:rsidR="001A54DB" w:rsidRPr="00BB41C3" w:rsidRDefault="001A54DB" w:rsidP="00207362">
      <w:pPr>
        <w:pStyle w:val="FootnoteText"/>
        <w:spacing w:after="120"/>
        <w:ind w:left="720" w:hanging="720"/>
      </w:pPr>
      <w:r>
        <w:rPr>
          <w:rStyle w:val="FootnoteReference"/>
        </w:rPr>
        <w:footnoteRef/>
      </w:r>
      <w:r>
        <w:t xml:space="preserve"> </w:t>
      </w:r>
      <w:r>
        <w:tab/>
      </w:r>
      <w:r>
        <w:rPr>
          <w:iCs/>
        </w:rPr>
        <w:t>.167 hours per respondent x 75 respondents = 12.525 hours</w:t>
      </w:r>
      <w:r>
        <w:t>.</w:t>
      </w:r>
    </w:p>
  </w:footnote>
  <w:footnote w:id="53">
    <w:p w:rsidR="001A54DB" w:rsidRDefault="001A54DB" w:rsidP="00BE261F">
      <w:pPr>
        <w:pStyle w:val="FootnoteText"/>
        <w:spacing w:after="120"/>
        <w:ind w:left="720" w:hanging="720"/>
      </w:pPr>
      <w:r>
        <w:rPr>
          <w:rStyle w:val="FootnoteReference"/>
        </w:rPr>
        <w:footnoteRef/>
      </w:r>
      <w:r>
        <w:t xml:space="preserve"> </w:t>
      </w:r>
      <w:r>
        <w:tab/>
        <w:t>5 hours x (</w:t>
      </w:r>
      <w:r>
        <w:rPr>
          <w:bCs/>
        </w:rPr>
        <w:t>4,180 broker-dealers filing SIPC’s annual assessment reconciliation form + 213 broker-dealers filing SIPC’s certification of exclusion from membership form) = 21,965 hours.</w:t>
      </w:r>
    </w:p>
  </w:footnote>
  <w:footnote w:id="54">
    <w:p w:rsidR="001A54DB" w:rsidRPr="00BB41C3" w:rsidRDefault="001A54DB" w:rsidP="009C48AA">
      <w:pPr>
        <w:pStyle w:val="FootnoteText"/>
        <w:spacing w:after="120"/>
        <w:ind w:left="720" w:hanging="720"/>
      </w:pPr>
      <w:r>
        <w:rPr>
          <w:rStyle w:val="FootnoteReference"/>
        </w:rPr>
        <w:footnoteRef/>
      </w:r>
      <w:r>
        <w:t xml:space="preserve"> </w:t>
      </w:r>
      <w:r>
        <w:tab/>
        <w:t>(</w:t>
      </w:r>
      <w:r>
        <w:rPr>
          <w:iCs/>
        </w:rPr>
        <w:t>10 hours in the first year) + (0 hours in the second year) + (0 hours in the third year) = 10 hours /3 years = 3.3333 hours per respondent</w:t>
      </w:r>
      <w:r>
        <w:t>.</w:t>
      </w:r>
    </w:p>
  </w:footnote>
  <w:footnote w:id="55">
    <w:p w:rsidR="001A54DB" w:rsidRPr="00BB41C3" w:rsidRDefault="001A54DB" w:rsidP="000315C3">
      <w:pPr>
        <w:pStyle w:val="FootnoteText"/>
        <w:spacing w:after="120"/>
        <w:ind w:left="720" w:hanging="720"/>
      </w:pPr>
      <w:r>
        <w:rPr>
          <w:rStyle w:val="FootnoteReference"/>
        </w:rPr>
        <w:footnoteRef/>
      </w:r>
      <w:r>
        <w:t xml:space="preserve"> </w:t>
      </w:r>
      <w:r>
        <w:tab/>
      </w:r>
      <w:r>
        <w:rPr>
          <w:iCs/>
        </w:rPr>
        <w:t>10 hours per respondent x 487 respondents = 4,870 hours per year</w:t>
      </w:r>
      <w:r>
        <w:t>.</w:t>
      </w:r>
    </w:p>
  </w:footnote>
  <w:footnote w:id="56">
    <w:p w:rsidR="001A54DB" w:rsidRPr="00BB41C3" w:rsidRDefault="001A54DB" w:rsidP="009C48AA">
      <w:pPr>
        <w:pStyle w:val="FootnoteText"/>
        <w:spacing w:after="120"/>
        <w:ind w:left="720" w:hanging="720"/>
      </w:pPr>
      <w:r>
        <w:rPr>
          <w:rStyle w:val="FootnoteReference"/>
        </w:rPr>
        <w:footnoteRef/>
      </w:r>
      <w:r>
        <w:t xml:space="preserve"> </w:t>
      </w:r>
      <w:r>
        <w:tab/>
      </w:r>
      <w:r>
        <w:rPr>
          <w:iCs/>
        </w:rPr>
        <w:t>4,870 hours / 3 years = 1,623.33 hours per year</w:t>
      </w:r>
      <w:r>
        <w:t>.</w:t>
      </w:r>
    </w:p>
  </w:footnote>
  <w:footnote w:id="57">
    <w:p w:rsidR="001A54DB" w:rsidRPr="00BB41C3" w:rsidRDefault="001A54DB" w:rsidP="009C48AA">
      <w:pPr>
        <w:pStyle w:val="FootnoteText"/>
        <w:spacing w:after="120"/>
        <w:ind w:left="720" w:hanging="720"/>
      </w:pPr>
      <w:r>
        <w:rPr>
          <w:rStyle w:val="FootnoteReference"/>
        </w:rPr>
        <w:footnoteRef/>
      </w:r>
      <w:r>
        <w:t xml:space="preserve"> </w:t>
      </w:r>
      <w:r>
        <w:tab/>
        <w:t>(</w:t>
      </w:r>
      <w:r>
        <w:rPr>
          <w:iCs/>
        </w:rPr>
        <w:t>2 hours in the first year) + (0 hours in the second year) + (0 hours in the third year) = 2 hours / 3 years = .6667 hours per respondent</w:t>
      </w:r>
      <w:r>
        <w:t>.</w:t>
      </w:r>
    </w:p>
  </w:footnote>
  <w:footnote w:id="58">
    <w:p w:rsidR="001A54DB" w:rsidRPr="00BB41C3" w:rsidRDefault="001A54DB" w:rsidP="000D54AE">
      <w:pPr>
        <w:pStyle w:val="FootnoteText"/>
        <w:spacing w:after="120"/>
        <w:ind w:left="720" w:hanging="720"/>
      </w:pPr>
      <w:r>
        <w:rPr>
          <w:rStyle w:val="FootnoteReference"/>
        </w:rPr>
        <w:footnoteRef/>
      </w:r>
      <w:r>
        <w:t xml:space="preserve"> </w:t>
      </w:r>
      <w:r>
        <w:tab/>
      </w:r>
      <w:r>
        <w:rPr>
          <w:iCs/>
        </w:rPr>
        <w:t>2 hours per respondent x 4,058 respondents = 8,116 hours per year</w:t>
      </w:r>
      <w:r>
        <w:t>.</w:t>
      </w:r>
    </w:p>
  </w:footnote>
  <w:footnote w:id="59">
    <w:p w:rsidR="001A54DB" w:rsidRPr="00BB41C3" w:rsidRDefault="001A54DB" w:rsidP="005E14DC">
      <w:pPr>
        <w:pStyle w:val="FootnoteText"/>
        <w:spacing w:after="120"/>
        <w:ind w:left="720" w:hanging="720"/>
      </w:pPr>
      <w:r>
        <w:rPr>
          <w:rStyle w:val="FootnoteReference"/>
        </w:rPr>
        <w:footnoteRef/>
      </w:r>
      <w:r>
        <w:t xml:space="preserve"> </w:t>
      </w:r>
      <w:r>
        <w:tab/>
      </w:r>
      <w:r>
        <w:rPr>
          <w:iCs/>
        </w:rPr>
        <w:t>8,116 hours / 3 years = 2,705.33 hours per year</w:t>
      </w:r>
      <w:r>
        <w:t>.</w:t>
      </w:r>
    </w:p>
  </w:footnote>
  <w:footnote w:id="60">
    <w:p w:rsidR="001A54DB" w:rsidRPr="00BB41C3" w:rsidRDefault="001A54DB" w:rsidP="000D54AE">
      <w:pPr>
        <w:pStyle w:val="FootnoteText"/>
        <w:spacing w:after="120"/>
        <w:ind w:left="720" w:hanging="720"/>
      </w:pPr>
      <w:r>
        <w:rPr>
          <w:rStyle w:val="FootnoteReference"/>
        </w:rPr>
        <w:footnoteRef/>
      </w:r>
      <w:r>
        <w:t xml:space="preserve"> </w:t>
      </w:r>
      <w:r>
        <w:tab/>
        <w:t>(</w:t>
      </w:r>
      <w:r>
        <w:rPr>
          <w:iCs/>
        </w:rPr>
        <w:t>2 hours in the first year) + (0 hours in the second year) + (0 hours in the third year) = 2 hours / 3 years = .6667 hours per respondent</w:t>
      </w:r>
      <w:r>
        <w:t>.</w:t>
      </w:r>
    </w:p>
  </w:footnote>
  <w:footnote w:id="61">
    <w:p w:rsidR="001A54DB" w:rsidRPr="00BB41C3" w:rsidRDefault="001A54DB" w:rsidP="002620EA">
      <w:pPr>
        <w:pStyle w:val="FootnoteText"/>
        <w:spacing w:after="120"/>
        <w:ind w:left="720" w:hanging="720"/>
      </w:pPr>
      <w:r>
        <w:rPr>
          <w:rStyle w:val="FootnoteReference"/>
        </w:rPr>
        <w:footnoteRef/>
      </w:r>
      <w:r>
        <w:t xml:space="preserve"> </w:t>
      </w:r>
      <w:r>
        <w:tab/>
      </w:r>
      <w:r>
        <w:rPr>
          <w:iCs/>
        </w:rPr>
        <w:t>2 hours per respondent x 50 respondents = 100 hours per year</w:t>
      </w:r>
      <w:r>
        <w:t>.</w:t>
      </w:r>
    </w:p>
  </w:footnote>
  <w:footnote w:id="62">
    <w:p w:rsidR="001A54DB" w:rsidRPr="00BB41C3" w:rsidRDefault="001A54DB" w:rsidP="000D54AE">
      <w:pPr>
        <w:pStyle w:val="FootnoteText"/>
        <w:spacing w:after="120"/>
        <w:ind w:left="720" w:hanging="720"/>
      </w:pPr>
      <w:r>
        <w:rPr>
          <w:rStyle w:val="FootnoteReference"/>
        </w:rPr>
        <w:footnoteRef/>
      </w:r>
      <w:r>
        <w:t xml:space="preserve"> </w:t>
      </w:r>
      <w:r>
        <w:tab/>
      </w:r>
      <w:r>
        <w:rPr>
          <w:iCs/>
        </w:rPr>
        <w:t>100 hours / 3 years = 33.33 hours per year</w:t>
      </w:r>
      <w:r>
        <w:t>.</w:t>
      </w:r>
    </w:p>
  </w:footnote>
  <w:footnote w:id="63">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 xml:space="preserve">See </w:t>
      </w:r>
      <w:r>
        <w:rPr>
          <w:i/>
        </w:rPr>
        <w:t xml:space="preserve">SBS Recordkeeping Release supra </w:t>
      </w:r>
      <w:r>
        <w:t xml:space="preserve">note </w:t>
      </w:r>
      <w:r>
        <w:fldChar w:fldCharType="begin"/>
      </w:r>
      <w:r>
        <w:instrText xml:space="preserve"> NOTEREF _Ref409020357 \h </w:instrText>
      </w:r>
      <w:r>
        <w:fldChar w:fldCharType="separate"/>
      </w:r>
      <w:r w:rsidR="002276B4">
        <w:t>15</w:t>
      </w:r>
      <w:r>
        <w:fldChar w:fldCharType="end"/>
      </w:r>
      <w:r>
        <w:t>.</w:t>
      </w:r>
    </w:p>
  </w:footnote>
  <w:footnote w:id="64">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Compare</w:t>
      </w:r>
      <w:r w:rsidRPr="00FD60D1">
        <w:t xml:space="preserve"> 17 CFR 240.17a</w:t>
      </w:r>
      <w:r w:rsidRPr="00FD60D1">
        <w:noBreakHyphen/>
        <w:t>5(a)(</w:t>
      </w:r>
      <w:r>
        <w:t>1</w:t>
      </w:r>
      <w:r w:rsidRPr="00FD60D1">
        <w:t xml:space="preserve">)(ii) and (iii), </w:t>
      </w:r>
      <w:r w:rsidRPr="00FD60D1">
        <w:rPr>
          <w:i/>
        </w:rPr>
        <w:t>with</w:t>
      </w:r>
      <w:r w:rsidRPr="00FD60D1">
        <w:t xml:space="preserve"> paragraph (a)(</w:t>
      </w:r>
      <w:r>
        <w:t>1</w:t>
      </w:r>
      <w:r w:rsidRPr="00FD60D1">
        <w:t>)(iv) of Rule 17a-5, as proposed to be amended.</w:t>
      </w:r>
    </w:p>
  </w:footnote>
  <w:footnote w:id="65">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Non-model broker-dealer SBSDs would be required to complete the following new sections: (1) Financial and Operational Data – Operational Deductions from Capital – Note A; (2) Financial and Operational Data – Potential Operational Charges Not Deducted from Capital – Note B; (</w:t>
      </w:r>
      <w:r>
        <w:t>3</w:t>
      </w:r>
      <w:r w:rsidRPr="00FD60D1">
        <w:t>) Computation for Determination of the Amount to be Maintained in the Special Account for the Exclusive Benefit of Security-Based Swap Customers – Rule 18a-4, Appendix A; (</w:t>
      </w:r>
      <w:r>
        <w:t>4</w:t>
      </w:r>
      <w:r w:rsidRPr="00FD60D1">
        <w:t>) Information for Possession or Control Requirements under Rule 18a-4; (</w:t>
      </w:r>
      <w:r>
        <w:t>5</w:t>
      </w:r>
      <w:r w:rsidRPr="00FD60D1">
        <w:t>) Schedule 1 – Aggregate Securities, Commodities, and Swaps Positions; (</w:t>
      </w:r>
      <w:r>
        <w:t>6</w:t>
      </w:r>
      <w:r w:rsidRPr="00FD60D1">
        <w:t>) Schedule 2 – Credit Concentration Report for Fifteen Largest Current Exposures in Derivatives; (</w:t>
      </w:r>
      <w:r>
        <w:t>7</w:t>
      </w:r>
      <w:r w:rsidRPr="00FD60D1">
        <w:t>) Schedule 3 – Portfolio Summary of Derivatives Exposures by Internal Credit Rating; and (</w:t>
      </w:r>
      <w:r>
        <w:t>8</w:t>
      </w:r>
      <w:r w:rsidRPr="00FD60D1">
        <w:t>) Schedule 4 – Geographic Distribution of Derivatives Exposures for Ten Largest Countries.  In addition, non-model broker-dealer SBSDs also registered as FCMs would be required to file the following sections not included on Part II</w:t>
      </w:r>
      <w:r>
        <w:t xml:space="preserve"> of the FOCUS Report</w:t>
      </w:r>
      <w:r w:rsidRPr="00FD60D1">
        <w:t xml:space="preserve">, but which the CFTC already requires or has proposed to require FCMs to file as part of </w:t>
      </w:r>
      <w:r>
        <w:t xml:space="preserve"> CFTC </w:t>
      </w:r>
      <w:r w:rsidRPr="00FD60D1">
        <w:t xml:space="preserve">Form 1-FR-FCM: (1) Computation of CFTC Minimum Capital Requirement; (2) Statement of Segregation Requirements and Funds in Segregation for Customers Trading on U.S. Commodity Exchanges; (3) Statement of Cleared Swaps Customer Segregation Requirements and Funds in Cleared Swaps Customer Accounts under Section 4d(f) of the Commodity Exchange Act; (4) Statement of Segregation Requirements and Funds in Segregation for Customers’ Dealer Options Accounts; and (5) Statement of Secured Amounts and Funds Held in Separate Accounts for Foreign Futures and Foreign Options Customers Pursuant to CFTC Regulation 30.7.  The Commission does not estimate a burden for these 5 sections from Form 1-FR-FCM, since the CFTC already requires FCMs to file these </w:t>
      </w:r>
      <w:r>
        <w:t>five</w:t>
      </w:r>
      <w:r w:rsidRPr="00FD60D1">
        <w:t xml:space="preserve"> sections on a monthly basis (17 CFR 1.10(b)(i)), and therefore, the hourly burden is already accounted for in the PRA estimate for the CFTC’s Rule 1.10 (1</w:t>
      </w:r>
      <w:r>
        <w:t>7</w:t>
      </w:r>
      <w:r w:rsidRPr="00FD60D1">
        <w:t xml:space="preserve"> CFR 1.10).</w:t>
      </w:r>
    </w:p>
  </w:footnote>
  <w:footnote w:id="66">
    <w:p w:rsidR="001A54DB" w:rsidRPr="00FD60D1" w:rsidRDefault="001A54DB" w:rsidP="003A6C71">
      <w:pPr>
        <w:pStyle w:val="FootnoteText"/>
        <w:spacing w:after="120"/>
        <w:rPr>
          <w:b/>
        </w:rPr>
      </w:pPr>
      <w:r w:rsidRPr="00FD60D1">
        <w:rPr>
          <w:rStyle w:val="FootnoteReference"/>
        </w:rPr>
        <w:footnoteRef/>
      </w:r>
      <w:r w:rsidRPr="00FD60D1">
        <w:t xml:space="preserve"> </w:t>
      </w:r>
      <w:r w:rsidRPr="00FD60D1">
        <w:tab/>
        <w:t xml:space="preserve">50 hours x 6 non-model broker-dealer SBSDs = 300 hours. </w:t>
      </w:r>
    </w:p>
  </w:footnote>
  <w:footnote w:id="67">
    <w:p w:rsidR="001A54DB" w:rsidRPr="00FD60D1" w:rsidRDefault="001A54DB" w:rsidP="003A6C71">
      <w:pPr>
        <w:pStyle w:val="FootnoteText"/>
        <w:spacing w:after="120"/>
        <w:rPr>
          <w:b/>
        </w:rPr>
      </w:pPr>
      <w:r w:rsidRPr="00FD60D1">
        <w:rPr>
          <w:rStyle w:val="FootnoteReference"/>
        </w:rPr>
        <w:footnoteRef/>
      </w:r>
      <w:r w:rsidRPr="00FD60D1">
        <w:t xml:space="preserve"> </w:t>
      </w:r>
      <w:r w:rsidRPr="00FD60D1">
        <w:tab/>
        <w:t>240 hours x 6 non-model broker-dealer SBSDs = 1,440 hours.</w:t>
      </w:r>
    </w:p>
  </w:footnote>
  <w:footnote w:id="68">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(300 hours in first year + 1,440 hours in first year) + 1,440 hours in second year + 1,440 hours in third year = 4,620 hours.</w:t>
      </w:r>
    </w:p>
  </w:footnote>
  <w:footnote w:id="69">
    <w:p w:rsidR="001A54DB" w:rsidRPr="00FD60D1" w:rsidRDefault="001A54DB" w:rsidP="003A6C71">
      <w:pPr>
        <w:pStyle w:val="FootnoteText"/>
        <w:spacing w:after="120"/>
      </w:pPr>
      <w:r w:rsidRPr="00FD60D1">
        <w:rPr>
          <w:rStyle w:val="FootnoteReference"/>
        </w:rPr>
        <w:footnoteRef/>
      </w:r>
      <w:r w:rsidRPr="00FD60D1">
        <w:t xml:space="preserve"> </w:t>
      </w:r>
      <w:r w:rsidRPr="00FD60D1">
        <w:tab/>
        <w:t>4,620 hours / 3 years = 1,540 hours per year.</w:t>
      </w:r>
    </w:p>
  </w:footnote>
  <w:footnote w:id="70">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Broker-dealer MSBSPs would be required to complete the following new sections: (1) Computation of Tangible Net Worth; (2) Financial and Operational Data – Operational Deductions from Capital – Note A; (3) Financial and Operational Data – Potential Operational Charges Not Deducted from Capital – Note B; (</w:t>
      </w:r>
      <w:r>
        <w:t>4</w:t>
      </w:r>
      <w:r w:rsidRPr="00FD60D1">
        <w:t>) Schedule 1 – Aggregate Securities, Commodities, and Swaps Positions; (</w:t>
      </w:r>
      <w:r>
        <w:t>5</w:t>
      </w:r>
      <w:r w:rsidRPr="00FD60D1">
        <w:t>) Schedule 2 – Credit Concentration Report for Fifteen Largest Exposures in Derivatives; (</w:t>
      </w:r>
      <w:r>
        <w:t>6</w:t>
      </w:r>
      <w:r w:rsidRPr="00FD60D1">
        <w:t>) Schedule 3 – Portfolio Summary of Derivatives Exposures by Internal Credit Rating; and (</w:t>
      </w:r>
      <w:r>
        <w:t>7</w:t>
      </w:r>
      <w:r w:rsidRPr="00FD60D1">
        <w:t xml:space="preserve">) Schedule 4 – Geographic Distribution of Derivatives Exposures for Ten Largest Countries.  In addition, broker-dealer MSBSPs also registered as FCMs would be required to file the following sections not included on Part II, but which the CFTC already requires or has proposed to require FCMs to file as part of Form 1-FR-FCM: (1) Computation of CFTC Minimum Capital Requirement; (2) Statement of Segregation Requirements and Funds in Segregation for Customers Trading on U.S. Commodity Exchanges; (3) Statement of Cleared Swaps Customer Segregation Requirements and Funds in Cleared Swaps Customer Accounts under Section 4d(f) of the Commodity Exchange Act; (4) Statement of Segregation Requirements and Funds in Segregation for Customers’ Dealer Options Accounts; and (5) Statement of Secured Amounts and Funds Held in Separate Accounts for Foreign Futures and Foreign Options Customers Pursuant to CFTC Regulation 30.7.  The Commission does not estimate a burden for these </w:t>
      </w:r>
      <w:r>
        <w:t>five</w:t>
      </w:r>
      <w:r w:rsidRPr="00FD60D1">
        <w:t xml:space="preserve"> sections from Form 1-FR-FCM, since the CFTC already requires FCMs to file these </w:t>
      </w:r>
      <w:r>
        <w:t>five</w:t>
      </w:r>
      <w:r w:rsidRPr="00FD60D1">
        <w:t xml:space="preserve"> sections on a monthly basis (17 CFR 1.10(b)(i)), and therefore, the hourly burden is already accounted for in the PRA estimate for the CFTC’s Rule 1.10 (1</w:t>
      </w:r>
      <w:r>
        <w:t>7</w:t>
      </w:r>
      <w:r w:rsidRPr="00FD60D1">
        <w:t xml:space="preserve"> CFR 1.10).</w:t>
      </w:r>
    </w:p>
  </w:footnote>
  <w:footnote w:id="71">
    <w:p w:rsidR="001A54DB" w:rsidRPr="00FD60D1" w:rsidRDefault="001A54DB" w:rsidP="003A6C71">
      <w:pPr>
        <w:pStyle w:val="FootnoteText"/>
        <w:spacing w:after="120"/>
        <w:rPr>
          <w:b/>
        </w:rPr>
      </w:pPr>
      <w:r w:rsidRPr="00FD60D1">
        <w:rPr>
          <w:rStyle w:val="FootnoteReference"/>
        </w:rPr>
        <w:footnoteRef/>
      </w:r>
      <w:r w:rsidRPr="00FD60D1">
        <w:t xml:space="preserve"> </w:t>
      </w:r>
      <w:r w:rsidRPr="00FD60D1">
        <w:tab/>
        <w:t xml:space="preserve">40 hours x 1 broker-dealer MSBSP = 300 hours. </w:t>
      </w:r>
    </w:p>
  </w:footnote>
  <w:footnote w:id="72">
    <w:p w:rsidR="001A54DB" w:rsidRPr="00FD60D1" w:rsidRDefault="001A54DB" w:rsidP="003A6C71">
      <w:pPr>
        <w:pStyle w:val="FootnoteText"/>
        <w:spacing w:after="120"/>
        <w:rPr>
          <w:b/>
        </w:rPr>
      </w:pPr>
      <w:r w:rsidRPr="00FD60D1">
        <w:rPr>
          <w:rStyle w:val="FootnoteReference"/>
        </w:rPr>
        <w:footnoteRef/>
      </w:r>
      <w:r w:rsidRPr="00FD60D1">
        <w:t xml:space="preserve"> </w:t>
      </w:r>
      <w:r w:rsidRPr="00FD60D1">
        <w:tab/>
        <w:t>210 hours x 1 broker-dealer MSBSP = 210 hours.</w:t>
      </w:r>
    </w:p>
  </w:footnote>
  <w:footnote w:id="73">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(40 hours in first year + 210 hours in first year) + 210 hours in second year + 210 hours in third year = 670 hours.</w:t>
      </w:r>
    </w:p>
  </w:footnote>
  <w:footnote w:id="74">
    <w:p w:rsidR="001A54DB" w:rsidRPr="00FD60D1" w:rsidRDefault="001A54DB" w:rsidP="003A6C71">
      <w:pPr>
        <w:pStyle w:val="FootnoteText"/>
        <w:spacing w:after="120"/>
      </w:pPr>
      <w:r w:rsidRPr="00FD60D1">
        <w:rPr>
          <w:rStyle w:val="FootnoteReference"/>
        </w:rPr>
        <w:footnoteRef/>
      </w:r>
      <w:r w:rsidRPr="00FD60D1">
        <w:t xml:space="preserve"> </w:t>
      </w:r>
      <w:r w:rsidRPr="00FD60D1">
        <w:tab/>
        <w:t>670 hours / 3 years = 223</w:t>
      </w:r>
      <w:r>
        <w:t>.33</w:t>
      </w:r>
      <w:r w:rsidRPr="00FD60D1">
        <w:t xml:space="preserve"> hours per year.</w:t>
      </w:r>
    </w:p>
  </w:footnote>
  <w:footnote w:id="75">
    <w:p w:rsidR="001A54DB" w:rsidRPr="00FD60D1" w:rsidRDefault="001A54DB" w:rsidP="003A6C71">
      <w:pPr>
        <w:pStyle w:val="FootnoteText"/>
        <w:spacing w:after="120"/>
        <w:rPr>
          <w:i/>
        </w:rPr>
      </w:pPr>
      <w:r w:rsidRPr="00FD60D1">
        <w:rPr>
          <w:rStyle w:val="FootnoteReference"/>
        </w:rPr>
        <w:footnoteRef/>
      </w:r>
      <w:r w:rsidRPr="00FD60D1">
        <w:t xml:space="preserve"> </w:t>
      </w:r>
      <w:r w:rsidRPr="00FD60D1">
        <w:tab/>
      </w:r>
      <w:r w:rsidRPr="00FD60D1">
        <w:rPr>
          <w:i/>
        </w:rPr>
        <w:t>See</w:t>
      </w:r>
      <w:r w:rsidRPr="00FD60D1">
        <w:t xml:space="preserve"> paragraph (a)(</w:t>
      </w:r>
      <w:r>
        <w:t>1</w:t>
      </w:r>
      <w:r w:rsidRPr="00FD60D1">
        <w:t>)(i</w:t>
      </w:r>
      <w:r>
        <w:t>v</w:t>
      </w:r>
      <w:r w:rsidRPr="00FD60D1">
        <w:t>) of Rule 17a-5, as proposed to be amended.</w:t>
      </w:r>
    </w:p>
  </w:footnote>
  <w:footnote w:id="76">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ANC broker-dealer SBSDs would be required to complete the following new sections: (1) Computation for Determination of the Amount to be Maintained in the Special Account for the Exclusive Benefit of Security-Based Swap Customers – Rule 18a-4, Appendix A; (2) Information for Possession or Control Requirements under Rule 18a-4; (3) Schedule 1 – Aggregate Securities, Commodities, and Swaps Positions; and (4) Schedule 4 – Geographic Distribution of Derivatives Exposures for Ten Largest Countries.</w:t>
      </w:r>
    </w:p>
  </w:footnote>
  <w:footnote w:id="77">
    <w:p w:rsidR="001A54DB" w:rsidRPr="00FD60D1" w:rsidRDefault="001A54DB" w:rsidP="003A6C71">
      <w:pPr>
        <w:pStyle w:val="FootnoteText"/>
        <w:spacing w:after="120"/>
        <w:rPr>
          <w:b/>
        </w:rPr>
      </w:pPr>
      <w:r w:rsidRPr="00FD60D1">
        <w:rPr>
          <w:rStyle w:val="FootnoteReference"/>
        </w:rPr>
        <w:footnoteRef/>
      </w:r>
      <w:r w:rsidRPr="00FD60D1">
        <w:t xml:space="preserve"> </w:t>
      </w:r>
      <w:r w:rsidRPr="00FD60D1">
        <w:tab/>
        <w:t>25 hours x 10 ANC broker-dealer</w:t>
      </w:r>
      <w:r>
        <w:t xml:space="preserve"> SBSDs</w:t>
      </w:r>
      <w:r w:rsidRPr="00FD60D1">
        <w:t xml:space="preserve"> = 250 hours. </w:t>
      </w:r>
    </w:p>
  </w:footnote>
  <w:footnote w:id="78">
    <w:p w:rsidR="001A54DB" w:rsidRPr="00FD60D1" w:rsidRDefault="001A54DB" w:rsidP="003A6C71">
      <w:pPr>
        <w:pStyle w:val="FootnoteText"/>
        <w:spacing w:after="120"/>
        <w:rPr>
          <w:b/>
        </w:rPr>
      </w:pPr>
      <w:r w:rsidRPr="00FD60D1">
        <w:rPr>
          <w:rStyle w:val="FootnoteReference"/>
        </w:rPr>
        <w:footnoteRef/>
      </w:r>
      <w:r w:rsidRPr="00FD60D1">
        <w:t xml:space="preserve"> </w:t>
      </w:r>
      <w:r w:rsidRPr="00FD60D1">
        <w:tab/>
        <w:t>228 hours x 10 ANC broker-dealer</w:t>
      </w:r>
      <w:r>
        <w:t xml:space="preserve"> SBSDs</w:t>
      </w:r>
      <w:r w:rsidRPr="00FD60D1">
        <w:t xml:space="preserve"> = 2,280 hours. </w:t>
      </w:r>
    </w:p>
  </w:footnote>
  <w:footnote w:id="79">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t>(2</w:t>
      </w:r>
      <w:r>
        <w:t>50</w:t>
      </w:r>
      <w:r w:rsidRPr="00FD60D1">
        <w:t xml:space="preserve"> hours in first year + 2,280 hours in first year) + 2,280 hours in second year + 2,280 hours in third year = 7,090 hours.</w:t>
      </w:r>
    </w:p>
  </w:footnote>
  <w:footnote w:id="80">
    <w:p w:rsidR="001A54DB" w:rsidRPr="00FD60D1" w:rsidRDefault="001A54DB" w:rsidP="003A6C71">
      <w:pPr>
        <w:pStyle w:val="FootnoteText"/>
        <w:spacing w:after="120"/>
      </w:pPr>
      <w:r w:rsidRPr="00FD60D1">
        <w:rPr>
          <w:rStyle w:val="FootnoteReference"/>
        </w:rPr>
        <w:footnoteRef/>
      </w:r>
      <w:r w:rsidRPr="00FD60D1">
        <w:t xml:space="preserve"> </w:t>
      </w:r>
      <w:r w:rsidRPr="00FD60D1">
        <w:tab/>
        <w:t>7,090 hours / 3 years = 2,363</w:t>
      </w:r>
      <w:r>
        <w:t>.33</w:t>
      </w:r>
      <w:r w:rsidRPr="00FD60D1">
        <w:t xml:space="preserve"> hours per year.</w:t>
      </w:r>
    </w:p>
  </w:footnote>
  <w:footnote w:id="81">
    <w:p w:rsidR="001A54DB" w:rsidRPr="00FD60D1" w:rsidRDefault="001A54DB" w:rsidP="003A6C71">
      <w:pPr>
        <w:pStyle w:val="FootnoteText"/>
        <w:spacing w:after="120"/>
        <w:ind w:left="720" w:hanging="720"/>
      </w:pPr>
      <w:r w:rsidRPr="00FD60D1">
        <w:rPr>
          <w:rStyle w:val="FootnoteReference"/>
        </w:rPr>
        <w:footnoteRef/>
      </w:r>
      <w:r w:rsidRPr="00FD60D1">
        <w:t xml:space="preserve"> </w:t>
      </w:r>
      <w:r w:rsidRPr="00FD60D1">
        <w:tab/>
      </w:r>
      <w:r w:rsidRPr="00FD60D1">
        <w:rPr>
          <w:i/>
        </w:rPr>
        <w:t>See</w:t>
      </w:r>
      <w:r w:rsidRPr="00FD60D1">
        <w:t xml:space="preserve"> paragraph (a)(5)(vii) of Rule 17a-5, as proposed to be amended.  </w:t>
      </w:r>
    </w:p>
  </w:footnote>
  <w:footnote w:id="82">
    <w:p w:rsidR="001A54DB" w:rsidRPr="00FD60D1" w:rsidRDefault="001A54DB" w:rsidP="003A6C71">
      <w:pPr>
        <w:pStyle w:val="FootnoteText"/>
        <w:spacing w:after="120"/>
      </w:pPr>
      <w:r w:rsidRPr="00FD60D1">
        <w:rPr>
          <w:rStyle w:val="FootnoteReference"/>
        </w:rPr>
        <w:footnoteRef/>
      </w:r>
      <w:r w:rsidRPr="00FD60D1">
        <w:t xml:space="preserve"> </w:t>
      </w:r>
      <w:r w:rsidRPr="00FD60D1">
        <w:tab/>
        <w:t>12 hours x 10 ANC broker-dealers = 120 hours.</w:t>
      </w:r>
    </w:p>
  </w:footnote>
  <w:footnote w:id="83">
    <w:p w:rsidR="001A54DB" w:rsidRDefault="001A54DB" w:rsidP="00415FB1">
      <w:pPr>
        <w:pStyle w:val="FootnoteText"/>
        <w:spacing w:after="120"/>
      </w:pPr>
      <w:r>
        <w:rPr>
          <w:rStyle w:val="FootnoteReference"/>
        </w:rPr>
        <w:footnoteRef/>
      </w:r>
      <w:r>
        <w:t xml:space="preserve"> </w:t>
      </w:r>
      <w:r>
        <w:tab/>
        <w:t>$150,000 per year x 203 carrying broker-dealers = $30,450,000.</w:t>
      </w:r>
    </w:p>
  </w:footnote>
  <w:footnote w:id="84">
    <w:p w:rsidR="001A54DB" w:rsidRDefault="001A54DB" w:rsidP="003A6C71">
      <w:pPr>
        <w:pStyle w:val="FootnoteText"/>
        <w:spacing w:after="120"/>
      </w:pPr>
      <w:r>
        <w:rPr>
          <w:rStyle w:val="FootnoteReference"/>
        </w:rPr>
        <w:footnoteRef/>
      </w:r>
      <w:r>
        <w:t xml:space="preserve"> </w:t>
      </w:r>
      <w:r>
        <w:tab/>
        <w:t>$3,000 per year x 4,342 non-carrying broker-dealers = $13,026,000.</w:t>
      </w:r>
    </w:p>
  </w:footnote>
  <w:footnote w:id="85">
    <w:p w:rsidR="001A54DB" w:rsidRDefault="001A54DB" w:rsidP="003A6C71">
      <w:pPr>
        <w:pStyle w:val="FootnoteText"/>
        <w:spacing w:after="120"/>
      </w:pPr>
      <w:r>
        <w:rPr>
          <w:rStyle w:val="FootnoteReference"/>
        </w:rPr>
        <w:footnoteRef/>
      </w:r>
      <w:r>
        <w:t xml:space="preserve"> </w:t>
      </w:r>
      <w:r>
        <w:tab/>
        <w:t>$30,450,000 + $13,026,000 = $43,476,000.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D1E00"/>
    <w:multiLevelType w:val="hybridMultilevel"/>
    <w:tmpl w:val="E2765B2A"/>
    <w:lvl w:ilvl="0" w:tplc="04090015">
      <w:start w:val="1"/>
      <w:numFmt w:val="upp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6B1B76"/>
    <w:multiLevelType w:val="hybridMultilevel"/>
    <w:tmpl w:val="F3DC0844"/>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57B6605"/>
    <w:multiLevelType w:val="hybridMultilevel"/>
    <w:tmpl w:val="5FDAC168"/>
    <w:lvl w:ilvl="0" w:tplc="2A660C18">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9121701"/>
    <w:multiLevelType w:val="hybridMultilevel"/>
    <w:tmpl w:val="EAD23128"/>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2F62E7"/>
    <w:multiLevelType w:val="hybridMultilevel"/>
    <w:tmpl w:val="E2765B2A"/>
    <w:lvl w:ilvl="0" w:tplc="04090015">
      <w:start w:val="1"/>
      <w:numFmt w:val="upp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CA0E02"/>
    <w:multiLevelType w:val="hybridMultilevel"/>
    <w:tmpl w:val="8AE6399C"/>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5B1F2A"/>
    <w:multiLevelType w:val="hybridMultilevel"/>
    <w:tmpl w:val="E2765B2A"/>
    <w:lvl w:ilvl="0" w:tplc="04090015">
      <w:start w:val="1"/>
      <w:numFmt w:val="upp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1491ACB"/>
    <w:multiLevelType w:val="hybridMultilevel"/>
    <w:tmpl w:val="8AE6399C"/>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22F11FE"/>
    <w:multiLevelType w:val="hybridMultilevel"/>
    <w:tmpl w:val="75D4CBE6"/>
    <w:lvl w:ilvl="0" w:tplc="04090015">
      <w:start w:val="1"/>
      <w:numFmt w:val="upp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B42008"/>
    <w:multiLevelType w:val="hybridMultilevel"/>
    <w:tmpl w:val="EAD23128"/>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7B91F8B"/>
    <w:multiLevelType w:val="hybridMultilevel"/>
    <w:tmpl w:val="8AE6399C"/>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21100E1"/>
    <w:multiLevelType w:val="hybridMultilevel"/>
    <w:tmpl w:val="EAD23128"/>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8B1F8B"/>
    <w:multiLevelType w:val="hybridMultilevel"/>
    <w:tmpl w:val="F3DC0844"/>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7DE4C96"/>
    <w:multiLevelType w:val="hybridMultilevel"/>
    <w:tmpl w:val="EAD23128"/>
    <w:lvl w:ilvl="0" w:tplc="FB824634">
      <w:start w:val="1"/>
      <w:numFmt w:val="upp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10"/>
  </w:num>
  <w:num w:numId="4">
    <w:abstractNumId w:val="5"/>
  </w:num>
  <w:num w:numId="5">
    <w:abstractNumId w:val="13"/>
  </w:num>
  <w:num w:numId="6">
    <w:abstractNumId w:val="12"/>
  </w:num>
  <w:num w:numId="7">
    <w:abstractNumId w:val="3"/>
  </w:num>
  <w:num w:numId="8">
    <w:abstractNumId w:val="2"/>
  </w:num>
  <w:num w:numId="9">
    <w:abstractNumId w:val="4"/>
  </w:num>
  <w:num w:numId="10">
    <w:abstractNumId w:val="8"/>
  </w:num>
  <w:num w:numId="11">
    <w:abstractNumId w:val="6"/>
  </w:num>
  <w:num w:numId="12">
    <w:abstractNumId w:val="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0D"/>
    <w:rsid w:val="0001270D"/>
    <w:rsid w:val="000315C3"/>
    <w:rsid w:val="00031D2D"/>
    <w:rsid w:val="00036005"/>
    <w:rsid w:val="00040B9B"/>
    <w:rsid w:val="00053A91"/>
    <w:rsid w:val="00066B49"/>
    <w:rsid w:val="000715A7"/>
    <w:rsid w:val="000910FB"/>
    <w:rsid w:val="000B0940"/>
    <w:rsid w:val="000B3CC7"/>
    <w:rsid w:val="000D54AE"/>
    <w:rsid w:val="000F5287"/>
    <w:rsid w:val="00111363"/>
    <w:rsid w:val="001230CB"/>
    <w:rsid w:val="001255DF"/>
    <w:rsid w:val="00155508"/>
    <w:rsid w:val="001556A3"/>
    <w:rsid w:val="001915F8"/>
    <w:rsid w:val="001918CA"/>
    <w:rsid w:val="00197535"/>
    <w:rsid w:val="00197D5C"/>
    <w:rsid w:val="001A54DB"/>
    <w:rsid w:val="001A6346"/>
    <w:rsid w:val="001B214B"/>
    <w:rsid w:val="001C7406"/>
    <w:rsid w:val="001D468A"/>
    <w:rsid w:val="001E0321"/>
    <w:rsid w:val="00207362"/>
    <w:rsid w:val="002108DB"/>
    <w:rsid w:val="0022102A"/>
    <w:rsid w:val="002276B4"/>
    <w:rsid w:val="00233FF6"/>
    <w:rsid w:val="00235BCF"/>
    <w:rsid w:val="002367A1"/>
    <w:rsid w:val="00237FBD"/>
    <w:rsid w:val="00243B1E"/>
    <w:rsid w:val="00250ADF"/>
    <w:rsid w:val="002562CF"/>
    <w:rsid w:val="002620EA"/>
    <w:rsid w:val="00271A2E"/>
    <w:rsid w:val="0027254C"/>
    <w:rsid w:val="00280A0B"/>
    <w:rsid w:val="00281E5C"/>
    <w:rsid w:val="00297B45"/>
    <w:rsid w:val="002B6736"/>
    <w:rsid w:val="002E14FC"/>
    <w:rsid w:val="002E322D"/>
    <w:rsid w:val="00316B51"/>
    <w:rsid w:val="00316BF1"/>
    <w:rsid w:val="00321A36"/>
    <w:rsid w:val="00325993"/>
    <w:rsid w:val="00334BD2"/>
    <w:rsid w:val="003407AC"/>
    <w:rsid w:val="003422F5"/>
    <w:rsid w:val="0035738A"/>
    <w:rsid w:val="003730EF"/>
    <w:rsid w:val="00384B66"/>
    <w:rsid w:val="00387E6E"/>
    <w:rsid w:val="003918D0"/>
    <w:rsid w:val="0039226B"/>
    <w:rsid w:val="003A6C71"/>
    <w:rsid w:val="003B4416"/>
    <w:rsid w:val="003C0F53"/>
    <w:rsid w:val="003C38CB"/>
    <w:rsid w:val="003C595B"/>
    <w:rsid w:val="003C7B99"/>
    <w:rsid w:val="003D1589"/>
    <w:rsid w:val="003E5682"/>
    <w:rsid w:val="003F644D"/>
    <w:rsid w:val="003F655C"/>
    <w:rsid w:val="00400A57"/>
    <w:rsid w:val="00415FB1"/>
    <w:rsid w:val="00421F64"/>
    <w:rsid w:val="00426019"/>
    <w:rsid w:val="00433368"/>
    <w:rsid w:val="0044145E"/>
    <w:rsid w:val="0045420B"/>
    <w:rsid w:val="00460AEC"/>
    <w:rsid w:val="00467DB2"/>
    <w:rsid w:val="00474D94"/>
    <w:rsid w:val="00490EA4"/>
    <w:rsid w:val="004912E4"/>
    <w:rsid w:val="004B53F3"/>
    <w:rsid w:val="004B577B"/>
    <w:rsid w:val="004C2F8D"/>
    <w:rsid w:val="004C6FCB"/>
    <w:rsid w:val="004C717D"/>
    <w:rsid w:val="004D0292"/>
    <w:rsid w:val="004D59B2"/>
    <w:rsid w:val="004E598A"/>
    <w:rsid w:val="004F6C92"/>
    <w:rsid w:val="00500050"/>
    <w:rsid w:val="00523B63"/>
    <w:rsid w:val="005255D3"/>
    <w:rsid w:val="005344C2"/>
    <w:rsid w:val="00547495"/>
    <w:rsid w:val="00552EE6"/>
    <w:rsid w:val="005538BF"/>
    <w:rsid w:val="005549FF"/>
    <w:rsid w:val="00563417"/>
    <w:rsid w:val="00591431"/>
    <w:rsid w:val="005A4016"/>
    <w:rsid w:val="005C49E6"/>
    <w:rsid w:val="005C6D5E"/>
    <w:rsid w:val="005E14DC"/>
    <w:rsid w:val="005E79C5"/>
    <w:rsid w:val="005F5E2B"/>
    <w:rsid w:val="006252DA"/>
    <w:rsid w:val="0063098C"/>
    <w:rsid w:val="00645071"/>
    <w:rsid w:val="006558A0"/>
    <w:rsid w:val="00675F2B"/>
    <w:rsid w:val="006846FE"/>
    <w:rsid w:val="006853A3"/>
    <w:rsid w:val="006D532F"/>
    <w:rsid w:val="006F4BDE"/>
    <w:rsid w:val="006F72D5"/>
    <w:rsid w:val="006F734B"/>
    <w:rsid w:val="007006E7"/>
    <w:rsid w:val="00704781"/>
    <w:rsid w:val="00707E27"/>
    <w:rsid w:val="00735DCA"/>
    <w:rsid w:val="00741BAC"/>
    <w:rsid w:val="00743CB5"/>
    <w:rsid w:val="0076192B"/>
    <w:rsid w:val="00767B0E"/>
    <w:rsid w:val="00782F53"/>
    <w:rsid w:val="00797999"/>
    <w:rsid w:val="007A6203"/>
    <w:rsid w:val="007B2C0B"/>
    <w:rsid w:val="007C6554"/>
    <w:rsid w:val="007F2FB3"/>
    <w:rsid w:val="00801044"/>
    <w:rsid w:val="008036C7"/>
    <w:rsid w:val="00803964"/>
    <w:rsid w:val="00814E32"/>
    <w:rsid w:val="008223FB"/>
    <w:rsid w:val="00831DEC"/>
    <w:rsid w:val="00833082"/>
    <w:rsid w:val="00833398"/>
    <w:rsid w:val="00853D9D"/>
    <w:rsid w:val="008651D6"/>
    <w:rsid w:val="00865444"/>
    <w:rsid w:val="00867E54"/>
    <w:rsid w:val="00871BA8"/>
    <w:rsid w:val="008726DB"/>
    <w:rsid w:val="008862E8"/>
    <w:rsid w:val="00894324"/>
    <w:rsid w:val="008A0D4C"/>
    <w:rsid w:val="008C6BEB"/>
    <w:rsid w:val="008D2245"/>
    <w:rsid w:val="00910426"/>
    <w:rsid w:val="0091059F"/>
    <w:rsid w:val="00926F67"/>
    <w:rsid w:val="00941F97"/>
    <w:rsid w:val="00946A9B"/>
    <w:rsid w:val="0095704F"/>
    <w:rsid w:val="00974684"/>
    <w:rsid w:val="009A77EA"/>
    <w:rsid w:val="009B6200"/>
    <w:rsid w:val="009C48AA"/>
    <w:rsid w:val="009F6643"/>
    <w:rsid w:val="009F74E1"/>
    <w:rsid w:val="00A00491"/>
    <w:rsid w:val="00A06488"/>
    <w:rsid w:val="00A62FB1"/>
    <w:rsid w:val="00A6494D"/>
    <w:rsid w:val="00A66FCB"/>
    <w:rsid w:val="00A73B9A"/>
    <w:rsid w:val="00A768C6"/>
    <w:rsid w:val="00A85437"/>
    <w:rsid w:val="00A92B28"/>
    <w:rsid w:val="00A9390B"/>
    <w:rsid w:val="00A9797D"/>
    <w:rsid w:val="00AD0045"/>
    <w:rsid w:val="00AD0446"/>
    <w:rsid w:val="00AF17FF"/>
    <w:rsid w:val="00AF3A71"/>
    <w:rsid w:val="00AF74B4"/>
    <w:rsid w:val="00B0689B"/>
    <w:rsid w:val="00B17819"/>
    <w:rsid w:val="00B22587"/>
    <w:rsid w:val="00B66231"/>
    <w:rsid w:val="00B771E2"/>
    <w:rsid w:val="00B92CEC"/>
    <w:rsid w:val="00B9414A"/>
    <w:rsid w:val="00B966B2"/>
    <w:rsid w:val="00B96E96"/>
    <w:rsid w:val="00BA17F6"/>
    <w:rsid w:val="00BA5AE4"/>
    <w:rsid w:val="00BB1E90"/>
    <w:rsid w:val="00BB2F94"/>
    <w:rsid w:val="00BB41C3"/>
    <w:rsid w:val="00BE261F"/>
    <w:rsid w:val="00BE43CA"/>
    <w:rsid w:val="00C03305"/>
    <w:rsid w:val="00C05F34"/>
    <w:rsid w:val="00C24AE5"/>
    <w:rsid w:val="00C32235"/>
    <w:rsid w:val="00C43888"/>
    <w:rsid w:val="00C704B3"/>
    <w:rsid w:val="00C87813"/>
    <w:rsid w:val="00CA1CDB"/>
    <w:rsid w:val="00CC5835"/>
    <w:rsid w:val="00CD4F5D"/>
    <w:rsid w:val="00CF50F8"/>
    <w:rsid w:val="00D17D30"/>
    <w:rsid w:val="00D225F5"/>
    <w:rsid w:val="00D334B5"/>
    <w:rsid w:val="00D57A4F"/>
    <w:rsid w:val="00D604AD"/>
    <w:rsid w:val="00D76271"/>
    <w:rsid w:val="00D8187C"/>
    <w:rsid w:val="00D85488"/>
    <w:rsid w:val="00D91347"/>
    <w:rsid w:val="00D9486E"/>
    <w:rsid w:val="00D96735"/>
    <w:rsid w:val="00DA1306"/>
    <w:rsid w:val="00DB35B5"/>
    <w:rsid w:val="00DD149B"/>
    <w:rsid w:val="00DD2A43"/>
    <w:rsid w:val="00DE198B"/>
    <w:rsid w:val="00DF4ADB"/>
    <w:rsid w:val="00E16F8F"/>
    <w:rsid w:val="00E35944"/>
    <w:rsid w:val="00E75EC2"/>
    <w:rsid w:val="00E84A54"/>
    <w:rsid w:val="00EA1BAE"/>
    <w:rsid w:val="00EB632A"/>
    <w:rsid w:val="00EC41C3"/>
    <w:rsid w:val="00ED5884"/>
    <w:rsid w:val="00EE054E"/>
    <w:rsid w:val="00EE5E73"/>
    <w:rsid w:val="00EF4180"/>
    <w:rsid w:val="00F070D5"/>
    <w:rsid w:val="00F17E44"/>
    <w:rsid w:val="00F2739B"/>
    <w:rsid w:val="00F279BE"/>
    <w:rsid w:val="00F33C68"/>
    <w:rsid w:val="00F40BD6"/>
    <w:rsid w:val="00F44CE8"/>
    <w:rsid w:val="00F56FCF"/>
    <w:rsid w:val="00F62122"/>
    <w:rsid w:val="00F625ED"/>
    <w:rsid w:val="00F6597A"/>
    <w:rsid w:val="00F70966"/>
    <w:rsid w:val="00F82768"/>
    <w:rsid w:val="00F85F40"/>
    <w:rsid w:val="00F91EC0"/>
    <w:rsid w:val="00FA2D1F"/>
    <w:rsid w:val="00FB27F6"/>
    <w:rsid w:val="00FC23B0"/>
    <w:rsid w:val="00FD041B"/>
    <w:rsid w:val="00FD478F"/>
    <w:rsid w:val="00FD60D1"/>
    <w:rsid w:val="00FE0B50"/>
    <w:rsid w:val="00FE25C6"/>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414A"/>
    <w:pPr>
      <w:overflowPunct w:val="0"/>
      <w:autoSpaceDE w:val="0"/>
      <w:autoSpaceDN w:val="0"/>
      <w:adjustRightInd w:val="0"/>
      <w:textAlignment w:val="baseline"/>
    </w:pPr>
    <w:rPr>
      <w:rFonts w:ascii="CG Times" w:hAnsi="CG Times"/>
      <w:szCs w:val="20"/>
    </w:rPr>
  </w:style>
  <w:style w:type="character" w:customStyle="1" w:styleId="BodyTextChar">
    <w:name w:val="Body Text Char"/>
    <w:basedOn w:val="DefaultParagraphFont"/>
    <w:link w:val="BodyText"/>
    <w:rsid w:val="00B9414A"/>
    <w:rPr>
      <w:rFonts w:ascii="CG Times" w:eastAsia="Times New Roman" w:hAnsi="CG Times" w:cs="Times New Roman"/>
      <w:sz w:val="24"/>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qFormat/>
    <w:rsid w:val="00B9414A"/>
    <w:pPr>
      <w:overflowPunct w:val="0"/>
      <w:autoSpaceDE w:val="0"/>
      <w:autoSpaceDN w:val="0"/>
      <w:adjustRightInd w:val="0"/>
      <w:textAlignment w:val="baseline"/>
    </w:pPr>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rsid w:val="00B9414A"/>
    <w:rPr>
      <w:rFonts w:ascii="Times New Roman" w:eastAsia="Times New Roman" w:hAnsi="Times New Roman" w:cs="Times New Roman"/>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
    <w:basedOn w:val="DefaultParagraphFont"/>
    <w:qFormat/>
    <w:rsid w:val="00B9414A"/>
    <w:rPr>
      <w:vertAlign w:val="superscript"/>
    </w:rPr>
  </w:style>
  <w:style w:type="character" w:styleId="PageNumber">
    <w:name w:val="page number"/>
    <w:basedOn w:val="DefaultParagraphFont"/>
    <w:rsid w:val="00B9414A"/>
  </w:style>
  <w:style w:type="paragraph" w:styleId="Title">
    <w:name w:val="Title"/>
    <w:basedOn w:val="Normal"/>
    <w:link w:val="TitleChar"/>
    <w:qFormat/>
    <w:rsid w:val="00B9414A"/>
    <w:pPr>
      <w:overflowPunct w:val="0"/>
      <w:autoSpaceDE w:val="0"/>
      <w:autoSpaceDN w:val="0"/>
      <w:adjustRightInd w:val="0"/>
      <w:jc w:val="center"/>
      <w:textAlignment w:val="baseline"/>
    </w:pPr>
    <w:rPr>
      <w:rFonts w:ascii="CG Times" w:hAnsi="CG Times"/>
      <w:b/>
      <w:szCs w:val="20"/>
      <w:u w:val="single"/>
    </w:rPr>
  </w:style>
  <w:style w:type="character" w:customStyle="1" w:styleId="TitleChar">
    <w:name w:val="Title Char"/>
    <w:basedOn w:val="DefaultParagraphFont"/>
    <w:link w:val="Title"/>
    <w:rsid w:val="00B9414A"/>
    <w:rPr>
      <w:rFonts w:ascii="CG Times" w:eastAsia="Times New Roman" w:hAnsi="CG Times" w:cs="Times New Roman"/>
      <w:b/>
      <w:sz w:val="24"/>
      <w:szCs w:val="20"/>
      <w:u w:val="single"/>
    </w:rPr>
  </w:style>
  <w:style w:type="paragraph" w:styleId="Footer">
    <w:name w:val="footer"/>
    <w:basedOn w:val="Normal"/>
    <w:link w:val="FooterChar"/>
    <w:uiPriority w:val="99"/>
    <w:rsid w:val="00B9414A"/>
    <w:pPr>
      <w:tabs>
        <w:tab w:val="center" w:pos="4320"/>
        <w:tab w:val="right" w:pos="8640"/>
      </w:tabs>
    </w:pPr>
  </w:style>
  <w:style w:type="character" w:customStyle="1" w:styleId="FooterChar">
    <w:name w:val="Footer Char"/>
    <w:basedOn w:val="DefaultParagraphFont"/>
    <w:link w:val="Footer"/>
    <w:uiPriority w:val="99"/>
    <w:rsid w:val="00B9414A"/>
    <w:rPr>
      <w:rFonts w:ascii="Times New Roman" w:eastAsia="Times New Roman" w:hAnsi="Times New Roman" w:cs="Times New Roman"/>
      <w:sz w:val="24"/>
      <w:szCs w:val="24"/>
    </w:rPr>
  </w:style>
  <w:style w:type="paragraph" w:styleId="BodyTextIndent3">
    <w:name w:val="Body Text Indent 3"/>
    <w:basedOn w:val="Normal"/>
    <w:link w:val="BodyTextIndent3Char"/>
    <w:rsid w:val="00B9414A"/>
    <w:pPr>
      <w:ind w:firstLine="720"/>
    </w:pPr>
    <w:rPr>
      <w:rFonts w:ascii="CG Times" w:hAnsi="CG Times"/>
    </w:rPr>
  </w:style>
  <w:style w:type="character" w:customStyle="1" w:styleId="BodyTextIndent3Char">
    <w:name w:val="Body Text Indent 3 Char"/>
    <w:basedOn w:val="DefaultParagraphFont"/>
    <w:link w:val="BodyTextIndent3"/>
    <w:rsid w:val="00B9414A"/>
    <w:rPr>
      <w:rFonts w:ascii="CG Times" w:eastAsia="Times New Roman" w:hAnsi="CG Times" w:cs="Times New Roman"/>
      <w:sz w:val="24"/>
      <w:szCs w:val="24"/>
    </w:rPr>
  </w:style>
  <w:style w:type="paragraph" w:customStyle="1" w:styleId="Default">
    <w:name w:val="Default"/>
    <w:rsid w:val="00B9414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F734B"/>
    <w:rPr>
      <w:sz w:val="16"/>
      <w:szCs w:val="16"/>
    </w:rPr>
  </w:style>
  <w:style w:type="paragraph" w:styleId="CommentText">
    <w:name w:val="annotation text"/>
    <w:basedOn w:val="Normal"/>
    <w:link w:val="CommentTextChar"/>
    <w:uiPriority w:val="99"/>
    <w:semiHidden/>
    <w:unhideWhenUsed/>
    <w:rsid w:val="006F734B"/>
    <w:rPr>
      <w:sz w:val="20"/>
      <w:szCs w:val="20"/>
    </w:rPr>
  </w:style>
  <w:style w:type="character" w:customStyle="1" w:styleId="CommentTextChar">
    <w:name w:val="Comment Text Char"/>
    <w:basedOn w:val="DefaultParagraphFont"/>
    <w:link w:val="CommentText"/>
    <w:uiPriority w:val="99"/>
    <w:semiHidden/>
    <w:rsid w:val="006F73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34B"/>
    <w:rPr>
      <w:b/>
      <w:bCs/>
    </w:rPr>
  </w:style>
  <w:style w:type="character" w:customStyle="1" w:styleId="CommentSubjectChar">
    <w:name w:val="Comment Subject Char"/>
    <w:basedOn w:val="CommentTextChar"/>
    <w:link w:val="CommentSubject"/>
    <w:uiPriority w:val="99"/>
    <w:semiHidden/>
    <w:rsid w:val="006F73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734B"/>
    <w:rPr>
      <w:rFonts w:ascii="Tahoma" w:hAnsi="Tahoma" w:cs="Tahoma"/>
      <w:sz w:val="16"/>
      <w:szCs w:val="16"/>
    </w:rPr>
  </w:style>
  <w:style w:type="character" w:customStyle="1" w:styleId="BalloonTextChar">
    <w:name w:val="Balloon Text Char"/>
    <w:basedOn w:val="DefaultParagraphFont"/>
    <w:link w:val="BalloonText"/>
    <w:uiPriority w:val="99"/>
    <w:semiHidden/>
    <w:rsid w:val="006F734B"/>
    <w:rPr>
      <w:rFonts w:ascii="Tahoma" w:eastAsia="Times New Roman" w:hAnsi="Tahoma" w:cs="Tahoma"/>
      <w:sz w:val="16"/>
      <w:szCs w:val="16"/>
    </w:rPr>
  </w:style>
  <w:style w:type="character" w:styleId="Hyperlink">
    <w:name w:val="Hyperlink"/>
    <w:basedOn w:val="DefaultParagraphFont"/>
    <w:uiPriority w:val="99"/>
    <w:unhideWhenUsed/>
    <w:rsid w:val="00297B45"/>
    <w:rPr>
      <w:color w:val="0000FF" w:themeColor="hyperlink"/>
      <w:u w:val="single"/>
    </w:rPr>
  </w:style>
  <w:style w:type="table" w:styleId="TableGrid">
    <w:name w:val="Table Grid"/>
    <w:basedOn w:val="TableNormal"/>
    <w:uiPriority w:val="59"/>
    <w:rsid w:val="00A939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414A"/>
    <w:pPr>
      <w:overflowPunct w:val="0"/>
      <w:autoSpaceDE w:val="0"/>
      <w:autoSpaceDN w:val="0"/>
      <w:adjustRightInd w:val="0"/>
      <w:textAlignment w:val="baseline"/>
    </w:pPr>
    <w:rPr>
      <w:rFonts w:ascii="CG Times" w:hAnsi="CG Times"/>
      <w:szCs w:val="20"/>
    </w:rPr>
  </w:style>
  <w:style w:type="character" w:customStyle="1" w:styleId="BodyTextChar">
    <w:name w:val="Body Text Char"/>
    <w:basedOn w:val="DefaultParagraphFont"/>
    <w:link w:val="BodyText"/>
    <w:rsid w:val="00B9414A"/>
    <w:rPr>
      <w:rFonts w:ascii="CG Times" w:eastAsia="Times New Roman" w:hAnsi="CG Times" w:cs="Times New Roman"/>
      <w:sz w:val="24"/>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qFormat/>
    <w:rsid w:val="00B9414A"/>
    <w:pPr>
      <w:overflowPunct w:val="0"/>
      <w:autoSpaceDE w:val="0"/>
      <w:autoSpaceDN w:val="0"/>
      <w:adjustRightInd w:val="0"/>
      <w:textAlignment w:val="baseline"/>
    </w:pPr>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rsid w:val="00B9414A"/>
    <w:rPr>
      <w:rFonts w:ascii="Times New Roman" w:eastAsia="Times New Roman" w:hAnsi="Times New Roman" w:cs="Times New Roman"/>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
    <w:basedOn w:val="DefaultParagraphFont"/>
    <w:qFormat/>
    <w:rsid w:val="00B9414A"/>
    <w:rPr>
      <w:vertAlign w:val="superscript"/>
    </w:rPr>
  </w:style>
  <w:style w:type="character" w:styleId="PageNumber">
    <w:name w:val="page number"/>
    <w:basedOn w:val="DefaultParagraphFont"/>
    <w:rsid w:val="00B9414A"/>
  </w:style>
  <w:style w:type="paragraph" w:styleId="Title">
    <w:name w:val="Title"/>
    <w:basedOn w:val="Normal"/>
    <w:link w:val="TitleChar"/>
    <w:qFormat/>
    <w:rsid w:val="00B9414A"/>
    <w:pPr>
      <w:overflowPunct w:val="0"/>
      <w:autoSpaceDE w:val="0"/>
      <w:autoSpaceDN w:val="0"/>
      <w:adjustRightInd w:val="0"/>
      <w:jc w:val="center"/>
      <w:textAlignment w:val="baseline"/>
    </w:pPr>
    <w:rPr>
      <w:rFonts w:ascii="CG Times" w:hAnsi="CG Times"/>
      <w:b/>
      <w:szCs w:val="20"/>
      <w:u w:val="single"/>
    </w:rPr>
  </w:style>
  <w:style w:type="character" w:customStyle="1" w:styleId="TitleChar">
    <w:name w:val="Title Char"/>
    <w:basedOn w:val="DefaultParagraphFont"/>
    <w:link w:val="Title"/>
    <w:rsid w:val="00B9414A"/>
    <w:rPr>
      <w:rFonts w:ascii="CG Times" w:eastAsia="Times New Roman" w:hAnsi="CG Times" w:cs="Times New Roman"/>
      <w:b/>
      <w:sz w:val="24"/>
      <w:szCs w:val="20"/>
      <w:u w:val="single"/>
    </w:rPr>
  </w:style>
  <w:style w:type="paragraph" w:styleId="Footer">
    <w:name w:val="footer"/>
    <w:basedOn w:val="Normal"/>
    <w:link w:val="FooterChar"/>
    <w:uiPriority w:val="99"/>
    <w:rsid w:val="00B9414A"/>
    <w:pPr>
      <w:tabs>
        <w:tab w:val="center" w:pos="4320"/>
        <w:tab w:val="right" w:pos="8640"/>
      </w:tabs>
    </w:pPr>
  </w:style>
  <w:style w:type="character" w:customStyle="1" w:styleId="FooterChar">
    <w:name w:val="Footer Char"/>
    <w:basedOn w:val="DefaultParagraphFont"/>
    <w:link w:val="Footer"/>
    <w:uiPriority w:val="99"/>
    <w:rsid w:val="00B9414A"/>
    <w:rPr>
      <w:rFonts w:ascii="Times New Roman" w:eastAsia="Times New Roman" w:hAnsi="Times New Roman" w:cs="Times New Roman"/>
      <w:sz w:val="24"/>
      <w:szCs w:val="24"/>
    </w:rPr>
  </w:style>
  <w:style w:type="paragraph" w:styleId="BodyTextIndent3">
    <w:name w:val="Body Text Indent 3"/>
    <w:basedOn w:val="Normal"/>
    <w:link w:val="BodyTextIndent3Char"/>
    <w:rsid w:val="00B9414A"/>
    <w:pPr>
      <w:ind w:firstLine="720"/>
    </w:pPr>
    <w:rPr>
      <w:rFonts w:ascii="CG Times" w:hAnsi="CG Times"/>
    </w:rPr>
  </w:style>
  <w:style w:type="character" w:customStyle="1" w:styleId="BodyTextIndent3Char">
    <w:name w:val="Body Text Indent 3 Char"/>
    <w:basedOn w:val="DefaultParagraphFont"/>
    <w:link w:val="BodyTextIndent3"/>
    <w:rsid w:val="00B9414A"/>
    <w:rPr>
      <w:rFonts w:ascii="CG Times" w:eastAsia="Times New Roman" w:hAnsi="CG Times" w:cs="Times New Roman"/>
      <w:sz w:val="24"/>
      <w:szCs w:val="24"/>
    </w:rPr>
  </w:style>
  <w:style w:type="paragraph" w:customStyle="1" w:styleId="Default">
    <w:name w:val="Default"/>
    <w:rsid w:val="00B9414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F734B"/>
    <w:rPr>
      <w:sz w:val="16"/>
      <w:szCs w:val="16"/>
    </w:rPr>
  </w:style>
  <w:style w:type="paragraph" w:styleId="CommentText">
    <w:name w:val="annotation text"/>
    <w:basedOn w:val="Normal"/>
    <w:link w:val="CommentTextChar"/>
    <w:uiPriority w:val="99"/>
    <w:semiHidden/>
    <w:unhideWhenUsed/>
    <w:rsid w:val="006F734B"/>
    <w:rPr>
      <w:sz w:val="20"/>
      <w:szCs w:val="20"/>
    </w:rPr>
  </w:style>
  <w:style w:type="character" w:customStyle="1" w:styleId="CommentTextChar">
    <w:name w:val="Comment Text Char"/>
    <w:basedOn w:val="DefaultParagraphFont"/>
    <w:link w:val="CommentText"/>
    <w:uiPriority w:val="99"/>
    <w:semiHidden/>
    <w:rsid w:val="006F73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34B"/>
    <w:rPr>
      <w:b/>
      <w:bCs/>
    </w:rPr>
  </w:style>
  <w:style w:type="character" w:customStyle="1" w:styleId="CommentSubjectChar">
    <w:name w:val="Comment Subject Char"/>
    <w:basedOn w:val="CommentTextChar"/>
    <w:link w:val="CommentSubject"/>
    <w:uiPriority w:val="99"/>
    <w:semiHidden/>
    <w:rsid w:val="006F73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734B"/>
    <w:rPr>
      <w:rFonts w:ascii="Tahoma" w:hAnsi="Tahoma" w:cs="Tahoma"/>
      <w:sz w:val="16"/>
      <w:szCs w:val="16"/>
    </w:rPr>
  </w:style>
  <w:style w:type="character" w:customStyle="1" w:styleId="BalloonTextChar">
    <w:name w:val="Balloon Text Char"/>
    <w:basedOn w:val="DefaultParagraphFont"/>
    <w:link w:val="BalloonText"/>
    <w:uiPriority w:val="99"/>
    <w:semiHidden/>
    <w:rsid w:val="006F734B"/>
    <w:rPr>
      <w:rFonts w:ascii="Tahoma" w:eastAsia="Times New Roman" w:hAnsi="Tahoma" w:cs="Tahoma"/>
      <w:sz w:val="16"/>
      <w:szCs w:val="16"/>
    </w:rPr>
  </w:style>
  <w:style w:type="character" w:styleId="Hyperlink">
    <w:name w:val="Hyperlink"/>
    <w:basedOn w:val="DefaultParagraphFont"/>
    <w:uiPriority w:val="99"/>
    <w:unhideWhenUsed/>
    <w:rsid w:val="00297B45"/>
    <w:rPr>
      <w:color w:val="0000FF" w:themeColor="hyperlink"/>
      <w:u w:val="single"/>
    </w:rPr>
  </w:style>
  <w:style w:type="table" w:styleId="TableGrid">
    <w:name w:val="Table Grid"/>
    <w:basedOn w:val="TableNormal"/>
    <w:uiPriority w:val="59"/>
    <w:rsid w:val="00A939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460">
      <w:bodyDiv w:val="1"/>
      <w:marLeft w:val="0"/>
      <w:marRight w:val="0"/>
      <w:marTop w:val="0"/>
      <w:marBottom w:val="0"/>
      <w:divBdr>
        <w:top w:val="none" w:sz="0" w:space="0" w:color="auto"/>
        <w:left w:val="none" w:sz="0" w:space="0" w:color="auto"/>
        <w:bottom w:val="none" w:sz="0" w:space="0" w:color="auto"/>
        <w:right w:val="none" w:sz="0" w:space="0" w:color="auto"/>
      </w:divBdr>
    </w:div>
    <w:div w:id="88932821">
      <w:bodyDiv w:val="1"/>
      <w:marLeft w:val="0"/>
      <w:marRight w:val="0"/>
      <w:marTop w:val="0"/>
      <w:marBottom w:val="0"/>
      <w:divBdr>
        <w:top w:val="none" w:sz="0" w:space="0" w:color="auto"/>
        <w:left w:val="none" w:sz="0" w:space="0" w:color="auto"/>
        <w:bottom w:val="none" w:sz="0" w:space="0" w:color="auto"/>
        <w:right w:val="none" w:sz="0" w:space="0" w:color="auto"/>
      </w:divBdr>
    </w:div>
    <w:div w:id="103161453">
      <w:bodyDiv w:val="1"/>
      <w:marLeft w:val="0"/>
      <w:marRight w:val="0"/>
      <w:marTop w:val="0"/>
      <w:marBottom w:val="0"/>
      <w:divBdr>
        <w:top w:val="none" w:sz="0" w:space="0" w:color="auto"/>
        <w:left w:val="none" w:sz="0" w:space="0" w:color="auto"/>
        <w:bottom w:val="none" w:sz="0" w:space="0" w:color="auto"/>
        <w:right w:val="none" w:sz="0" w:space="0" w:color="auto"/>
      </w:divBdr>
    </w:div>
    <w:div w:id="125240458">
      <w:bodyDiv w:val="1"/>
      <w:marLeft w:val="0"/>
      <w:marRight w:val="0"/>
      <w:marTop w:val="0"/>
      <w:marBottom w:val="0"/>
      <w:divBdr>
        <w:top w:val="none" w:sz="0" w:space="0" w:color="auto"/>
        <w:left w:val="none" w:sz="0" w:space="0" w:color="auto"/>
        <w:bottom w:val="none" w:sz="0" w:space="0" w:color="auto"/>
        <w:right w:val="none" w:sz="0" w:space="0" w:color="auto"/>
      </w:divBdr>
    </w:div>
    <w:div w:id="185487934">
      <w:bodyDiv w:val="1"/>
      <w:marLeft w:val="0"/>
      <w:marRight w:val="0"/>
      <w:marTop w:val="0"/>
      <w:marBottom w:val="0"/>
      <w:divBdr>
        <w:top w:val="none" w:sz="0" w:space="0" w:color="auto"/>
        <w:left w:val="none" w:sz="0" w:space="0" w:color="auto"/>
        <w:bottom w:val="none" w:sz="0" w:space="0" w:color="auto"/>
        <w:right w:val="none" w:sz="0" w:space="0" w:color="auto"/>
      </w:divBdr>
    </w:div>
    <w:div w:id="193546776">
      <w:bodyDiv w:val="1"/>
      <w:marLeft w:val="0"/>
      <w:marRight w:val="0"/>
      <w:marTop w:val="0"/>
      <w:marBottom w:val="0"/>
      <w:divBdr>
        <w:top w:val="none" w:sz="0" w:space="0" w:color="auto"/>
        <w:left w:val="none" w:sz="0" w:space="0" w:color="auto"/>
        <w:bottom w:val="none" w:sz="0" w:space="0" w:color="auto"/>
        <w:right w:val="none" w:sz="0" w:space="0" w:color="auto"/>
      </w:divBdr>
    </w:div>
    <w:div w:id="252663976">
      <w:bodyDiv w:val="1"/>
      <w:marLeft w:val="0"/>
      <w:marRight w:val="0"/>
      <w:marTop w:val="0"/>
      <w:marBottom w:val="0"/>
      <w:divBdr>
        <w:top w:val="none" w:sz="0" w:space="0" w:color="auto"/>
        <w:left w:val="none" w:sz="0" w:space="0" w:color="auto"/>
        <w:bottom w:val="none" w:sz="0" w:space="0" w:color="auto"/>
        <w:right w:val="none" w:sz="0" w:space="0" w:color="auto"/>
      </w:divBdr>
    </w:div>
    <w:div w:id="281233467">
      <w:bodyDiv w:val="1"/>
      <w:marLeft w:val="0"/>
      <w:marRight w:val="0"/>
      <w:marTop w:val="0"/>
      <w:marBottom w:val="0"/>
      <w:divBdr>
        <w:top w:val="none" w:sz="0" w:space="0" w:color="auto"/>
        <w:left w:val="none" w:sz="0" w:space="0" w:color="auto"/>
        <w:bottom w:val="none" w:sz="0" w:space="0" w:color="auto"/>
        <w:right w:val="none" w:sz="0" w:space="0" w:color="auto"/>
      </w:divBdr>
    </w:div>
    <w:div w:id="312298594">
      <w:bodyDiv w:val="1"/>
      <w:marLeft w:val="0"/>
      <w:marRight w:val="0"/>
      <w:marTop w:val="0"/>
      <w:marBottom w:val="0"/>
      <w:divBdr>
        <w:top w:val="none" w:sz="0" w:space="0" w:color="auto"/>
        <w:left w:val="none" w:sz="0" w:space="0" w:color="auto"/>
        <w:bottom w:val="none" w:sz="0" w:space="0" w:color="auto"/>
        <w:right w:val="none" w:sz="0" w:space="0" w:color="auto"/>
      </w:divBdr>
    </w:div>
    <w:div w:id="566454860">
      <w:bodyDiv w:val="1"/>
      <w:marLeft w:val="0"/>
      <w:marRight w:val="0"/>
      <w:marTop w:val="0"/>
      <w:marBottom w:val="0"/>
      <w:divBdr>
        <w:top w:val="none" w:sz="0" w:space="0" w:color="auto"/>
        <w:left w:val="none" w:sz="0" w:space="0" w:color="auto"/>
        <w:bottom w:val="none" w:sz="0" w:space="0" w:color="auto"/>
        <w:right w:val="none" w:sz="0" w:space="0" w:color="auto"/>
      </w:divBdr>
    </w:div>
    <w:div w:id="621883922">
      <w:bodyDiv w:val="1"/>
      <w:marLeft w:val="0"/>
      <w:marRight w:val="0"/>
      <w:marTop w:val="0"/>
      <w:marBottom w:val="0"/>
      <w:divBdr>
        <w:top w:val="none" w:sz="0" w:space="0" w:color="auto"/>
        <w:left w:val="none" w:sz="0" w:space="0" w:color="auto"/>
        <w:bottom w:val="none" w:sz="0" w:space="0" w:color="auto"/>
        <w:right w:val="none" w:sz="0" w:space="0" w:color="auto"/>
      </w:divBdr>
    </w:div>
    <w:div w:id="1222252667">
      <w:bodyDiv w:val="1"/>
      <w:marLeft w:val="0"/>
      <w:marRight w:val="0"/>
      <w:marTop w:val="0"/>
      <w:marBottom w:val="0"/>
      <w:divBdr>
        <w:top w:val="none" w:sz="0" w:space="0" w:color="auto"/>
        <w:left w:val="none" w:sz="0" w:space="0" w:color="auto"/>
        <w:bottom w:val="none" w:sz="0" w:space="0" w:color="auto"/>
        <w:right w:val="none" w:sz="0" w:space="0" w:color="auto"/>
      </w:divBdr>
    </w:div>
    <w:div w:id="1256286097">
      <w:bodyDiv w:val="1"/>
      <w:marLeft w:val="0"/>
      <w:marRight w:val="0"/>
      <w:marTop w:val="0"/>
      <w:marBottom w:val="0"/>
      <w:divBdr>
        <w:top w:val="none" w:sz="0" w:space="0" w:color="auto"/>
        <w:left w:val="none" w:sz="0" w:space="0" w:color="auto"/>
        <w:bottom w:val="none" w:sz="0" w:space="0" w:color="auto"/>
        <w:right w:val="none" w:sz="0" w:space="0" w:color="auto"/>
      </w:divBdr>
    </w:div>
    <w:div w:id="1346134496">
      <w:bodyDiv w:val="1"/>
      <w:marLeft w:val="0"/>
      <w:marRight w:val="0"/>
      <w:marTop w:val="0"/>
      <w:marBottom w:val="0"/>
      <w:divBdr>
        <w:top w:val="none" w:sz="0" w:space="0" w:color="auto"/>
        <w:left w:val="none" w:sz="0" w:space="0" w:color="auto"/>
        <w:bottom w:val="none" w:sz="0" w:space="0" w:color="auto"/>
        <w:right w:val="none" w:sz="0" w:space="0" w:color="auto"/>
      </w:divBdr>
    </w:div>
    <w:div w:id="1414857623">
      <w:bodyDiv w:val="1"/>
      <w:marLeft w:val="0"/>
      <w:marRight w:val="0"/>
      <w:marTop w:val="0"/>
      <w:marBottom w:val="0"/>
      <w:divBdr>
        <w:top w:val="none" w:sz="0" w:space="0" w:color="auto"/>
        <w:left w:val="none" w:sz="0" w:space="0" w:color="auto"/>
        <w:bottom w:val="none" w:sz="0" w:space="0" w:color="auto"/>
        <w:right w:val="none" w:sz="0" w:space="0" w:color="auto"/>
      </w:divBdr>
    </w:div>
    <w:div w:id="1654866585">
      <w:bodyDiv w:val="1"/>
      <w:marLeft w:val="0"/>
      <w:marRight w:val="0"/>
      <w:marTop w:val="0"/>
      <w:marBottom w:val="0"/>
      <w:divBdr>
        <w:top w:val="none" w:sz="0" w:space="0" w:color="auto"/>
        <w:left w:val="none" w:sz="0" w:space="0" w:color="auto"/>
        <w:bottom w:val="none" w:sz="0" w:space="0" w:color="auto"/>
        <w:right w:val="none" w:sz="0" w:space="0" w:color="auto"/>
      </w:divBdr>
    </w:div>
    <w:div w:id="1729264550">
      <w:bodyDiv w:val="1"/>
      <w:marLeft w:val="0"/>
      <w:marRight w:val="0"/>
      <w:marTop w:val="0"/>
      <w:marBottom w:val="0"/>
      <w:divBdr>
        <w:top w:val="none" w:sz="0" w:space="0" w:color="auto"/>
        <w:left w:val="none" w:sz="0" w:space="0" w:color="auto"/>
        <w:bottom w:val="none" w:sz="0" w:space="0" w:color="auto"/>
        <w:right w:val="none" w:sz="0" w:space="0" w:color="auto"/>
      </w:divBdr>
    </w:div>
    <w:div w:id="1768426241">
      <w:bodyDiv w:val="1"/>
      <w:marLeft w:val="0"/>
      <w:marRight w:val="0"/>
      <w:marTop w:val="0"/>
      <w:marBottom w:val="0"/>
      <w:divBdr>
        <w:top w:val="none" w:sz="0" w:space="0" w:color="auto"/>
        <w:left w:val="none" w:sz="0" w:space="0" w:color="auto"/>
        <w:bottom w:val="none" w:sz="0" w:space="0" w:color="auto"/>
        <w:right w:val="none" w:sz="0" w:space="0" w:color="auto"/>
      </w:divBdr>
    </w:div>
    <w:div w:id="1952084514">
      <w:bodyDiv w:val="1"/>
      <w:marLeft w:val="0"/>
      <w:marRight w:val="0"/>
      <w:marTop w:val="0"/>
      <w:marBottom w:val="0"/>
      <w:divBdr>
        <w:top w:val="none" w:sz="0" w:space="0" w:color="auto"/>
        <w:left w:val="none" w:sz="0" w:space="0" w:color="auto"/>
        <w:bottom w:val="none" w:sz="0" w:space="0" w:color="auto"/>
        <w:right w:val="none" w:sz="0" w:space="0" w:color="auto"/>
      </w:divBdr>
    </w:div>
    <w:div w:id="1953508587">
      <w:bodyDiv w:val="1"/>
      <w:marLeft w:val="0"/>
      <w:marRight w:val="0"/>
      <w:marTop w:val="0"/>
      <w:marBottom w:val="0"/>
      <w:divBdr>
        <w:top w:val="none" w:sz="0" w:space="0" w:color="auto"/>
        <w:left w:val="none" w:sz="0" w:space="0" w:color="auto"/>
        <w:bottom w:val="none" w:sz="0" w:space="0" w:color="auto"/>
        <w:right w:val="none" w:sz="0" w:space="0" w:color="auto"/>
      </w:divBdr>
    </w:div>
    <w:div w:id="20596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ec.gov/rules/propose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2CD1-CFFB-4153-9EE1-539C976A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5066</Words>
  <Characters>28878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33877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Blackmon, Thomas A</dc:creator>
  <cp:lastModifiedBy>Tontz, Jennifer</cp:lastModifiedBy>
  <cp:revision>2</cp:revision>
  <cp:lastPrinted>2016-06-30T14:11:00Z</cp:lastPrinted>
  <dcterms:created xsi:type="dcterms:W3CDTF">2016-06-30T15:21:00Z</dcterms:created>
  <dcterms:modified xsi:type="dcterms:W3CDTF">2016-06-30T15:21:00Z</dcterms:modified>
</cp:coreProperties>
</file>