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911" w:rsidRDefault="00A17CB8" w:rsidP="00B00911">
      <w:pPr>
        <w:pStyle w:val="Title"/>
        <w:spacing w:after="240"/>
        <w:rPr>
          <w:rFonts w:ascii="Times New Roman" w:hAnsi="Times New Roman"/>
          <w:szCs w:val="24"/>
          <w:u w:val="none"/>
        </w:rPr>
      </w:pPr>
      <w:r w:rsidRPr="00205696">
        <w:rPr>
          <w:rFonts w:ascii="Times New Roman" w:hAnsi="Times New Roman"/>
          <w:szCs w:val="24"/>
          <w:u w:val="none"/>
        </w:rPr>
        <w:t xml:space="preserve">SUPPORTING STATEMENT </w:t>
      </w:r>
      <w:r w:rsidRPr="00205696">
        <w:rPr>
          <w:rFonts w:ascii="Times New Roman" w:hAnsi="Times New Roman"/>
          <w:szCs w:val="24"/>
          <w:u w:val="none"/>
        </w:rPr>
        <w:br/>
        <w:t xml:space="preserve">for the Paperwork Reduction Act Information Collection Submission for </w:t>
      </w:r>
      <w:r w:rsidR="00B00911" w:rsidRPr="00205696">
        <w:rPr>
          <w:rFonts w:ascii="Times New Roman" w:hAnsi="Times New Roman"/>
          <w:szCs w:val="24"/>
          <w:u w:val="none"/>
        </w:rPr>
        <w:t xml:space="preserve">Rule </w:t>
      </w:r>
      <w:r w:rsidR="00DD304D">
        <w:rPr>
          <w:rFonts w:ascii="Times New Roman" w:hAnsi="Times New Roman"/>
          <w:szCs w:val="24"/>
          <w:u w:val="none"/>
        </w:rPr>
        <w:t>18a-5</w:t>
      </w:r>
    </w:p>
    <w:p w:rsidR="008410EA" w:rsidRPr="007A1B7C" w:rsidRDefault="008410EA" w:rsidP="008410EA">
      <w:pPr>
        <w:spacing w:after="240"/>
        <w:ind w:right="72" w:firstLine="720"/>
      </w:pPr>
      <w:r w:rsidRPr="007A1B7C">
        <w:rPr>
          <w:spacing w:val="-3"/>
        </w:rPr>
        <w:t>T</w:t>
      </w:r>
      <w:r w:rsidRPr="007A1B7C">
        <w:rPr>
          <w:spacing w:val="-2"/>
        </w:rPr>
        <w:t>hi</w:t>
      </w:r>
      <w:r w:rsidRPr="007A1B7C">
        <w:t>s</w:t>
      </w:r>
      <w:r w:rsidRPr="007A1B7C">
        <w:rPr>
          <w:spacing w:val="-7"/>
        </w:rPr>
        <w:t xml:space="preserve"> </w:t>
      </w:r>
      <w:r w:rsidRPr="007A1B7C">
        <w:rPr>
          <w:spacing w:val="-2"/>
        </w:rPr>
        <w:t>su</w:t>
      </w:r>
      <w:r w:rsidRPr="007A1B7C">
        <w:rPr>
          <w:spacing w:val="-5"/>
        </w:rPr>
        <w:t>b</w:t>
      </w:r>
      <w:r w:rsidRPr="007A1B7C">
        <w:rPr>
          <w:spacing w:val="-2"/>
        </w:rPr>
        <w:t>m</w:t>
      </w:r>
      <w:r w:rsidRPr="007A1B7C">
        <w:rPr>
          <w:spacing w:val="-4"/>
        </w:rPr>
        <w:t>i</w:t>
      </w:r>
      <w:r w:rsidRPr="007A1B7C">
        <w:rPr>
          <w:spacing w:val="-2"/>
        </w:rPr>
        <w:t>ss</w:t>
      </w:r>
      <w:r w:rsidRPr="007A1B7C">
        <w:rPr>
          <w:spacing w:val="-4"/>
        </w:rPr>
        <w:t>i</w:t>
      </w:r>
      <w:r w:rsidRPr="007A1B7C">
        <w:rPr>
          <w:spacing w:val="-2"/>
        </w:rPr>
        <w:t>o</w:t>
      </w:r>
      <w:r w:rsidRPr="007A1B7C">
        <w:t>n</w:t>
      </w:r>
      <w:r w:rsidRPr="007A1B7C">
        <w:rPr>
          <w:spacing w:val="-7"/>
        </w:rPr>
        <w:t xml:space="preserve"> </w:t>
      </w:r>
      <w:r w:rsidRPr="007A1B7C">
        <w:rPr>
          <w:spacing w:val="-2"/>
        </w:rPr>
        <w:t>i</w:t>
      </w:r>
      <w:r w:rsidRPr="007A1B7C">
        <w:t>s</w:t>
      </w:r>
      <w:r w:rsidRPr="007A1B7C">
        <w:rPr>
          <w:spacing w:val="-5"/>
        </w:rPr>
        <w:t xml:space="preserve"> </w:t>
      </w:r>
      <w:r w:rsidRPr="007A1B7C">
        <w:rPr>
          <w:spacing w:val="-2"/>
        </w:rPr>
        <w:t>b</w:t>
      </w:r>
      <w:r w:rsidRPr="007A1B7C">
        <w:rPr>
          <w:spacing w:val="-6"/>
        </w:rPr>
        <w:t>e</w:t>
      </w:r>
      <w:r w:rsidRPr="007A1B7C">
        <w:rPr>
          <w:spacing w:val="-2"/>
        </w:rPr>
        <w:t>in</w:t>
      </w:r>
      <w:r w:rsidRPr="007A1B7C">
        <w:t>g</w:t>
      </w:r>
      <w:r w:rsidRPr="007A1B7C">
        <w:rPr>
          <w:spacing w:val="-7"/>
        </w:rPr>
        <w:t xml:space="preserve"> </w:t>
      </w:r>
      <w:r w:rsidRPr="007A1B7C">
        <w:rPr>
          <w:spacing w:val="-2"/>
        </w:rPr>
        <w:t>m</w:t>
      </w:r>
      <w:r w:rsidRPr="007A1B7C">
        <w:rPr>
          <w:spacing w:val="-3"/>
        </w:rPr>
        <w:t>a</w:t>
      </w:r>
      <w:r w:rsidRPr="007A1B7C">
        <w:rPr>
          <w:spacing w:val="-2"/>
        </w:rPr>
        <w:t>d</w:t>
      </w:r>
      <w:r w:rsidRPr="007A1B7C">
        <w:t>e</w:t>
      </w:r>
      <w:r w:rsidRPr="007A1B7C">
        <w:rPr>
          <w:spacing w:val="-6"/>
        </w:rPr>
        <w:t xml:space="preserve"> </w:t>
      </w:r>
      <w:r w:rsidRPr="007A1B7C">
        <w:rPr>
          <w:spacing w:val="-2"/>
        </w:rPr>
        <w:t>pu</w:t>
      </w:r>
      <w:r w:rsidRPr="007A1B7C">
        <w:rPr>
          <w:spacing w:val="-3"/>
        </w:rPr>
        <w:t>r</w:t>
      </w:r>
      <w:r w:rsidRPr="007A1B7C">
        <w:rPr>
          <w:spacing w:val="-5"/>
        </w:rPr>
        <w:t>s</w:t>
      </w:r>
      <w:r w:rsidRPr="007A1B7C">
        <w:rPr>
          <w:spacing w:val="-2"/>
        </w:rPr>
        <w:t>u</w:t>
      </w:r>
      <w:r w:rsidRPr="007A1B7C">
        <w:rPr>
          <w:spacing w:val="-3"/>
        </w:rPr>
        <w:t>a</w:t>
      </w:r>
      <w:r w:rsidRPr="007A1B7C">
        <w:rPr>
          <w:spacing w:val="-2"/>
        </w:rPr>
        <w:t>n</w:t>
      </w:r>
      <w:r w:rsidRPr="007A1B7C">
        <w:t>t</w:t>
      </w:r>
      <w:r w:rsidRPr="007A1B7C">
        <w:rPr>
          <w:spacing w:val="-7"/>
        </w:rPr>
        <w:t xml:space="preserve"> </w:t>
      </w:r>
      <w:r w:rsidRPr="007A1B7C">
        <w:rPr>
          <w:spacing w:val="-2"/>
        </w:rPr>
        <w:t>t</w:t>
      </w:r>
      <w:r w:rsidRPr="007A1B7C">
        <w:t>o</w:t>
      </w:r>
      <w:r w:rsidRPr="007A1B7C">
        <w:rPr>
          <w:spacing w:val="-7"/>
        </w:rPr>
        <w:t xml:space="preserve"> </w:t>
      </w:r>
      <w:r w:rsidRPr="007A1B7C">
        <w:rPr>
          <w:spacing w:val="-2"/>
        </w:rPr>
        <w:t>th</w:t>
      </w:r>
      <w:r w:rsidRPr="007A1B7C">
        <w:t>e</w:t>
      </w:r>
      <w:r w:rsidRPr="007A1B7C">
        <w:rPr>
          <w:spacing w:val="-8"/>
        </w:rPr>
        <w:t xml:space="preserve"> </w:t>
      </w:r>
      <w:r w:rsidRPr="007A1B7C">
        <w:rPr>
          <w:spacing w:val="-1"/>
        </w:rPr>
        <w:t>P</w:t>
      </w:r>
      <w:r w:rsidRPr="007A1B7C">
        <w:rPr>
          <w:spacing w:val="-3"/>
        </w:rPr>
        <w:t>a</w:t>
      </w:r>
      <w:r w:rsidRPr="007A1B7C">
        <w:rPr>
          <w:spacing w:val="-5"/>
        </w:rPr>
        <w:t>p</w:t>
      </w:r>
      <w:r w:rsidRPr="007A1B7C">
        <w:rPr>
          <w:spacing w:val="-3"/>
        </w:rPr>
        <w:t>erw</w:t>
      </w:r>
      <w:r w:rsidRPr="007A1B7C">
        <w:rPr>
          <w:spacing w:val="-2"/>
        </w:rPr>
        <w:t>o</w:t>
      </w:r>
      <w:r w:rsidRPr="007A1B7C">
        <w:rPr>
          <w:spacing w:val="-3"/>
        </w:rPr>
        <w:t>r</w:t>
      </w:r>
      <w:r w:rsidRPr="007A1B7C">
        <w:t>k</w:t>
      </w:r>
      <w:r w:rsidRPr="007A1B7C">
        <w:rPr>
          <w:spacing w:val="-5"/>
        </w:rPr>
        <w:t xml:space="preserve"> </w:t>
      </w:r>
      <w:r w:rsidRPr="007A1B7C">
        <w:rPr>
          <w:spacing w:val="-2"/>
        </w:rPr>
        <w:t>R</w:t>
      </w:r>
      <w:r w:rsidRPr="007A1B7C">
        <w:rPr>
          <w:spacing w:val="-3"/>
        </w:rPr>
        <w:t>e</w:t>
      </w:r>
      <w:r w:rsidRPr="007A1B7C">
        <w:rPr>
          <w:spacing w:val="-2"/>
        </w:rPr>
        <w:t>du</w:t>
      </w:r>
      <w:r w:rsidRPr="007A1B7C">
        <w:rPr>
          <w:spacing w:val="-6"/>
        </w:rPr>
        <w:t>c</w:t>
      </w:r>
      <w:r w:rsidRPr="007A1B7C">
        <w:rPr>
          <w:spacing w:val="-2"/>
        </w:rPr>
        <w:t>ti</w:t>
      </w:r>
      <w:r w:rsidRPr="007A1B7C">
        <w:rPr>
          <w:spacing w:val="-5"/>
        </w:rPr>
        <w:t>o</w:t>
      </w:r>
      <w:r w:rsidRPr="007A1B7C">
        <w:t>n</w:t>
      </w:r>
      <w:r w:rsidRPr="007A1B7C">
        <w:rPr>
          <w:spacing w:val="-5"/>
        </w:rPr>
        <w:t xml:space="preserve"> </w:t>
      </w:r>
      <w:r w:rsidRPr="007A1B7C">
        <w:rPr>
          <w:spacing w:val="-3"/>
        </w:rPr>
        <w:t>Ac</w:t>
      </w:r>
      <w:r w:rsidRPr="007A1B7C">
        <w:t>t</w:t>
      </w:r>
      <w:r w:rsidRPr="007A1B7C">
        <w:rPr>
          <w:spacing w:val="-7"/>
        </w:rPr>
        <w:t xml:space="preserve"> </w:t>
      </w:r>
      <w:r w:rsidRPr="007A1B7C">
        <w:rPr>
          <w:spacing w:val="-2"/>
        </w:rPr>
        <w:t>o</w:t>
      </w:r>
      <w:r w:rsidRPr="007A1B7C">
        <w:t>f</w:t>
      </w:r>
      <w:r w:rsidRPr="007A1B7C">
        <w:rPr>
          <w:spacing w:val="-8"/>
        </w:rPr>
        <w:t xml:space="preserve"> </w:t>
      </w:r>
      <w:r w:rsidRPr="007A1B7C">
        <w:rPr>
          <w:spacing w:val="-2"/>
        </w:rPr>
        <w:t>1995</w:t>
      </w:r>
      <w:r w:rsidRPr="007A1B7C">
        <w:t>,</w:t>
      </w:r>
      <w:r w:rsidRPr="007A1B7C">
        <w:rPr>
          <w:spacing w:val="-7"/>
        </w:rPr>
        <w:t xml:space="preserve"> </w:t>
      </w:r>
      <w:r w:rsidRPr="007A1B7C">
        <w:rPr>
          <w:spacing w:val="-2"/>
        </w:rPr>
        <w:t>4</w:t>
      </w:r>
      <w:r w:rsidRPr="007A1B7C">
        <w:t>4</w:t>
      </w:r>
      <w:r w:rsidRPr="007A1B7C">
        <w:rPr>
          <w:spacing w:val="-5"/>
        </w:rPr>
        <w:t xml:space="preserve"> </w:t>
      </w:r>
      <w:r w:rsidRPr="007A1B7C">
        <w:rPr>
          <w:spacing w:val="-3"/>
        </w:rPr>
        <w:t>U</w:t>
      </w:r>
      <w:r w:rsidRPr="007A1B7C">
        <w:rPr>
          <w:spacing w:val="-5"/>
        </w:rPr>
        <w:t>.</w:t>
      </w:r>
      <w:r w:rsidRPr="007A1B7C">
        <w:rPr>
          <w:spacing w:val="-1"/>
        </w:rPr>
        <w:t>S</w:t>
      </w:r>
      <w:r w:rsidRPr="007A1B7C">
        <w:rPr>
          <w:spacing w:val="-5"/>
        </w:rPr>
        <w:t>.</w:t>
      </w:r>
      <w:r w:rsidRPr="007A1B7C">
        <w:rPr>
          <w:spacing w:val="-2"/>
        </w:rPr>
        <w:t>C</w:t>
      </w:r>
      <w:r w:rsidRPr="007A1B7C">
        <w:t xml:space="preserve">. </w:t>
      </w:r>
      <w:r w:rsidRPr="007A1B7C">
        <w:rPr>
          <w:spacing w:val="-1"/>
        </w:rPr>
        <w:t>S</w:t>
      </w:r>
      <w:r w:rsidRPr="007A1B7C">
        <w:rPr>
          <w:spacing w:val="-3"/>
        </w:rPr>
        <w:t>ec</w:t>
      </w:r>
      <w:r w:rsidRPr="007A1B7C">
        <w:rPr>
          <w:spacing w:val="-2"/>
        </w:rPr>
        <w:t>t</w:t>
      </w:r>
      <w:r w:rsidRPr="007A1B7C">
        <w:rPr>
          <w:spacing w:val="-4"/>
        </w:rPr>
        <w:t>i</w:t>
      </w:r>
      <w:r w:rsidRPr="007A1B7C">
        <w:rPr>
          <w:spacing w:val="-2"/>
        </w:rPr>
        <w:t>o</w:t>
      </w:r>
      <w:r w:rsidRPr="007A1B7C">
        <w:t>n</w:t>
      </w:r>
      <w:r w:rsidRPr="007A1B7C">
        <w:rPr>
          <w:spacing w:val="-5"/>
        </w:rPr>
        <w:t xml:space="preserve"> 3</w:t>
      </w:r>
      <w:r w:rsidRPr="007A1B7C">
        <w:rPr>
          <w:spacing w:val="-2"/>
        </w:rPr>
        <w:t>50</w:t>
      </w:r>
      <w:r w:rsidRPr="007A1B7C">
        <w:t>1</w:t>
      </w:r>
      <w:r w:rsidRPr="007A1B7C">
        <w:rPr>
          <w:spacing w:val="-5"/>
        </w:rPr>
        <w:t xml:space="preserve"> </w:t>
      </w:r>
      <w:r w:rsidRPr="007A1B7C">
        <w:rPr>
          <w:spacing w:val="-6"/>
        </w:rPr>
        <w:t>e</w:t>
      </w:r>
      <w:r w:rsidRPr="007A1B7C">
        <w:t>t</w:t>
      </w:r>
      <w:r w:rsidRPr="007A1B7C">
        <w:rPr>
          <w:spacing w:val="-4"/>
        </w:rPr>
        <w:t xml:space="preserve"> </w:t>
      </w:r>
      <w:r w:rsidRPr="007A1B7C">
        <w:rPr>
          <w:spacing w:val="-2"/>
        </w:rPr>
        <w:t>s</w:t>
      </w:r>
      <w:r w:rsidRPr="007A1B7C">
        <w:rPr>
          <w:spacing w:val="-3"/>
        </w:rPr>
        <w:t>e</w:t>
      </w:r>
      <w:r w:rsidRPr="007A1B7C">
        <w:rPr>
          <w:spacing w:val="-5"/>
        </w:rPr>
        <w:t>q</w:t>
      </w:r>
      <w:r w:rsidRPr="007A1B7C">
        <w:t>.</w:t>
      </w:r>
    </w:p>
    <w:p w:rsidR="00B00911" w:rsidRPr="00205696" w:rsidRDefault="00B00911" w:rsidP="00B00911">
      <w:pPr>
        <w:keepNext/>
        <w:spacing w:after="240"/>
        <w:rPr>
          <w:b/>
          <w:caps/>
        </w:rPr>
      </w:pPr>
      <w:r w:rsidRPr="00205696">
        <w:rPr>
          <w:b/>
          <w:caps/>
        </w:rPr>
        <w:t>A.</w:t>
      </w:r>
      <w:r w:rsidRPr="00205696">
        <w:rPr>
          <w:b/>
          <w:caps/>
        </w:rPr>
        <w:tab/>
        <w:t>Justification</w:t>
      </w:r>
    </w:p>
    <w:p w:rsidR="00B00911" w:rsidRPr="00205696" w:rsidRDefault="00B00911" w:rsidP="00B00911">
      <w:pPr>
        <w:keepNext/>
        <w:spacing w:after="240"/>
        <w:ind w:firstLine="720"/>
        <w:rPr>
          <w:b/>
        </w:rPr>
      </w:pPr>
      <w:r w:rsidRPr="00205696">
        <w:rPr>
          <w:b/>
        </w:rPr>
        <w:t>1.</w:t>
      </w:r>
      <w:r w:rsidRPr="00205696">
        <w:rPr>
          <w:b/>
        </w:rPr>
        <w:tab/>
        <w:t>Necessity of Information Collection</w:t>
      </w:r>
    </w:p>
    <w:p w:rsidR="00CA36FD" w:rsidRDefault="00FC27C3" w:rsidP="00752248">
      <w:pPr>
        <w:pStyle w:val="BodyTextIndent3"/>
        <w:spacing w:after="240"/>
        <w:ind w:firstLine="0"/>
      </w:pPr>
      <w:r w:rsidRPr="00205696">
        <w:tab/>
      </w:r>
      <w:r w:rsidR="00CA36FD">
        <w:t>On July 21, 2010, President Obama signed the Dodd-Frank Wall Street Reform and Consumer Protection Act (the “Dodd-Frank Act”) into law.</w:t>
      </w:r>
      <w:r w:rsidR="00CA36FD">
        <w:rPr>
          <w:rStyle w:val="FootnoteReference"/>
        </w:rPr>
        <w:footnoteReference w:id="1"/>
      </w:r>
      <w:r w:rsidR="00CA36FD">
        <w:t xml:space="preserve">  Section 764 of the Dodd-Frank Act added section 15F to the Securities Exchange Act</w:t>
      </w:r>
      <w:r w:rsidR="00DF762A">
        <w:t xml:space="preserve"> of 1934 (the “Exchange Act”), which </w:t>
      </w:r>
      <w:r w:rsidR="00CA36FD">
        <w:t xml:space="preserve">provides that the Commission shall adopt rules governing reporting and recordkeeping for </w:t>
      </w:r>
      <w:r w:rsidR="00930C92">
        <w:t>security-based swap dealers (“</w:t>
      </w:r>
      <w:r w:rsidR="00CA36FD">
        <w:t>SBSDs</w:t>
      </w:r>
      <w:r w:rsidR="00930C92">
        <w:t>”)</w:t>
      </w:r>
      <w:r w:rsidR="00CA36FD">
        <w:t xml:space="preserve"> and </w:t>
      </w:r>
      <w:r w:rsidR="00930C92">
        <w:t>major security-based swap participants (“</w:t>
      </w:r>
      <w:r w:rsidR="00CA36FD">
        <w:t>MSBSPs</w:t>
      </w:r>
      <w:r w:rsidR="00930C92">
        <w:t>”)</w:t>
      </w:r>
      <w:r w:rsidR="00CA36FD">
        <w:t>.</w:t>
      </w:r>
      <w:r w:rsidR="00CA36FD">
        <w:rPr>
          <w:rStyle w:val="FootnoteReference"/>
        </w:rPr>
        <w:footnoteReference w:id="2"/>
      </w:r>
      <w:r w:rsidR="00CA36FD">
        <w:t xml:space="preserve">  </w:t>
      </w:r>
    </w:p>
    <w:p w:rsidR="00930C92" w:rsidRDefault="00930C92" w:rsidP="00CA36FD">
      <w:pPr>
        <w:ind w:firstLine="720"/>
      </w:pPr>
      <w:r>
        <w:t>Accordingly, o</w:t>
      </w:r>
      <w:r w:rsidR="00FC27C3" w:rsidRPr="00205696">
        <w:t>n April 17</w:t>
      </w:r>
      <w:r w:rsidR="00B00911" w:rsidRPr="00205696">
        <w:t>, 2014, the Commission proposed amendments</w:t>
      </w:r>
      <w:r w:rsidR="000B5E80" w:rsidRPr="00205696">
        <w:t xml:space="preserve"> </w:t>
      </w:r>
      <w:r w:rsidR="00B00911" w:rsidRPr="00205696">
        <w:t xml:space="preserve">to its </w:t>
      </w:r>
      <w:r w:rsidR="0010128F" w:rsidRPr="00205696">
        <w:t>recordkeeping and reporting</w:t>
      </w:r>
      <w:r w:rsidR="00B00911" w:rsidRPr="00205696">
        <w:t xml:space="preserve"> rules for broker-dealers</w:t>
      </w:r>
      <w:r w:rsidR="000B5E80" w:rsidRPr="00205696">
        <w:t xml:space="preserve"> as well as new </w:t>
      </w:r>
      <w:r w:rsidR="0010128F" w:rsidRPr="00205696">
        <w:t>recordkeeping and reporting</w:t>
      </w:r>
      <w:r w:rsidR="000B5E80" w:rsidRPr="00205696">
        <w:t xml:space="preserve"> rules</w:t>
      </w:r>
      <w:r w:rsidR="0010128F" w:rsidRPr="00205696">
        <w:t xml:space="preserve"> </w:t>
      </w:r>
      <w:r w:rsidR="00E67024" w:rsidRPr="00205696">
        <w:t>for SBSDs and MSBSPs</w:t>
      </w:r>
      <w:r w:rsidR="00E67024">
        <w:t xml:space="preserve"> </w:t>
      </w:r>
      <w:r w:rsidR="00E67024" w:rsidRPr="00205696">
        <w:t>(the “SBS Recordkeeping Release”)</w:t>
      </w:r>
      <w:r w:rsidR="00E67024">
        <w:t>.</w:t>
      </w:r>
      <w:r w:rsidR="00E67024" w:rsidRPr="00205696">
        <w:rPr>
          <w:rStyle w:val="FootnoteReference"/>
        </w:rPr>
        <w:footnoteReference w:id="3"/>
      </w:r>
      <w:r w:rsidR="00E67024" w:rsidRPr="00205696">
        <w:t xml:space="preserve">  </w:t>
      </w:r>
      <w:r w:rsidR="00375AB7" w:rsidRPr="00205696">
        <w:t xml:space="preserve">More specifically, proposed </w:t>
      </w:r>
      <w:r w:rsidR="00274DAC">
        <w:t>new</w:t>
      </w:r>
      <w:r w:rsidR="00375AB7" w:rsidRPr="00205696">
        <w:t xml:space="preserve"> </w:t>
      </w:r>
      <w:r w:rsidR="00DF762A">
        <w:t xml:space="preserve">Exchange Act </w:t>
      </w:r>
      <w:r w:rsidR="00375AB7" w:rsidRPr="00205696">
        <w:t xml:space="preserve">Rule </w:t>
      </w:r>
      <w:r w:rsidR="003745BD">
        <w:t>18a-5</w:t>
      </w:r>
      <w:r w:rsidR="00375AB7" w:rsidRPr="00205696">
        <w:t xml:space="preserve"> </w:t>
      </w:r>
      <w:r w:rsidR="003312C9" w:rsidRPr="00205696">
        <w:t xml:space="preserve">(in conjunction with the proposed </w:t>
      </w:r>
      <w:r w:rsidR="00274DAC">
        <w:t>new</w:t>
      </w:r>
      <w:r w:rsidR="003312C9" w:rsidRPr="00205696">
        <w:t xml:space="preserve"> </w:t>
      </w:r>
      <w:r w:rsidR="00DF762A">
        <w:t xml:space="preserve">Exchange Act </w:t>
      </w:r>
      <w:r w:rsidR="003312C9" w:rsidRPr="00205696">
        <w:t xml:space="preserve">Rule </w:t>
      </w:r>
      <w:r w:rsidR="003745BD">
        <w:t>18a-6</w:t>
      </w:r>
      <w:r w:rsidR="003312C9" w:rsidRPr="00205696">
        <w:t xml:space="preserve">) </w:t>
      </w:r>
      <w:r w:rsidR="00704D33" w:rsidRPr="00205696">
        <w:t>would</w:t>
      </w:r>
      <w:r w:rsidR="003312C9" w:rsidRPr="00205696">
        <w:t xml:space="preserve"> establish recordkeeping requirements applicable to </w:t>
      </w:r>
      <w:r w:rsidR="003745BD">
        <w:t xml:space="preserve">stand-alone </w:t>
      </w:r>
      <w:r w:rsidR="003312C9" w:rsidRPr="00205696">
        <w:t>SBSD</w:t>
      </w:r>
      <w:r w:rsidR="003745BD">
        <w:t xml:space="preserve">s, stand-alone </w:t>
      </w:r>
      <w:r w:rsidR="003312C9" w:rsidRPr="00205696">
        <w:t>MSBS</w:t>
      </w:r>
      <w:r>
        <w:t>P</w:t>
      </w:r>
      <w:r w:rsidR="003745BD">
        <w:t>s</w:t>
      </w:r>
      <w:r w:rsidR="003A7CC4" w:rsidRPr="00205696">
        <w:t>,</w:t>
      </w:r>
      <w:r w:rsidR="003745BD">
        <w:t xml:space="preserve"> bank SBSDs</w:t>
      </w:r>
      <w:r w:rsidR="0039167F">
        <w:t>, and bank MSBSPs</w:t>
      </w:r>
      <w:r w:rsidR="003312C9" w:rsidRPr="00205696">
        <w:t>.</w:t>
      </w:r>
      <w:r w:rsidR="00704D33" w:rsidRPr="00205696">
        <w:rPr>
          <w:rStyle w:val="FootnoteReference"/>
        </w:rPr>
        <w:footnoteReference w:id="4"/>
      </w:r>
      <w:r w:rsidR="003312C9" w:rsidRPr="00205696">
        <w:t xml:space="preserve"> </w:t>
      </w:r>
      <w:r w:rsidR="00C01B4D" w:rsidRPr="00205696">
        <w:t xml:space="preserve"> </w:t>
      </w:r>
      <w:r>
        <w:t xml:space="preserve">Proposed Rule 18a-5 is modeled on </w:t>
      </w:r>
      <w:r w:rsidR="00DF762A">
        <w:t xml:space="preserve">Exchange Act </w:t>
      </w:r>
      <w:r>
        <w:t xml:space="preserve">Rule 17a-3, which applies to broker-dealers, but </w:t>
      </w:r>
      <w:r w:rsidR="00A96F11">
        <w:t xml:space="preserve">proposed Rule 18a-5 </w:t>
      </w:r>
      <w:r>
        <w:t>does not include a parallel requirement for every requirement in Rule 17a-3 because some of the requirements in Rule 17a-3 relate to activities that are not expected or permitted of SBSDs and MSBSPs.</w:t>
      </w:r>
    </w:p>
    <w:p w:rsidR="00930C92" w:rsidRDefault="00930C92" w:rsidP="00CA36FD">
      <w:pPr>
        <w:ind w:firstLine="720"/>
      </w:pPr>
    </w:p>
    <w:p w:rsidR="000676E9" w:rsidRDefault="000676E9" w:rsidP="00CA36FD">
      <w:pPr>
        <w:ind w:firstLine="720"/>
      </w:pPr>
      <w:r>
        <w:t>Proposed Rule 18a-5 would establish a number of new collections of information, as summarized in the table below.</w:t>
      </w:r>
    </w:p>
    <w:p w:rsidR="000676E9" w:rsidRDefault="000676E9" w:rsidP="000676E9"/>
    <w:tbl>
      <w:tblPr>
        <w:tblStyle w:val="TableGrid"/>
        <w:tblW w:w="8024" w:type="dxa"/>
        <w:jc w:val="center"/>
        <w:tblLayout w:type="fixed"/>
        <w:tblLook w:val="04A0" w:firstRow="1" w:lastRow="0" w:firstColumn="1" w:lastColumn="0" w:noHBand="0" w:noVBand="1"/>
      </w:tblPr>
      <w:tblGrid>
        <w:gridCol w:w="2444"/>
        <w:gridCol w:w="1350"/>
        <w:gridCol w:w="1530"/>
        <w:gridCol w:w="1350"/>
        <w:gridCol w:w="1350"/>
      </w:tblGrid>
      <w:tr w:rsidR="000676E9" w:rsidTr="000676E9">
        <w:trPr>
          <w:tblHeader/>
          <w:jc w:val="center"/>
        </w:trPr>
        <w:tc>
          <w:tcPr>
            <w:tcW w:w="2444" w:type="dxa"/>
            <w:tcBorders>
              <w:top w:val="single" w:sz="4" w:space="0" w:color="auto"/>
              <w:left w:val="single" w:sz="4" w:space="0" w:color="auto"/>
              <w:bottom w:val="single" w:sz="4" w:space="0" w:color="auto"/>
              <w:right w:val="single" w:sz="4" w:space="0" w:color="auto"/>
            </w:tcBorders>
            <w:shd w:val="pct25" w:color="auto" w:fill="auto"/>
            <w:tcMar>
              <w:top w:w="0" w:type="dxa"/>
              <w:left w:w="14" w:type="dxa"/>
              <w:bottom w:w="0" w:type="dxa"/>
              <w:right w:w="14" w:type="dxa"/>
            </w:tcMar>
          </w:tcPr>
          <w:p w:rsidR="000676E9" w:rsidRDefault="000676E9" w:rsidP="00423A61">
            <w:pPr>
              <w:rPr>
                <w:bCs/>
                <w:sz w:val="18"/>
                <w:szCs w:val="18"/>
              </w:rPr>
            </w:pPr>
          </w:p>
        </w:tc>
        <w:tc>
          <w:tcPr>
            <w:tcW w:w="1350" w:type="dxa"/>
            <w:tcBorders>
              <w:top w:val="single" w:sz="4" w:space="0" w:color="auto"/>
              <w:left w:val="single" w:sz="4" w:space="0" w:color="auto"/>
              <w:bottom w:val="single" w:sz="4" w:space="0" w:color="auto"/>
              <w:right w:val="single" w:sz="4" w:space="0" w:color="auto"/>
            </w:tcBorders>
            <w:shd w:val="pct25" w:color="auto" w:fill="auto"/>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Non-model stand-alone SBSDs</w:t>
            </w:r>
          </w:p>
        </w:tc>
        <w:tc>
          <w:tcPr>
            <w:tcW w:w="1530" w:type="dxa"/>
            <w:tcBorders>
              <w:top w:val="single" w:sz="4" w:space="0" w:color="auto"/>
              <w:left w:val="single" w:sz="4" w:space="0" w:color="auto"/>
              <w:bottom w:val="single" w:sz="4" w:space="0" w:color="auto"/>
              <w:right w:val="single" w:sz="4" w:space="0" w:color="auto"/>
            </w:tcBorders>
            <w:shd w:val="pct25" w:color="auto" w:fill="auto"/>
            <w:vAlign w:val="center"/>
            <w:hideMark/>
          </w:tcPr>
          <w:p w:rsidR="000676E9" w:rsidRDefault="000676E9" w:rsidP="00423A61">
            <w:pPr>
              <w:jc w:val="center"/>
              <w:rPr>
                <w:bCs/>
                <w:sz w:val="18"/>
                <w:szCs w:val="18"/>
              </w:rPr>
            </w:pPr>
            <w:r>
              <w:rPr>
                <w:bCs/>
                <w:sz w:val="18"/>
                <w:szCs w:val="18"/>
              </w:rPr>
              <w:t>ANC stand</w:t>
            </w:r>
            <w:r>
              <w:rPr>
                <w:bCs/>
                <w:sz w:val="18"/>
                <w:szCs w:val="18"/>
              </w:rPr>
              <w:noBreakHyphen/>
              <w:t>alone SBSDs</w:t>
            </w:r>
          </w:p>
        </w:tc>
        <w:tc>
          <w:tcPr>
            <w:tcW w:w="1350" w:type="dxa"/>
            <w:tcBorders>
              <w:top w:val="single" w:sz="4" w:space="0" w:color="auto"/>
              <w:left w:val="single" w:sz="4" w:space="0" w:color="auto"/>
              <w:bottom w:val="single" w:sz="4" w:space="0" w:color="auto"/>
              <w:right w:val="single" w:sz="4" w:space="0" w:color="auto"/>
            </w:tcBorders>
            <w:shd w:val="pct25" w:color="auto" w:fill="auto"/>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Bank SBSDs</w:t>
            </w:r>
          </w:p>
        </w:tc>
        <w:tc>
          <w:tcPr>
            <w:tcW w:w="1350" w:type="dxa"/>
            <w:tcBorders>
              <w:top w:val="single" w:sz="4" w:space="0" w:color="auto"/>
              <w:left w:val="single" w:sz="4" w:space="0" w:color="auto"/>
              <w:bottom w:val="single" w:sz="4" w:space="0" w:color="auto"/>
              <w:right w:val="single" w:sz="4" w:space="0" w:color="auto"/>
            </w:tcBorders>
            <w:shd w:val="pct25" w:color="auto" w:fill="auto"/>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Stand-alone MSBSPs</w:t>
            </w:r>
          </w:p>
        </w:tc>
      </w:tr>
      <w:tr w:rsidR="000676E9" w:rsidTr="000676E9">
        <w:trPr>
          <w:jc w:val="center"/>
        </w:trPr>
        <w:tc>
          <w:tcPr>
            <w:tcW w:w="2444"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hideMark/>
          </w:tcPr>
          <w:p w:rsidR="000676E9" w:rsidRDefault="000676E9" w:rsidP="00423A61">
            <w:pPr>
              <w:rPr>
                <w:bCs/>
                <w:sz w:val="18"/>
                <w:szCs w:val="18"/>
              </w:rPr>
            </w:pPr>
            <w:r>
              <w:rPr>
                <w:bCs/>
                <w:sz w:val="18"/>
                <w:szCs w:val="18"/>
              </w:rPr>
              <w:t>Trade blotters</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18a-5(a)(1)</w:t>
            </w:r>
          </w:p>
        </w:tc>
        <w:tc>
          <w:tcPr>
            <w:tcW w:w="1530" w:type="dxa"/>
            <w:tcBorders>
              <w:top w:val="single" w:sz="4" w:space="0" w:color="auto"/>
              <w:left w:val="single" w:sz="4" w:space="0" w:color="auto"/>
              <w:bottom w:val="single" w:sz="4" w:space="0" w:color="auto"/>
              <w:right w:val="single" w:sz="4" w:space="0" w:color="auto"/>
            </w:tcBorders>
            <w:vAlign w:val="center"/>
            <w:hideMark/>
          </w:tcPr>
          <w:p w:rsidR="000676E9" w:rsidRDefault="000676E9" w:rsidP="00423A61">
            <w:pPr>
              <w:jc w:val="center"/>
              <w:rPr>
                <w:bCs/>
                <w:sz w:val="18"/>
                <w:szCs w:val="18"/>
              </w:rPr>
            </w:pPr>
            <w:r>
              <w:rPr>
                <w:bCs/>
                <w:sz w:val="18"/>
                <w:szCs w:val="18"/>
              </w:rPr>
              <w:t>Rule 18a-5(a)(1)</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18a-5(b)(1)</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18a-5(a)(1)</w:t>
            </w:r>
          </w:p>
        </w:tc>
      </w:tr>
      <w:tr w:rsidR="000676E9" w:rsidTr="000676E9">
        <w:trPr>
          <w:jc w:val="center"/>
        </w:trPr>
        <w:tc>
          <w:tcPr>
            <w:tcW w:w="2444"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hideMark/>
          </w:tcPr>
          <w:p w:rsidR="000676E9" w:rsidRDefault="000676E9" w:rsidP="00423A61">
            <w:pPr>
              <w:rPr>
                <w:bCs/>
                <w:sz w:val="18"/>
                <w:szCs w:val="18"/>
              </w:rPr>
            </w:pPr>
            <w:r>
              <w:rPr>
                <w:bCs/>
                <w:sz w:val="18"/>
                <w:szCs w:val="18"/>
              </w:rPr>
              <w:t>General ledger</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18a-5(a)(2)</w:t>
            </w:r>
          </w:p>
        </w:tc>
        <w:tc>
          <w:tcPr>
            <w:tcW w:w="1530" w:type="dxa"/>
            <w:tcBorders>
              <w:top w:val="single" w:sz="4" w:space="0" w:color="auto"/>
              <w:left w:val="single" w:sz="4" w:space="0" w:color="auto"/>
              <w:bottom w:val="single" w:sz="4" w:space="0" w:color="auto"/>
              <w:right w:val="single" w:sz="4" w:space="0" w:color="auto"/>
            </w:tcBorders>
            <w:vAlign w:val="center"/>
            <w:hideMark/>
          </w:tcPr>
          <w:p w:rsidR="000676E9" w:rsidRDefault="000676E9" w:rsidP="00423A61">
            <w:pPr>
              <w:jc w:val="center"/>
              <w:rPr>
                <w:bCs/>
                <w:sz w:val="18"/>
                <w:szCs w:val="18"/>
              </w:rPr>
            </w:pPr>
            <w:r>
              <w:rPr>
                <w:bCs/>
                <w:sz w:val="18"/>
                <w:szCs w:val="18"/>
              </w:rPr>
              <w:t>Rule 18a-5(a)(2)</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tcPr>
          <w:p w:rsidR="000676E9" w:rsidRDefault="000676E9" w:rsidP="00423A61">
            <w:pPr>
              <w:jc w:val="center"/>
              <w:rPr>
                <w:bCs/>
                <w:sz w:val="18"/>
                <w:szCs w:val="18"/>
              </w:rPr>
            </w:pP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18a-5(a)(2)</w:t>
            </w:r>
          </w:p>
        </w:tc>
      </w:tr>
      <w:tr w:rsidR="000676E9" w:rsidTr="000676E9">
        <w:trPr>
          <w:jc w:val="center"/>
        </w:trPr>
        <w:tc>
          <w:tcPr>
            <w:tcW w:w="2444"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hideMark/>
          </w:tcPr>
          <w:p w:rsidR="000676E9" w:rsidRDefault="000676E9" w:rsidP="00423A61">
            <w:pPr>
              <w:rPr>
                <w:bCs/>
                <w:sz w:val="18"/>
                <w:szCs w:val="18"/>
              </w:rPr>
            </w:pPr>
            <w:r>
              <w:rPr>
                <w:bCs/>
                <w:sz w:val="18"/>
                <w:szCs w:val="18"/>
              </w:rPr>
              <w:t>Ledgers for customer and non-customer accounts</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18a-5(a)(3)</w:t>
            </w:r>
          </w:p>
        </w:tc>
        <w:tc>
          <w:tcPr>
            <w:tcW w:w="1530" w:type="dxa"/>
            <w:tcBorders>
              <w:top w:val="single" w:sz="4" w:space="0" w:color="auto"/>
              <w:left w:val="single" w:sz="4" w:space="0" w:color="auto"/>
              <w:bottom w:val="single" w:sz="4" w:space="0" w:color="auto"/>
              <w:right w:val="single" w:sz="4" w:space="0" w:color="auto"/>
            </w:tcBorders>
            <w:vAlign w:val="center"/>
            <w:hideMark/>
          </w:tcPr>
          <w:p w:rsidR="000676E9" w:rsidRDefault="000676E9" w:rsidP="00423A61">
            <w:pPr>
              <w:jc w:val="center"/>
              <w:rPr>
                <w:bCs/>
                <w:sz w:val="18"/>
                <w:szCs w:val="18"/>
              </w:rPr>
            </w:pPr>
            <w:r>
              <w:rPr>
                <w:bCs/>
                <w:sz w:val="18"/>
                <w:szCs w:val="18"/>
              </w:rPr>
              <w:t>Rule 18a-5(a)(3)</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18a-5(b)(2)</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18a-5(a)(3)</w:t>
            </w:r>
          </w:p>
        </w:tc>
      </w:tr>
      <w:tr w:rsidR="000676E9" w:rsidTr="000676E9">
        <w:trPr>
          <w:jc w:val="center"/>
        </w:trPr>
        <w:tc>
          <w:tcPr>
            <w:tcW w:w="2444"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hideMark/>
          </w:tcPr>
          <w:p w:rsidR="000676E9" w:rsidRDefault="000676E9" w:rsidP="00423A61">
            <w:pPr>
              <w:rPr>
                <w:bCs/>
                <w:sz w:val="18"/>
                <w:szCs w:val="18"/>
              </w:rPr>
            </w:pPr>
            <w:r>
              <w:rPr>
                <w:bCs/>
                <w:sz w:val="18"/>
                <w:szCs w:val="18"/>
              </w:rPr>
              <w:t>Stock record</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18a-5(a)(4)</w:t>
            </w:r>
          </w:p>
        </w:tc>
        <w:tc>
          <w:tcPr>
            <w:tcW w:w="1530" w:type="dxa"/>
            <w:tcBorders>
              <w:top w:val="single" w:sz="4" w:space="0" w:color="auto"/>
              <w:left w:val="single" w:sz="4" w:space="0" w:color="auto"/>
              <w:bottom w:val="single" w:sz="4" w:space="0" w:color="auto"/>
              <w:right w:val="single" w:sz="4" w:space="0" w:color="auto"/>
            </w:tcBorders>
            <w:vAlign w:val="center"/>
            <w:hideMark/>
          </w:tcPr>
          <w:p w:rsidR="000676E9" w:rsidRDefault="000676E9" w:rsidP="00423A61">
            <w:pPr>
              <w:jc w:val="center"/>
              <w:rPr>
                <w:bCs/>
                <w:sz w:val="18"/>
                <w:szCs w:val="18"/>
              </w:rPr>
            </w:pPr>
            <w:r>
              <w:rPr>
                <w:bCs/>
                <w:sz w:val="18"/>
                <w:szCs w:val="18"/>
              </w:rPr>
              <w:t>Rule 18a-5(a)(4)</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18a-5(b)(3)</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18a-5(a)(4)</w:t>
            </w:r>
          </w:p>
        </w:tc>
      </w:tr>
      <w:tr w:rsidR="000676E9" w:rsidTr="000676E9">
        <w:trPr>
          <w:jc w:val="center"/>
        </w:trPr>
        <w:tc>
          <w:tcPr>
            <w:tcW w:w="2444"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hideMark/>
          </w:tcPr>
          <w:p w:rsidR="000676E9" w:rsidRDefault="000676E9" w:rsidP="00423A61">
            <w:pPr>
              <w:rPr>
                <w:bCs/>
                <w:sz w:val="18"/>
                <w:szCs w:val="18"/>
              </w:rPr>
            </w:pPr>
            <w:r>
              <w:rPr>
                <w:bCs/>
                <w:sz w:val="18"/>
                <w:szCs w:val="18"/>
              </w:rPr>
              <w:lastRenderedPageBreak/>
              <w:t>Memoranda of brokerage orders</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tcPr>
          <w:p w:rsidR="000676E9" w:rsidRDefault="000676E9" w:rsidP="00423A61">
            <w:pPr>
              <w:jc w:val="center"/>
              <w:rPr>
                <w:bCs/>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0676E9" w:rsidRDefault="000676E9" w:rsidP="00423A61">
            <w:pPr>
              <w:jc w:val="center"/>
              <w:rPr>
                <w:bCs/>
                <w:sz w:val="18"/>
                <w:szCs w:val="18"/>
              </w:rPr>
            </w:pP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18a-5(b)(4)</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tcPr>
          <w:p w:rsidR="000676E9" w:rsidRDefault="000676E9" w:rsidP="00423A61">
            <w:pPr>
              <w:jc w:val="center"/>
              <w:rPr>
                <w:bCs/>
                <w:sz w:val="18"/>
                <w:szCs w:val="18"/>
              </w:rPr>
            </w:pPr>
          </w:p>
        </w:tc>
      </w:tr>
      <w:tr w:rsidR="000676E9" w:rsidTr="000676E9">
        <w:trPr>
          <w:jc w:val="center"/>
        </w:trPr>
        <w:tc>
          <w:tcPr>
            <w:tcW w:w="2444"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hideMark/>
          </w:tcPr>
          <w:p w:rsidR="000676E9" w:rsidRDefault="000676E9" w:rsidP="00423A61">
            <w:pPr>
              <w:rPr>
                <w:bCs/>
                <w:sz w:val="18"/>
                <w:szCs w:val="18"/>
              </w:rPr>
            </w:pPr>
            <w:r>
              <w:rPr>
                <w:bCs/>
                <w:sz w:val="18"/>
                <w:szCs w:val="18"/>
              </w:rPr>
              <w:t>Memoranda of proprietary orders</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18a-5(a)(5)</w:t>
            </w:r>
          </w:p>
        </w:tc>
        <w:tc>
          <w:tcPr>
            <w:tcW w:w="1530" w:type="dxa"/>
            <w:tcBorders>
              <w:top w:val="single" w:sz="4" w:space="0" w:color="auto"/>
              <w:left w:val="single" w:sz="4" w:space="0" w:color="auto"/>
              <w:bottom w:val="single" w:sz="4" w:space="0" w:color="auto"/>
              <w:right w:val="single" w:sz="4" w:space="0" w:color="auto"/>
            </w:tcBorders>
            <w:vAlign w:val="center"/>
            <w:hideMark/>
          </w:tcPr>
          <w:p w:rsidR="000676E9" w:rsidRDefault="000676E9" w:rsidP="00423A61">
            <w:pPr>
              <w:jc w:val="center"/>
              <w:rPr>
                <w:bCs/>
                <w:sz w:val="18"/>
                <w:szCs w:val="18"/>
              </w:rPr>
            </w:pPr>
            <w:r>
              <w:rPr>
                <w:bCs/>
                <w:sz w:val="18"/>
                <w:szCs w:val="18"/>
              </w:rPr>
              <w:t>Rule 18a-5(a)(5)</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18a-5(b)(5)</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18a-5(a)(5)</w:t>
            </w:r>
          </w:p>
        </w:tc>
      </w:tr>
      <w:tr w:rsidR="000676E9" w:rsidTr="000676E9">
        <w:trPr>
          <w:jc w:val="center"/>
        </w:trPr>
        <w:tc>
          <w:tcPr>
            <w:tcW w:w="2444"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hideMark/>
          </w:tcPr>
          <w:p w:rsidR="000676E9" w:rsidRDefault="000676E9" w:rsidP="00423A61">
            <w:pPr>
              <w:rPr>
                <w:bCs/>
                <w:sz w:val="18"/>
                <w:szCs w:val="18"/>
              </w:rPr>
            </w:pPr>
            <w:r>
              <w:rPr>
                <w:bCs/>
                <w:sz w:val="18"/>
                <w:szCs w:val="18"/>
              </w:rPr>
              <w:t>Confirmations</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18a-5(a)(6)</w:t>
            </w:r>
          </w:p>
        </w:tc>
        <w:tc>
          <w:tcPr>
            <w:tcW w:w="1530" w:type="dxa"/>
            <w:tcBorders>
              <w:top w:val="single" w:sz="4" w:space="0" w:color="auto"/>
              <w:left w:val="single" w:sz="4" w:space="0" w:color="auto"/>
              <w:bottom w:val="single" w:sz="4" w:space="0" w:color="auto"/>
              <w:right w:val="single" w:sz="4" w:space="0" w:color="auto"/>
            </w:tcBorders>
            <w:vAlign w:val="center"/>
            <w:hideMark/>
          </w:tcPr>
          <w:p w:rsidR="000676E9" w:rsidRDefault="000676E9" w:rsidP="00423A61">
            <w:pPr>
              <w:jc w:val="center"/>
              <w:rPr>
                <w:bCs/>
                <w:sz w:val="18"/>
                <w:szCs w:val="18"/>
              </w:rPr>
            </w:pPr>
            <w:r>
              <w:rPr>
                <w:bCs/>
                <w:sz w:val="18"/>
                <w:szCs w:val="18"/>
              </w:rPr>
              <w:t>Rule 18a-5(a)(6)</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18a-5(b)(6)</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18a-5(a)(6)</w:t>
            </w:r>
          </w:p>
        </w:tc>
      </w:tr>
      <w:tr w:rsidR="000676E9" w:rsidTr="000676E9">
        <w:trPr>
          <w:jc w:val="center"/>
        </w:trPr>
        <w:tc>
          <w:tcPr>
            <w:tcW w:w="2444"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hideMark/>
          </w:tcPr>
          <w:p w:rsidR="000676E9" w:rsidRDefault="000676E9" w:rsidP="00423A61">
            <w:pPr>
              <w:rPr>
                <w:bCs/>
                <w:sz w:val="18"/>
                <w:szCs w:val="18"/>
              </w:rPr>
            </w:pPr>
            <w:r>
              <w:rPr>
                <w:bCs/>
                <w:sz w:val="18"/>
                <w:szCs w:val="18"/>
              </w:rPr>
              <w:t>Accountholder information</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18a-5(a)(7)</w:t>
            </w:r>
          </w:p>
        </w:tc>
        <w:tc>
          <w:tcPr>
            <w:tcW w:w="1530" w:type="dxa"/>
            <w:tcBorders>
              <w:top w:val="single" w:sz="4" w:space="0" w:color="auto"/>
              <w:left w:val="single" w:sz="4" w:space="0" w:color="auto"/>
              <w:bottom w:val="single" w:sz="4" w:space="0" w:color="auto"/>
              <w:right w:val="single" w:sz="4" w:space="0" w:color="auto"/>
            </w:tcBorders>
            <w:vAlign w:val="center"/>
            <w:hideMark/>
          </w:tcPr>
          <w:p w:rsidR="000676E9" w:rsidRDefault="000676E9" w:rsidP="00423A61">
            <w:pPr>
              <w:jc w:val="center"/>
              <w:rPr>
                <w:bCs/>
                <w:sz w:val="18"/>
                <w:szCs w:val="18"/>
              </w:rPr>
            </w:pPr>
            <w:r>
              <w:rPr>
                <w:bCs/>
                <w:sz w:val="18"/>
                <w:szCs w:val="18"/>
              </w:rPr>
              <w:t>Rule 18a-5(a)(7)</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18a-5(b)(7)</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18a-5(a)(7)</w:t>
            </w:r>
          </w:p>
        </w:tc>
      </w:tr>
      <w:tr w:rsidR="000676E9" w:rsidTr="000676E9">
        <w:trPr>
          <w:jc w:val="center"/>
        </w:trPr>
        <w:tc>
          <w:tcPr>
            <w:tcW w:w="2444"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hideMark/>
          </w:tcPr>
          <w:p w:rsidR="000676E9" w:rsidRDefault="000676E9" w:rsidP="00423A61">
            <w:pPr>
              <w:rPr>
                <w:bCs/>
                <w:sz w:val="18"/>
                <w:szCs w:val="18"/>
              </w:rPr>
            </w:pPr>
            <w:r>
              <w:rPr>
                <w:bCs/>
                <w:sz w:val="18"/>
                <w:szCs w:val="18"/>
              </w:rPr>
              <w:t>Options positions</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18a-5(a)(8)</w:t>
            </w:r>
          </w:p>
        </w:tc>
        <w:tc>
          <w:tcPr>
            <w:tcW w:w="1530" w:type="dxa"/>
            <w:tcBorders>
              <w:top w:val="single" w:sz="4" w:space="0" w:color="auto"/>
              <w:left w:val="single" w:sz="4" w:space="0" w:color="auto"/>
              <w:bottom w:val="single" w:sz="4" w:space="0" w:color="auto"/>
              <w:right w:val="single" w:sz="4" w:space="0" w:color="auto"/>
            </w:tcBorders>
            <w:vAlign w:val="center"/>
            <w:hideMark/>
          </w:tcPr>
          <w:p w:rsidR="000676E9" w:rsidRDefault="000676E9" w:rsidP="00423A61">
            <w:pPr>
              <w:jc w:val="center"/>
              <w:rPr>
                <w:bCs/>
                <w:sz w:val="18"/>
                <w:szCs w:val="18"/>
              </w:rPr>
            </w:pPr>
            <w:r>
              <w:rPr>
                <w:bCs/>
                <w:sz w:val="18"/>
                <w:szCs w:val="18"/>
              </w:rPr>
              <w:t>Rule 18a-5(a)(8)</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tcPr>
          <w:p w:rsidR="000676E9" w:rsidRDefault="000676E9" w:rsidP="00423A61">
            <w:pPr>
              <w:jc w:val="center"/>
              <w:rPr>
                <w:bCs/>
                <w:sz w:val="18"/>
                <w:szCs w:val="18"/>
              </w:rPr>
            </w:pP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18a-5(a)(8)</w:t>
            </w:r>
          </w:p>
        </w:tc>
      </w:tr>
      <w:tr w:rsidR="000676E9" w:rsidTr="000676E9">
        <w:trPr>
          <w:jc w:val="center"/>
        </w:trPr>
        <w:tc>
          <w:tcPr>
            <w:tcW w:w="2444"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hideMark/>
          </w:tcPr>
          <w:p w:rsidR="000676E9" w:rsidRDefault="000676E9" w:rsidP="00423A61">
            <w:pPr>
              <w:rPr>
                <w:bCs/>
                <w:sz w:val="18"/>
                <w:szCs w:val="18"/>
              </w:rPr>
            </w:pPr>
            <w:r>
              <w:rPr>
                <w:bCs/>
                <w:sz w:val="18"/>
                <w:szCs w:val="18"/>
              </w:rPr>
              <w:t>Trial balances and computation of net capital</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18a-5(a)(9)</w:t>
            </w:r>
          </w:p>
        </w:tc>
        <w:tc>
          <w:tcPr>
            <w:tcW w:w="1530" w:type="dxa"/>
            <w:tcBorders>
              <w:top w:val="single" w:sz="4" w:space="0" w:color="auto"/>
              <w:left w:val="single" w:sz="4" w:space="0" w:color="auto"/>
              <w:bottom w:val="single" w:sz="4" w:space="0" w:color="auto"/>
              <w:right w:val="single" w:sz="4" w:space="0" w:color="auto"/>
            </w:tcBorders>
            <w:vAlign w:val="center"/>
            <w:hideMark/>
          </w:tcPr>
          <w:p w:rsidR="000676E9" w:rsidRDefault="000676E9" w:rsidP="00423A61">
            <w:pPr>
              <w:jc w:val="center"/>
              <w:rPr>
                <w:bCs/>
                <w:sz w:val="18"/>
                <w:szCs w:val="18"/>
              </w:rPr>
            </w:pPr>
            <w:r>
              <w:rPr>
                <w:bCs/>
                <w:sz w:val="18"/>
                <w:szCs w:val="18"/>
              </w:rPr>
              <w:t>Rule 18a-5(a)(9)</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tcPr>
          <w:p w:rsidR="000676E9" w:rsidRDefault="000676E9" w:rsidP="00423A61">
            <w:pPr>
              <w:jc w:val="center"/>
              <w:rPr>
                <w:bCs/>
                <w:sz w:val="18"/>
                <w:szCs w:val="18"/>
              </w:rPr>
            </w:pP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18a-5(a)(9)</w:t>
            </w:r>
          </w:p>
        </w:tc>
      </w:tr>
      <w:tr w:rsidR="000676E9" w:rsidTr="000676E9">
        <w:trPr>
          <w:jc w:val="center"/>
        </w:trPr>
        <w:tc>
          <w:tcPr>
            <w:tcW w:w="2444"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hideMark/>
          </w:tcPr>
          <w:p w:rsidR="000676E9" w:rsidRDefault="000676E9" w:rsidP="00423A61">
            <w:pPr>
              <w:rPr>
                <w:bCs/>
                <w:sz w:val="18"/>
                <w:szCs w:val="18"/>
              </w:rPr>
            </w:pPr>
            <w:r>
              <w:rPr>
                <w:bCs/>
                <w:sz w:val="18"/>
                <w:szCs w:val="18"/>
              </w:rPr>
              <w:t>Associated person’s employment application</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w:t>
            </w:r>
            <w:r>
              <w:rPr>
                <w:bCs/>
                <w:sz w:val="18"/>
                <w:szCs w:val="18"/>
              </w:rPr>
              <w:noBreakHyphen/>
              <w:t>5(a)(10)</w:t>
            </w:r>
          </w:p>
        </w:tc>
        <w:tc>
          <w:tcPr>
            <w:tcW w:w="1530" w:type="dxa"/>
            <w:tcBorders>
              <w:top w:val="single" w:sz="4" w:space="0" w:color="auto"/>
              <w:left w:val="single" w:sz="4" w:space="0" w:color="auto"/>
              <w:bottom w:val="single" w:sz="4" w:space="0" w:color="auto"/>
              <w:right w:val="single" w:sz="4" w:space="0" w:color="auto"/>
            </w:tcBorders>
            <w:vAlign w:val="center"/>
            <w:hideMark/>
          </w:tcPr>
          <w:p w:rsidR="000676E9" w:rsidRDefault="000676E9" w:rsidP="00423A61">
            <w:pPr>
              <w:jc w:val="center"/>
              <w:rPr>
                <w:bCs/>
                <w:sz w:val="18"/>
                <w:szCs w:val="18"/>
              </w:rPr>
            </w:pPr>
            <w:r>
              <w:rPr>
                <w:bCs/>
                <w:sz w:val="18"/>
                <w:szCs w:val="18"/>
              </w:rPr>
              <w:t>Rule 18a</w:t>
            </w:r>
            <w:r>
              <w:rPr>
                <w:bCs/>
                <w:sz w:val="18"/>
                <w:szCs w:val="18"/>
              </w:rPr>
              <w:noBreakHyphen/>
              <w:t>5(a)(10)</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18a-5(b)(8)</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18a-5(a)(10)</w:t>
            </w:r>
          </w:p>
        </w:tc>
      </w:tr>
      <w:tr w:rsidR="000676E9" w:rsidTr="000676E9">
        <w:trPr>
          <w:jc w:val="center"/>
        </w:trPr>
        <w:tc>
          <w:tcPr>
            <w:tcW w:w="2444"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hideMark/>
          </w:tcPr>
          <w:p w:rsidR="000676E9" w:rsidRDefault="000676E9" w:rsidP="00423A61">
            <w:pPr>
              <w:rPr>
                <w:bCs/>
                <w:sz w:val="18"/>
                <w:szCs w:val="18"/>
              </w:rPr>
            </w:pPr>
            <w:r>
              <w:rPr>
                <w:bCs/>
                <w:sz w:val="18"/>
                <w:szCs w:val="18"/>
              </w:rPr>
              <w:t>Liquidity stress test</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tcPr>
          <w:p w:rsidR="000676E9" w:rsidRDefault="000676E9" w:rsidP="00423A61">
            <w:pPr>
              <w:jc w:val="center"/>
              <w:rPr>
                <w:bCs/>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0676E9" w:rsidRDefault="000676E9" w:rsidP="00423A61">
            <w:pPr>
              <w:jc w:val="center"/>
              <w:rPr>
                <w:bCs/>
                <w:sz w:val="18"/>
                <w:szCs w:val="18"/>
              </w:rPr>
            </w:pPr>
            <w:r>
              <w:rPr>
                <w:bCs/>
                <w:sz w:val="18"/>
                <w:szCs w:val="18"/>
              </w:rPr>
              <w:t>Rule 18a-5(a)(11)</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tcPr>
          <w:p w:rsidR="000676E9" w:rsidRDefault="000676E9" w:rsidP="00423A61">
            <w:pPr>
              <w:jc w:val="center"/>
              <w:rPr>
                <w:bCs/>
                <w:sz w:val="18"/>
                <w:szCs w:val="18"/>
              </w:rPr>
            </w:pP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tcPr>
          <w:p w:rsidR="000676E9" w:rsidRDefault="000676E9" w:rsidP="00423A61">
            <w:pPr>
              <w:jc w:val="center"/>
              <w:rPr>
                <w:bCs/>
                <w:sz w:val="18"/>
                <w:szCs w:val="18"/>
              </w:rPr>
            </w:pPr>
          </w:p>
        </w:tc>
      </w:tr>
      <w:tr w:rsidR="000676E9" w:rsidTr="000676E9">
        <w:trPr>
          <w:jc w:val="center"/>
        </w:trPr>
        <w:tc>
          <w:tcPr>
            <w:tcW w:w="2444"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hideMark/>
          </w:tcPr>
          <w:p w:rsidR="000676E9" w:rsidRDefault="000676E9" w:rsidP="00423A61">
            <w:pPr>
              <w:rPr>
                <w:bCs/>
                <w:sz w:val="18"/>
                <w:szCs w:val="18"/>
              </w:rPr>
            </w:pPr>
            <w:r>
              <w:rPr>
                <w:bCs/>
                <w:sz w:val="18"/>
                <w:szCs w:val="18"/>
              </w:rPr>
              <w:t>Account equity and margin calculations under proposed Rule 18a-3</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18a-5(a)(12)</w:t>
            </w:r>
          </w:p>
        </w:tc>
        <w:tc>
          <w:tcPr>
            <w:tcW w:w="1530" w:type="dxa"/>
            <w:tcBorders>
              <w:top w:val="single" w:sz="4" w:space="0" w:color="auto"/>
              <w:left w:val="single" w:sz="4" w:space="0" w:color="auto"/>
              <w:bottom w:val="single" w:sz="4" w:space="0" w:color="auto"/>
              <w:right w:val="single" w:sz="4" w:space="0" w:color="auto"/>
            </w:tcBorders>
            <w:vAlign w:val="center"/>
            <w:hideMark/>
          </w:tcPr>
          <w:p w:rsidR="000676E9" w:rsidRDefault="000676E9" w:rsidP="00423A61">
            <w:pPr>
              <w:jc w:val="center"/>
              <w:rPr>
                <w:bCs/>
                <w:sz w:val="18"/>
                <w:szCs w:val="18"/>
              </w:rPr>
            </w:pPr>
            <w:r>
              <w:rPr>
                <w:bCs/>
                <w:sz w:val="18"/>
                <w:szCs w:val="18"/>
              </w:rPr>
              <w:t>Rule 18a-5(a)(12)</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tcPr>
          <w:p w:rsidR="000676E9" w:rsidRDefault="000676E9" w:rsidP="00423A61">
            <w:pPr>
              <w:jc w:val="center"/>
              <w:rPr>
                <w:bCs/>
                <w:sz w:val="18"/>
                <w:szCs w:val="18"/>
              </w:rPr>
            </w:pP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18a-5(a)(12)</w:t>
            </w:r>
          </w:p>
        </w:tc>
      </w:tr>
      <w:tr w:rsidR="000676E9" w:rsidTr="000676E9">
        <w:trPr>
          <w:jc w:val="center"/>
        </w:trPr>
        <w:tc>
          <w:tcPr>
            <w:tcW w:w="2444"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hideMark/>
          </w:tcPr>
          <w:p w:rsidR="000676E9" w:rsidRDefault="000676E9" w:rsidP="00423A61">
            <w:pPr>
              <w:rPr>
                <w:bCs/>
                <w:sz w:val="18"/>
                <w:szCs w:val="18"/>
              </w:rPr>
            </w:pPr>
            <w:r>
              <w:rPr>
                <w:bCs/>
                <w:sz w:val="18"/>
                <w:szCs w:val="18"/>
              </w:rPr>
              <w:t>Possession or control requirements under proposed Rule 18a</w:t>
            </w:r>
            <w:r>
              <w:rPr>
                <w:bCs/>
                <w:sz w:val="18"/>
                <w:szCs w:val="18"/>
              </w:rPr>
              <w:noBreakHyphen/>
              <w:t>4</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18a-5(a)(13)</w:t>
            </w:r>
          </w:p>
        </w:tc>
        <w:tc>
          <w:tcPr>
            <w:tcW w:w="1530" w:type="dxa"/>
            <w:tcBorders>
              <w:top w:val="single" w:sz="4" w:space="0" w:color="auto"/>
              <w:left w:val="single" w:sz="4" w:space="0" w:color="auto"/>
              <w:bottom w:val="single" w:sz="4" w:space="0" w:color="auto"/>
              <w:right w:val="single" w:sz="4" w:space="0" w:color="auto"/>
            </w:tcBorders>
            <w:vAlign w:val="center"/>
            <w:hideMark/>
          </w:tcPr>
          <w:p w:rsidR="000676E9" w:rsidRDefault="000676E9" w:rsidP="00423A61">
            <w:pPr>
              <w:jc w:val="center"/>
              <w:rPr>
                <w:bCs/>
                <w:sz w:val="18"/>
                <w:szCs w:val="18"/>
              </w:rPr>
            </w:pPr>
            <w:r>
              <w:rPr>
                <w:bCs/>
                <w:sz w:val="18"/>
                <w:szCs w:val="18"/>
              </w:rPr>
              <w:t>Rule 18a-5(a)(13)</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18a-5(b)(9)</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tcPr>
          <w:p w:rsidR="000676E9" w:rsidRDefault="000676E9" w:rsidP="00423A61">
            <w:pPr>
              <w:jc w:val="center"/>
              <w:rPr>
                <w:bCs/>
                <w:sz w:val="18"/>
                <w:szCs w:val="18"/>
              </w:rPr>
            </w:pPr>
          </w:p>
        </w:tc>
      </w:tr>
      <w:tr w:rsidR="000676E9" w:rsidTr="000676E9">
        <w:trPr>
          <w:jc w:val="center"/>
        </w:trPr>
        <w:tc>
          <w:tcPr>
            <w:tcW w:w="2444"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hideMark/>
          </w:tcPr>
          <w:p w:rsidR="000676E9" w:rsidRDefault="000676E9" w:rsidP="00423A61">
            <w:pPr>
              <w:rPr>
                <w:bCs/>
                <w:sz w:val="18"/>
                <w:szCs w:val="18"/>
              </w:rPr>
            </w:pPr>
            <w:r>
              <w:rPr>
                <w:bCs/>
                <w:sz w:val="18"/>
                <w:szCs w:val="18"/>
              </w:rPr>
              <w:t>Customer reserve requirements under proposed Rule 18a</w:t>
            </w:r>
            <w:r>
              <w:rPr>
                <w:bCs/>
                <w:sz w:val="18"/>
                <w:szCs w:val="18"/>
              </w:rPr>
              <w:noBreakHyphen/>
              <w:t>4</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18a-5(a)(14)</w:t>
            </w:r>
          </w:p>
        </w:tc>
        <w:tc>
          <w:tcPr>
            <w:tcW w:w="1530" w:type="dxa"/>
            <w:tcBorders>
              <w:top w:val="single" w:sz="4" w:space="0" w:color="auto"/>
              <w:left w:val="single" w:sz="4" w:space="0" w:color="auto"/>
              <w:bottom w:val="single" w:sz="4" w:space="0" w:color="auto"/>
              <w:right w:val="single" w:sz="4" w:space="0" w:color="auto"/>
            </w:tcBorders>
            <w:vAlign w:val="center"/>
            <w:hideMark/>
          </w:tcPr>
          <w:p w:rsidR="000676E9" w:rsidRDefault="000676E9" w:rsidP="00423A61">
            <w:pPr>
              <w:jc w:val="center"/>
              <w:rPr>
                <w:bCs/>
                <w:sz w:val="18"/>
                <w:szCs w:val="18"/>
              </w:rPr>
            </w:pPr>
            <w:r>
              <w:rPr>
                <w:bCs/>
                <w:sz w:val="18"/>
                <w:szCs w:val="18"/>
              </w:rPr>
              <w:t>Rule 18a-5(a)(14)</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w:t>
            </w:r>
            <w:r>
              <w:rPr>
                <w:bCs/>
                <w:sz w:val="18"/>
                <w:szCs w:val="18"/>
              </w:rPr>
              <w:noBreakHyphen/>
              <w:t>5(b)(10)</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tcPr>
          <w:p w:rsidR="000676E9" w:rsidRDefault="000676E9" w:rsidP="00423A61">
            <w:pPr>
              <w:jc w:val="center"/>
              <w:rPr>
                <w:bCs/>
                <w:sz w:val="18"/>
                <w:szCs w:val="18"/>
              </w:rPr>
            </w:pPr>
          </w:p>
        </w:tc>
      </w:tr>
      <w:tr w:rsidR="000676E9" w:rsidTr="000676E9">
        <w:trPr>
          <w:jc w:val="center"/>
        </w:trPr>
        <w:tc>
          <w:tcPr>
            <w:tcW w:w="2444"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hideMark/>
          </w:tcPr>
          <w:p w:rsidR="000676E9" w:rsidRDefault="000676E9" w:rsidP="00423A61">
            <w:pPr>
              <w:rPr>
                <w:bCs/>
                <w:sz w:val="18"/>
                <w:szCs w:val="18"/>
              </w:rPr>
            </w:pPr>
            <w:r>
              <w:rPr>
                <w:bCs/>
                <w:sz w:val="18"/>
                <w:szCs w:val="18"/>
              </w:rPr>
              <w:t>Unverified transactions</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18a-5(a)(15)</w:t>
            </w:r>
          </w:p>
        </w:tc>
        <w:tc>
          <w:tcPr>
            <w:tcW w:w="1530" w:type="dxa"/>
            <w:tcBorders>
              <w:top w:val="single" w:sz="4" w:space="0" w:color="auto"/>
              <w:left w:val="single" w:sz="4" w:space="0" w:color="auto"/>
              <w:bottom w:val="single" w:sz="4" w:space="0" w:color="auto"/>
              <w:right w:val="single" w:sz="4" w:space="0" w:color="auto"/>
            </w:tcBorders>
            <w:vAlign w:val="center"/>
            <w:hideMark/>
          </w:tcPr>
          <w:p w:rsidR="000676E9" w:rsidRDefault="000676E9" w:rsidP="00423A61">
            <w:pPr>
              <w:jc w:val="center"/>
              <w:rPr>
                <w:bCs/>
                <w:sz w:val="18"/>
                <w:szCs w:val="18"/>
              </w:rPr>
            </w:pPr>
            <w:r>
              <w:rPr>
                <w:bCs/>
                <w:sz w:val="18"/>
                <w:szCs w:val="18"/>
              </w:rPr>
              <w:t>Rule 18a-5(a)(15)</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18a-5(b)(11)</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w:t>
            </w:r>
            <w:r>
              <w:rPr>
                <w:bCs/>
                <w:sz w:val="18"/>
                <w:szCs w:val="18"/>
              </w:rPr>
              <w:noBreakHyphen/>
              <w:t>5(a)(15)</w:t>
            </w:r>
          </w:p>
        </w:tc>
      </w:tr>
      <w:tr w:rsidR="000676E9" w:rsidTr="000676E9">
        <w:trPr>
          <w:jc w:val="center"/>
        </w:trPr>
        <w:tc>
          <w:tcPr>
            <w:tcW w:w="2444"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hideMark/>
          </w:tcPr>
          <w:p w:rsidR="000676E9" w:rsidRDefault="000676E9" w:rsidP="00423A61">
            <w:pPr>
              <w:rPr>
                <w:bCs/>
                <w:sz w:val="18"/>
                <w:szCs w:val="18"/>
              </w:rPr>
            </w:pPr>
            <w:r>
              <w:rPr>
                <w:bCs/>
                <w:sz w:val="18"/>
                <w:szCs w:val="18"/>
              </w:rPr>
              <w:t>Political contributions</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18a-5(a)(16)</w:t>
            </w:r>
          </w:p>
        </w:tc>
        <w:tc>
          <w:tcPr>
            <w:tcW w:w="1530" w:type="dxa"/>
            <w:tcBorders>
              <w:top w:val="single" w:sz="4" w:space="0" w:color="auto"/>
              <w:left w:val="single" w:sz="4" w:space="0" w:color="auto"/>
              <w:bottom w:val="single" w:sz="4" w:space="0" w:color="auto"/>
              <w:right w:val="single" w:sz="4" w:space="0" w:color="auto"/>
            </w:tcBorders>
            <w:vAlign w:val="center"/>
            <w:hideMark/>
          </w:tcPr>
          <w:p w:rsidR="000676E9" w:rsidRDefault="000676E9" w:rsidP="00423A61">
            <w:pPr>
              <w:jc w:val="center"/>
              <w:rPr>
                <w:bCs/>
                <w:sz w:val="18"/>
                <w:szCs w:val="18"/>
              </w:rPr>
            </w:pPr>
            <w:r>
              <w:rPr>
                <w:bCs/>
                <w:sz w:val="18"/>
                <w:szCs w:val="18"/>
              </w:rPr>
              <w:t>Rule 18a-5(a)(16)</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18a-5(b)(12)</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tcPr>
          <w:p w:rsidR="000676E9" w:rsidRDefault="000676E9" w:rsidP="00423A61">
            <w:pPr>
              <w:jc w:val="center"/>
              <w:rPr>
                <w:bCs/>
                <w:sz w:val="18"/>
                <w:szCs w:val="18"/>
              </w:rPr>
            </w:pPr>
          </w:p>
        </w:tc>
      </w:tr>
      <w:tr w:rsidR="000676E9" w:rsidTr="000676E9">
        <w:trPr>
          <w:jc w:val="center"/>
        </w:trPr>
        <w:tc>
          <w:tcPr>
            <w:tcW w:w="2444"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hideMark/>
          </w:tcPr>
          <w:p w:rsidR="000676E9" w:rsidRDefault="000676E9" w:rsidP="00423A61">
            <w:pPr>
              <w:rPr>
                <w:bCs/>
                <w:sz w:val="18"/>
                <w:szCs w:val="18"/>
              </w:rPr>
            </w:pPr>
            <w:r>
              <w:rPr>
                <w:bCs/>
                <w:sz w:val="18"/>
                <w:szCs w:val="18"/>
              </w:rPr>
              <w:t>Compliance with external business conduct requirements</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18a-5(a)(17)</w:t>
            </w:r>
          </w:p>
        </w:tc>
        <w:tc>
          <w:tcPr>
            <w:tcW w:w="1530" w:type="dxa"/>
            <w:tcBorders>
              <w:top w:val="single" w:sz="4" w:space="0" w:color="auto"/>
              <w:left w:val="single" w:sz="4" w:space="0" w:color="auto"/>
              <w:bottom w:val="single" w:sz="4" w:space="0" w:color="auto"/>
              <w:right w:val="single" w:sz="4" w:space="0" w:color="auto"/>
            </w:tcBorders>
            <w:vAlign w:val="center"/>
            <w:hideMark/>
          </w:tcPr>
          <w:p w:rsidR="000676E9" w:rsidRDefault="000676E9" w:rsidP="00423A61">
            <w:pPr>
              <w:jc w:val="center"/>
              <w:rPr>
                <w:bCs/>
                <w:sz w:val="18"/>
                <w:szCs w:val="18"/>
              </w:rPr>
            </w:pPr>
            <w:r>
              <w:rPr>
                <w:bCs/>
                <w:sz w:val="18"/>
                <w:szCs w:val="18"/>
              </w:rPr>
              <w:t>Rule 18a-5(a)(17)</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18a-5(b)(13)</w:t>
            </w:r>
          </w:p>
        </w:tc>
        <w:tc>
          <w:tcPr>
            <w:tcW w:w="1350" w:type="dxa"/>
            <w:tcBorders>
              <w:top w:val="single" w:sz="4" w:space="0" w:color="auto"/>
              <w:left w:val="single" w:sz="4" w:space="0" w:color="auto"/>
              <w:bottom w:val="single" w:sz="4" w:space="0" w:color="auto"/>
              <w:right w:val="single" w:sz="4" w:space="0" w:color="auto"/>
            </w:tcBorders>
            <w:tcMar>
              <w:top w:w="0" w:type="dxa"/>
              <w:left w:w="14" w:type="dxa"/>
              <w:bottom w:w="0" w:type="dxa"/>
              <w:right w:w="14" w:type="dxa"/>
            </w:tcMar>
            <w:vAlign w:val="center"/>
            <w:hideMark/>
          </w:tcPr>
          <w:p w:rsidR="000676E9" w:rsidRDefault="000676E9" w:rsidP="00423A61">
            <w:pPr>
              <w:jc w:val="center"/>
              <w:rPr>
                <w:bCs/>
                <w:sz w:val="18"/>
                <w:szCs w:val="18"/>
              </w:rPr>
            </w:pPr>
            <w:r>
              <w:rPr>
                <w:bCs/>
                <w:sz w:val="18"/>
                <w:szCs w:val="18"/>
              </w:rPr>
              <w:t>Rule 18a-5(a)(17)</w:t>
            </w:r>
          </w:p>
        </w:tc>
      </w:tr>
    </w:tbl>
    <w:p w:rsidR="000676E9" w:rsidRDefault="000676E9" w:rsidP="000676E9"/>
    <w:p w:rsidR="00B00911" w:rsidRPr="00205696" w:rsidRDefault="00B00911" w:rsidP="00B00911">
      <w:pPr>
        <w:keepNext/>
        <w:spacing w:after="240"/>
        <w:ind w:left="1440" w:hanging="720"/>
        <w:rPr>
          <w:b/>
        </w:rPr>
      </w:pPr>
      <w:r w:rsidRPr="00205696">
        <w:rPr>
          <w:b/>
        </w:rPr>
        <w:t>2.</w:t>
      </w:r>
      <w:r w:rsidRPr="00205696">
        <w:rPr>
          <w:b/>
        </w:rPr>
        <w:tab/>
        <w:t xml:space="preserve">Purpose </w:t>
      </w:r>
      <w:r w:rsidR="00F54999" w:rsidRPr="00205696">
        <w:rPr>
          <w:b/>
        </w:rPr>
        <w:t>and Use of</w:t>
      </w:r>
      <w:r w:rsidRPr="00205696">
        <w:rPr>
          <w:b/>
        </w:rPr>
        <w:t xml:space="preserve"> the Information Collection</w:t>
      </w:r>
    </w:p>
    <w:p w:rsidR="00B00911" w:rsidRPr="00205696" w:rsidRDefault="00B00911" w:rsidP="00B00911">
      <w:pPr>
        <w:pStyle w:val="BodyText"/>
        <w:spacing w:after="240"/>
        <w:ind w:firstLine="720"/>
        <w:rPr>
          <w:rFonts w:ascii="Times New Roman" w:hAnsi="Times New Roman"/>
          <w:szCs w:val="24"/>
        </w:rPr>
      </w:pPr>
      <w:r w:rsidRPr="00205696">
        <w:rPr>
          <w:rFonts w:ascii="Times New Roman" w:hAnsi="Times New Roman"/>
          <w:szCs w:val="24"/>
        </w:rPr>
        <w:t xml:space="preserve">The purpose of requiring </w:t>
      </w:r>
      <w:r w:rsidR="00AC3A92">
        <w:rPr>
          <w:rFonts w:ascii="Times New Roman" w:hAnsi="Times New Roman"/>
          <w:szCs w:val="24"/>
        </w:rPr>
        <w:t xml:space="preserve">stand-alone SBSDs, stand-alone </w:t>
      </w:r>
      <w:r w:rsidR="0047197B">
        <w:rPr>
          <w:rFonts w:ascii="Times New Roman" w:hAnsi="Times New Roman"/>
          <w:szCs w:val="24"/>
        </w:rPr>
        <w:t>MSBSPs</w:t>
      </w:r>
      <w:r w:rsidR="00AC3A92">
        <w:rPr>
          <w:rFonts w:ascii="Times New Roman" w:hAnsi="Times New Roman"/>
          <w:szCs w:val="24"/>
        </w:rPr>
        <w:t>, bank SBSDs</w:t>
      </w:r>
      <w:r w:rsidR="00E83DE6">
        <w:rPr>
          <w:rFonts w:ascii="Times New Roman" w:hAnsi="Times New Roman"/>
          <w:szCs w:val="24"/>
        </w:rPr>
        <w:t>, and bank MSBSPs</w:t>
      </w:r>
      <w:r w:rsidR="0047197B">
        <w:rPr>
          <w:rFonts w:ascii="Times New Roman" w:hAnsi="Times New Roman"/>
          <w:szCs w:val="24"/>
        </w:rPr>
        <w:t xml:space="preserve"> </w:t>
      </w:r>
      <w:r w:rsidRPr="00205696">
        <w:rPr>
          <w:rFonts w:ascii="Times New Roman" w:hAnsi="Times New Roman"/>
          <w:szCs w:val="24"/>
        </w:rPr>
        <w:t xml:space="preserve">to create the records specified in Rule </w:t>
      </w:r>
      <w:r w:rsidR="00DD304D">
        <w:rPr>
          <w:rFonts w:ascii="Times New Roman" w:hAnsi="Times New Roman"/>
          <w:szCs w:val="24"/>
        </w:rPr>
        <w:t>18a-5</w:t>
      </w:r>
      <w:r w:rsidRPr="00205696">
        <w:rPr>
          <w:rFonts w:ascii="Times New Roman" w:hAnsi="Times New Roman"/>
          <w:szCs w:val="24"/>
        </w:rPr>
        <w:t xml:space="preserve"> is to enhance regulators’ ability to protect investors.  These records and the information contained therein </w:t>
      </w:r>
      <w:r w:rsidR="00E24D31">
        <w:rPr>
          <w:rFonts w:ascii="Times New Roman" w:hAnsi="Times New Roman"/>
          <w:szCs w:val="24"/>
        </w:rPr>
        <w:t>are</w:t>
      </w:r>
      <w:r w:rsidRPr="00205696">
        <w:rPr>
          <w:rFonts w:ascii="Times New Roman" w:hAnsi="Times New Roman"/>
          <w:szCs w:val="24"/>
        </w:rPr>
        <w:t xml:space="preserve"> used by examiners and other representatives of the </w:t>
      </w:r>
      <w:r w:rsidR="00815547" w:rsidRPr="00205696">
        <w:rPr>
          <w:rFonts w:ascii="Times New Roman" w:hAnsi="Times New Roman"/>
          <w:szCs w:val="24"/>
        </w:rPr>
        <w:t>Commission</w:t>
      </w:r>
      <w:r w:rsidRPr="00205696">
        <w:rPr>
          <w:rFonts w:ascii="Times New Roman" w:hAnsi="Times New Roman"/>
          <w:szCs w:val="24"/>
        </w:rPr>
        <w:t xml:space="preserve"> to determine whether </w:t>
      </w:r>
      <w:r w:rsidR="00844B80">
        <w:rPr>
          <w:rFonts w:ascii="Times New Roman" w:hAnsi="Times New Roman"/>
          <w:szCs w:val="24"/>
        </w:rPr>
        <w:t>stand-alone SBSDs, stand-alone MSBSPs, bank SBSDs</w:t>
      </w:r>
      <w:r w:rsidR="00E83DE6">
        <w:rPr>
          <w:rFonts w:ascii="Times New Roman" w:hAnsi="Times New Roman"/>
          <w:szCs w:val="24"/>
        </w:rPr>
        <w:t>, and bank MSBSPs</w:t>
      </w:r>
      <w:r w:rsidR="00DD304D" w:rsidRPr="00205696" w:rsidDel="00DD304D">
        <w:rPr>
          <w:rFonts w:ascii="Times New Roman" w:hAnsi="Times New Roman"/>
          <w:szCs w:val="24"/>
        </w:rPr>
        <w:t xml:space="preserve"> </w:t>
      </w:r>
      <w:r w:rsidRPr="00205696">
        <w:rPr>
          <w:rFonts w:ascii="Times New Roman" w:hAnsi="Times New Roman"/>
          <w:szCs w:val="24"/>
        </w:rPr>
        <w:t>are in compliance with the Commission’s anti</w:t>
      </w:r>
      <w:r w:rsidR="00815547" w:rsidRPr="00205696">
        <w:rPr>
          <w:rFonts w:ascii="Times New Roman" w:hAnsi="Times New Roman"/>
          <w:szCs w:val="24"/>
        </w:rPr>
        <w:t>-</w:t>
      </w:r>
      <w:r w:rsidRPr="00205696">
        <w:rPr>
          <w:rFonts w:ascii="Times New Roman" w:hAnsi="Times New Roman"/>
          <w:szCs w:val="24"/>
        </w:rPr>
        <w:t xml:space="preserve">fraud and anti-manipulation rules, financial responsibility program, and other laws, rules, and regulations.  If </w:t>
      </w:r>
      <w:r w:rsidR="00844B80">
        <w:rPr>
          <w:rFonts w:ascii="Times New Roman" w:hAnsi="Times New Roman"/>
          <w:szCs w:val="24"/>
        </w:rPr>
        <w:t>stand-alone SBSDs, stand-alone MSBSPs, bank SBSDs</w:t>
      </w:r>
      <w:r w:rsidR="00E83DE6">
        <w:rPr>
          <w:rFonts w:ascii="Times New Roman" w:hAnsi="Times New Roman"/>
          <w:szCs w:val="24"/>
        </w:rPr>
        <w:t>, and bank MSBSPs</w:t>
      </w:r>
      <w:r w:rsidR="00DD304D" w:rsidRPr="00205696" w:rsidDel="00DD304D">
        <w:rPr>
          <w:rFonts w:ascii="Times New Roman" w:hAnsi="Times New Roman"/>
          <w:szCs w:val="24"/>
        </w:rPr>
        <w:t xml:space="preserve"> </w:t>
      </w:r>
      <w:r w:rsidRPr="00205696">
        <w:rPr>
          <w:rFonts w:ascii="Times New Roman" w:hAnsi="Times New Roman"/>
          <w:szCs w:val="24"/>
        </w:rPr>
        <w:t xml:space="preserve">were not required to create these records, examiners would be unable to conduct effective and efficient examinations to determine whether </w:t>
      </w:r>
      <w:r w:rsidR="00844B80">
        <w:rPr>
          <w:rFonts w:ascii="Times New Roman" w:hAnsi="Times New Roman"/>
          <w:szCs w:val="24"/>
        </w:rPr>
        <w:t>stand-alone SBSDs, stand-alone MSBSPs, bank SBSDs</w:t>
      </w:r>
      <w:r w:rsidR="00E83DE6">
        <w:rPr>
          <w:rFonts w:ascii="Times New Roman" w:hAnsi="Times New Roman"/>
          <w:szCs w:val="24"/>
        </w:rPr>
        <w:t>, and bank MSBSPs</w:t>
      </w:r>
      <w:r w:rsidRPr="00205696">
        <w:rPr>
          <w:rFonts w:ascii="Times New Roman" w:hAnsi="Times New Roman"/>
          <w:szCs w:val="24"/>
        </w:rPr>
        <w:t xml:space="preserve"> were complying with relevant laws, rules, and regulations.</w:t>
      </w:r>
      <w:r w:rsidR="00AD7D74" w:rsidRPr="00205696">
        <w:rPr>
          <w:rFonts w:ascii="Times New Roman" w:hAnsi="Times New Roman"/>
          <w:szCs w:val="24"/>
        </w:rPr>
        <w:t xml:space="preserve"> </w:t>
      </w:r>
    </w:p>
    <w:p w:rsidR="00B00911" w:rsidRPr="00205696" w:rsidRDefault="00B00911" w:rsidP="00B00911">
      <w:pPr>
        <w:keepNext/>
        <w:spacing w:after="240"/>
        <w:ind w:left="1440" w:hanging="720"/>
        <w:rPr>
          <w:b/>
          <w:bCs/>
        </w:rPr>
      </w:pPr>
      <w:r w:rsidRPr="00205696">
        <w:rPr>
          <w:b/>
          <w:bCs/>
        </w:rPr>
        <w:t>3.</w:t>
      </w:r>
      <w:r w:rsidRPr="00205696">
        <w:rPr>
          <w:b/>
          <w:bCs/>
        </w:rPr>
        <w:tab/>
      </w:r>
      <w:r w:rsidR="006C62DB" w:rsidRPr="00205696">
        <w:rPr>
          <w:b/>
          <w:bCs/>
        </w:rPr>
        <w:t>Consideration Given to Information Technology</w:t>
      </w:r>
    </w:p>
    <w:p w:rsidR="00B00911" w:rsidRPr="00205696" w:rsidRDefault="00B00911" w:rsidP="00B00911">
      <w:pPr>
        <w:spacing w:after="240"/>
        <w:ind w:firstLine="720"/>
      </w:pPr>
      <w:r w:rsidRPr="00205696">
        <w:t xml:space="preserve">The Commission believes that improvements in telecommunications and data processing technology may reduce any burdens that result from Rule </w:t>
      </w:r>
      <w:r w:rsidR="00DD304D">
        <w:t>18a-5</w:t>
      </w:r>
      <w:r w:rsidRPr="00205696">
        <w:t xml:space="preserve">.  </w:t>
      </w:r>
      <w:r w:rsidR="00844B80">
        <w:t>Stand-alone SBSDs, stand-alone MSBSPs, bank SBSDs</w:t>
      </w:r>
      <w:r w:rsidR="00E83DE6">
        <w:t>, and bank MSBSPs</w:t>
      </w:r>
      <w:r w:rsidR="00DD304D" w:rsidRPr="00205696" w:rsidDel="00DD304D">
        <w:t xml:space="preserve"> </w:t>
      </w:r>
      <w:r w:rsidRPr="00205696">
        <w:t>are not prevented from using computers or other mechanical devices to generate the records required under Rule</w:t>
      </w:r>
      <w:r w:rsidR="00815547" w:rsidRPr="00205696">
        <w:t xml:space="preserve"> </w:t>
      </w:r>
      <w:r w:rsidR="00DD304D">
        <w:t>18a-5</w:t>
      </w:r>
      <w:r w:rsidRPr="00205696">
        <w:t xml:space="preserve">.  </w:t>
      </w:r>
      <w:r w:rsidR="0057789B">
        <w:t xml:space="preserve">If </w:t>
      </w:r>
      <w:r w:rsidR="009709B1">
        <w:t xml:space="preserve">such records are </w:t>
      </w:r>
      <w:r w:rsidR="0057789B">
        <w:t xml:space="preserve">stored electronically, </w:t>
      </w:r>
      <w:r w:rsidR="009709B1">
        <w:t>they</w:t>
      </w:r>
      <w:r w:rsidR="0057789B">
        <w:t xml:space="preserve"> must be </w:t>
      </w:r>
      <w:r w:rsidR="004B2A91">
        <w:t>preserved</w:t>
      </w:r>
      <w:r w:rsidR="0057789B">
        <w:t xml:space="preserve"> </w:t>
      </w:r>
      <w:r w:rsidR="009709B1">
        <w:t xml:space="preserve">exclusively </w:t>
      </w:r>
      <w:r w:rsidR="0057789B">
        <w:t>in a non-readable, non-writeable format.</w:t>
      </w:r>
      <w:r w:rsidR="0057789B">
        <w:rPr>
          <w:rStyle w:val="FootnoteReference"/>
        </w:rPr>
        <w:footnoteReference w:id="5"/>
      </w:r>
    </w:p>
    <w:p w:rsidR="00B00911" w:rsidRPr="00205696" w:rsidRDefault="00B00911" w:rsidP="00B00911">
      <w:pPr>
        <w:keepNext/>
        <w:spacing w:after="240"/>
        <w:ind w:firstLine="720"/>
        <w:rPr>
          <w:b/>
        </w:rPr>
      </w:pPr>
      <w:r w:rsidRPr="00205696">
        <w:rPr>
          <w:b/>
        </w:rPr>
        <w:lastRenderedPageBreak/>
        <w:t>4.</w:t>
      </w:r>
      <w:r w:rsidRPr="00205696">
        <w:rPr>
          <w:b/>
        </w:rPr>
        <w:tab/>
        <w:t>Duplication</w:t>
      </w:r>
    </w:p>
    <w:p w:rsidR="00B00911" w:rsidRPr="00205696" w:rsidRDefault="00B00911" w:rsidP="00B00911">
      <w:pPr>
        <w:spacing w:after="240"/>
        <w:ind w:firstLine="720"/>
      </w:pPr>
      <w:r w:rsidRPr="00205696">
        <w:t xml:space="preserve">Because most </w:t>
      </w:r>
      <w:r w:rsidR="00844B80">
        <w:t>stand-alone SBSDs, stand-alone MSBSPs, bank SBSDs</w:t>
      </w:r>
      <w:r w:rsidR="00E83DE6">
        <w:t>, and bank MSBSPs</w:t>
      </w:r>
      <w:r w:rsidR="00DD304D" w:rsidRPr="00205696" w:rsidDel="00DD304D">
        <w:t xml:space="preserve"> </w:t>
      </w:r>
      <w:r w:rsidR="00DD304D">
        <w:t xml:space="preserve">do not </w:t>
      </w:r>
      <w:r w:rsidRPr="00205696">
        <w:t xml:space="preserve">already </w:t>
      </w:r>
      <w:r w:rsidR="0017535D">
        <w:t xml:space="preserve">voluntarily </w:t>
      </w:r>
      <w:r w:rsidRPr="00205696">
        <w:t xml:space="preserve">create many of the records required by Rule </w:t>
      </w:r>
      <w:r w:rsidR="00DD304D">
        <w:t>18a-5</w:t>
      </w:r>
      <w:r w:rsidRPr="00205696">
        <w:t xml:space="preserve">, no duplication of such information is apparent.  </w:t>
      </w:r>
    </w:p>
    <w:p w:rsidR="00B00911" w:rsidRPr="00205696" w:rsidRDefault="00B00911" w:rsidP="00B00911">
      <w:pPr>
        <w:keepNext/>
        <w:spacing w:after="240"/>
        <w:ind w:firstLine="720"/>
        <w:rPr>
          <w:b/>
        </w:rPr>
      </w:pPr>
      <w:r w:rsidRPr="00205696">
        <w:rPr>
          <w:b/>
        </w:rPr>
        <w:t>5.</w:t>
      </w:r>
      <w:r w:rsidRPr="00205696">
        <w:rPr>
          <w:b/>
        </w:rPr>
        <w:tab/>
      </w:r>
      <w:r w:rsidR="002D7E57" w:rsidRPr="00205696">
        <w:rPr>
          <w:b/>
        </w:rPr>
        <w:t>Effect</w:t>
      </w:r>
      <w:r w:rsidRPr="00205696">
        <w:rPr>
          <w:b/>
        </w:rPr>
        <w:t xml:space="preserve"> on Small Entities</w:t>
      </w:r>
    </w:p>
    <w:p w:rsidR="00A4200D" w:rsidRDefault="00522A0B" w:rsidP="00522A0B">
      <w:r>
        <w:tab/>
      </w:r>
      <w:r w:rsidRPr="004F6B4B">
        <w:t xml:space="preserve">Based on feedback from industry participants about the security-based swap market, entities that </w:t>
      </w:r>
      <w:r>
        <w:t>would</w:t>
      </w:r>
      <w:r w:rsidRPr="004F6B4B">
        <w:t xml:space="preserve"> qualify as</w:t>
      </w:r>
      <w:r>
        <w:t xml:space="preserve"> </w:t>
      </w:r>
      <w:r w:rsidRPr="004F6B4B">
        <w:t>SBSDs</w:t>
      </w:r>
      <w:r>
        <w:t xml:space="preserve"> or MSBSPs</w:t>
      </w:r>
      <w:r w:rsidRPr="004F6B4B">
        <w:t xml:space="preserve"> </w:t>
      </w:r>
      <w:r w:rsidR="00BC24E7">
        <w:t>would</w:t>
      </w:r>
      <w:r w:rsidRPr="004F6B4B">
        <w:t xml:space="preserve"> likely exceed the</w:t>
      </w:r>
      <w:r>
        <w:t xml:space="preserve"> thresholds defining “</w:t>
      </w:r>
      <w:r w:rsidRPr="004F6B4B">
        <w:t>small entities</w:t>
      </w:r>
      <w:r>
        <w:t>”</w:t>
      </w:r>
      <w:r w:rsidRPr="004F6B4B">
        <w:t xml:space="preserve">.  Thus, it is unlikely that the requirements under proposed new Rule </w:t>
      </w:r>
      <w:r>
        <w:t>18a–5</w:t>
      </w:r>
      <w:r w:rsidRPr="004F6B4B">
        <w:t xml:space="preserve"> would have a significant economic impact on a</w:t>
      </w:r>
      <w:r>
        <w:t xml:space="preserve"> small entity</w:t>
      </w:r>
      <w:r w:rsidR="00A4200D" w:rsidRPr="00A130BB">
        <w:t>.</w:t>
      </w:r>
    </w:p>
    <w:p w:rsidR="00522A0B" w:rsidRDefault="00522A0B" w:rsidP="00522A0B"/>
    <w:p w:rsidR="00B00911" w:rsidRPr="00205696" w:rsidRDefault="00B00911" w:rsidP="00B00911">
      <w:pPr>
        <w:keepNext/>
        <w:spacing w:after="240"/>
        <w:ind w:firstLine="720"/>
        <w:rPr>
          <w:b/>
        </w:rPr>
      </w:pPr>
      <w:r w:rsidRPr="00205696">
        <w:rPr>
          <w:b/>
        </w:rPr>
        <w:t>6.</w:t>
      </w:r>
      <w:r w:rsidRPr="00205696">
        <w:rPr>
          <w:b/>
        </w:rPr>
        <w:tab/>
        <w:t xml:space="preserve">Consequences of </w:t>
      </w:r>
      <w:r w:rsidR="006C62DB" w:rsidRPr="00205696">
        <w:rPr>
          <w:b/>
        </w:rPr>
        <w:t>Not Conducting</w:t>
      </w:r>
      <w:r w:rsidRPr="00205696">
        <w:rPr>
          <w:b/>
        </w:rPr>
        <w:t xml:space="preserve"> Collection</w:t>
      </w:r>
    </w:p>
    <w:p w:rsidR="00B00911" w:rsidRPr="00205696" w:rsidRDefault="00B00911" w:rsidP="00B00911">
      <w:pPr>
        <w:pStyle w:val="BodyText"/>
        <w:spacing w:after="240"/>
        <w:ind w:firstLine="720"/>
        <w:rPr>
          <w:rFonts w:ascii="Times New Roman" w:hAnsi="Times New Roman"/>
          <w:szCs w:val="24"/>
        </w:rPr>
      </w:pPr>
      <w:r w:rsidRPr="00205696">
        <w:rPr>
          <w:rFonts w:ascii="Times New Roman" w:hAnsi="Times New Roman"/>
          <w:szCs w:val="24"/>
        </w:rPr>
        <w:t xml:space="preserve">The information required to be collected and recorded under Rule </w:t>
      </w:r>
      <w:r w:rsidR="004A2EA5">
        <w:rPr>
          <w:rFonts w:ascii="Times New Roman" w:hAnsi="Times New Roman"/>
          <w:szCs w:val="24"/>
        </w:rPr>
        <w:t xml:space="preserve">18a-5 </w:t>
      </w:r>
      <w:r w:rsidRPr="00205696">
        <w:rPr>
          <w:rFonts w:ascii="Times New Roman" w:hAnsi="Times New Roman"/>
          <w:szCs w:val="24"/>
        </w:rPr>
        <w:t>allows the Commission</w:t>
      </w:r>
      <w:r w:rsidR="00C00279">
        <w:rPr>
          <w:rFonts w:ascii="Times New Roman" w:hAnsi="Times New Roman"/>
          <w:szCs w:val="24"/>
        </w:rPr>
        <w:t xml:space="preserve"> </w:t>
      </w:r>
      <w:r w:rsidRPr="00205696">
        <w:rPr>
          <w:rFonts w:ascii="Times New Roman" w:hAnsi="Times New Roman"/>
          <w:szCs w:val="24"/>
        </w:rPr>
        <w:t xml:space="preserve">to determine whether </w:t>
      </w:r>
      <w:r w:rsidR="00E35B74">
        <w:t>stand-alone SBSDs, stand-alone MSBSPs, bank SBSDs, and bank MSBSPs</w:t>
      </w:r>
      <w:r w:rsidRPr="00205696">
        <w:rPr>
          <w:rFonts w:ascii="Times New Roman" w:hAnsi="Times New Roman"/>
          <w:szCs w:val="24"/>
        </w:rPr>
        <w:t xml:space="preserve"> are in compliance with Commission anti-fraud and anti-manipulation rules, financial responsibility rules, and other rules and regulations.  If a </w:t>
      </w:r>
      <w:r w:rsidR="00844B80">
        <w:rPr>
          <w:rFonts w:ascii="Times New Roman" w:hAnsi="Times New Roman"/>
          <w:szCs w:val="24"/>
        </w:rPr>
        <w:t>stand-alone SBSD, stand-alone MSBSP, bank SBSD</w:t>
      </w:r>
      <w:r w:rsidR="00E83DE6">
        <w:rPr>
          <w:rFonts w:ascii="Times New Roman" w:hAnsi="Times New Roman"/>
          <w:szCs w:val="24"/>
        </w:rPr>
        <w:t xml:space="preserve">, </w:t>
      </w:r>
      <w:r w:rsidR="00AC5F5C">
        <w:rPr>
          <w:rFonts w:ascii="Times New Roman" w:hAnsi="Times New Roman"/>
          <w:szCs w:val="24"/>
        </w:rPr>
        <w:t>or</w:t>
      </w:r>
      <w:r w:rsidR="00E83DE6">
        <w:rPr>
          <w:rFonts w:ascii="Times New Roman" w:hAnsi="Times New Roman"/>
          <w:szCs w:val="24"/>
        </w:rPr>
        <w:t xml:space="preserve"> bank MSBSP</w:t>
      </w:r>
      <w:r w:rsidR="004A2EA5" w:rsidRPr="00205696" w:rsidDel="00DD304D">
        <w:t xml:space="preserve"> </w:t>
      </w:r>
      <w:r w:rsidRPr="00205696">
        <w:rPr>
          <w:rFonts w:ascii="Times New Roman" w:hAnsi="Times New Roman"/>
          <w:szCs w:val="24"/>
        </w:rPr>
        <w:t xml:space="preserve">does not make these records, or </w:t>
      </w:r>
      <w:r w:rsidR="00A96F11">
        <w:rPr>
          <w:rFonts w:ascii="Times New Roman" w:hAnsi="Times New Roman"/>
          <w:szCs w:val="24"/>
        </w:rPr>
        <w:t xml:space="preserve">if </w:t>
      </w:r>
      <w:r w:rsidRPr="00205696">
        <w:rPr>
          <w:rFonts w:ascii="Times New Roman" w:hAnsi="Times New Roman"/>
          <w:szCs w:val="24"/>
        </w:rPr>
        <w:t xml:space="preserve">it makes these records less frequently, the level of investor protection will be reduced.  The records a </w:t>
      </w:r>
      <w:r w:rsidR="00844B80">
        <w:rPr>
          <w:rFonts w:ascii="Times New Roman" w:hAnsi="Times New Roman"/>
          <w:szCs w:val="24"/>
        </w:rPr>
        <w:t>stand-alone SBSD, stand-alone MSBSP, bank SBSD</w:t>
      </w:r>
      <w:r w:rsidR="00E83DE6">
        <w:rPr>
          <w:rFonts w:ascii="Times New Roman" w:hAnsi="Times New Roman"/>
          <w:szCs w:val="24"/>
        </w:rPr>
        <w:t xml:space="preserve">, </w:t>
      </w:r>
      <w:r w:rsidR="00AC5F5C">
        <w:rPr>
          <w:rFonts w:ascii="Times New Roman" w:hAnsi="Times New Roman"/>
          <w:szCs w:val="24"/>
        </w:rPr>
        <w:t>or</w:t>
      </w:r>
      <w:r w:rsidR="00E83DE6">
        <w:rPr>
          <w:rFonts w:ascii="Times New Roman" w:hAnsi="Times New Roman"/>
          <w:szCs w:val="24"/>
        </w:rPr>
        <w:t xml:space="preserve"> bank MSBSP</w:t>
      </w:r>
      <w:r w:rsidR="004A2EA5" w:rsidRPr="00205696" w:rsidDel="00DD304D">
        <w:t xml:space="preserve"> </w:t>
      </w:r>
      <w:r w:rsidRPr="00205696">
        <w:rPr>
          <w:rFonts w:ascii="Times New Roman" w:hAnsi="Times New Roman"/>
          <w:szCs w:val="24"/>
        </w:rPr>
        <w:t xml:space="preserve">is required to make under Rule </w:t>
      </w:r>
      <w:r w:rsidR="004A2EA5">
        <w:rPr>
          <w:rFonts w:ascii="Times New Roman" w:hAnsi="Times New Roman"/>
          <w:szCs w:val="24"/>
        </w:rPr>
        <w:t>18a-5</w:t>
      </w:r>
      <w:r w:rsidRPr="00205696">
        <w:rPr>
          <w:rFonts w:ascii="Times New Roman" w:hAnsi="Times New Roman"/>
          <w:szCs w:val="24"/>
        </w:rPr>
        <w:t xml:space="preserve"> are, for the most part, essential to the successful operation of </w:t>
      </w:r>
      <w:r w:rsidR="00E35B74">
        <w:rPr>
          <w:rFonts w:ascii="Times New Roman" w:hAnsi="Times New Roman"/>
          <w:szCs w:val="24"/>
        </w:rPr>
        <w:t>an SBSD or MSBSP</w:t>
      </w:r>
      <w:r w:rsidRPr="00205696">
        <w:rPr>
          <w:rFonts w:ascii="Times New Roman" w:hAnsi="Times New Roman"/>
          <w:szCs w:val="24"/>
        </w:rPr>
        <w:t xml:space="preserve">, and failure to make the records on a current basis would likely cause the </w:t>
      </w:r>
      <w:r w:rsidR="00AC5F5C">
        <w:rPr>
          <w:rFonts w:ascii="Times New Roman" w:hAnsi="Times New Roman"/>
          <w:szCs w:val="24"/>
        </w:rPr>
        <w:t>firm</w:t>
      </w:r>
      <w:r w:rsidRPr="00205696">
        <w:rPr>
          <w:rFonts w:ascii="Times New Roman" w:hAnsi="Times New Roman"/>
          <w:szCs w:val="24"/>
        </w:rPr>
        <w:t xml:space="preserve"> to experience operational difficulties.  </w:t>
      </w:r>
    </w:p>
    <w:p w:rsidR="00B00911" w:rsidRPr="00205696" w:rsidRDefault="00B00911" w:rsidP="00B00911">
      <w:pPr>
        <w:keepNext/>
        <w:spacing w:after="240"/>
        <w:ind w:firstLine="720"/>
        <w:rPr>
          <w:b/>
        </w:rPr>
      </w:pPr>
      <w:r w:rsidRPr="00205696">
        <w:rPr>
          <w:b/>
        </w:rPr>
        <w:t>7.</w:t>
      </w:r>
      <w:r w:rsidRPr="00205696">
        <w:rPr>
          <w:b/>
        </w:rPr>
        <w:tab/>
        <w:t>Inconsistencies with Guidelines in 5 CFR 1320.5(d</w:t>
      </w:r>
      <w:proofErr w:type="gramStart"/>
      <w:r w:rsidRPr="00205696">
        <w:rPr>
          <w:b/>
        </w:rPr>
        <w:t>)(</w:t>
      </w:r>
      <w:proofErr w:type="gramEnd"/>
      <w:r w:rsidRPr="00205696">
        <w:rPr>
          <w:b/>
        </w:rPr>
        <w:t>2)</w:t>
      </w:r>
    </w:p>
    <w:p w:rsidR="00B00911" w:rsidRPr="00205696" w:rsidRDefault="000974D8" w:rsidP="00B00911">
      <w:pPr>
        <w:pStyle w:val="BodyTextIndent3"/>
        <w:spacing w:after="240"/>
        <w:rPr>
          <w:rFonts w:ascii="Times New Roman" w:hAnsi="Times New Roman"/>
        </w:rPr>
      </w:pPr>
      <w:r w:rsidRPr="00205696">
        <w:rPr>
          <w:rFonts w:ascii="Times New Roman" w:hAnsi="Times New Roman"/>
        </w:rPr>
        <w:t>There are no special circumstances.  This collection is consistent with the guidelines in 5 CFR 1320.5(d</w:t>
      </w:r>
      <w:proofErr w:type="gramStart"/>
      <w:r w:rsidRPr="00205696">
        <w:rPr>
          <w:rFonts w:ascii="Times New Roman" w:hAnsi="Times New Roman"/>
        </w:rPr>
        <w:t>)(</w:t>
      </w:r>
      <w:proofErr w:type="gramEnd"/>
      <w:r w:rsidRPr="00205696">
        <w:rPr>
          <w:rFonts w:ascii="Times New Roman" w:hAnsi="Times New Roman"/>
        </w:rPr>
        <w:t>2)</w:t>
      </w:r>
      <w:r w:rsidR="00B00911" w:rsidRPr="00205696">
        <w:rPr>
          <w:rFonts w:ascii="Times New Roman" w:hAnsi="Times New Roman"/>
        </w:rPr>
        <w:t>.</w:t>
      </w:r>
    </w:p>
    <w:p w:rsidR="00B00911" w:rsidRPr="00205696" w:rsidRDefault="00B00911" w:rsidP="00B00911">
      <w:pPr>
        <w:keepNext/>
        <w:spacing w:after="240"/>
        <w:ind w:firstLine="720"/>
        <w:rPr>
          <w:b/>
        </w:rPr>
      </w:pPr>
      <w:r w:rsidRPr="00205696">
        <w:rPr>
          <w:b/>
        </w:rPr>
        <w:t>8.</w:t>
      </w:r>
      <w:r w:rsidRPr="00205696">
        <w:rPr>
          <w:b/>
        </w:rPr>
        <w:tab/>
        <w:t xml:space="preserve">Consultations </w:t>
      </w:r>
      <w:proofErr w:type="gramStart"/>
      <w:r w:rsidRPr="00205696">
        <w:rPr>
          <w:b/>
        </w:rPr>
        <w:t>Outside</w:t>
      </w:r>
      <w:proofErr w:type="gramEnd"/>
      <w:r w:rsidRPr="00205696">
        <w:rPr>
          <w:b/>
        </w:rPr>
        <w:t xml:space="preserve"> the Agency</w:t>
      </w:r>
    </w:p>
    <w:p w:rsidR="006C4DD2" w:rsidRPr="001D7DA8" w:rsidRDefault="006C4DD2" w:rsidP="001D7DA8">
      <w:pPr>
        <w:pStyle w:val="BodyText"/>
        <w:spacing w:after="240"/>
        <w:ind w:firstLine="720"/>
        <w:rPr>
          <w:rFonts w:ascii="Times New Roman" w:hAnsi="Times New Roman"/>
          <w:szCs w:val="24"/>
        </w:rPr>
      </w:pPr>
      <w:r w:rsidRPr="00205696">
        <w:rPr>
          <w:rFonts w:ascii="Times New Roman" w:hAnsi="Times New Roman"/>
          <w:szCs w:val="24"/>
        </w:rPr>
        <w:t xml:space="preserve">The Commission has issued a release soliciting comment on the new “collection of information” requirements and associated paperwork burdens.  A copy of the </w:t>
      </w:r>
      <w:r w:rsidR="0043059C">
        <w:rPr>
          <w:rFonts w:ascii="Times New Roman" w:hAnsi="Times New Roman"/>
          <w:szCs w:val="24"/>
        </w:rPr>
        <w:t>SBS Recordkeeping R</w:t>
      </w:r>
      <w:r w:rsidRPr="00205696">
        <w:rPr>
          <w:rFonts w:ascii="Times New Roman" w:hAnsi="Times New Roman"/>
          <w:szCs w:val="24"/>
        </w:rPr>
        <w:t>elease is attached.  Comments on Commission releases are generally received from registrants, investors, and other market participants.  In addition, the Commission and staff participate in ongoing dialogue with representatives of various market participants through public conferences, meetings and informal exchanges.  Any comments received on this proposed rulemaking will be posted on the Commission’s public website, and made available through</w:t>
      </w:r>
      <w:r w:rsidR="00D324C6">
        <w:rPr>
          <w:rFonts w:ascii="Times New Roman" w:hAnsi="Times New Roman"/>
          <w:szCs w:val="24"/>
        </w:rPr>
        <w:t xml:space="preserve"> </w:t>
      </w:r>
      <w:hyperlink r:id="rId8" w:history="1">
        <w:r w:rsidR="008410EA" w:rsidRPr="007A1B7C">
          <w:rPr>
            <w:rStyle w:val="Hyperlink"/>
            <w:szCs w:val="24"/>
          </w:rPr>
          <w:t>http://www.sec.gov/rules/proposed.shtml</w:t>
        </w:r>
      </w:hyperlink>
      <w:r w:rsidRPr="00205696">
        <w:rPr>
          <w:rFonts w:ascii="Times New Roman" w:hAnsi="Times New Roman"/>
          <w:szCs w:val="24"/>
        </w:rPr>
        <w:t xml:space="preserve">. </w:t>
      </w:r>
      <w:r w:rsidR="00DF762A">
        <w:rPr>
          <w:rFonts w:ascii="Times New Roman" w:hAnsi="Times New Roman"/>
          <w:szCs w:val="24"/>
        </w:rPr>
        <w:t xml:space="preserve"> </w:t>
      </w:r>
      <w:r w:rsidRPr="00205696">
        <w:rPr>
          <w:rFonts w:ascii="Times New Roman" w:hAnsi="Times New Roman"/>
          <w:szCs w:val="24"/>
        </w:rPr>
        <w:t>The Commission will consider all comments received prior to publishing the final rule, and will explain in any adopting release how the final rule responds to such comments, in accordance with 5 C.F.R. 1320.11(f).</w:t>
      </w:r>
    </w:p>
    <w:p w:rsidR="00B00911" w:rsidRPr="00205696" w:rsidRDefault="00B00911" w:rsidP="00B00911">
      <w:pPr>
        <w:keepNext/>
        <w:spacing w:after="240"/>
        <w:ind w:firstLine="720"/>
        <w:rPr>
          <w:b/>
        </w:rPr>
      </w:pPr>
      <w:r w:rsidRPr="00205696">
        <w:rPr>
          <w:b/>
        </w:rPr>
        <w:t>9.</w:t>
      </w:r>
      <w:r w:rsidRPr="00205696">
        <w:rPr>
          <w:b/>
        </w:rPr>
        <w:tab/>
        <w:t xml:space="preserve">Payment or Gift </w:t>
      </w:r>
    </w:p>
    <w:p w:rsidR="00B00911" w:rsidRPr="00205696" w:rsidRDefault="00B00911" w:rsidP="00B00911">
      <w:pPr>
        <w:spacing w:after="240"/>
        <w:ind w:firstLine="720"/>
      </w:pPr>
      <w:r w:rsidRPr="00205696">
        <w:t xml:space="preserve">No </w:t>
      </w:r>
      <w:r w:rsidR="000974D8" w:rsidRPr="00205696">
        <w:t>payment or gift</w:t>
      </w:r>
      <w:r w:rsidRPr="00205696">
        <w:t xml:space="preserve"> </w:t>
      </w:r>
      <w:r w:rsidR="000974D8" w:rsidRPr="00205696">
        <w:t>is provided</w:t>
      </w:r>
      <w:r w:rsidRPr="00205696">
        <w:t xml:space="preserve"> to respondents.</w:t>
      </w:r>
    </w:p>
    <w:p w:rsidR="00B00911" w:rsidRPr="00205696" w:rsidRDefault="00B00911" w:rsidP="00B00911">
      <w:pPr>
        <w:keepNext/>
        <w:spacing w:after="240"/>
        <w:ind w:firstLine="720"/>
        <w:rPr>
          <w:b/>
        </w:rPr>
      </w:pPr>
      <w:r w:rsidRPr="00205696">
        <w:rPr>
          <w:b/>
        </w:rPr>
        <w:lastRenderedPageBreak/>
        <w:t>10.</w:t>
      </w:r>
      <w:r w:rsidRPr="00205696">
        <w:rPr>
          <w:b/>
        </w:rPr>
        <w:tab/>
        <w:t>Confidentiality</w:t>
      </w:r>
    </w:p>
    <w:p w:rsidR="00B00911" w:rsidRPr="00205696" w:rsidRDefault="00B00911" w:rsidP="00B00911">
      <w:pPr>
        <w:pStyle w:val="BodyText"/>
        <w:spacing w:after="240"/>
        <w:ind w:firstLine="720"/>
        <w:rPr>
          <w:rFonts w:ascii="Times New Roman" w:hAnsi="Times New Roman"/>
          <w:szCs w:val="24"/>
        </w:rPr>
      </w:pPr>
      <w:r w:rsidRPr="00205696">
        <w:rPr>
          <w:rFonts w:ascii="Times New Roman" w:hAnsi="Times New Roman"/>
          <w:szCs w:val="24"/>
        </w:rPr>
        <w:t>Subject to the provisions of the Freedom of Information Act, 5 U.S.C. § 552</w:t>
      </w:r>
      <w:r w:rsidR="000974D8" w:rsidRPr="00205696">
        <w:rPr>
          <w:rFonts w:ascii="Times New Roman" w:hAnsi="Times New Roman"/>
          <w:szCs w:val="24"/>
        </w:rPr>
        <w:t>,</w:t>
      </w:r>
      <w:r w:rsidRPr="00205696">
        <w:rPr>
          <w:rFonts w:ascii="Times New Roman" w:hAnsi="Times New Roman"/>
          <w:szCs w:val="24"/>
        </w:rPr>
        <w:t xml:space="preserve"> and the Commission’s rules thereunder (17 CFR 200.80(b</w:t>
      </w:r>
      <w:proofErr w:type="gramStart"/>
      <w:r w:rsidRPr="00205696">
        <w:rPr>
          <w:rFonts w:ascii="Times New Roman" w:hAnsi="Times New Roman"/>
          <w:szCs w:val="24"/>
        </w:rPr>
        <w:t>)(</w:t>
      </w:r>
      <w:proofErr w:type="gramEnd"/>
      <w:r w:rsidRPr="00205696">
        <w:rPr>
          <w:rFonts w:ascii="Times New Roman" w:hAnsi="Times New Roman"/>
          <w:szCs w:val="24"/>
        </w:rPr>
        <w:t xml:space="preserve">4)(iii)), the Commission generally does not publish or make available information contained in reports, summaries, analyses, letters, or memoranda arising out of, in anticipation of, or in connection with an examination or inspection of the books and records of any person or any other investigation.  </w:t>
      </w:r>
    </w:p>
    <w:p w:rsidR="00B00911" w:rsidRPr="00205696" w:rsidRDefault="00B00911" w:rsidP="00B00911">
      <w:pPr>
        <w:keepNext/>
        <w:spacing w:after="240"/>
        <w:ind w:firstLine="720"/>
        <w:rPr>
          <w:b/>
        </w:rPr>
      </w:pPr>
      <w:r w:rsidRPr="00205696">
        <w:rPr>
          <w:b/>
        </w:rPr>
        <w:t>11.</w:t>
      </w:r>
      <w:r w:rsidRPr="00205696">
        <w:rPr>
          <w:b/>
        </w:rPr>
        <w:tab/>
        <w:t>Sensitive Questions</w:t>
      </w:r>
    </w:p>
    <w:p w:rsidR="008410EA" w:rsidRDefault="008410EA" w:rsidP="00B00911">
      <w:pPr>
        <w:keepNext/>
        <w:spacing w:after="240"/>
        <w:ind w:firstLine="720"/>
      </w:pPr>
      <w:r>
        <w:t>As discussed above in Item 10, the collection of information will not include publicly available information.  Furthermore, we do not believe that the collection of information will contain Personally Identifiable Information (“PII”).</w:t>
      </w:r>
      <w:r w:rsidRPr="007A1B7C">
        <w:rPr>
          <w:rStyle w:val="FootnoteReference"/>
        </w:rPr>
        <w:footnoteReference w:id="6"/>
      </w:r>
      <w:r w:rsidRPr="00A40C25">
        <w:rPr>
          <w:rStyle w:val="FootnoteReference"/>
        </w:rPr>
        <w:t xml:space="preserve"> </w:t>
      </w:r>
    </w:p>
    <w:p w:rsidR="00B00911" w:rsidRPr="00205696" w:rsidRDefault="00B00911" w:rsidP="00B00911">
      <w:pPr>
        <w:keepNext/>
        <w:spacing w:after="240"/>
        <w:ind w:firstLine="720"/>
        <w:rPr>
          <w:b/>
        </w:rPr>
      </w:pPr>
      <w:r w:rsidRPr="00205696">
        <w:rPr>
          <w:b/>
        </w:rPr>
        <w:t>12.</w:t>
      </w:r>
      <w:r w:rsidRPr="00205696">
        <w:rPr>
          <w:b/>
        </w:rPr>
        <w:tab/>
        <w:t>Burden</w:t>
      </w:r>
      <w:r w:rsidR="006C62DB" w:rsidRPr="00205696">
        <w:rPr>
          <w:b/>
        </w:rPr>
        <w:t xml:space="preserve"> of Information Collection</w:t>
      </w:r>
    </w:p>
    <w:p w:rsidR="00E003B5" w:rsidRPr="00C8095B" w:rsidRDefault="002A2C35" w:rsidP="00A96F11">
      <w:pPr>
        <w:spacing w:after="240"/>
        <w:ind w:firstLine="720"/>
        <w:rPr>
          <w:spacing w:val="-3"/>
        </w:rPr>
      </w:pPr>
      <w:r>
        <w:t>P</w:t>
      </w:r>
      <w:r w:rsidR="00724973" w:rsidRPr="00205696">
        <w:t xml:space="preserve">roposed Rule </w:t>
      </w:r>
      <w:r w:rsidR="00724973">
        <w:t>18a-5</w:t>
      </w:r>
      <w:r w:rsidR="00724973" w:rsidRPr="00205696">
        <w:t xml:space="preserve"> described in the SBS Recordkeeping Release would establish</w:t>
      </w:r>
      <w:r w:rsidR="00724973">
        <w:t xml:space="preserve"> </w:t>
      </w:r>
      <w:r w:rsidR="00724973" w:rsidRPr="00205696">
        <w:t xml:space="preserve">recordkeeping requirements applicable to </w:t>
      </w:r>
      <w:r w:rsidR="00724973">
        <w:t>stand-alone SBSDs, stand-alone MSBSPs, bank SBSDs, and bank MSBSPs</w:t>
      </w:r>
      <w:r w:rsidR="00724973" w:rsidRPr="00205696">
        <w:t>.</w:t>
      </w:r>
      <w:r w:rsidR="00724973" w:rsidRPr="00205696">
        <w:rPr>
          <w:rStyle w:val="FootnoteReference"/>
        </w:rPr>
        <w:footnoteReference w:id="7"/>
      </w:r>
      <w:r w:rsidR="00724973" w:rsidRPr="00205696">
        <w:t xml:space="preserve">  Th</w:t>
      </w:r>
      <w:r w:rsidR="00724973">
        <w:t>e</w:t>
      </w:r>
      <w:r w:rsidR="00724973" w:rsidRPr="00205696">
        <w:t xml:space="preserve"> </w:t>
      </w:r>
      <w:r w:rsidR="00724973">
        <w:t>proposed rule</w:t>
      </w:r>
      <w:r>
        <w:t xml:space="preserve"> is expected to</w:t>
      </w:r>
      <w:r w:rsidRPr="00205696">
        <w:t xml:space="preserve"> </w:t>
      </w:r>
      <w:r w:rsidR="00724973" w:rsidRPr="00205696">
        <w:t xml:space="preserve">impose a one-time initial burden </w:t>
      </w:r>
      <w:r w:rsidR="00724973">
        <w:t>and</w:t>
      </w:r>
      <w:r w:rsidR="00724973" w:rsidRPr="00205696">
        <w:t xml:space="preserve"> an additional ongoing burden </w:t>
      </w:r>
      <w:r>
        <w:t>on</w:t>
      </w:r>
      <w:r w:rsidR="00724973" w:rsidRPr="00205696">
        <w:t xml:space="preserve"> the industry</w:t>
      </w:r>
      <w:r>
        <w:t>, although</w:t>
      </w:r>
      <w:r w:rsidR="00724973" w:rsidRPr="00205696">
        <w:t xml:space="preserve"> </w:t>
      </w:r>
      <w:r>
        <w:t>a</w:t>
      </w:r>
      <w:r w:rsidR="00AD7D74" w:rsidRPr="00205696">
        <w:t xml:space="preserve">ctual recordkeeping requirements </w:t>
      </w:r>
      <w:r>
        <w:t xml:space="preserve">are expected to </w:t>
      </w:r>
      <w:r w:rsidR="00AD7D74" w:rsidRPr="00205696">
        <w:t>vary depending on the size and complexity</w:t>
      </w:r>
      <w:r w:rsidR="00724973">
        <w:t xml:space="preserve"> of the stand-alone SBSD, stand-alone MSBSP, bank SBSD, or bank MSBSP</w:t>
      </w:r>
      <w:r w:rsidR="006029AD" w:rsidRPr="00205696">
        <w:t>.</w:t>
      </w:r>
      <w:r w:rsidR="006029AD" w:rsidRPr="00205696">
        <w:rPr>
          <w:spacing w:val="-3"/>
        </w:rPr>
        <w:t xml:space="preserve">  </w:t>
      </w:r>
    </w:p>
    <w:p w:rsidR="007D5943" w:rsidRPr="00205696" w:rsidRDefault="007D5943" w:rsidP="007D5943">
      <w:pPr>
        <w:ind w:firstLine="720"/>
      </w:pPr>
      <w:r>
        <w:rPr>
          <w:b/>
        </w:rPr>
        <w:t>Stand-</w:t>
      </w:r>
      <w:r w:rsidR="002A2C35">
        <w:rPr>
          <w:b/>
        </w:rPr>
        <w:t>A</w:t>
      </w:r>
      <w:r>
        <w:rPr>
          <w:b/>
        </w:rPr>
        <w:t>lone SBSDs and Stand-</w:t>
      </w:r>
      <w:r w:rsidR="002A2C35">
        <w:rPr>
          <w:b/>
        </w:rPr>
        <w:t>A</w:t>
      </w:r>
      <w:r>
        <w:rPr>
          <w:b/>
        </w:rPr>
        <w:t xml:space="preserve">lone MSBSPs: </w:t>
      </w:r>
      <w:r w:rsidR="00752248">
        <w:rPr>
          <w:b/>
        </w:rPr>
        <w:t xml:space="preserve"> </w:t>
      </w:r>
      <w:r w:rsidR="000962AA">
        <w:t>Proposed Rule 18a-5 would require thirteen types of records to be made and kept current by stand-alone SBSDs and stand-alone MSBSPs.</w:t>
      </w:r>
      <w:r w:rsidR="000962AA">
        <w:rPr>
          <w:rStyle w:val="FootnoteReference"/>
        </w:rPr>
        <w:footnoteReference w:id="8"/>
      </w:r>
      <w:r w:rsidR="000962AA">
        <w:t xml:space="preserve">  Proposed Rule 18a-5 imposes the burden to make and keep current these records, but does not require the firm to perform the underlying task.</w:t>
      </w:r>
      <w:bookmarkStart w:id="0" w:name="_Ref368306854"/>
      <w:r w:rsidR="000962AA">
        <w:rPr>
          <w:rStyle w:val="FootnoteReference"/>
        </w:rPr>
        <w:footnoteReference w:id="9"/>
      </w:r>
      <w:bookmarkEnd w:id="0"/>
      <w:r w:rsidR="000962AA">
        <w:t xml:space="preserve">  </w:t>
      </w:r>
      <w:r w:rsidR="005470C1">
        <w:t>T</w:t>
      </w:r>
      <w:r w:rsidR="000962AA">
        <w:t xml:space="preserve">he Commission estimates that paragraphs (a)(1) through (a)(10), (a)(12), (a)(15), and (a)(17) of proposed Rule 18a-5 would impose on each firm an initial burden of 260 hours and an ongoing annual burden of 325 hours.  The Commission estimates that there are </w:t>
      </w:r>
      <w:r w:rsidR="008410EA">
        <w:t>13</w:t>
      </w:r>
      <w:r w:rsidR="000962AA">
        <w:t xml:space="preserve"> respondents (nine stand-alone SBSDs and four </w:t>
      </w:r>
      <w:r w:rsidR="000962AA">
        <w:lastRenderedPageBreak/>
        <w:t>stand-alone MSBSPs), resulting in an estimated industry-wide initial burden of 3,380 hours</w:t>
      </w:r>
      <w:r w:rsidR="000962AA">
        <w:rPr>
          <w:rStyle w:val="FootnoteReference"/>
        </w:rPr>
        <w:footnoteReference w:id="10"/>
      </w:r>
      <w:r w:rsidR="000962AA">
        <w:t xml:space="preserve"> and an industry-wide ongoing annual burden of 4,225 hours</w:t>
      </w:r>
      <w:r w:rsidR="008F55DD">
        <w:t xml:space="preserve"> per year (including the first year)</w:t>
      </w:r>
      <w:r w:rsidR="000962AA">
        <w:t>.</w:t>
      </w:r>
      <w:r w:rsidR="000962AA">
        <w:rPr>
          <w:rStyle w:val="FootnoteReference"/>
        </w:rPr>
        <w:footnoteReference w:id="11"/>
      </w:r>
      <w:r w:rsidRPr="008363E6">
        <w:t xml:space="preserve"> </w:t>
      </w:r>
      <w:r>
        <w:t xml:space="preserve"> Over a three year period, the total </w:t>
      </w:r>
      <w:r w:rsidR="00294895">
        <w:rPr>
          <w:spacing w:val="-3"/>
        </w:rPr>
        <w:t xml:space="preserve">estimated </w:t>
      </w:r>
      <w:r>
        <w:t xml:space="preserve">industry burden would be </w:t>
      </w:r>
      <w:r w:rsidR="00396732">
        <w:t>16,055</w:t>
      </w:r>
      <w:r>
        <w:t xml:space="preserve"> hours,</w:t>
      </w:r>
      <w:r>
        <w:rPr>
          <w:rStyle w:val="FootnoteReference"/>
        </w:rPr>
        <w:footnoteReference w:id="12"/>
      </w:r>
      <w:r>
        <w:t xml:space="preserve"> or </w:t>
      </w:r>
      <w:r w:rsidR="008410EA">
        <w:t xml:space="preserve">about </w:t>
      </w:r>
      <w:r w:rsidR="00396732">
        <w:t>5,352</w:t>
      </w:r>
      <w:r>
        <w:t xml:space="preserve"> hours per year when annualized.</w:t>
      </w:r>
      <w:r>
        <w:rPr>
          <w:rStyle w:val="FootnoteReference"/>
        </w:rPr>
        <w:footnoteReference w:id="13"/>
      </w:r>
    </w:p>
    <w:p w:rsidR="007D5943" w:rsidRPr="00205696" w:rsidRDefault="007D5943" w:rsidP="007D5943">
      <w:pPr>
        <w:ind w:firstLine="720"/>
      </w:pPr>
    </w:p>
    <w:p w:rsidR="007D5943" w:rsidRPr="00205696" w:rsidRDefault="007D5943" w:rsidP="007D5943">
      <w:pPr>
        <w:ind w:firstLine="720"/>
      </w:pPr>
      <w:r>
        <w:rPr>
          <w:b/>
        </w:rPr>
        <w:t>Stand-</w:t>
      </w:r>
      <w:r w:rsidR="002A2C35">
        <w:rPr>
          <w:b/>
        </w:rPr>
        <w:t>A</w:t>
      </w:r>
      <w:r>
        <w:rPr>
          <w:b/>
        </w:rPr>
        <w:t>lone</w:t>
      </w:r>
      <w:r w:rsidR="00396732">
        <w:rPr>
          <w:b/>
        </w:rPr>
        <w:t xml:space="preserve"> SBSDs</w:t>
      </w:r>
      <w:r>
        <w:rPr>
          <w:b/>
        </w:rPr>
        <w:t xml:space="preserve">: </w:t>
      </w:r>
      <w:r w:rsidR="008F55DD">
        <w:rPr>
          <w:b/>
        </w:rPr>
        <w:t xml:space="preserve"> </w:t>
      </w:r>
      <w:r w:rsidR="008F55DD">
        <w:t>Proposed Rule 18a-5 would require three types of records to be made and kept current by stand-alone SBSDs.</w:t>
      </w:r>
      <w:r w:rsidR="008F55DD">
        <w:rPr>
          <w:rStyle w:val="FootnoteReference"/>
        </w:rPr>
        <w:footnoteReference w:id="14"/>
      </w:r>
      <w:r w:rsidR="008F55DD">
        <w:t xml:space="preserve">  The Commission estimates that paragraphs (a)(13), (a)(14), and (a)(16) of proposed Rule 18a-5 would impose an initial burden of </w:t>
      </w:r>
      <w:r w:rsidR="008410EA">
        <w:t xml:space="preserve">60 </w:t>
      </w:r>
      <w:r w:rsidR="008F55DD">
        <w:t xml:space="preserve">hours per firm and an ongoing annual burden of </w:t>
      </w:r>
      <w:r w:rsidR="008410EA">
        <w:t>75</w:t>
      </w:r>
      <w:r w:rsidR="008F55DD">
        <w:t xml:space="preserve"> hours per firm.  The Commission estimates that there are nine stand-alone SBSDs, resulting in an industry-wide initial burden of 540 hours</w:t>
      </w:r>
      <w:r w:rsidR="008F55DD">
        <w:rPr>
          <w:rStyle w:val="FootnoteReference"/>
        </w:rPr>
        <w:footnoteReference w:id="15"/>
      </w:r>
      <w:r w:rsidR="008F55DD">
        <w:t xml:space="preserve"> and an industry-wide ongoing burden of 675 hours per year.</w:t>
      </w:r>
      <w:r w:rsidR="008F55DD">
        <w:rPr>
          <w:rStyle w:val="FootnoteReference"/>
        </w:rPr>
        <w:footnoteReference w:id="16"/>
      </w:r>
      <w:r w:rsidRPr="008363E6">
        <w:t xml:space="preserve"> </w:t>
      </w:r>
      <w:r>
        <w:t xml:space="preserve"> Over a three year period, the total</w:t>
      </w:r>
      <w:r w:rsidR="00294895">
        <w:t xml:space="preserve"> </w:t>
      </w:r>
      <w:r w:rsidR="00294895">
        <w:rPr>
          <w:spacing w:val="-3"/>
        </w:rPr>
        <w:t>estimated</w:t>
      </w:r>
      <w:r>
        <w:t xml:space="preserve"> industry burden would be </w:t>
      </w:r>
      <w:r w:rsidR="00E75722">
        <w:t>2,565</w:t>
      </w:r>
      <w:r>
        <w:t xml:space="preserve"> hours,</w:t>
      </w:r>
      <w:r>
        <w:rPr>
          <w:rStyle w:val="FootnoteReference"/>
        </w:rPr>
        <w:footnoteReference w:id="17"/>
      </w:r>
      <w:r>
        <w:t xml:space="preserve"> or </w:t>
      </w:r>
      <w:r w:rsidR="00E75722">
        <w:t>855</w:t>
      </w:r>
      <w:r>
        <w:t xml:space="preserve"> hours per year when annualized.</w:t>
      </w:r>
      <w:r>
        <w:rPr>
          <w:rStyle w:val="FootnoteReference"/>
        </w:rPr>
        <w:footnoteReference w:id="18"/>
      </w:r>
    </w:p>
    <w:p w:rsidR="00DD48B2" w:rsidRPr="00205696" w:rsidRDefault="00DD48B2" w:rsidP="00FD1F1B">
      <w:pPr>
        <w:ind w:firstLine="720"/>
      </w:pPr>
    </w:p>
    <w:p w:rsidR="00EE4248" w:rsidRPr="00205696" w:rsidRDefault="0057789B" w:rsidP="00EE4248">
      <w:pPr>
        <w:ind w:firstLine="720"/>
      </w:pPr>
      <w:r>
        <w:rPr>
          <w:b/>
        </w:rPr>
        <w:t xml:space="preserve">ANC </w:t>
      </w:r>
      <w:r w:rsidR="002A2C35">
        <w:rPr>
          <w:b/>
        </w:rPr>
        <w:t>S</w:t>
      </w:r>
      <w:r w:rsidR="00B21C4A">
        <w:rPr>
          <w:b/>
        </w:rPr>
        <w:t>tand-</w:t>
      </w:r>
      <w:r w:rsidR="002A2C35">
        <w:rPr>
          <w:b/>
        </w:rPr>
        <w:t>A</w:t>
      </w:r>
      <w:r w:rsidR="00B21C4A">
        <w:rPr>
          <w:b/>
        </w:rPr>
        <w:t xml:space="preserve">lone </w:t>
      </w:r>
      <w:r w:rsidR="008C5B95">
        <w:rPr>
          <w:b/>
        </w:rPr>
        <w:t>SBSDs</w:t>
      </w:r>
      <w:r>
        <w:rPr>
          <w:b/>
        </w:rPr>
        <w:t xml:space="preserve">: </w:t>
      </w:r>
      <w:r w:rsidR="00752248">
        <w:rPr>
          <w:b/>
        </w:rPr>
        <w:t xml:space="preserve"> </w:t>
      </w:r>
      <w:r w:rsidR="008F55DD">
        <w:t>P</w:t>
      </w:r>
      <w:r w:rsidR="00F73471" w:rsidRPr="00205696">
        <w:t xml:space="preserve">aragraph </w:t>
      </w:r>
      <w:r w:rsidR="007D5943">
        <w:t>(a</w:t>
      </w:r>
      <w:proofErr w:type="gramStart"/>
      <w:r w:rsidR="007D5943">
        <w:t>)(</w:t>
      </w:r>
      <w:proofErr w:type="gramEnd"/>
      <w:r w:rsidR="007D5943">
        <w:t>11)</w:t>
      </w:r>
      <w:r w:rsidR="008F55DD">
        <w:t xml:space="preserve"> of Rule 18a-5</w:t>
      </w:r>
      <w:r w:rsidR="00EE4248" w:rsidRPr="00205696">
        <w:t xml:space="preserve"> would require ANC </w:t>
      </w:r>
      <w:r w:rsidR="00E35B74">
        <w:t>stand-alone SBSDs</w:t>
      </w:r>
      <w:r w:rsidR="00EE4248" w:rsidRPr="00205696">
        <w:t xml:space="preserve"> to make and keep current certain records relating to the firm’s monthly liquidity stress test.</w:t>
      </w:r>
      <w:r w:rsidR="00EE4248" w:rsidRPr="00205696">
        <w:rPr>
          <w:rStyle w:val="FootnoteReference"/>
        </w:rPr>
        <w:footnoteReference w:id="19"/>
      </w:r>
      <w:r w:rsidR="00EE4248" w:rsidRPr="00205696">
        <w:t xml:space="preserve"> </w:t>
      </w:r>
      <w:r w:rsidR="00AA1BEC" w:rsidRPr="00205696">
        <w:t xml:space="preserve"> </w:t>
      </w:r>
      <w:r w:rsidR="00EE4248" w:rsidRPr="00205696">
        <w:t xml:space="preserve">The Commission estimates that paragraph </w:t>
      </w:r>
      <w:r w:rsidR="007D5943">
        <w:t>(a</w:t>
      </w:r>
      <w:proofErr w:type="gramStart"/>
      <w:r w:rsidR="007D5943">
        <w:t>)(</w:t>
      </w:r>
      <w:proofErr w:type="gramEnd"/>
      <w:r w:rsidR="007D5943">
        <w:t>11)</w:t>
      </w:r>
      <w:r w:rsidR="00EE4248" w:rsidRPr="00205696">
        <w:t xml:space="preserve"> would impose on each ANC </w:t>
      </w:r>
      <w:r w:rsidR="00E35B74">
        <w:t>stand-alone SBSD</w:t>
      </w:r>
      <w:r w:rsidR="00EE4248" w:rsidRPr="00205696">
        <w:t xml:space="preserve"> an initial burden of 20 hours </w:t>
      </w:r>
      <w:r>
        <w:t xml:space="preserve">in the first year </w:t>
      </w:r>
      <w:r w:rsidR="00EE4248" w:rsidRPr="00205696">
        <w:t>and an ongoing burden of 25 hours per year</w:t>
      </w:r>
      <w:r w:rsidR="009709B1">
        <w:t xml:space="preserve"> (including the first year)</w:t>
      </w:r>
      <w:r w:rsidR="00EE4248" w:rsidRPr="00205696">
        <w:t>.</w:t>
      </w:r>
      <w:r w:rsidR="00AA1BEC" w:rsidRPr="00205696">
        <w:t xml:space="preserve"> </w:t>
      </w:r>
      <w:r w:rsidR="00EE4248" w:rsidRPr="00205696">
        <w:t xml:space="preserve"> The Commission estimates that there are </w:t>
      </w:r>
      <w:r w:rsidR="007D5943">
        <w:t>6</w:t>
      </w:r>
      <w:r w:rsidR="00EE4248" w:rsidRPr="00205696">
        <w:t xml:space="preserve"> ANC </w:t>
      </w:r>
      <w:r w:rsidR="007D5943">
        <w:t>stand-alone SBSDs</w:t>
      </w:r>
      <w:r w:rsidR="00EE4248" w:rsidRPr="00205696">
        <w:t xml:space="preserve">, </w:t>
      </w:r>
      <w:r w:rsidR="00AD2090">
        <w:t>resulting in an</w:t>
      </w:r>
      <w:r w:rsidR="00EE4248" w:rsidRPr="00205696">
        <w:t xml:space="preserve"> industry</w:t>
      </w:r>
      <w:r w:rsidR="00AD2090">
        <w:t>-wide</w:t>
      </w:r>
      <w:r w:rsidR="00EE4248" w:rsidRPr="00205696">
        <w:t xml:space="preserve"> initial burden of </w:t>
      </w:r>
      <w:r w:rsidR="007D5943">
        <w:t>120</w:t>
      </w:r>
      <w:r w:rsidR="00EE4248" w:rsidRPr="00205696">
        <w:t xml:space="preserve"> hours </w:t>
      </w:r>
      <w:r>
        <w:t>in the first year</w:t>
      </w:r>
      <w:r w:rsidR="008F55DD" w:rsidRPr="00205696">
        <w:rPr>
          <w:rStyle w:val="FootnoteReference"/>
        </w:rPr>
        <w:footnoteReference w:id="20"/>
      </w:r>
      <w:r>
        <w:t xml:space="preserve"> </w:t>
      </w:r>
      <w:r w:rsidR="00EE4248" w:rsidRPr="00205696">
        <w:t>and an</w:t>
      </w:r>
      <w:r w:rsidR="00AD2090">
        <w:t xml:space="preserve"> industry-wide</w:t>
      </w:r>
      <w:r w:rsidR="00EE4248" w:rsidRPr="00205696">
        <w:t xml:space="preserve"> ongoing burden of </w:t>
      </w:r>
      <w:r w:rsidR="007D5943">
        <w:t>150</w:t>
      </w:r>
      <w:r w:rsidR="00EE4248" w:rsidRPr="00205696">
        <w:t xml:space="preserve"> hours per year</w:t>
      </w:r>
      <w:r w:rsidR="009709B1">
        <w:t xml:space="preserve"> (including the first year)</w:t>
      </w:r>
      <w:r w:rsidR="00EE4248" w:rsidRPr="00205696">
        <w:t>.</w:t>
      </w:r>
      <w:r w:rsidR="00EE4248" w:rsidRPr="00205696">
        <w:rPr>
          <w:rStyle w:val="FootnoteReference"/>
        </w:rPr>
        <w:footnoteReference w:id="21"/>
      </w:r>
      <w:r w:rsidR="008363E6" w:rsidRPr="008363E6">
        <w:t xml:space="preserve"> </w:t>
      </w:r>
      <w:r w:rsidR="008363E6">
        <w:t xml:space="preserve"> Over a three year period, the </w:t>
      </w:r>
      <w:r w:rsidR="009709B1">
        <w:t xml:space="preserve">total </w:t>
      </w:r>
      <w:r w:rsidR="00294895">
        <w:rPr>
          <w:spacing w:val="-3"/>
        </w:rPr>
        <w:t xml:space="preserve">estimated </w:t>
      </w:r>
      <w:r w:rsidR="009709B1">
        <w:t>industry burden would be</w:t>
      </w:r>
      <w:r w:rsidR="008363E6">
        <w:t xml:space="preserve"> </w:t>
      </w:r>
      <w:r w:rsidR="00E75722">
        <w:t>570</w:t>
      </w:r>
      <w:r w:rsidR="008363E6">
        <w:t xml:space="preserve"> hours,</w:t>
      </w:r>
      <w:r w:rsidR="00DE46B4">
        <w:rPr>
          <w:rStyle w:val="FootnoteReference"/>
        </w:rPr>
        <w:footnoteReference w:id="22"/>
      </w:r>
      <w:r w:rsidR="008363E6">
        <w:t xml:space="preserve"> or </w:t>
      </w:r>
      <w:r w:rsidR="00E75722">
        <w:t>190</w:t>
      </w:r>
      <w:r w:rsidR="00DE46B4">
        <w:t xml:space="preserve"> </w:t>
      </w:r>
      <w:r w:rsidR="008363E6">
        <w:t>hours per year when annualized.</w:t>
      </w:r>
      <w:r w:rsidR="008363E6">
        <w:rPr>
          <w:rStyle w:val="FootnoteReference"/>
        </w:rPr>
        <w:footnoteReference w:id="23"/>
      </w:r>
    </w:p>
    <w:p w:rsidR="002416D5" w:rsidRDefault="002416D5" w:rsidP="00EE4248">
      <w:pPr>
        <w:ind w:firstLine="720"/>
        <w:rPr>
          <w:b/>
        </w:rPr>
      </w:pPr>
    </w:p>
    <w:p w:rsidR="002416D5" w:rsidRDefault="002416D5" w:rsidP="00EE4248">
      <w:pPr>
        <w:ind w:firstLine="720"/>
      </w:pPr>
      <w:r>
        <w:rPr>
          <w:b/>
        </w:rPr>
        <w:lastRenderedPageBreak/>
        <w:t>Bank SBSDs</w:t>
      </w:r>
      <w:r w:rsidR="00BC2636">
        <w:rPr>
          <w:b/>
        </w:rPr>
        <w:t xml:space="preserve"> and Bank MSBSPs</w:t>
      </w:r>
      <w:r>
        <w:rPr>
          <w:b/>
        </w:rPr>
        <w:t xml:space="preserve">: </w:t>
      </w:r>
      <w:r w:rsidR="00752248">
        <w:rPr>
          <w:b/>
        </w:rPr>
        <w:t xml:space="preserve"> </w:t>
      </w:r>
      <w:r w:rsidR="008F55DD">
        <w:t xml:space="preserve">Proposed Rule 18a-5 would require </w:t>
      </w:r>
      <w:r w:rsidR="008D3A7F">
        <w:t>10</w:t>
      </w:r>
      <w:r w:rsidR="008F55DD">
        <w:t xml:space="preserve"> types of records to be made and kept current by bank SBSDs and bank MSBSPs, all of which are limited to the firm’s business as an SBSD or MSBSP.</w:t>
      </w:r>
      <w:r w:rsidR="008F55DD">
        <w:rPr>
          <w:rStyle w:val="FootnoteReference"/>
        </w:rPr>
        <w:footnoteReference w:id="24"/>
      </w:r>
      <w:r w:rsidR="008F55DD">
        <w:t xml:space="preserve">  </w:t>
      </w:r>
      <w:r w:rsidR="00BC2636">
        <w:t xml:space="preserve">The Commission estimates that </w:t>
      </w:r>
      <w:r w:rsidR="009B0DF2">
        <w:t>paragraphs (b)(1) through (b)(8), (b)(11), and (b)(13)</w:t>
      </w:r>
      <w:r>
        <w:t xml:space="preserve"> would impose on </w:t>
      </w:r>
      <w:r w:rsidR="00BC2636">
        <w:t>each bank SBSD and each bank MSBSP an initial burden of 200 hours in the first year and an ongoing burden of 250 hours per year (including the first year).  The Commission estimates that there are 25 respondents (</w:t>
      </w:r>
      <w:r w:rsidR="00040CB2">
        <w:t xml:space="preserve">25 </w:t>
      </w:r>
      <w:r w:rsidR="00BC2636">
        <w:t xml:space="preserve">bank SBSDs and </w:t>
      </w:r>
      <w:r w:rsidR="00AD2090">
        <w:t>no</w:t>
      </w:r>
      <w:r w:rsidR="00BC2636">
        <w:t xml:space="preserve"> bank MSBSPs), </w:t>
      </w:r>
      <w:r w:rsidR="00AD2090">
        <w:t xml:space="preserve">resulting in an </w:t>
      </w:r>
      <w:r w:rsidR="00BC2636">
        <w:t>industry</w:t>
      </w:r>
      <w:r w:rsidR="00AD2090">
        <w:t>-wide</w:t>
      </w:r>
      <w:r w:rsidR="00BC2636">
        <w:t xml:space="preserve"> initial burden of 5,000</w:t>
      </w:r>
      <w:r>
        <w:t xml:space="preserve"> </w:t>
      </w:r>
      <w:r w:rsidR="00BC2636">
        <w:t>hours</w:t>
      </w:r>
      <w:r w:rsidR="00E75722">
        <w:rPr>
          <w:rStyle w:val="FootnoteReference"/>
        </w:rPr>
        <w:footnoteReference w:id="25"/>
      </w:r>
      <w:r w:rsidR="00BC2636">
        <w:t xml:space="preserve"> in the first year and an ongoing burden of 6,250 hours per year (including the first year).</w:t>
      </w:r>
      <w:r w:rsidR="00E75722">
        <w:rPr>
          <w:rStyle w:val="FootnoteReference"/>
        </w:rPr>
        <w:footnoteReference w:id="26"/>
      </w:r>
      <w:r w:rsidR="00BC2636">
        <w:t xml:space="preserve">  Over a three year period, the total </w:t>
      </w:r>
      <w:r w:rsidR="00294895">
        <w:rPr>
          <w:spacing w:val="-3"/>
        </w:rPr>
        <w:t xml:space="preserve">estimated </w:t>
      </w:r>
      <w:r w:rsidR="00BC2636">
        <w:t xml:space="preserve">industry burden would be </w:t>
      </w:r>
      <w:r w:rsidR="00040CB2">
        <w:t>23,750</w:t>
      </w:r>
      <w:r w:rsidR="00BC2636">
        <w:t xml:space="preserve"> hours</w:t>
      </w:r>
      <w:r w:rsidR="00040CB2">
        <w:t>,</w:t>
      </w:r>
      <w:r w:rsidR="00040CB2">
        <w:rPr>
          <w:rStyle w:val="FootnoteReference"/>
        </w:rPr>
        <w:footnoteReference w:id="27"/>
      </w:r>
      <w:r w:rsidR="00BC2636">
        <w:t xml:space="preserve"> </w:t>
      </w:r>
      <w:r w:rsidR="00040CB2">
        <w:t>or about 7,917</w:t>
      </w:r>
      <w:r w:rsidR="004755A6">
        <w:t xml:space="preserve"> hours per year when annualized</w:t>
      </w:r>
      <w:r w:rsidR="00040CB2">
        <w:t>.</w:t>
      </w:r>
      <w:r w:rsidR="00E75722">
        <w:rPr>
          <w:rStyle w:val="FootnoteReference"/>
        </w:rPr>
        <w:footnoteReference w:id="28"/>
      </w:r>
    </w:p>
    <w:p w:rsidR="00040CB2" w:rsidRDefault="00040CB2" w:rsidP="00EE4248">
      <w:pPr>
        <w:ind w:firstLine="720"/>
      </w:pPr>
    </w:p>
    <w:p w:rsidR="00040CB2" w:rsidRPr="00011C4F" w:rsidRDefault="00040CB2" w:rsidP="00040CB2">
      <w:pPr>
        <w:ind w:firstLine="720"/>
      </w:pPr>
      <w:r>
        <w:rPr>
          <w:b/>
        </w:rPr>
        <w:t xml:space="preserve">Bank SBSDs: </w:t>
      </w:r>
      <w:r w:rsidR="00752248">
        <w:rPr>
          <w:b/>
        </w:rPr>
        <w:t xml:space="preserve"> </w:t>
      </w:r>
      <w:r>
        <w:t>The Commission proposes to adopt Rule 18a-5 to include paragraph</w:t>
      </w:r>
      <w:r w:rsidR="009B0DF2">
        <w:t>s</w:t>
      </w:r>
      <w:r w:rsidR="009B0DF2">
        <w:rPr>
          <w:rStyle w:val="CommentReference"/>
        </w:rPr>
        <w:t xml:space="preserve"> </w:t>
      </w:r>
      <w:r w:rsidR="009B0DF2">
        <w:t>(b</w:t>
      </w:r>
      <w:proofErr w:type="gramStart"/>
      <w:r w:rsidR="009B0DF2">
        <w:t>)(</w:t>
      </w:r>
      <w:proofErr w:type="gramEnd"/>
      <w:r w:rsidR="009B0DF2">
        <w:t>9), (b)(10)</w:t>
      </w:r>
      <w:r>
        <w:t>,</w:t>
      </w:r>
      <w:r w:rsidR="009B0DF2">
        <w:t xml:space="preserve"> and (b)(12)</w:t>
      </w:r>
      <w:r>
        <w:t xml:space="preserve"> which would require bank SBSDs to make and keep current various records for security-based swaps.</w:t>
      </w:r>
      <w:r>
        <w:rPr>
          <w:rStyle w:val="FootnoteReference"/>
        </w:rPr>
        <w:footnoteReference w:id="29"/>
      </w:r>
      <w:r>
        <w:t xml:space="preserve">  The Commission estimates that</w:t>
      </w:r>
      <w:r w:rsidR="009B0DF2" w:rsidRPr="009B0DF2">
        <w:t xml:space="preserve"> </w:t>
      </w:r>
      <w:r w:rsidR="009B0DF2">
        <w:t>paragraphs</w:t>
      </w:r>
      <w:r w:rsidR="009B0DF2">
        <w:rPr>
          <w:rStyle w:val="CommentReference"/>
        </w:rPr>
        <w:t xml:space="preserve"> </w:t>
      </w:r>
      <w:r w:rsidR="009B0DF2">
        <w:t xml:space="preserve">(b)(9), (b)(10), and (b)(12) </w:t>
      </w:r>
      <w:r>
        <w:t xml:space="preserve">would impose on each bank SBSDs an initial burden of 60 hours in the first year and an ongoing burden of 75 hours per year (including the first year).  The Commission estimates that there are 25 bank SBSDs, </w:t>
      </w:r>
      <w:r w:rsidR="00AD2090">
        <w:t xml:space="preserve">resulting in an </w:t>
      </w:r>
      <w:r>
        <w:t>industry</w:t>
      </w:r>
      <w:r w:rsidR="00AD2090">
        <w:t>-wide</w:t>
      </w:r>
      <w:r>
        <w:t xml:space="preserve"> initial burden of </w:t>
      </w:r>
      <w:r w:rsidR="00D8262A">
        <w:t>1,500</w:t>
      </w:r>
      <w:r>
        <w:t xml:space="preserve"> hours</w:t>
      </w:r>
      <w:r>
        <w:rPr>
          <w:rStyle w:val="FootnoteReference"/>
        </w:rPr>
        <w:footnoteReference w:id="30"/>
      </w:r>
      <w:r>
        <w:t xml:space="preserve"> in the first year and an</w:t>
      </w:r>
      <w:r w:rsidR="00AD2090">
        <w:t xml:space="preserve"> industry-wide</w:t>
      </w:r>
      <w:r>
        <w:t xml:space="preserve"> ongoing burden of </w:t>
      </w:r>
      <w:r w:rsidR="00D8262A">
        <w:t>1,875</w:t>
      </w:r>
      <w:r>
        <w:t xml:space="preserve"> hours per year (including the first year).</w:t>
      </w:r>
      <w:r>
        <w:rPr>
          <w:rStyle w:val="FootnoteReference"/>
        </w:rPr>
        <w:footnoteReference w:id="31"/>
      </w:r>
      <w:r>
        <w:t xml:space="preserve">  Over a three year period, the total </w:t>
      </w:r>
      <w:r w:rsidR="00294895">
        <w:rPr>
          <w:spacing w:val="-3"/>
        </w:rPr>
        <w:t xml:space="preserve">estimated </w:t>
      </w:r>
      <w:r>
        <w:t xml:space="preserve">industry burden would be </w:t>
      </w:r>
      <w:r w:rsidR="00D8262A">
        <w:t>7,125</w:t>
      </w:r>
      <w:r>
        <w:t xml:space="preserve"> hours,</w:t>
      </w:r>
      <w:r>
        <w:rPr>
          <w:rStyle w:val="FootnoteReference"/>
        </w:rPr>
        <w:footnoteReference w:id="32"/>
      </w:r>
      <w:r>
        <w:t xml:space="preserve"> or </w:t>
      </w:r>
      <w:r w:rsidR="00D8262A">
        <w:t>2,375</w:t>
      </w:r>
      <w:r>
        <w:t xml:space="preserve"> hours per year when annualized.</w:t>
      </w:r>
      <w:r>
        <w:rPr>
          <w:rStyle w:val="FootnoteReference"/>
        </w:rPr>
        <w:footnoteReference w:id="33"/>
      </w:r>
      <w:r w:rsidR="0079398D">
        <w:t xml:space="preserve"> </w:t>
      </w:r>
    </w:p>
    <w:p w:rsidR="00FD1655" w:rsidRPr="00205696" w:rsidRDefault="00FD1655" w:rsidP="00C8095B"/>
    <w:p w:rsidR="00183066" w:rsidRPr="00205696" w:rsidRDefault="00D324C6" w:rsidP="00183066">
      <w:pPr>
        <w:ind w:firstLine="720"/>
      </w:pPr>
      <w:r>
        <w:rPr>
          <w:b/>
        </w:rPr>
        <w:t xml:space="preserve">Total Industry Hour Burden: </w:t>
      </w:r>
      <w:r w:rsidR="00752248">
        <w:rPr>
          <w:b/>
        </w:rPr>
        <w:t xml:space="preserve"> </w:t>
      </w:r>
      <w:r w:rsidR="00FD1655" w:rsidRPr="00205696">
        <w:t xml:space="preserve">Thus, the total </w:t>
      </w:r>
      <w:r w:rsidR="00183066" w:rsidRPr="00205696">
        <w:t xml:space="preserve">initial industry </w:t>
      </w:r>
      <w:r w:rsidR="00EE4248" w:rsidRPr="00205696">
        <w:t xml:space="preserve">hour </w:t>
      </w:r>
      <w:r w:rsidR="00183066" w:rsidRPr="00205696">
        <w:t>burden</w:t>
      </w:r>
      <w:r w:rsidR="00FD1655" w:rsidRPr="00205696">
        <w:t xml:space="preserve"> attributabl</w:t>
      </w:r>
      <w:r w:rsidR="00183066" w:rsidRPr="00205696">
        <w:t xml:space="preserve">e to </w:t>
      </w:r>
      <w:r w:rsidR="001E08E4">
        <w:t>p</w:t>
      </w:r>
      <w:r w:rsidR="00CE0F14">
        <w:t>roposed Rule 18a-5</w:t>
      </w:r>
      <w:r w:rsidR="00183066" w:rsidRPr="00205696">
        <w:t xml:space="preserve"> </w:t>
      </w:r>
      <w:r w:rsidR="00CE0F14">
        <w:t>is estimated to be</w:t>
      </w:r>
      <w:r w:rsidR="00183066" w:rsidRPr="00205696">
        <w:t xml:space="preserve"> </w:t>
      </w:r>
      <w:r w:rsidR="00DB624B">
        <w:t>10,540</w:t>
      </w:r>
      <w:r w:rsidR="00183066" w:rsidRPr="00205696">
        <w:t xml:space="preserve"> hours</w:t>
      </w:r>
      <w:r w:rsidR="00183066" w:rsidRPr="00205696">
        <w:rPr>
          <w:rStyle w:val="FootnoteReference"/>
        </w:rPr>
        <w:footnoteReference w:id="34"/>
      </w:r>
      <w:r w:rsidR="00183066" w:rsidRPr="00205696">
        <w:t xml:space="preserve"> </w:t>
      </w:r>
      <w:r w:rsidR="00284C2F">
        <w:t xml:space="preserve">in the first year </w:t>
      </w:r>
      <w:r w:rsidR="00183066" w:rsidRPr="00205696">
        <w:t xml:space="preserve">and the total industry ongoing </w:t>
      </w:r>
      <w:r w:rsidR="00EE4248" w:rsidRPr="00205696">
        <w:t xml:space="preserve">hour </w:t>
      </w:r>
      <w:r w:rsidR="00183066" w:rsidRPr="00205696">
        <w:t xml:space="preserve">burden attributable to </w:t>
      </w:r>
      <w:r w:rsidR="001E08E4">
        <w:t>p</w:t>
      </w:r>
      <w:r w:rsidR="00CE0F14">
        <w:t>roposed Rule 18a-5</w:t>
      </w:r>
      <w:r w:rsidR="00183066" w:rsidRPr="00205696">
        <w:t xml:space="preserve"> </w:t>
      </w:r>
      <w:r w:rsidR="00CE0F14">
        <w:t xml:space="preserve">is estimated to </w:t>
      </w:r>
      <w:r w:rsidR="009709B1">
        <w:t>be</w:t>
      </w:r>
      <w:r w:rsidR="00183066" w:rsidRPr="00205696">
        <w:t xml:space="preserve"> </w:t>
      </w:r>
      <w:r w:rsidR="00DB624B">
        <w:t>13,175</w:t>
      </w:r>
      <w:r w:rsidR="00183066" w:rsidRPr="00205696">
        <w:t xml:space="preserve"> hours</w:t>
      </w:r>
      <w:r w:rsidR="00284C2F">
        <w:t xml:space="preserve"> per year</w:t>
      </w:r>
      <w:r w:rsidR="009709B1">
        <w:t xml:space="preserve"> </w:t>
      </w:r>
      <w:r w:rsidR="009709B1">
        <w:lastRenderedPageBreak/>
        <w:t>(including the first year)</w:t>
      </w:r>
      <w:r w:rsidR="00183066" w:rsidRPr="00205696">
        <w:t>.</w:t>
      </w:r>
      <w:r w:rsidR="00183066" w:rsidRPr="00205696">
        <w:rPr>
          <w:rStyle w:val="FootnoteReference"/>
        </w:rPr>
        <w:footnoteReference w:id="35"/>
      </w:r>
      <w:r w:rsidR="00183066" w:rsidRPr="00205696">
        <w:t xml:space="preserve"> </w:t>
      </w:r>
      <w:r w:rsidR="00AA1BEC" w:rsidRPr="00205696">
        <w:t xml:space="preserve"> </w:t>
      </w:r>
      <w:r w:rsidR="00284C2F">
        <w:t xml:space="preserve">Over a three year period, the </w:t>
      </w:r>
      <w:r w:rsidR="009709B1">
        <w:t xml:space="preserve">total </w:t>
      </w:r>
      <w:r w:rsidR="00294895">
        <w:rPr>
          <w:spacing w:val="-3"/>
        </w:rPr>
        <w:t xml:space="preserve">estimated </w:t>
      </w:r>
      <w:r w:rsidR="009709B1">
        <w:t xml:space="preserve">industry burden </w:t>
      </w:r>
      <w:r w:rsidR="00CE0F14">
        <w:t xml:space="preserve">is estimated to </w:t>
      </w:r>
      <w:r w:rsidR="009709B1">
        <w:t>be</w:t>
      </w:r>
      <w:r w:rsidR="00284C2F">
        <w:t xml:space="preserve"> </w:t>
      </w:r>
      <w:r w:rsidR="00DB624B">
        <w:t>50,065</w:t>
      </w:r>
      <w:r w:rsidR="00284C2F">
        <w:t xml:space="preserve"> hours,</w:t>
      </w:r>
      <w:r w:rsidR="00284C2F">
        <w:rPr>
          <w:rStyle w:val="FootnoteReference"/>
        </w:rPr>
        <w:footnoteReference w:id="36"/>
      </w:r>
      <w:r w:rsidR="00284C2F">
        <w:t xml:space="preserve"> or about </w:t>
      </w:r>
      <w:r w:rsidR="00DB624B">
        <w:t>16,688</w:t>
      </w:r>
      <w:r w:rsidR="00284C2F">
        <w:t xml:space="preserve"> hours per year when annualized.</w:t>
      </w:r>
      <w:r w:rsidR="00284C2F">
        <w:rPr>
          <w:rStyle w:val="FootnoteReference"/>
        </w:rPr>
        <w:footnoteReference w:id="37"/>
      </w:r>
      <w:r w:rsidR="00284C2F">
        <w:t xml:space="preserve">  </w:t>
      </w:r>
      <w:r w:rsidR="00205696" w:rsidRPr="00205696">
        <w:t>These burdens are recordkeeping burdens.</w:t>
      </w:r>
      <w:r w:rsidR="005B4B79">
        <w:t xml:space="preserve"> </w:t>
      </w:r>
    </w:p>
    <w:p w:rsidR="004E560A" w:rsidRDefault="004E560A" w:rsidP="00E62446"/>
    <w:tbl>
      <w:tblPr>
        <w:tblW w:w="10340" w:type="dxa"/>
        <w:jc w:val="center"/>
        <w:tblInd w:w="93" w:type="dxa"/>
        <w:tblLook w:val="04A0" w:firstRow="1" w:lastRow="0" w:firstColumn="1" w:lastColumn="0" w:noHBand="0" w:noVBand="1"/>
      </w:tblPr>
      <w:tblGrid>
        <w:gridCol w:w="1380"/>
        <w:gridCol w:w="960"/>
        <w:gridCol w:w="760"/>
        <w:gridCol w:w="820"/>
        <w:gridCol w:w="840"/>
        <w:gridCol w:w="1000"/>
        <w:gridCol w:w="900"/>
        <w:gridCol w:w="920"/>
        <w:gridCol w:w="940"/>
        <w:gridCol w:w="1060"/>
        <w:gridCol w:w="760"/>
      </w:tblGrid>
      <w:tr w:rsidR="00197854" w:rsidRPr="00197854" w:rsidTr="00197854">
        <w:trPr>
          <w:trHeight w:val="315"/>
          <w:jc w:val="center"/>
        </w:trPr>
        <w:tc>
          <w:tcPr>
            <w:tcW w:w="10340" w:type="dxa"/>
            <w:gridSpan w:val="11"/>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97854" w:rsidRPr="00197854" w:rsidRDefault="00197854" w:rsidP="00197854">
            <w:pPr>
              <w:jc w:val="center"/>
              <w:rPr>
                <w:b/>
                <w:bCs/>
                <w:color w:val="000000"/>
                <w:sz w:val="12"/>
                <w:szCs w:val="12"/>
              </w:rPr>
            </w:pPr>
            <w:r w:rsidRPr="00197854">
              <w:rPr>
                <w:b/>
                <w:bCs/>
                <w:color w:val="000000"/>
                <w:sz w:val="12"/>
                <w:szCs w:val="12"/>
              </w:rPr>
              <w:t>Summary of Hourly Burdens </w:t>
            </w:r>
          </w:p>
        </w:tc>
      </w:tr>
      <w:tr w:rsidR="00197854" w:rsidRPr="00197854" w:rsidTr="00197854">
        <w:trPr>
          <w:trHeight w:val="300"/>
          <w:jc w:val="center"/>
        </w:trPr>
        <w:tc>
          <w:tcPr>
            <w:tcW w:w="1380" w:type="dxa"/>
            <w:tcBorders>
              <w:top w:val="nil"/>
              <w:left w:val="single" w:sz="8" w:space="0" w:color="auto"/>
              <w:bottom w:val="single" w:sz="4" w:space="0" w:color="auto"/>
              <w:right w:val="single" w:sz="4" w:space="0" w:color="auto"/>
            </w:tcBorders>
            <w:shd w:val="clear" w:color="000000" w:fill="D9D9D9"/>
            <w:noWrap/>
            <w:vAlign w:val="center"/>
            <w:hideMark/>
          </w:tcPr>
          <w:p w:rsidR="00197854" w:rsidRPr="00197854" w:rsidRDefault="00197854" w:rsidP="00197854">
            <w:pPr>
              <w:jc w:val="center"/>
              <w:rPr>
                <w:b/>
                <w:bCs/>
                <w:color w:val="000000"/>
                <w:sz w:val="12"/>
                <w:szCs w:val="12"/>
              </w:rPr>
            </w:pPr>
            <w:r w:rsidRPr="00197854">
              <w:rPr>
                <w:b/>
                <w:bCs/>
                <w:color w:val="000000"/>
                <w:sz w:val="12"/>
                <w:szCs w:val="12"/>
              </w:rPr>
              <w:t> </w:t>
            </w:r>
          </w:p>
        </w:tc>
        <w:tc>
          <w:tcPr>
            <w:tcW w:w="960" w:type="dxa"/>
            <w:tcBorders>
              <w:top w:val="nil"/>
              <w:left w:val="nil"/>
              <w:bottom w:val="single" w:sz="4" w:space="0" w:color="auto"/>
              <w:right w:val="single" w:sz="4" w:space="0" w:color="auto"/>
            </w:tcBorders>
            <w:shd w:val="clear" w:color="000000" w:fill="D9D9D9"/>
            <w:noWrap/>
            <w:vAlign w:val="bottom"/>
            <w:hideMark/>
          </w:tcPr>
          <w:p w:rsidR="00197854" w:rsidRPr="00197854" w:rsidRDefault="00197854" w:rsidP="00197854">
            <w:pPr>
              <w:jc w:val="center"/>
              <w:rPr>
                <w:b/>
                <w:bCs/>
                <w:color w:val="000000"/>
                <w:sz w:val="12"/>
                <w:szCs w:val="12"/>
              </w:rPr>
            </w:pPr>
            <w:r w:rsidRPr="00197854">
              <w:rPr>
                <w:b/>
                <w:bCs/>
                <w:color w:val="000000"/>
                <w:sz w:val="12"/>
                <w:szCs w:val="12"/>
              </w:rPr>
              <w:t> </w:t>
            </w:r>
          </w:p>
        </w:tc>
        <w:tc>
          <w:tcPr>
            <w:tcW w:w="760" w:type="dxa"/>
            <w:tcBorders>
              <w:top w:val="nil"/>
              <w:left w:val="nil"/>
              <w:bottom w:val="single" w:sz="4" w:space="0" w:color="auto"/>
              <w:right w:val="single" w:sz="4" w:space="0" w:color="auto"/>
            </w:tcBorders>
            <w:shd w:val="clear" w:color="000000" w:fill="D9D9D9"/>
            <w:noWrap/>
            <w:vAlign w:val="bottom"/>
            <w:hideMark/>
          </w:tcPr>
          <w:p w:rsidR="00197854" w:rsidRPr="00197854" w:rsidRDefault="00197854" w:rsidP="00197854">
            <w:pPr>
              <w:jc w:val="center"/>
              <w:rPr>
                <w:color w:val="FF0000"/>
                <w:sz w:val="12"/>
                <w:szCs w:val="12"/>
              </w:rPr>
            </w:pPr>
            <w:r w:rsidRPr="00197854">
              <w:rPr>
                <w:color w:val="FF0000"/>
                <w:sz w:val="12"/>
                <w:szCs w:val="12"/>
              </w:rPr>
              <w:t>A.</w:t>
            </w:r>
          </w:p>
        </w:tc>
        <w:tc>
          <w:tcPr>
            <w:tcW w:w="820" w:type="dxa"/>
            <w:tcBorders>
              <w:top w:val="nil"/>
              <w:left w:val="nil"/>
              <w:bottom w:val="single" w:sz="4" w:space="0" w:color="auto"/>
              <w:right w:val="single" w:sz="4" w:space="0" w:color="auto"/>
            </w:tcBorders>
            <w:shd w:val="clear" w:color="000000" w:fill="D9D9D9"/>
            <w:noWrap/>
            <w:vAlign w:val="bottom"/>
            <w:hideMark/>
          </w:tcPr>
          <w:p w:rsidR="00197854" w:rsidRPr="00197854" w:rsidRDefault="00197854" w:rsidP="00197854">
            <w:pPr>
              <w:jc w:val="center"/>
              <w:rPr>
                <w:color w:val="FF0000"/>
                <w:sz w:val="12"/>
                <w:szCs w:val="12"/>
              </w:rPr>
            </w:pPr>
            <w:r w:rsidRPr="00197854">
              <w:rPr>
                <w:color w:val="FF0000"/>
                <w:sz w:val="12"/>
                <w:szCs w:val="12"/>
              </w:rPr>
              <w:t>B.</w:t>
            </w:r>
          </w:p>
        </w:tc>
        <w:tc>
          <w:tcPr>
            <w:tcW w:w="840" w:type="dxa"/>
            <w:tcBorders>
              <w:top w:val="nil"/>
              <w:left w:val="nil"/>
              <w:bottom w:val="single" w:sz="4" w:space="0" w:color="auto"/>
              <w:right w:val="single" w:sz="4" w:space="0" w:color="auto"/>
            </w:tcBorders>
            <w:shd w:val="clear" w:color="000000" w:fill="D9D9D9"/>
            <w:noWrap/>
            <w:vAlign w:val="bottom"/>
            <w:hideMark/>
          </w:tcPr>
          <w:p w:rsidR="00197854" w:rsidRPr="00197854" w:rsidRDefault="00197854" w:rsidP="00197854">
            <w:pPr>
              <w:jc w:val="center"/>
              <w:rPr>
                <w:color w:val="FF0000"/>
                <w:sz w:val="12"/>
                <w:szCs w:val="12"/>
              </w:rPr>
            </w:pPr>
            <w:r w:rsidRPr="00197854">
              <w:rPr>
                <w:color w:val="FF0000"/>
                <w:sz w:val="12"/>
                <w:szCs w:val="12"/>
              </w:rPr>
              <w:t>C.</w:t>
            </w:r>
          </w:p>
        </w:tc>
        <w:tc>
          <w:tcPr>
            <w:tcW w:w="1000" w:type="dxa"/>
            <w:tcBorders>
              <w:top w:val="nil"/>
              <w:left w:val="nil"/>
              <w:bottom w:val="single" w:sz="4" w:space="0" w:color="auto"/>
              <w:right w:val="single" w:sz="4" w:space="0" w:color="auto"/>
            </w:tcBorders>
            <w:shd w:val="clear" w:color="000000" w:fill="D9D9D9"/>
            <w:noWrap/>
            <w:vAlign w:val="bottom"/>
            <w:hideMark/>
          </w:tcPr>
          <w:p w:rsidR="00197854" w:rsidRPr="00197854" w:rsidRDefault="00197854" w:rsidP="00197854">
            <w:pPr>
              <w:jc w:val="center"/>
              <w:rPr>
                <w:color w:val="FF0000"/>
                <w:sz w:val="12"/>
                <w:szCs w:val="12"/>
              </w:rPr>
            </w:pPr>
            <w:r w:rsidRPr="00197854">
              <w:rPr>
                <w:color w:val="FF0000"/>
                <w:sz w:val="12"/>
                <w:szCs w:val="12"/>
              </w:rPr>
              <w:t xml:space="preserve">D. </w:t>
            </w:r>
          </w:p>
        </w:tc>
        <w:tc>
          <w:tcPr>
            <w:tcW w:w="900" w:type="dxa"/>
            <w:tcBorders>
              <w:top w:val="nil"/>
              <w:left w:val="nil"/>
              <w:bottom w:val="single" w:sz="4" w:space="0" w:color="auto"/>
              <w:right w:val="single" w:sz="4" w:space="0" w:color="auto"/>
            </w:tcBorders>
            <w:shd w:val="clear" w:color="000000" w:fill="D9D9D9"/>
            <w:noWrap/>
            <w:vAlign w:val="bottom"/>
            <w:hideMark/>
          </w:tcPr>
          <w:p w:rsidR="00197854" w:rsidRPr="00197854" w:rsidRDefault="00197854" w:rsidP="00197854">
            <w:pPr>
              <w:jc w:val="center"/>
              <w:rPr>
                <w:color w:val="FF0000"/>
                <w:sz w:val="12"/>
                <w:szCs w:val="12"/>
              </w:rPr>
            </w:pPr>
            <w:r w:rsidRPr="00197854">
              <w:rPr>
                <w:color w:val="FF0000"/>
                <w:sz w:val="12"/>
                <w:szCs w:val="12"/>
              </w:rPr>
              <w:t>E.</w:t>
            </w:r>
          </w:p>
        </w:tc>
        <w:tc>
          <w:tcPr>
            <w:tcW w:w="920" w:type="dxa"/>
            <w:tcBorders>
              <w:top w:val="nil"/>
              <w:left w:val="nil"/>
              <w:bottom w:val="single" w:sz="4" w:space="0" w:color="auto"/>
              <w:right w:val="single" w:sz="4" w:space="0" w:color="auto"/>
            </w:tcBorders>
            <w:shd w:val="clear" w:color="000000" w:fill="D9D9D9"/>
            <w:noWrap/>
            <w:vAlign w:val="bottom"/>
            <w:hideMark/>
          </w:tcPr>
          <w:p w:rsidR="00197854" w:rsidRPr="00197854" w:rsidRDefault="00197854" w:rsidP="00197854">
            <w:pPr>
              <w:jc w:val="center"/>
              <w:rPr>
                <w:color w:val="FF0000"/>
                <w:sz w:val="12"/>
                <w:szCs w:val="12"/>
              </w:rPr>
            </w:pPr>
            <w:r w:rsidRPr="00197854">
              <w:rPr>
                <w:color w:val="FF0000"/>
                <w:sz w:val="12"/>
                <w:szCs w:val="12"/>
              </w:rPr>
              <w:t>F.</w:t>
            </w:r>
          </w:p>
        </w:tc>
        <w:tc>
          <w:tcPr>
            <w:tcW w:w="940" w:type="dxa"/>
            <w:tcBorders>
              <w:top w:val="nil"/>
              <w:left w:val="nil"/>
              <w:bottom w:val="single" w:sz="4" w:space="0" w:color="auto"/>
              <w:right w:val="single" w:sz="4" w:space="0" w:color="auto"/>
            </w:tcBorders>
            <w:shd w:val="clear" w:color="000000" w:fill="D9D9D9"/>
            <w:noWrap/>
            <w:vAlign w:val="bottom"/>
            <w:hideMark/>
          </w:tcPr>
          <w:p w:rsidR="00197854" w:rsidRPr="00197854" w:rsidRDefault="00197854" w:rsidP="00197854">
            <w:pPr>
              <w:jc w:val="center"/>
              <w:rPr>
                <w:color w:val="FF0000"/>
                <w:sz w:val="12"/>
                <w:szCs w:val="12"/>
              </w:rPr>
            </w:pPr>
            <w:r w:rsidRPr="00197854">
              <w:rPr>
                <w:color w:val="FF0000"/>
                <w:sz w:val="12"/>
                <w:szCs w:val="12"/>
              </w:rPr>
              <w:t>G.</w:t>
            </w:r>
          </w:p>
        </w:tc>
        <w:tc>
          <w:tcPr>
            <w:tcW w:w="1060" w:type="dxa"/>
            <w:tcBorders>
              <w:top w:val="nil"/>
              <w:left w:val="nil"/>
              <w:bottom w:val="single" w:sz="4" w:space="0" w:color="auto"/>
              <w:right w:val="single" w:sz="4" w:space="0" w:color="auto"/>
            </w:tcBorders>
            <w:shd w:val="clear" w:color="000000" w:fill="D9D9D9"/>
            <w:noWrap/>
            <w:vAlign w:val="bottom"/>
            <w:hideMark/>
          </w:tcPr>
          <w:p w:rsidR="00197854" w:rsidRPr="00197854" w:rsidRDefault="00197854" w:rsidP="00197854">
            <w:pPr>
              <w:jc w:val="center"/>
              <w:rPr>
                <w:color w:val="FF0000"/>
                <w:sz w:val="12"/>
                <w:szCs w:val="12"/>
              </w:rPr>
            </w:pPr>
            <w:r w:rsidRPr="00197854">
              <w:rPr>
                <w:color w:val="FF0000"/>
                <w:sz w:val="12"/>
                <w:szCs w:val="12"/>
              </w:rPr>
              <w:t> </w:t>
            </w:r>
          </w:p>
        </w:tc>
        <w:tc>
          <w:tcPr>
            <w:tcW w:w="760" w:type="dxa"/>
            <w:tcBorders>
              <w:top w:val="nil"/>
              <w:left w:val="nil"/>
              <w:bottom w:val="single" w:sz="4" w:space="0" w:color="auto"/>
              <w:right w:val="single" w:sz="8" w:space="0" w:color="auto"/>
            </w:tcBorders>
            <w:shd w:val="clear" w:color="000000" w:fill="D9D9D9"/>
            <w:noWrap/>
            <w:vAlign w:val="bottom"/>
            <w:hideMark/>
          </w:tcPr>
          <w:p w:rsidR="00197854" w:rsidRPr="00197854" w:rsidRDefault="00197854" w:rsidP="00197854">
            <w:pPr>
              <w:rPr>
                <w:color w:val="000000"/>
                <w:sz w:val="12"/>
                <w:szCs w:val="12"/>
              </w:rPr>
            </w:pPr>
            <w:r w:rsidRPr="00197854">
              <w:rPr>
                <w:color w:val="000000"/>
                <w:sz w:val="12"/>
                <w:szCs w:val="12"/>
              </w:rPr>
              <w:t> </w:t>
            </w:r>
          </w:p>
        </w:tc>
      </w:tr>
      <w:tr w:rsidR="00197854" w:rsidRPr="00197854" w:rsidTr="00197854">
        <w:trPr>
          <w:trHeight w:val="1200"/>
          <w:jc w:val="center"/>
        </w:trPr>
        <w:tc>
          <w:tcPr>
            <w:tcW w:w="1380" w:type="dxa"/>
            <w:tcBorders>
              <w:top w:val="nil"/>
              <w:left w:val="single" w:sz="8" w:space="0" w:color="auto"/>
              <w:bottom w:val="single" w:sz="4" w:space="0" w:color="auto"/>
              <w:right w:val="single" w:sz="4" w:space="0" w:color="auto"/>
            </w:tcBorders>
            <w:shd w:val="clear" w:color="000000" w:fill="D9D9D9"/>
            <w:vAlign w:val="center"/>
            <w:hideMark/>
          </w:tcPr>
          <w:p w:rsidR="00197854" w:rsidRPr="00197854" w:rsidRDefault="00197854" w:rsidP="00197854">
            <w:pPr>
              <w:jc w:val="center"/>
              <w:rPr>
                <w:b/>
                <w:bCs/>
                <w:color w:val="000000"/>
                <w:sz w:val="12"/>
                <w:szCs w:val="12"/>
              </w:rPr>
            </w:pPr>
            <w:r w:rsidRPr="00197854">
              <w:rPr>
                <w:b/>
                <w:bCs/>
                <w:color w:val="000000"/>
                <w:sz w:val="12"/>
                <w:szCs w:val="12"/>
              </w:rPr>
              <w:t>Name of Information Collection</w:t>
            </w:r>
          </w:p>
        </w:tc>
        <w:tc>
          <w:tcPr>
            <w:tcW w:w="96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b/>
                <w:bCs/>
                <w:color w:val="000000"/>
                <w:sz w:val="12"/>
                <w:szCs w:val="12"/>
              </w:rPr>
            </w:pPr>
            <w:r w:rsidRPr="00197854">
              <w:rPr>
                <w:b/>
                <w:bCs/>
                <w:color w:val="000000"/>
                <w:sz w:val="12"/>
                <w:szCs w:val="12"/>
              </w:rPr>
              <w:t>Type of Burden</w:t>
            </w:r>
          </w:p>
        </w:tc>
        <w:tc>
          <w:tcPr>
            <w:tcW w:w="76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b/>
                <w:bCs/>
                <w:color w:val="000000"/>
                <w:sz w:val="12"/>
                <w:szCs w:val="12"/>
              </w:rPr>
            </w:pPr>
            <w:r w:rsidRPr="00197854">
              <w:rPr>
                <w:b/>
                <w:bCs/>
                <w:color w:val="000000"/>
                <w:sz w:val="12"/>
                <w:szCs w:val="12"/>
              </w:rPr>
              <w:t>Number of Entities Impacted</w:t>
            </w:r>
          </w:p>
        </w:tc>
        <w:tc>
          <w:tcPr>
            <w:tcW w:w="82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b/>
                <w:bCs/>
                <w:color w:val="000000"/>
                <w:sz w:val="12"/>
                <w:szCs w:val="12"/>
              </w:rPr>
            </w:pPr>
            <w:r w:rsidRPr="00197854">
              <w:rPr>
                <w:b/>
                <w:bCs/>
                <w:color w:val="000000"/>
                <w:sz w:val="12"/>
                <w:szCs w:val="12"/>
              </w:rPr>
              <w:t>Annual Responses per Entity</w:t>
            </w:r>
          </w:p>
        </w:tc>
        <w:tc>
          <w:tcPr>
            <w:tcW w:w="84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b/>
                <w:bCs/>
                <w:color w:val="000000"/>
                <w:sz w:val="12"/>
                <w:szCs w:val="12"/>
              </w:rPr>
            </w:pPr>
            <w:r w:rsidRPr="00197854">
              <w:rPr>
                <w:b/>
                <w:bCs/>
                <w:color w:val="000000"/>
                <w:sz w:val="12"/>
                <w:szCs w:val="12"/>
              </w:rPr>
              <w:t>Initial Burden per Entity per Response</w:t>
            </w:r>
          </w:p>
        </w:tc>
        <w:tc>
          <w:tcPr>
            <w:tcW w:w="100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b/>
                <w:bCs/>
                <w:color w:val="000000"/>
                <w:sz w:val="12"/>
                <w:szCs w:val="12"/>
              </w:rPr>
            </w:pPr>
            <w:r w:rsidRPr="00197854">
              <w:rPr>
                <w:b/>
                <w:bCs/>
                <w:color w:val="000000"/>
                <w:sz w:val="12"/>
                <w:szCs w:val="12"/>
              </w:rPr>
              <w:t>Initial Burden Annualized per Entity per Response</w:t>
            </w:r>
          </w:p>
        </w:tc>
        <w:tc>
          <w:tcPr>
            <w:tcW w:w="90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b/>
                <w:bCs/>
                <w:color w:val="000000"/>
                <w:sz w:val="12"/>
                <w:szCs w:val="12"/>
              </w:rPr>
            </w:pPr>
            <w:r w:rsidRPr="00197854">
              <w:rPr>
                <w:b/>
                <w:bCs/>
                <w:color w:val="000000"/>
                <w:sz w:val="12"/>
                <w:szCs w:val="12"/>
              </w:rPr>
              <w:t>Ongoing Burden per Entity per Response</w:t>
            </w:r>
          </w:p>
        </w:tc>
        <w:tc>
          <w:tcPr>
            <w:tcW w:w="92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b/>
                <w:bCs/>
                <w:color w:val="000000"/>
                <w:sz w:val="12"/>
                <w:szCs w:val="12"/>
              </w:rPr>
            </w:pPr>
            <w:r w:rsidRPr="00197854">
              <w:rPr>
                <w:b/>
                <w:bCs/>
                <w:color w:val="000000"/>
                <w:sz w:val="12"/>
                <w:szCs w:val="12"/>
              </w:rPr>
              <w:t>Annual Burden Per Entity per Response</w:t>
            </w:r>
          </w:p>
        </w:tc>
        <w:tc>
          <w:tcPr>
            <w:tcW w:w="94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b/>
                <w:bCs/>
                <w:color w:val="000000"/>
                <w:sz w:val="12"/>
                <w:szCs w:val="12"/>
              </w:rPr>
            </w:pPr>
            <w:r w:rsidRPr="00197854">
              <w:rPr>
                <w:b/>
                <w:bCs/>
                <w:color w:val="000000"/>
                <w:sz w:val="12"/>
                <w:szCs w:val="12"/>
              </w:rPr>
              <w:t>Total Annual Burden Per Entity</w:t>
            </w:r>
          </w:p>
        </w:tc>
        <w:tc>
          <w:tcPr>
            <w:tcW w:w="106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b/>
                <w:bCs/>
                <w:color w:val="000000"/>
                <w:sz w:val="12"/>
                <w:szCs w:val="12"/>
              </w:rPr>
            </w:pPr>
            <w:r w:rsidRPr="00197854">
              <w:rPr>
                <w:b/>
                <w:bCs/>
                <w:color w:val="000000"/>
                <w:sz w:val="12"/>
                <w:szCs w:val="12"/>
              </w:rPr>
              <w:t xml:space="preserve">Total Industry Burden                  </w:t>
            </w:r>
          </w:p>
        </w:tc>
        <w:tc>
          <w:tcPr>
            <w:tcW w:w="760" w:type="dxa"/>
            <w:tcBorders>
              <w:top w:val="nil"/>
              <w:left w:val="nil"/>
              <w:bottom w:val="single" w:sz="4" w:space="0" w:color="auto"/>
              <w:right w:val="single" w:sz="8" w:space="0" w:color="auto"/>
            </w:tcBorders>
            <w:shd w:val="clear" w:color="000000" w:fill="D9D9D9"/>
            <w:vAlign w:val="center"/>
            <w:hideMark/>
          </w:tcPr>
          <w:p w:rsidR="00197854" w:rsidRPr="00197854" w:rsidRDefault="00197854" w:rsidP="00197854">
            <w:pPr>
              <w:jc w:val="center"/>
              <w:rPr>
                <w:b/>
                <w:bCs/>
                <w:color w:val="000000"/>
                <w:sz w:val="12"/>
                <w:szCs w:val="12"/>
              </w:rPr>
            </w:pPr>
            <w:r w:rsidRPr="00197854">
              <w:rPr>
                <w:b/>
                <w:bCs/>
                <w:color w:val="000000"/>
                <w:sz w:val="12"/>
                <w:szCs w:val="12"/>
              </w:rPr>
              <w:t xml:space="preserve"> Small Business Entities Affected</w:t>
            </w:r>
          </w:p>
        </w:tc>
      </w:tr>
      <w:tr w:rsidR="00197854" w:rsidRPr="00197854" w:rsidTr="00197854">
        <w:trPr>
          <w:trHeight w:val="510"/>
          <w:jc w:val="center"/>
        </w:trPr>
        <w:tc>
          <w:tcPr>
            <w:tcW w:w="1380" w:type="dxa"/>
            <w:tcBorders>
              <w:top w:val="nil"/>
              <w:left w:val="single" w:sz="8" w:space="0" w:color="auto"/>
              <w:bottom w:val="single" w:sz="4" w:space="0" w:color="auto"/>
              <w:right w:val="single" w:sz="4" w:space="0" w:color="auto"/>
            </w:tcBorders>
            <w:shd w:val="clear" w:color="000000" w:fill="D9D9D9"/>
            <w:vAlign w:val="center"/>
            <w:hideMark/>
          </w:tcPr>
          <w:p w:rsidR="00197854" w:rsidRPr="00197854" w:rsidRDefault="00197854" w:rsidP="00197854">
            <w:pPr>
              <w:jc w:val="center"/>
              <w:rPr>
                <w:color w:val="FF0000"/>
                <w:sz w:val="12"/>
                <w:szCs w:val="12"/>
              </w:rPr>
            </w:pPr>
            <w:r w:rsidRPr="00197854">
              <w:rPr>
                <w:color w:val="FF0000"/>
                <w:sz w:val="12"/>
                <w:szCs w:val="12"/>
              </w:rPr>
              <w:t> </w:t>
            </w:r>
          </w:p>
        </w:tc>
        <w:tc>
          <w:tcPr>
            <w:tcW w:w="96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color w:val="FF0000"/>
                <w:sz w:val="12"/>
                <w:szCs w:val="12"/>
              </w:rPr>
            </w:pPr>
            <w:r w:rsidRPr="00197854">
              <w:rPr>
                <w:color w:val="FF0000"/>
                <w:sz w:val="12"/>
                <w:szCs w:val="12"/>
              </w:rPr>
              <w:t> </w:t>
            </w:r>
          </w:p>
        </w:tc>
        <w:tc>
          <w:tcPr>
            <w:tcW w:w="76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color w:val="FF0000"/>
                <w:sz w:val="12"/>
                <w:szCs w:val="12"/>
              </w:rPr>
            </w:pPr>
            <w:r w:rsidRPr="00197854">
              <w:rPr>
                <w:color w:val="FF0000"/>
                <w:sz w:val="12"/>
                <w:szCs w:val="12"/>
              </w:rPr>
              <w:t> </w:t>
            </w:r>
          </w:p>
        </w:tc>
        <w:tc>
          <w:tcPr>
            <w:tcW w:w="82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color w:val="FF0000"/>
                <w:sz w:val="12"/>
                <w:szCs w:val="12"/>
              </w:rPr>
            </w:pPr>
            <w:r w:rsidRPr="00197854">
              <w:rPr>
                <w:color w:val="FF0000"/>
                <w:sz w:val="12"/>
                <w:szCs w:val="12"/>
              </w:rPr>
              <w:t> </w:t>
            </w:r>
          </w:p>
        </w:tc>
        <w:tc>
          <w:tcPr>
            <w:tcW w:w="84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color w:val="FF0000"/>
                <w:sz w:val="12"/>
                <w:szCs w:val="12"/>
              </w:rPr>
            </w:pPr>
            <w:r w:rsidRPr="00197854">
              <w:rPr>
                <w:color w:val="FF0000"/>
                <w:sz w:val="12"/>
                <w:szCs w:val="12"/>
              </w:rPr>
              <w:t> </w:t>
            </w:r>
          </w:p>
        </w:tc>
        <w:tc>
          <w:tcPr>
            <w:tcW w:w="100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color w:val="FF0000"/>
                <w:sz w:val="12"/>
                <w:szCs w:val="12"/>
              </w:rPr>
            </w:pPr>
            <w:r w:rsidRPr="00197854">
              <w:rPr>
                <w:color w:val="FF0000"/>
                <w:sz w:val="12"/>
                <w:szCs w:val="12"/>
              </w:rPr>
              <w:t>[C ÷ 3 years]</w:t>
            </w:r>
          </w:p>
        </w:tc>
        <w:tc>
          <w:tcPr>
            <w:tcW w:w="90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color w:val="FF0000"/>
                <w:sz w:val="12"/>
                <w:szCs w:val="12"/>
              </w:rPr>
            </w:pPr>
            <w:r w:rsidRPr="00197854">
              <w:rPr>
                <w:color w:val="FF0000"/>
                <w:sz w:val="12"/>
                <w:szCs w:val="12"/>
              </w:rPr>
              <w:t> </w:t>
            </w:r>
          </w:p>
        </w:tc>
        <w:tc>
          <w:tcPr>
            <w:tcW w:w="92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color w:val="FF0000"/>
                <w:sz w:val="12"/>
                <w:szCs w:val="12"/>
              </w:rPr>
            </w:pPr>
            <w:r w:rsidRPr="00197854">
              <w:rPr>
                <w:color w:val="FF0000"/>
                <w:sz w:val="12"/>
                <w:szCs w:val="12"/>
              </w:rPr>
              <w:t>[ D + E]</w:t>
            </w:r>
          </w:p>
        </w:tc>
        <w:tc>
          <w:tcPr>
            <w:tcW w:w="94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color w:val="FF0000"/>
                <w:sz w:val="12"/>
                <w:szCs w:val="12"/>
              </w:rPr>
            </w:pPr>
            <w:r w:rsidRPr="00197854">
              <w:rPr>
                <w:color w:val="FF0000"/>
                <w:sz w:val="12"/>
                <w:szCs w:val="12"/>
              </w:rPr>
              <w:t>[F * B]</w:t>
            </w:r>
          </w:p>
        </w:tc>
        <w:tc>
          <w:tcPr>
            <w:tcW w:w="106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color w:val="FF0000"/>
                <w:sz w:val="12"/>
                <w:szCs w:val="12"/>
              </w:rPr>
            </w:pPr>
            <w:r w:rsidRPr="00197854">
              <w:rPr>
                <w:color w:val="FF0000"/>
                <w:sz w:val="12"/>
                <w:szCs w:val="12"/>
              </w:rPr>
              <w:t xml:space="preserve">[G * A]  </w:t>
            </w:r>
          </w:p>
        </w:tc>
        <w:tc>
          <w:tcPr>
            <w:tcW w:w="760" w:type="dxa"/>
            <w:tcBorders>
              <w:top w:val="nil"/>
              <w:left w:val="nil"/>
              <w:bottom w:val="single" w:sz="4" w:space="0" w:color="auto"/>
              <w:right w:val="single" w:sz="8" w:space="0" w:color="auto"/>
            </w:tcBorders>
            <w:shd w:val="clear" w:color="000000" w:fill="D9D9D9"/>
            <w:vAlign w:val="center"/>
            <w:hideMark/>
          </w:tcPr>
          <w:p w:rsidR="00197854" w:rsidRPr="00197854" w:rsidRDefault="00197854" w:rsidP="00197854">
            <w:pPr>
              <w:jc w:val="center"/>
              <w:rPr>
                <w:color w:val="FF0000"/>
                <w:sz w:val="12"/>
                <w:szCs w:val="12"/>
              </w:rPr>
            </w:pPr>
            <w:r w:rsidRPr="00197854">
              <w:rPr>
                <w:color w:val="FF0000"/>
                <w:sz w:val="12"/>
                <w:szCs w:val="12"/>
              </w:rPr>
              <w:t>[A * 0 %]</w:t>
            </w:r>
          </w:p>
        </w:tc>
      </w:tr>
      <w:tr w:rsidR="00197854" w:rsidRPr="00197854" w:rsidTr="00197854">
        <w:trPr>
          <w:trHeight w:val="990"/>
          <w:jc w:val="center"/>
        </w:trPr>
        <w:tc>
          <w:tcPr>
            <w:tcW w:w="1380" w:type="dxa"/>
            <w:tcBorders>
              <w:top w:val="nil"/>
              <w:left w:val="single" w:sz="8" w:space="0" w:color="auto"/>
              <w:bottom w:val="single" w:sz="4" w:space="0" w:color="auto"/>
              <w:right w:val="single" w:sz="4" w:space="0" w:color="auto"/>
            </w:tcBorders>
            <w:shd w:val="clear" w:color="auto" w:fill="auto"/>
            <w:vAlign w:val="center"/>
            <w:hideMark/>
          </w:tcPr>
          <w:p w:rsidR="00197854" w:rsidRPr="00197854" w:rsidRDefault="00197854" w:rsidP="00197854">
            <w:pPr>
              <w:jc w:val="center"/>
              <w:rPr>
                <w:color w:val="000000"/>
                <w:sz w:val="12"/>
                <w:szCs w:val="12"/>
              </w:rPr>
            </w:pPr>
            <w:r w:rsidRPr="00197854">
              <w:rPr>
                <w:color w:val="000000"/>
                <w:sz w:val="12"/>
                <w:szCs w:val="12"/>
              </w:rPr>
              <w:t>Stand-alone SBSDs and stand-alone MSBSPs: Paragraphs (a)(1) through (a)(10), (a)(12), (a)(15), and (a)(17)</w:t>
            </w:r>
          </w:p>
        </w:tc>
        <w:tc>
          <w:tcPr>
            <w:tcW w:w="96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center"/>
              <w:rPr>
                <w:color w:val="000000"/>
                <w:sz w:val="12"/>
                <w:szCs w:val="12"/>
              </w:rPr>
            </w:pPr>
            <w:r w:rsidRPr="00197854">
              <w:rPr>
                <w:color w:val="000000"/>
                <w:sz w:val="12"/>
                <w:szCs w:val="12"/>
              </w:rPr>
              <w:t>Recordkeeping</w:t>
            </w:r>
          </w:p>
        </w:tc>
        <w:tc>
          <w:tcPr>
            <w:tcW w:w="76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center"/>
              <w:rPr>
                <w:color w:val="000000"/>
                <w:sz w:val="12"/>
                <w:szCs w:val="12"/>
              </w:rPr>
            </w:pPr>
            <w:r w:rsidRPr="00197854">
              <w:rPr>
                <w:color w:val="000000"/>
                <w:sz w:val="12"/>
                <w:szCs w:val="12"/>
              </w:rPr>
              <w:t>13</w:t>
            </w:r>
          </w:p>
        </w:tc>
        <w:tc>
          <w:tcPr>
            <w:tcW w:w="82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center"/>
              <w:rPr>
                <w:color w:val="000000"/>
                <w:sz w:val="12"/>
                <w:szCs w:val="12"/>
              </w:rPr>
            </w:pPr>
            <w:r w:rsidRPr="00197854">
              <w:rPr>
                <w:color w:val="000000"/>
                <w:sz w:val="12"/>
                <w:szCs w:val="12"/>
              </w:rPr>
              <w:t>1</w:t>
            </w:r>
          </w:p>
        </w:tc>
        <w:tc>
          <w:tcPr>
            <w:tcW w:w="84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260.00</w:t>
            </w:r>
          </w:p>
        </w:tc>
        <w:tc>
          <w:tcPr>
            <w:tcW w:w="100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86.67</w:t>
            </w:r>
          </w:p>
        </w:tc>
        <w:tc>
          <w:tcPr>
            <w:tcW w:w="90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325.00</w:t>
            </w:r>
          </w:p>
        </w:tc>
        <w:tc>
          <w:tcPr>
            <w:tcW w:w="92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411.67</w:t>
            </w:r>
          </w:p>
        </w:tc>
        <w:tc>
          <w:tcPr>
            <w:tcW w:w="94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411.67</w:t>
            </w:r>
          </w:p>
        </w:tc>
        <w:tc>
          <w:tcPr>
            <w:tcW w:w="106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5,351.67</w:t>
            </w:r>
          </w:p>
        </w:tc>
        <w:tc>
          <w:tcPr>
            <w:tcW w:w="760" w:type="dxa"/>
            <w:tcBorders>
              <w:top w:val="nil"/>
              <w:left w:val="nil"/>
              <w:bottom w:val="single" w:sz="4" w:space="0" w:color="auto"/>
              <w:right w:val="single" w:sz="8" w:space="0" w:color="auto"/>
            </w:tcBorders>
            <w:shd w:val="clear" w:color="auto" w:fill="auto"/>
            <w:noWrap/>
            <w:vAlign w:val="center"/>
            <w:hideMark/>
          </w:tcPr>
          <w:p w:rsidR="00197854" w:rsidRPr="00197854" w:rsidRDefault="006E0B00" w:rsidP="006E0B00">
            <w:pPr>
              <w:jc w:val="center"/>
              <w:rPr>
                <w:color w:val="000000"/>
                <w:sz w:val="12"/>
                <w:szCs w:val="12"/>
              </w:rPr>
            </w:pPr>
            <w:r>
              <w:rPr>
                <w:color w:val="000000"/>
                <w:sz w:val="12"/>
                <w:szCs w:val="12"/>
              </w:rPr>
              <w:t>0</w:t>
            </w:r>
          </w:p>
        </w:tc>
      </w:tr>
      <w:tr w:rsidR="00197854" w:rsidRPr="00197854" w:rsidTr="00197854">
        <w:trPr>
          <w:trHeight w:val="495"/>
          <w:jc w:val="center"/>
        </w:trPr>
        <w:tc>
          <w:tcPr>
            <w:tcW w:w="1380" w:type="dxa"/>
            <w:tcBorders>
              <w:top w:val="nil"/>
              <w:left w:val="single" w:sz="8" w:space="0" w:color="auto"/>
              <w:bottom w:val="single" w:sz="4" w:space="0" w:color="auto"/>
              <w:right w:val="single" w:sz="4" w:space="0" w:color="auto"/>
            </w:tcBorders>
            <w:shd w:val="clear" w:color="auto" w:fill="auto"/>
            <w:vAlign w:val="center"/>
            <w:hideMark/>
          </w:tcPr>
          <w:p w:rsidR="00197854" w:rsidRPr="00197854" w:rsidRDefault="00197854" w:rsidP="00197854">
            <w:pPr>
              <w:jc w:val="center"/>
              <w:rPr>
                <w:color w:val="000000"/>
                <w:sz w:val="12"/>
                <w:szCs w:val="12"/>
              </w:rPr>
            </w:pPr>
            <w:r w:rsidRPr="00197854">
              <w:rPr>
                <w:color w:val="000000"/>
                <w:sz w:val="12"/>
                <w:szCs w:val="12"/>
              </w:rPr>
              <w:t>Stand-alone SBSDs: Paragraphs (a)(13), (a)(14), and (a)(16)</w:t>
            </w:r>
          </w:p>
        </w:tc>
        <w:tc>
          <w:tcPr>
            <w:tcW w:w="96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center"/>
              <w:rPr>
                <w:color w:val="000000"/>
                <w:sz w:val="12"/>
                <w:szCs w:val="12"/>
              </w:rPr>
            </w:pPr>
            <w:r w:rsidRPr="00197854">
              <w:rPr>
                <w:color w:val="000000"/>
                <w:sz w:val="12"/>
                <w:szCs w:val="12"/>
              </w:rPr>
              <w:t>Recordkeeping</w:t>
            </w:r>
          </w:p>
        </w:tc>
        <w:tc>
          <w:tcPr>
            <w:tcW w:w="76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center"/>
              <w:rPr>
                <w:color w:val="000000"/>
                <w:sz w:val="12"/>
                <w:szCs w:val="12"/>
              </w:rPr>
            </w:pPr>
            <w:r w:rsidRPr="00197854">
              <w:rPr>
                <w:color w:val="000000"/>
                <w:sz w:val="12"/>
                <w:szCs w:val="12"/>
              </w:rPr>
              <w:t>9</w:t>
            </w:r>
          </w:p>
        </w:tc>
        <w:tc>
          <w:tcPr>
            <w:tcW w:w="82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center"/>
              <w:rPr>
                <w:color w:val="000000"/>
                <w:sz w:val="12"/>
                <w:szCs w:val="12"/>
              </w:rPr>
            </w:pPr>
            <w:r w:rsidRPr="00197854">
              <w:rPr>
                <w:color w:val="000000"/>
                <w:sz w:val="12"/>
                <w:szCs w:val="12"/>
              </w:rPr>
              <w:t>1</w:t>
            </w:r>
          </w:p>
        </w:tc>
        <w:tc>
          <w:tcPr>
            <w:tcW w:w="84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60.00</w:t>
            </w:r>
          </w:p>
        </w:tc>
        <w:tc>
          <w:tcPr>
            <w:tcW w:w="100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20.00</w:t>
            </w:r>
          </w:p>
        </w:tc>
        <w:tc>
          <w:tcPr>
            <w:tcW w:w="90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75.00</w:t>
            </w:r>
          </w:p>
        </w:tc>
        <w:tc>
          <w:tcPr>
            <w:tcW w:w="92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95.00</w:t>
            </w:r>
          </w:p>
        </w:tc>
        <w:tc>
          <w:tcPr>
            <w:tcW w:w="94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95.00</w:t>
            </w:r>
          </w:p>
        </w:tc>
        <w:tc>
          <w:tcPr>
            <w:tcW w:w="106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855.00</w:t>
            </w:r>
          </w:p>
        </w:tc>
        <w:tc>
          <w:tcPr>
            <w:tcW w:w="760" w:type="dxa"/>
            <w:tcBorders>
              <w:top w:val="nil"/>
              <w:left w:val="nil"/>
              <w:bottom w:val="single" w:sz="4" w:space="0" w:color="auto"/>
              <w:right w:val="single" w:sz="8" w:space="0" w:color="auto"/>
            </w:tcBorders>
            <w:shd w:val="clear" w:color="auto" w:fill="auto"/>
            <w:noWrap/>
            <w:vAlign w:val="center"/>
            <w:hideMark/>
          </w:tcPr>
          <w:p w:rsidR="00197854" w:rsidRPr="00197854" w:rsidRDefault="006E0B00" w:rsidP="006E0B00">
            <w:pPr>
              <w:jc w:val="center"/>
              <w:rPr>
                <w:color w:val="000000"/>
                <w:sz w:val="12"/>
                <w:szCs w:val="12"/>
              </w:rPr>
            </w:pPr>
            <w:r>
              <w:rPr>
                <w:color w:val="000000"/>
                <w:sz w:val="12"/>
                <w:szCs w:val="12"/>
              </w:rPr>
              <w:t>0</w:t>
            </w:r>
          </w:p>
        </w:tc>
      </w:tr>
      <w:tr w:rsidR="00197854" w:rsidRPr="00197854" w:rsidTr="00197854">
        <w:trPr>
          <w:trHeight w:val="495"/>
          <w:jc w:val="center"/>
        </w:trPr>
        <w:tc>
          <w:tcPr>
            <w:tcW w:w="1380" w:type="dxa"/>
            <w:tcBorders>
              <w:top w:val="nil"/>
              <w:left w:val="single" w:sz="8" w:space="0" w:color="auto"/>
              <w:bottom w:val="single" w:sz="4" w:space="0" w:color="auto"/>
              <w:right w:val="single" w:sz="4" w:space="0" w:color="auto"/>
            </w:tcBorders>
            <w:shd w:val="clear" w:color="auto" w:fill="auto"/>
            <w:vAlign w:val="center"/>
            <w:hideMark/>
          </w:tcPr>
          <w:p w:rsidR="00197854" w:rsidRPr="00197854" w:rsidRDefault="00197854" w:rsidP="00197854">
            <w:pPr>
              <w:jc w:val="center"/>
              <w:rPr>
                <w:color w:val="000000"/>
                <w:sz w:val="12"/>
                <w:szCs w:val="12"/>
              </w:rPr>
            </w:pPr>
            <w:r w:rsidRPr="00197854">
              <w:rPr>
                <w:color w:val="000000"/>
                <w:sz w:val="12"/>
                <w:szCs w:val="12"/>
              </w:rPr>
              <w:t>ANC stand-alone SBSDs: Paragraph (a)(11)</w:t>
            </w:r>
          </w:p>
        </w:tc>
        <w:tc>
          <w:tcPr>
            <w:tcW w:w="96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center"/>
              <w:rPr>
                <w:color w:val="000000"/>
                <w:sz w:val="12"/>
                <w:szCs w:val="12"/>
              </w:rPr>
            </w:pPr>
            <w:r w:rsidRPr="00197854">
              <w:rPr>
                <w:color w:val="000000"/>
                <w:sz w:val="12"/>
                <w:szCs w:val="12"/>
              </w:rPr>
              <w:t>Recordkeeping</w:t>
            </w:r>
          </w:p>
        </w:tc>
        <w:tc>
          <w:tcPr>
            <w:tcW w:w="76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center"/>
              <w:rPr>
                <w:color w:val="000000"/>
                <w:sz w:val="12"/>
                <w:szCs w:val="12"/>
              </w:rPr>
            </w:pPr>
            <w:r w:rsidRPr="00197854">
              <w:rPr>
                <w:color w:val="000000"/>
                <w:sz w:val="12"/>
                <w:szCs w:val="12"/>
              </w:rPr>
              <w:t>6</w:t>
            </w:r>
          </w:p>
        </w:tc>
        <w:tc>
          <w:tcPr>
            <w:tcW w:w="82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center"/>
              <w:rPr>
                <w:color w:val="000000"/>
                <w:sz w:val="12"/>
                <w:szCs w:val="12"/>
              </w:rPr>
            </w:pPr>
            <w:r w:rsidRPr="00197854">
              <w:rPr>
                <w:color w:val="000000"/>
                <w:sz w:val="12"/>
                <w:szCs w:val="12"/>
              </w:rPr>
              <w:t>1</w:t>
            </w:r>
          </w:p>
        </w:tc>
        <w:tc>
          <w:tcPr>
            <w:tcW w:w="84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20.00</w:t>
            </w:r>
          </w:p>
        </w:tc>
        <w:tc>
          <w:tcPr>
            <w:tcW w:w="100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6.67</w:t>
            </w:r>
          </w:p>
        </w:tc>
        <w:tc>
          <w:tcPr>
            <w:tcW w:w="90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25.00</w:t>
            </w:r>
          </w:p>
        </w:tc>
        <w:tc>
          <w:tcPr>
            <w:tcW w:w="92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31.67</w:t>
            </w:r>
          </w:p>
        </w:tc>
        <w:tc>
          <w:tcPr>
            <w:tcW w:w="94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31.67</w:t>
            </w:r>
          </w:p>
        </w:tc>
        <w:tc>
          <w:tcPr>
            <w:tcW w:w="106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190.00</w:t>
            </w:r>
          </w:p>
        </w:tc>
        <w:tc>
          <w:tcPr>
            <w:tcW w:w="760" w:type="dxa"/>
            <w:tcBorders>
              <w:top w:val="nil"/>
              <w:left w:val="nil"/>
              <w:bottom w:val="single" w:sz="4" w:space="0" w:color="auto"/>
              <w:right w:val="single" w:sz="8" w:space="0" w:color="auto"/>
            </w:tcBorders>
            <w:shd w:val="clear" w:color="auto" w:fill="auto"/>
            <w:noWrap/>
            <w:vAlign w:val="center"/>
            <w:hideMark/>
          </w:tcPr>
          <w:p w:rsidR="00197854" w:rsidRPr="00197854" w:rsidRDefault="00197854" w:rsidP="006E0B00">
            <w:pPr>
              <w:jc w:val="center"/>
              <w:rPr>
                <w:color w:val="000000"/>
                <w:sz w:val="12"/>
                <w:szCs w:val="12"/>
              </w:rPr>
            </w:pPr>
            <w:r w:rsidRPr="00197854">
              <w:rPr>
                <w:color w:val="000000"/>
                <w:sz w:val="12"/>
                <w:szCs w:val="12"/>
              </w:rPr>
              <w:t>0</w:t>
            </w:r>
          </w:p>
        </w:tc>
      </w:tr>
      <w:tr w:rsidR="00197854" w:rsidRPr="00197854" w:rsidTr="00197854">
        <w:trPr>
          <w:trHeight w:val="660"/>
          <w:jc w:val="center"/>
        </w:trPr>
        <w:tc>
          <w:tcPr>
            <w:tcW w:w="1380" w:type="dxa"/>
            <w:tcBorders>
              <w:top w:val="nil"/>
              <w:left w:val="single" w:sz="8" w:space="0" w:color="auto"/>
              <w:bottom w:val="single" w:sz="4" w:space="0" w:color="auto"/>
              <w:right w:val="single" w:sz="4" w:space="0" w:color="auto"/>
            </w:tcBorders>
            <w:shd w:val="clear" w:color="auto" w:fill="auto"/>
            <w:vAlign w:val="center"/>
            <w:hideMark/>
          </w:tcPr>
          <w:p w:rsidR="00197854" w:rsidRPr="00197854" w:rsidRDefault="00197854" w:rsidP="00197854">
            <w:pPr>
              <w:jc w:val="center"/>
              <w:rPr>
                <w:color w:val="000000"/>
                <w:sz w:val="12"/>
                <w:szCs w:val="12"/>
              </w:rPr>
            </w:pPr>
            <w:r w:rsidRPr="00197854">
              <w:rPr>
                <w:color w:val="000000"/>
                <w:sz w:val="12"/>
                <w:szCs w:val="12"/>
              </w:rPr>
              <w:t>Bank SBSDs and bank MSBSPs: Paragraphs (b)(1) through (b)(8), (b)(11), (b)(13)</w:t>
            </w:r>
          </w:p>
        </w:tc>
        <w:tc>
          <w:tcPr>
            <w:tcW w:w="96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center"/>
              <w:rPr>
                <w:color w:val="000000"/>
                <w:sz w:val="12"/>
                <w:szCs w:val="12"/>
              </w:rPr>
            </w:pPr>
            <w:r w:rsidRPr="00197854">
              <w:rPr>
                <w:color w:val="000000"/>
                <w:sz w:val="12"/>
                <w:szCs w:val="12"/>
              </w:rPr>
              <w:t>Recordkeeping</w:t>
            </w:r>
          </w:p>
        </w:tc>
        <w:tc>
          <w:tcPr>
            <w:tcW w:w="76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center"/>
              <w:rPr>
                <w:color w:val="000000"/>
                <w:sz w:val="12"/>
                <w:szCs w:val="12"/>
              </w:rPr>
            </w:pPr>
            <w:r w:rsidRPr="00197854">
              <w:rPr>
                <w:color w:val="000000"/>
                <w:sz w:val="12"/>
                <w:szCs w:val="12"/>
              </w:rPr>
              <w:t>25</w:t>
            </w:r>
          </w:p>
        </w:tc>
        <w:tc>
          <w:tcPr>
            <w:tcW w:w="82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center"/>
              <w:rPr>
                <w:color w:val="000000"/>
                <w:sz w:val="12"/>
                <w:szCs w:val="12"/>
              </w:rPr>
            </w:pPr>
            <w:r w:rsidRPr="00197854">
              <w:rPr>
                <w:color w:val="000000"/>
                <w:sz w:val="12"/>
                <w:szCs w:val="12"/>
              </w:rPr>
              <w:t>1</w:t>
            </w:r>
          </w:p>
        </w:tc>
        <w:tc>
          <w:tcPr>
            <w:tcW w:w="84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200.00</w:t>
            </w:r>
          </w:p>
        </w:tc>
        <w:tc>
          <w:tcPr>
            <w:tcW w:w="100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66.67</w:t>
            </w:r>
          </w:p>
        </w:tc>
        <w:tc>
          <w:tcPr>
            <w:tcW w:w="90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250.00</w:t>
            </w:r>
          </w:p>
        </w:tc>
        <w:tc>
          <w:tcPr>
            <w:tcW w:w="92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316.67</w:t>
            </w:r>
          </w:p>
        </w:tc>
        <w:tc>
          <w:tcPr>
            <w:tcW w:w="94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316.67</w:t>
            </w:r>
          </w:p>
        </w:tc>
        <w:tc>
          <w:tcPr>
            <w:tcW w:w="106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7,916.67</w:t>
            </w:r>
          </w:p>
        </w:tc>
        <w:tc>
          <w:tcPr>
            <w:tcW w:w="760" w:type="dxa"/>
            <w:tcBorders>
              <w:top w:val="nil"/>
              <w:left w:val="nil"/>
              <w:bottom w:val="single" w:sz="4" w:space="0" w:color="auto"/>
              <w:right w:val="single" w:sz="8" w:space="0" w:color="auto"/>
            </w:tcBorders>
            <w:shd w:val="clear" w:color="auto" w:fill="auto"/>
            <w:noWrap/>
            <w:vAlign w:val="center"/>
            <w:hideMark/>
          </w:tcPr>
          <w:p w:rsidR="00197854" w:rsidRPr="00197854" w:rsidRDefault="00197854" w:rsidP="006E0B00">
            <w:pPr>
              <w:jc w:val="center"/>
              <w:rPr>
                <w:color w:val="000000"/>
                <w:sz w:val="12"/>
                <w:szCs w:val="12"/>
              </w:rPr>
            </w:pPr>
            <w:r w:rsidRPr="00197854">
              <w:rPr>
                <w:color w:val="000000"/>
                <w:sz w:val="12"/>
                <w:szCs w:val="12"/>
              </w:rPr>
              <w:t>0</w:t>
            </w:r>
          </w:p>
        </w:tc>
      </w:tr>
      <w:tr w:rsidR="00197854" w:rsidRPr="00197854" w:rsidTr="00197854">
        <w:trPr>
          <w:trHeight w:val="495"/>
          <w:jc w:val="center"/>
        </w:trPr>
        <w:tc>
          <w:tcPr>
            <w:tcW w:w="1380" w:type="dxa"/>
            <w:tcBorders>
              <w:top w:val="nil"/>
              <w:left w:val="single" w:sz="8" w:space="0" w:color="auto"/>
              <w:bottom w:val="single" w:sz="4" w:space="0" w:color="auto"/>
              <w:right w:val="single" w:sz="4" w:space="0" w:color="auto"/>
            </w:tcBorders>
            <w:shd w:val="clear" w:color="auto" w:fill="auto"/>
            <w:vAlign w:val="center"/>
            <w:hideMark/>
          </w:tcPr>
          <w:p w:rsidR="00197854" w:rsidRPr="00197854" w:rsidRDefault="00197854" w:rsidP="00197854">
            <w:pPr>
              <w:jc w:val="center"/>
              <w:rPr>
                <w:color w:val="000000"/>
                <w:sz w:val="12"/>
                <w:szCs w:val="12"/>
              </w:rPr>
            </w:pPr>
            <w:r w:rsidRPr="00197854">
              <w:rPr>
                <w:color w:val="000000"/>
                <w:sz w:val="12"/>
                <w:szCs w:val="12"/>
              </w:rPr>
              <w:t>Bank SBSDs: Paragraphs (b)(9), (b)(10), and (b)(12)</w:t>
            </w:r>
          </w:p>
        </w:tc>
        <w:tc>
          <w:tcPr>
            <w:tcW w:w="96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center"/>
              <w:rPr>
                <w:color w:val="000000"/>
                <w:sz w:val="12"/>
                <w:szCs w:val="12"/>
              </w:rPr>
            </w:pPr>
            <w:r w:rsidRPr="00197854">
              <w:rPr>
                <w:color w:val="000000"/>
                <w:sz w:val="12"/>
                <w:szCs w:val="12"/>
              </w:rPr>
              <w:t>Recordkeeping</w:t>
            </w:r>
          </w:p>
        </w:tc>
        <w:tc>
          <w:tcPr>
            <w:tcW w:w="76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center"/>
              <w:rPr>
                <w:color w:val="000000"/>
                <w:sz w:val="12"/>
                <w:szCs w:val="12"/>
              </w:rPr>
            </w:pPr>
            <w:r w:rsidRPr="00197854">
              <w:rPr>
                <w:color w:val="000000"/>
                <w:sz w:val="12"/>
                <w:szCs w:val="12"/>
              </w:rPr>
              <w:t>25</w:t>
            </w:r>
          </w:p>
        </w:tc>
        <w:tc>
          <w:tcPr>
            <w:tcW w:w="82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center"/>
              <w:rPr>
                <w:color w:val="000000"/>
                <w:sz w:val="12"/>
                <w:szCs w:val="12"/>
              </w:rPr>
            </w:pPr>
            <w:r w:rsidRPr="00197854">
              <w:rPr>
                <w:color w:val="000000"/>
                <w:sz w:val="12"/>
                <w:szCs w:val="12"/>
              </w:rPr>
              <w:t>1</w:t>
            </w:r>
          </w:p>
        </w:tc>
        <w:tc>
          <w:tcPr>
            <w:tcW w:w="84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60.00</w:t>
            </w:r>
          </w:p>
        </w:tc>
        <w:tc>
          <w:tcPr>
            <w:tcW w:w="100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20.00</w:t>
            </w:r>
          </w:p>
        </w:tc>
        <w:tc>
          <w:tcPr>
            <w:tcW w:w="90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75.00</w:t>
            </w:r>
          </w:p>
        </w:tc>
        <w:tc>
          <w:tcPr>
            <w:tcW w:w="92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95.00</w:t>
            </w:r>
          </w:p>
        </w:tc>
        <w:tc>
          <w:tcPr>
            <w:tcW w:w="94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95.00</w:t>
            </w:r>
          </w:p>
        </w:tc>
        <w:tc>
          <w:tcPr>
            <w:tcW w:w="106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2,375.00</w:t>
            </w:r>
          </w:p>
        </w:tc>
        <w:tc>
          <w:tcPr>
            <w:tcW w:w="760" w:type="dxa"/>
            <w:tcBorders>
              <w:top w:val="nil"/>
              <w:left w:val="nil"/>
              <w:bottom w:val="single" w:sz="4" w:space="0" w:color="auto"/>
              <w:right w:val="single" w:sz="8" w:space="0" w:color="auto"/>
            </w:tcBorders>
            <w:shd w:val="clear" w:color="auto" w:fill="auto"/>
            <w:noWrap/>
            <w:vAlign w:val="center"/>
            <w:hideMark/>
          </w:tcPr>
          <w:p w:rsidR="00197854" w:rsidRPr="00197854" w:rsidRDefault="00197854" w:rsidP="006E0B00">
            <w:pPr>
              <w:jc w:val="center"/>
              <w:rPr>
                <w:color w:val="000000"/>
                <w:sz w:val="12"/>
                <w:szCs w:val="12"/>
              </w:rPr>
            </w:pPr>
            <w:r w:rsidRPr="00197854">
              <w:rPr>
                <w:color w:val="000000"/>
                <w:sz w:val="12"/>
                <w:szCs w:val="12"/>
              </w:rPr>
              <w:t>0</w:t>
            </w:r>
          </w:p>
        </w:tc>
      </w:tr>
      <w:tr w:rsidR="00197854" w:rsidRPr="00197854" w:rsidTr="00197854">
        <w:trPr>
          <w:trHeight w:val="315"/>
          <w:jc w:val="center"/>
        </w:trPr>
        <w:tc>
          <w:tcPr>
            <w:tcW w:w="8520" w:type="dxa"/>
            <w:gridSpan w:val="9"/>
            <w:tcBorders>
              <w:top w:val="single" w:sz="4" w:space="0" w:color="auto"/>
              <w:left w:val="single" w:sz="8" w:space="0" w:color="auto"/>
              <w:bottom w:val="single" w:sz="8" w:space="0" w:color="auto"/>
              <w:right w:val="single" w:sz="4" w:space="0" w:color="auto"/>
            </w:tcBorders>
            <w:shd w:val="clear" w:color="auto" w:fill="auto"/>
            <w:vAlign w:val="center"/>
            <w:hideMark/>
          </w:tcPr>
          <w:p w:rsidR="00197854" w:rsidRPr="00197854" w:rsidRDefault="00197854" w:rsidP="00197854">
            <w:pPr>
              <w:jc w:val="right"/>
              <w:rPr>
                <w:b/>
                <w:bCs/>
                <w:color w:val="000000"/>
                <w:sz w:val="12"/>
                <w:szCs w:val="12"/>
              </w:rPr>
            </w:pPr>
            <w:r w:rsidRPr="00197854">
              <w:rPr>
                <w:b/>
                <w:bCs/>
                <w:color w:val="000000"/>
                <w:sz w:val="12"/>
                <w:szCs w:val="12"/>
              </w:rPr>
              <w:t xml:space="preserve">TOTAL HOURLY BURDEN FOR ALL RESPONDENTS </w:t>
            </w:r>
          </w:p>
        </w:tc>
        <w:tc>
          <w:tcPr>
            <w:tcW w:w="1060" w:type="dxa"/>
            <w:tcBorders>
              <w:top w:val="nil"/>
              <w:left w:val="nil"/>
              <w:bottom w:val="single" w:sz="8" w:space="0" w:color="auto"/>
              <w:right w:val="single" w:sz="4" w:space="0" w:color="auto"/>
            </w:tcBorders>
            <w:shd w:val="clear" w:color="auto" w:fill="auto"/>
            <w:vAlign w:val="center"/>
            <w:hideMark/>
          </w:tcPr>
          <w:p w:rsidR="00197854" w:rsidRPr="00197854" w:rsidRDefault="00197854" w:rsidP="00197854">
            <w:pPr>
              <w:jc w:val="right"/>
              <w:rPr>
                <w:b/>
                <w:bCs/>
                <w:color w:val="000000"/>
                <w:sz w:val="12"/>
                <w:szCs w:val="12"/>
              </w:rPr>
            </w:pPr>
            <w:r w:rsidRPr="00197854">
              <w:rPr>
                <w:b/>
                <w:bCs/>
                <w:color w:val="000000"/>
                <w:sz w:val="12"/>
                <w:szCs w:val="12"/>
              </w:rPr>
              <w:t>16,688.33</w:t>
            </w:r>
          </w:p>
        </w:tc>
        <w:tc>
          <w:tcPr>
            <w:tcW w:w="760" w:type="dxa"/>
            <w:tcBorders>
              <w:top w:val="nil"/>
              <w:left w:val="nil"/>
              <w:bottom w:val="single" w:sz="8" w:space="0" w:color="auto"/>
              <w:right w:val="single" w:sz="8" w:space="0" w:color="auto"/>
            </w:tcBorders>
            <w:shd w:val="clear" w:color="auto" w:fill="auto"/>
            <w:vAlign w:val="center"/>
            <w:hideMark/>
          </w:tcPr>
          <w:p w:rsidR="00197854" w:rsidRPr="00197854" w:rsidRDefault="00197854" w:rsidP="00197854">
            <w:pPr>
              <w:jc w:val="right"/>
              <w:rPr>
                <w:b/>
                <w:bCs/>
                <w:color w:val="000000"/>
                <w:sz w:val="12"/>
                <w:szCs w:val="12"/>
              </w:rPr>
            </w:pPr>
            <w:r w:rsidRPr="00197854">
              <w:rPr>
                <w:b/>
                <w:bCs/>
                <w:color w:val="000000"/>
                <w:sz w:val="12"/>
                <w:szCs w:val="12"/>
              </w:rPr>
              <w:t> </w:t>
            </w:r>
          </w:p>
        </w:tc>
      </w:tr>
    </w:tbl>
    <w:p w:rsidR="008D3A7F" w:rsidRDefault="008D3A7F" w:rsidP="00E62446"/>
    <w:p w:rsidR="00B00911" w:rsidRPr="00205696" w:rsidRDefault="00B00911" w:rsidP="00B00911">
      <w:pPr>
        <w:keepNext/>
        <w:spacing w:after="240"/>
        <w:ind w:firstLine="720"/>
        <w:rPr>
          <w:b/>
        </w:rPr>
      </w:pPr>
      <w:r w:rsidRPr="00205696">
        <w:rPr>
          <w:b/>
        </w:rPr>
        <w:t>13.</w:t>
      </w:r>
      <w:r w:rsidRPr="00205696">
        <w:rPr>
          <w:b/>
        </w:rPr>
        <w:tab/>
      </w:r>
      <w:r w:rsidR="00970C6B" w:rsidRPr="00205696">
        <w:rPr>
          <w:b/>
        </w:rPr>
        <w:t>Cost</w:t>
      </w:r>
      <w:r w:rsidR="002D7E57" w:rsidRPr="00205696">
        <w:rPr>
          <w:b/>
        </w:rPr>
        <w:t>s</w:t>
      </w:r>
      <w:r w:rsidR="00970C6B" w:rsidRPr="00205696">
        <w:rPr>
          <w:b/>
        </w:rPr>
        <w:t xml:space="preserve"> to Respondents</w:t>
      </w:r>
    </w:p>
    <w:p w:rsidR="005B4B79" w:rsidRDefault="004A5AE9" w:rsidP="005B4B79">
      <w:pPr>
        <w:ind w:firstLine="720"/>
      </w:pPr>
      <w:r>
        <w:t>T</w:t>
      </w:r>
      <w:r w:rsidR="00AD7D74" w:rsidRPr="00E83DE6">
        <w:t>he Commission estimate</w:t>
      </w:r>
      <w:r w:rsidR="00B66EAA">
        <w:t>s</w:t>
      </w:r>
      <w:r w:rsidR="00AD7D74" w:rsidRPr="00E83DE6">
        <w:t xml:space="preserve"> that</w:t>
      </w:r>
      <w:r w:rsidR="00665E42">
        <w:t xml:space="preserve"> proposed Rule 18a-5 would cause a stand-alone SBSD or stand-alone MSBSP to incur an initial dollar cost of approximately $1,000 to purchase recordkeeping system software and an ongoing dollar cost of $4,650 per year for associated equipment and systems development.  The Commission estimates that there are thirteen respondents (nine stand-alone SBSDs and four stand-alone MSBSPs), resulting in an estimated industry-wide initial burden of $13,000</w:t>
      </w:r>
      <w:r w:rsidR="00665E42">
        <w:rPr>
          <w:rStyle w:val="FootnoteReference"/>
        </w:rPr>
        <w:footnoteReference w:id="38"/>
      </w:r>
      <w:r w:rsidR="00665E42">
        <w:t xml:space="preserve"> and an industry-wide ongoing burden of $60,450 per year.</w:t>
      </w:r>
      <w:r w:rsidR="00665E42">
        <w:rPr>
          <w:rStyle w:val="FootnoteReference"/>
        </w:rPr>
        <w:footnoteReference w:id="39"/>
      </w:r>
      <w:r w:rsidR="005B4B79">
        <w:t xml:space="preserve"> Over a three year period, the total</w:t>
      </w:r>
      <w:r w:rsidR="00FE656C">
        <w:t xml:space="preserve"> estimated</w:t>
      </w:r>
      <w:r w:rsidR="005B4B79">
        <w:t xml:space="preserve"> industry burden would be $194,350,</w:t>
      </w:r>
      <w:r w:rsidR="005B4B79">
        <w:rPr>
          <w:rStyle w:val="FootnoteReference"/>
        </w:rPr>
        <w:footnoteReference w:id="40"/>
      </w:r>
      <w:r w:rsidR="005B4B79">
        <w:t xml:space="preserve"> or about $64,783 per year when annualized.</w:t>
      </w:r>
      <w:r w:rsidR="005B4B79">
        <w:rPr>
          <w:rStyle w:val="FootnoteReference"/>
        </w:rPr>
        <w:footnoteReference w:id="41"/>
      </w:r>
    </w:p>
    <w:p w:rsidR="00665E42" w:rsidRDefault="00665E42" w:rsidP="00AD7D74">
      <w:pPr>
        <w:spacing w:after="240"/>
        <w:ind w:firstLine="720"/>
      </w:pPr>
    </w:p>
    <w:p w:rsidR="00FB3932" w:rsidRDefault="00665E42" w:rsidP="00AD7D74">
      <w:pPr>
        <w:spacing w:after="240"/>
        <w:ind w:firstLine="720"/>
      </w:pPr>
      <w:r>
        <w:t>Proposed Rule 18a-5 is not expected to increase the initial and ongoing dollar costs that bank SBSDs and bank MSBSPs incur to purchase recordkeeping system software and for equipment and systems development.  Banks are already subject to recordkeeping requirements by the prudential regulators,</w:t>
      </w:r>
      <w:r>
        <w:rPr>
          <w:rStyle w:val="FootnoteReference"/>
        </w:rPr>
        <w:footnoteReference w:id="42"/>
      </w:r>
      <w:r>
        <w:t xml:space="preserve"> so they already own or have established the requisite recordkeeping system software.  Although bank SBSDs and bank MSBSPs may need to program the software to begin collecting additional records, the Commission expects these services to be performed in-house.</w:t>
      </w:r>
      <w:r w:rsidR="00FB3932" w:rsidRPr="00E83DE6">
        <w:t xml:space="preserve">  </w:t>
      </w:r>
    </w:p>
    <w:tbl>
      <w:tblPr>
        <w:tblW w:w="10340" w:type="dxa"/>
        <w:jc w:val="center"/>
        <w:tblInd w:w="93" w:type="dxa"/>
        <w:tblLook w:val="04A0" w:firstRow="1" w:lastRow="0" w:firstColumn="1" w:lastColumn="0" w:noHBand="0" w:noVBand="1"/>
      </w:tblPr>
      <w:tblGrid>
        <w:gridCol w:w="1380"/>
        <w:gridCol w:w="960"/>
        <w:gridCol w:w="760"/>
        <w:gridCol w:w="820"/>
        <w:gridCol w:w="840"/>
        <w:gridCol w:w="1000"/>
        <w:gridCol w:w="900"/>
        <w:gridCol w:w="920"/>
        <w:gridCol w:w="940"/>
        <w:gridCol w:w="1060"/>
        <w:gridCol w:w="760"/>
      </w:tblGrid>
      <w:tr w:rsidR="00197854" w:rsidRPr="00197854" w:rsidTr="00197854">
        <w:trPr>
          <w:trHeight w:val="315"/>
          <w:jc w:val="center"/>
        </w:trPr>
        <w:tc>
          <w:tcPr>
            <w:tcW w:w="10340" w:type="dxa"/>
            <w:gridSpan w:val="11"/>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97854" w:rsidRPr="00197854" w:rsidRDefault="00197854" w:rsidP="00197854">
            <w:pPr>
              <w:jc w:val="center"/>
              <w:rPr>
                <w:b/>
                <w:bCs/>
                <w:color w:val="000000"/>
                <w:sz w:val="12"/>
                <w:szCs w:val="12"/>
              </w:rPr>
            </w:pPr>
            <w:r w:rsidRPr="00197854">
              <w:rPr>
                <w:b/>
                <w:bCs/>
                <w:color w:val="000000"/>
                <w:sz w:val="12"/>
                <w:szCs w:val="12"/>
              </w:rPr>
              <w:t>Summary of Dollar Costs</w:t>
            </w:r>
          </w:p>
        </w:tc>
      </w:tr>
      <w:tr w:rsidR="00197854" w:rsidRPr="00197854" w:rsidTr="00197854">
        <w:trPr>
          <w:trHeight w:val="300"/>
          <w:jc w:val="center"/>
        </w:trPr>
        <w:tc>
          <w:tcPr>
            <w:tcW w:w="1380" w:type="dxa"/>
            <w:tcBorders>
              <w:top w:val="nil"/>
              <w:left w:val="single" w:sz="8" w:space="0" w:color="auto"/>
              <w:bottom w:val="single" w:sz="4" w:space="0" w:color="auto"/>
              <w:right w:val="single" w:sz="4" w:space="0" w:color="auto"/>
            </w:tcBorders>
            <w:shd w:val="clear" w:color="000000" w:fill="D9D9D9"/>
            <w:noWrap/>
            <w:vAlign w:val="center"/>
            <w:hideMark/>
          </w:tcPr>
          <w:p w:rsidR="00197854" w:rsidRPr="00197854" w:rsidRDefault="00197854" w:rsidP="00197854">
            <w:pPr>
              <w:jc w:val="center"/>
              <w:rPr>
                <w:b/>
                <w:bCs/>
                <w:color w:val="000000"/>
                <w:sz w:val="12"/>
                <w:szCs w:val="12"/>
              </w:rPr>
            </w:pPr>
            <w:r w:rsidRPr="00197854">
              <w:rPr>
                <w:b/>
                <w:bCs/>
                <w:color w:val="000000"/>
                <w:sz w:val="12"/>
                <w:szCs w:val="12"/>
              </w:rPr>
              <w:t> </w:t>
            </w:r>
          </w:p>
        </w:tc>
        <w:tc>
          <w:tcPr>
            <w:tcW w:w="960" w:type="dxa"/>
            <w:tcBorders>
              <w:top w:val="nil"/>
              <w:left w:val="nil"/>
              <w:bottom w:val="single" w:sz="4" w:space="0" w:color="auto"/>
              <w:right w:val="single" w:sz="4" w:space="0" w:color="auto"/>
            </w:tcBorders>
            <w:shd w:val="clear" w:color="000000" w:fill="D9D9D9"/>
            <w:noWrap/>
            <w:vAlign w:val="bottom"/>
            <w:hideMark/>
          </w:tcPr>
          <w:p w:rsidR="00197854" w:rsidRPr="00197854" w:rsidRDefault="00197854" w:rsidP="00197854">
            <w:pPr>
              <w:jc w:val="center"/>
              <w:rPr>
                <w:b/>
                <w:bCs/>
                <w:color w:val="000000"/>
                <w:sz w:val="12"/>
                <w:szCs w:val="12"/>
              </w:rPr>
            </w:pPr>
            <w:r w:rsidRPr="00197854">
              <w:rPr>
                <w:b/>
                <w:bCs/>
                <w:color w:val="000000"/>
                <w:sz w:val="12"/>
                <w:szCs w:val="12"/>
              </w:rPr>
              <w:t> </w:t>
            </w:r>
          </w:p>
        </w:tc>
        <w:tc>
          <w:tcPr>
            <w:tcW w:w="760" w:type="dxa"/>
            <w:tcBorders>
              <w:top w:val="nil"/>
              <w:left w:val="nil"/>
              <w:bottom w:val="single" w:sz="4" w:space="0" w:color="auto"/>
              <w:right w:val="single" w:sz="4" w:space="0" w:color="auto"/>
            </w:tcBorders>
            <w:shd w:val="clear" w:color="000000" w:fill="D9D9D9"/>
            <w:noWrap/>
            <w:vAlign w:val="bottom"/>
            <w:hideMark/>
          </w:tcPr>
          <w:p w:rsidR="00197854" w:rsidRPr="00197854" w:rsidRDefault="00197854" w:rsidP="00197854">
            <w:pPr>
              <w:jc w:val="center"/>
              <w:rPr>
                <w:color w:val="FF0000"/>
                <w:sz w:val="12"/>
                <w:szCs w:val="12"/>
              </w:rPr>
            </w:pPr>
            <w:r w:rsidRPr="00197854">
              <w:rPr>
                <w:color w:val="FF0000"/>
                <w:sz w:val="12"/>
                <w:szCs w:val="12"/>
              </w:rPr>
              <w:t>A.</w:t>
            </w:r>
          </w:p>
        </w:tc>
        <w:tc>
          <w:tcPr>
            <w:tcW w:w="820" w:type="dxa"/>
            <w:tcBorders>
              <w:top w:val="nil"/>
              <w:left w:val="nil"/>
              <w:bottom w:val="single" w:sz="4" w:space="0" w:color="auto"/>
              <w:right w:val="single" w:sz="4" w:space="0" w:color="auto"/>
            </w:tcBorders>
            <w:shd w:val="clear" w:color="000000" w:fill="D9D9D9"/>
            <w:noWrap/>
            <w:vAlign w:val="bottom"/>
            <w:hideMark/>
          </w:tcPr>
          <w:p w:rsidR="00197854" w:rsidRPr="00197854" w:rsidRDefault="00197854" w:rsidP="00197854">
            <w:pPr>
              <w:jc w:val="center"/>
              <w:rPr>
                <w:color w:val="FF0000"/>
                <w:sz w:val="12"/>
                <w:szCs w:val="12"/>
              </w:rPr>
            </w:pPr>
            <w:r w:rsidRPr="00197854">
              <w:rPr>
                <w:color w:val="FF0000"/>
                <w:sz w:val="12"/>
                <w:szCs w:val="12"/>
              </w:rPr>
              <w:t>B.</w:t>
            </w:r>
          </w:p>
        </w:tc>
        <w:tc>
          <w:tcPr>
            <w:tcW w:w="840" w:type="dxa"/>
            <w:tcBorders>
              <w:top w:val="nil"/>
              <w:left w:val="nil"/>
              <w:bottom w:val="single" w:sz="4" w:space="0" w:color="auto"/>
              <w:right w:val="single" w:sz="4" w:space="0" w:color="auto"/>
            </w:tcBorders>
            <w:shd w:val="clear" w:color="000000" w:fill="D9D9D9"/>
            <w:noWrap/>
            <w:vAlign w:val="bottom"/>
            <w:hideMark/>
          </w:tcPr>
          <w:p w:rsidR="00197854" w:rsidRPr="00197854" w:rsidRDefault="00197854" w:rsidP="00197854">
            <w:pPr>
              <w:jc w:val="center"/>
              <w:rPr>
                <w:color w:val="FF0000"/>
                <w:sz w:val="12"/>
                <w:szCs w:val="12"/>
              </w:rPr>
            </w:pPr>
            <w:r w:rsidRPr="00197854">
              <w:rPr>
                <w:color w:val="FF0000"/>
                <w:sz w:val="12"/>
                <w:szCs w:val="12"/>
              </w:rPr>
              <w:t>C.</w:t>
            </w:r>
          </w:p>
        </w:tc>
        <w:tc>
          <w:tcPr>
            <w:tcW w:w="1000" w:type="dxa"/>
            <w:tcBorders>
              <w:top w:val="nil"/>
              <w:left w:val="nil"/>
              <w:bottom w:val="single" w:sz="4" w:space="0" w:color="auto"/>
              <w:right w:val="single" w:sz="4" w:space="0" w:color="auto"/>
            </w:tcBorders>
            <w:shd w:val="clear" w:color="000000" w:fill="D9D9D9"/>
            <w:noWrap/>
            <w:vAlign w:val="bottom"/>
            <w:hideMark/>
          </w:tcPr>
          <w:p w:rsidR="00197854" w:rsidRPr="00197854" w:rsidRDefault="00197854" w:rsidP="00197854">
            <w:pPr>
              <w:jc w:val="center"/>
              <w:rPr>
                <w:color w:val="FF0000"/>
                <w:sz w:val="12"/>
                <w:szCs w:val="12"/>
              </w:rPr>
            </w:pPr>
            <w:r w:rsidRPr="00197854">
              <w:rPr>
                <w:color w:val="FF0000"/>
                <w:sz w:val="12"/>
                <w:szCs w:val="12"/>
              </w:rPr>
              <w:t xml:space="preserve">D. </w:t>
            </w:r>
          </w:p>
        </w:tc>
        <w:tc>
          <w:tcPr>
            <w:tcW w:w="900" w:type="dxa"/>
            <w:tcBorders>
              <w:top w:val="nil"/>
              <w:left w:val="nil"/>
              <w:bottom w:val="single" w:sz="4" w:space="0" w:color="auto"/>
              <w:right w:val="single" w:sz="4" w:space="0" w:color="auto"/>
            </w:tcBorders>
            <w:shd w:val="clear" w:color="000000" w:fill="D9D9D9"/>
            <w:noWrap/>
            <w:vAlign w:val="bottom"/>
            <w:hideMark/>
          </w:tcPr>
          <w:p w:rsidR="00197854" w:rsidRPr="00197854" w:rsidRDefault="00197854" w:rsidP="00197854">
            <w:pPr>
              <w:jc w:val="center"/>
              <w:rPr>
                <w:color w:val="FF0000"/>
                <w:sz w:val="12"/>
                <w:szCs w:val="12"/>
              </w:rPr>
            </w:pPr>
            <w:r w:rsidRPr="00197854">
              <w:rPr>
                <w:color w:val="FF0000"/>
                <w:sz w:val="12"/>
                <w:szCs w:val="12"/>
              </w:rPr>
              <w:t>E.</w:t>
            </w:r>
          </w:p>
        </w:tc>
        <w:tc>
          <w:tcPr>
            <w:tcW w:w="920" w:type="dxa"/>
            <w:tcBorders>
              <w:top w:val="nil"/>
              <w:left w:val="nil"/>
              <w:bottom w:val="single" w:sz="4" w:space="0" w:color="auto"/>
              <w:right w:val="single" w:sz="4" w:space="0" w:color="auto"/>
            </w:tcBorders>
            <w:shd w:val="clear" w:color="000000" w:fill="D9D9D9"/>
            <w:noWrap/>
            <w:vAlign w:val="bottom"/>
            <w:hideMark/>
          </w:tcPr>
          <w:p w:rsidR="00197854" w:rsidRPr="00197854" w:rsidRDefault="00197854" w:rsidP="00197854">
            <w:pPr>
              <w:jc w:val="center"/>
              <w:rPr>
                <w:color w:val="FF0000"/>
                <w:sz w:val="12"/>
                <w:szCs w:val="12"/>
              </w:rPr>
            </w:pPr>
            <w:r w:rsidRPr="00197854">
              <w:rPr>
                <w:color w:val="FF0000"/>
                <w:sz w:val="12"/>
                <w:szCs w:val="12"/>
              </w:rPr>
              <w:t>F.</w:t>
            </w:r>
          </w:p>
        </w:tc>
        <w:tc>
          <w:tcPr>
            <w:tcW w:w="940" w:type="dxa"/>
            <w:tcBorders>
              <w:top w:val="nil"/>
              <w:left w:val="nil"/>
              <w:bottom w:val="single" w:sz="4" w:space="0" w:color="auto"/>
              <w:right w:val="single" w:sz="4" w:space="0" w:color="auto"/>
            </w:tcBorders>
            <w:shd w:val="clear" w:color="000000" w:fill="D9D9D9"/>
            <w:noWrap/>
            <w:vAlign w:val="bottom"/>
            <w:hideMark/>
          </w:tcPr>
          <w:p w:rsidR="00197854" w:rsidRPr="00197854" w:rsidRDefault="00197854" w:rsidP="00197854">
            <w:pPr>
              <w:jc w:val="center"/>
              <w:rPr>
                <w:color w:val="FF0000"/>
                <w:sz w:val="12"/>
                <w:szCs w:val="12"/>
              </w:rPr>
            </w:pPr>
            <w:r w:rsidRPr="00197854">
              <w:rPr>
                <w:color w:val="FF0000"/>
                <w:sz w:val="12"/>
                <w:szCs w:val="12"/>
              </w:rPr>
              <w:t>G.</w:t>
            </w:r>
          </w:p>
        </w:tc>
        <w:tc>
          <w:tcPr>
            <w:tcW w:w="1060" w:type="dxa"/>
            <w:tcBorders>
              <w:top w:val="nil"/>
              <w:left w:val="nil"/>
              <w:bottom w:val="single" w:sz="4" w:space="0" w:color="auto"/>
              <w:right w:val="single" w:sz="4" w:space="0" w:color="auto"/>
            </w:tcBorders>
            <w:shd w:val="clear" w:color="000000" w:fill="D9D9D9"/>
            <w:noWrap/>
            <w:vAlign w:val="bottom"/>
            <w:hideMark/>
          </w:tcPr>
          <w:p w:rsidR="00197854" w:rsidRPr="00197854" w:rsidRDefault="00197854" w:rsidP="00197854">
            <w:pPr>
              <w:jc w:val="center"/>
              <w:rPr>
                <w:color w:val="FF0000"/>
                <w:sz w:val="12"/>
                <w:szCs w:val="12"/>
              </w:rPr>
            </w:pPr>
            <w:r w:rsidRPr="00197854">
              <w:rPr>
                <w:color w:val="FF0000"/>
                <w:sz w:val="12"/>
                <w:szCs w:val="12"/>
              </w:rPr>
              <w:t> </w:t>
            </w:r>
          </w:p>
        </w:tc>
        <w:tc>
          <w:tcPr>
            <w:tcW w:w="760" w:type="dxa"/>
            <w:tcBorders>
              <w:top w:val="nil"/>
              <w:left w:val="nil"/>
              <w:bottom w:val="single" w:sz="4" w:space="0" w:color="auto"/>
              <w:right w:val="single" w:sz="8" w:space="0" w:color="auto"/>
            </w:tcBorders>
            <w:shd w:val="clear" w:color="000000" w:fill="D9D9D9"/>
            <w:noWrap/>
            <w:vAlign w:val="bottom"/>
            <w:hideMark/>
          </w:tcPr>
          <w:p w:rsidR="00197854" w:rsidRPr="00197854" w:rsidRDefault="00197854" w:rsidP="00197854">
            <w:pPr>
              <w:rPr>
                <w:color w:val="000000"/>
                <w:sz w:val="12"/>
                <w:szCs w:val="12"/>
              </w:rPr>
            </w:pPr>
            <w:r w:rsidRPr="00197854">
              <w:rPr>
                <w:color w:val="000000"/>
                <w:sz w:val="12"/>
                <w:szCs w:val="12"/>
              </w:rPr>
              <w:t> </w:t>
            </w:r>
          </w:p>
        </w:tc>
      </w:tr>
      <w:tr w:rsidR="00197854" w:rsidRPr="00197854" w:rsidTr="00197854">
        <w:trPr>
          <w:trHeight w:val="1200"/>
          <w:jc w:val="center"/>
        </w:trPr>
        <w:tc>
          <w:tcPr>
            <w:tcW w:w="1380" w:type="dxa"/>
            <w:tcBorders>
              <w:top w:val="nil"/>
              <w:left w:val="single" w:sz="8" w:space="0" w:color="auto"/>
              <w:bottom w:val="single" w:sz="4" w:space="0" w:color="auto"/>
              <w:right w:val="single" w:sz="4" w:space="0" w:color="auto"/>
            </w:tcBorders>
            <w:shd w:val="clear" w:color="000000" w:fill="D9D9D9"/>
            <w:vAlign w:val="center"/>
            <w:hideMark/>
          </w:tcPr>
          <w:p w:rsidR="00197854" w:rsidRPr="00197854" w:rsidRDefault="00197854" w:rsidP="00197854">
            <w:pPr>
              <w:jc w:val="center"/>
              <w:rPr>
                <w:b/>
                <w:bCs/>
                <w:color w:val="000000"/>
                <w:sz w:val="12"/>
                <w:szCs w:val="12"/>
              </w:rPr>
            </w:pPr>
            <w:r w:rsidRPr="00197854">
              <w:rPr>
                <w:b/>
                <w:bCs/>
                <w:color w:val="000000"/>
                <w:sz w:val="12"/>
                <w:szCs w:val="12"/>
              </w:rPr>
              <w:t>Name of Information Collection</w:t>
            </w:r>
          </w:p>
        </w:tc>
        <w:tc>
          <w:tcPr>
            <w:tcW w:w="96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b/>
                <w:bCs/>
                <w:color w:val="000000"/>
                <w:sz w:val="12"/>
                <w:szCs w:val="12"/>
              </w:rPr>
            </w:pPr>
            <w:r w:rsidRPr="00197854">
              <w:rPr>
                <w:b/>
                <w:bCs/>
                <w:color w:val="000000"/>
                <w:sz w:val="12"/>
                <w:szCs w:val="12"/>
              </w:rPr>
              <w:t>Type of Burden</w:t>
            </w:r>
          </w:p>
        </w:tc>
        <w:tc>
          <w:tcPr>
            <w:tcW w:w="76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b/>
                <w:bCs/>
                <w:color w:val="000000"/>
                <w:sz w:val="12"/>
                <w:szCs w:val="12"/>
              </w:rPr>
            </w:pPr>
            <w:r w:rsidRPr="00197854">
              <w:rPr>
                <w:b/>
                <w:bCs/>
                <w:color w:val="000000"/>
                <w:sz w:val="12"/>
                <w:szCs w:val="12"/>
              </w:rPr>
              <w:t>Number of Entities Impacted</w:t>
            </w:r>
          </w:p>
        </w:tc>
        <w:tc>
          <w:tcPr>
            <w:tcW w:w="82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b/>
                <w:bCs/>
                <w:color w:val="000000"/>
                <w:sz w:val="12"/>
                <w:szCs w:val="12"/>
              </w:rPr>
            </w:pPr>
            <w:r w:rsidRPr="00197854">
              <w:rPr>
                <w:b/>
                <w:bCs/>
                <w:color w:val="000000"/>
                <w:sz w:val="12"/>
                <w:szCs w:val="12"/>
              </w:rPr>
              <w:t>Annual Responses per Entity</w:t>
            </w:r>
          </w:p>
        </w:tc>
        <w:tc>
          <w:tcPr>
            <w:tcW w:w="84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b/>
                <w:bCs/>
                <w:color w:val="000000"/>
                <w:sz w:val="12"/>
                <w:szCs w:val="12"/>
              </w:rPr>
            </w:pPr>
            <w:r w:rsidRPr="00197854">
              <w:rPr>
                <w:b/>
                <w:bCs/>
                <w:color w:val="000000"/>
                <w:sz w:val="12"/>
                <w:szCs w:val="12"/>
              </w:rPr>
              <w:t>Initial Cost per Entity per Response</w:t>
            </w:r>
          </w:p>
        </w:tc>
        <w:tc>
          <w:tcPr>
            <w:tcW w:w="100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b/>
                <w:bCs/>
                <w:color w:val="000000"/>
                <w:sz w:val="12"/>
                <w:szCs w:val="12"/>
              </w:rPr>
            </w:pPr>
            <w:r w:rsidRPr="00197854">
              <w:rPr>
                <w:b/>
                <w:bCs/>
                <w:color w:val="000000"/>
                <w:sz w:val="12"/>
                <w:szCs w:val="12"/>
              </w:rPr>
              <w:t>Initial Cost Annualized per Entity per Response</w:t>
            </w:r>
          </w:p>
        </w:tc>
        <w:tc>
          <w:tcPr>
            <w:tcW w:w="90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b/>
                <w:bCs/>
                <w:color w:val="000000"/>
                <w:sz w:val="12"/>
                <w:szCs w:val="12"/>
              </w:rPr>
            </w:pPr>
            <w:r w:rsidRPr="00197854">
              <w:rPr>
                <w:b/>
                <w:bCs/>
                <w:color w:val="000000"/>
                <w:sz w:val="12"/>
                <w:szCs w:val="12"/>
              </w:rPr>
              <w:t>Ongoing Cost per Entity per Response</w:t>
            </w:r>
          </w:p>
        </w:tc>
        <w:tc>
          <w:tcPr>
            <w:tcW w:w="92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b/>
                <w:bCs/>
                <w:color w:val="000000"/>
                <w:sz w:val="12"/>
                <w:szCs w:val="12"/>
              </w:rPr>
            </w:pPr>
            <w:r w:rsidRPr="00197854">
              <w:rPr>
                <w:b/>
                <w:bCs/>
                <w:color w:val="000000"/>
                <w:sz w:val="12"/>
                <w:szCs w:val="12"/>
              </w:rPr>
              <w:t>Annual Cost Per Entity per Response</w:t>
            </w:r>
          </w:p>
        </w:tc>
        <w:tc>
          <w:tcPr>
            <w:tcW w:w="94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b/>
                <w:bCs/>
                <w:color w:val="000000"/>
                <w:sz w:val="12"/>
                <w:szCs w:val="12"/>
              </w:rPr>
            </w:pPr>
            <w:r w:rsidRPr="00197854">
              <w:rPr>
                <w:b/>
                <w:bCs/>
                <w:color w:val="000000"/>
                <w:sz w:val="12"/>
                <w:szCs w:val="12"/>
              </w:rPr>
              <w:t>Total Annual Cost Per Entity</w:t>
            </w:r>
          </w:p>
        </w:tc>
        <w:tc>
          <w:tcPr>
            <w:tcW w:w="106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b/>
                <w:bCs/>
                <w:color w:val="000000"/>
                <w:sz w:val="12"/>
                <w:szCs w:val="12"/>
              </w:rPr>
            </w:pPr>
            <w:r w:rsidRPr="00197854">
              <w:rPr>
                <w:b/>
                <w:bCs/>
                <w:color w:val="000000"/>
                <w:sz w:val="12"/>
                <w:szCs w:val="12"/>
              </w:rPr>
              <w:t xml:space="preserve">Total Industry Cost               </w:t>
            </w:r>
          </w:p>
        </w:tc>
        <w:tc>
          <w:tcPr>
            <w:tcW w:w="760" w:type="dxa"/>
            <w:tcBorders>
              <w:top w:val="nil"/>
              <w:left w:val="nil"/>
              <w:bottom w:val="single" w:sz="4" w:space="0" w:color="auto"/>
              <w:right w:val="single" w:sz="8" w:space="0" w:color="auto"/>
            </w:tcBorders>
            <w:shd w:val="clear" w:color="000000" w:fill="D9D9D9"/>
            <w:vAlign w:val="center"/>
            <w:hideMark/>
          </w:tcPr>
          <w:p w:rsidR="00197854" w:rsidRPr="00197854" w:rsidRDefault="00197854" w:rsidP="00197854">
            <w:pPr>
              <w:jc w:val="center"/>
              <w:rPr>
                <w:b/>
                <w:bCs/>
                <w:color w:val="000000"/>
                <w:sz w:val="12"/>
                <w:szCs w:val="12"/>
              </w:rPr>
            </w:pPr>
            <w:r w:rsidRPr="00197854">
              <w:rPr>
                <w:b/>
                <w:bCs/>
                <w:color w:val="000000"/>
                <w:sz w:val="12"/>
                <w:szCs w:val="12"/>
              </w:rPr>
              <w:t xml:space="preserve"> Small Business Entities Affected</w:t>
            </w:r>
          </w:p>
        </w:tc>
      </w:tr>
      <w:tr w:rsidR="00197854" w:rsidRPr="00197854" w:rsidTr="00197854">
        <w:trPr>
          <w:trHeight w:val="510"/>
          <w:jc w:val="center"/>
        </w:trPr>
        <w:tc>
          <w:tcPr>
            <w:tcW w:w="1380" w:type="dxa"/>
            <w:tcBorders>
              <w:top w:val="nil"/>
              <w:left w:val="single" w:sz="8" w:space="0" w:color="auto"/>
              <w:bottom w:val="single" w:sz="4" w:space="0" w:color="auto"/>
              <w:right w:val="single" w:sz="4" w:space="0" w:color="auto"/>
            </w:tcBorders>
            <w:shd w:val="clear" w:color="000000" w:fill="D9D9D9"/>
            <w:vAlign w:val="center"/>
            <w:hideMark/>
          </w:tcPr>
          <w:p w:rsidR="00197854" w:rsidRPr="00197854" w:rsidRDefault="00197854" w:rsidP="00197854">
            <w:pPr>
              <w:jc w:val="center"/>
              <w:rPr>
                <w:color w:val="FF0000"/>
                <w:sz w:val="12"/>
                <w:szCs w:val="12"/>
              </w:rPr>
            </w:pPr>
            <w:r w:rsidRPr="00197854">
              <w:rPr>
                <w:color w:val="FF0000"/>
                <w:sz w:val="12"/>
                <w:szCs w:val="12"/>
              </w:rPr>
              <w:t> </w:t>
            </w:r>
          </w:p>
        </w:tc>
        <w:tc>
          <w:tcPr>
            <w:tcW w:w="96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color w:val="FF0000"/>
                <w:sz w:val="12"/>
                <w:szCs w:val="12"/>
              </w:rPr>
            </w:pPr>
            <w:r w:rsidRPr="00197854">
              <w:rPr>
                <w:color w:val="FF0000"/>
                <w:sz w:val="12"/>
                <w:szCs w:val="12"/>
              </w:rPr>
              <w:t> </w:t>
            </w:r>
          </w:p>
        </w:tc>
        <w:tc>
          <w:tcPr>
            <w:tcW w:w="76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color w:val="FF0000"/>
                <w:sz w:val="12"/>
                <w:szCs w:val="12"/>
              </w:rPr>
            </w:pPr>
            <w:r w:rsidRPr="00197854">
              <w:rPr>
                <w:color w:val="FF0000"/>
                <w:sz w:val="12"/>
                <w:szCs w:val="12"/>
              </w:rPr>
              <w:t> </w:t>
            </w:r>
          </w:p>
        </w:tc>
        <w:tc>
          <w:tcPr>
            <w:tcW w:w="82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color w:val="FF0000"/>
                <w:sz w:val="12"/>
                <w:szCs w:val="12"/>
              </w:rPr>
            </w:pPr>
            <w:r w:rsidRPr="00197854">
              <w:rPr>
                <w:color w:val="FF0000"/>
                <w:sz w:val="12"/>
                <w:szCs w:val="12"/>
              </w:rPr>
              <w:t> </w:t>
            </w:r>
          </w:p>
        </w:tc>
        <w:tc>
          <w:tcPr>
            <w:tcW w:w="84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color w:val="FF0000"/>
                <w:sz w:val="12"/>
                <w:szCs w:val="12"/>
              </w:rPr>
            </w:pPr>
            <w:r w:rsidRPr="00197854">
              <w:rPr>
                <w:color w:val="FF0000"/>
                <w:sz w:val="12"/>
                <w:szCs w:val="12"/>
              </w:rPr>
              <w:t> </w:t>
            </w:r>
          </w:p>
        </w:tc>
        <w:tc>
          <w:tcPr>
            <w:tcW w:w="100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color w:val="FF0000"/>
                <w:sz w:val="12"/>
                <w:szCs w:val="12"/>
              </w:rPr>
            </w:pPr>
            <w:r w:rsidRPr="00197854">
              <w:rPr>
                <w:color w:val="FF0000"/>
                <w:sz w:val="12"/>
                <w:szCs w:val="12"/>
              </w:rPr>
              <w:t>[C ÷ 3 years]</w:t>
            </w:r>
          </w:p>
        </w:tc>
        <w:tc>
          <w:tcPr>
            <w:tcW w:w="90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color w:val="FF0000"/>
                <w:sz w:val="12"/>
                <w:szCs w:val="12"/>
              </w:rPr>
            </w:pPr>
            <w:r w:rsidRPr="00197854">
              <w:rPr>
                <w:color w:val="FF0000"/>
                <w:sz w:val="12"/>
                <w:szCs w:val="12"/>
              </w:rPr>
              <w:t> </w:t>
            </w:r>
          </w:p>
        </w:tc>
        <w:tc>
          <w:tcPr>
            <w:tcW w:w="92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color w:val="FF0000"/>
                <w:sz w:val="12"/>
                <w:szCs w:val="12"/>
              </w:rPr>
            </w:pPr>
            <w:r w:rsidRPr="00197854">
              <w:rPr>
                <w:color w:val="FF0000"/>
                <w:sz w:val="12"/>
                <w:szCs w:val="12"/>
              </w:rPr>
              <w:t>[ D + E]</w:t>
            </w:r>
          </w:p>
        </w:tc>
        <w:tc>
          <w:tcPr>
            <w:tcW w:w="94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color w:val="FF0000"/>
                <w:sz w:val="12"/>
                <w:szCs w:val="12"/>
              </w:rPr>
            </w:pPr>
            <w:r w:rsidRPr="00197854">
              <w:rPr>
                <w:color w:val="FF0000"/>
                <w:sz w:val="12"/>
                <w:szCs w:val="12"/>
              </w:rPr>
              <w:t>[F * B]</w:t>
            </w:r>
          </w:p>
        </w:tc>
        <w:tc>
          <w:tcPr>
            <w:tcW w:w="1060" w:type="dxa"/>
            <w:tcBorders>
              <w:top w:val="nil"/>
              <w:left w:val="nil"/>
              <w:bottom w:val="single" w:sz="4" w:space="0" w:color="auto"/>
              <w:right w:val="single" w:sz="4" w:space="0" w:color="auto"/>
            </w:tcBorders>
            <w:shd w:val="clear" w:color="000000" w:fill="D9D9D9"/>
            <w:vAlign w:val="center"/>
            <w:hideMark/>
          </w:tcPr>
          <w:p w:rsidR="00197854" w:rsidRPr="00197854" w:rsidRDefault="00197854" w:rsidP="00197854">
            <w:pPr>
              <w:jc w:val="center"/>
              <w:rPr>
                <w:color w:val="FF0000"/>
                <w:sz w:val="12"/>
                <w:szCs w:val="12"/>
              </w:rPr>
            </w:pPr>
            <w:r w:rsidRPr="00197854">
              <w:rPr>
                <w:color w:val="FF0000"/>
                <w:sz w:val="12"/>
                <w:szCs w:val="12"/>
              </w:rPr>
              <w:t xml:space="preserve">[G * A]  </w:t>
            </w:r>
          </w:p>
        </w:tc>
        <w:tc>
          <w:tcPr>
            <w:tcW w:w="760" w:type="dxa"/>
            <w:tcBorders>
              <w:top w:val="nil"/>
              <w:left w:val="nil"/>
              <w:bottom w:val="single" w:sz="4" w:space="0" w:color="auto"/>
              <w:right w:val="single" w:sz="8" w:space="0" w:color="auto"/>
            </w:tcBorders>
            <w:shd w:val="clear" w:color="000000" w:fill="D9D9D9"/>
            <w:vAlign w:val="center"/>
            <w:hideMark/>
          </w:tcPr>
          <w:p w:rsidR="00197854" w:rsidRPr="00197854" w:rsidRDefault="00197854" w:rsidP="00197854">
            <w:pPr>
              <w:jc w:val="center"/>
              <w:rPr>
                <w:color w:val="FF0000"/>
                <w:sz w:val="12"/>
                <w:szCs w:val="12"/>
              </w:rPr>
            </w:pPr>
            <w:r w:rsidRPr="00197854">
              <w:rPr>
                <w:color w:val="FF0000"/>
                <w:sz w:val="12"/>
                <w:szCs w:val="12"/>
              </w:rPr>
              <w:t>[A * 0 %]</w:t>
            </w:r>
          </w:p>
        </w:tc>
      </w:tr>
      <w:tr w:rsidR="00197854" w:rsidRPr="00197854" w:rsidTr="00197854">
        <w:trPr>
          <w:trHeight w:val="990"/>
          <w:jc w:val="center"/>
        </w:trPr>
        <w:tc>
          <w:tcPr>
            <w:tcW w:w="1380" w:type="dxa"/>
            <w:tcBorders>
              <w:top w:val="nil"/>
              <w:left w:val="single" w:sz="8" w:space="0" w:color="auto"/>
              <w:bottom w:val="single" w:sz="4" w:space="0" w:color="auto"/>
              <w:right w:val="single" w:sz="4" w:space="0" w:color="auto"/>
            </w:tcBorders>
            <w:shd w:val="clear" w:color="auto" w:fill="auto"/>
            <w:vAlign w:val="center"/>
            <w:hideMark/>
          </w:tcPr>
          <w:p w:rsidR="00197854" w:rsidRPr="00197854" w:rsidRDefault="00197854" w:rsidP="00197854">
            <w:pPr>
              <w:jc w:val="center"/>
              <w:rPr>
                <w:color w:val="000000"/>
                <w:sz w:val="12"/>
                <w:szCs w:val="12"/>
              </w:rPr>
            </w:pPr>
            <w:r w:rsidRPr="00197854">
              <w:rPr>
                <w:color w:val="000000"/>
                <w:sz w:val="12"/>
                <w:szCs w:val="12"/>
              </w:rPr>
              <w:t>Stand-alone SBSDs and stand-alone MSBSPs: Paragraphs (a)(1) through (a)(10), (a)(12), (a)(15), and (a)(17)</w:t>
            </w:r>
          </w:p>
        </w:tc>
        <w:tc>
          <w:tcPr>
            <w:tcW w:w="96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center"/>
              <w:rPr>
                <w:color w:val="000000"/>
                <w:sz w:val="12"/>
                <w:szCs w:val="12"/>
              </w:rPr>
            </w:pPr>
            <w:r w:rsidRPr="00197854">
              <w:rPr>
                <w:color w:val="000000"/>
                <w:sz w:val="12"/>
                <w:szCs w:val="12"/>
              </w:rPr>
              <w:t>Recordkeeping</w:t>
            </w:r>
          </w:p>
        </w:tc>
        <w:tc>
          <w:tcPr>
            <w:tcW w:w="76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center"/>
              <w:rPr>
                <w:color w:val="000000"/>
                <w:sz w:val="12"/>
                <w:szCs w:val="12"/>
              </w:rPr>
            </w:pPr>
            <w:r w:rsidRPr="00197854">
              <w:rPr>
                <w:color w:val="000000"/>
                <w:sz w:val="12"/>
                <w:szCs w:val="12"/>
              </w:rPr>
              <w:t>13</w:t>
            </w:r>
          </w:p>
        </w:tc>
        <w:tc>
          <w:tcPr>
            <w:tcW w:w="82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center"/>
              <w:rPr>
                <w:color w:val="000000"/>
                <w:sz w:val="12"/>
                <w:szCs w:val="12"/>
              </w:rPr>
            </w:pPr>
            <w:r w:rsidRPr="00197854">
              <w:rPr>
                <w:color w:val="000000"/>
                <w:sz w:val="12"/>
                <w:szCs w:val="12"/>
              </w:rPr>
              <w:t>1</w:t>
            </w:r>
          </w:p>
        </w:tc>
        <w:tc>
          <w:tcPr>
            <w:tcW w:w="84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$1,000.00</w:t>
            </w:r>
          </w:p>
        </w:tc>
        <w:tc>
          <w:tcPr>
            <w:tcW w:w="100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$333.33</w:t>
            </w:r>
          </w:p>
        </w:tc>
        <w:tc>
          <w:tcPr>
            <w:tcW w:w="90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$4,650.00</w:t>
            </w:r>
          </w:p>
        </w:tc>
        <w:tc>
          <w:tcPr>
            <w:tcW w:w="92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$4,983.33</w:t>
            </w:r>
          </w:p>
        </w:tc>
        <w:tc>
          <w:tcPr>
            <w:tcW w:w="94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$4,983.33</w:t>
            </w:r>
          </w:p>
        </w:tc>
        <w:tc>
          <w:tcPr>
            <w:tcW w:w="1060" w:type="dxa"/>
            <w:tcBorders>
              <w:top w:val="nil"/>
              <w:left w:val="nil"/>
              <w:bottom w:val="single" w:sz="4" w:space="0" w:color="auto"/>
              <w:right w:val="single" w:sz="4" w:space="0" w:color="auto"/>
            </w:tcBorders>
            <w:shd w:val="clear" w:color="auto" w:fill="auto"/>
            <w:vAlign w:val="center"/>
            <w:hideMark/>
          </w:tcPr>
          <w:p w:rsidR="00197854" w:rsidRPr="00197854" w:rsidRDefault="00197854" w:rsidP="00197854">
            <w:pPr>
              <w:jc w:val="right"/>
              <w:rPr>
                <w:color w:val="000000"/>
                <w:sz w:val="12"/>
                <w:szCs w:val="12"/>
              </w:rPr>
            </w:pPr>
            <w:r w:rsidRPr="00197854">
              <w:rPr>
                <w:color w:val="000000"/>
                <w:sz w:val="12"/>
                <w:szCs w:val="12"/>
              </w:rPr>
              <w:t>$64,783.33</w:t>
            </w:r>
          </w:p>
        </w:tc>
        <w:tc>
          <w:tcPr>
            <w:tcW w:w="760" w:type="dxa"/>
            <w:tcBorders>
              <w:top w:val="nil"/>
              <w:left w:val="nil"/>
              <w:bottom w:val="single" w:sz="4" w:space="0" w:color="auto"/>
              <w:right w:val="single" w:sz="8" w:space="0" w:color="auto"/>
            </w:tcBorders>
            <w:shd w:val="clear" w:color="auto" w:fill="auto"/>
            <w:noWrap/>
            <w:vAlign w:val="center"/>
            <w:hideMark/>
          </w:tcPr>
          <w:p w:rsidR="00197854" w:rsidRPr="00197854" w:rsidRDefault="00197854" w:rsidP="006E0B00">
            <w:pPr>
              <w:jc w:val="center"/>
              <w:rPr>
                <w:color w:val="000000"/>
                <w:sz w:val="12"/>
                <w:szCs w:val="12"/>
              </w:rPr>
            </w:pPr>
            <w:r w:rsidRPr="00197854">
              <w:rPr>
                <w:color w:val="000000"/>
                <w:sz w:val="12"/>
                <w:szCs w:val="12"/>
              </w:rPr>
              <w:t>0</w:t>
            </w:r>
          </w:p>
        </w:tc>
        <w:bookmarkStart w:id="1" w:name="_GoBack"/>
        <w:bookmarkEnd w:id="1"/>
      </w:tr>
      <w:tr w:rsidR="00197854" w:rsidRPr="00197854" w:rsidTr="00197854">
        <w:trPr>
          <w:trHeight w:val="315"/>
          <w:jc w:val="center"/>
        </w:trPr>
        <w:tc>
          <w:tcPr>
            <w:tcW w:w="8520" w:type="dxa"/>
            <w:gridSpan w:val="9"/>
            <w:tcBorders>
              <w:top w:val="single" w:sz="4" w:space="0" w:color="auto"/>
              <w:left w:val="single" w:sz="8" w:space="0" w:color="auto"/>
              <w:bottom w:val="single" w:sz="8" w:space="0" w:color="auto"/>
              <w:right w:val="single" w:sz="4" w:space="0" w:color="auto"/>
            </w:tcBorders>
            <w:shd w:val="clear" w:color="auto" w:fill="auto"/>
            <w:vAlign w:val="center"/>
            <w:hideMark/>
          </w:tcPr>
          <w:p w:rsidR="00197854" w:rsidRPr="00197854" w:rsidRDefault="00197854" w:rsidP="00197854">
            <w:pPr>
              <w:jc w:val="right"/>
              <w:rPr>
                <w:b/>
                <w:bCs/>
                <w:color w:val="000000"/>
                <w:sz w:val="12"/>
                <w:szCs w:val="12"/>
              </w:rPr>
            </w:pPr>
            <w:r w:rsidRPr="00197854">
              <w:rPr>
                <w:b/>
                <w:bCs/>
                <w:color w:val="000000"/>
                <w:sz w:val="12"/>
                <w:szCs w:val="12"/>
              </w:rPr>
              <w:t xml:space="preserve">TOTAL HOURLY COST FOR ALL RESPONDENTS </w:t>
            </w:r>
          </w:p>
        </w:tc>
        <w:tc>
          <w:tcPr>
            <w:tcW w:w="1060" w:type="dxa"/>
            <w:tcBorders>
              <w:top w:val="nil"/>
              <w:left w:val="nil"/>
              <w:bottom w:val="single" w:sz="8" w:space="0" w:color="auto"/>
              <w:right w:val="single" w:sz="4" w:space="0" w:color="auto"/>
            </w:tcBorders>
            <w:shd w:val="clear" w:color="auto" w:fill="auto"/>
            <w:vAlign w:val="center"/>
            <w:hideMark/>
          </w:tcPr>
          <w:p w:rsidR="00197854" w:rsidRPr="00197854" w:rsidRDefault="00197854" w:rsidP="00197854">
            <w:pPr>
              <w:jc w:val="right"/>
              <w:rPr>
                <w:b/>
                <w:bCs/>
                <w:color w:val="000000"/>
                <w:sz w:val="12"/>
                <w:szCs w:val="12"/>
              </w:rPr>
            </w:pPr>
            <w:r w:rsidRPr="00197854">
              <w:rPr>
                <w:b/>
                <w:bCs/>
                <w:color w:val="000000"/>
                <w:sz w:val="12"/>
                <w:szCs w:val="12"/>
              </w:rPr>
              <w:t>$64,783.33</w:t>
            </w:r>
          </w:p>
        </w:tc>
        <w:tc>
          <w:tcPr>
            <w:tcW w:w="760" w:type="dxa"/>
            <w:tcBorders>
              <w:top w:val="nil"/>
              <w:left w:val="nil"/>
              <w:bottom w:val="single" w:sz="8" w:space="0" w:color="auto"/>
              <w:right w:val="single" w:sz="8" w:space="0" w:color="auto"/>
            </w:tcBorders>
            <w:shd w:val="clear" w:color="auto" w:fill="auto"/>
            <w:vAlign w:val="center"/>
            <w:hideMark/>
          </w:tcPr>
          <w:p w:rsidR="00197854" w:rsidRPr="00197854" w:rsidRDefault="00197854" w:rsidP="00197854">
            <w:pPr>
              <w:jc w:val="right"/>
              <w:rPr>
                <w:b/>
                <w:bCs/>
                <w:color w:val="000000"/>
                <w:sz w:val="12"/>
                <w:szCs w:val="12"/>
              </w:rPr>
            </w:pPr>
            <w:r w:rsidRPr="00197854">
              <w:rPr>
                <w:b/>
                <w:bCs/>
                <w:color w:val="000000"/>
                <w:sz w:val="12"/>
                <w:szCs w:val="12"/>
              </w:rPr>
              <w:t> </w:t>
            </w:r>
          </w:p>
        </w:tc>
      </w:tr>
    </w:tbl>
    <w:p w:rsidR="005B4B79" w:rsidRPr="00E83DE6" w:rsidRDefault="005B4B79" w:rsidP="00BC24E7">
      <w:pPr>
        <w:ind w:firstLine="720"/>
      </w:pPr>
    </w:p>
    <w:p w:rsidR="00B00911" w:rsidRPr="00205696" w:rsidRDefault="00B00911" w:rsidP="00B00911">
      <w:pPr>
        <w:keepNext/>
        <w:spacing w:after="240"/>
        <w:ind w:firstLine="720"/>
        <w:rPr>
          <w:b/>
        </w:rPr>
      </w:pPr>
      <w:r w:rsidRPr="00205696">
        <w:rPr>
          <w:b/>
        </w:rPr>
        <w:t>14.</w:t>
      </w:r>
      <w:r w:rsidRPr="00205696">
        <w:rPr>
          <w:b/>
        </w:rPr>
        <w:tab/>
        <w:t>Cost to Federal Government</w:t>
      </w:r>
    </w:p>
    <w:p w:rsidR="00B00911" w:rsidRPr="00205696" w:rsidRDefault="00760D5D" w:rsidP="00B00911">
      <w:pPr>
        <w:pStyle w:val="BodyText"/>
        <w:spacing w:after="240"/>
        <w:ind w:firstLine="720"/>
        <w:rPr>
          <w:rFonts w:ascii="Times New Roman" w:hAnsi="Times New Roman"/>
          <w:szCs w:val="24"/>
        </w:rPr>
      </w:pPr>
      <w:r w:rsidRPr="00205696">
        <w:rPr>
          <w:rFonts w:ascii="Times New Roman" w:hAnsi="Times New Roman"/>
          <w:szCs w:val="24"/>
        </w:rPr>
        <w:t>The federal government does not incur a cost for this collection of information since it relates to a recordkeeping burden for the respondents</w:t>
      </w:r>
      <w:r w:rsidR="00B00911" w:rsidRPr="00205696">
        <w:rPr>
          <w:rFonts w:ascii="Times New Roman" w:hAnsi="Times New Roman"/>
          <w:szCs w:val="24"/>
        </w:rPr>
        <w:t xml:space="preserve">. </w:t>
      </w:r>
    </w:p>
    <w:p w:rsidR="00B00911" w:rsidRPr="00205696" w:rsidRDefault="00B00911" w:rsidP="00B00911">
      <w:pPr>
        <w:keepNext/>
        <w:spacing w:after="240"/>
        <w:ind w:firstLine="720"/>
        <w:rPr>
          <w:b/>
        </w:rPr>
      </w:pPr>
      <w:r w:rsidRPr="00205696">
        <w:rPr>
          <w:b/>
        </w:rPr>
        <w:t>15.</w:t>
      </w:r>
      <w:r w:rsidRPr="00205696">
        <w:rPr>
          <w:b/>
        </w:rPr>
        <w:tab/>
        <w:t>Changes in Burden</w:t>
      </w:r>
    </w:p>
    <w:p w:rsidR="00FD78F3" w:rsidRPr="00205696" w:rsidRDefault="007B6D37" w:rsidP="00FD78F3">
      <w:pPr>
        <w:spacing w:after="240"/>
        <w:ind w:firstLine="720"/>
      </w:pPr>
      <w:r>
        <w:t>This</w:t>
      </w:r>
      <w:r w:rsidRPr="004F6D9C">
        <w:t xml:space="preserve"> burden </w:t>
      </w:r>
      <w:r>
        <w:t xml:space="preserve">estimate assumes that </w:t>
      </w:r>
      <w:r>
        <w:rPr>
          <w:bCs/>
        </w:rPr>
        <w:t>stand-alone SBSDs, stand-alone MSBSPs, bank SBSDs, and bank MSBSPs</w:t>
      </w:r>
      <w:r w:rsidRPr="004F6D9C">
        <w:t xml:space="preserve"> keep no records</w:t>
      </w:r>
      <w:r>
        <w:rPr>
          <w:bCs/>
        </w:rPr>
        <w:t>, because the Commission currently does not subject t</w:t>
      </w:r>
      <w:r w:rsidR="00561489">
        <w:rPr>
          <w:bCs/>
        </w:rPr>
        <w:t>hese entities</w:t>
      </w:r>
      <w:r>
        <w:rPr>
          <w:bCs/>
        </w:rPr>
        <w:t xml:space="preserve"> to recordkeeping requirements.  </w:t>
      </w:r>
      <w:r w:rsidR="00561489">
        <w:rPr>
          <w:bCs/>
        </w:rPr>
        <w:t xml:space="preserve">Thus, the estimated change in burden represents the entire estimated industrywide burden.  </w:t>
      </w:r>
      <w:r w:rsidR="00C73050">
        <w:rPr>
          <w:bCs/>
        </w:rPr>
        <w:t>More specifically, industry-wide, the estimated increased i</w:t>
      </w:r>
      <w:r w:rsidR="00197854">
        <w:rPr>
          <w:bCs/>
        </w:rPr>
        <w:t>nitial hourly</w:t>
      </w:r>
      <w:r w:rsidR="00C73050">
        <w:rPr>
          <w:bCs/>
        </w:rPr>
        <w:t xml:space="preserve"> burden is</w:t>
      </w:r>
      <w:r w:rsidR="005470C1">
        <w:rPr>
          <w:bCs/>
        </w:rPr>
        <w:t xml:space="preserve"> </w:t>
      </w:r>
      <w:r w:rsidR="00A74A1D">
        <w:rPr>
          <w:bCs/>
        </w:rPr>
        <w:t xml:space="preserve">10,540 hours and </w:t>
      </w:r>
      <w:r w:rsidR="00C73050">
        <w:rPr>
          <w:bCs/>
        </w:rPr>
        <w:t>the estimated increased</w:t>
      </w:r>
      <w:r w:rsidR="00561489">
        <w:rPr>
          <w:bCs/>
        </w:rPr>
        <w:t xml:space="preserve"> </w:t>
      </w:r>
      <w:r w:rsidR="00A74A1D">
        <w:rPr>
          <w:bCs/>
        </w:rPr>
        <w:t xml:space="preserve">ongoing </w:t>
      </w:r>
      <w:proofErr w:type="gramStart"/>
      <w:r w:rsidR="00A74A1D">
        <w:rPr>
          <w:bCs/>
        </w:rPr>
        <w:t>hours</w:t>
      </w:r>
      <w:proofErr w:type="gramEnd"/>
      <w:r w:rsidR="00A74A1D">
        <w:rPr>
          <w:bCs/>
        </w:rPr>
        <w:t xml:space="preserve"> </w:t>
      </w:r>
      <w:r w:rsidR="00561489">
        <w:rPr>
          <w:bCs/>
        </w:rPr>
        <w:t xml:space="preserve">burden </w:t>
      </w:r>
      <w:r w:rsidR="00C73050">
        <w:rPr>
          <w:bCs/>
        </w:rPr>
        <w:t>is</w:t>
      </w:r>
      <w:r w:rsidR="00A74A1D">
        <w:rPr>
          <w:bCs/>
        </w:rPr>
        <w:t xml:space="preserve"> 13,175 hours</w:t>
      </w:r>
      <w:r w:rsidR="00561489">
        <w:rPr>
          <w:bCs/>
        </w:rPr>
        <w:t xml:space="preserve"> per year</w:t>
      </w:r>
      <w:r w:rsidR="00A74A1D">
        <w:rPr>
          <w:bCs/>
        </w:rPr>
        <w:t xml:space="preserve">.  </w:t>
      </w:r>
      <w:r w:rsidR="00A74A1D">
        <w:t xml:space="preserve">For </w:t>
      </w:r>
      <w:r w:rsidR="005470C1">
        <w:t xml:space="preserve">the </w:t>
      </w:r>
      <w:r w:rsidR="00A74A1D">
        <w:t>stand-alone SBSDs and stand-alone MSBSPs</w:t>
      </w:r>
      <w:r w:rsidR="005470C1">
        <w:t xml:space="preserve"> industry</w:t>
      </w:r>
      <w:r w:rsidR="00A74A1D">
        <w:t xml:space="preserve">, the </w:t>
      </w:r>
      <w:r w:rsidR="00561489">
        <w:t xml:space="preserve">estimated </w:t>
      </w:r>
      <w:r w:rsidR="00A74A1D">
        <w:t xml:space="preserve">increased </w:t>
      </w:r>
      <w:r w:rsidR="00C73050">
        <w:t xml:space="preserve">initial </w:t>
      </w:r>
      <w:r w:rsidR="00A74A1D">
        <w:rPr>
          <w:bCs/>
        </w:rPr>
        <w:t xml:space="preserve">cost burden </w:t>
      </w:r>
      <w:r w:rsidR="00561489">
        <w:rPr>
          <w:bCs/>
        </w:rPr>
        <w:t>is</w:t>
      </w:r>
      <w:r w:rsidR="00A74A1D">
        <w:rPr>
          <w:bCs/>
        </w:rPr>
        <w:t xml:space="preserve"> </w:t>
      </w:r>
      <w:r w:rsidR="00983A64">
        <w:rPr>
          <w:bCs/>
        </w:rPr>
        <w:t xml:space="preserve">$13,000 and </w:t>
      </w:r>
      <w:r w:rsidR="00C73050">
        <w:rPr>
          <w:bCs/>
        </w:rPr>
        <w:t xml:space="preserve">estimated increased </w:t>
      </w:r>
      <w:r w:rsidR="00A74A1D">
        <w:rPr>
          <w:bCs/>
        </w:rPr>
        <w:t>ongoing cost</w:t>
      </w:r>
      <w:r w:rsidR="00665E42">
        <w:rPr>
          <w:bCs/>
        </w:rPr>
        <w:t xml:space="preserve"> burden </w:t>
      </w:r>
      <w:r w:rsidR="00C73050">
        <w:rPr>
          <w:bCs/>
        </w:rPr>
        <w:t>is</w:t>
      </w:r>
      <w:r w:rsidR="00A74A1D">
        <w:rPr>
          <w:bCs/>
        </w:rPr>
        <w:t xml:space="preserve"> </w:t>
      </w:r>
      <w:r w:rsidR="00A74A1D">
        <w:t xml:space="preserve">$60,450 per year.  </w:t>
      </w:r>
      <w:r w:rsidR="00C73050">
        <w:t>T</w:t>
      </w:r>
      <w:r w:rsidR="00A74A1D">
        <w:t>here is no expected increase in cost burden</w:t>
      </w:r>
      <w:r w:rsidR="00C73050">
        <w:t xml:space="preserve"> for bank SBSDs and bank MSBSPs, because they are expected to already own or have established the requisite recordkeeping system software</w:t>
      </w:r>
      <w:r w:rsidR="00A74A1D">
        <w:t>.</w:t>
      </w:r>
    </w:p>
    <w:p w:rsidR="00B00911" w:rsidRPr="00205696" w:rsidRDefault="00B00911" w:rsidP="00B00911">
      <w:pPr>
        <w:keepNext/>
        <w:spacing w:after="240"/>
        <w:ind w:firstLine="720"/>
        <w:rPr>
          <w:b/>
        </w:rPr>
      </w:pPr>
      <w:r w:rsidRPr="00205696">
        <w:rPr>
          <w:b/>
        </w:rPr>
        <w:lastRenderedPageBreak/>
        <w:t>16.</w:t>
      </w:r>
      <w:r w:rsidRPr="00205696">
        <w:rPr>
          <w:b/>
        </w:rPr>
        <w:tab/>
        <w:t>Information Collection Planned for Statistical Purposes</w:t>
      </w:r>
    </w:p>
    <w:p w:rsidR="00B00911" w:rsidRPr="00205696" w:rsidRDefault="00760D5D" w:rsidP="00B00911">
      <w:pPr>
        <w:pStyle w:val="BodyText"/>
        <w:spacing w:after="240"/>
        <w:ind w:firstLine="720"/>
        <w:rPr>
          <w:rFonts w:ascii="Times New Roman" w:hAnsi="Times New Roman"/>
          <w:szCs w:val="24"/>
        </w:rPr>
      </w:pPr>
      <w:r w:rsidRPr="00205696">
        <w:rPr>
          <w:rFonts w:ascii="Times New Roman" w:hAnsi="Times New Roman"/>
          <w:szCs w:val="24"/>
        </w:rPr>
        <w:t>Not applicable.  The information collection is not used for statistical purposes.</w:t>
      </w:r>
    </w:p>
    <w:p w:rsidR="00B00911" w:rsidRPr="00205696" w:rsidRDefault="00B00911" w:rsidP="00B00911">
      <w:pPr>
        <w:keepNext/>
        <w:spacing w:after="240"/>
        <w:ind w:firstLine="720"/>
        <w:rPr>
          <w:b/>
        </w:rPr>
      </w:pPr>
      <w:r w:rsidRPr="00205696">
        <w:rPr>
          <w:b/>
        </w:rPr>
        <w:t>17.</w:t>
      </w:r>
      <w:r w:rsidRPr="00205696">
        <w:rPr>
          <w:b/>
        </w:rPr>
        <w:tab/>
      </w:r>
      <w:r w:rsidR="009F1025" w:rsidRPr="00205696">
        <w:rPr>
          <w:b/>
        </w:rPr>
        <w:t>OMB Expiration Date Display Approval</w:t>
      </w:r>
    </w:p>
    <w:p w:rsidR="00B00911" w:rsidRPr="00205696" w:rsidRDefault="00B00911" w:rsidP="00B00911">
      <w:pPr>
        <w:spacing w:after="240"/>
        <w:ind w:firstLine="720"/>
      </w:pPr>
      <w:r w:rsidRPr="00205696">
        <w:t>The Commission is not seeking approval to not display the OMB approval</w:t>
      </w:r>
      <w:r w:rsidR="00760D5D" w:rsidRPr="00205696">
        <w:t xml:space="preserve"> expiration date</w:t>
      </w:r>
      <w:r w:rsidRPr="00205696">
        <w:t>.</w:t>
      </w:r>
    </w:p>
    <w:p w:rsidR="00B00911" w:rsidRPr="00205696" w:rsidRDefault="00B00911" w:rsidP="00B00911">
      <w:pPr>
        <w:keepNext/>
        <w:spacing w:after="240"/>
        <w:ind w:firstLine="720"/>
        <w:rPr>
          <w:b/>
        </w:rPr>
      </w:pPr>
      <w:r w:rsidRPr="00205696">
        <w:rPr>
          <w:b/>
        </w:rPr>
        <w:t>18.</w:t>
      </w:r>
      <w:r w:rsidRPr="00205696">
        <w:rPr>
          <w:b/>
        </w:rPr>
        <w:tab/>
        <w:t>Exceptions to Certification</w:t>
      </w:r>
      <w:r w:rsidR="006C62DB" w:rsidRPr="00205696">
        <w:rPr>
          <w:b/>
        </w:rPr>
        <w:t xml:space="preserve"> for Paperwork Reduction Act Submissions</w:t>
      </w:r>
    </w:p>
    <w:p w:rsidR="00B00911" w:rsidRPr="00205696" w:rsidRDefault="006C62DB" w:rsidP="00B00911">
      <w:pPr>
        <w:spacing w:after="240"/>
        <w:ind w:firstLine="720"/>
      </w:pPr>
      <w:r w:rsidRPr="00205696">
        <w:t>This collection complies with the requirements in 5 CFR 1320.9</w:t>
      </w:r>
      <w:r w:rsidR="00B00911" w:rsidRPr="00205696">
        <w:t>.</w:t>
      </w:r>
    </w:p>
    <w:p w:rsidR="00B00911" w:rsidRPr="00205696" w:rsidRDefault="00B00911" w:rsidP="00B00911">
      <w:pPr>
        <w:keepNext/>
        <w:spacing w:after="240"/>
        <w:rPr>
          <w:b/>
          <w:caps/>
        </w:rPr>
      </w:pPr>
      <w:r w:rsidRPr="00205696">
        <w:rPr>
          <w:b/>
          <w:caps/>
        </w:rPr>
        <w:t>B.</w:t>
      </w:r>
      <w:r w:rsidRPr="00205696">
        <w:rPr>
          <w:b/>
          <w:caps/>
        </w:rPr>
        <w:tab/>
        <w:t>Collections of Information Employing Statistical Methods</w:t>
      </w:r>
    </w:p>
    <w:p w:rsidR="00110B14" w:rsidRPr="00205696" w:rsidRDefault="00D65A93" w:rsidP="00423BDC">
      <w:pPr>
        <w:pStyle w:val="BodyTextIndent3"/>
        <w:spacing w:after="240"/>
        <w:rPr>
          <w:rFonts w:ascii="Times New Roman" w:hAnsi="Times New Roman"/>
        </w:rPr>
      </w:pPr>
      <w:r w:rsidRPr="00205696">
        <w:rPr>
          <w:rFonts w:ascii="Times New Roman" w:hAnsi="Times New Roman"/>
        </w:rPr>
        <w:t>This collection does not involve statistical methods</w:t>
      </w:r>
      <w:r w:rsidR="00B00911" w:rsidRPr="00205696">
        <w:rPr>
          <w:rFonts w:ascii="Times New Roman" w:hAnsi="Times New Roman"/>
        </w:rPr>
        <w:t>.</w:t>
      </w:r>
    </w:p>
    <w:sectPr w:rsidR="00110B14" w:rsidRPr="00205696">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243" w:rsidRDefault="00CA7243" w:rsidP="00110B14">
      <w:r>
        <w:separator/>
      </w:r>
    </w:p>
  </w:endnote>
  <w:endnote w:type="continuationSeparator" w:id="0">
    <w:p w:rsidR="00CA7243" w:rsidRDefault="00CA7243" w:rsidP="00110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20206030504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243" w:rsidRDefault="00CA72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7243" w:rsidRDefault="00CA72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880745"/>
      <w:docPartObj>
        <w:docPartGallery w:val="Page Numbers (Bottom of Page)"/>
        <w:docPartUnique/>
      </w:docPartObj>
    </w:sdtPr>
    <w:sdtEndPr>
      <w:rPr>
        <w:noProof/>
      </w:rPr>
    </w:sdtEndPr>
    <w:sdtContent>
      <w:p w:rsidR="00CA7243" w:rsidRDefault="00CA7243">
        <w:pPr>
          <w:pStyle w:val="Footer"/>
          <w:jc w:val="center"/>
        </w:pPr>
        <w:r>
          <w:fldChar w:fldCharType="begin"/>
        </w:r>
        <w:r>
          <w:instrText xml:space="preserve"> PAGE   \* MERGEFORMAT </w:instrText>
        </w:r>
        <w:r>
          <w:fldChar w:fldCharType="separate"/>
        </w:r>
        <w:r w:rsidR="006E0B00">
          <w:rPr>
            <w:noProof/>
          </w:rPr>
          <w:t>7</w:t>
        </w:r>
        <w:r>
          <w:rPr>
            <w:noProof/>
          </w:rPr>
          <w:fldChar w:fldCharType="end"/>
        </w:r>
      </w:p>
    </w:sdtContent>
  </w:sdt>
  <w:p w:rsidR="00CA7243" w:rsidRDefault="00CA724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243" w:rsidRDefault="00CA7243" w:rsidP="00110B14">
      <w:r>
        <w:separator/>
      </w:r>
    </w:p>
  </w:footnote>
  <w:footnote w:type="continuationSeparator" w:id="0">
    <w:p w:rsidR="00CA7243" w:rsidRDefault="00CA7243" w:rsidP="00110B14">
      <w:r>
        <w:continuationSeparator/>
      </w:r>
    </w:p>
  </w:footnote>
  <w:footnote w:id="1">
    <w:p w:rsidR="00CA36FD" w:rsidRPr="00CA36FD" w:rsidRDefault="00CA36FD" w:rsidP="008107D7">
      <w:pPr>
        <w:pStyle w:val="FootnoteText"/>
        <w:spacing w:after="120"/>
        <w:ind w:left="720" w:hanging="720"/>
      </w:pPr>
      <w:r>
        <w:rPr>
          <w:rStyle w:val="FootnoteReference"/>
        </w:rPr>
        <w:footnoteRef/>
      </w:r>
      <w:r>
        <w:t xml:space="preserve"> </w:t>
      </w:r>
      <w:r>
        <w:tab/>
      </w:r>
      <w:proofErr w:type="gramStart"/>
      <w:r>
        <w:rPr>
          <w:i/>
        </w:rPr>
        <w:t>See Dodd-Frank Wall Street Reform and Consumer Protection Act of 2010</w:t>
      </w:r>
      <w:r>
        <w:t>, Public Law 111-203, 124 Stat. 1376 (2010).</w:t>
      </w:r>
      <w:proofErr w:type="gramEnd"/>
    </w:p>
  </w:footnote>
  <w:footnote w:id="2">
    <w:p w:rsidR="00CA36FD" w:rsidRPr="00CA36FD" w:rsidRDefault="00CA36FD" w:rsidP="008107D7">
      <w:pPr>
        <w:pStyle w:val="FootnoteText"/>
        <w:spacing w:after="120"/>
      </w:pPr>
      <w:r>
        <w:rPr>
          <w:rStyle w:val="FootnoteReference"/>
        </w:rPr>
        <w:footnoteRef/>
      </w:r>
      <w:r>
        <w:t xml:space="preserve"> </w:t>
      </w:r>
      <w:r>
        <w:tab/>
      </w:r>
      <w:r>
        <w:rPr>
          <w:i/>
        </w:rPr>
        <w:t xml:space="preserve">See </w:t>
      </w:r>
      <w:r>
        <w:t>15 U.S.C. 78o-10(f</w:t>
      </w:r>
      <w:proofErr w:type="gramStart"/>
      <w:r>
        <w:t>)(</w:t>
      </w:r>
      <w:proofErr w:type="gramEnd"/>
      <w:r>
        <w:t>2).</w:t>
      </w:r>
    </w:p>
  </w:footnote>
  <w:footnote w:id="3">
    <w:p w:rsidR="00E67024" w:rsidRPr="00AC5F5C" w:rsidRDefault="00E67024" w:rsidP="008107D7">
      <w:pPr>
        <w:pStyle w:val="FootnoteText"/>
        <w:spacing w:after="120"/>
        <w:ind w:left="720" w:hanging="720"/>
      </w:pPr>
      <w:r w:rsidRPr="00AC5F5C">
        <w:rPr>
          <w:rStyle w:val="FootnoteReference"/>
        </w:rPr>
        <w:footnoteRef/>
      </w:r>
      <w:r w:rsidRPr="00AC5F5C">
        <w:t xml:space="preserve"> </w:t>
      </w:r>
      <w:r w:rsidRPr="00AC5F5C">
        <w:tab/>
      </w:r>
      <w:r w:rsidRPr="00AC5F5C">
        <w:rPr>
          <w:i/>
        </w:rPr>
        <w:t>See Recordkeeping and Reporting Requirements for Security-Based Swap Dealers, Major Security-Based Swap Participants, and Broker-Dealers; Capital Rule for Certain Security-Based Swap Dealers; Proposed Rules</w:t>
      </w:r>
      <w:r w:rsidRPr="00AC5F5C">
        <w:t xml:space="preserve">, Exchange Act Release No. 71958 (Apr. 17, 2014), 79 FR </w:t>
      </w:r>
      <w:r w:rsidR="008410EA">
        <w:t>25193</w:t>
      </w:r>
      <w:r w:rsidRPr="00AC5F5C">
        <w:t xml:space="preserve"> (May 2, 2014).  </w:t>
      </w:r>
    </w:p>
  </w:footnote>
  <w:footnote w:id="4">
    <w:p w:rsidR="00CA7243" w:rsidRPr="00AC5F5C" w:rsidRDefault="00CA7243" w:rsidP="008107D7">
      <w:pPr>
        <w:pStyle w:val="FootnoteText"/>
        <w:spacing w:after="120"/>
        <w:ind w:left="720" w:hanging="720"/>
      </w:pPr>
      <w:r w:rsidRPr="00AC5F5C">
        <w:rPr>
          <w:rStyle w:val="FootnoteReference"/>
        </w:rPr>
        <w:footnoteRef/>
      </w:r>
      <w:r w:rsidRPr="00AC5F5C">
        <w:t xml:space="preserve"> </w:t>
      </w:r>
      <w:r w:rsidRPr="00AC5F5C">
        <w:tab/>
      </w:r>
      <w:r w:rsidRPr="00AC5F5C">
        <w:rPr>
          <w:i/>
        </w:rPr>
        <w:t>See Recordkeeping and Reporting Requirements for Security-Based Swap Dealers, Major Security-Based Swap Participants, and Broker-Dealers; Capital Rule for Certain Security-Based Swap Dealers; Proposed Rules</w:t>
      </w:r>
      <w:r w:rsidRPr="00AC5F5C">
        <w:t>,</w:t>
      </w:r>
      <w:r w:rsidRPr="00AC5F5C">
        <w:rPr>
          <w:i/>
        </w:rPr>
        <w:t xml:space="preserve"> </w:t>
      </w:r>
      <w:r w:rsidRPr="00AC5F5C">
        <w:t xml:space="preserve">Exchange Act Release No. 71958 (Apr. 17, 2014), 79 FR </w:t>
      </w:r>
      <w:r w:rsidR="008410EA">
        <w:t>25193</w:t>
      </w:r>
      <w:r w:rsidRPr="00AC5F5C">
        <w:t xml:space="preserve"> (May 2, 2014).</w:t>
      </w:r>
    </w:p>
  </w:footnote>
  <w:footnote w:id="5">
    <w:p w:rsidR="00CA7243" w:rsidRPr="00DF06DC" w:rsidRDefault="00CA7243" w:rsidP="008107D7">
      <w:pPr>
        <w:pStyle w:val="FootnoteText"/>
        <w:spacing w:after="120"/>
      </w:pPr>
      <w:r w:rsidRPr="00AC5F5C">
        <w:rPr>
          <w:rStyle w:val="FootnoteReference"/>
        </w:rPr>
        <w:footnoteRef/>
      </w:r>
      <w:r w:rsidRPr="00AC5F5C">
        <w:t xml:space="preserve"> </w:t>
      </w:r>
      <w:r w:rsidRPr="00AC5F5C">
        <w:tab/>
      </w:r>
      <w:r w:rsidRPr="00DF06DC">
        <w:rPr>
          <w:i/>
        </w:rPr>
        <w:t xml:space="preserve">See </w:t>
      </w:r>
      <w:r w:rsidRPr="00DF06DC">
        <w:t>17 CFR 240.1</w:t>
      </w:r>
      <w:r w:rsidR="0017535D">
        <w:t>8</w:t>
      </w:r>
      <w:r w:rsidRPr="00DF06DC">
        <w:t>a-</w:t>
      </w:r>
      <w:r w:rsidR="00C872B4">
        <w:t>6</w:t>
      </w:r>
      <w:r w:rsidRPr="00DF06DC">
        <w:t>(</w:t>
      </w:r>
      <w:r w:rsidR="0017535D">
        <w:t>e</w:t>
      </w:r>
      <w:proofErr w:type="gramStart"/>
      <w:r w:rsidRPr="00DF06DC">
        <w:t>)(</w:t>
      </w:r>
      <w:proofErr w:type="gramEnd"/>
      <w:r w:rsidRPr="00DF06DC">
        <w:t>2)(ii)(A).</w:t>
      </w:r>
    </w:p>
  </w:footnote>
  <w:footnote w:id="6">
    <w:p w:rsidR="008410EA" w:rsidRPr="00530F16" w:rsidRDefault="008410EA" w:rsidP="008410EA">
      <w:pPr>
        <w:pStyle w:val="FootnoteText"/>
        <w:tabs>
          <w:tab w:val="left" w:pos="360"/>
        </w:tabs>
        <w:spacing w:after="120"/>
        <w:ind w:left="720" w:hanging="720"/>
      </w:pPr>
      <w:r w:rsidRPr="00530F16">
        <w:rPr>
          <w:rStyle w:val="FootnoteReference"/>
        </w:rPr>
        <w:footnoteRef/>
      </w:r>
      <w:r w:rsidRPr="00530F16">
        <w:t xml:space="preserve"> </w:t>
      </w:r>
      <w:r w:rsidRPr="00530F16">
        <w:tab/>
      </w:r>
      <w:r w:rsidRPr="00530F16">
        <w:tab/>
        <w:t>The term “Personally Identifiable Information”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w:t>
      </w:r>
    </w:p>
  </w:footnote>
  <w:footnote w:id="7">
    <w:p w:rsidR="00724973" w:rsidRPr="0017535D" w:rsidRDefault="00724973" w:rsidP="008107D7">
      <w:pPr>
        <w:pStyle w:val="FootnoteText"/>
        <w:spacing w:after="120"/>
        <w:ind w:left="720" w:hanging="720"/>
      </w:pPr>
      <w:r w:rsidRPr="00AC5F5C">
        <w:rPr>
          <w:rStyle w:val="FootnoteReference"/>
        </w:rPr>
        <w:footnoteRef/>
      </w:r>
      <w:r w:rsidRPr="00AC5F5C">
        <w:t xml:space="preserve"> </w:t>
      </w:r>
      <w:r w:rsidRPr="00AC5F5C">
        <w:tab/>
      </w:r>
      <w:r w:rsidRPr="00AC5F5C">
        <w:rPr>
          <w:i/>
        </w:rPr>
        <w:t xml:space="preserve">See </w:t>
      </w:r>
      <w:r w:rsidRPr="00E35B74">
        <w:rPr>
          <w:i/>
        </w:rPr>
        <w:t>Recordkeeping and Reporting Requirements for Security-Based Swap Dealers, Major Security-Based Swap Participants, and Broker-Dealers; Capital Rule for Certain Security-Based Swap Dealers; Proposed Rules</w:t>
      </w:r>
      <w:r w:rsidRPr="0017535D">
        <w:t xml:space="preserve">, Exchange Act Release No. 71958 (Apr. 17, 2014), 79 FR </w:t>
      </w:r>
      <w:r w:rsidR="008410EA">
        <w:t>25193</w:t>
      </w:r>
      <w:r w:rsidRPr="0017535D">
        <w:t xml:space="preserve"> (May 2, 2014).</w:t>
      </w:r>
    </w:p>
  </w:footnote>
  <w:footnote w:id="8">
    <w:p w:rsidR="000962AA" w:rsidRPr="004F6D9C" w:rsidRDefault="000962AA" w:rsidP="008107D7">
      <w:pPr>
        <w:pStyle w:val="FootnoteText"/>
        <w:spacing w:after="120"/>
        <w:ind w:left="720" w:hanging="720"/>
      </w:pPr>
      <w:r w:rsidRPr="004F6D9C">
        <w:rPr>
          <w:rStyle w:val="FootnoteReference"/>
        </w:rPr>
        <w:footnoteRef/>
      </w:r>
      <w:r w:rsidRPr="004F6D9C">
        <w:t xml:space="preserve"> </w:t>
      </w:r>
      <w:r w:rsidRPr="004F6D9C">
        <w:tab/>
      </w:r>
      <w:r w:rsidRPr="005470C1">
        <w:rPr>
          <w:i/>
        </w:rPr>
        <w:t>See</w:t>
      </w:r>
      <w:r w:rsidRPr="004F6D9C">
        <w:t xml:space="preserve"> proposed Rule 18a-5 (paragraph (a)(1) (trade blotters); paragraph (a)(2) (general ledgers); paragraph (a)(3) (ledgers of customer and non-customer accounts); paragraph (a)(4) (stock record); paragraph (a)(5) (memoranda of proprietary orders); paragraph (a)(6) (confirmations); paragraph (a)(7) (accountholder information); paragraph (a)(8) (options positions); paragraph (a)(9) (trial balances and computation of net capital); paragraph (a)(10) (associated person’s application); paragraph (a)(12) (proposed Rule 18a-3 calculations); paragraph (a)(15) (unverified transactions); paragraph (a)(17) (compliance with external business conduct standards)).</w:t>
      </w:r>
    </w:p>
  </w:footnote>
  <w:footnote w:id="9">
    <w:p w:rsidR="000962AA" w:rsidRPr="004F6D9C" w:rsidRDefault="000962AA" w:rsidP="008107D7">
      <w:pPr>
        <w:pStyle w:val="FootnoteText"/>
        <w:spacing w:after="120"/>
        <w:ind w:left="720" w:hanging="720"/>
      </w:pPr>
      <w:r w:rsidRPr="004F6D9C">
        <w:rPr>
          <w:rStyle w:val="FootnoteReference"/>
        </w:rPr>
        <w:footnoteRef/>
      </w:r>
      <w:r w:rsidRPr="004F6D9C">
        <w:t xml:space="preserve"> </w:t>
      </w:r>
      <w:r w:rsidRPr="004F6D9C">
        <w:tab/>
      </w:r>
      <w:r>
        <w:t>E</w:t>
      </w:r>
      <w:r w:rsidRPr="004F6D9C">
        <w:t xml:space="preserve">ntities that would register </w:t>
      </w:r>
      <w:r>
        <w:t xml:space="preserve">as </w:t>
      </w:r>
      <w:r w:rsidRPr="004F6D9C">
        <w:t xml:space="preserve">stand-alone SBSDs and stand-alone MSBSPs likely make and keep some records today as a matter of routine business practice, but </w:t>
      </w:r>
      <w:r>
        <w:t>which</w:t>
      </w:r>
      <w:r w:rsidRPr="004F6D9C">
        <w:t xml:space="preserve"> records</w:t>
      </w:r>
      <w:r>
        <w:t xml:space="preserve"> such entities make is not available to the Commission</w:t>
      </w:r>
      <w:r w:rsidRPr="004F6D9C">
        <w:t xml:space="preserve">.  Therefore, the PRA burden </w:t>
      </w:r>
      <w:r>
        <w:t xml:space="preserve">estimate </w:t>
      </w:r>
      <w:r w:rsidRPr="004F6D9C">
        <w:t xml:space="preserve">for these entities </w:t>
      </w:r>
      <w:r>
        <w:t xml:space="preserve">is </w:t>
      </w:r>
      <w:r w:rsidRPr="004F6D9C">
        <w:t>based on the assumption that they currently keep no records.</w:t>
      </w:r>
    </w:p>
  </w:footnote>
  <w:footnote w:id="10">
    <w:p w:rsidR="000962AA" w:rsidRPr="004F6D9C" w:rsidRDefault="000962AA" w:rsidP="008107D7">
      <w:pPr>
        <w:pStyle w:val="FootnoteText"/>
        <w:spacing w:after="120"/>
        <w:ind w:left="720" w:hanging="720"/>
      </w:pPr>
      <w:r w:rsidRPr="004F6D9C">
        <w:rPr>
          <w:rStyle w:val="FootnoteReference"/>
        </w:rPr>
        <w:footnoteRef/>
      </w:r>
      <w:r w:rsidRPr="004F6D9C">
        <w:t xml:space="preserve"> </w:t>
      </w:r>
      <w:r w:rsidRPr="004F6D9C">
        <w:tab/>
        <w:t>260 hours x 13 stand-alone SBSDs and stand-alone MSBSPs = 3,380 hours</w:t>
      </w:r>
      <w:r>
        <w:t>.</w:t>
      </w:r>
    </w:p>
  </w:footnote>
  <w:footnote w:id="11">
    <w:p w:rsidR="000962AA" w:rsidRPr="004F6D9C" w:rsidRDefault="000962AA" w:rsidP="008107D7">
      <w:pPr>
        <w:pStyle w:val="FootnoteText"/>
        <w:spacing w:after="120"/>
        <w:ind w:left="720" w:hanging="720"/>
      </w:pPr>
      <w:r w:rsidRPr="004F6D9C">
        <w:rPr>
          <w:rStyle w:val="FootnoteReference"/>
        </w:rPr>
        <w:footnoteRef/>
      </w:r>
      <w:r w:rsidRPr="004F6D9C">
        <w:t xml:space="preserve"> </w:t>
      </w:r>
      <w:r w:rsidRPr="004F6D9C">
        <w:tab/>
        <w:t>325 hours/year x 13 stand-alone SBSDs and stand-a</w:t>
      </w:r>
      <w:r>
        <w:t>lone MSBSPs = 4,225 hours/year.</w:t>
      </w:r>
    </w:p>
  </w:footnote>
  <w:footnote w:id="12">
    <w:p w:rsidR="00CA7243" w:rsidRPr="0017535D" w:rsidRDefault="00CA7243" w:rsidP="008107D7">
      <w:pPr>
        <w:pStyle w:val="FootnoteText"/>
        <w:spacing w:after="120"/>
        <w:ind w:left="720" w:hanging="720"/>
      </w:pPr>
      <w:r w:rsidRPr="00AC5F5C">
        <w:rPr>
          <w:rStyle w:val="FootnoteReference"/>
        </w:rPr>
        <w:footnoteRef/>
      </w:r>
      <w:r w:rsidRPr="00AC5F5C">
        <w:t xml:space="preserve"> </w:t>
      </w:r>
      <w:r w:rsidRPr="00AC5F5C">
        <w:tab/>
        <w:t>(3,380</w:t>
      </w:r>
      <w:r w:rsidRPr="00E35B74">
        <w:t xml:space="preserve"> hours in first year + 4,225 hours in first year) + 4,225 hours in second year + 4,225 hours in third year = 16,055 hours</w:t>
      </w:r>
      <w:r w:rsidRPr="0017535D">
        <w:t>.</w:t>
      </w:r>
    </w:p>
  </w:footnote>
  <w:footnote w:id="13">
    <w:p w:rsidR="00CA7243" w:rsidRPr="00E35B74" w:rsidRDefault="00CA7243" w:rsidP="008107D7">
      <w:pPr>
        <w:pStyle w:val="FootnoteText"/>
        <w:spacing w:after="120"/>
      </w:pPr>
      <w:r w:rsidRPr="00AC5F5C">
        <w:rPr>
          <w:rStyle w:val="FootnoteReference"/>
        </w:rPr>
        <w:footnoteRef/>
      </w:r>
      <w:r w:rsidRPr="00AC5F5C">
        <w:t xml:space="preserve"> </w:t>
      </w:r>
      <w:r w:rsidRPr="00AC5F5C">
        <w:tab/>
      </w:r>
      <w:proofErr w:type="gramStart"/>
      <w:r w:rsidRPr="00AC5F5C">
        <w:t>16,055</w:t>
      </w:r>
      <w:r w:rsidRPr="00E35B74">
        <w:t xml:space="preserve"> hours / 3 years = 5,351.67 hours per year.</w:t>
      </w:r>
      <w:proofErr w:type="gramEnd"/>
    </w:p>
  </w:footnote>
  <w:footnote w:id="14">
    <w:p w:rsidR="008F55DD" w:rsidRPr="004F6D9C" w:rsidRDefault="008F55DD" w:rsidP="008107D7">
      <w:pPr>
        <w:pStyle w:val="FootnoteText"/>
        <w:spacing w:after="120"/>
        <w:ind w:left="720" w:hanging="720"/>
      </w:pPr>
      <w:r w:rsidRPr="004F6D9C">
        <w:rPr>
          <w:rStyle w:val="FootnoteReference"/>
        </w:rPr>
        <w:footnoteRef/>
      </w:r>
      <w:r w:rsidRPr="004F6D9C">
        <w:t xml:space="preserve"> </w:t>
      </w:r>
      <w:r w:rsidRPr="004F6D9C">
        <w:tab/>
      </w:r>
      <w:r w:rsidRPr="005470C1">
        <w:rPr>
          <w:i/>
        </w:rPr>
        <w:t>See</w:t>
      </w:r>
      <w:r w:rsidRPr="004F6D9C">
        <w:t xml:space="preserve"> proposed Rule 18a-5 (paragraph (a</w:t>
      </w:r>
      <w:proofErr w:type="gramStart"/>
      <w:r w:rsidRPr="004F6D9C">
        <w:t>)(</w:t>
      </w:r>
      <w:proofErr w:type="gramEnd"/>
      <w:r w:rsidRPr="004F6D9C">
        <w:t xml:space="preserve">13) (compliance with proposed Rule 18a-4 possession </w:t>
      </w:r>
      <w:r>
        <w:t>or</w:t>
      </w:r>
      <w:r w:rsidRPr="004F6D9C">
        <w:t xml:space="preserve"> control requirements); paragraph (a)(14) (proposed Rule 18a-4 reserve account computations); and paragraph (a)(16) (political contributions)).</w:t>
      </w:r>
    </w:p>
  </w:footnote>
  <w:footnote w:id="15">
    <w:p w:rsidR="008F55DD" w:rsidRPr="004F6D9C" w:rsidRDefault="008F55DD" w:rsidP="008107D7">
      <w:pPr>
        <w:pStyle w:val="FootnoteText"/>
        <w:spacing w:after="120"/>
        <w:ind w:left="720" w:hanging="720"/>
      </w:pPr>
      <w:r w:rsidRPr="004F6D9C">
        <w:rPr>
          <w:rStyle w:val="FootnoteReference"/>
        </w:rPr>
        <w:footnoteRef/>
      </w:r>
      <w:r w:rsidRPr="004F6D9C">
        <w:t xml:space="preserve"> </w:t>
      </w:r>
      <w:r w:rsidRPr="004F6D9C">
        <w:tab/>
        <w:t>60 hours x 9 stand-alone SBSDs = 54</w:t>
      </w:r>
      <w:r>
        <w:t xml:space="preserve">0 hours. </w:t>
      </w:r>
    </w:p>
  </w:footnote>
  <w:footnote w:id="16">
    <w:p w:rsidR="008F55DD" w:rsidRPr="004F6D9C" w:rsidRDefault="008F55DD" w:rsidP="008107D7">
      <w:pPr>
        <w:pStyle w:val="FootnoteText"/>
        <w:spacing w:after="120"/>
        <w:ind w:left="720" w:hanging="720"/>
      </w:pPr>
      <w:r w:rsidRPr="004F6D9C">
        <w:rPr>
          <w:rStyle w:val="FootnoteReference"/>
        </w:rPr>
        <w:footnoteRef/>
      </w:r>
      <w:r w:rsidRPr="004F6D9C">
        <w:t xml:space="preserve"> </w:t>
      </w:r>
      <w:r w:rsidRPr="004F6D9C">
        <w:tab/>
        <w:t>75 hours/year x 9 stand</w:t>
      </w:r>
      <w:r>
        <w:t xml:space="preserve">-alone SBSDs = 675 hours/year. </w:t>
      </w:r>
    </w:p>
  </w:footnote>
  <w:footnote w:id="17">
    <w:p w:rsidR="00CA7243" w:rsidRPr="0017535D" w:rsidRDefault="00CA7243" w:rsidP="008107D7">
      <w:pPr>
        <w:pStyle w:val="FootnoteText"/>
        <w:spacing w:after="120"/>
        <w:ind w:left="720" w:hanging="720"/>
      </w:pPr>
      <w:r w:rsidRPr="00AC5F5C">
        <w:rPr>
          <w:rStyle w:val="FootnoteReference"/>
        </w:rPr>
        <w:footnoteRef/>
      </w:r>
      <w:r w:rsidRPr="00AC5F5C">
        <w:t xml:space="preserve"> </w:t>
      </w:r>
      <w:r w:rsidRPr="00AC5F5C">
        <w:tab/>
        <w:t>(540</w:t>
      </w:r>
      <w:r w:rsidRPr="00E35B74">
        <w:t xml:space="preserve"> hours in first year + 675 hours in first year) + 675 hours in second year + 675 hours in third year = </w:t>
      </w:r>
      <w:r w:rsidRPr="0017535D">
        <w:t>2,565 hours.</w:t>
      </w:r>
    </w:p>
  </w:footnote>
  <w:footnote w:id="18">
    <w:p w:rsidR="00CA7243" w:rsidRPr="00E35B74" w:rsidRDefault="00CA7243" w:rsidP="008107D7">
      <w:pPr>
        <w:pStyle w:val="FootnoteText"/>
        <w:spacing w:after="120"/>
      </w:pPr>
      <w:r w:rsidRPr="00AC5F5C">
        <w:rPr>
          <w:rStyle w:val="FootnoteReference"/>
        </w:rPr>
        <w:footnoteRef/>
      </w:r>
      <w:r w:rsidRPr="00AC5F5C">
        <w:t xml:space="preserve"> </w:t>
      </w:r>
      <w:r w:rsidRPr="00AC5F5C">
        <w:tab/>
      </w:r>
      <w:proofErr w:type="gramStart"/>
      <w:r w:rsidRPr="00AC5F5C">
        <w:t>2,565</w:t>
      </w:r>
      <w:r w:rsidRPr="00E35B74">
        <w:t xml:space="preserve"> hours / 3 years = 855 hours per year.</w:t>
      </w:r>
      <w:proofErr w:type="gramEnd"/>
    </w:p>
  </w:footnote>
  <w:footnote w:id="19">
    <w:p w:rsidR="00CA7243" w:rsidRPr="00E35B74" w:rsidRDefault="00CA7243" w:rsidP="008107D7">
      <w:pPr>
        <w:pStyle w:val="FootnoteText"/>
        <w:spacing w:after="120"/>
      </w:pPr>
      <w:r w:rsidRPr="00AC5F5C">
        <w:rPr>
          <w:rStyle w:val="FootnoteReference"/>
        </w:rPr>
        <w:footnoteRef/>
      </w:r>
      <w:r w:rsidRPr="00AC5F5C">
        <w:t xml:space="preserve"> </w:t>
      </w:r>
      <w:r w:rsidRPr="00AC5F5C">
        <w:tab/>
      </w:r>
      <w:r w:rsidRPr="00AC5F5C">
        <w:rPr>
          <w:i/>
        </w:rPr>
        <w:t>See</w:t>
      </w:r>
      <w:r w:rsidRPr="00E35B74">
        <w:t xml:space="preserve"> paragraph (a</w:t>
      </w:r>
      <w:proofErr w:type="gramStart"/>
      <w:r w:rsidRPr="00E35B74">
        <w:t>)(</w:t>
      </w:r>
      <w:proofErr w:type="gramEnd"/>
      <w:r w:rsidRPr="00E35B74">
        <w:t xml:space="preserve">11) (liquidity stress test) of </w:t>
      </w:r>
      <w:r w:rsidR="005470C1">
        <w:t xml:space="preserve">proposed </w:t>
      </w:r>
      <w:r w:rsidRPr="00E35B74">
        <w:t>Rule 18a-5.</w:t>
      </w:r>
    </w:p>
  </w:footnote>
  <w:footnote w:id="20">
    <w:p w:rsidR="008F55DD" w:rsidRPr="00E35B74" w:rsidRDefault="008F55DD" w:rsidP="008107D7">
      <w:pPr>
        <w:pStyle w:val="FootnoteText"/>
        <w:spacing w:after="120"/>
        <w:rPr>
          <w:b/>
        </w:rPr>
      </w:pPr>
      <w:r w:rsidRPr="00AC5F5C">
        <w:rPr>
          <w:rStyle w:val="FootnoteReference"/>
        </w:rPr>
        <w:footnoteRef/>
      </w:r>
      <w:r w:rsidRPr="00AC5F5C">
        <w:t xml:space="preserve"> </w:t>
      </w:r>
      <w:r w:rsidRPr="00AC5F5C">
        <w:tab/>
        <w:t>20 hours x 6</w:t>
      </w:r>
      <w:r w:rsidRPr="00E35B74">
        <w:t xml:space="preserve"> ANC stand-alone SBSDs = 120 hours. </w:t>
      </w:r>
    </w:p>
  </w:footnote>
  <w:footnote w:id="21">
    <w:p w:rsidR="00CA7243" w:rsidRPr="00E35B74" w:rsidRDefault="00CA7243" w:rsidP="008107D7">
      <w:pPr>
        <w:pStyle w:val="FootnoteText"/>
        <w:spacing w:after="120"/>
        <w:rPr>
          <w:b/>
        </w:rPr>
      </w:pPr>
      <w:r w:rsidRPr="00AC5F5C">
        <w:rPr>
          <w:rStyle w:val="FootnoteReference"/>
        </w:rPr>
        <w:footnoteRef/>
      </w:r>
      <w:r w:rsidRPr="00AC5F5C">
        <w:t xml:space="preserve"> </w:t>
      </w:r>
      <w:r w:rsidRPr="00AC5F5C">
        <w:tab/>
        <w:t>25 hours x 6</w:t>
      </w:r>
      <w:r w:rsidRPr="00E35B74">
        <w:t xml:space="preserve"> ANC broker-dealers = 150 hours.</w:t>
      </w:r>
    </w:p>
  </w:footnote>
  <w:footnote w:id="22">
    <w:p w:rsidR="00CA7243" w:rsidRPr="0017535D" w:rsidRDefault="00CA7243" w:rsidP="008107D7">
      <w:pPr>
        <w:pStyle w:val="FootnoteText"/>
        <w:spacing w:after="120"/>
        <w:ind w:left="720" w:hanging="720"/>
      </w:pPr>
      <w:r w:rsidRPr="00AC5F5C">
        <w:rPr>
          <w:rStyle w:val="FootnoteReference"/>
        </w:rPr>
        <w:footnoteRef/>
      </w:r>
      <w:r w:rsidRPr="00AC5F5C">
        <w:t xml:space="preserve"> </w:t>
      </w:r>
      <w:r w:rsidRPr="00AC5F5C">
        <w:tab/>
        <w:t xml:space="preserve">(120 hours in first year + 150 hours in first year) + 150 hours </w:t>
      </w:r>
      <w:r w:rsidRPr="00E35B74">
        <w:t>in second year + 150 hours in third year = 570 hours.</w:t>
      </w:r>
    </w:p>
  </w:footnote>
  <w:footnote w:id="23">
    <w:p w:rsidR="00CA7243" w:rsidRPr="00AC5F5C" w:rsidRDefault="00CA7243" w:rsidP="008107D7">
      <w:pPr>
        <w:pStyle w:val="FootnoteText"/>
        <w:spacing w:after="120"/>
      </w:pPr>
      <w:r w:rsidRPr="00AC5F5C">
        <w:rPr>
          <w:rStyle w:val="FootnoteReference"/>
        </w:rPr>
        <w:footnoteRef/>
      </w:r>
      <w:r w:rsidRPr="00AC5F5C">
        <w:t xml:space="preserve"> </w:t>
      </w:r>
      <w:r w:rsidRPr="00AC5F5C">
        <w:tab/>
      </w:r>
      <w:proofErr w:type="gramStart"/>
      <w:r w:rsidRPr="00AC5F5C">
        <w:t>570 hours / 3 years = 190 hours per year.</w:t>
      </w:r>
      <w:proofErr w:type="gramEnd"/>
    </w:p>
  </w:footnote>
  <w:footnote w:id="24">
    <w:p w:rsidR="008F55DD" w:rsidRPr="004F6D9C" w:rsidRDefault="008F55DD" w:rsidP="008107D7">
      <w:pPr>
        <w:pStyle w:val="FootnoteText"/>
        <w:spacing w:after="120"/>
        <w:ind w:left="720" w:hanging="720"/>
      </w:pPr>
      <w:r w:rsidRPr="004F6D9C">
        <w:rPr>
          <w:rStyle w:val="FootnoteReference"/>
        </w:rPr>
        <w:footnoteRef/>
      </w:r>
      <w:r w:rsidRPr="004F6D9C">
        <w:t xml:space="preserve"> </w:t>
      </w:r>
      <w:r w:rsidRPr="004F6D9C">
        <w:tab/>
      </w:r>
      <w:r w:rsidRPr="005470C1">
        <w:rPr>
          <w:i/>
        </w:rPr>
        <w:t>See</w:t>
      </w:r>
      <w:r w:rsidRPr="004F6D9C">
        <w:t xml:space="preserve"> proposed Rule 18a-5 (paragraph (b)(1) (trade blotters); paragraph (b)(2) (general ledgers); paragraph (b)(3) (stock record); paragraph (b)(4) (memoranda of brokerage orders); paragraph (b)(5) (memoranda of proprietary orders); paragraph (b)(6) (confirmations); paragraph (b)(7) accountholder information); paragraph (b)(8) (associated person’s application); paragraph (b)(11) (unverified transactions); and paragraph (b)(13) (compliance with external business conduct requirements)).</w:t>
      </w:r>
    </w:p>
  </w:footnote>
  <w:footnote w:id="25">
    <w:p w:rsidR="00CA7243" w:rsidRPr="00AC5F5C" w:rsidRDefault="00CA7243" w:rsidP="008107D7">
      <w:pPr>
        <w:pStyle w:val="FootnoteText"/>
        <w:spacing w:after="120"/>
      </w:pPr>
      <w:r w:rsidRPr="00AC5F5C">
        <w:rPr>
          <w:rStyle w:val="FootnoteReference"/>
        </w:rPr>
        <w:footnoteRef/>
      </w:r>
      <w:r w:rsidRPr="00AC5F5C">
        <w:t xml:space="preserve"> </w:t>
      </w:r>
      <w:r w:rsidRPr="00AC5F5C">
        <w:tab/>
        <w:t>200 hours x 25 bank SBSDs and bank MSBSPs = 5,000 hours</w:t>
      </w:r>
      <w:r w:rsidR="00AC5F5C">
        <w:t>.</w:t>
      </w:r>
    </w:p>
  </w:footnote>
  <w:footnote w:id="26">
    <w:p w:rsidR="00CA7243" w:rsidRPr="00AC5F5C" w:rsidRDefault="00CA7243" w:rsidP="008107D7">
      <w:pPr>
        <w:pStyle w:val="FootnoteText"/>
        <w:spacing w:after="120"/>
      </w:pPr>
      <w:r w:rsidRPr="00AC5F5C">
        <w:rPr>
          <w:rStyle w:val="FootnoteReference"/>
        </w:rPr>
        <w:footnoteRef/>
      </w:r>
      <w:r w:rsidRPr="00AC5F5C">
        <w:t xml:space="preserve"> </w:t>
      </w:r>
      <w:r w:rsidRPr="00AC5F5C">
        <w:tab/>
        <w:t>250 hours x 25 bank SBSDs and bank MSBSPs = 6,250 hours</w:t>
      </w:r>
      <w:r w:rsidR="00AC5F5C">
        <w:t>.</w:t>
      </w:r>
    </w:p>
  </w:footnote>
  <w:footnote w:id="27">
    <w:p w:rsidR="00CA7243" w:rsidRPr="00AC5F5C" w:rsidRDefault="00CA7243" w:rsidP="008107D7">
      <w:pPr>
        <w:pStyle w:val="FootnoteText"/>
        <w:spacing w:after="120"/>
        <w:ind w:left="720" w:hanging="720"/>
      </w:pPr>
      <w:r w:rsidRPr="00AC5F5C">
        <w:rPr>
          <w:rStyle w:val="FootnoteReference"/>
        </w:rPr>
        <w:footnoteRef/>
      </w:r>
      <w:r w:rsidRPr="00AC5F5C">
        <w:t xml:space="preserve"> </w:t>
      </w:r>
      <w:r w:rsidRPr="00AC5F5C">
        <w:tab/>
        <w:t>(5,000 hours in first year + 6,250 hours in first year) + 6,250 hours in second year + 6,250 hours in third year = 23,750 hours</w:t>
      </w:r>
      <w:r w:rsidR="00AC5F5C">
        <w:t>.</w:t>
      </w:r>
    </w:p>
  </w:footnote>
  <w:footnote w:id="28">
    <w:p w:rsidR="00CA7243" w:rsidRPr="00AC5F5C" w:rsidRDefault="00CA7243" w:rsidP="008107D7">
      <w:pPr>
        <w:pStyle w:val="FootnoteText"/>
        <w:spacing w:after="120"/>
        <w:ind w:left="720" w:hanging="720"/>
      </w:pPr>
      <w:r w:rsidRPr="00AC5F5C">
        <w:rPr>
          <w:rStyle w:val="FootnoteReference"/>
        </w:rPr>
        <w:footnoteRef/>
      </w:r>
      <w:r w:rsidRPr="00AC5F5C">
        <w:t xml:space="preserve"> </w:t>
      </w:r>
      <w:r w:rsidRPr="00AC5F5C">
        <w:tab/>
      </w:r>
      <w:proofErr w:type="gramStart"/>
      <w:r w:rsidRPr="00AC5F5C">
        <w:t>23,750 hours / 3 years = 7,916.67 hours per year</w:t>
      </w:r>
      <w:r w:rsidR="00AC5F5C">
        <w:t>.</w:t>
      </w:r>
      <w:proofErr w:type="gramEnd"/>
    </w:p>
  </w:footnote>
  <w:footnote w:id="29">
    <w:p w:rsidR="00CA7243" w:rsidRPr="00AC5F5C" w:rsidRDefault="00CA7243" w:rsidP="008107D7">
      <w:pPr>
        <w:pStyle w:val="FootnoteText"/>
        <w:spacing w:after="120"/>
        <w:ind w:left="720" w:hanging="720"/>
      </w:pPr>
      <w:r w:rsidRPr="00AC5F5C">
        <w:rPr>
          <w:rStyle w:val="FootnoteReference"/>
        </w:rPr>
        <w:footnoteRef/>
      </w:r>
      <w:r w:rsidRPr="00AC5F5C">
        <w:t xml:space="preserve"> </w:t>
      </w:r>
      <w:r w:rsidR="00F874E2" w:rsidRPr="00AC5F5C">
        <w:tab/>
      </w:r>
      <w:r w:rsidR="00F874E2" w:rsidRPr="00AC5F5C">
        <w:rPr>
          <w:i/>
        </w:rPr>
        <w:t>See</w:t>
      </w:r>
      <w:r w:rsidR="00F874E2" w:rsidRPr="00AC5F5C">
        <w:t xml:space="preserve"> </w:t>
      </w:r>
      <w:r w:rsidR="005470C1">
        <w:t>proposed Rule 18a-5 (</w:t>
      </w:r>
      <w:r w:rsidR="00F874E2" w:rsidRPr="00AC5F5C">
        <w:t>paragraph (b</w:t>
      </w:r>
      <w:proofErr w:type="gramStart"/>
      <w:r w:rsidR="00F874E2" w:rsidRPr="00AC5F5C">
        <w:t>)(</w:t>
      </w:r>
      <w:proofErr w:type="gramEnd"/>
      <w:r w:rsidR="00F874E2" w:rsidRPr="00AC5F5C">
        <w:t>9) (possession or control requirem</w:t>
      </w:r>
      <w:r w:rsidR="005470C1">
        <w:t>ents under proposed Rule 18a</w:t>
      </w:r>
      <w:r w:rsidR="005470C1">
        <w:noBreakHyphen/>
        <w:t>4);</w:t>
      </w:r>
      <w:r w:rsidR="00F874E2" w:rsidRPr="00AC5F5C">
        <w:t xml:space="preserve"> </w:t>
      </w:r>
      <w:r w:rsidR="005470C1" w:rsidRPr="00AC5F5C">
        <w:t xml:space="preserve">paragraph </w:t>
      </w:r>
      <w:r w:rsidR="00F874E2" w:rsidRPr="00AC5F5C">
        <w:t>(b</w:t>
      </w:r>
      <w:r w:rsidR="00F874E2" w:rsidRPr="00E35B74">
        <w:t xml:space="preserve">)(10) (customer reserve </w:t>
      </w:r>
      <w:r w:rsidR="00F874E2" w:rsidRPr="0017535D">
        <w:t>requirements under proposed Rule 18a-4)</w:t>
      </w:r>
      <w:r w:rsidR="005470C1">
        <w:t>; and</w:t>
      </w:r>
      <w:r w:rsidR="00F874E2" w:rsidRPr="0017535D">
        <w:t xml:space="preserve"> </w:t>
      </w:r>
      <w:r w:rsidR="005470C1" w:rsidRPr="00AC5F5C">
        <w:t xml:space="preserve">paragraph </w:t>
      </w:r>
      <w:r w:rsidR="00F874E2" w:rsidRPr="0017535D">
        <w:t>(b)(12) (political contributions)</w:t>
      </w:r>
      <w:r w:rsidR="005470C1">
        <w:t>)</w:t>
      </w:r>
      <w:r w:rsidR="00F874E2" w:rsidRPr="00C00279">
        <w:t>.</w:t>
      </w:r>
    </w:p>
  </w:footnote>
  <w:footnote w:id="30">
    <w:p w:rsidR="00CA7243" w:rsidRPr="00AC5F5C" w:rsidRDefault="00CA7243" w:rsidP="008107D7">
      <w:pPr>
        <w:pStyle w:val="FootnoteText"/>
        <w:spacing w:after="120"/>
      </w:pPr>
      <w:r w:rsidRPr="00AC5F5C">
        <w:rPr>
          <w:rStyle w:val="FootnoteReference"/>
        </w:rPr>
        <w:footnoteRef/>
      </w:r>
      <w:r w:rsidRPr="00AC5F5C">
        <w:t xml:space="preserve"> </w:t>
      </w:r>
      <w:r w:rsidRPr="00AC5F5C">
        <w:tab/>
        <w:t>60 hours x 25 bank SBSDs = 1,500 hours</w:t>
      </w:r>
      <w:r w:rsidR="00AC5F5C">
        <w:t>.</w:t>
      </w:r>
    </w:p>
  </w:footnote>
  <w:footnote w:id="31">
    <w:p w:rsidR="00CA7243" w:rsidRPr="00AC5F5C" w:rsidRDefault="00CA7243" w:rsidP="008107D7">
      <w:pPr>
        <w:pStyle w:val="FootnoteText"/>
        <w:spacing w:after="120"/>
      </w:pPr>
      <w:r w:rsidRPr="00AC5F5C">
        <w:rPr>
          <w:rStyle w:val="FootnoteReference"/>
        </w:rPr>
        <w:footnoteRef/>
      </w:r>
      <w:r w:rsidRPr="00AC5F5C">
        <w:t xml:space="preserve"> </w:t>
      </w:r>
      <w:r w:rsidRPr="00AC5F5C">
        <w:tab/>
        <w:t>75 hours x 25 bank SBSDs = 1,875 hours</w:t>
      </w:r>
      <w:r w:rsidR="00AC5F5C">
        <w:t>.</w:t>
      </w:r>
    </w:p>
  </w:footnote>
  <w:footnote w:id="32">
    <w:p w:rsidR="00CA7243" w:rsidRPr="00AC5F5C" w:rsidRDefault="00CA7243" w:rsidP="008107D7">
      <w:pPr>
        <w:pStyle w:val="FootnoteText"/>
        <w:spacing w:after="120"/>
        <w:ind w:left="720" w:hanging="720"/>
      </w:pPr>
      <w:r w:rsidRPr="00AC5F5C">
        <w:rPr>
          <w:rStyle w:val="FootnoteReference"/>
        </w:rPr>
        <w:footnoteRef/>
      </w:r>
      <w:r w:rsidRPr="00AC5F5C">
        <w:t xml:space="preserve"> </w:t>
      </w:r>
      <w:r w:rsidRPr="00AC5F5C">
        <w:tab/>
        <w:t xml:space="preserve">(1,500 hours in first year + 1,875 hours in first year) + 1,875 hours </w:t>
      </w:r>
      <w:r w:rsidRPr="00E35B74">
        <w:t>in second year + 1,875 hours</w:t>
      </w:r>
      <w:r w:rsidRPr="0017535D">
        <w:t xml:space="preserve"> in third year = 7,125 hours</w:t>
      </w:r>
      <w:r w:rsidR="00AC5F5C">
        <w:t>.</w:t>
      </w:r>
    </w:p>
  </w:footnote>
  <w:footnote w:id="33">
    <w:p w:rsidR="00CA7243" w:rsidRPr="00AC5F5C" w:rsidRDefault="00CA7243" w:rsidP="008107D7">
      <w:pPr>
        <w:pStyle w:val="FootnoteText"/>
        <w:spacing w:after="120"/>
        <w:ind w:left="720" w:hanging="720"/>
      </w:pPr>
      <w:r w:rsidRPr="00AC5F5C">
        <w:rPr>
          <w:rStyle w:val="FootnoteReference"/>
        </w:rPr>
        <w:footnoteRef/>
      </w:r>
      <w:r w:rsidRPr="00AC5F5C">
        <w:t xml:space="preserve"> </w:t>
      </w:r>
      <w:r w:rsidRPr="00AC5F5C">
        <w:tab/>
      </w:r>
      <w:proofErr w:type="gramStart"/>
      <w:r w:rsidRPr="00AC5F5C">
        <w:t>7,125 hours / 3 years = 2,375 hours per year</w:t>
      </w:r>
      <w:r w:rsidR="00AC5F5C">
        <w:t>.</w:t>
      </w:r>
      <w:proofErr w:type="gramEnd"/>
    </w:p>
  </w:footnote>
  <w:footnote w:id="34">
    <w:p w:rsidR="00CA7243" w:rsidRPr="00652F1F" w:rsidRDefault="00CA7243" w:rsidP="008107D7">
      <w:pPr>
        <w:pStyle w:val="FootnoteText"/>
        <w:spacing w:after="120"/>
      </w:pPr>
      <w:r w:rsidRPr="00AC5F5C">
        <w:rPr>
          <w:rStyle w:val="FootnoteReference"/>
        </w:rPr>
        <w:footnoteRef/>
      </w:r>
      <w:r w:rsidRPr="00AC5F5C">
        <w:t xml:space="preserve"> </w:t>
      </w:r>
      <w:r w:rsidRPr="00AC5F5C">
        <w:tab/>
      </w:r>
      <w:proofErr w:type="gramStart"/>
      <w:r w:rsidRPr="00AC5F5C">
        <w:t xml:space="preserve">3,380 hours + </w:t>
      </w:r>
      <w:r w:rsidRPr="00E35B74">
        <w:t>540 hours + 120</w:t>
      </w:r>
      <w:r w:rsidRPr="0017535D">
        <w:t xml:space="preserve"> hours + 5,000 hours + 1,500 hours = 10,540 hours.</w:t>
      </w:r>
      <w:proofErr w:type="gramEnd"/>
    </w:p>
  </w:footnote>
  <w:footnote w:id="35">
    <w:p w:rsidR="00CA7243" w:rsidRPr="0017535D" w:rsidRDefault="00CA7243" w:rsidP="008107D7">
      <w:pPr>
        <w:pStyle w:val="FootnoteText"/>
        <w:spacing w:after="120"/>
      </w:pPr>
      <w:r w:rsidRPr="00AC5F5C">
        <w:rPr>
          <w:rStyle w:val="FootnoteReference"/>
        </w:rPr>
        <w:footnoteRef/>
      </w:r>
      <w:r w:rsidRPr="00AC5F5C">
        <w:t xml:space="preserve"> </w:t>
      </w:r>
      <w:r w:rsidRPr="00AC5F5C">
        <w:tab/>
      </w:r>
      <w:proofErr w:type="gramStart"/>
      <w:r w:rsidRPr="00AC5F5C">
        <w:t xml:space="preserve">4,225 hours + </w:t>
      </w:r>
      <w:r w:rsidRPr="00E35B74">
        <w:t>675 hours + 150</w:t>
      </w:r>
      <w:r w:rsidRPr="0017535D">
        <w:t xml:space="preserve"> hours + 6,250 hours + 1,875 hours = 13,175 hours.</w:t>
      </w:r>
      <w:proofErr w:type="gramEnd"/>
    </w:p>
  </w:footnote>
  <w:footnote w:id="36">
    <w:p w:rsidR="00CA7243" w:rsidRPr="0017535D" w:rsidRDefault="00CA7243" w:rsidP="008107D7">
      <w:pPr>
        <w:pStyle w:val="FootnoteText"/>
        <w:spacing w:after="120"/>
        <w:ind w:left="720" w:hanging="720"/>
      </w:pPr>
      <w:r w:rsidRPr="00AC5F5C">
        <w:rPr>
          <w:rStyle w:val="FootnoteReference"/>
        </w:rPr>
        <w:footnoteRef/>
      </w:r>
      <w:r w:rsidRPr="00AC5F5C">
        <w:t xml:space="preserve"> </w:t>
      </w:r>
      <w:r w:rsidRPr="00AC5F5C">
        <w:tab/>
        <w:t xml:space="preserve">(10,540 hours in first year + </w:t>
      </w:r>
      <w:r w:rsidRPr="00E35B74">
        <w:t xml:space="preserve">13,175 hours </w:t>
      </w:r>
      <w:r w:rsidRPr="0017535D">
        <w:t>in first year) + 13,175 hours in second year + 13,175 hours in third year = 50,065 hours.</w:t>
      </w:r>
    </w:p>
  </w:footnote>
  <w:footnote w:id="37">
    <w:p w:rsidR="00CA7243" w:rsidRPr="0017535D" w:rsidRDefault="00CA7243" w:rsidP="008107D7">
      <w:pPr>
        <w:pStyle w:val="FootnoteText"/>
        <w:spacing w:after="120"/>
      </w:pPr>
      <w:r w:rsidRPr="00AC5F5C">
        <w:rPr>
          <w:rStyle w:val="FootnoteReference"/>
        </w:rPr>
        <w:footnoteRef/>
      </w:r>
      <w:r w:rsidRPr="00AC5F5C">
        <w:t xml:space="preserve"> </w:t>
      </w:r>
      <w:r w:rsidRPr="00AC5F5C">
        <w:tab/>
      </w:r>
      <w:proofErr w:type="gramStart"/>
      <w:r w:rsidRPr="00AC5F5C">
        <w:t xml:space="preserve">50,065 hours / 3 years = </w:t>
      </w:r>
      <w:r w:rsidRPr="00E35B74">
        <w:t>16,688.33 hours per year.</w:t>
      </w:r>
      <w:proofErr w:type="gramEnd"/>
    </w:p>
  </w:footnote>
  <w:footnote w:id="38">
    <w:p w:rsidR="00665E42" w:rsidRPr="004F6D9C" w:rsidRDefault="00665E42" w:rsidP="008107D7">
      <w:pPr>
        <w:pStyle w:val="FootnoteText"/>
        <w:spacing w:after="120"/>
      </w:pPr>
      <w:r w:rsidRPr="004F6D9C">
        <w:rPr>
          <w:rStyle w:val="FootnoteReference"/>
        </w:rPr>
        <w:footnoteRef/>
      </w:r>
      <w:r w:rsidRPr="004F6D9C">
        <w:t xml:space="preserve"> </w:t>
      </w:r>
      <w:r w:rsidRPr="004F6D9C">
        <w:tab/>
        <w:t>$1,000 x 13 stand-alone SBSDs and stand-alone MSBSPs = $13,000.</w:t>
      </w:r>
    </w:p>
  </w:footnote>
  <w:footnote w:id="39">
    <w:p w:rsidR="00665E42" w:rsidRPr="004F6D9C" w:rsidRDefault="00665E42" w:rsidP="008107D7">
      <w:pPr>
        <w:pStyle w:val="FootnoteText"/>
        <w:spacing w:after="120"/>
      </w:pPr>
      <w:r w:rsidRPr="004F6D9C">
        <w:rPr>
          <w:rStyle w:val="FootnoteReference"/>
        </w:rPr>
        <w:footnoteRef/>
      </w:r>
      <w:r w:rsidRPr="004F6D9C">
        <w:t xml:space="preserve"> </w:t>
      </w:r>
      <w:r w:rsidRPr="004F6D9C">
        <w:tab/>
        <w:t>$4,650/year x 13 stand-alone SBSDs and stand-alone MSBSPs = $60,450/year.</w:t>
      </w:r>
    </w:p>
  </w:footnote>
  <w:footnote w:id="40">
    <w:p w:rsidR="005B4B79" w:rsidRPr="00AC5F5C" w:rsidRDefault="005B4B79" w:rsidP="008107D7">
      <w:pPr>
        <w:pStyle w:val="FootnoteText"/>
        <w:spacing w:after="120"/>
        <w:ind w:left="720" w:hanging="720"/>
      </w:pPr>
      <w:r w:rsidRPr="00AC5F5C">
        <w:rPr>
          <w:rStyle w:val="FootnoteReference"/>
        </w:rPr>
        <w:footnoteRef/>
      </w:r>
      <w:r w:rsidRPr="00AC5F5C">
        <w:t xml:space="preserve"> </w:t>
      </w:r>
      <w:r w:rsidRPr="00AC5F5C">
        <w:tab/>
        <w:t>(</w:t>
      </w:r>
      <w:r>
        <w:t>$13,000</w:t>
      </w:r>
      <w:r w:rsidRPr="00AC5F5C">
        <w:t xml:space="preserve"> in first year + </w:t>
      </w:r>
      <w:r>
        <w:t xml:space="preserve">$60,450 </w:t>
      </w:r>
      <w:r w:rsidRPr="00AC5F5C">
        <w:t xml:space="preserve">in first year) + </w:t>
      </w:r>
      <w:r>
        <w:t xml:space="preserve">$60,450 </w:t>
      </w:r>
      <w:r w:rsidRPr="00AC5F5C">
        <w:t xml:space="preserve">in second year + </w:t>
      </w:r>
      <w:r>
        <w:t xml:space="preserve">$60,450 </w:t>
      </w:r>
      <w:r w:rsidRPr="00AC5F5C">
        <w:t>in third year =</w:t>
      </w:r>
      <w:r>
        <w:t xml:space="preserve"> $194,350</w:t>
      </w:r>
      <w:r w:rsidR="00FE656C">
        <w:t>.</w:t>
      </w:r>
    </w:p>
  </w:footnote>
  <w:footnote w:id="41">
    <w:p w:rsidR="005B4B79" w:rsidRPr="00AC5F5C" w:rsidRDefault="005B4B79" w:rsidP="008107D7">
      <w:pPr>
        <w:pStyle w:val="FootnoteText"/>
        <w:spacing w:after="120"/>
        <w:ind w:left="720" w:hanging="720"/>
      </w:pPr>
      <w:r w:rsidRPr="00AC5F5C">
        <w:rPr>
          <w:rStyle w:val="FootnoteReference"/>
        </w:rPr>
        <w:footnoteRef/>
      </w:r>
      <w:r w:rsidRPr="00AC5F5C">
        <w:t xml:space="preserve"> </w:t>
      </w:r>
      <w:r w:rsidRPr="00AC5F5C">
        <w:tab/>
      </w:r>
      <w:r>
        <w:t>$194,350</w:t>
      </w:r>
      <w:r w:rsidRPr="00AC5F5C">
        <w:t xml:space="preserve"> / 3 years = </w:t>
      </w:r>
      <w:r>
        <w:t>$64,783.33</w:t>
      </w:r>
      <w:r w:rsidR="00FE656C">
        <w:t>/</w:t>
      </w:r>
      <w:r w:rsidRPr="00AC5F5C">
        <w:t>year</w:t>
      </w:r>
      <w:r>
        <w:t>.</w:t>
      </w:r>
    </w:p>
  </w:footnote>
  <w:footnote w:id="42">
    <w:p w:rsidR="00665E42" w:rsidRPr="004F6D9C" w:rsidRDefault="00665E42" w:rsidP="008107D7">
      <w:pPr>
        <w:pStyle w:val="FootnoteText"/>
        <w:spacing w:after="120"/>
        <w:ind w:left="720" w:hanging="720"/>
      </w:pPr>
      <w:r w:rsidRPr="004F6D9C">
        <w:rPr>
          <w:rStyle w:val="FootnoteReference"/>
        </w:rPr>
        <w:footnoteRef/>
      </w:r>
      <w:r w:rsidRPr="004F6D9C">
        <w:t xml:space="preserve"> </w:t>
      </w:r>
      <w:r w:rsidRPr="004F6D9C">
        <w:tab/>
      </w:r>
      <w:proofErr w:type="gramStart"/>
      <w:r w:rsidRPr="005470C1">
        <w:rPr>
          <w:i/>
        </w:rPr>
        <w:t>See, e.g.</w:t>
      </w:r>
      <w:r w:rsidRPr="004F6D9C">
        <w:t xml:space="preserve">, 12 CFR 12.3 (Department of Treasury); </w:t>
      </w:r>
      <w:r w:rsidRPr="004F6D9C">
        <w:rPr>
          <w:bCs/>
          <w:color w:val="000000"/>
        </w:rPr>
        <w:t xml:space="preserve">12 CFR 219.21 </w:t>
      </w:r>
      <w:r w:rsidRPr="005470C1">
        <w:rPr>
          <w:bCs/>
          <w:i/>
          <w:color w:val="000000"/>
        </w:rPr>
        <w:t>et seq</w:t>
      </w:r>
      <w:r w:rsidRPr="005470C1">
        <w:rPr>
          <w:i/>
        </w:rPr>
        <w:t>.</w:t>
      </w:r>
      <w:r w:rsidRPr="004F6D9C">
        <w:t xml:space="preserve"> (Federal Reserve); 12 CFR 344.4 (FDIC).</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14"/>
    <w:rsid w:val="00001523"/>
    <w:rsid w:val="0000721B"/>
    <w:rsid w:val="00010F49"/>
    <w:rsid w:val="00011C4F"/>
    <w:rsid w:val="00013209"/>
    <w:rsid w:val="000166C5"/>
    <w:rsid w:val="00027773"/>
    <w:rsid w:val="00040CB2"/>
    <w:rsid w:val="00052A08"/>
    <w:rsid w:val="00060AE6"/>
    <w:rsid w:val="00060C6D"/>
    <w:rsid w:val="00061EB1"/>
    <w:rsid w:val="000676E9"/>
    <w:rsid w:val="0008689C"/>
    <w:rsid w:val="000962AA"/>
    <w:rsid w:val="000974D8"/>
    <w:rsid w:val="00097919"/>
    <w:rsid w:val="000A24BD"/>
    <w:rsid w:val="000A2CBB"/>
    <w:rsid w:val="000A5508"/>
    <w:rsid w:val="000B4640"/>
    <w:rsid w:val="000B5E80"/>
    <w:rsid w:val="000B67F2"/>
    <w:rsid w:val="000C2152"/>
    <w:rsid w:val="000C32CB"/>
    <w:rsid w:val="000E2A5D"/>
    <w:rsid w:val="000E562B"/>
    <w:rsid w:val="000F437C"/>
    <w:rsid w:val="0010128F"/>
    <w:rsid w:val="00104DCB"/>
    <w:rsid w:val="00110B14"/>
    <w:rsid w:val="001370F8"/>
    <w:rsid w:val="00137ACD"/>
    <w:rsid w:val="00144895"/>
    <w:rsid w:val="001562B4"/>
    <w:rsid w:val="00157040"/>
    <w:rsid w:val="00157DF7"/>
    <w:rsid w:val="001638CB"/>
    <w:rsid w:val="0017535D"/>
    <w:rsid w:val="001765CC"/>
    <w:rsid w:val="0018252E"/>
    <w:rsid w:val="00183066"/>
    <w:rsid w:val="001844BC"/>
    <w:rsid w:val="00197854"/>
    <w:rsid w:val="0019799F"/>
    <w:rsid w:val="001A4138"/>
    <w:rsid w:val="001C43FB"/>
    <w:rsid w:val="001D48F2"/>
    <w:rsid w:val="001D7DA8"/>
    <w:rsid w:val="001E08E4"/>
    <w:rsid w:val="00205696"/>
    <w:rsid w:val="00212AF4"/>
    <w:rsid w:val="002406AC"/>
    <w:rsid w:val="002416D5"/>
    <w:rsid w:val="0026069C"/>
    <w:rsid w:val="002608DF"/>
    <w:rsid w:val="002645C1"/>
    <w:rsid w:val="00273332"/>
    <w:rsid w:val="00274DAC"/>
    <w:rsid w:val="00274F0E"/>
    <w:rsid w:val="002825B8"/>
    <w:rsid w:val="00284C2F"/>
    <w:rsid w:val="00294895"/>
    <w:rsid w:val="002A2C35"/>
    <w:rsid w:val="002C4D34"/>
    <w:rsid w:val="002C5483"/>
    <w:rsid w:val="002C5CFD"/>
    <w:rsid w:val="002D2DFC"/>
    <w:rsid w:val="002D6504"/>
    <w:rsid w:val="002D7CF3"/>
    <w:rsid w:val="002D7E57"/>
    <w:rsid w:val="002E4A40"/>
    <w:rsid w:val="002E69AE"/>
    <w:rsid w:val="002F2F3E"/>
    <w:rsid w:val="002F355B"/>
    <w:rsid w:val="00303B33"/>
    <w:rsid w:val="003149F9"/>
    <w:rsid w:val="0032695E"/>
    <w:rsid w:val="003312C9"/>
    <w:rsid w:val="003353D3"/>
    <w:rsid w:val="00343100"/>
    <w:rsid w:val="0035402E"/>
    <w:rsid w:val="00370349"/>
    <w:rsid w:val="003745BD"/>
    <w:rsid w:val="00375AB7"/>
    <w:rsid w:val="0039167F"/>
    <w:rsid w:val="00396732"/>
    <w:rsid w:val="003A7CC4"/>
    <w:rsid w:val="003C42B4"/>
    <w:rsid w:val="003D44F0"/>
    <w:rsid w:val="00405D53"/>
    <w:rsid w:val="004075D5"/>
    <w:rsid w:val="00423BDC"/>
    <w:rsid w:val="00426E08"/>
    <w:rsid w:val="0043059C"/>
    <w:rsid w:val="00436400"/>
    <w:rsid w:val="00445FB1"/>
    <w:rsid w:val="00447474"/>
    <w:rsid w:val="004575B0"/>
    <w:rsid w:val="0047197B"/>
    <w:rsid w:val="004755A6"/>
    <w:rsid w:val="00482ABC"/>
    <w:rsid w:val="004A2EA5"/>
    <w:rsid w:val="004A5AE9"/>
    <w:rsid w:val="004A6BF1"/>
    <w:rsid w:val="004B2A91"/>
    <w:rsid w:val="004D5E46"/>
    <w:rsid w:val="004D75BE"/>
    <w:rsid w:val="004E02BC"/>
    <w:rsid w:val="004E560A"/>
    <w:rsid w:val="00504367"/>
    <w:rsid w:val="00521DC7"/>
    <w:rsid w:val="00522A0B"/>
    <w:rsid w:val="0052323B"/>
    <w:rsid w:val="00524AE2"/>
    <w:rsid w:val="00533FF4"/>
    <w:rsid w:val="005341C8"/>
    <w:rsid w:val="00536EB0"/>
    <w:rsid w:val="005470C1"/>
    <w:rsid w:val="00561489"/>
    <w:rsid w:val="0057789B"/>
    <w:rsid w:val="00581FC7"/>
    <w:rsid w:val="00587F04"/>
    <w:rsid w:val="005A2FCE"/>
    <w:rsid w:val="005B3AD3"/>
    <w:rsid w:val="005B4B79"/>
    <w:rsid w:val="005C1D01"/>
    <w:rsid w:val="005C307F"/>
    <w:rsid w:val="005C4B60"/>
    <w:rsid w:val="005D46EA"/>
    <w:rsid w:val="006029AD"/>
    <w:rsid w:val="006350FB"/>
    <w:rsid w:val="00635A49"/>
    <w:rsid w:val="00652F1F"/>
    <w:rsid w:val="006606EF"/>
    <w:rsid w:val="00662748"/>
    <w:rsid w:val="00665E42"/>
    <w:rsid w:val="0068509E"/>
    <w:rsid w:val="006C44AE"/>
    <w:rsid w:val="006C4DD2"/>
    <w:rsid w:val="006C62DB"/>
    <w:rsid w:val="006D32A9"/>
    <w:rsid w:val="006E0B00"/>
    <w:rsid w:val="006E6D18"/>
    <w:rsid w:val="00700E1B"/>
    <w:rsid w:val="00704D33"/>
    <w:rsid w:val="0072176B"/>
    <w:rsid w:val="00724973"/>
    <w:rsid w:val="00742EDD"/>
    <w:rsid w:val="00752248"/>
    <w:rsid w:val="00760C6B"/>
    <w:rsid w:val="00760D5D"/>
    <w:rsid w:val="00763ED4"/>
    <w:rsid w:val="00770151"/>
    <w:rsid w:val="0079398D"/>
    <w:rsid w:val="00796964"/>
    <w:rsid w:val="007A424B"/>
    <w:rsid w:val="007B1E0E"/>
    <w:rsid w:val="007B6D37"/>
    <w:rsid w:val="007C1814"/>
    <w:rsid w:val="007D5943"/>
    <w:rsid w:val="007F5EA9"/>
    <w:rsid w:val="00805717"/>
    <w:rsid w:val="008107D7"/>
    <w:rsid w:val="00815547"/>
    <w:rsid w:val="0081785D"/>
    <w:rsid w:val="00823420"/>
    <w:rsid w:val="008363E6"/>
    <w:rsid w:val="008410EA"/>
    <w:rsid w:val="00844B80"/>
    <w:rsid w:val="00895730"/>
    <w:rsid w:val="008A35AF"/>
    <w:rsid w:val="008A4852"/>
    <w:rsid w:val="008B33F2"/>
    <w:rsid w:val="008C5B95"/>
    <w:rsid w:val="008D2193"/>
    <w:rsid w:val="008D3A7F"/>
    <w:rsid w:val="008E1DCB"/>
    <w:rsid w:val="008F55DD"/>
    <w:rsid w:val="00914B62"/>
    <w:rsid w:val="00930C92"/>
    <w:rsid w:val="00937F55"/>
    <w:rsid w:val="00947460"/>
    <w:rsid w:val="00953CF5"/>
    <w:rsid w:val="00960561"/>
    <w:rsid w:val="00961110"/>
    <w:rsid w:val="0096510A"/>
    <w:rsid w:val="009709B1"/>
    <w:rsid w:val="00970C6B"/>
    <w:rsid w:val="00983A64"/>
    <w:rsid w:val="00987DD0"/>
    <w:rsid w:val="009B0DF2"/>
    <w:rsid w:val="009E39C2"/>
    <w:rsid w:val="009F1025"/>
    <w:rsid w:val="00A0570C"/>
    <w:rsid w:val="00A113A9"/>
    <w:rsid w:val="00A17CB8"/>
    <w:rsid w:val="00A22461"/>
    <w:rsid w:val="00A30EAC"/>
    <w:rsid w:val="00A31171"/>
    <w:rsid w:val="00A4200D"/>
    <w:rsid w:val="00A46D04"/>
    <w:rsid w:val="00A471B2"/>
    <w:rsid w:val="00A6627B"/>
    <w:rsid w:val="00A74A1D"/>
    <w:rsid w:val="00A877DA"/>
    <w:rsid w:val="00A96F11"/>
    <w:rsid w:val="00AA1BEC"/>
    <w:rsid w:val="00AA5043"/>
    <w:rsid w:val="00AB1CCB"/>
    <w:rsid w:val="00AB49C9"/>
    <w:rsid w:val="00AB6BE0"/>
    <w:rsid w:val="00AC0AF1"/>
    <w:rsid w:val="00AC12CD"/>
    <w:rsid w:val="00AC3A92"/>
    <w:rsid w:val="00AC5F5C"/>
    <w:rsid w:val="00AC77DE"/>
    <w:rsid w:val="00AD0280"/>
    <w:rsid w:val="00AD2090"/>
    <w:rsid w:val="00AD7D74"/>
    <w:rsid w:val="00AE5EF8"/>
    <w:rsid w:val="00B00911"/>
    <w:rsid w:val="00B03072"/>
    <w:rsid w:val="00B21C4A"/>
    <w:rsid w:val="00B31D79"/>
    <w:rsid w:val="00B35EC7"/>
    <w:rsid w:val="00B43136"/>
    <w:rsid w:val="00B432C4"/>
    <w:rsid w:val="00B53337"/>
    <w:rsid w:val="00B65C6D"/>
    <w:rsid w:val="00B66EAA"/>
    <w:rsid w:val="00B77922"/>
    <w:rsid w:val="00B8247A"/>
    <w:rsid w:val="00B82A3F"/>
    <w:rsid w:val="00BA23A5"/>
    <w:rsid w:val="00BC0E9A"/>
    <w:rsid w:val="00BC24E7"/>
    <w:rsid w:val="00BC2636"/>
    <w:rsid w:val="00BE7DA8"/>
    <w:rsid w:val="00BF1698"/>
    <w:rsid w:val="00C00279"/>
    <w:rsid w:val="00C00E50"/>
    <w:rsid w:val="00C01B4D"/>
    <w:rsid w:val="00C1173F"/>
    <w:rsid w:val="00C575BC"/>
    <w:rsid w:val="00C608C1"/>
    <w:rsid w:val="00C70CE0"/>
    <w:rsid w:val="00C70FDF"/>
    <w:rsid w:val="00C71613"/>
    <w:rsid w:val="00C73050"/>
    <w:rsid w:val="00C8095B"/>
    <w:rsid w:val="00C872B4"/>
    <w:rsid w:val="00C909E0"/>
    <w:rsid w:val="00CA0C96"/>
    <w:rsid w:val="00CA36FD"/>
    <w:rsid w:val="00CA7243"/>
    <w:rsid w:val="00CC1DE6"/>
    <w:rsid w:val="00CD1C45"/>
    <w:rsid w:val="00CD3436"/>
    <w:rsid w:val="00CE0597"/>
    <w:rsid w:val="00CE0F14"/>
    <w:rsid w:val="00CF1724"/>
    <w:rsid w:val="00CF1C8A"/>
    <w:rsid w:val="00D23323"/>
    <w:rsid w:val="00D26E03"/>
    <w:rsid w:val="00D324C6"/>
    <w:rsid w:val="00D33461"/>
    <w:rsid w:val="00D36189"/>
    <w:rsid w:val="00D40219"/>
    <w:rsid w:val="00D65A93"/>
    <w:rsid w:val="00D8262A"/>
    <w:rsid w:val="00D8384D"/>
    <w:rsid w:val="00D90F03"/>
    <w:rsid w:val="00DB624B"/>
    <w:rsid w:val="00DC0774"/>
    <w:rsid w:val="00DC3372"/>
    <w:rsid w:val="00DD304D"/>
    <w:rsid w:val="00DD48B2"/>
    <w:rsid w:val="00DD713F"/>
    <w:rsid w:val="00DE46B4"/>
    <w:rsid w:val="00DE7E65"/>
    <w:rsid w:val="00DF06DC"/>
    <w:rsid w:val="00DF4422"/>
    <w:rsid w:val="00DF762A"/>
    <w:rsid w:val="00E003B5"/>
    <w:rsid w:val="00E24D31"/>
    <w:rsid w:val="00E35B74"/>
    <w:rsid w:val="00E51C7A"/>
    <w:rsid w:val="00E51E22"/>
    <w:rsid w:val="00E62446"/>
    <w:rsid w:val="00E634FF"/>
    <w:rsid w:val="00E67024"/>
    <w:rsid w:val="00E72F0E"/>
    <w:rsid w:val="00E75722"/>
    <w:rsid w:val="00E83DE6"/>
    <w:rsid w:val="00E96B3E"/>
    <w:rsid w:val="00EC4F82"/>
    <w:rsid w:val="00EE4248"/>
    <w:rsid w:val="00F05A1A"/>
    <w:rsid w:val="00F32523"/>
    <w:rsid w:val="00F53C4F"/>
    <w:rsid w:val="00F54999"/>
    <w:rsid w:val="00F73471"/>
    <w:rsid w:val="00F772B7"/>
    <w:rsid w:val="00F874E2"/>
    <w:rsid w:val="00F92ACD"/>
    <w:rsid w:val="00FA79CB"/>
    <w:rsid w:val="00FB11B5"/>
    <w:rsid w:val="00FB3932"/>
    <w:rsid w:val="00FC27C3"/>
    <w:rsid w:val="00FC407C"/>
    <w:rsid w:val="00FD1655"/>
    <w:rsid w:val="00FD1F1B"/>
    <w:rsid w:val="00FD3667"/>
    <w:rsid w:val="00FD699B"/>
    <w:rsid w:val="00FD78F3"/>
    <w:rsid w:val="00FD7CEC"/>
    <w:rsid w:val="00FE1F3D"/>
    <w:rsid w:val="00FE52C3"/>
    <w:rsid w:val="00FE6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B1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10B14"/>
    <w:pPr>
      <w:keepNext/>
      <w:overflowPunct w:val="0"/>
      <w:autoSpaceDE w:val="0"/>
      <w:autoSpaceDN w:val="0"/>
      <w:adjustRightInd w:val="0"/>
      <w:jc w:val="center"/>
      <w:textAlignment w:val="baseline"/>
      <w:outlineLvl w:val="1"/>
    </w:pPr>
    <w:rPr>
      <w:rFonts w:ascii="CG Times" w:hAnsi="CG Times"/>
      <w:small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10B14"/>
    <w:rPr>
      <w:rFonts w:ascii="CG Times" w:eastAsia="Times New Roman" w:hAnsi="CG Times" w:cs="Times New Roman"/>
      <w:smallCaps/>
      <w:sz w:val="24"/>
      <w:szCs w:val="20"/>
    </w:rPr>
  </w:style>
  <w:style w:type="paragraph" w:styleId="BodyText">
    <w:name w:val="Body Text"/>
    <w:basedOn w:val="Normal"/>
    <w:link w:val="BodyTextChar"/>
    <w:rsid w:val="00110B14"/>
    <w:pPr>
      <w:overflowPunct w:val="0"/>
      <w:autoSpaceDE w:val="0"/>
      <w:autoSpaceDN w:val="0"/>
      <w:adjustRightInd w:val="0"/>
      <w:textAlignment w:val="baseline"/>
    </w:pPr>
    <w:rPr>
      <w:rFonts w:ascii="CG Times" w:hAnsi="CG Times"/>
      <w:szCs w:val="20"/>
    </w:rPr>
  </w:style>
  <w:style w:type="character" w:customStyle="1" w:styleId="BodyTextChar">
    <w:name w:val="Body Text Char"/>
    <w:basedOn w:val="DefaultParagraphFont"/>
    <w:link w:val="BodyText"/>
    <w:rsid w:val="00110B14"/>
    <w:rPr>
      <w:rFonts w:ascii="CG Times" w:eastAsia="Times New Roman" w:hAnsi="CG Times" w:cs="Times New Roman"/>
      <w:sz w:val="24"/>
      <w:szCs w:val="20"/>
    </w:rPr>
  </w:style>
  <w:style w:type="paragraph" w:styleId="FootnoteText">
    <w:name w:val="footnote text"/>
    <w:aliases w:val="fn,Footnote Text Char Char,Footnote Text Char Char Char,Footnote Text Char Char Char Char Char Char Char Char Char Char Char Char Char Char Char Char Char,Footnote Text Char1 Char Char,Footnote Text Char Char Char Char,Footnote Text Char1"/>
    <w:basedOn w:val="Normal"/>
    <w:link w:val="FootnoteTextChar"/>
    <w:uiPriority w:val="99"/>
    <w:qFormat/>
    <w:rsid w:val="00110B14"/>
    <w:pPr>
      <w:overflowPunct w:val="0"/>
      <w:autoSpaceDE w:val="0"/>
      <w:autoSpaceDN w:val="0"/>
      <w:adjustRightInd w:val="0"/>
      <w:textAlignment w:val="baseline"/>
    </w:pPr>
    <w:rPr>
      <w:sz w:val="20"/>
      <w:szCs w:val="20"/>
    </w:rPr>
  </w:style>
  <w:style w:type="character" w:customStyle="1" w:styleId="FootnoteTextChar">
    <w:name w:val="Footnote Text Char"/>
    <w:aliases w:val="fn Char,Footnote Text Char Char Char1,Footnote Text Char Char Char Char1,Footnote Text Char Char Char Char Char Char Char Char Char Char Char Char Char Char Char Char Char Char,Footnote Text Char1 Char Char Char"/>
    <w:basedOn w:val="DefaultParagraphFont"/>
    <w:link w:val="FootnoteText"/>
    <w:uiPriority w:val="99"/>
    <w:rsid w:val="00110B14"/>
    <w:rPr>
      <w:rFonts w:ascii="Times New Roman" w:eastAsia="Times New Roman" w:hAnsi="Times New Roman" w:cs="Times New Roman"/>
      <w:sz w:val="20"/>
      <w:szCs w:val="20"/>
    </w:rPr>
  </w:style>
  <w:style w:type="character" w:styleId="FootnoteReference">
    <w:name w:val="footnote reference"/>
    <w:aliases w:val="Style 19,Style 16,fr,Style 35,Style 39,Style 14,12,Style 6,Footnote Reference Superscript,SUPERS,BVI fnr,Footnote symbol,(Footnote Reference),Footnote reference number,note TESI,EN Footnote Reference,Voetnootverwijzing,Footnote"/>
    <w:basedOn w:val="DefaultParagraphFont"/>
    <w:uiPriority w:val="99"/>
    <w:qFormat/>
    <w:rsid w:val="00110B14"/>
    <w:rPr>
      <w:vertAlign w:val="superscript"/>
    </w:rPr>
  </w:style>
  <w:style w:type="character" w:styleId="PageNumber">
    <w:name w:val="page number"/>
    <w:basedOn w:val="DefaultParagraphFont"/>
    <w:rsid w:val="00110B14"/>
  </w:style>
  <w:style w:type="paragraph" w:styleId="Title">
    <w:name w:val="Title"/>
    <w:basedOn w:val="Normal"/>
    <w:link w:val="TitleChar"/>
    <w:qFormat/>
    <w:rsid w:val="00110B14"/>
    <w:pPr>
      <w:overflowPunct w:val="0"/>
      <w:autoSpaceDE w:val="0"/>
      <w:autoSpaceDN w:val="0"/>
      <w:adjustRightInd w:val="0"/>
      <w:jc w:val="center"/>
      <w:textAlignment w:val="baseline"/>
    </w:pPr>
    <w:rPr>
      <w:rFonts w:ascii="CG Times" w:hAnsi="CG Times"/>
      <w:b/>
      <w:szCs w:val="20"/>
      <w:u w:val="single"/>
    </w:rPr>
  </w:style>
  <w:style w:type="character" w:customStyle="1" w:styleId="TitleChar">
    <w:name w:val="Title Char"/>
    <w:basedOn w:val="DefaultParagraphFont"/>
    <w:link w:val="Title"/>
    <w:rsid w:val="00110B14"/>
    <w:rPr>
      <w:rFonts w:ascii="CG Times" w:eastAsia="Times New Roman" w:hAnsi="CG Times" w:cs="Times New Roman"/>
      <w:b/>
      <w:sz w:val="24"/>
      <w:szCs w:val="20"/>
      <w:u w:val="single"/>
    </w:rPr>
  </w:style>
  <w:style w:type="paragraph" w:styleId="Header">
    <w:name w:val="header"/>
    <w:basedOn w:val="Normal"/>
    <w:link w:val="HeaderChar"/>
    <w:rsid w:val="00110B14"/>
    <w:pPr>
      <w:tabs>
        <w:tab w:val="center" w:pos="4320"/>
        <w:tab w:val="right" w:pos="8640"/>
      </w:tabs>
    </w:pPr>
  </w:style>
  <w:style w:type="character" w:customStyle="1" w:styleId="HeaderChar">
    <w:name w:val="Header Char"/>
    <w:basedOn w:val="DefaultParagraphFont"/>
    <w:link w:val="Header"/>
    <w:rsid w:val="00110B14"/>
    <w:rPr>
      <w:rFonts w:ascii="Times New Roman" w:eastAsia="Times New Roman" w:hAnsi="Times New Roman" w:cs="Times New Roman"/>
      <w:sz w:val="24"/>
      <w:szCs w:val="24"/>
    </w:rPr>
  </w:style>
  <w:style w:type="paragraph" w:styleId="Footer">
    <w:name w:val="footer"/>
    <w:basedOn w:val="Normal"/>
    <w:link w:val="FooterChar"/>
    <w:uiPriority w:val="99"/>
    <w:rsid w:val="00110B14"/>
    <w:pPr>
      <w:tabs>
        <w:tab w:val="center" w:pos="4320"/>
        <w:tab w:val="right" w:pos="8640"/>
      </w:tabs>
    </w:pPr>
  </w:style>
  <w:style w:type="character" w:customStyle="1" w:styleId="FooterChar">
    <w:name w:val="Footer Char"/>
    <w:basedOn w:val="DefaultParagraphFont"/>
    <w:link w:val="Footer"/>
    <w:uiPriority w:val="99"/>
    <w:rsid w:val="00110B14"/>
    <w:rPr>
      <w:rFonts w:ascii="Times New Roman" w:eastAsia="Times New Roman" w:hAnsi="Times New Roman" w:cs="Times New Roman"/>
      <w:sz w:val="24"/>
      <w:szCs w:val="24"/>
    </w:rPr>
  </w:style>
  <w:style w:type="paragraph" w:styleId="BodyTextIndent2">
    <w:name w:val="Body Text Indent 2"/>
    <w:basedOn w:val="Normal"/>
    <w:link w:val="BodyTextIndent2Char"/>
    <w:rsid w:val="00110B14"/>
    <w:pPr>
      <w:ind w:left="720"/>
    </w:pPr>
    <w:rPr>
      <w:rFonts w:ascii="CG Times" w:hAnsi="CG Times"/>
    </w:rPr>
  </w:style>
  <w:style w:type="character" w:customStyle="1" w:styleId="BodyTextIndent2Char">
    <w:name w:val="Body Text Indent 2 Char"/>
    <w:basedOn w:val="DefaultParagraphFont"/>
    <w:link w:val="BodyTextIndent2"/>
    <w:rsid w:val="00110B14"/>
    <w:rPr>
      <w:rFonts w:ascii="CG Times" w:eastAsia="Times New Roman" w:hAnsi="CG Times" w:cs="Times New Roman"/>
      <w:sz w:val="24"/>
      <w:szCs w:val="24"/>
    </w:rPr>
  </w:style>
  <w:style w:type="paragraph" w:styleId="BodyTextIndent3">
    <w:name w:val="Body Text Indent 3"/>
    <w:basedOn w:val="Normal"/>
    <w:link w:val="BodyTextIndent3Char"/>
    <w:rsid w:val="00110B14"/>
    <w:pPr>
      <w:ind w:firstLine="720"/>
    </w:pPr>
    <w:rPr>
      <w:rFonts w:ascii="CG Times" w:hAnsi="CG Times"/>
    </w:rPr>
  </w:style>
  <w:style w:type="character" w:customStyle="1" w:styleId="BodyTextIndent3Char">
    <w:name w:val="Body Text Indent 3 Char"/>
    <w:basedOn w:val="DefaultParagraphFont"/>
    <w:link w:val="BodyTextIndent3"/>
    <w:rsid w:val="00110B14"/>
    <w:rPr>
      <w:rFonts w:ascii="CG Times" w:eastAsia="Times New Roman" w:hAnsi="CG Times" w:cs="Times New Roman"/>
      <w:sz w:val="24"/>
      <w:szCs w:val="24"/>
    </w:rPr>
  </w:style>
  <w:style w:type="character" w:styleId="CommentReference">
    <w:name w:val="annotation reference"/>
    <w:basedOn w:val="DefaultParagraphFont"/>
    <w:uiPriority w:val="99"/>
    <w:semiHidden/>
    <w:unhideWhenUsed/>
    <w:rsid w:val="006606EF"/>
    <w:rPr>
      <w:sz w:val="16"/>
      <w:szCs w:val="16"/>
    </w:rPr>
  </w:style>
  <w:style w:type="paragraph" w:styleId="CommentText">
    <w:name w:val="annotation text"/>
    <w:basedOn w:val="Normal"/>
    <w:link w:val="CommentTextChar"/>
    <w:uiPriority w:val="99"/>
    <w:semiHidden/>
    <w:unhideWhenUsed/>
    <w:rsid w:val="006606EF"/>
    <w:rPr>
      <w:sz w:val="20"/>
      <w:szCs w:val="20"/>
    </w:rPr>
  </w:style>
  <w:style w:type="character" w:customStyle="1" w:styleId="CommentTextChar">
    <w:name w:val="Comment Text Char"/>
    <w:basedOn w:val="DefaultParagraphFont"/>
    <w:link w:val="CommentText"/>
    <w:uiPriority w:val="99"/>
    <w:semiHidden/>
    <w:rsid w:val="0066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06EF"/>
    <w:rPr>
      <w:b/>
      <w:bCs/>
    </w:rPr>
  </w:style>
  <w:style w:type="character" w:customStyle="1" w:styleId="CommentSubjectChar">
    <w:name w:val="Comment Subject Char"/>
    <w:basedOn w:val="CommentTextChar"/>
    <w:link w:val="CommentSubject"/>
    <w:uiPriority w:val="99"/>
    <w:semiHidden/>
    <w:rsid w:val="006606E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606EF"/>
    <w:rPr>
      <w:rFonts w:ascii="Tahoma" w:hAnsi="Tahoma" w:cs="Tahoma"/>
      <w:sz w:val="16"/>
      <w:szCs w:val="16"/>
    </w:rPr>
  </w:style>
  <w:style w:type="character" w:customStyle="1" w:styleId="BalloonTextChar">
    <w:name w:val="Balloon Text Char"/>
    <w:basedOn w:val="DefaultParagraphFont"/>
    <w:link w:val="BalloonText"/>
    <w:uiPriority w:val="99"/>
    <w:semiHidden/>
    <w:rsid w:val="006606EF"/>
    <w:rPr>
      <w:rFonts w:ascii="Tahoma" w:eastAsia="Times New Roman" w:hAnsi="Tahoma" w:cs="Tahoma"/>
      <w:sz w:val="16"/>
      <w:szCs w:val="16"/>
    </w:rPr>
  </w:style>
  <w:style w:type="character" w:styleId="Hyperlink">
    <w:name w:val="Hyperlink"/>
    <w:basedOn w:val="DefaultParagraphFont"/>
    <w:rsid w:val="006C4DD2"/>
    <w:rPr>
      <w:color w:val="0000FF"/>
      <w:u w:val="single"/>
    </w:rPr>
  </w:style>
  <w:style w:type="paragraph" w:customStyle="1" w:styleId="Default">
    <w:name w:val="Default"/>
    <w:rsid w:val="002825B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709B1"/>
    <w:rPr>
      <w:color w:val="800080" w:themeColor="followedHyperlink"/>
      <w:u w:val="single"/>
    </w:rPr>
  </w:style>
  <w:style w:type="paragraph" w:styleId="Revision">
    <w:name w:val="Revision"/>
    <w:hidden/>
    <w:uiPriority w:val="99"/>
    <w:semiHidden/>
    <w:rsid w:val="00983A64"/>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676E9"/>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410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B1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10B14"/>
    <w:pPr>
      <w:keepNext/>
      <w:overflowPunct w:val="0"/>
      <w:autoSpaceDE w:val="0"/>
      <w:autoSpaceDN w:val="0"/>
      <w:adjustRightInd w:val="0"/>
      <w:jc w:val="center"/>
      <w:textAlignment w:val="baseline"/>
      <w:outlineLvl w:val="1"/>
    </w:pPr>
    <w:rPr>
      <w:rFonts w:ascii="CG Times" w:hAnsi="CG Times"/>
      <w:small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10B14"/>
    <w:rPr>
      <w:rFonts w:ascii="CG Times" w:eastAsia="Times New Roman" w:hAnsi="CG Times" w:cs="Times New Roman"/>
      <w:smallCaps/>
      <w:sz w:val="24"/>
      <w:szCs w:val="20"/>
    </w:rPr>
  </w:style>
  <w:style w:type="paragraph" w:styleId="BodyText">
    <w:name w:val="Body Text"/>
    <w:basedOn w:val="Normal"/>
    <w:link w:val="BodyTextChar"/>
    <w:rsid w:val="00110B14"/>
    <w:pPr>
      <w:overflowPunct w:val="0"/>
      <w:autoSpaceDE w:val="0"/>
      <w:autoSpaceDN w:val="0"/>
      <w:adjustRightInd w:val="0"/>
      <w:textAlignment w:val="baseline"/>
    </w:pPr>
    <w:rPr>
      <w:rFonts w:ascii="CG Times" w:hAnsi="CG Times"/>
      <w:szCs w:val="20"/>
    </w:rPr>
  </w:style>
  <w:style w:type="character" w:customStyle="1" w:styleId="BodyTextChar">
    <w:name w:val="Body Text Char"/>
    <w:basedOn w:val="DefaultParagraphFont"/>
    <w:link w:val="BodyText"/>
    <w:rsid w:val="00110B14"/>
    <w:rPr>
      <w:rFonts w:ascii="CG Times" w:eastAsia="Times New Roman" w:hAnsi="CG Times" w:cs="Times New Roman"/>
      <w:sz w:val="24"/>
      <w:szCs w:val="20"/>
    </w:rPr>
  </w:style>
  <w:style w:type="paragraph" w:styleId="FootnoteText">
    <w:name w:val="footnote text"/>
    <w:aliases w:val="fn,Footnote Text Char Char,Footnote Text Char Char Char,Footnote Text Char Char Char Char Char Char Char Char Char Char Char Char Char Char Char Char Char,Footnote Text Char1 Char Char,Footnote Text Char Char Char Char,Footnote Text Char1"/>
    <w:basedOn w:val="Normal"/>
    <w:link w:val="FootnoteTextChar"/>
    <w:uiPriority w:val="99"/>
    <w:qFormat/>
    <w:rsid w:val="00110B14"/>
    <w:pPr>
      <w:overflowPunct w:val="0"/>
      <w:autoSpaceDE w:val="0"/>
      <w:autoSpaceDN w:val="0"/>
      <w:adjustRightInd w:val="0"/>
      <w:textAlignment w:val="baseline"/>
    </w:pPr>
    <w:rPr>
      <w:sz w:val="20"/>
      <w:szCs w:val="20"/>
    </w:rPr>
  </w:style>
  <w:style w:type="character" w:customStyle="1" w:styleId="FootnoteTextChar">
    <w:name w:val="Footnote Text Char"/>
    <w:aliases w:val="fn Char,Footnote Text Char Char Char1,Footnote Text Char Char Char Char1,Footnote Text Char Char Char Char Char Char Char Char Char Char Char Char Char Char Char Char Char Char,Footnote Text Char1 Char Char Char"/>
    <w:basedOn w:val="DefaultParagraphFont"/>
    <w:link w:val="FootnoteText"/>
    <w:uiPriority w:val="99"/>
    <w:rsid w:val="00110B14"/>
    <w:rPr>
      <w:rFonts w:ascii="Times New Roman" w:eastAsia="Times New Roman" w:hAnsi="Times New Roman" w:cs="Times New Roman"/>
      <w:sz w:val="20"/>
      <w:szCs w:val="20"/>
    </w:rPr>
  </w:style>
  <w:style w:type="character" w:styleId="FootnoteReference">
    <w:name w:val="footnote reference"/>
    <w:aliases w:val="Style 19,Style 16,fr,Style 35,Style 39,Style 14,12,Style 6,Footnote Reference Superscript,SUPERS,BVI fnr,Footnote symbol,(Footnote Reference),Footnote reference number,note TESI,EN Footnote Reference,Voetnootverwijzing,Footnote"/>
    <w:basedOn w:val="DefaultParagraphFont"/>
    <w:uiPriority w:val="99"/>
    <w:qFormat/>
    <w:rsid w:val="00110B14"/>
    <w:rPr>
      <w:vertAlign w:val="superscript"/>
    </w:rPr>
  </w:style>
  <w:style w:type="character" w:styleId="PageNumber">
    <w:name w:val="page number"/>
    <w:basedOn w:val="DefaultParagraphFont"/>
    <w:rsid w:val="00110B14"/>
  </w:style>
  <w:style w:type="paragraph" w:styleId="Title">
    <w:name w:val="Title"/>
    <w:basedOn w:val="Normal"/>
    <w:link w:val="TitleChar"/>
    <w:qFormat/>
    <w:rsid w:val="00110B14"/>
    <w:pPr>
      <w:overflowPunct w:val="0"/>
      <w:autoSpaceDE w:val="0"/>
      <w:autoSpaceDN w:val="0"/>
      <w:adjustRightInd w:val="0"/>
      <w:jc w:val="center"/>
      <w:textAlignment w:val="baseline"/>
    </w:pPr>
    <w:rPr>
      <w:rFonts w:ascii="CG Times" w:hAnsi="CG Times"/>
      <w:b/>
      <w:szCs w:val="20"/>
      <w:u w:val="single"/>
    </w:rPr>
  </w:style>
  <w:style w:type="character" w:customStyle="1" w:styleId="TitleChar">
    <w:name w:val="Title Char"/>
    <w:basedOn w:val="DefaultParagraphFont"/>
    <w:link w:val="Title"/>
    <w:rsid w:val="00110B14"/>
    <w:rPr>
      <w:rFonts w:ascii="CG Times" w:eastAsia="Times New Roman" w:hAnsi="CG Times" w:cs="Times New Roman"/>
      <w:b/>
      <w:sz w:val="24"/>
      <w:szCs w:val="20"/>
      <w:u w:val="single"/>
    </w:rPr>
  </w:style>
  <w:style w:type="paragraph" w:styleId="Header">
    <w:name w:val="header"/>
    <w:basedOn w:val="Normal"/>
    <w:link w:val="HeaderChar"/>
    <w:rsid w:val="00110B14"/>
    <w:pPr>
      <w:tabs>
        <w:tab w:val="center" w:pos="4320"/>
        <w:tab w:val="right" w:pos="8640"/>
      </w:tabs>
    </w:pPr>
  </w:style>
  <w:style w:type="character" w:customStyle="1" w:styleId="HeaderChar">
    <w:name w:val="Header Char"/>
    <w:basedOn w:val="DefaultParagraphFont"/>
    <w:link w:val="Header"/>
    <w:rsid w:val="00110B14"/>
    <w:rPr>
      <w:rFonts w:ascii="Times New Roman" w:eastAsia="Times New Roman" w:hAnsi="Times New Roman" w:cs="Times New Roman"/>
      <w:sz w:val="24"/>
      <w:szCs w:val="24"/>
    </w:rPr>
  </w:style>
  <w:style w:type="paragraph" w:styleId="Footer">
    <w:name w:val="footer"/>
    <w:basedOn w:val="Normal"/>
    <w:link w:val="FooterChar"/>
    <w:uiPriority w:val="99"/>
    <w:rsid w:val="00110B14"/>
    <w:pPr>
      <w:tabs>
        <w:tab w:val="center" w:pos="4320"/>
        <w:tab w:val="right" w:pos="8640"/>
      </w:tabs>
    </w:pPr>
  </w:style>
  <w:style w:type="character" w:customStyle="1" w:styleId="FooterChar">
    <w:name w:val="Footer Char"/>
    <w:basedOn w:val="DefaultParagraphFont"/>
    <w:link w:val="Footer"/>
    <w:uiPriority w:val="99"/>
    <w:rsid w:val="00110B14"/>
    <w:rPr>
      <w:rFonts w:ascii="Times New Roman" w:eastAsia="Times New Roman" w:hAnsi="Times New Roman" w:cs="Times New Roman"/>
      <w:sz w:val="24"/>
      <w:szCs w:val="24"/>
    </w:rPr>
  </w:style>
  <w:style w:type="paragraph" w:styleId="BodyTextIndent2">
    <w:name w:val="Body Text Indent 2"/>
    <w:basedOn w:val="Normal"/>
    <w:link w:val="BodyTextIndent2Char"/>
    <w:rsid w:val="00110B14"/>
    <w:pPr>
      <w:ind w:left="720"/>
    </w:pPr>
    <w:rPr>
      <w:rFonts w:ascii="CG Times" w:hAnsi="CG Times"/>
    </w:rPr>
  </w:style>
  <w:style w:type="character" w:customStyle="1" w:styleId="BodyTextIndent2Char">
    <w:name w:val="Body Text Indent 2 Char"/>
    <w:basedOn w:val="DefaultParagraphFont"/>
    <w:link w:val="BodyTextIndent2"/>
    <w:rsid w:val="00110B14"/>
    <w:rPr>
      <w:rFonts w:ascii="CG Times" w:eastAsia="Times New Roman" w:hAnsi="CG Times" w:cs="Times New Roman"/>
      <w:sz w:val="24"/>
      <w:szCs w:val="24"/>
    </w:rPr>
  </w:style>
  <w:style w:type="paragraph" w:styleId="BodyTextIndent3">
    <w:name w:val="Body Text Indent 3"/>
    <w:basedOn w:val="Normal"/>
    <w:link w:val="BodyTextIndent3Char"/>
    <w:rsid w:val="00110B14"/>
    <w:pPr>
      <w:ind w:firstLine="720"/>
    </w:pPr>
    <w:rPr>
      <w:rFonts w:ascii="CG Times" w:hAnsi="CG Times"/>
    </w:rPr>
  </w:style>
  <w:style w:type="character" w:customStyle="1" w:styleId="BodyTextIndent3Char">
    <w:name w:val="Body Text Indent 3 Char"/>
    <w:basedOn w:val="DefaultParagraphFont"/>
    <w:link w:val="BodyTextIndent3"/>
    <w:rsid w:val="00110B14"/>
    <w:rPr>
      <w:rFonts w:ascii="CG Times" w:eastAsia="Times New Roman" w:hAnsi="CG Times" w:cs="Times New Roman"/>
      <w:sz w:val="24"/>
      <w:szCs w:val="24"/>
    </w:rPr>
  </w:style>
  <w:style w:type="character" w:styleId="CommentReference">
    <w:name w:val="annotation reference"/>
    <w:basedOn w:val="DefaultParagraphFont"/>
    <w:uiPriority w:val="99"/>
    <w:semiHidden/>
    <w:unhideWhenUsed/>
    <w:rsid w:val="006606EF"/>
    <w:rPr>
      <w:sz w:val="16"/>
      <w:szCs w:val="16"/>
    </w:rPr>
  </w:style>
  <w:style w:type="paragraph" w:styleId="CommentText">
    <w:name w:val="annotation text"/>
    <w:basedOn w:val="Normal"/>
    <w:link w:val="CommentTextChar"/>
    <w:uiPriority w:val="99"/>
    <w:semiHidden/>
    <w:unhideWhenUsed/>
    <w:rsid w:val="006606EF"/>
    <w:rPr>
      <w:sz w:val="20"/>
      <w:szCs w:val="20"/>
    </w:rPr>
  </w:style>
  <w:style w:type="character" w:customStyle="1" w:styleId="CommentTextChar">
    <w:name w:val="Comment Text Char"/>
    <w:basedOn w:val="DefaultParagraphFont"/>
    <w:link w:val="CommentText"/>
    <w:uiPriority w:val="99"/>
    <w:semiHidden/>
    <w:rsid w:val="0066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06EF"/>
    <w:rPr>
      <w:b/>
      <w:bCs/>
    </w:rPr>
  </w:style>
  <w:style w:type="character" w:customStyle="1" w:styleId="CommentSubjectChar">
    <w:name w:val="Comment Subject Char"/>
    <w:basedOn w:val="CommentTextChar"/>
    <w:link w:val="CommentSubject"/>
    <w:uiPriority w:val="99"/>
    <w:semiHidden/>
    <w:rsid w:val="006606E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606EF"/>
    <w:rPr>
      <w:rFonts w:ascii="Tahoma" w:hAnsi="Tahoma" w:cs="Tahoma"/>
      <w:sz w:val="16"/>
      <w:szCs w:val="16"/>
    </w:rPr>
  </w:style>
  <w:style w:type="character" w:customStyle="1" w:styleId="BalloonTextChar">
    <w:name w:val="Balloon Text Char"/>
    <w:basedOn w:val="DefaultParagraphFont"/>
    <w:link w:val="BalloonText"/>
    <w:uiPriority w:val="99"/>
    <w:semiHidden/>
    <w:rsid w:val="006606EF"/>
    <w:rPr>
      <w:rFonts w:ascii="Tahoma" w:eastAsia="Times New Roman" w:hAnsi="Tahoma" w:cs="Tahoma"/>
      <w:sz w:val="16"/>
      <w:szCs w:val="16"/>
    </w:rPr>
  </w:style>
  <w:style w:type="character" w:styleId="Hyperlink">
    <w:name w:val="Hyperlink"/>
    <w:basedOn w:val="DefaultParagraphFont"/>
    <w:rsid w:val="006C4DD2"/>
    <w:rPr>
      <w:color w:val="0000FF"/>
      <w:u w:val="single"/>
    </w:rPr>
  </w:style>
  <w:style w:type="paragraph" w:customStyle="1" w:styleId="Default">
    <w:name w:val="Default"/>
    <w:rsid w:val="002825B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709B1"/>
    <w:rPr>
      <w:color w:val="800080" w:themeColor="followedHyperlink"/>
      <w:u w:val="single"/>
    </w:rPr>
  </w:style>
  <w:style w:type="paragraph" w:styleId="Revision">
    <w:name w:val="Revision"/>
    <w:hidden/>
    <w:uiPriority w:val="99"/>
    <w:semiHidden/>
    <w:rsid w:val="00983A64"/>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676E9"/>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41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784914">
      <w:bodyDiv w:val="1"/>
      <w:marLeft w:val="0"/>
      <w:marRight w:val="0"/>
      <w:marTop w:val="0"/>
      <w:marBottom w:val="0"/>
      <w:divBdr>
        <w:top w:val="none" w:sz="0" w:space="0" w:color="auto"/>
        <w:left w:val="none" w:sz="0" w:space="0" w:color="auto"/>
        <w:bottom w:val="none" w:sz="0" w:space="0" w:color="auto"/>
        <w:right w:val="none" w:sz="0" w:space="0" w:color="auto"/>
      </w:divBdr>
    </w:div>
    <w:div w:id="522090207">
      <w:bodyDiv w:val="1"/>
      <w:marLeft w:val="0"/>
      <w:marRight w:val="0"/>
      <w:marTop w:val="0"/>
      <w:marBottom w:val="0"/>
      <w:divBdr>
        <w:top w:val="none" w:sz="0" w:space="0" w:color="auto"/>
        <w:left w:val="none" w:sz="0" w:space="0" w:color="auto"/>
        <w:bottom w:val="none" w:sz="0" w:space="0" w:color="auto"/>
        <w:right w:val="none" w:sz="0" w:space="0" w:color="auto"/>
      </w:divBdr>
    </w:div>
    <w:div w:id="589894011">
      <w:bodyDiv w:val="1"/>
      <w:marLeft w:val="0"/>
      <w:marRight w:val="0"/>
      <w:marTop w:val="0"/>
      <w:marBottom w:val="0"/>
      <w:divBdr>
        <w:top w:val="none" w:sz="0" w:space="0" w:color="auto"/>
        <w:left w:val="none" w:sz="0" w:space="0" w:color="auto"/>
        <w:bottom w:val="none" w:sz="0" w:space="0" w:color="auto"/>
        <w:right w:val="none" w:sz="0" w:space="0" w:color="auto"/>
      </w:divBdr>
    </w:div>
    <w:div w:id="795947670">
      <w:bodyDiv w:val="1"/>
      <w:marLeft w:val="0"/>
      <w:marRight w:val="0"/>
      <w:marTop w:val="0"/>
      <w:marBottom w:val="0"/>
      <w:divBdr>
        <w:top w:val="none" w:sz="0" w:space="0" w:color="auto"/>
        <w:left w:val="none" w:sz="0" w:space="0" w:color="auto"/>
        <w:bottom w:val="none" w:sz="0" w:space="0" w:color="auto"/>
        <w:right w:val="none" w:sz="0" w:space="0" w:color="auto"/>
      </w:divBdr>
    </w:div>
    <w:div w:id="1054430415">
      <w:bodyDiv w:val="1"/>
      <w:marLeft w:val="0"/>
      <w:marRight w:val="0"/>
      <w:marTop w:val="0"/>
      <w:marBottom w:val="0"/>
      <w:divBdr>
        <w:top w:val="none" w:sz="0" w:space="0" w:color="auto"/>
        <w:left w:val="none" w:sz="0" w:space="0" w:color="auto"/>
        <w:bottom w:val="none" w:sz="0" w:space="0" w:color="auto"/>
        <w:right w:val="none" w:sz="0" w:space="0" w:color="auto"/>
      </w:divBdr>
    </w:div>
    <w:div w:id="1169829488">
      <w:bodyDiv w:val="1"/>
      <w:marLeft w:val="0"/>
      <w:marRight w:val="0"/>
      <w:marTop w:val="0"/>
      <w:marBottom w:val="0"/>
      <w:divBdr>
        <w:top w:val="none" w:sz="0" w:space="0" w:color="auto"/>
        <w:left w:val="none" w:sz="0" w:space="0" w:color="auto"/>
        <w:bottom w:val="none" w:sz="0" w:space="0" w:color="auto"/>
        <w:right w:val="none" w:sz="0" w:space="0" w:color="auto"/>
      </w:divBdr>
    </w:div>
    <w:div w:id="1351374047">
      <w:bodyDiv w:val="1"/>
      <w:marLeft w:val="0"/>
      <w:marRight w:val="0"/>
      <w:marTop w:val="0"/>
      <w:marBottom w:val="0"/>
      <w:divBdr>
        <w:top w:val="none" w:sz="0" w:space="0" w:color="auto"/>
        <w:left w:val="none" w:sz="0" w:space="0" w:color="auto"/>
        <w:bottom w:val="none" w:sz="0" w:space="0" w:color="auto"/>
        <w:right w:val="none" w:sz="0" w:space="0" w:color="auto"/>
      </w:divBdr>
    </w:div>
    <w:div w:id="1400323123">
      <w:bodyDiv w:val="1"/>
      <w:marLeft w:val="0"/>
      <w:marRight w:val="0"/>
      <w:marTop w:val="0"/>
      <w:marBottom w:val="0"/>
      <w:divBdr>
        <w:top w:val="none" w:sz="0" w:space="0" w:color="auto"/>
        <w:left w:val="none" w:sz="0" w:space="0" w:color="auto"/>
        <w:bottom w:val="none" w:sz="0" w:space="0" w:color="auto"/>
        <w:right w:val="none" w:sz="0" w:space="0" w:color="auto"/>
      </w:divBdr>
    </w:div>
    <w:div w:id="1791431523">
      <w:bodyDiv w:val="1"/>
      <w:marLeft w:val="0"/>
      <w:marRight w:val="0"/>
      <w:marTop w:val="0"/>
      <w:marBottom w:val="0"/>
      <w:divBdr>
        <w:top w:val="none" w:sz="0" w:space="0" w:color="auto"/>
        <w:left w:val="none" w:sz="0" w:space="0" w:color="auto"/>
        <w:bottom w:val="none" w:sz="0" w:space="0" w:color="auto"/>
        <w:right w:val="none" w:sz="0" w:space="0" w:color="auto"/>
      </w:divBdr>
    </w:div>
    <w:div w:id="187238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gov/rules/proposed.s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985A9-8E27-4D77-B2EC-70B1AB144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2672</Words>
  <Characters>15236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SEC</Company>
  <LinksUpToDate>false</LinksUpToDate>
  <CharactersWithSpaces>17873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Blackmon, Thomas A</dc:creator>
  <cp:lastModifiedBy>Tontz, Jennifer</cp:lastModifiedBy>
  <cp:revision>3</cp:revision>
  <cp:lastPrinted>2015-06-15T17:48:00Z</cp:lastPrinted>
  <dcterms:created xsi:type="dcterms:W3CDTF">2016-06-23T18:20:00Z</dcterms:created>
  <dcterms:modified xsi:type="dcterms:W3CDTF">2016-06-23T18:26:00Z</dcterms:modified>
</cp:coreProperties>
</file>