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03E" w:rsidRPr="00532DB6" w:rsidRDefault="006B403E" w:rsidP="003B38A1">
      <w:pPr>
        <w:jc w:val="center"/>
        <w:rPr>
          <w:sz w:val="24"/>
          <w:szCs w:val="24"/>
          <w:u w:val="single"/>
        </w:rPr>
      </w:pPr>
      <w:r w:rsidRPr="00532DB6">
        <w:rPr>
          <w:b/>
          <w:bCs/>
          <w:sz w:val="24"/>
          <w:szCs w:val="24"/>
        </w:rPr>
        <w:t xml:space="preserve">SUPPORTING STATEMENT </w:t>
      </w:r>
      <w:r w:rsidRPr="00532DB6">
        <w:rPr>
          <w:b/>
          <w:bCs/>
          <w:sz w:val="24"/>
          <w:szCs w:val="24"/>
        </w:rPr>
        <w:br/>
        <w:t>for the Paperwork Reduction Act Information Collection Submission for</w:t>
      </w:r>
    </w:p>
    <w:p w:rsidR="006E56F9" w:rsidRDefault="001B0F5E" w:rsidP="001B0F5E">
      <w:pPr>
        <w:jc w:val="center"/>
        <w:rPr>
          <w:b/>
          <w:sz w:val="24"/>
          <w:szCs w:val="24"/>
        </w:rPr>
      </w:pPr>
      <w:bookmarkStart w:id="0" w:name="OLE_LINK1"/>
      <w:bookmarkStart w:id="1" w:name="OLE_LINK2"/>
      <w:r w:rsidRPr="001B0F5E">
        <w:rPr>
          <w:b/>
          <w:sz w:val="24"/>
          <w:szCs w:val="24"/>
        </w:rPr>
        <w:t>Rule</w:t>
      </w:r>
      <w:r w:rsidR="005A2BD1">
        <w:rPr>
          <w:b/>
          <w:sz w:val="24"/>
          <w:szCs w:val="24"/>
        </w:rPr>
        <w:t>s</w:t>
      </w:r>
      <w:r w:rsidRPr="001B0F5E">
        <w:rPr>
          <w:b/>
          <w:sz w:val="24"/>
          <w:szCs w:val="24"/>
        </w:rPr>
        <w:t xml:space="preserve"> 15Fi-1 </w:t>
      </w:r>
      <w:r w:rsidR="005A2BD1">
        <w:rPr>
          <w:b/>
          <w:sz w:val="24"/>
          <w:szCs w:val="24"/>
        </w:rPr>
        <w:t>and 15Fi-2</w:t>
      </w:r>
      <w:r w:rsidR="006E56F9">
        <w:rPr>
          <w:b/>
          <w:sz w:val="24"/>
          <w:szCs w:val="24"/>
        </w:rPr>
        <w:t xml:space="preserve"> </w:t>
      </w:r>
      <w:r w:rsidRPr="001B0F5E">
        <w:rPr>
          <w:b/>
          <w:sz w:val="24"/>
          <w:szCs w:val="24"/>
        </w:rPr>
        <w:t xml:space="preserve">– Trade Acknowledgment and Verification of </w:t>
      </w:r>
    </w:p>
    <w:p w:rsidR="003B38A1" w:rsidRPr="00532DB6" w:rsidRDefault="001B0F5E" w:rsidP="001B0F5E">
      <w:pPr>
        <w:jc w:val="center"/>
        <w:rPr>
          <w:b/>
          <w:sz w:val="24"/>
          <w:szCs w:val="24"/>
        </w:rPr>
      </w:pPr>
      <w:r w:rsidRPr="001B0F5E">
        <w:rPr>
          <w:b/>
          <w:sz w:val="24"/>
          <w:szCs w:val="24"/>
        </w:rPr>
        <w:t>Security-Based Swap Transactions</w:t>
      </w:r>
      <w:bookmarkEnd w:id="0"/>
      <w:bookmarkEnd w:id="1"/>
    </w:p>
    <w:p w:rsidR="003B38A1" w:rsidRDefault="003B38A1">
      <w:pPr>
        <w:rPr>
          <w:sz w:val="24"/>
          <w:szCs w:val="24"/>
        </w:rPr>
      </w:pPr>
    </w:p>
    <w:p w:rsidR="005A2BD1" w:rsidRDefault="005A2BD1" w:rsidP="005A2BD1">
      <w:pPr>
        <w:ind w:firstLine="720"/>
        <w:rPr>
          <w:sz w:val="24"/>
          <w:szCs w:val="24"/>
        </w:rPr>
      </w:pPr>
      <w:r w:rsidRPr="005A2BD1">
        <w:rPr>
          <w:sz w:val="24"/>
          <w:szCs w:val="24"/>
        </w:rPr>
        <w:t>This submission is being made pursuant to the Paperwork Reduction Act of 1995, 44 U.S.C. Section 3501 et seq</w:t>
      </w:r>
      <w:r w:rsidR="009A1FA9">
        <w:rPr>
          <w:sz w:val="24"/>
          <w:szCs w:val="24"/>
        </w:rPr>
        <w:t>.</w:t>
      </w:r>
    </w:p>
    <w:p w:rsidR="005A2BD1" w:rsidRPr="00532DB6" w:rsidRDefault="005A2BD1">
      <w:pPr>
        <w:rPr>
          <w:sz w:val="24"/>
          <w:szCs w:val="24"/>
        </w:rPr>
      </w:pPr>
    </w:p>
    <w:p w:rsidR="00622813" w:rsidRPr="00532DB6" w:rsidRDefault="00622813">
      <w:pPr>
        <w:rPr>
          <w:sz w:val="24"/>
          <w:szCs w:val="24"/>
        </w:rPr>
      </w:pPr>
      <w:r w:rsidRPr="00532DB6">
        <w:rPr>
          <w:sz w:val="24"/>
          <w:szCs w:val="24"/>
        </w:rPr>
        <w:t>A.</w:t>
      </w:r>
      <w:r w:rsidRPr="00532DB6">
        <w:rPr>
          <w:sz w:val="24"/>
          <w:szCs w:val="24"/>
        </w:rPr>
        <w:tab/>
      </w:r>
      <w:r w:rsidRPr="00532DB6">
        <w:rPr>
          <w:sz w:val="24"/>
          <w:szCs w:val="24"/>
          <w:u w:val="single"/>
        </w:rPr>
        <w:t>Justification</w:t>
      </w:r>
    </w:p>
    <w:p w:rsidR="00622813" w:rsidRPr="00532DB6" w:rsidRDefault="00622813">
      <w:pPr>
        <w:rPr>
          <w:sz w:val="24"/>
          <w:szCs w:val="24"/>
        </w:rPr>
      </w:pPr>
    </w:p>
    <w:p w:rsidR="00622813" w:rsidRPr="00532DB6" w:rsidRDefault="00622813">
      <w:pPr>
        <w:rPr>
          <w:sz w:val="24"/>
          <w:szCs w:val="24"/>
        </w:rPr>
      </w:pPr>
      <w:r w:rsidRPr="00532DB6">
        <w:rPr>
          <w:sz w:val="24"/>
          <w:szCs w:val="24"/>
        </w:rPr>
        <w:tab/>
        <w:t>1.</w:t>
      </w:r>
      <w:r w:rsidRPr="00532DB6">
        <w:rPr>
          <w:sz w:val="24"/>
          <w:szCs w:val="24"/>
        </w:rPr>
        <w:tab/>
      </w:r>
      <w:r w:rsidRPr="00532DB6">
        <w:rPr>
          <w:sz w:val="24"/>
          <w:szCs w:val="24"/>
          <w:u w:val="single"/>
        </w:rPr>
        <w:t>Necessity of Information Collection</w:t>
      </w:r>
    </w:p>
    <w:p w:rsidR="00622813" w:rsidRPr="00532DB6" w:rsidRDefault="00622813" w:rsidP="009A1FA9">
      <w:pPr>
        <w:rPr>
          <w:sz w:val="24"/>
          <w:szCs w:val="24"/>
        </w:rPr>
      </w:pPr>
    </w:p>
    <w:p w:rsidR="00532DB6" w:rsidRPr="00532DB6" w:rsidRDefault="00622813" w:rsidP="009A1FA9">
      <w:pPr>
        <w:tabs>
          <w:tab w:val="left" w:pos="-720"/>
        </w:tabs>
        <w:suppressAutoHyphens/>
        <w:rPr>
          <w:sz w:val="24"/>
          <w:szCs w:val="24"/>
        </w:rPr>
      </w:pPr>
      <w:r w:rsidRPr="00532DB6">
        <w:rPr>
          <w:sz w:val="24"/>
          <w:szCs w:val="24"/>
        </w:rPr>
        <w:tab/>
      </w:r>
      <w:r w:rsidR="00532DB6" w:rsidRPr="00532DB6">
        <w:rPr>
          <w:sz w:val="24"/>
          <w:szCs w:val="24"/>
        </w:rPr>
        <w:t>Section 764 of the Dodd-Frank Wall Street Reform and Consumer Protection Act (“Dodd-Frank Act”</w:t>
      </w:r>
      <w:proofErr w:type="gramStart"/>
      <w:r w:rsidR="00532DB6" w:rsidRPr="00532DB6">
        <w:rPr>
          <w:sz w:val="24"/>
          <w:szCs w:val="24"/>
        </w:rPr>
        <w:t>),</w:t>
      </w:r>
      <w:proofErr w:type="gramEnd"/>
      <w:r w:rsidR="00532DB6" w:rsidRPr="00532DB6">
        <w:rPr>
          <w:rStyle w:val="FootnoteReference"/>
          <w:sz w:val="24"/>
          <w:szCs w:val="24"/>
        </w:rPr>
        <w:footnoteReference w:id="1"/>
      </w:r>
      <w:r w:rsidR="00532DB6" w:rsidRPr="00532DB6">
        <w:rPr>
          <w:sz w:val="24"/>
          <w:szCs w:val="24"/>
        </w:rPr>
        <w:t xml:space="preserve"> enacted on July 21, 2010, added Section 15F to the Exchange Act.</w:t>
      </w:r>
      <w:r w:rsidR="00532DB6" w:rsidRPr="00532DB6">
        <w:rPr>
          <w:rStyle w:val="FootnoteReference"/>
          <w:sz w:val="24"/>
          <w:szCs w:val="24"/>
        </w:rPr>
        <w:footnoteReference w:id="2"/>
      </w:r>
      <w:r w:rsidR="00532DB6" w:rsidRPr="00532DB6">
        <w:rPr>
          <w:sz w:val="24"/>
          <w:szCs w:val="24"/>
        </w:rPr>
        <w:t xml:space="preserve"> Among other things, Section 15F requires security-based swap (“SBS”) dealers and major SBS participants (collectively, “SBS Entities”) to register with the Commission, and directs the Commission to prescribe rules applicable to SBS Entities.  </w:t>
      </w:r>
    </w:p>
    <w:p w:rsidR="00532DB6" w:rsidRPr="00532DB6" w:rsidRDefault="00532DB6" w:rsidP="009A1FA9">
      <w:pPr>
        <w:tabs>
          <w:tab w:val="left" w:pos="-720"/>
        </w:tabs>
        <w:suppressAutoHyphens/>
        <w:rPr>
          <w:sz w:val="24"/>
          <w:szCs w:val="24"/>
        </w:rPr>
      </w:pPr>
    </w:p>
    <w:p w:rsidR="00532DB6" w:rsidRPr="00532DB6" w:rsidRDefault="00532DB6" w:rsidP="009A1FA9">
      <w:pPr>
        <w:tabs>
          <w:tab w:val="left" w:pos="-720"/>
        </w:tabs>
        <w:suppressAutoHyphens/>
        <w:rPr>
          <w:sz w:val="24"/>
          <w:szCs w:val="24"/>
        </w:rPr>
      </w:pPr>
      <w:r w:rsidRPr="00532DB6">
        <w:rPr>
          <w:sz w:val="24"/>
          <w:szCs w:val="24"/>
        </w:rPr>
        <w:tab/>
        <w:t xml:space="preserve">Section 15F(i)(1) of the Exchange Act provides that SBS Entities must “conform with such standards as may be prescribed by the Commission, by rule or regulation, that relate to timely and accurate confirmation, processing, netting, documentation, and valuation of all security-based swaps.”  Section </w:t>
      </w:r>
      <w:proofErr w:type="gramStart"/>
      <w:r w:rsidRPr="00532DB6">
        <w:rPr>
          <w:sz w:val="24"/>
          <w:szCs w:val="24"/>
        </w:rPr>
        <w:t>15F(</w:t>
      </w:r>
      <w:proofErr w:type="gramEnd"/>
      <w:r w:rsidRPr="00532DB6">
        <w:rPr>
          <w:sz w:val="24"/>
          <w:szCs w:val="24"/>
        </w:rPr>
        <w:t xml:space="preserve">i)(2) of the Exchange Act provides that the Commission must adopt rules governing documentation standards for SBS Entities.  </w:t>
      </w:r>
    </w:p>
    <w:p w:rsidR="00532DB6" w:rsidRPr="00532DB6" w:rsidRDefault="00532DB6" w:rsidP="009A1FA9">
      <w:pPr>
        <w:tabs>
          <w:tab w:val="left" w:pos="-720"/>
        </w:tabs>
        <w:suppressAutoHyphens/>
        <w:rPr>
          <w:sz w:val="24"/>
          <w:szCs w:val="24"/>
        </w:rPr>
      </w:pPr>
    </w:p>
    <w:p w:rsidR="00532DB6" w:rsidRPr="00532DB6" w:rsidRDefault="00532DB6" w:rsidP="00905127">
      <w:pPr>
        <w:rPr>
          <w:spacing w:val="-3"/>
          <w:sz w:val="24"/>
          <w:szCs w:val="24"/>
        </w:rPr>
      </w:pPr>
      <w:r w:rsidRPr="00532DB6">
        <w:rPr>
          <w:sz w:val="24"/>
          <w:szCs w:val="24"/>
        </w:rPr>
        <w:tab/>
      </w:r>
      <w:r w:rsidR="00FA6ABE">
        <w:rPr>
          <w:sz w:val="24"/>
          <w:szCs w:val="24"/>
        </w:rPr>
        <w:t xml:space="preserve">On June 8, 2016, the Commission adopted </w:t>
      </w:r>
      <w:r w:rsidR="00EC58D1">
        <w:rPr>
          <w:sz w:val="24"/>
          <w:szCs w:val="24"/>
        </w:rPr>
        <w:t>R</w:t>
      </w:r>
      <w:r w:rsidR="00905127" w:rsidRPr="000B789F">
        <w:rPr>
          <w:sz w:val="24"/>
          <w:szCs w:val="24"/>
        </w:rPr>
        <w:t>ules 15Fi-1 and 15Fi-2</w:t>
      </w:r>
      <w:r w:rsidRPr="00532DB6">
        <w:rPr>
          <w:sz w:val="24"/>
          <w:szCs w:val="24"/>
        </w:rPr>
        <w:t xml:space="preserve"> </w:t>
      </w:r>
      <w:r w:rsidRPr="00532DB6">
        <w:rPr>
          <w:spacing w:val="-3"/>
          <w:sz w:val="24"/>
          <w:szCs w:val="24"/>
        </w:rPr>
        <w:t>(17 CFR 240.15Fi-1</w:t>
      </w:r>
      <w:r w:rsidR="00905127">
        <w:rPr>
          <w:spacing w:val="-3"/>
          <w:sz w:val="24"/>
          <w:szCs w:val="24"/>
        </w:rPr>
        <w:t xml:space="preserve"> and 240.15Fi-2</w:t>
      </w:r>
      <w:r w:rsidRPr="00532DB6">
        <w:rPr>
          <w:spacing w:val="-3"/>
          <w:sz w:val="24"/>
          <w:szCs w:val="24"/>
        </w:rPr>
        <w:t xml:space="preserve">) </w:t>
      </w:r>
      <w:r w:rsidR="00E51528">
        <w:rPr>
          <w:spacing w:val="-3"/>
          <w:sz w:val="24"/>
          <w:szCs w:val="24"/>
        </w:rPr>
        <w:t xml:space="preserve">(collectively, “the Rules”) </w:t>
      </w:r>
      <w:r w:rsidR="00FA6ABE">
        <w:rPr>
          <w:spacing w:val="-3"/>
          <w:sz w:val="24"/>
          <w:szCs w:val="24"/>
        </w:rPr>
        <w:t xml:space="preserve">which </w:t>
      </w:r>
      <w:r w:rsidRPr="00532DB6">
        <w:rPr>
          <w:sz w:val="24"/>
          <w:szCs w:val="24"/>
        </w:rPr>
        <w:t>prescribe standards related to timely and accurate confirmation and documentation of SBS.</w:t>
      </w:r>
      <w:r w:rsidR="00FA6ABE" w:rsidRPr="00532DB6">
        <w:rPr>
          <w:rStyle w:val="FootnoteReference"/>
          <w:sz w:val="24"/>
          <w:szCs w:val="24"/>
        </w:rPr>
        <w:footnoteReference w:id="3"/>
      </w:r>
      <w:r w:rsidRPr="00532DB6">
        <w:rPr>
          <w:sz w:val="24"/>
          <w:szCs w:val="24"/>
        </w:rPr>
        <w:t xml:space="preserve">  </w:t>
      </w:r>
      <w:r w:rsidR="004B00DD" w:rsidRPr="004B00DD">
        <w:rPr>
          <w:spacing w:val="-3"/>
          <w:sz w:val="24"/>
          <w:szCs w:val="24"/>
        </w:rPr>
        <w:t xml:space="preserve">Rule 15Fi-1 contains definitions of the relevant terms. </w:t>
      </w:r>
      <w:r w:rsidR="00C64AFD">
        <w:rPr>
          <w:sz w:val="24"/>
          <w:szCs w:val="24"/>
        </w:rPr>
        <w:t xml:space="preserve"> R</w:t>
      </w:r>
      <w:r w:rsidRPr="00532DB6">
        <w:rPr>
          <w:spacing w:val="-3"/>
          <w:sz w:val="24"/>
          <w:szCs w:val="24"/>
        </w:rPr>
        <w:t>ule 15Fi-</w:t>
      </w:r>
      <w:r w:rsidR="00C64AFD">
        <w:rPr>
          <w:spacing w:val="-3"/>
          <w:sz w:val="24"/>
          <w:szCs w:val="24"/>
        </w:rPr>
        <w:t>2</w:t>
      </w:r>
      <w:r w:rsidRPr="00532DB6">
        <w:rPr>
          <w:spacing w:val="-3"/>
          <w:sz w:val="24"/>
          <w:szCs w:val="24"/>
        </w:rPr>
        <w:t xml:space="preserve"> require</w:t>
      </w:r>
      <w:r w:rsidR="00C64AFD">
        <w:rPr>
          <w:spacing w:val="-3"/>
          <w:sz w:val="24"/>
          <w:szCs w:val="24"/>
        </w:rPr>
        <w:t>s</w:t>
      </w:r>
      <w:r w:rsidRPr="00532DB6">
        <w:rPr>
          <w:spacing w:val="-3"/>
          <w:sz w:val="24"/>
          <w:szCs w:val="24"/>
        </w:rPr>
        <w:t xml:space="preserve"> SBS Entities to provide to their counterparties a trade acknowledgment, to provide prompt verification of the terms provided in a trade acknowledgment of transactions from other SBS Entities, and to have written policies and procedures that are reasonably designed to obtain prompt verification of the terms provided in a trade acknowledgment.  The Commission proposed </w:t>
      </w:r>
      <w:r w:rsidR="00E51528">
        <w:rPr>
          <w:sz w:val="24"/>
          <w:szCs w:val="24"/>
        </w:rPr>
        <w:t>the Rules</w:t>
      </w:r>
      <w:r w:rsidR="004B00DD" w:rsidRPr="00532DB6">
        <w:rPr>
          <w:sz w:val="24"/>
          <w:szCs w:val="24"/>
        </w:rPr>
        <w:t xml:space="preserve"> </w:t>
      </w:r>
      <w:r w:rsidRPr="00532DB6">
        <w:rPr>
          <w:spacing w:val="-3"/>
          <w:sz w:val="24"/>
          <w:szCs w:val="24"/>
        </w:rPr>
        <w:t xml:space="preserve">to promote the efficient operation of the SBS market and to facilitate market participants’ management of their SBS-related risk.  </w:t>
      </w:r>
    </w:p>
    <w:p w:rsidR="004B00DD" w:rsidRDefault="004B00DD" w:rsidP="009A1FA9">
      <w:pPr>
        <w:tabs>
          <w:tab w:val="left" w:pos="-720"/>
        </w:tabs>
        <w:suppressAutoHyphens/>
        <w:rPr>
          <w:spacing w:val="-3"/>
          <w:sz w:val="24"/>
          <w:szCs w:val="24"/>
        </w:rPr>
      </w:pPr>
    </w:p>
    <w:p w:rsidR="00532DB6" w:rsidRDefault="00532DB6" w:rsidP="004B00DD">
      <w:pPr>
        <w:tabs>
          <w:tab w:val="left" w:pos="-720"/>
        </w:tabs>
        <w:suppressAutoHyphens/>
        <w:rPr>
          <w:spacing w:val="-3"/>
          <w:sz w:val="24"/>
          <w:szCs w:val="24"/>
        </w:rPr>
      </w:pPr>
      <w:r w:rsidRPr="00532DB6">
        <w:rPr>
          <w:spacing w:val="-3"/>
          <w:sz w:val="24"/>
          <w:szCs w:val="24"/>
        </w:rPr>
        <w:tab/>
      </w:r>
      <w:bookmarkStart w:id="4" w:name="OLE_LINK3"/>
      <w:bookmarkStart w:id="5" w:name="OLE_LINK4"/>
      <w:r w:rsidR="004B00DD">
        <w:rPr>
          <w:spacing w:val="-3"/>
          <w:sz w:val="24"/>
          <w:szCs w:val="24"/>
        </w:rPr>
        <w:t>R</w:t>
      </w:r>
      <w:r w:rsidR="004B00DD">
        <w:rPr>
          <w:sz w:val="24"/>
          <w:szCs w:val="24"/>
        </w:rPr>
        <w:t>ule 15Fi-2</w:t>
      </w:r>
      <w:r w:rsidRPr="00532DB6">
        <w:rPr>
          <w:sz w:val="24"/>
          <w:szCs w:val="24"/>
        </w:rPr>
        <w:t xml:space="preserve"> adopt</w:t>
      </w:r>
      <w:r w:rsidR="004B00DD">
        <w:rPr>
          <w:sz w:val="24"/>
          <w:szCs w:val="24"/>
        </w:rPr>
        <w:t>s</w:t>
      </w:r>
      <w:r w:rsidRPr="00532DB6">
        <w:rPr>
          <w:sz w:val="24"/>
          <w:szCs w:val="24"/>
        </w:rPr>
        <w:t xml:space="preserve"> documentation standards for the timely and accurate acknowledgment and verification of SBS transactions by SBS Entities.  The rule contains </w:t>
      </w:r>
      <w:r w:rsidR="004B00DD">
        <w:rPr>
          <w:sz w:val="24"/>
          <w:szCs w:val="24"/>
        </w:rPr>
        <w:t>seven</w:t>
      </w:r>
      <w:r w:rsidRPr="00532DB6">
        <w:rPr>
          <w:sz w:val="24"/>
          <w:szCs w:val="24"/>
        </w:rPr>
        <w:t xml:space="preserve"> paragraphs: </w:t>
      </w:r>
      <w:bookmarkEnd w:id="4"/>
      <w:bookmarkEnd w:id="5"/>
      <w:r w:rsidR="006E56F9">
        <w:rPr>
          <w:sz w:val="24"/>
          <w:szCs w:val="24"/>
        </w:rPr>
        <w:t xml:space="preserve"> </w:t>
      </w:r>
      <w:r w:rsidR="004B00DD" w:rsidRPr="004B00DD">
        <w:rPr>
          <w:spacing w:val="-3"/>
          <w:sz w:val="24"/>
          <w:szCs w:val="24"/>
        </w:rPr>
        <w:t>(a) the trade acknowledgment obligation</w:t>
      </w:r>
      <w:r w:rsidR="006E56F9">
        <w:rPr>
          <w:spacing w:val="-3"/>
          <w:sz w:val="24"/>
          <w:szCs w:val="24"/>
        </w:rPr>
        <w:t>s of specific SBS Entities; (b) </w:t>
      </w:r>
      <w:r w:rsidR="004B00DD" w:rsidRPr="004B00DD">
        <w:rPr>
          <w:spacing w:val="-3"/>
          <w:sz w:val="24"/>
          <w:szCs w:val="24"/>
        </w:rPr>
        <w:t xml:space="preserve">the prescribed time frames under which a trade acknowledgment must be </w:t>
      </w:r>
      <w:r w:rsidR="00A0741E">
        <w:rPr>
          <w:spacing w:val="-3"/>
          <w:sz w:val="24"/>
          <w:szCs w:val="24"/>
        </w:rPr>
        <w:t>provided</w:t>
      </w:r>
      <w:r w:rsidR="004B00DD" w:rsidRPr="004B00DD">
        <w:rPr>
          <w:spacing w:val="-3"/>
          <w:sz w:val="24"/>
          <w:szCs w:val="24"/>
        </w:rPr>
        <w:t xml:space="preserve">; (c) the form and content requirements of the trade acknowledgment; (d) SBS Entities’ </w:t>
      </w:r>
      <w:r w:rsidR="004B00DD" w:rsidRPr="004B00DD">
        <w:rPr>
          <w:spacing w:val="-3"/>
          <w:sz w:val="24"/>
          <w:szCs w:val="24"/>
        </w:rPr>
        <w:lastRenderedPageBreak/>
        <w:t>verification obligations; (e) a limited exception from the requirement to provide a clearing agency a trade acknowledg</w:t>
      </w:r>
      <w:r w:rsidR="008B7A50">
        <w:rPr>
          <w:spacing w:val="-3"/>
          <w:sz w:val="24"/>
          <w:szCs w:val="24"/>
        </w:rPr>
        <w:t>ment in a clearing transaction; (</w:t>
      </w:r>
      <w:r w:rsidR="004B00DD" w:rsidRPr="004B00DD">
        <w:rPr>
          <w:spacing w:val="-3"/>
          <w:sz w:val="24"/>
          <w:szCs w:val="24"/>
        </w:rPr>
        <w:t>f) a limited exception from the requirement to provide a trade acknowledgment for certain transactions executed on a security-based swap execution facility or a national securities exchange or accepted for clearing by a clearing agency; and (g) a limited exemption from the requirements of Exchange Act Rule 10b-10 for a broker-dealer acting as principal for its own account in a security-based swap transaction.</w:t>
      </w:r>
    </w:p>
    <w:p w:rsidR="004B00DD" w:rsidRPr="00532DB6" w:rsidRDefault="004B00DD" w:rsidP="004B00DD">
      <w:pPr>
        <w:tabs>
          <w:tab w:val="left" w:pos="-720"/>
        </w:tabs>
        <w:suppressAutoHyphens/>
        <w:rPr>
          <w:sz w:val="24"/>
          <w:szCs w:val="24"/>
        </w:rPr>
      </w:pPr>
    </w:p>
    <w:p w:rsidR="004B00DD" w:rsidRDefault="004B00DD" w:rsidP="004B00DD">
      <w:pPr>
        <w:ind w:firstLine="720"/>
        <w:rPr>
          <w:spacing w:val="-3"/>
          <w:sz w:val="24"/>
          <w:szCs w:val="24"/>
        </w:rPr>
      </w:pPr>
      <w:r w:rsidRPr="004B00DD">
        <w:rPr>
          <w:spacing w:val="-3"/>
          <w:sz w:val="24"/>
          <w:szCs w:val="24"/>
        </w:rPr>
        <w:t>Under paragraph (a) of Rule 15Fi-2, sending an SBS trade acknowledgment is the obligation of a particular SBS Entity</w:t>
      </w:r>
      <w:r w:rsidR="004A53EC">
        <w:rPr>
          <w:spacing w:val="-3"/>
          <w:sz w:val="24"/>
          <w:szCs w:val="24"/>
        </w:rPr>
        <w:t>,</w:t>
      </w:r>
      <w:r w:rsidRPr="004B00DD">
        <w:rPr>
          <w:spacing w:val="-3"/>
          <w:sz w:val="24"/>
          <w:szCs w:val="24"/>
        </w:rPr>
        <w:t xml:space="preserve"> </w:t>
      </w:r>
      <w:r w:rsidRPr="00A14A58">
        <w:rPr>
          <w:i/>
          <w:spacing w:val="-3"/>
          <w:sz w:val="24"/>
          <w:szCs w:val="24"/>
        </w:rPr>
        <w:t>i.e.</w:t>
      </w:r>
      <w:r w:rsidRPr="004B00DD">
        <w:rPr>
          <w:spacing w:val="-3"/>
          <w:sz w:val="24"/>
          <w:szCs w:val="24"/>
        </w:rPr>
        <w:t>, an SBS dealer or major-SBS participant</w:t>
      </w:r>
      <w:r w:rsidR="004A53EC">
        <w:rPr>
          <w:spacing w:val="-3"/>
          <w:sz w:val="24"/>
          <w:szCs w:val="24"/>
        </w:rPr>
        <w:t>,</w:t>
      </w:r>
      <w:r w:rsidRPr="004B00DD">
        <w:rPr>
          <w:spacing w:val="-3"/>
          <w:sz w:val="24"/>
          <w:szCs w:val="24"/>
        </w:rPr>
        <w:t xml:space="preserve"> depending on whether the SBS Entity and its counterparty are SBS dealers or major SBS participants and/or in accordance with any agreements between the counterparties that delineate the trade acknowledgment responsibility.  </w:t>
      </w:r>
    </w:p>
    <w:p w:rsidR="004B00DD" w:rsidRPr="004B00DD" w:rsidRDefault="004B00DD" w:rsidP="004B00DD">
      <w:pPr>
        <w:ind w:firstLine="720"/>
        <w:rPr>
          <w:spacing w:val="-3"/>
          <w:sz w:val="24"/>
          <w:szCs w:val="24"/>
        </w:rPr>
      </w:pPr>
    </w:p>
    <w:p w:rsidR="004B00DD" w:rsidRDefault="004B00DD" w:rsidP="004B00DD">
      <w:pPr>
        <w:ind w:firstLine="720"/>
        <w:rPr>
          <w:spacing w:val="-3"/>
          <w:sz w:val="24"/>
          <w:szCs w:val="24"/>
        </w:rPr>
      </w:pPr>
      <w:r w:rsidRPr="004B00DD">
        <w:rPr>
          <w:spacing w:val="-3"/>
          <w:sz w:val="24"/>
          <w:szCs w:val="24"/>
        </w:rPr>
        <w:t xml:space="preserve">Paragraph (b) of Rule 15Fi-2 requires trade acknowledgments to be provided promptly, but in no event later than the end of the first business day following the day of execution.  Paragraph (c) of Rule 15Fi-2 requires trade acknowledgments to be provided through electronic means that provide reasonable assurance of delivery and must disclose all the terms of the security-based swap transaction.  Paragraph (d)(1) of Rule 15Fi-2 requires SBS Entities to establish, maintain, and enforce policies and procedures reasonably designed to obtain prompt verification of SBS trade acknowledgments.  </w:t>
      </w:r>
      <w:r w:rsidR="00A0741E">
        <w:rPr>
          <w:spacing w:val="-3"/>
          <w:sz w:val="24"/>
          <w:szCs w:val="24"/>
        </w:rPr>
        <w:t>W</w:t>
      </w:r>
      <w:r w:rsidR="00A0741E" w:rsidRPr="004B00DD">
        <w:rPr>
          <w:spacing w:val="-3"/>
          <w:sz w:val="24"/>
          <w:szCs w:val="24"/>
        </w:rPr>
        <w:t xml:space="preserve">hen </w:t>
      </w:r>
      <w:r w:rsidRPr="004B00DD">
        <w:rPr>
          <w:spacing w:val="-3"/>
          <w:sz w:val="24"/>
          <w:szCs w:val="24"/>
        </w:rPr>
        <w:t>an SBS Entity receives a trade acknowledgment, pursuant to paragraph (d</w:t>
      </w:r>
      <w:proofErr w:type="gramStart"/>
      <w:r w:rsidRPr="004B00DD">
        <w:rPr>
          <w:spacing w:val="-3"/>
          <w:sz w:val="24"/>
          <w:szCs w:val="24"/>
        </w:rPr>
        <w:t>)(</w:t>
      </w:r>
      <w:proofErr w:type="gramEnd"/>
      <w:r w:rsidRPr="004B00DD">
        <w:rPr>
          <w:spacing w:val="-3"/>
          <w:sz w:val="24"/>
          <w:szCs w:val="24"/>
        </w:rPr>
        <w:t xml:space="preserve">2) of the rule, it must promptly verify the accuracy of the trade acknowledgment or dispute the terms with its counterparty.  </w:t>
      </w:r>
    </w:p>
    <w:p w:rsidR="004B00DD" w:rsidRPr="004B00DD" w:rsidRDefault="004B00DD" w:rsidP="004B00DD">
      <w:pPr>
        <w:ind w:firstLine="720"/>
        <w:rPr>
          <w:spacing w:val="-3"/>
          <w:sz w:val="24"/>
          <w:szCs w:val="24"/>
        </w:rPr>
      </w:pPr>
    </w:p>
    <w:p w:rsidR="004B00DD" w:rsidRPr="004B00DD" w:rsidRDefault="004B00DD" w:rsidP="004B00DD">
      <w:pPr>
        <w:ind w:firstLine="720"/>
        <w:rPr>
          <w:spacing w:val="-3"/>
          <w:sz w:val="24"/>
          <w:szCs w:val="24"/>
        </w:rPr>
      </w:pPr>
      <w:r w:rsidRPr="004B00DD">
        <w:rPr>
          <w:spacing w:val="-3"/>
          <w:sz w:val="24"/>
          <w:szCs w:val="24"/>
        </w:rPr>
        <w:t xml:space="preserve">Paragraphs (e), (f), and (g) of Rule 15Fi-2 are exemptive provisions and are not a collection of information.   </w:t>
      </w:r>
    </w:p>
    <w:p w:rsidR="00622813" w:rsidRPr="00532DB6" w:rsidRDefault="00622813">
      <w:pPr>
        <w:rPr>
          <w:sz w:val="24"/>
          <w:szCs w:val="24"/>
        </w:rPr>
      </w:pPr>
    </w:p>
    <w:p w:rsidR="00622813" w:rsidRPr="00532DB6" w:rsidRDefault="00FA6162">
      <w:pPr>
        <w:numPr>
          <w:ilvl w:val="0"/>
          <w:numId w:val="1"/>
        </w:numPr>
        <w:tabs>
          <w:tab w:val="left" w:pos="720"/>
        </w:tabs>
        <w:rPr>
          <w:sz w:val="24"/>
          <w:szCs w:val="24"/>
        </w:rPr>
      </w:pPr>
      <w:r w:rsidRPr="00532DB6">
        <w:rPr>
          <w:sz w:val="24"/>
          <w:szCs w:val="24"/>
          <w:u w:val="single"/>
        </w:rPr>
        <w:t>Purpose and Use of the Information Collection</w:t>
      </w:r>
    </w:p>
    <w:p w:rsidR="00622813" w:rsidRPr="00532DB6" w:rsidRDefault="00622813">
      <w:pPr>
        <w:tabs>
          <w:tab w:val="left" w:pos="720"/>
        </w:tabs>
        <w:rPr>
          <w:sz w:val="24"/>
          <w:szCs w:val="24"/>
        </w:rPr>
      </w:pPr>
    </w:p>
    <w:p w:rsidR="00573BBD" w:rsidRPr="00573BBD" w:rsidRDefault="00573BBD" w:rsidP="00573BBD">
      <w:pPr>
        <w:ind w:firstLine="720"/>
        <w:rPr>
          <w:spacing w:val="-3"/>
          <w:sz w:val="24"/>
          <w:szCs w:val="24"/>
        </w:rPr>
      </w:pPr>
      <w:r w:rsidRPr="00573BBD">
        <w:rPr>
          <w:spacing w:val="-3"/>
          <w:sz w:val="24"/>
          <w:szCs w:val="24"/>
        </w:rPr>
        <w:t>The trade acknowledgment and verification requirements of Rule 15Fi-2 apply to both types of SBS Entities depending on whether the entity and its counterparty are SBS dealers or major SBS participants and on any agreements between the counterparties addressing the obligation to send a trade acknowledgment.  Generally, the transaction details that must be provided in a trade acknowledgment serve as a written record by which the counterparties to a transaction memorialize the terms of a transaction.  In effect, the trade acknowledgment reflects the contract entered into between the counterparties.  In addition, the rule’s verification requirements are intended to ensure that the written record of the transaction</w:t>
      </w:r>
      <w:r w:rsidR="004A53EC">
        <w:rPr>
          <w:spacing w:val="-3"/>
          <w:sz w:val="24"/>
          <w:szCs w:val="24"/>
        </w:rPr>
        <w:t>,</w:t>
      </w:r>
      <w:r w:rsidRPr="00573BBD">
        <w:rPr>
          <w:spacing w:val="-3"/>
          <w:sz w:val="24"/>
          <w:szCs w:val="24"/>
        </w:rPr>
        <w:t xml:space="preserve"> </w:t>
      </w:r>
      <w:r w:rsidRPr="00A14A58">
        <w:rPr>
          <w:i/>
          <w:spacing w:val="-3"/>
          <w:sz w:val="24"/>
          <w:szCs w:val="24"/>
        </w:rPr>
        <w:t>i.e.</w:t>
      </w:r>
      <w:r w:rsidRPr="00573BBD">
        <w:rPr>
          <w:spacing w:val="-3"/>
          <w:sz w:val="24"/>
          <w:szCs w:val="24"/>
        </w:rPr>
        <w:t>, the trade acknowledgment</w:t>
      </w:r>
      <w:r w:rsidR="004A53EC">
        <w:rPr>
          <w:spacing w:val="-3"/>
          <w:sz w:val="24"/>
          <w:szCs w:val="24"/>
        </w:rPr>
        <w:t>,</w:t>
      </w:r>
      <w:r w:rsidRPr="00573BBD">
        <w:rPr>
          <w:spacing w:val="-3"/>
          <w:sz w:val="24"/>
          <w:szCs w:val="24"/>
        </w:rPr>
        <w:t xml:space="preserve"> accurately reflects the terms of the transaction as understood by the respective counterparties.  </w:t>
      </w:r>
      <w:r w:rsidR="00A0741E">
        <w:rPr>
          <w:spacing w:val="-3"/>
          <w:sz w:val="24"/>
          <w:szCs w:val="24"/>
        </w:rPr>
        <w:t>If</w:t>
      </w:r>
      <w:r w:rsidRPr="00573BBD">
        <w:rPr>
          <w:spacing w:val="-3"/>
          <w:sz w:val="24"/>
          <w:szCs w:val="24"/>
        </w:rPr>
        <w:t xml:space="preserve"> an SBS Entity is provided a trade acknowledgment that </w:t>
      </w:r>
      <w:r w:rsidR="00A0741E">
        <w:rPr>
          <w:spacing w:val="-3"/>
          <w:sz w:val="24"/>
          <w:szCs w:val="24"/>
        </w:rPr>
        <w:t>that does not</w:t>
      </w:r>
      <w:r w:rsidRPr="00573BBD">
        <w:rPr>
          <w:spacing w:val="-3"/>
          <w:sz w:val="24"/>
          <w:szCs w:val="24"/>
        </w:rPr>
        <w:t xml:space="preserve"> accurate</w:t>
      </w:r>
      <w:r w:rsidR="00A0741E">
        <w:rPr>
          <w:spacing w:val="-3"/>
          <w:sz w:val="24"/>
          <w:szCs w:val="24"/>
        </w:rPr>
        <w:t>ly</w:t>
      </w:r>
      <w:r w:rsidRPr="00573BBD">
        <w:rPr>
          <w:spacing w:val="-3"/>
          <w:sz w:val="24"/>
          <w:szCs w:val="24"/>
        </w:rPr>
        <w:t xml:space="preserve"> reflect </w:t>
      </w:r>
      <w:r w:rsidR="00A0741E">
        <w:rPr>
          <w:spacing w:val="-3"/>
          <w:sz w:val="24"/>
          <w:szCs w:val="24"/>
        </w:rPr>
        <w:t>its</w:t>
      </w:r>
      <w:r w:rsidRPr="00573BBD">
        <w:rPr>
          <w:spacing w:val="-3"/>
          <w:sz w:val="24"/>
          <w:szCs w:val="24"/>
        </w:rPr>
        <w:t xml:space="preserve"> agreement, Rule 15Fi-2 requires the SBS Entity to dispute the terms of the transaction. </w:t>
      </w:r>
    </w:p>
    <w:p w:rsidR="00622813" w:rsidRPr="00532DB6" w:rsidRDefault="00622813" w:rsidP="00573BBD">
      <w:pPr>
        <w:pStyle w:val="BodyText"/>
        <w:rPr>
          <w:szCs w:val="24"/>
        </w:rPr>
      </w:pPr>
    </w:p>
    <w:p w:rsidR="00622813" w:rsidRPr="00532DB6" w:rsidRDefault="00FA6162" w:rsidP="00573BBD">
      <w:pPr>
        <w:keepNext/>
        <w:keepLines/>
        <w:numPr>
          <w:ilvl w:val="0"/>
          <w:numId w:val="1"/>
        </w:numPr>
        <w:tabs>
          <w:tab w:val="left" w:pos="720"/>
        </w:tabs>
        <w:rPr>
          <w:sz w:val="24"/>
          <w:szCs w:val="24"/>
        </w:rPr>
      </w:pPr>
      <w:r w:rsidRPr="00532DB6">
        <w:rPr>
          <w:sz w:val="24"/>
          <w:szCs w:val="24"/>
          <w:u w:val="single"/>
        </w:rPr>
        <w:lastRenderedPageBreak/>
        <w:t>Consideration Given to Information Technology</w:t>
      </w:r>
    </w:p>
    <w:p w:rsidR="00622813" w:rsidRPr="00532DB6" w:rsidRDefault="00622813" w:rsidP="00573BBD">
      <w:pPr>
        <w:keepNext/>
        <w:keepLines/>
        <w:tabs>
          <w:tab w:val="left" w:pos="720"/>
        </w:tabs>
        <w:rPr>
          <w:sz w:val="24"/>
          <w:szCs w:val="24"/>
        </w:rPr>
      </w:pPr>
    </w:p>
    <w:p w:rsidR="004F1BFB" w:rsidRDefault="00622813" w:rsidP="004A53EC">
      <w:pPr>
        <w:tabs>
          <w:tab w:val="left" w:pos="-720"/>
        </w:tabs>
        <w:suppressAutoHyphens/>
        <w:rPr>
          <w:spacing w:val="-3"/>
          <w:sz w:val="24"/>
          <w:szCs w:val="24"/>
        </w:rPr>
      </w:pPr>
      <w:r w:rsidRPr="00532DB6">
        <w:rPr>
          <w:sz w:val="24"/>
          <w:szCs w:val="24"/>
        </w:rPr>
        <w:tab/>
      </w:r>
      <w:r w:rsidR="00573BBD" w:rsidRPr="00573BBD">
        <w:rPr>
          <w:spacing w:val="-3"/>
          <w:sz w:val="24"/>
          <w:szCs w:val="24"/>
        </w:rPr>
        <w:t>Rule 15Fi-2</w:t>
      </w:r>
      <w:r w:rsidR="00573BBD">
        <w:rPr>
          <w:spacing w:val="-3"/>
          <w:sz w:val="24"/>
          <w:szCs w:val="24"/>
        </w:rPr>
        <w:t xml:space="preserve"> </w:t>
      </w:r>
      <w:r w:rsidR="00532DB6" w:rsidRPr="00532DB6">
        <w:rPr>
          <w:spacing w:val="-3"/>
          <w:sz w:val="24"/>
          <w:szCs w:val="24"/>
        </w:rPr>
        <w:t xml:space="preserve">requires SBS Entities to provide all trade acknowledgments electronically.  </w:t>
      </w:r>
      <w:r w:rsidR="00532DB6" w:rsidRPr="004F1BFB">
        <w:rPr>
          <w:spacing w:val="-3"/>
          <w:sz w:val="24"/>
          <w:szCs w:val="24"/>
        </w:rPr>
        <w:t xml:space="preserve">The rule also permits SBS Entities to rely on the services of a </w:t>
      </w:r>
      <w:r w:rsidR="006829D1" w:rsidRPr="004F1BFB">
        <w:rPr>
          <w:spacing w:val="-3"/>
          <w:sz w:val="24"/>
          <w:szCs w:val="24"/>
        </w:rPr>
        <w:t xml:space="preserve">third party </w:t>
      </w:r>
      <w:r w:rsidR="00532DB6" w:rsidRPr="004F1BFB">
        <w:rPr>
          <w:spacing w:val="-3"/>
          <w:sz w:val="24"/>
          <w:szCs w:val="24"/>
        </w:rPr>
        <w:t xml:space="preserve">to provide electronic trade acknowledgments on its behalf. </w:t>
      </w:r>
      <w:r w:rsidR="004F1BFB">
        <w:rPr>
          <w:spacing w:val="-3"/>
          <w:sz w:val="24"/>
          <w:szCs w:val="24"/>
        </w:rPr>
        <w:t xml:space="preserve"> </w:t>
      </w:r>
    </w:p>
    <w:p w:rsidR="006B2CC5" w:rsidRDefault="006B2CC5" w:rsidP="004A53EC">
      <w:pPr>
        <w:tabs>
          <w:tab w:val="left" w:pos="-720"/>
        </w:tabs>
        <w:suppressAutoHyphens/>
        <w:rPr>
          <w:spacing w:val="-3"/>
          <w:sz w:val="24"/>
          <w:szCs w:val="24"/>
        </w:rPr>
      </w:pPr>
    </w:p>
    <w:p w:rsidR="00622813" w:rsidRPr="00532DB6" w:rsidRDefault="00622813" w:rsidP="00A84583">
      <w:pPr>
        <w:keepNext/>
        <w:keepLines/>
        <w:numPr>
          <w:ilvl w:val="0"/>
          <w:numId w:val="1"/>
        </w:numPr>
        <w:tabs>
          <w:tab w:val="left" w:pos="720"/>
        </w:tabs>
        <w:rPr>
          <w:sz w:val="24"/>
          <w:szCs w:val="24"/>
        </w:rPr>
      </w:pPr>
      <w:r w:rsidRPr="00532DB6">
        <w:rPr>
          <w:sz w:val="24"/>
          <w:szCs w:val="24"/>
          <w:u w:val="single"/>
        </w:rPr>
        <w:t>Duplication</w:t>
      </w:r>
    </w:p>
    <w:p w:rsidR="00622813" w:rsidRPr="00532DB6" w:rsidRDefault="00622813" w:rsidP="00A84583">
      <w:pPr>
        <w:keepNext/>
        <w:keepLines/>
        <w:tabs>
          <w:tab w:val="left" w:pos="720"/>
        </w:tabs>
        <w:rPr>
          <w:sz w:val="24"/>
          <w:szCs w:val="24"/>
        </w:rPr>
      </w:pPr>
    </w:p>
    <w:p w:rsidR="00622813" w:rsidRPr="00532DB6" w:rsidRDefault="00622813" w:rsidP="00A84583">
      <w:pPr>
        <w:keepNext/>
        <w:keepLines/>
        <w:tabs>
          <w:tab w:val="left" w:pos="-720"/>
        </w:tabs>
        <w:suppressAutoHyphens/>
        <w:rPr>
          <w:sz w:val="24"/>
          <w:szCs w:val="24"/>
        </w:rPr>
      </w:pPr>
      <w:r w:rsidRPr="00532DB6">
        <w:rPr>
          <w:sz w:val="24"/>
          <w:szCs w:val="24"/>
        </w:rPr>
        <w:tab/>
      </w:r>
      <w:r w:rsidR="004844F8" w:rsidRPr="00573BBD">
        <w:rPr>
          <w:spacing w:val="-3"/>
          <w:sz w:val="24"/>
          <w:szCs w:val="24"/>
        </w:rPr>
        <w:t>Rule 15Fi-2</w:t>
      </w:r>
      <w:r w:rsidR="004844F8">
        <w:rPr>
          <w:spacing w:val="-3"/>
          <w:sz w:val="24"/>
          <w:szCs w:val="24"/>
        </w:rPr>
        <w:t xml:space="preserve"> </w:t>
      </w:r>
      <w:r w:rsidR="00532DB6" w:rsidRPr="00532DB6">
        <w:rPr>
          <w:spacing w:val="-3"/>
          <w:sz w:val="24"/>
          <w:szCs w:val="24"/>
        </w:rPr>
        <w:t>imposes no duplicate information collection requirements on SBS Entities.</w:t>
      </w:r>
    </w:p>
    <w:p w:rsidR="00622813" w:rsidRPr="00532DB6" w:rsidRDefault="00622813" w:rsidP="00573BBD">
      <w:pPr>
        <w:tabs>
          <w:tab w:val="left" w:pos="720"/>
        </w:tabs>
        <w:rPr>
          <w:sz w:val="24"/>
          <w:szCs w:val="24"/>
        </w:rPr>
      </w:pPr>
    </w:p>
    <w:p w:rsidR="00622813" w:rsidRPr="00532DB6" w:rsidRDefault="00573BBD" w:rsidP="00573BBD">
      <w:pPr>
        <w:numPr>
          <w:ilvl w:val="0"/>
          <w:numId w:val="1"/>
        </w:numPr>
        <w:tabs>
          <w:tab w:val="left" w:pos="720"/>
        </w:tabs>
        <w:rPr>
          <w:sz w:val="24"/>
          <w:szCs w:val="24"/>
        </w:rPr>
      </w:pPr>
      <w:r>
        <w:rPr>
          <w:sz w:val="24"/>
          <w:szCs w:val="24"/>
          <w:u w:val="single"/>
        </w:rPr>
        <w:t>Effect</w:t>
      </w:r>
      <w:r w:rsidR="00622813" w:rsidRPr="00532DB6">
        <w:rPr>
          <w:sz w:val="24"/>
          <w:szCs w:val="24"/>
          <w:u w:val="single"/>
        </w:rPr>
        <w:t xml:space="preserve"> on Small Entities</w:t>
      </w:r>
    </w:p>
    <w:p w:rsidR="00622813" w:rsidRPr="00532DB6" w:rsidRDefault="00622813" w:rsidP="00573BBD">
      <w:pPr>
        <w:tabs>
          <w:tab w:val="left" w:pos="720"/>
        </w:tabs>
        <w:rPr>
          <w:sz w:val="24"/>
          <w:szCs w:val="24"/>
        </w:rPr>
      </w:pPr>
    </w:p>
    <w:p w:rsidR="00622813" w:rsidRPr="00532DB6" w:rsidRDefault="00622813" w:rsidP="00573BBD">
      <w:pPr>
        <w:tabs>
          <w:tab w:val="left" w:pos="-720"/>
        </w:tabs>
        <w:suppressAutoHyphens/>
        <w:rPr>
          <w:sz w:val="24"/>
          <w:szCs w:val="24"/>
        </w:rPr>
      </w:pPr>
      <w:r w:rsidRPr="00532DB6">
        <w:rPr>
          <w:sz w:val="24"/>
          <w:szCs w:val="24"/>
        </w:rPr>
        <w:tab/>
      </w:r>
      <w:r w:rsidR="00532DB6" w:rsidRPr="00532DB6">
        <w:rPr>
          <w:spacing w:val="-3"/>
          <w:sz w:val="24"/>
          <w:szCs w:val="24"/>
        </w:rPr>
        <w:t xml:space="preserve">The Commission believes that none of the SBS Entities subject to the </w:t>
      </w:r>
      <w:r w:rsidR="004844F8">
        <w:rPr>
          <w:spacing w:val="-3"/>
          <w:sz w:val="24"/>
          <w:szCs w:val="24"/>
        </w:rPr>
        <w:t>R</w:t>
      </w:r>
      <w:r w:rsidR="00532DB6" w:rsidRPr="00532DB6">
        <w:rPr>
          <w:spacing w:val="-3"/>
          <w:sz w:val="24"/>
          <w:szCs w:val="24"/>
        </w:rPr>
        <w:t>ule</w:t>
      </w:r>
      <w:r w:rsidR="004844F8">
        <w:rPr>
          <w:spacing w:val="-3"/>
          <w:sz w:val="24"/>
          <w:szCs w:val="24"/>
        </w:rPr>
        <w:t>s</w:t>
      </w:r>
      <w:r w:rsidR="00532DB6" w:rsidRPr="00532DB6">
        <w:rPr>
          <w:spacing w:val="-3"/>
          <w:sz w:val="24"/>
          <w:szCs w:val="24"/>
        </w:rPr>
        <w:t xml:space="preserve"> are small entities, and thus, the </w:t>
      </w:r>
      <w:r w:rsidR="00243298">
        <w:rPr>
          <w:spacing w:val="-3"/>
          <w:sz w:val="24"/>
          <w:szCs w:val="24"/>
        </w:rPr>
        <w:t>R</w:t>
      </w:r>
      <w:r w:rsidR="00532DB6" w:rsidRPr="00532DB6">
        <w:rPr>
          <w:spacing w:val="-3"/>
          <w:sz w:val="24"/>
          <w:szCs w:val="24"/>
        </w:rPr>
        <w:t xml:space="preserve">ule </w:t>
      </w:r>
      <w:proofErr w:type="gramStart"/>
      <w:r w:rsidR="00532DB6" w:rsidRPr="00532DB6">
        <w:rPr>
          <w:spacing w:val="-3"/>
          <w:sz w:val="24"/>
          <w:szCs w:val="24"/>
        </w:rPr>
        <w:t>impose</w:t>
      </w:r>
      <w:proofErr w:type="gramEnd"/>
      <w:r w:rsidR="00532DB6" w:rsidRPr="00532DB6">
        <w:rPr>
          <w:spacing w:val="-3"/>
          <w:sz w:val="24"/>
          <w:szCs w:val="24"/>
        </w:rPr>
        <w:t xml:space="preserve"> no burden on small entities.</w:t>
      </w:r>
    </w:p>
    <w:p w:rsidR="00622813" w:rsidRPr="00532DB6" w:rsidRDefault="00622813" w:rsidP="00573BBD">
      <w:pPr>
        <w:pStyle w:val="BodyText"/>
        <w:rPr>
          <w:szCs w:val="24"/>
        </w:rPr>
      </w:pPr>
    </w:p>
    <w:p w:rsidR="00622813" w:rsidRPr="00532DB6" w:rsidRDefault="00622813" w:rsidP="00573BBD">
      <w:pPr>
        <w:pStyle w:val="BodyText"/>
        <w:numPr>
          <w:ilvl w:val="0"/>
          <w:numId w:val="1"/>
        </w:numPr>
        <w:rPr>
          <w:szCs w:val="24"/>
        </w:rPr>
      </w:pPr>
      <w:r w:rsidRPr="00532DB6">
        <w:rPr>
          <w:szCs w:val="24"/>
          <w:u w:val="single"/>
        </w:rPr>
        <w:t xml:space="preserve">Consequences of </w:t>
      </w:r>
      <w:r w:rsidR="00FA6162" w:rsidRPr="00532DB6">
        <w:rPr>
          <w:szCs w:val="24"/>
          <w:u w:val="single"/>
        </w:rPr>
        <w:t>Not Conducting Collection</w:t>
      </w:r>
    </w:p>
    <w:p w:rsidR="00622813" w:rsidRPr="00532DB6" w:rsidRDefault="00622813" w:rsidP="00573BBD">
      <w:pPr>
        <w:pStyle w:val="BodyText"/>
        <w:rPr>
          <w:szCs w:val="24"/>
        </w:rPr>
      </w:pPr>
    </w:p>
    <w:p w:rsidR="00622813" w:rsidRPr="00532DB6" w:rsidRDefault="00622813" w:rsidP="00573BBD">
      <w:pPr>
        <w:tabs>
          <w:tab w:val="left" w:pos="-720"/>
        </w:tabs>
        <w:suppressAutoHyphens/>
        <w:rPr>
          <w:sz w:val="24"/>
          <w:szCs w:val="24"/>
        </w:rPr>
      </w:pPr>
      <w:r w:rsidRPr="00532DB6">
        <w:rPr>
          <w:sz w:val="24"/>
          <w:szCs w:val="24"/>
        </w:rPr>
        <w:tab/>
      </w:r>
      <w:r w:rsidR="00532DB6" w:rsidRPr="00532DB6">
        <w:rPr>
          <w:spacing w:val="-3"/>
          <w:sz w:val="24"/>
          <w:szCs w:val="24"/>
        </w:rPr>
        <w:t>The information is collected as each transaction warrants</w:t>
      </w:r>
      <w:r w:rsidR="00E51528">
        <w:rPr>
          <w:spacing w:val="-3"/>
          <w:sz w:val="24"/>
          <w:szCs w:val="24"/>
        </w:rPr>
        <w:t>,</w:t>
      </w:r>
      <w:r w:rsidR="00532DB6" w:rsidRPr="00532DB6">
        <w:rPr>
          <w:spacing w:val="-3"/>
          <w:sz w:val="24"/>
          <w:szCs w:val="24"/>
        </w:rPr>
        <w:t xml:space="preserve"> and therefore there is no way to omit the information collection requirements or require less frequent collection without undermining the purpose</w:t>
      </w:r>
      <w:r w:rsidR="004844F8">
        <w:rPr>
          <w:spacing w:val="-3"/>
          <w:sz w:val="24"/>
          <w:szCs w:val="24"/>
        </w:rPr>
        <w:t xml:space="preserve"> of the R</w:t>
      </w:r>
      <w:r w:rsidR="00532DB6" w:rsidRPr="00532DB6">
        <w:rPr>
          <w:spacing w:val="-3"/>
          <w:sz w:val="24"/>
          <w:szCs w:val="24"/>
        </w:rPr>
        <w:t>ule</w:t>
      </w:r>
      <w:r w:rsidR="004844F8">
        <w:rPr>
          <w:spacing w:val="-3"/>
          <w:sz w:val="24"/>
          <w:szCs w:val="24"/>
        </w:rPr>
        <w:t>s</w:t>
      </w:r>
      <w:r w:rsidR="00532DB6" w:rsidRPr="00532DB6">
        <w:rPr>
          <w:spacing w:val="-3"/>
          <w:sz w:val="24"/>
          <w:szCs w:val="24"/>
        </w:rPr>
        <w:t>.</w:t>
      </w:r>
    </w:p>
    <w:p w:rsidR="00622813" w:rsidRPr="00532DB6" w:rsidRDefault="00622813" w:rsidP="00573BBD">
      <w:pPr>
        <w:pStyle w:val="BodyText"/>
        <w:rPr>
          <w:szCs w:val="24"/>
        </w:rPr>
      </w:pPr>
    </w:p>
    <w:p w:rsidR="00622813" w:rsidRPr="00532DB6" w:rsidRDefault="00622813" w:rsidP="00573BBD">
      <w:pPr>
        <w:pStyle w:val="BodyText"/>
        <w:numPr>
          <w:ilvl w:val="0"/>
          <w:numId w:val="1"/>
        </w:numPr>
        <w:rPr>
          <w:szCs w:val="24"/>
        </w:rPr>
      </w:pPr>
      <w:r w:rsidRPr="00532DB6">
        <w:rPr>
          <w:szCs w:val="24"/>
          <w:u w:val="single"/>
        </w:rPr>
        <w:t>Inconsistencies with Guidelines in 5 CFR 1320.5(d)(2)</w:t>
      </w:r>
    </w:p>
    <w:p w:rsidR="00622813" w:rsidRPr="00E51528" w:rsidRDefault="00622813" w:rsidP="00573BBD">
      <w:pPr>
        <w:pStyle w:val="BodyText"/>
        <w:rPr>
          <w:spacing w:val="-3"/>
          <w:szCs w:val="24"/>
        </w:rPr>
      </w:pPr>
    </w:p>
    <w:p w:rsidR="00E51528" w:rsidRPr="00E51528" w:rsidRDefault="00622813" w:rsidP="00E51528">
      <w:pPr>
        <w:tabs>
          <w:tab w:val="left" w:pos="0"/>
        </w:tabs>
        <w:suppressAutoHyphens/>
        <w:rPr>
          <w:spacing w:val="-3"/>
          <w:sz w:val="24"/>
          <w:szCs w:val="24"/>
        </w:rPr>
      </w:pPr>
      <w:r w:rsidRPr="00E51528">
        <w:rPr>
          <w:spacing w:val="-3"/>
          <w:sz w:val="24"/>
          <w:szCs w:val="24"/>
        </w:rPr>
        <w:tab/>
      </w:r>
      <w:r w:rsidR="00E51528" w:rsidRPr="00E51528">
        <w:rPr>
          <w:spacing w:val="-3"/>
          <w:sz w:val="24"/>
          <w:szCs w:val="24"/>
        </w:rPr>
        <w:t>There are no special circumstances. This collection is consistent with the guidelines in 5 CFR 1320.5(d</w:t>
      </w:r>
      <w:proofErr w:type="gramStart"/>
      <w:r w:rsidR="00E51528" w:rsidRPr="00E51528">
        <w:rPr>
          <w:spacing w:val="-3"/>
          <w:sz w:val="24"/>
          <w:szCs w:val="24"/>
        </w:rPr>
        <w:t>)(</w:t>
      </w:r>
      <w:proofErr w:type="gramEnd"/>
      <w:r w:rsidR="00E51528" w:rsidRPr="00E51528">
        <w:rPr>
          <w:spacing w:val="-3"/>
          <w:sz w:val="24"/>
          <w:szCs w:val="24"/>
        </w:rPr>
        <w:t>2).</w:t>
      </w:r>
      <w:r w:rsidR="001019BB">
        <w:rPr>
          <w:spacing w:val="-3"/>
          <w:sz w:val="24"/>
          <w:szCs w:val="24"/>
        </w:rPr>
        <w:t xml:space="preserve">  </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Consultations Outside the Agency</w:t>
      </w:r>
    </w:p>
    <w:p w:rsidR="00622813" w:rsidRPr="00532DB6" w:rsidRDefault="00622813" w:rsidP="00573BBD">
      <w:pPr>
        <w:pStyle w:val="BodyText"/>
        <w:rPr>
          <w:szCs w:val="24"/>
        </w:rPr>
      </w:pPr>
    </w:p>
    <w:p w:rsidR="00112ADA" w:rsidRPr="00CD58D8" w:rsidRDefault="00E51528" w:rsidP="003E5A81">
      <w:pPr>
        <w:pStyle w:val="Title"/>
        <w:ind w:firstLine="720"/>
        <w:jc w:val="left"/>
        <w:rPr>
          <w:szCs w:val="24"/>
          <w:u w:val="none"/>
        </w:rPr>
      </w:pPr>
      <w:r w:rsidRPr="00112ADA">
        <w:rPr>
          <w:b w:val="0"/>
          <w:szCs w:val="24"/>
          <w:u w:val="none"/>
        </w:rPr>
        <w:t xml:space="preserve">The Commission requested comment on the collection of information requirements in the proposing release in </w:t>
      </w:r>
      <w:r w:rsidR="001019BB" w:rsidRPr="00112ADA">
        <w:rPr>
          <w:b w:val="0"/>
          <w:szCs w:val="24"/>
          <w:u w:val="none"/>
        </w:rPr>
        <w:t>January 2011</w:t>
      </w:r>
      <w:r w:rsidRPr="00112ADA">
        <w:rPr>
          <w:b w:val="0"/>
          <w:szCs w:val="24"/>
          <w:u w:val="none"/>
        </w:rPr>
        <w:t>.</w:t>
      </w:r>
      <w:r w:rsidR="001019BB" w:rsidRPr="00112ADA">
        <w:rPr>
          <w:rStyle w:val="FootnoteReference"/>
          <w:b w:val="0"/>
          <w:szCs w:val="24"/>
          <w:u w:val="none"/>
        </w:rPr>
        <w:footnoteReference w:id="4"/>
      </w:r>
      <w:r w:rsidR="001019BB" w:rsidRPr="00112ADA">
        <w:rPr>
          <w:b w:val="0"/>
          <w:szCs w:val="24"/>
          <w:u w:val="none"/>
        </w:rPr>
        <w:t xml:space="preserve"> </w:t>
      </w:r>
      <w:r w:rsidRPr="00112ADA">
        <w:rPr>
          <w:b w:val="0"/>
          <w:szCs w:val="24"/>
          <w:u w:val="none"/>
        </w:rPr>
        <w:t xml:space="preserve"> </w:t>
      </w:r>
      <w:r w:rsidR="00B81811" w:rsidRPr="00B81811">
        <w:rPr>
          <w:b w:val="0"/>
          <w:szCs w:val="24"/>
          <w:u w:val="none"/>
        </w:rPr>
        <w:t xml:space="preserve">All comments received on this rulemaking were posted on </w:t>
      </w:r>
      <w:r w:rsidR="004844F8">
        <w:rPr>
          <w:b w:val="0"/>
          <w:szCs w:val="24"/>
          <w:u w:val="none"/>
        </w:rPr>
        <w:t>the Commission’s public website</w:t>
      </w:r>
      <w:r w:rsidR="00B81811" w:rsidRPr="00B81811">
        <w:rPr>
          <w:b w:val="0"/>
          <w:szCs w:val="24"/>
          <w:u w:val="none"/>
        </w:rPr>
        <w:t xml:space="preserve"> and made available through</w:t>
      </w:r>
      <w:r w:rsidR="00B81811" w:rsidRPr="00112ADA">
        <w:rPr>
          <w:b w:val="0"/>
          <w:szCs w:val="24"/>
          <w:u w:val="none"/>
        </w:rPr>
        <w:t xml:space="preserve"> </w:t>
      </w:r>
      <w:hyperlink r:id="rId13" w:history="1">
        <w:r w:rsidR="00B81811" w:rsidRPr="00293701">
          <w:rPr>
            <w:rStyle w:val="Hyperlink"/>
            <w:b w:val="0"/>
            <w:szCs w:val="24"/>
          </w:rPr>
          <w:t>https://www.sec.gov/comments/s7-03-11/s70311.shtml</w:t>
        </w:r>
      </w:hyperlink>
      <w:r w:rsidR="00B81811">
        <w:rPr>
          <w:b w:val="0"/>
          <w:szCs w:val="24"/>
          <w:u w:val="none"/>
        </w:rPr>
        <w:t xml:space="preserve">. </w:t>
      </w:r>
      <w:r w:rsidR="00B81811" w:rsidRPr="00B81811">
        <w:rPr>
          <w:b w:val="0"/>
          <w:szCs w:val="24"/>
          <w:u w:val="none"/>
        </w:rPr>
        <w:t xml:space="preserve"> </w:t>
      </w:r>
      <w:r w:rsidR="00112ADA" w:rsidRPr="00112ADA">
        <w:rPr>
          <w:b w:val="0"/>
          <w:szCs w:val="24"/>
          <w:u w:val="none"/>
        </w:rPr>
        <w:t>The Commission receiv</w:t>
      </w:r>
      <w:r w:rsidR="00C57513">
        <w:rPr>
          <w:b w:val="0"/>
          <w:szCs w:val="24"/>
          <w:u w:val="none"/>
        </w:rPr>
        <w:t xml:space="preserve">ed one comment </w:t>
      </w:r>
      <w:r w:rsidR="006F2E4F">
        <w:rPr>
          <w:b w:val="0"/>
          <w:szCs w:val="24"/>
          <w:u w:val="none"/>
        </w:rPr>
        <w:t xml:space="preserve">to the cost-benefit analysis concerning the </w:t>
      </w:r>
      <w:r w:rsidR="003E5A81">
        <w:rPr>
          <w:b w:val="0"/>
          <w:szCs w:val="24"/>
          <w:u w:val="none"/>
        </w:rPr>
        <w:t xml:space="preserve">monetized </w:t>
      </w:r>
      <w:r w:rsidR="00C57513">
        <w:rPr>
          <w:b w:val="0"/>
          <w:szCs w:val="24"/>
          <w:u w:val="none"/>
        </w:rPr>
        <w:t xml:space="preserve">cost </w:t>
      </w:r>
      <w:r w:rsidR="003E5A81">
        <w:rPr>
          <w:b w:val="0"/>
          <w:szCs w:val="24"/>
          <w:u w:val="none"/>
        </w:rPr>
        <w:t xml:space="preserve">for the burden </w:t>
      </w:r>
      <w:r w:rsidR="00C57513">
        <w:rPr>
          <w:b w:val="0"/>
          <w:szCs w:val="24"/>
          <w:u w:val="none"/>
        </w:rPr>
        <w:t>estimate</w:t>
      </w:r>
      <w:r w:rsidR="006F2E4F">
        <w:rPr>
          <w:b w:val="0"/>
          <w:szCs w:val="24"/>
          <w:u w:val="none"/>
        </w:rPr>
        <w:t xml:space="preserve"> for developing an </w:t>
      </w:r>
      <w:r w:rsidR="00F4335B">
        <w:rPr>
          <w:b w:val="0"/>
          <w:szCs w:val="24"/>
          <w:u w:val="none"/>
        </w:rPr>
        <w:t>internal order and trade management system (“OMS”)</w:t>
      </w:r>
      <w:r w:rsidR="00C57513">
        <w:rPr>
          <w:b w:val="0"/>
          <w:szCs w:val="24"/>
          <w:u w:val="none"/>
        </w:rPr>
        <w:t>.  The</w:t>
      </w:r>
      <w:r w:rsidR="00112ADA" w:rsidRPr="00112ADA">
        <w:rPr>
          <w:b w:val="0"/>
          <w:szCs w:val="24"/>
          <w:u w:val="none"/>
        </w:rPr>
        <w:t xml:space="preserve"> </w:t>
      </w:r>
      <w:r w:rsidR="001019BB" w:rsidRPr="00112ADA">
        <w:rPr>
          <w:b w:val="0"/>
          <w:szCs w:val="24"/>
          <w:u w:val="none"/>
        </w:rPr>
        <w:t xml:space="preserve">commenter </w:t>
      </w:r>
      <w:r w:rsidR="00112ADA" w:rsidRPr="00112ADA">
        <w:rPr>
          <w:b w:val="0"/>
          <w:szCs w:val="24"/>
          <w:u w:val="none"/>
        </w:rPr>
        <w:t xml:space="preserve">said the </w:t>
      </w:r>
      <w:r w:rsidR="001019BB" w:rsidRPr="00112ADA">
        <w:rPr>
          <w:b w:val="0"/>
          <w:szCs w:val="24"/>
          <w:u w:val="none"/>
        </w:rPr>
        <w:t>Commission</w:t>
      </w:r>
      <w:r w:rsidR="00112ADA" w:rsidRPr="00112ADA">
        <w:rPr>
          <w:b w:val="0"/>
          <w:szCs w:val="24"/>
          <w:u w:val="none"/>
        </w:rPr>
        <w:t xml:space="preserve"> very seriously under</w:t>
      </w:r>
      <w:r w:rsidR="001019BB" w:rsidRPr="00112ADA">
        <w:rPr>
          <w:b w:val="0"/>
          <w:szCs w:val="24"/>
          <w:u w:val="none"/>
        </w:rPr>
        <w:t>estimate</w:t>
      </w:r>
      <w:r w:rsidR="00C95DF9">
        <w:rPr>
          <w:b w:val="0"/>
          <w:szCs w:val="24"/>
          <w:u w:val="none"/>
        </w:rPr>
        <w:t xml:space="preserve">d </w:t>
      </w:r>
      <w:r w:rsidR="001019BB" w:rsidRPr="00112ADA">
        <w:rPr>
          <w:b w:val="0"/>
          <w:szCs w:val="24"/>
          <w:u w:val="none"/>
        </w:rPr>
        <w:t xml:space="preserve">the </w:t>
      </w:r>
      <w:r w:rsidR="003E5A81">
        <w:rPr>
          <w:b w:val="0"/>
          <w:szCs w:val="24"/>
          <w:u w:val="none"/>
        </w:rPr>
        <w:t xml:space="preserve">monetized </w:t>
      </w:r>
      <w:r w:rsidR="001019BB" w:rsidRPr="00112ADA">
        <w:rPr>
          <w:b w:val="0"/>
          <w:szCs w:val="24"/>
          <w:u w:val="none"/>
        </w:rPr>
        <w:t xml:space="preserve">cost for each SBS Entity to develop </w:t>
      </w:r>
      <w:r w:rsidR="006F2E4F">
        <w:rPr>
          <w:b w:val="0"/>
          <w:szCs w:val="24"/>
          <w:u w:val="none"/>
        </w:rPr>
        <w:t xml:space="preserve">an </w:t>
      </w:r>
      <w:r w:rsidR="00C57513">
        <w:rPr>
          <w:b w:val="0"/>
          <w:szCs w:val="24"/>
          <w:u w:val="none"/>
        </w:rPr>
        <w:t xml:space="preserve">OMS, but provided </w:t>
      </w:r>
      <w:r w:rsidR="00C57513" w:rsidRPr="00112ADA">
        <w:rPr>
          <w:b w:val="0"/>
          <w:szCs w:val="24"/>
          <w:u w:val="none"/>
        </w:rPr>
        <w:t>no estimates</w:t>
      </w:r>
      <w:r w:rsidR="003E5A81">
        <w:rPr>
          <w:b w:val="0"/>
          <w:szCs w:val="24"/>
          <w:u w:val="none"/>
        </w:rPr>
        <w:t xml:space="preserve"> of what it should be</w:t>
      </w:r>
      <w:r w:rsidR="00112ADA" w:rsidRPr="00112ADA">
        <w:rPr>
          <w:b w:val="0"/>
          <w:szCs w:val="24"/>
          <w:u w:val="none"/>
        </w:rPr>
        <w:t>.</w:t>
      </w:r>
      <w:r w:rsidR="00112ADA" w:rsidRPr="00112ADA">
        <w:rPr>
          <w:rStyle w:val="FootnoteReference"/>
          <w:b w:val="0"/>
          <w:szCs w:val="24"/>
          <w:u w:val="none"/>
        </w:rPr>
        <w:footnoteReference w:id="5"/>
      </w:r>
      <w:r w:rsidR="00112ADA" w:rsidRPr="00112ADA">
        <w:rPr>
          <w:b w:val="0"/>
          <w:szCs w:val="24"/>
          <w:u w:val="none"/>
        </w:rPr>
        <w:t xml:space="preserve">  The</w:t>
      </w:r>
      <w:r w:rsidR="00112ADA" w:rsidRPr="001019BB">
        <w:rPr>
          <w:b w:val="0"/>
          <w:szCs w:val="24"/>
          <w:u w:val="none"/>
        </w:rPr>
        <w:t xml:space="preserve"> commenter subsequently stated to Commission staff that </w:t>
      </w:r>
      <w:r w:rsidR="00C95DF9">
        <w:rPr>
          <w:b w:val="0"/>
          <w:szCs w:val="24"/>
          <w:u w:val="none"/>
        </w:rPr>
        <w:t xml:space="preserve">since making that comment, </w:t>
      </w:r>
      <w:r w:rsidR="00112ADA" w:rsidRPr="001019BB">
        <w:rPr>
          <w:b w:val="0"/>
          <w:szCs w:val="24"/>
          <w:u w:val="none"/>
        </w:rPr>
        <w:t>SBS Entities ha</w:t>
      </w:r>
      <w:r w:rsidR="00C95DF9">
        <w:rPr>
          <w:b w:val="0"/>
          <w:szCs w:val="24"/>
          <w:u w:val="none"/>
        </w:rPr>
        <w:t>d</w:t>
      </w:r>
      <w:r w:rsidR="00112ADA" w:rsidRPr="001019BB">
        <w:rPr>
          <w:b w:val="0"/>
          <w:szCs w:val="24"/>
          <w:u w:val="none"/>
        </w:rPr>
        <w:t xml:space="preserve"> develope</w:t>
      </w:r>
      <w:r w:rsidR="00C95DF9">
        <w:rPr>
          <w:b w:val="0"/>
          <w:szCs w:val="24"/>
          <w:u w:val="none"/>
        </w:rPr>
        <w:t xml:space="preserve">d OMSs to comply with the </w:t>
      </w:r>
      <w:r w:rsidR="00C95DF9" w:rsidRPr="00D45748">
        <w:rPr>
          <w:b w:val="0"/>
          <w:szCs w:val="24"/>
          <w:u w:val="none"/>
        </w:rPr>
        <w:t xml:space="preserve">CFTC </w:t>
      </w:r>
      <w:r w:rsidR="00D45748" w:rsidRPr="00D45748">
        <w:rPr>
          <w:b w:val="0"/>
          <w:szCs w:val="24"/>
          <w:u w:val="none"/>
        </w:rPr>
        <w:t>R</w:t>
      </w:r>
      <w:r w:rsidR="00112ADA" w:rsidRPr="00D45748">
        <w:rPr>
          <w:b w:val="0"/>
          <w:szCs w:val="24"/>
          <w:u w:val="none"/>
        </w:rPr>
        <w:t>ule</w:t>
      </w:r>
      <w:r w:rsidR="00C95DF9" w:rsidRPr="00C95DF9">
        <w:rPr>
          <w:b w:val="0"/>
          <w:szCs w:val="24"/>
          <w:u w:val="none"/>
        </w:rPr>
        <w:t>,</w:t>
      </w:r>
      <w:r w:rsidR="00112ADA" w:rsidRPr="001019BB">
        <w:rPr>
          <w:b w:val="0"/>
          <w:szCs w:val="24"/>
          <w:u w:val="none"/>
        </w:rPr>
        <w:t xml:space="preserve"> and the </w:t>
      </w:r>
      <w:r w:rsidR="003E5A81">
        <w:rPr>
          <w:b w:val="0"/>
          <w:szCs w:val="24"/>
          <w:u w:val="none"/>
        </w:rPr>
        <w:t xml:space="preserve">monetized </w:t>
      </w:r>
      <w:r w:rsidR="00112ADA" w:rsidRPr="001019BB">
        <w:rPr>
          <w:b w:val="0"/>
          <w:szCs w:val="24"/>
          <w:u w:val="none"/>
        </w:rPr>
        <w:lastRenderedPageBreak/>
        <w:t xml:space="preserve">cost of modifying the </w:t>
      </w:r>
      <w:r w:rsidR="003E5A81">
        <w:rPr>
          <w:b w:val="0"/>
          <w:szCs w:val="24"/>
          <w:u w:val="none"/>
        </w:rPr>
        <w:t xml:space="preserve">existing </w:t>
      </w:r>
      <w:r w:rsidR="00112ADA" w:rsidRPr="001019BB">
        <w:rPr>
          <w:b w:val="0"/>
          <w:szCs w:val="24"/>
          <w:u w:val="none"/>
        </w:rPr>
        <w:t xml:space="preserve">OMSs to comply with the Commission </w:t>
      </w:r>
      <w:r w:rsidR="00243298">
        <w:rPr>
          <w:b w:val="0"/>
          <w:szCs w:val="24"/>
          <w:u w:val="none"/>
        </w:rPr>
        <w:t>r</w:t>
      </w:r>
      <w:r w:rsidR="00112ADA" w:rsidRPr="001019BB">
        <w:rPr>
          <w:b w:val="0"/>
          <w:szCs w:val="24"/>
          <w:u w:val="none"/>
        </w:rPr>
        <w:t xml:space="preserve">ule </w:t>
      </w:r>
      <w:r w:rsidR="00C95DF9">
        <w:rPr>
          <w:b w:val="0"/>
          <w:szCs w:val="24"/>
          <w:u w:val="none"/>
        </w:rPr>
        <w:t>would</w:t>
      </w:r>
      <w:r w:rsidR="00112ADA" w:rsidRPr="001019BB">
        <w:rPr>
          <w:b w:val="0"/>
          <w:szCs w:val="24"/>
          <w:u w:val="none"/>
        </w:rPr>
        <w:t xml:space="preserve"> depend on how close</w:t>
      </w:r>
      <w:r w:rsidR="00C95DF9">
        <w:rPr>
          <w:b w:val="0"/>
          <w:szCs w:val="24"/>
          <w:u w:val="none"/>
        </w:rPr>
        <w:t>ly aligned the Commission rule wa</w:t>
      </w:r>
      <w:r w:rsidR="00112ADA" w:rsidRPr="001019BB">
        <w:rPr>
          <w:b w:val="0"/>
          <w:szCs w:val="24"/>
          <w:u w:val="none"/>
        </w:rPr>
        <w:t>s to the CFTC Rule.</w:t>
      </w:r>
      <w:r w:rsidR="00112ADA" w:rsidRPr="001019BB">
        <w:rPr>
          <w:szCs w:val="24"/>
          <w:u w:val="none"/>
        </w:rPr>
        <w:t xml:space="preserve"> </w:t>
      </w:r>
      <w:r w:rsidR="00112ADA" w:rsidRPr="00C95DF9">
        <w:rPr>
          <w:rStyle w:val="FootnoteReference"/>
          <w:b w:val="0"/>
          <w:u w:val="none"/>
        </w:rPr>
        <w:footnoteReference w:id="6"/>
      </w:r>
      <w:r w:rsidR="00112ADA" w:rsidRPr="00C95DF9">
        <w:rPr>
          <w:rStyle w:val="FootnoteReference"/>
          <w:u w:val="none"/>
        </w:rPr>
        <w:t xml:space="preserve"> </w:t>
      </w:r>
      <w:r w:rsidR="00112ADA" w:rsidRPr="001019BB">
        <w:rPr>
          <w:b w:val="0"/>
          <w:szCs w:val="24"/>
          <w:u w:val="none"/>
        </w:rPr>
        <w:t xml:space="preserve">  Since the rule the Commission </w:t>
      </w:r>
      <w:r w:rsidR="00C95DF9">
        <w:rPr>
          <w:b w:val="0"/>
          <w:szCs w:val="24"/>
          <w:u w:val="none"/>
        </w:rPr>
        <w:t>adopted</w:t>
      </w:r>
      <w:r w:rsidR="00112ADA" w:rsidRPr="001019BB">
        <w:rPr>
          <w:b w:val="0"/>
          <w:szCs w:val="24"/>
          <w:u w:val="none"/>
        </w:rPr>
        <w:t xml:space="preserve"> is much more closely aligned with the </w:t>
      </w:r>
      <w:r w:rsidR="00112ADA" w:rsidRPr="00D45748">
        <w:rPr>
          <w:b w:val="0"/>
          <w:szCs w:val="24"/>
          <w:u w:val="none"/>
        </w:rPr>
        <w:t>CFTC Rule</w:t>
      </w:r>
      <w:r w:rsidR="003E5A81">
        <w:rPr>
          <w:b w:val="0"/>
          <w:szCs w:val="24"/>
          <w:u w:val="none"/>
        </w:rPr>
        <w:t xml:space="preserve"> than the proposed rule was</w:t>
      </w:r>
      <w:proofErr w:type="gramStart"/>
      <w:r w:rsidR="003E5A81">
        <w:rPr>
          <w:b w:val="0"/>
          <w:szCs w:val="24"/>
          <w:u w:val="none"/>
        </w:rPr>
        <w:t>,</w:t>
      </w:r>
      <w:proofErr w:type="gramEnd"/>
      <w:r w:rsidR="00112ADA" w:rsidRPr="001019BB">
        <w:rPr>
          <w:b w:val="0"/>
          <w:szCs w:val="24"/>
          <w:u w:val="none"/>
        </w:rPr>
        <w:t xml:space="preserve"> </w:t>
      </w:r>
      <w:r w:rsidR="00112ADA" w:rsidRPr="00B81811">
        <w:rPr>
          <w:b w:val="0"/>
          <w:szCs w:val="24"/>
          <w:u w:val="none"/>
        </w:rPr>
        <w:t>we</w:t>
      </w:r>
      <w:r w:rsidR="00112ADA" w:rsidRPr="001019BB">
        <w:rPr>
          <w:b w:val="0"/>
          <w:szCs w:val="24"/>
          <w:u w:val="none"/>
        </w:rPr>
        <w:t xml:space="preserve"> believe our original estimates d</w:t>
      </w:r>
      <w:r w:rsidR="00C95DF9">
        <w:rPr>
          <w:b w:val="0"/>
          <w:szCs w:val="24"/>
          <w:u w:val="none"/>
        </w:rPr>
        <w:t>id</w:t>
      </w:r>
      <w:r w:rsidR="00112ADA" w:rsidRPr="001019BB">
        <w:rPr>
          <w:b w:val="0"/>
          <w:szCs w:val="24"/>
          <w:u w:val="none"/>
        </w:rPr>
        <w:t xml:space="preserve"> not underestimate the actual </w:t>
      </w:r>
      <w:r w:rsidR="003E5A81">
        <w:rPr>
          <w:b w:val="0"/>
          <w:szCs w:val="24"/>
          <w:u w:val="none"/>
        </w:rPr>
        <w:t xml:space="preserve">burden and monetized </w:t>
      </w:r>
      <w:r w:rsidR="00112ADA" w:rsidRPr="001019BB">
        <w:rPr>
          <w:b w:val="0"/>
          <w:szCs w:val="24"/>
          <w:u w:val="none"/>
        </w:rPr>
        <w:t>cost of the rule as adopted</w:t>
      </w:r>
      <w:r w:rsidR="002A473B">
        <w:rPr>
          <w:b w:val="0"/>
          <w:szCs w:val="24"/>
          <w:u w:val="none"/>
        </w:rPr>
        <w:t xml:space="preserve">, </w:t>
      </w:r>
      <w:r w:rsidR="003E5A81">
        <w:rPr>
          <w:b w:val="0"/>
          <w:szCs w:val="24"/>
          <w:u w:val="none"/>
        </w:rPr>
        <w:t>so</w:t>
      </w:r>
      <w:r w:rsidR="002A473B">
        <w:rPr>
          <w:b w:val="0"/>
          <w:szCs w:val="24"/>
          <w:u w:val="none"/>
        </w:rPr>
        <w:t xml:space="preserve"> we did not revise </w:t>
      </w:r>
      <w:r w:rsidR="003E5A81">
        <w:rPr>
          <w:b w:val="0"/>
          <w:szCs w:val="24"/>
          <w:u w:val="none"/>
        </w:rPr>
        <w:t>them</w:t>
      </w:r>
      <w:r w:rsidR="002A473B">
        <w:rPr>
          <w:b w:val="0"/>
          <w:szCs w:val="24"/>
          <w:u w:val="none"/>
        </w:rPr>
        <w:t>.</w:t>
      </w:r>
      <w:r w:rsidR="00CD58D8">
        <w:rPr>
          <w:b w:val="0"/>
          <w:szCs w:val="24"/>
          <w:u w:val="none"/>
        </w:rPr>
        <w:t xml:space="preserve">  </w:t>
      </w:r>
    </w:p>
    <w:p w:rsidR="001019BB" w:rsidRDefault="001019BB" w:rsidP="001019BB">
      <w:pPr>
        <w:rPr>
          <w:sz w:val="24"/>
          <w:szCs w:val="24"/>
        </w:rPr>
      </w:pPr>
    </w:p>
    <w:p w:rsidR="00622813" w:rsidRPr="00532DB6" w:rsidRDefault="00622813">
      <w:pPr>
        <w:pStyle w:val="BodyText"/>
        <w:numPr>
          <w:ilvl w:val="0"/>
          <w:numId w:val="1"/>
        </w:numPr>
        <w:rPr>
          <w:szCs w:val="24"/>
        </w:rPr>
      </w:pPr>
      <w:r w:rsidRPr="00532DB6">
        <w:rPr>
          <w:szCs w:val="24"/>
          <w:u w:val="single"/>
        </w:rPr>
        <w:t>Payment or Gift</w:t>
      </w:r>
    </w:p>
    <w:p w:rsidR="00622813" w:rsidRPr="00532DB6" w:rsidRDefault="00622813">
      <w:pPr>
        <w:pStyle w:val="BodyText"/>
        <w:rPr>
          <w:szCs w:val="24"/>
        </w:rPr>
      </w:pPr>
    </w:p>
    <w:p w:rsidR="00622813" w:rsidRPr="00532DB6" w:rsidRDefault="00622813" w:rsidP="006F2E4F">
      <w:pPr>
        <w:tabs>
          <w:tab w:val="left" w:pos="-720"/>
        </w:tabs>
        <w:suppressAutoHyphens/>
        <w:rPr>
          <w:sz w:val="24"/>
          <w:szCs w:val="24"/>
        </w:rPr>
      </w:pPr>
      <w:r w:rsidRPr="00532DB6">
        <w:rPr>
          <w:sz w:val="24"/>
          <w:szCs w:val="24"/>
        </w:rPr>
        <w:tab/>
      </w:r>
      <w:r w:rsidR="00054021" w:rsidRPr="00054021">
        <w:rPr>
          <w:sz w:val="24"/>
          <w:szCs w:val="24"/>
        </w:rPr>
        <w:t>Not applicable.</w:t>
      </w:r>
    </w:p>
    <w:p w:rsidR="00622813" w:rsidRPr="00532DB6" w:rsidRDefault="00622813">
      <w:pPr>
        <w:pStyle w:val="BodyText"/>
        <w:rPr>
          <w:szCs w:val="24"/>
        </w:rPr>
      </w:pPr>
    </w:p>
    <w:p w:rsidR="00622813" w:rsidRPr="00EF1906" w:rsidRDefault="00622813">
      <w:pPr>
        <w:pStyle w:val="BodyText"/>
        <w:numPr>
          <w:ilvl w:val="0"/>
          <w:numId w:val="1"/>
        </w:numPr>
        <w:rPr>
          <w:szCs w:val="24"/>
        </w:rPr>
      </w:pPr>
      <w:r w:rsidRPr="00EF1906">
        <w:rPr>
          <w:szCs w:val="24"/>
          <w:u w:val="single"/>
        </w:rPr>
        <w:t>Confidentiality</w:t>
      </w:r>
    </w:p>
    <w:p w:rsidR="00622813" w:rsidRPr="00EF1906" w:rsidRDefault="00622813">
      <w:pPr>
        <w:pStyle w:val="BodyText"/>
        <w:rPr>
          <w:szCs w:val="24"/>
        </w:rPr>
      </w:pPr>
    </w:p>
    <w:p w:rsidR="0056602C" w:rsidRPr="0056602C" w:rsidRDefault="00622813" w:rsidP="0056602C">
      <w:pPr>
        <w:tabs>
          <w:tab w:val="left" w:pos="-720"/>
        </w:tabs>
        <w:suppressAutoHyphens/>
        <w:spacing w:after="240"/>
        <w:rPr>
          <w:sz w:val="24"/>
          <w:szCs w:val="24"/>
        </w:rPr>
      </w:pPr>
      <w:r w:rsidRPr="00EF1906">
        <w:rPr>
          <w:sz w:val="24"/>
          <w:szCs w:val="24"/>
        </w:rPr>
        <w:tab/>
      </w:r>
      <w:r w:rsidR="00EF1906" w:rsidRPr="00EF1906">
        <w:rPr>
          <w:sz w:val="24"/>
          <w:szCs w:val="24"/>
        </w:rPr>
        <w:t xml:space="preserve">By its terms, </w:t>
      </w:r>
      <w:r w:rsidR="00E51528" w:rsidRPr="00573BBD">
        <w:rPr>
          <w:spacing w:val="-3"/>
          <w:sz w:val="24"/>
          <w:szCs w:val="24"/>
        </w:rPr>
        <w:t xml:space="preserve">Rule 15Fi-2 </w:t>
      </w:r>
      <w:r w:rsidR="000D708C">
        <w:rPr>
          <w:spacing w:val="-3"/>
          <w:sz w:val="24"/>
          <w:szCs w:val="24"/>
        </w:rPr>
        <w:t xml:space="preserve">does not require respondents to share information with the Commission </w:t>
      </w:r>
      <w:r w:rsidR="00996984">
        <w:rPr>
          <w:spacing w:val="-3"/>
          <w:sz w:val="24"/>
          <w:szCs w:val="24"/>
        </w:rPr>
        <w:t>and thus</w:t>
      </w:r>
      <w:r w:rsidR="00970C9E">
        <w:rPr>
          <w:spacing w:val="-3"/>
          <w:sz w:val="24"/>
          <w:szCs w:val="24"/>
        </w:rPr>
        <w:t xml:space="preserve"> the Commission</w:t>
      </w:r>
      <w:r w:rsidR="00996984">
        <w:rPr>
          <w:spacing w:val="-3"/>
          <w:sz w:val="24"/>
          <w:szCs w:val="24"/>
        </w:rPr>
        <w:t xml:space="preserve"> </w:t>
      </w:r>
      <w:r w:rsidR="00EF1906" w:rsidRPr="00EF1906">
        <w:rPr>
          <w:sz w:val="24"/>
          <w:szCs w:val="24"/>
        </w:rPr>
        <w:t xml:space="preserve">will not </w:t>
      </w:r>
      <w:r w:rsidR="00970C9E">
        <w:rPr>
          <w:sz w:val="24"/>
          <w:szCs w:val="24"/>
        </w:rPr>
        <w:t xml:space="preserve">make any such information </w:t>
      </w:r>
      <w:r w:rsidR="00EF1906" w:rsidRPr="00EF1906">
        <w:rPr>
          <w:sz w:val="24"/>
          <w:szCs w:val="24"/>
        </w:rPr>
        <w:t xml:space="preserve">available to the public. </w:t>
      </w:r>
    </w:p>
    <w:p w:rsidR="00622813" w:rsidRPr="00532DB6" w:rsidRDefault="00622813">
      <w:pPr>
        <w:pStyle w:val="BodyText"/>
        <w:numPr>
          <w:ilvl w:val="0"/>
          <w:numId w:val="1"/>
        </w:numPr>
        <w:rPr>
          <w:szCs w:val="24"/>
        </w:rPr>
      </w:pPr>
      <w:r w:rsidRPr="00532DB6">
        <w:rPr>
          <w:szCs w:val="24"/>
          <w:u w:val="single"/>
        </w:rPr>
        <w:t>Sensitive Questions</w:t>
      </w:r>
    </w:p>
    <w:p w:rsidR="00622813" w:rsidRPr="00532DB6" w:rsidRDefault="00622813">
      <w:pPr>
        <w:pStyle w:val="BodyText"/>
        <w:rPr>
          <w:szCs w:val="24"/>
        </w:rPr>
      </w:pPr>
      <w:r w:rsidRPr="00532DB6">
        <w:rPr>
          <w:szCs w:val="24"/>
        </w:rPr>
        <w:tab/>
      </w:r>
    </w:p>
    <w:p w:rsidR="00622813" w:rsidRPr="00532DB6" w:rsidRDefault="00622813" w:rsidP="00111F14">
      <w:pPr>
        <w:tabs>
          <w:tab w:val="left" w:pos="-720"/>
        </w:tabs>
        <w:suppressAutoHyphens/>
        <w:rPr>
          <w:sz w:val="24"/>
          <w:szCs w:val="24"/>
        </w:rPr>
      </w:pPr>
      <w:r w:rsidRPr="00532DB6">
        <w:rPr>
          <w:sz w:val="24"/>
          <w:szCs w:val="24"/>
        </w:rPr>
        <w:tab/>
      </w:r>
      <w:r w:rsidR="00532DB6" w:rsidRPr="00532DB6">
        <w:rPr>
          <w:spacing w:val="-3"/>
          <w:sz w:val="24"/>
          <w:szCs w:val="24"/>
        </w:rPr>
        <w:t>Not applicable; no information of a sensitive nature is required under the rule.</w:t>
      </w:r>
      <w:r w:rsidR="00E51528">
        <w:rPr>
          <w:spacing w:val="-3"/>
          <w:sz w:val="24"/>
          <w:szCs w:val="24"/>
        </w:rPr>
        <w:t xml:space="preserve">  </w:t>
      </w:r>
    </w:p>
    <w:p w:rsidR="00622813" w:rsidRPr="00532DB6" w:rsidRDefault="00622813">
      <w:pPr>
        <w:pStyle w:val="BodyText"/>
        <w:rPr>
          <w:szCs w:val="24"/>
        </w:rPr>
      </w:pPr>
    </w:p>
    <w:p w:rsidR="00622813" w:rsidRPr="00111F14" w:rsidRDefault="00622813">
      <w:pPr>
        <w:pStyle w:val="BodyText"/>
        <w:numPr>
          <w:ilvl w:val="0"/>
          <w:numId w:val="1"/>
        </w:numPr>
        <w:rPr>
          <w:szCs w:val="24"/>
        </w:rPr>
      </w:pPr>
      <w:r w:rsidRPr="00111F14">
        <w:rPr>
          <w:szCs w:val="24"/>
          <w:u w:val="single"/>
        </w:rPr>
        <w:t>Burden</w:t>
      </w:r>
      <w:r w:rsidR="00FA6162" w:rsidRPr="00111F14">
        <w:rPr>
          <w:szCs w:val="24"/>
          <w:u w:val="single"/>
        </w:rPr>
        <w:t xml:space="preserve"> of Information Collection</w:t>
      </w:r>
    </w:p>
    <w:p w:rsidR="00622813" w:rsidRPr="00532DB6" w:rsidRDefault="00622813">
      <w:pPr>
        <w:pStyle w:val="BodyText"/>
        <w:rPr>
          <w:szCs w:val="24"/>
        </w:rPr>
      </w:pPr>
    </w:p>
    <w:p w:rsidR="00532DB6" w:rsidRPr="00532DB6" w:rsidRDefault="00622813" w:rsidP="00111F14">
      <w:pPr>
        <w:tabs>
          <w:tab w:val="left" w:pos="-720"/>
        </w:tabs>
        <w:suppressAutoHyphens/>
        <w:ind w:right="-576"/>
        <w:rPr>
          <w:sz w:val="24"/>
          <w:szCs w:val="24"/>
        </w:rPr>
      </w:pPr>
      <w:r w:rsidRPr="00532DB6">
        <w:rPr>
          <w:sz w:val="24"/>
          <w:szCs w:val="24"/>
        </w:rPr>
        <w:tab/>
      </w:r>
      <w:r w:rsidR="00111F14">
        <w:rPr>
          <w:sz w:val="24"/>
          <w:szCs w:val="24"/>
        </w:rPr>
        <w:t>The Rules apply</w:t>
      </w:r>
      <w:r w:rsidR="00532DB6" w:rsidRPr="00532DB6">
        <w:rPr>
          <w:sz w:val="24"/>
          <w:szCs w:val="24"/>
        </w:rPr>
        <w:t xml:space="preserve"> to SBS Entities</w:t>
      </w:r>
      <w:r w:rsidR="00111F14">
        <w:rPr>
          <w:sz w:val="24"/>
          <w:szCs w:val="24"/>
        </w:rPr>
        <w:t xml:space="preserve">, </w:t>
      </w:r>
      <w:r w:rsidR="00111F14" w:rsidRPr="00A14A58">
        <w:rPr>
          <w:i/>
          <w:sz w:val="24"/>
          <w:szCs w:val="24"/>
        </w:rPr>
        <w:t>e.g.</w:t>
      </w:r>
      <w:r w:rsidR="00111F14">
        <w:rPr>
          <w:sz w:val="24"/>
          <w:szCs w:val="24"/>
        </w:rPr>
        <w:t>,</w:t>
      </w:r>
      <w:r w:rsidR="00532DB6" w:rsidRPr="00532DB6">
        <w:rPr>
          <w:sz w:val="24"/>
          <w:szCs w:val="24"/>
        </w:rPr>
        <w:t xml:space="preserve"> SBS dealers and major SBS participants.  The Commission believes that approximately 50 entities fit within the definition of SBS dealer, and up to five entities fit within the definition of major SBS participant.  Thus, </w:t>
      </w:r>
      <w:r w:rsidR="00D76EA7">
        <w:rPr>
          <w:sz w:val="24"/>
          <w:szCs w:val="24"/>
        </w:rPr>
        <w:t xml:space="preserve">we expect that </w:t>
      </w:r>
      <w:r w:rsidR="00532DB6" w:rsidRPr="00532DB6">
        <w:rPr>
          <w:sz w:val="24"/>
          <w:szCs w:val="24"/>
        </w:rPr>
        <w:t xml:space="preserve">approximately 55 entities may be required to register with the Commission as SBS Entities and would be subject to the trade acknowledgment provision and verification requirements of </w:t>
      </w:r>
      <w:r w:rsidR="00111F14">
        <w:rPr>
          <w:sz w:val="24"/>
          <w:szCs w:val="24"/>
        </w:rPr>
        <w:t>Rule 15Fi-2</w:t>
      </w:r>
      <w:r w:rsidR="00532DB6" w:rsidRPr="00532DB6">
        <w:rPr>
          <w:sz w:val="24"/>
          <w:szCs w:val="24"/>
        </w:rPr>
        <w:t xml:space="preserve">.  </w:t>
      </w:r>
    </w:p>
    <w:p w:rsidR="00FC4D24" w:rsidRPr="00532DB6" w:rsidRDefault="00FC4D24">
      <w:pPr>
        <w:pStyle w:val="BodyText"/>
        <w:rPr>
          <w:szCs w:val="24"/>
        </w:rPr>
      </w:pPr>
    </w:p>
    <w:p w:rsidR="00532DB6" w:rsidRPr="00532DB6" w:rsidRDefault="00532DB6" w:rsidP="00111F14">
      <w:pPr>
        <w:keepNext/>
        <w:keepLines/>
        <w:numPr>
          <w:ilvl w:val="0"/>
          <w:numId w:val="3"/>
        </w:numPr>
        <w:tabs>
          <w:tab w:val="left" w:pos="-720"/>
        </w:tabs>
        <w:suppressAutoHyphens/>
        <w:overflowPunct w:val="0"/>
        <w:autoSpaceDE w:val="0"/>
        <w:autoSpaceDN w:val="0"/>
        <w:adjustRightInd w:val="0"/>
        <w:ind w:right="-576"/>
        <w:jc w:val="both"/>
        <w:textAlignment w:val="baseline"/>
        <w:rPr>
          <w:sz w:val="24"/>
          <w:szCs w:val="24"/>
          <w:u w:val="single"/>
        </w:rPr>
      </w:pPr>
      <w:r w:rsidRPr="00532DB6">
        <w:rPr>
          <w:sz w:val="24"/>
          <w:szCs w:val="24"/>
        </w:rPr>
        <w:tab/>
      </w:r>
      <w:bookmarkStart w:id="6" w:name="OLE_LINK9"/>
      <w:bookmarkStart w:id="7" w:name="OLE_LINK10"/>
      <w:r w:rsidRPr="00532DB6">
        <w:rPr>
          <w:sz w:val="24"/>
          <w:szCs w:val="24"/>
          <w:u w:val="single"/>
        </w:rPr>
        <w:t>Trade Acknowledgment Requirement</w:t>
      </w:r>
      <w:bookmarkEnd w:id="6"/>
      <w:bookmarkEnd w:id="7"/>
    </w:p>
    <w:p w:rsidR="00532DB6" w:rsidRPr="00532DB6" w:rsidRDefault="00532DB6" w:rsidP="00111F14">
      <w:pPr>
        <w:keepNext/>
        <w:keepLines/>
        <w:tabs>
          <w:tab w:val="left" w:pos="-720"/>
        </w:tabs>
        <w:suppressAutoHyphens/>
        <w:ind w:right="-576"/>
        <w:jc w:val="both"/>
        <w:rPr>
          <w:sz w:val="24"/>
          <w:szCs w:val="24"/>
        </w:rPr>
      </w:pPr>
    </w:p>
    <w:p w:rsidR="004B7586" w:rsidRDefault="004B7586" w:rsidP="00306B35">
      <w:pPr>
        <w:suppressAutoHyphens/>
        <w:ind w:firstLine="720"/>
        <w:rPr>
          <w:sz w:val="24"/>
          <w:szCs w:val="24"/>
        </w:rPr>
      </w:pPr>
      <w:r w:rsidRPr="00306B35">
        <w:rPr>
          <w:sz w:val="24"/>
          <w:szCs w:val="24"/>
        </w:rPr>
        <w:t xml:space="preserve">Pursuant to Rule 15Fi-2, all SBS transactions must be acknowledged and verified through the methods and by the timeframes prescribed in the rule.  Collectively, paragraphs (a), (b), (c), and (d) of Rule 15Fi-2 identify the information to be included in a trade acknowledgment; the party responsible for sending the trade acknowledgment; the permissible methods for sending the trade acknowledgment; and criteria for verifying the terms of a trade acknowledgment.  In 2015, there were 2,436,531 single-name credit default swap (“CDS”) transactions reported to the DTCC Derivatives Repository Limited Trade Information Warehouse (“TIW”).  For purposes of this analysis, we assume there were approximately 2.44 million single-name CDS transactions in 2015.  In addition, although we lack comprehensive data on equity swaps and other security-based swaps, we have estimated in prior rulemakings that single-name CDS represent approximately 82% of the total SBS market.  This implies that there are an additional 540,000 </w:t>
      </w:r>
      <w:r w:rsidRPr="00306B35">
        <w:rPr>
          <w:sz w:val="24"/>
          <w:szCs w:val="24"/>
        </w:rPr>
        <w:lastRenderedPageBreak/>
        <w:t>transactions, or approximately 2.98 million total SBS transactions.  Assuming that at least one SBS Entity is a party to every SBS transaction, the Commission estimates that the number of SBS transactions subject to Rule 15Fi-2 would be approximately 54,182 transactions per SBS Entity per year.</w:t>
      </w:r>
      <w:r w:rsidRPr="00306B35">
        <w:rPr>
          <w:sz w:val="24"/>
          <w:szCs w:val="24"/>
          <w:vertAlign w:val="superscript"/>
        </w:rPr>
        <w:footnoteReference w:id="7"/>
      </w:r>
      <w:r w:rsidRPr="00306B35">
        <w:rPr>
          <w:sz w:val="24"/>
          <w:szCs w:val="24"/>
        </w:rPr>
        <w:t xml:space="preserve">  </w:t>
      </w:r>
    </w:p>
    <w:p w:rsidR="00306B35" w:rsidRPr="00306B35" w:rsidRDefault="00306B35" w:rsidP="00306B35">
      <w:pPr>
        <w:suppressAutoHyphens/>
        <w:ind w:firstLine="720"/>
        <w:rPr>
          <w:sz w:val="24"/>
          <w:szCs w:val="24"/>
        </w:rPr>
      </w:pPr>
    </w:p>
    <w:p w:rsidR="004B7586" w:rsidRDefault="004B7586" w:rsidP="00306B35">
      <w:pPr>
        <w:ind w:firstLine="720"/>
        <w:rPr>
          <w:sz w:val="24"/>
          <w:szCs w:val="24"/>
        </w:rPr>
      </w:pPr>
      <w:r w:rsidRPr="00306B35">
        <w:rPr>
          <w:sz w:val="24"/>
          <w:szCs w:val="24"/>
        </w:rPr>
        <w:t xml:space="preserve">The Commission believes that most transactions will be electronically executed and cleared through the facilities of a clearing agency.  The Commission understands that the clearing of SBS transactions through the facilities of a clearing agency generally includes the matching and verification of such transactions.  The Commission has taken this process into account in paragraph (e) of Rule 15Fi-2, which </w:t>
      </w:r>
      <w:proofErr w:type="gramStart"/>
      <w:r w:rsidRPr="00306B35">
        <w:rPr>
          <w:sz w:val="24"/>
          <w:szCs w:val="24"/>
        </w:rPr>
        <w:t>excepts</w:t>
      </w:r>
      <w:proofErr w:type="gramEnd"/>
      <w:r w:rsidRPr="00306B35">
        <w:rPr>
          <w:sz w:val="24"/>
          <w:szCs w:val="24"/>
        </w:rPr>
        <w:t xml:space="preserve"> SBS Entities from the obligation to provide a trade acknowledgment in clearing transactions.  The Commission estimates that of the approximately 2.98 million SBS transactions estimated per year based on the 2015 data, approximately 1.32 million will be clearing transactions excepted from the trade acknowledgment requirement pursuant to paragraph (e) of Rule 15Fi-2.  Of the remaining 1.66 million transactions, approximately 75%, or 1.25 million, will be transactions executed on an SBSEF or exchange and thus </w:t>
      </w:r>
      <w:proofErr w:type="gramStart"/>
      <w:r w:rsidRPr="00306B35">
        <w:rPr>
          <w:sz w:val="24"/>
          <w:szCs w:val="24"/>
        </w:rPr>
        <w:t>excepted</w:t>
      </w:r>
      <w:proofErr w:type="gramEnd"/>
      <w:r w:rsidRPr="00306B35">
        <w:rPr>
          <w:sz w:val="24"/>
          <w:szCs w:val="24"/>
        </w:rPr>
        <w:t xml:space="preserve"> from the trade acknowledgment requirement pursuant to the exception fo</w:t>
      </w:r>
      <w:r w:rsidR="00220110">
        <w:rPr>
          <w:sz w:val="24"/>
          <w:szCs w:val="24"/>
        </w:rPr>
        <w:t>r in paragraph (f) of Rule 15Fi</w:t>
      </w:r>
      <w:r w:rsidR="00220110">
        <w:rPr>
          <w:sz w:val="24"/>
          <w:szCs w:val="24"/>
        </w:rPr>
        <w:noBreakHyphen/>
      </w:r>
      <w:r w:rsidRPr="00306B35">
        <w:rPr>
          <w:sz w:val="24"/>
          <w:szCs w:val="24"/>
        </w:rPr>
        <w:t>2.  Thus, we estimate that SBS Entities will have to provide approximately 0.41 million trade acknowledgments</w:t>
      </w:r>
      <w:r w:rsidR="0080211C" w:rsidRPr="00306B35">
        <w:rPr>
          <w:sz w:val="24"/>
          <w:szCs w:val="24"/>
          <w:vertAlign w:val="superscript"/>
        </w:rPr>
        <w:footnoteReference w:id="8"/>
      </w:r>
      <w:r w:rsidR="0080211C" w:rsidRPr="00306B35">
        <w:rPr>
          <w:sz w:val="24"/>
          <w:szCs w:val="24"/>
        </w:rPr>
        <w:t xml:space="preserve"> </w:t>
      </w:r>
      <w:r w:rsidRPr="00306B35">
        <w:rPr>
          <w:sz w:val="24"/>
          <w:szCs w:val="24"/>
        </w:rPr>
        <w:t xml:space="preserve"> pursuant to Final Rule 15Fi-2</w:t>
      </w:r>
      <w:r w:rsidR="00603237" w:rsidRPr="00306B35">
        <w:rPr>
          <w:sz w:val="24"/>
          <w:szCs w:val="24"/>
        </w:rPr>
        <w:t>, or 7,455 transactions per SBS entity per year</w:t>
      </w:r>
      <w:r w:rsidRPr="00306B35">
        <w:rPr>
          <w:sz w:val="24"/>
          <w:szCs w:val="24"/>
        </w:rPr>
        <w:t>.</w:t>
      </w:r>
      <w:r w:rsidR="000F511B" w:rsidRPr="00306B35">
        <w:rPr>
          <w:sz w:val="24"/>
          <w:szCs w:val="24"/>
          <w:vertAlign w:val="superscript"/>
        </w:rPr>
        <w:footnoteReference w:id="9"/>
      </w:r>
      <w:r w:rsidRPr="00306B35">
        <w:rPr>
          <w:sz w:val="24"/>
          <w:szCs w:val="24"/>
        </w:rPr>
        <w:t xml:space="preserve">  </w:t>
      </w:r>
    </w:p>
    <w:p w:rsidR="00306B35" w:rsidRPr="00306B35" w:rsidRDefault="00306B35" w:rsidP="00306B35">
      <w:pPr>
        <w:ind w:firstLine="720"/>
        <w:rPr>
          <w:sz w:val="24"/>
          <w:szCs w:val="24"/>
        </w:rPr>
      </w:pPr>
    </w:p>
    <w:p w:rsidR="00603237" w:rsidRPr="00532DB6" w:rsidRDefault="00603237" w:rsidP="00306B35">
      <w:pPr>
        <w:tabs>
          <w:tab w:val="left" w:pos="-720"/>
        </w:tabs>
        <w:suppressAutoHyphens/>
        <w:ind w:right="-576"/>
        <w:rPr>
          <w:sz w:val="24"/>
          <w:szCs w:val="24"/>
        </w:rPr>
      </w:pPr>
      <w:r>
        <w:rPr>
          <w:sz w:val="24"/>
          <w:szCs w:val="24"/>
        </w:rPr>
        <w:tab/>
      </w:r>
      <w:r w:rsidRPr="00532DB6">
        <w:rPr>
          <w:sz w:val="24"/>
          <w:szCs w:val="24"/>
        </w:rPr>
        <w:t xml:space="preserve">The Commission estimates that </w:t>
      </w:r>
      <w:r w:rsidR="00306B35">
        <w:rPr>
          <w:sz w:val="24"/>
          <w:szCs w:val="24"/>
        </w:rPr>
        <w:t>modifying</w:t>
      </w:r>
      <w:r w:rsidRPr="00532DB6">
        <w:rPr>
          <w:sz w:val="24"/>
          <w:szCs w:val="24"/>
        </w:rPr>
        <w:t xml:space="preserve"> OMS</w:t>
      </w:r>
      <w:r w:rsidR="00306B35">
        <w:rPr>
          <w:sz w:val="24"/>
          <w:szCs w:val="24"/>
        </w:rPr>
        <w:t>s</w:t>
      </w:r>
      <w:r w:rsidRPr="00532DB6">
        <w:rPr>
          <w:sz w:val="24"/>
          <w:szCs w:val="24"/>
        </w:rPr>
        <w:t xml:space="preserve"> by SBS Entities for electronic processing of SBS transactions with the capabilities described above would impose a one-time burden of approximately 355 burden hours per SBS Entity</w:t>
      </w:r>
      <w:r w:rsidR="004C6315" w:rsidRPr="00532DB6">
        <w:rPr>
          <w:rStyle w:val="FootnoteReference"/>
          <w:sz w:val="24"/>
          <w:szCs w:val="24"/>
        </w:rPr>
        <w:footnoteReference w:id="10"/>
      </w:r>
      <w:r w:rsidR="009B1F3A">
        <w:rPr>
          <w:sz w:val="24"/>
          <w:szCs w:val="24"/>
        </w:rPr>
        <w:t xml:space="preserve"> </w:t>
      </w:r>
      <w:r w:rsidR="004C6315">
        <w:rPr>
          <w:sz w:val="24"/>
          <w:szCs w:val="24"/>
        </w:rPr>
        <w:t xml:space="preserve"> or roughly .05 </w:t>
      </w:r>
      <w:r w:rsidR="009B1F3A">
        <w:rPr>
          <w:sz w:val="24"/>
          <w:szCs w:val="24"/>
        </w:rPr>
        <w:t>per SBS transaction.</w:t>
      </w:r>
      <w:r w:rsidR="009B1F3A" w:rsidRPr="00532DB6">
        <w:rPr>
          <w:rStyle w:val="FootnoteReference"/>
          <w:sz w:val="24"/>
          <w:szCs w:val="24"/>
        </w:rPr>
        <w:footnoteReference w:id="11"/>
      </w:r>
      <w:r w:rsidR="009B1F3A">
        <w:rPr>
          <w:sz w:val="24"/>
          <w:szCs w:val="24"/>
        </w:rPr>
        <w:t xml:space="preserve">  </w:t>
      </w:r>
      <w:r>
        <w:rPr>
          <w:sz w:val="24"/>
          <w:szCs w:val="24"/>
        </w:rPr>
        <w:t xml:space="preserve"> </w:t>
      </w:r>
      <w:r w:rsidR="009B1F3A">
        <w:rPr>
          <w:sz w:val="24"/>
          <w:szCs w:val="24"/>
        </w:rPr>
        <w:t xml:space="preserve">Thus the total </w:t>
      </w:r>
      <w:r w:rsidR="004C6315">
        <w:rPr>
          <w:sz w:val="24"/>
          <w:szCs w:val="24"/>
        </w:rPr>
        <w:t xml:space="preserve">aggregate </w:t>
      </w:r>
      <w:r w:rsidR="00F11577">
        <w:rPr>
          <w:sz w:val="24"/>
          <w:szCs w:val="24"/>
        </w:rPr>
        <w:t xml:space="preserve">initial </w:t>
      </w:r>
      <w:r w:rsidR="009B1F3A">
        <w:rPr>
          <w:sz w:val="24"/>
          <w:szCs w:val="24"/>
        </w:rPr>
        <w:t xml:space="preserve">burden attributed to </w:t>
      </w:r>
      <w:r w:rsidR="009B1F3A" w:rsidRPr="00306B35">
        <w:rPr>
          <w:sz w:val="24"/>
          <w:szCs w:val="24"/>
        </w:rPr>
        <w:t>Rule 15Fi-2</w:t>
      </w:r>
      <w:r w:rsidR="009075FF">
        <w:rPr>
          <w:sz w:val="24"/>
          <w:szCs w:val="24"/>
        </w:rPr>
        <w:t xml:space="preserve"> </w:t>
      </w:r>
      <w:r w:rsidR="009B1F3A">
        <w:rPr>
          <w:sz w:val="24"/>
          <w:szCs w:val="24"/>
        </w:rPr>
        <w:t xml:space="preserve">is </w:t>
      </w:r>
      <w:r w:rsidR="004C6315">
        <w:rPr>
          <w:sz w:val="24"/>
          <w:szCs w:val="24"/>
        </w:rPr>
        <w:t>19,525</w:t>
      </w:r>
      <w:r w:rsidR="009B1F3A">
        <w:rPr>
          <w:sz w:val="24"/>
          <w:szCs w:val="24"/>
        </w:rPr>
        <w:t xml:space="preserve"> hours</w:t>
      </w:r>
      <w:r w:rsidR="00BB45B3">
        <w:rPr>
          <w:sz w:val="24"/>
          <w:szCs w:val="24"/>
        </w:rPr>
        <w:t xml:space="preserve"> for all respondents</w:t>
      </w:r>
      <w:r w:rsidR="004C6315">
        <w:rPr>
          <w:sz w:val="24"/>
          <w:szCs w:val="24"/>
        </w:rPr>
        <w:t>.</w:t>
      </w:r>
      <w:r w:rsidR="00F11577" w:rsidRPr="00532DB6">
        <w:rPr>
          <w:rStyle w:val="FootnoteReference"/>
          <w:sz w:val="24"/>
          <w:szCs w:val="24"/>
        </w:rPr>
        <w:footnoteReference w:id="12"/>
      </w:r>
      <w:r w:rsidR="009B1F3A">
        <w:rPr>
          <w:sz w:val="24"/>
          <w:szCs w:val="24"/>
        </w:rPr>
        <w:t xml:space="preserve"> </w:t>
      </w:r>
    </w:p>
    <w:p w:rsidR="00603237" w:rsidRPr="00532DB6" w:rsidRDefault="00603237" w:rsidP="00306B35">
      <w:pPr>
        <w:tabs>
          <w:tab w:val="left" w:pos="-720"/>
        </w:tabs>
        <w:suppressAutoHyphens/>
        <w:ind w:right="-576"/>
        <w:rPr>
          <w:spacing w:val="-3"/>
          <w:sz w:val="24"/>
          <w:szCs w:val="24"/>
        </w:rPr>
      </w:pPr>
    </w:p>
    <w:p w:rsidR="00603237" w:rsidRDefault="00603237" w:rsidP="00306B35">
      <w:pPr>
        <w:tabs>
          <w:tab w:val="left" w:pos="-720"/>
        </w:tabs>
        <w:suppressAutoHyphens/>
        <w:ind w:right="-576"/>
        <w:rPr>
          <w:sz w:val="24"/>
          <w:szCs w:val="24"/>
        </w:rPr>
      </w:pPr>
      <w:r w:rsidRPr="00532DB6">
        <w:rPr>
          <w:spacing w:val="-3"/>
          <w:sz w:val="24"/>
          <w:szCs w:val="24"/>
        </w:rPr>
        <w:tab/>
      </w:r>
      <w:r w:rsidRPr="00532DB6">
        <w:rPr>
          <w:sz w:val="24"/>
          <w:szCs w:val="24"/>
        </w:rPr>
        <w:t xml:space="preserve">The Commission further estimates that </w:t>
      </w:r>
      <w:r w:rsidR="00306B35">
        <w:rPr>
          <w:sz w:val="24"/>
          <w:szCs w:val="24"/>
        </w:rPr>
        <w:t>the Rules</w:t>
      </w:r>
      <w:r w:rsidRPr="00532DB6">
        <w:rPr>
          <w:sz w:val="24"/>
          <w:szCs w:val="24"/>
        </w:rPr>
        <w:t xml:space="preserve"> would impose an ongoing annual hour burden of approximately 436 hours per SBS Entity</w:t>
      </w:r>
      <w:r w:rsidR="005620C1" w:rsidRPr="005620C1">
        <w:rPr>
          <w:sz w:val="24"/>
          <w:szCs w:val="24"/>
        </w:rPr>
        <w:t xml:space="preserve"> </w:t>
      </w:r>
      <w:r w:rsidR="005620C1">
        <w:rPr>
          <w:sz w:val="24"/>
          <w:szCs w:val="24"/>
        </w:rPr>
        <w:t>(including the first year)</w:t>
      </w:r>
      <w:r w:rsidRPr="00532DB6">
        <w:rPr>
          <w:rStyle w:val="FootnoteReference"/>
          <w:sz w:val="24"/>
          <w:szCs w:val="24"/>
        </w:rPr>
        <w:footnoteReference w:id="13"/>
      </w:r>
      <w:r w:rsidR="004C6315">
        <w:rPr>
          <w:sz w:val="24"/>
          <w:szCs w:val="24"/>
        </w:rPr>
        <w:t xml:space="preserve"> or roughly .06 per SBS transaction.</w:t>
      </w:r>
      <w:r w:rsidR="004C6315" w:rsidRPr="00532DB6">
        <w:rPr>
          <w:rStyle w:val="FootnoteReference"/>
          <w:sz w:val="24"/>
          <w:szCs w:val="24"/>
        </w:rPr>
        <w:footnoteReference w:id="14"/>
      </w:r>
      <w:r w:rsidR="004C6315">
        <w:rPr>
          <w:sz w:val="24"/>
          <w:szCs w:val="24"/>
        </w:rPr>
        <w:t xml:space="preserve"> </w:t>
      </w:r>
      <w:r w:rsidRPr="00532DB6">
        <w:rPr>
          <w:sz w:val="24"/>
          <w:szCs w:val="24"/>
        </w:rPr>
        <w:t xml:space="preserve">  This estimate would include day-to-day technical support of the OMS, as well as the amortized annual burden associated with system or platform upgrades and periodic implementation of significant updates based on new technology, products, or both.  </w:t>
      </w:r>
      <w:r w:rsidR="005620C1">
        <w:rPr>
          <w:sz w:val="24"/>
          <w:szCs w:val="24"/>
        </w:rPr>
        <w:t xml:space="preserve">Thus the total </w:t>
      </w:r>
      <w:r w:rsidR="004C6315">
        <w:rPr>
          <w:sz w:val="24"/>
          <w:szCs w:val="24"/>
        </w:rPr>
        <w:t xml:space="preserve">aggregate </w:t>
      </w:r>
      <w:r w:rsidR="009075FF">
        <w:rPr>
          <w:sz w:val="24"/>
          <w:szCs w:val="24"/>
        </w:rPr>
        <w:t>ongoing</w:t>
      </w:r>
      <w:r w:rsidR="005620C1">
        <w:rPr>
          <w:sz w:val="24"/>
          <w:szCs w:val="24"/>
        </w:rPr>
        <w:t xml:space="preserve"> burden attributed to </w:t>
      </w:r>
      <w:r w:rsidR="005620C1" w:rsidRPr="00306B35">
        <w:rPr>
          <w:sz w:val="24"/>
          <w:szCs w:val="24"/>
        </w:rPr>
        <w:t>Rule 15Fi-2</w:t>
      </w:r>
      <w:r w:rsidR="005620C1">
        <w:rPr>
          <w:sz w:val="24"/>
          <w:szCs w:val="24"/>
        </w:rPr>
        <w:t xml:space="preserve"> is </w:t>
      </w:r>
      <w:r w:rsidR="004C6315">
        <w:rPr>
          <w:sz w:val="24"/>
          <w:szCs w:val="24"/>
        </w:rPr>
        <w:t>23,980</w:t>
      </w:r>
      <w:r w:rsidR="005620C1">
        <w:rPr>
          <w:sz w:val="24"/>
          <w:szCs w:val="24"/>
        </w:rPr>
        <w:t xml:space="preserve"> hours</w:t>
      </w:r>
      <w:r w:rsidR="00BB45B3">
        <w:rPr>
          <w:sz w:val="24"/>
          <w:szCs w:val="24"/>
        </w:rPr>
        <w:t xml:space="preserve"> for all respondents</w:t>
      </w:r>
      <w:r w:rsidR="004C6315">
        <w:rPr>
          <w:sz w:val="24"/>
          <w:szCs w:val="24"/>
        </w:rPr>
        <w:t>.</w:t>
      </w:r>
      <w:r w:rsidR="005620C1" w:rsidRPr="00532DB6">
        <w:rPr>
          <w:rStyle w:val="FootnoteReference"/>
          <w:sz w:val="24"/>
          <w:szCs w:val="24"/>
        </w:rPr>
        <w:footnoteReference w:id="15"/>
      </w:r>
      <w:r w:rsidR="005620C1">
        <w:rPr>
          <w:sz w:val="24"/>
          <w:szCs w:val="24"/>
        </w:rPr>
        <w:t xml:space="preserve">   </w:t>
      </w:r>
    </w:p>
    <w:p w:rsidR="00603237" w:rsidRDefault="00603237" w:rsidP="00306B35">
      <w:pPr>
        <w:tabs>
          <w:tab w:val="left" w:pos="-720"/>
        </w:tabs>
        <w:suppressAutoHyphens/>
        <w:ind w:right="-576"/>
        <w:rPr>
          <w:sz w:val="24"/>
          <w:szCs w:val="24"/>
        </w:rPr>
      </w:pPr>
    </w:p>
    <w:p w:rsidR="00603237" w:rsidRPr="00532DB6" w:rsidRDefault="00603237" w:rsidP="00306B35">
      <w:pPr>
        <w:tabs>
          <w:tab w:val="left" w:pos="-720"/>
        </w:tabs>
        <w:suppressAutoHyphens/>
        <w:ind w:right="-576"/>
        <w:rPr>
          <w:sz w:val="24"/>
          <w:szCs w:val="24"/>
        </w:rPr>
      </w:pPr>
      <w:r>
        <w:rPr>
          <w:sz w:val="24"/>
          <w:szCs w:val="24"/>
        </w:rPr>
        <w:tab/>
      </w:r>
      <w:r w:rsidR="005620C1">
        <w:rPr>
          <w:sz w:val="24"/>
          <w:szCs w:val="24"/>
        </w:rPr>
        <w:t>Over a three-year period, the total industry hour</w:t>
      </w:r>
      <w:r w:rsidR="009075FF">
        <w:rPr>
          <w:sz w:val="24"/>
          <w:szCs w:val="24"/>
        </w:rPr>
        <w:t>ly</w:t>
      </w:r>
      <w:r w:rsidR="005620C1">
        <w:rPr>
          <w:sz w:val="24"/>
          <w:szCs w:val="24"/>
        </w:rPr>
        <w:t xml:space="preserve"> </w:t>
      </w:r>
      <w:r w:rsidR="0019052D">
        <w:rPr>
          <w:sz w:val="24"/>
          <w:szCs w:val="24"/>
        </w:rPr>
        <w:t xml:space="preserve">third-party disclosure </w:t>
      </w:r>
      <w:r w:rsidR="005620C1">
        <w:rPr>
          <w:sz w:val="24"/>
          <w:szCs w:val="24"/>
        </w:rPr>
        <w:t xml:space="preserve">burden attributable to Rule </w:t>
      </w:r>
      <w:r w:rsidR="005620C1" w:rsidRPr="00306B35">
        <w:rPr>
          <w:sz w:val="24"/>
          <w:szCs w:val="24"/>
        </w:rPr>
        <w:t>15Fi-2</w:t>
      </w:r>
      <w:r w:rsidR="005620C1">
        <w:rPr>
          <w:sz w:val="24"/>
          <w:szCs w:val="24"/>
        </w:rPr>
        <w:t xml:space="preserve"> </w:t>
      </w:r>
      <w:r w:rsidR="00F80514">
        <w:rPr>
          <w:sz w:val="24"/>
          <w:szCs w:val="24"/>
        </w:rPr>
        <w:t xml:space="preserve">in connection with </w:t>
      </w:r>
      <w:r w:rsidR="003534A7">
        <w:rPr>
          <w:sz w:val="24"/>
          <w:szCs w:val="24"/>
        </w:rPr>
        <w:t xml:space="preserve">providing </w:t>
      </w:r>
      <w:r w:rsidR="00F80514">
        <w:rPr>
          <w:sz w:val="24"/>
          <w:szCs w:val="24"/>
        </w:rPr>
        <w:t xml:space="preserve">trade acknowledgments </w:t>
      </w:r>
      <w:r w:rsidR="005620C1">
        <w:rPr>
          <w:sz w:val="24"/>
          <w:szCs w:val="24"/>
        </w:rPr>
        <w:t xml:space="preserve">is </w:t>
      </w:r>
      <w:r w:rsidR="004C6315">
        <w:rPr>
          <w:sz w:val="24"/>
          <w:szCs w:val="24"/>
        </w:rPr>
        <w:t>91,465 hours</w:t>
      </w:r>
      <w:r w:rsidR="008A4B0B" w:rsidRPr="00532DB6">
        <w:rPr>
          <w:rStyle w:val="FootnoteReference"/>
          <w:sz w:val="24"/>
          <w:szCs w:val="24"/>
        </w:rPr>
        <w:footnoteReference w:id="16"/>
      </w:r>
      <w:r w:rsidR="008A4B0B">
        <w:rPr>
          <w:sz w:val="24"/>
          <w:szCs w:val="24"/>
        </w:rPr>
        <w:t xml:space="preserve"> or</w:t>
      </w:r>
      <w:r w:rsidR="005620C1">
        <w:rPr>
          <w:sz w:val="24"/>
          <w:szCs w:val="24"/>
        </w:rPr>
        <w:t xml:space="preserve"> </w:t>
      </w:r>
      <w:r w:rsidR="004C6315">
        <w:rPr>
          <w:sz w:val="24"/>
          <w:szCs w:val="24"/>
        </w:rPr>
        <w:t>3</w:t>
      </w:r>
      <w:r w:rsidR="005E7F64">
        <w:rPr>
          <w:sz w:val="24"/>
          <w:szCs w:val="24"/>
        </w:rPr>
        <w:t>0,488</w:t>
      </w:r>
      <w:r w:rsidR="009075FF">
        <w:rPr>
          <w:sz w:val="24"/>
          <w:szCs w:val="24"/>
        </w:rPr>
        <w:t>.33</w:t>
      </w:r>
      <w:r w:rsidR="008A4B0B">
        <w:rPr>
          <w:sz w:val="24"/>
          <w:szCs w:val="24"/>
        </w:rPr>
        <w:t xml:space="preserve"> when annualized over three years.</w:t>
      </w:r>
      <w:r w:rsidR="008A4B0B" w:rsidRPr="00532DB6">
        <w:rPr>
          <w:rStyle w:val="FootnoteReference"/>
          <w:sz w:val="24"/>
          <w:szCs w:val="24"/>
        </w:rPr>
        <w:footnoteReference w:id="17"/>
      </w:r>
      <w:r w:rsidR="008A4B0B">
        <w:rPr>
          <w:sz w:val="24"/>
          <w:szCs w:val="24"/>
        </w:rPr>
        <w:t xml:space="preserve">  </w:t>
      </w:r>
    </w:p>
    <w:p w:rsidR="003E41E5" w:rsidRDefault="003E41E5" w:rsidP="004B7586">
      <w:pPr>
        <w:tabs>
          <w:tab w:val="left" w:pos="-720"/>
        </w:tabs>
        <w:suppressAutoHyphens/>
        <w:ind w:right="-576"/>
        <w:rPr>
          <w:sz w:val="24"/>
          <w:szCs w:val="24"/>
        </w:rPr>
      </w:pPr>
    </w:p>
    <w:p w:rsidR="00532DB6" w:rsidRPr="00532DB6" w:rsidRDefault="00532DB6" w:rsidP="00111F14">
      <w:pPr>
        <w:numPr>
          <w:ilvl w:val="0"/>
          <w:numId w:val="3"/>
        </w:numPr>
        <w:tabs>
          <w:tab w:val="left" w:pos="-720"/>
        </w:tabs>
        <w:suppressAutoHyphens/>
        <w:overflowPunct w:val="0"/>
        <w:autoSpaceDE w:val="0"/>
        <w:autoSpaceDN w:val="0"/>
        <w:adjustRightInd w:val="0"/>
        <w:ind w:right="-576"/>
        <w:textAlignment w:val="baseline"/>
        <w:rPr>
          <w:sz w:val="24"/>
          <w:szCs w:val="24"/>
          <w:u w:val="single"/>
        </w:rPr>
      </w:pPr>
      <w:r w:rsidRPr="00532DB6">
        <w:rPr>
          <w:sz w:val="24"/>
          <w:szCs w:val="24"/>
          <w:u w:val="single"/>
        </w:rPr>
        <w:t>Policies and Procedures</w:t>
      </w:r>
    </w:p>
    <w:p w:rsidR="00532DB6" w:rsidRDefault="00532DB6" w:rsidP="00111F14">
      <w:pPr>
        <w:tabs>
          <w:tab w:val="left" w:pos="-720"/>
        </w:tabs>
        <w:suppressAutoHyphens/>
        <w:overflowPunct w:val="0"/>
        <w:autoSpaceDE w:val="0"/>
        <w:autoSpaceDN w:val="0"/>
        <w:adjustRightInd w:val="0"/>
        <w:ind w:left="1800" w:right="-576"/>
        <w:textAlignment w:val="baseline"/>
        <w:rPr>
          <w:spacing w:val="-3"/>
          <w:sz w:val="24"/>
          <w:szCs w:val="24"/>
          <w:u w:val="single"/>
        </w:rPr>
      </w:pPr>
    </w:p>
    <w:p w:rsidR="00F80514" w:rsidRDefault="00532DB6" w:rsidP="00111F14">
      <w:pPr>
        <w:tabs>
          <w:tab w:val="left" w:pos="-720"/>
        </w:tabs>
        <w:suppressAutoHyphens/>
        <w:ind w:right="-576"/>
        <w:rPr>
          <w:color w:val="000000"/>
          <w:sz w:val="24"/>
          <w:szCs w:val="24"/>
        </w:rPr>
      </w:pPr>
      <w:r w:rsidRPr="00532DB6">
        <w:rPr>
          <w:spacing w:val="-3"/>
          <w:sz w:val="24"/>
          <w:szCs w:val="24"/>
        </w:rPr>
        <w:tab/>
      </w:r>
      <w:r w:rsidRPr="00532DB6">
        <w:rPr>
          <w:sz w:val="24"/>
          <w:szCs w:val="24"/>
        </w:rPr>
        <w:t>In ad</w:t>
      </w:r>
      <w:r w:rsidR="00775DF4">
        <w:rPr>
          <w:sz w:val="24"/>
          <w:szCs w:val="24"/>
        </w:rPr>
        <w:t>dition, pursuant to paragraph (d</w:t>
      </w:r>
      <w:proofErr w:type="gramStart"/>
      <w:r w:rsidRPr="00532DB6">
        <w:rPr>
          <w:sz w:val="24"/>
          <w:szCs w:val="24"/>
        </w:rPr>
        <w:t>)(</w:t>
      </w:r>
      <w:proofErr w:type="gramEnd"/>
      <w:r w:rsidRPr="00532DB6">
        <w:rPr>
          <w:sz w:val="24"/>
          <w:szCs w:val="24"/>
        </w:rPr>
        <w:t xml:space="preserve">1) of </w:t>
      </w:r>
      <w:r w:rsidR="00775DF4">
        <w:rPr>
          <w:sz w:val="24"/>
          <w:szCs w:val="24"/>
        </w:rPr>
        <w:t>Rule 15Fi-2</w:t>
      </w:r>
      <w:r w:rsidRPr="00532DB6">
        <w:rPr>
          <w:sz w:val="24"/>
          <w:szCs w:val="24"/>
        </w:rPr>
        <w:t xml:space="preserve">, SBS Entities must develop written policies and procedures reasonably designed to obtain prompt verification of transaction terms.  </w:t>
      </w:r>
      <w:r w:rsidR="00BA00DA">
        <w:rPr>
          <w:sz w:val="24"/>
          <w:szCs w:val="24"/>
        </w:rPr>
        <w:t>T</w:t>
      </w:r>
      <w:r w:rsidRPr="00532DB6">
        <w:rPr>
          <w:sz w:val="24"/>
          <w:szCs w:val="24"/>
        </w:rPr>
        <w:t xml:space="preserve">his requirement constitutes a recordkeeping requirement.  </w:t>
      </w:r>
      <w:r w:rsidRPr="00532DB6">
        <w:rPr>
          <w:color w:val="000000"/>
          <w:sz w:val="24"/>
          <w:szCs w:val="24"/>
        </w:rPr>
        <w:t>While the cost of these policies and procedures will vary, the Commission estimates that such policies and procedures would require an average of 80 hours per respondent</w:t>
      </w:r>
      <w:r w:rsidR="00F80514" w:rsidRPr="00532DB6">
        <w:rPr>
          <w:rStyle w:val="FootnoteReference"/>
          <w:color w:val="000000"/>
          <w:sz w:val="24"/>
          <w:szCs w:val="24"/>
        </w:rPr>
        <w:footnoteReference w:id="18"/>
      </w:r>
      <w:r w:rsidRPr="00532DB6">
        <w:rPr>
          <w:color w:val="000000"/>
          <w:sz w:val="24"/>
          <w:szCs w:val="24"/>
        </w:rPr>
        <w:t xml:space="preserve"> to initially prepare and implement, with a total </w:t>
      </w:r>
      <w:r w:rsidR="009075FF">
        <w:rPr>
          <w:color w:val="000000"/>
          <w:sz w:val="24"/>
          <w:szCs w:val="24"/>
        </w:rPr>
        <w:t xml:space="preserve">aggregate </w:t>
      </w:r>
      <w:r w:rsidRPr="00532DB6">
        <w:rPr>
          <w:color w:val="000000"/>
          <w:sz w:val="24"/>
          <w:szCs w:val="24"/>
        </w:rPr>
        <w:t>initial burden of 4,400 hours for all respondents</w:t>
      </w:r>
      <w:r w:rsidR="00F80514">
        <w:rPr>
          <w:color w:val="000000"/>
          <w:sz w:val="24"/>
          <w:szCs w:val="24"/>
        </w:rPr>
        <w:t>.</w:t>
      </w:r>
      <w:r w:rsidRPr="00532DB6">
        <w:rPr>
          <w:rStyle w:val="FootnoteReference"/>
          <w:color w:val="000000"/>
          <w:sz w:val="24"/>
          <w:szCs w:val="24"/>
        </w:rPr>
        <w:footnoteReference w:id="19"/>
      </w:r>
      <w:r w:rsidRPr="00532DB6">
        <w:rPr>
          <w:color w:val="000000"/>
          <w:sz w:val="24"/>
          <w:szCs w:val="24"/>
        </w:rPr>
        <w:t xml:space="preserve">  </w:t>
      </w:r>
    </w:p>
    <w:p w:rsidR="00F80514" w:rsidRDefault="00F80514" w:rsidP="00111F14">
      <w:pPr>
        <w:tabs>
          <w:tab w:val="left" w:pos="-720"/>
        </w:tabs>
        <w:suppressAutoHyphens/>
        <w:ind w:right="-576"/>
        <w:rPr>
          <w:color w:val="000000"/>
          <w:sz w:val="24"/>
          <w:szCs w:val="24"/>
        </w:rPr>
      </w:pPr>
    </w:p>
    <w:p w:rsidR="00532DB6" w:rsidRDefault="00F80514" w:rsidP="00111F14">
      <w:pPr>
        <w:tabs>
          <w:tab w:val="left" w:pos="-720"/>
        </w:tabs>
        <w:suppressAutoHyphens/>
        <w:ind w:right="-576"/>
        <w:rPr>
          <w:spacing w:val="-3"/>
          <w:sz w:val="24"/>
          <w:szCs w:val="24"/>
        </w:rPr>
      </w:pPr>
      <w:r>
        <w:rPr>
          <w:color w:val="000000"/>
          <w:sz w:val="24"/>
          <w:szCs w:val="24"/>
        </w:rPr>
        <w:lastRenderedPageBreak/>
        <w:tab/>
      </w:r>
      <w:r w:rsidR="00532DB6" w:rsidRPr="00532DB6">
        <w:rPr>
          <w:color w:val="000000"/>
          <w:sz w:val="24"/>
          <w:szCs w:val="24"/>
        </w:rPr>
        <w:t>Once these policies and procedures are established, the Commission estimates that it will take an average 40 hours</w:t>
      </w:r>
      <w:r w:rsidRPr="00532DB6">
        <w:rPr>
          <w:rStyle w:val="FootnoteReference"/>
          <w:color w:val="000000"/>
          <w:sz w:val="24"/>
          <w:szCs w:val="24"/>
        </w:rPr>
        <w:footnoteReference w:id="20"/>
      </w:r>
      <w:r w:rsidRPr="00532DB6">
        <w:rPr>
          <w:color w:val="000000"/>
          <w:sz w:val="24"/>
          <w:szCs w:val="24"/>
        </w:rPr>
        <w:t xml:space="preserve"> </w:t>
      </w:r>
      <w:r w:rsidR="00532DB6" w:rsidRPr="00532DB6">
        <w:rPr>
          <w:color w:val="000000"/>
          <w:sz w:val="24"/>
          <w:szCs w:val="24"/>
        </w:rPr>
        <w:t xml:space="preserve"> annually to maintain these policies and procedures per respondent, with a total </w:t>
      </w:r>
      <w:r w:rsidR="009075FF">
        <w:rPr>
          <w:color w:val="000000"/>
          <w:sz w:val="24"/>
          <w:szCs w:val="24"/>
        </w:rPr>
        <w:t>aggregate</w:t>
      </w:r>
      <w:r w:rsidR="00532DB6" w:rsidRPr="00532DB6">
        <w:rPr>
          <w:color w:val="000000"/>
          <w:sz w:val="24"/>
          <w:szCs w:val="24"/>
        </w:rPr>
        <w:t xml:space="preserve"> </w:t>
      </w:r>
      <w:r w:rsidR="009075FF">
        <w:rPr>
          <w:color w:val="000000"/>
          <w:sz w:val="24"/>
          <w:szCs w:val="24"/>
        </w:rPr>
        <w:t>ongoing</w:t>
      </w:r>
      <w:r w:rsidR="00532DB6" w:rsidRPr="00532DB6">
        <w:rPr>
          <w:color w:val="000000"/>
          <w:sz w:val="24"/>
          <w:szCs w:val="24"/>
        </w:rPr>
        <w:t xml:space="preserve"> burden of 2,200 hours for all respondents.</w:t>
      </w:r>
      <w:r w:rsidR="00532DB6" w:rsidRPr="00532DB6">
        <w:rPr>
          <w:rStyle w:val="FootnoteReference"/>
          <w:color w:val="000000"/>
          <w:sz w:val="24"/>
          <w:szCs w:val="24"/>
        </w:rPr>
        <w:footnoteReference w:id="21"/>
      </w:r>
      <w:r w:rsidR="00532DB6" w:rsidRPr="00532DB6">
        <w:rPr>
          <w:color w:val="000000"/>
          <w:sz w:val="24"/>
          <w:szCs w:val="24"/>
        </w:rPr>
        <w:t xml:space="preserve">  </w:t>
      </w:r>
      <w:r w:rsidR="00532DB6" w:rsidRPr="00532DB6">
        <w:rPr>
          <w:spacing w:val="-3"/>
          <w:sz w:val="24"/>
          <w:szCs w:val="24"/>
        </w:rPr>
        <w:t xml:space="preserve"> </w:t>
      </w:r>
    </w:p>
    <w:p w:rsidR="00174DBA" w:rsidRDefault="00174DBA" w:rsidP="00111F14">
      <w:pPr>
        <w:tabs>
          <w:tab w:val="left" w:pos="-720"/>
        </w:tabs>
        <w:suppressAutoHyphens/>
        <w:ind w:right="-576"/>
        <w:rPr>
          <w:spacing w:val="-3"/>
          <w:sz w:val="24"/>
          <w:szCs w:val="24"/>
        </w:rPr>
      </w:pPr>
    </w:p>
    <w:p w:rsidR="00174DBA" w:rsidRDefault="00174DBA" w:rsidP="00111F14">
      <w:pPr>
        <w:tabs>
          <w:tab w:val="left" w:pos="-720"/>
        </w:tabs>
        <w:suppressAutoHyphens/>
        <w:ind w:right="-576"/>
        <w:rPr>
          <w:sz w:val="24"/>
          <w:szCs w:val="24"/>
        </w:rPr>
      </w:pPr>
      <w:r>
        <w:rPr>
          <w:sz w:val="24"/>
          <w:szCs w:val="24"/>
        </w:rPr>
        <w:tab/>
      </w:r>
      <w:r w:rsidR="00F80514">
        <w:rPr>
          <w:sz w:val="24"/>
          <w:szCs w:val="24"/>
        </w:rPr>
        <w:t xml:space="preserve">Over a three-year period, the total industry hour </w:t>
      </w:r>
      <w:r w:rsidR="0019052D">
        <w:rPr>
          <w:sz w:val="24"/>
          <w:szCs w:val="24"/>
        </w:rPr>
        <w:t xml:space="preserve">recordkeeping </w:t>
      </w:r>
      <w:r w:rsidR="00F80514">
        <w:rPr>
          <w:sz w:val="24"/>
          <w:szCs w:val="24"/>
        </w:rPr>
        <w:t xml:space="preserve">burden attributable to Rule </w:t>
      </w:r>
      <w:r w:rsidR="00F80514" w:rsidRPr="00306B35">
        <w:rPr>
          <w:sz w:val="24"/>
          <w:szCs w:val="24"/>
        </w:rPr>
        <w:t>15Fi-2</w:t>
      </w:r>
      <w:r w:rsidR="00F80514">
        <w:rPr>
          <w:sz w:val="24"/>
          <w:szCs w:val="24"/>
        </w:rPr>
        <w:t xml:space="preserve"> for developing written policies and procedures is 11,000 hours</w:t>
      </w:r>
      <w:r w:rsidR="00F80514" w:rsidRPr="00532DB6">
        <w:rPr>
          <w:rStyle w:val="FootnoteReference"/>
          <w:sz w:val="24"/>
          <w:szCs w:val="24"/>
        </w:rPr>
        <w:footnoteReference w:id="22"/>
      </w:r>
      <w:r w:rsidR="00F80514">
        <w:rPr>
          <w:sz w:val="24"/>
          <w:szCs w:val="24"/>
        </w:rPr>
        <w:t xml:space="preserve"> or 3</w:t>
      </w:r>
      <w:r w:rsidR="009075FF">
        <w:rPr>
          <w:sz w:val="24"/>
          <w:szCs w:val="24"/>
        </w:rPr>
        <w:t>,666.67</w:t>
      </w:r>
      <w:r w:rsidR="00F80514">
        <w:rPr>
          <w:sz w:val="24"/>
          <w:szCs w:val="24"/>
        </w:rPr>
        <w:t xml:space="preserve"> hours when annualized over three years.</w:t>
      </w:r>
      <w:r w:rsidR="00F80514" w:rsidRPr="00532DB6">
        <w:rPr>
          <w:rStyle w:val="FootnoteReference"/>
          <w:sz w:val="24"/>
          <w:szCs w:val="24"/>
        </w:rPr>
        <w:footnoteReference w:id="23"/>
      </w:r>
      <w:r w:rsidR="00F80514">
        <w:rPr>
          <w:sz w:val="24"/>
          <w:szCs w:val="24"/>
        </w:rPr>
        <w:t xml:space="preserve">  </w:t>
      </w:r>
    </w:p>
    <w:p w:rsidR="00775DF4" w:rsidRDefault="00775DF4" w:rsidP="00111F14">
      <w:pPr>
        <w:tabs>
          <w:tab w:val="left" w:pos="-720"/>
        </w:tabs>
        <w:suppressAutoHyphens/>
        <w:ind w:right="-576"/>
        <w:rPr>
          <w:sz w:val="24"/>
          <w:szCs w:val="24"/>
        </w:rPr>
      </w:pPr>
    </w:p>
    <w:tbl>
      <w:tblPr>
        <w:tblW w:w="10340" w:type="dxa"/>
        <w:jc w:val="center"/>
        <w:tblInd w:w="93" w:type="dxa"/>
        <w:tblLook w:val="04A0" w:firstRow="1" w:lastRow="0" w:firstColumn="1" w:lastColumn="0" w:noHBand="0" w:noVBand="1"/>
      </w:tblPr>
      <w:tblGrid>
        <w:gridCol w:w="1380"/>
        <w:gridCol w:w="960"/>
        <w:gridCol w:w="760"/>
        <w:gridCol w:w="820"/>
        <w:gridCol w:w="840"/>
        <w:gridCol w:w="1000"/>
        <w:gridCol w:w="900"/>
        <w:gridCol w:w="920"/>
        <w:gridCol w:w="940"/>
        <w:gridCol w:w="1060"/>
        <w:gridCol w:w="760"/>
      </w:tblGrid>
      <w:tr w:rsidR="004E02FF" w:rsidRPr="004E02FF" w:rsidTr="004E02FF">
        <w:trPr>
          <w:trHeight w:val="315"/>
          <w:jc w:val="center"/>
        </w:trPr>
        <w:tc>
          <w:tcPr>
            <w:tcW w:w="10340"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E02FF" w:rsidRPr="004E02FF" w:rsidRDefault="004E02FF" w:rsidP="004E02FF">
            <w:pPr>
              <w:jc w:val="center"/>
              <w:rPr>
                <w:b/>
                <w:bCs/>
                <w:color w:val="000000"/>
                <w:sz w:val="16"/>
                <w:szCs w:val="16"/>
              </w:rPr>
            </w:pPr>
            <w:r w:rsidRPr="004E02FF">
              <w:rPr>
                <w:b/>
                <w:bCs/>
                <w:color w:val="000000"/>
                <w:sz w:val="16"/>
                <w:szCs w:val="16"/>
              </w:rPr>
              <w:t>Summary of Hourly Burdens </w:t>
            </w:r>
          </w:p>
        </w:tc>
      </w:tr>
      <w:tr w:rsidR="004E02FF" w:rsidRPr="004E02FF" w:rsidTr="004E02FF">
        <w:trPr>
          <w:trHeight w:val="300"/>
          <w:jc w:val="center"/>
        </w:trPr>
        <w:tc>
          <w:tcPr>
            <w:tcW w:w="1380" w:type="dxa"/>
            <w:tcBorders>
              <w:top w:val="nil"/>
              <w:left w:val="single" w:sz="8" w:space="0" w:color="auto"/>
              <w:bottom w:val="single" w:sz="4" w:space="0" w:color="auto"/>
              <w:right w:val="single" w:sz="4" w:space="0" w:color="auto"/>
            </w:tcBorders>
            <w:shd w:val="clear" w:color="000000" w:fill="D9D9D9"/>
            <w:noWrap/>
            <w:vAlign w:val="center"/>
            <w:hideMark/>
          </w:tcPr>
          <w:p w:rsidR="004E02FF" w:rsidRPr="004E02FF" w:rsidRDefault="004E02FF" w:rsidP="004E02FF">
            <w:pPr>
              <w:jc w:val="center"/>
              <w:rPr>
                <w:b/>
                <w:bCs/>
                <w:color w:val="000000"/>
                <w:sz w:val="16"/>
                <w:szCs w:val="16"/>
              </w:rPr>
            </w:pPr>
            <w:r w:rsidRPr="004E02FF">
              <w:rPr>
                <w:b/>
                <w:bCs/>
                <w:color w:val="000000"/>
                <w:sz w:val="16"/>
                <w:szCs w:val="16"/>
              </w:rPr>
              <w:t> </w:t>
            </w:r>
          </w:p>
        </w:tc>
        <w:tc>
          <w:tcPr>
            <w:tcW w:w="960" w:type="dxa"/>
            <w:tcBorders>
              <w:top w:val="nil"/>
              <w:left w:val="nil"/>
              <w:bottom w:val="single" w:sz="4" w:space="0" w:color="auto"/>
              <w:right w:val="single" w:sz="4" w:space="0" w:color="auto"/>
            </w:tcBorders>
            <w:shd w:val="clear" w:color="000000" w:fill="D9D9D9"/>
            <w:noWrap/>
            <w:vAlign w:val="bottom"/>
            <w:hideMark/>
          </w:tcPr>
          <w:p w:rsidR="004E02FF" w:rsidRPr="004E02FF" w:rsidRDefault="004E02FF" w:rsidP="004E02FF">
            <w:pPr>
              <w:jc w:val="center"/>
              <w:rPr>
                <w:rFonts w:ascii="Calibri" w:hAnsi="Calibri"/>
                <w:b/>
                <w:bCs/>
                <w:color w:val="000000"/>
                <w:sz w:val="12"/>
                <w:szCs w:val="12"/>
              </w:rPr>
            </w:pPr>
            <w:r w:rsidRPr="004E02FF">
              <w:rPr>
                <w:rFonts w:ascii="Calibri" w:hAnsi="Calibri"/>
                <w:b/>
                <w:bCs/>
                <w:color w:val="000000"/>
                <w:sz w:val="12"/>
                <w:szCs w:val="12"/>
              </w:rPr>
              <w:t> </w:t>
            </w:r>
          </w:p>
        </w:tc>
        <w:tc>
          <w:tcPr>
            <w:tcW w:w="760" w:type="dxa"/>
            <w:tcBorders>
              <w:top w:val="nil"/>
              <w:left w:val="nil"/>
              <w:bottom w:val="single" w:sz="4" w:space="0" w:color="auto"/>
              <w:right w:val="single" w:sz="4" w:space="0" w:color="auto"/>
            </w:tcBorders>
            <w:shd w:val="clear" w:color="000000" w:fill="D9D9D9"/>
            <w:noWrap/>
            <w:vAlign w:val="bottom"/>
            <w:hideMark/>
          </w:tcPr>
          <w:p w:rsidR="004E02FF" w:rsidRPr="004E02FF" w:rsidRDefault="004E02FF" w:rsidP="004E02FF">
            <w:pPr>
              <w:jc w:val="center"/>
              <w:rPr>
                <w:color w:val="FF0000"/>
                <w:sz w:val="12"/>
                <w:szCs w:val="12"/>
              </w:rPr>
            </w:pPr>
            <w:r w:rsidRPr="004E02FF">
              <w:rPr>
                <w:color w:val="FF0000"/>
                <w:sz w:val="12"/>
                <w:szCs w:val="12"/>
              </w:rPr>
              <w:t>A.</w:t>
            </w:r>
          </w:p>
        </w:tc>
        <w:tc>
          <w:tcPr>
            <w:tcW w:w="820" w:type="dxa"/>
            <w:tcBorders>
              <w:top w:val="nil"/>
              <w:left w:val="nil"/>
              <w:bottom w:val="single" w:sz="4" w:space="0" w:color="auto"/>
              <w:right w:val="single" w:sz="4" w:space="0" w:color="auto"/>
            </w:tcBorders>
            <w:shd w:val="clear" w:color="000000" w:fill="D9D9D9"/>
            <w:noWrap/>
            <w:vAlign w:val="bottom"/>
            <w:hideMark/>
          </w:tcPr>
          <w:p w:rsidR="004E02FF" w:rsidRPr="004E02FF" w:rsidRDefault="004E02FF" w:rsidP="004E02FF">
            <w:pPr>
              <w:jc w:val="center"/>
              <w:rPr>
                <w:color w:val="FF0000"/>
                <w:sz w:val="12"/>
                <w:szCs w:val="12"/>
              </w:rPr>
            </w:pPr>
            <w:r w:rsidRPr="004E02FF">
              <w:rPr>
                <w:color w:val="FF0000"/>
                <w:sz w:val="12"/>
                <w:szCs w:val="12"/>
              </w:rPr>
              <w:t>B.</w:t>
            </w:r>
          </w:p>
        </w:tc>
        <w:tc>
          <w:tcPr>
            <w:tcW w:w="840" w:type="dxa"/>
            <w:tcBorders>
              <w:top w:val="nil"/>
              <w:left w:val="nil"/>
              <w:bottom w:val="single" w:sz="4" w:space="0" w:color="auto"/>
              <w:right w:val="single" w:sz="4" w:space="0" w:color="auto"/>
            </w:tcBorders>
            <w:shd w:val="clear" w:color="000000" w:fill="D9D9D9"/>
            <w:noWrap/>
            <w:vAlign w:val="bottom"/>
            <w:hideMark/>
          </w:tcPr>
          <w:p w:rsidR="004E02FF" w:rsidRPr="004E02FF" w:rsidRDefault="004E02FF" w:rsidP="004E02FF">
            <w:pPr>
              <w:jc w:val="center"/>
              <w:rPr>
                <w:color w:val="FF0000"/>
                <w:sz w:val="12"/>
                <w:szCs w:val="12"/>
              </w:rPr>
            </w:pPr>
            <w:r w:rsidRPr="004E02FF">
              <w:rPr>
                <w:color w:val="FF0000"/>
                <w:sz w:val="12"/>
                <w:szCs w:val="12"/>
              </w:rPr>
              <w:t>C.</w:t>
            </w:r>
          </w:p>
        </w:tc>
        <w:tc>
          <w:tcPr>
            <w:tcW w:w="1000" w:type="dxa"/>
            <w:tcBorders>
              <w:top w:val="nil"/>
              <w:left w:val="nil"/>
              <w:bottom w:val="single" w:sz="4" w:space="0" w:color="auto"/>
              <w:right w:val="single" w:sz="4" w:space="0" w:color="auto"/>
            </w:tcBorders>
            <w:shd w:val="clear" w:color="000000" w:fill="D9D9D9"/>
            <w:noWrap/>
            <w:vAlign w:val="bottom"/>
            <w:hideMark/>
          </w:tcPr>
          <w:p w:rsidR="004E02FF" w:rsidRPr="004E02FF" w:rsidRDefault="004E02FF" w:rsidP="004E02FF">
            <w:pPr>
              <w:jc w:val="center"/>
              <w:rPr>
                <w:color w:val="FF0000"/>
                <w:sz w:val="12"/>
                <w:szCs w:val="12"/>
              </w:rPr>
            </w:pPr>
            <w:r w:rsidRPr="004E02FF">
              <w:rPr>
                <w:color w:val="FF0000"/>
                <w:sz w:val="12"/>
                <w:szCs w:val="12"/>
              </w:rPr>
              <w:t xml:space="preserve">D. </w:t>
            </w:r>
          </w:p>
        </w:tc>
        <w:tc>
          <w:tcPr>
            <w:tcW w:w="900" w:type="dxa"/>
            <w:tcBorders>
              <w:top w:val="nil"/>
              <w:left w:val="nil"/>
              <w:bottom w:val="single" w:sz="4" w:space="0" w:color="auto"/>
              <w:right w:val="single" w:sz="4" w:space="0" w:color="auto"/>
            </w:tcBorders>
            <w:shd w:val="clear" w:color="000000" w:fill="D9D9D9"/>
            <w:noWrap/>
            <w:vAlign w:val="bottom"/>
            <w:hideMark/>
          </w:tcPr>
          <w:p w:rsidR="004E02FF" w:rsidRPr="004E02FF" w:rsidRDefault="004E02FF" w:rsidP="004E02FF">
            <w:pPr>
              <w:jc w:val="center"/>
              <w:rPr>
                <w:color w:val="FF0000"/>
                <w:sz w:val="12"/>
                <w:szCs w:val="12"/>
              </w:rPr>
            </w:pPr>
            <w:r w:rsidRPr="004E02FF">
              <w:rPr>
                <w:color w:val="FF0000"/>
                <w:sz w:val="12"/>
                <w:szCs w:val="12"/>
              </w:rPr>
              <w:t>E.</w:t>
            </w:r>
          </w:p>
        </w:tc>
        <w:tc>
          <w:tcPr>
            <w:tcW w:w="920" w:type="dxa"/>
            <w:tcBorders>
              <w:top w:val="nil"/>
              <w:left w:val="nil"/>
              <w:bottom w:val="single" w:sz="4" w:space="0" w:color="auto"/>
              <w:right w:val="single" w:sz="4" w:space="0" w:color="auto"/>
            </w:tcBorders>
            <w:shd w:val="clear" w:color="000000" w:fill="D9D9D9"/>
            <w:noWrap/>
            <w:vAlign w:val="bottom"/>
            <w:hideMark/>
          </w:tcPr>
          <w:p w:rsidR="004E02FF" w:rsidRPr="004E02FF" w:rsidRDefault="004E02FF" w:rsidP="004E02FF">
            <w:pPr>
              <w:jc w:val="center"/>
              <w:rPr>
                <w:color w:val="FF0000"/>
                <w:sz w:val="12"/>
                <w:szCs w:val="12"/>
              </w:rPr>
            </w:pPr>
            <w:r w:rsidRPr="004E02FF">
              <w:rPr>
                <w:color w:val="FF0000"/>
                <w:sz w:val="12"/>
                <w:szCs w:val="12"/>
              </w:rPr>
              <w:t>F.</w:t>
            </w:r>
          </w:p>
        </w:tc>
        <w:tc>
          <w:tcPr>
            <w:tcW w:w="940" w:type="dxa"/>
            <w:tcBorders>
              <w:top w:val="nil"/>
              <w:left w:val="nil"/>
              <w:bottom w:val="single" w:sz="4" w:space="0" w:color="auto"/>
              <w:right w:val="single" w:sz="4" w:space="0" w:color="auto"/>
            </w:tcBorders>
            <w:shd w:val="clear" w:color="000000" w:fill="D9D9D9"/>
            <w:noWrap/>
            <w:vAlign w:val="bottom"/>
            <w:hideMark/>
          </w:tcPr>
          <w:p w:rsidR="004E02FF" w:rsidRPr="004E02FF" w:rsidRDefault="004E02FF" w:rsidP="004E02FF">
            <w:pPr>
              <w:jc w:val="center"/>
              <w:rPr>
                <w:color w:val="FF0000"/>
                <w:sz w:val="12"/>
                <w:szCs w:val="12"/>
              </w:rPr>
            </w:pPr>
            <w:r w:rsidRPr="004E02FF">
              <w:rPr>
                <w:color w:val="FF0000"/>
                <w:sz w:val="12"/>
                <w:szCs w:val="12"/>
              </w:rPr>
              <w:t>G.</w:t>
            </w:r>
          </w:p>
        </w:tc>
        <w:tc>
          <w:tcPr>
            <w:tcW w:w="1060" w:type="dxa"/>
            <w:tcBorders>
              <w:top w:val="nil"/>
              <w:left w:val="nil"/>
              <w:bottom w:val="single" w:sz="4" w:space="0" w:color="auto"/>
              <w:right w:val="single" w:sz="4" w:space="0" w:color="auto"/>
            </w:tcBorders>
            <w:shd w:val="clear" w:color="000000" w:fill="D9D9D9"/>
            <w:noWrap/>
            <w:vAlign w:val="bottom"/>
            <w:hideMark/>
          </w:tcPr>
          <w:p w:rsidR="004E02FF" w:rsidRPr="004E02FF" w:rsidRDefault="004E02FF" w:rsidP="004E02FF">
            <w:pPr>
              <w:jc w:val="center"/>
              <w:rPr>
                <w:color w:val="FF0000"/>
                <w:sz w:val="12"/>
                <w:szCs w:val="12"/>
              </w:rPr>
            </w:pPr>
            <w:r w:rsidRPr="004E02FF">
              <w:rPr>
                <w:color w:val="FF0000"/>
                <w:sz w:val="12"/>
                <w:szCs w:val="12"/>
              </w:rPr>
              <w:t>H.</w:t>
            </w:r>
          </w:p>
        </w:tc>
        <w:tc>
          <w:tcPr>
            <w:tcW w:w="760" w:type="dxa"/>
            <w:tcBorders>
              <w:top w:val="nil"/>
              <w:left w:val="nil"/>
              <w:bottom w:val="single" w:sz="4" w:space="0" w:color="auto"/>
              <w:right w:val="single" w:sz="8" w:space="0" w:color="auto"/>
            </w:tcBorders>
            <w:shd w:val="clear" w:color="000000" w:fill="D9D9D9"/>
            <w:noWrap/>
            <w:vAlign w:val="bottom"/>
            <w:hideMark/>
          </w:tcPr>
          <w:p w:rsidR="004E02FF" w:rsidRPr="004E02FF" w:rsidRDefault="004E02FF" w:rsidP="004E02FF">
            <w:pPr>
              <w:rPr>
                <w:rFonts w:ascii="Calibri" w:hAnsi="Calibri"/>
                <w:color w:val="000000"/>
                <w:sz w:val="22"/>
                <w:szCs w:val="22"/>
              </w:rPr>
            </w:pPr>
            <w:r w:rsidRPr="004E02FF">
              <w:rPr>
                <w:rFonts w:ascii="Calibri" w:hAnsi="Calibri"/>
                <w:color w:val="000000"/>
                <w:sz w:val="22"/>
                <w:szCs w:val="22"/>
              </w:rPr>
              <w:t> </w:t>
            </w:r>
          </w:p>
        </w:tc>
      </w:tr>
      <w:tr w:rsidR="004E02FF" w:rsidRPr="004E02FF" w:rsidTr="004E02FF">
        <w:trPr>
          <w:trHeight w:val="1200"/>
          <w:jc w:val="center"/>
        </w:trPr>
        <w:tc>
          <w:tcPr>
            <w:tcW w:w="1380" w:type="dxa"/>
            <w:tcBorders>
              <w:top w:val="nil"/>
              <w:left w:val="single" w:sz="8" w:space="0" w:color="auto"/>
              <w:bottom w:val="single" w:sz="4" w:space="0" w:color="auto"/>
              <w:right w:val="single" w:sz="4" w:space="0" w:color="auto"/>
            </w:tcBorders>
            <w:shd w:val="clear" w:color="000000" w:fill="D9D9D9"/>
            <w:vAlign w:val="center"/>
            <w:hideMark/>
          </w:tcPr>
          <w:p w:rsidR="004E02FF" w:rsidRPr="004E02FF" w:rsidRDefault="004E02FF" w:rsidP="004E02FF">
            <w:pPr>
              <w:jc w:val="center"/>
              <w:rPr>
                <w:b/>
                <w:bCs/>
                <w:color w:val="000000"/>
                <w:sz w:val="12"/>
                <w:szCs w:val="12"/>
              </w:rPr>
            </w:pPr>
            <w:r w:rsidRPr="004E02FF">
              <w:rPr>
                <w:b/>
                <w:bCs/>
                <w:color w:val="000000"/>
                <w:sz w:val="12"/>
                <w:szCs w:val="12"/>
              </w:rPr>
              <w:t>Name of Information Collection</w:t>
            </w:r>
          </w:p>
        </w:tc>
        <w:tc>
          <w:tcPr>
            <w:tcW w:w="96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b/>
                <w:bCs/>
                <w:color w:val="000000"/>
                <w:sz w:val="12"/>
                <w:szCs w:val="12"/>
              </w:rPr>
            </w:pPr>
            <w:r w:rsidRPr="004E02FF">
              <w:rPr>
                <w:b/>
                <w:bCs/>
                <w:color w:val="000000"/>
                <w:sz w:val="12"/>
                <w:szCs w:val="12"/>
              </w:rPr>
              <w:t>Type of Burden</w:t>
            </w:r>
          </w:p>
        </w:tc>
        <w:tc>
          <w:tcPr>
            <w:tcW w:w="76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b/>
                <w:bCs/>
                <w:color w:val="000000"/>
                <w:sz w:val="12"/>
                <w:szCs w:val="12"/>
              </w:rPr>
            </w:pPr>
            <w:r w:rsidRPr="004E02FF">
              <w:rPr>
                <w:b/>
                <w:bCs/>
                <w:color w:val="000000"/>
                <w:sz w:val="12"/>
                <w:szCs w:val="12"/>
              </w:rPr>
              <w:t>Number of Entities Impacted</w:t>
            </w:r>
          </w:p>
        </w:tc>
        <w:tc>
          <w:tcPr>
            <w:tcW w:w="82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b/>
                <w:bCs/>
                <w:color w:val="000000"/>
                <w:sz w:val="12"/>
                <w:szCs w:val="12"/>
              </w:rPr>
            </w:pPr>
            <w:r w:rsidRPr="004E02FF">
              <w:rPr>
                <w:b/>
                <w:bCs/>
                <w:color w:val="000000"/>
                <w:sz w:val="12"/>
                <w:szCs w:val="12"/>
              </w:rPr>
              <w:t>Annual Responses per Entity</w:t>
            </w:r>
          </w:p>
        </w:tc>
        <w:tc>
          <w:tcPr>
            <w:tcW w:w="84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b/>
                <w:bCs/>
                <w:color w:val="000000"/>
                <w:sz w:val="12"/>
                <w:szCs w:val="12"/>
              </w:rPr>
            </w:pPr>
            <w:r w:rsidRPr="004E02FF">
              <w:rPr>
                <w:b/>
                <w:bCs/>
                <w:color w:val="000000"/>
                <w:sz w:val="12"/>
                <w:szCs w:val="12"/>
              </w:rPr>
              <w:t>Initial Burden per Entity per Response</w:t>
            </w:r>
          </w:p>
        </w:tc>
        <w:tc>
          <w:tcPr>
            <w:tcW w:w="100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b/>
                <w:bCs/>
                <w:color w:val="000000"/>
                <w:sz w:val="12"/>
                <w:szCs w:val="12"/>
              </w:rPr>
            </w:pPr>
            <w:r w:rsidRPr="004E02FF">
              <w:rPr>
                <w:b/>
                <w:bCs/>
                <w:color w:val="000000"/>
                <w:sz w:val="12"/>
                <w:szCs w:val="12"/>
              </w:rPr>
              <w:t>Initial Burden Annualized per Entity per Response</w:t>
            </w:r>
          </w:p>
        </w:tc>
        <w:tc>
          <w:tcPr>
            <w:tcW w:w="90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b/>
                <w:bCs/>
                <w:color w:val="000000"/>
                <w:sz w:val="12"/>
                <w:szCs w:val="12"/>
              </w:rPr>
            </w:pPr>
            <w:r w:rsidRPr="004E02FF">
              <w:rPr>
                <w:b/>
                <w:bCs/>
                <w:color w:val="000000"/>
                <w:sz w:val="12"/>
                <w:szCs w:val="12"/>
              </w:rPr>
              <w:t>Ongoing Burden per Entity per Response</w:t>
            </w:r>
          </w:p>
        </w:tc>
        <w:tc>
          <w:tcPr>
            <w:tcW w:w="92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b/>
                <w:bCs/>
                <w:color w:val="000000"/>
                <w:sz w:val="12"/>
                <w:szCs w:val="12"/>
              </w:rPr>
            </w:pPr>
            <w:r w:rsidRPr="004E02FF">
              <w:rPr>
                <w:b/>
                <w:bCs/>
                <w:color w:val="000000"/>
                <w:sz w:val="12"/>
                <w:szCs w:val="12"/>
              </w:rPr>
              <w:t>Annual Burden Per Entity per Response</w:t>
            </w:r>
          </w:p>
        </w:tc>
        <w:tc>
          <w:tcPr>
            <w:tcW w:w="94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b/>
                <w:bCs/>
                <w:color w:val="000000"/>
                <w:sz w:val="12"/>
                <w:szCs w:val="12"/>
              </w:rPr>
            </w:pPr>
            <w:r w:rsidRPr="004E02FF">
              <w:rPr>
                <w:b/>
                <w:bCs/>
                <w:color w:val="000000"/>
                <w:sz w:val="12"/>
                <w:szCs w:val="12"/>
              </w:rPr>
              <w:t>Total Annual Burden Per Entity</w:t>
            </w:r>
          </w:p>
        </w:tc>
        <w:tc>
          <w:tcPr>
            <w:tcW w:w="106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b/>
                <w:bCs/>
                <w:color w:val="000000"/>
                <w:sz w:val="12"/>
                <w:szCs w:val="12"/>
              </w:rPr>
            </w:pPr>
            <w:r w:rsidRPr="004E02FF">
              <w:rPr>
                <w:b/>
                <w:bCs/>
                <w:color w:val="000000"/>
                <w:sz w:val="12"/>
                <w:szCs w:val="12"/>
              </w:rPr>
              <w:t xml:space="preserve">Total Industry Burden                  </w:t>
            </w:r>
          </w:p>
        </w:tc>
        <w:tc>
          <w:tcPr>
            <w:tcW w:w="760" w:type="dxa"/>
            <w:tcBorders>
              <w:top w:val="nil"/>
              <w:left w:val="nil"/>
              <w:bottom w:val="single" w:sz="4" w:space="0" w:color="auto"/>
              <w:right w:val="single" w:sz="8" w:space="0" w:color="auto"/>
            </w:tcBorders>
            <w:shd w:val="clear" w:color="000000" w:fill="D9D9D9"/>
            <w:vAlign w:val="center"/>
            <w:hideMark/>
          </w:tcPr>
          <w:p w:rsidR="004E02FF" w:rsidRPr="004E02FF" w:rsidRDefault="004E02FF" w:rsidP="004E02FF">
            <w:pPr>
              <w:jc w:val="center"/>
              <w:rPr>
                <w:b/>
                <w:bCs/>
                <w:color w:val="000000"/>
                <w:sz w:val="12"/>
                <w:szCs w:val="12"/>
              </w:rPr>
            </w:pPr>
            <w:r w:rsidRPr="004E02FF">
              <w:rPr>
                <w:b/>
                <w:bCs/>
                <w:color w:val="000000"/>
                <w:sz w:val="12"/>
                <w:szCs w:val="12"/>
              </w:rPr>
              <w:t xml:space="preserve"> Small Business Entities Affected</w:t>
            </w:r>
          </w:p>
        </w:tc>
      </w:tr>
      <w:tr w:rsidR="004E02FF" w:rsidRPr="004E02FF" w:rsidTr="004E02FF">
        <w:trPr>
          <w:trHeight w:val="510"/>
          <w:jc w:val="center"/>
        </w:trPr>
        <w:tc>
          <w:tcPr>
            <w:tcW w:w="1380" w:type="dxa"/>
            <w:tcBorders>
              <w:top w:val="nil"/>
              <w:left w:val="single" w:sz="8" w:space="0" w:color="auto"/>
              <w:bottom w:val="single" w:sz="4" w:space="0" w:color="auto"/>
              <w:right w:val="single" w:sz="4" w:space="0" w:color="auto"/>
            </w:tcBorders>
            <w:shd w:val="clear" w:color="000000" w:fill="D9D9D9"/>
            <w:vAlign w:val="center"/>
            <w:hideMark/>
          </w:tcPr>
          <w:p w:rsidR="004E02FF" w:rsidRPr="004E02FF" w:rsidRDefault="004E02FF" w:rsidP="004E02FF">
            <w:pPr>
              <w:jc w:val="center"/>
              <w:rPr>
                <w:color w:val="FF0000"/>
                <w:sz w:val="12"/>
                <w:szCs w:val="12"/>
              </w:rPr>
            </w:pPr>
            <w:r w:rsidRPr="004E02FF">
              <w:rPr>
                <w:color w:val="FF0000"/>
                <w:sz w:val="12"/>
                <w:szCs w:val="12"/>
              </w:rPr>
              <w:t> </w:t>
            </w:r>
          </w:p>
        </w:tc>
        <w:tc>
          <w:tcPr>
            <w:tcW w:w="96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color w:val="FF0000"/>
                <w:sz w:val="12"/>
                <w:szCs w:val="12"/>
              </w:rPr>
            </w:pPr>
            <w:r w:rsidRPr="004E02FF">
              <w:rPr>
                <w:color w:val="FF0000"/>
                <w:sz w:val="12"/>
                <w:szCs w:val="12"/>
              </w:rPr>
              <w:t> </w:t>
            </w:r>
          </w:p>
        </w:tc>
        <w:tc>
          <w:tcPr>
            <w:tcW w:w="76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color w:val="FF0000"/>
                <w:sz w:val="12"/>
                <w:szCs w:val="12"/>
              </w:rPr>
            </w:pPr>
            <w:r w:rsidRPr="004E02FF">
              <w:rPr>
                <w:color w:val="FF0000"/>
                <w:sz w:val="12"/>
                <w:szCs w:val="12"/>
              </w:rPr>
              <w:t> </w:t>
            </w:r>
          </w:p>
        </w:tc>
        <w:tc>
          <w:tcPr>
            <w:tcW w:w="82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color w:val="FF0000"/>
                <w:sz w:val="12"/>
                <w:szCs w:val="12"/>
              </w:rPr>
            </w:pPr>
            <w:r w:rsidRPr="004E02FF">
              <w:rPr>
                <w:color w:val="FF0000"/>
                <w:sz w:val="12"/>
                <w:szCs w:val="12"/>
              </w:rPr>
              <w:t> </w:t>
            </w:r>
          </w:p>
        </w:tc>
        <w:tc>
          <w:tcPr>
            <w:tcW w:w="84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color w:val="FF0000"/>
                <w:sz w:val="12"/>
                <w:szCs w:val="12"/>
              </w:rPr>
            </w:pPr>
            <w:r w:rsidRPr="004E02FF">
              <w:rPr>
                <w:color w:val="FF0000"/>
                <w:sz w:val="12"/>
                <w:szCs w:val="12"/>
              </w:rPr>
              <w:t> </w:t>
            </w:r>
          </w:p>
        </w:tc>
        <w:tc>
          <w:tcPr>
            <w:tcW w:w="100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color w:val="FF0000"/>
                <w:sz w:val="12"/>
                <w:szCs w:val="12"/>
              </w:rPr>
            </w:pPr>
            <w:r w:rsidRPr="004E02FF">
              <w:rPr>
                <w:color w:val="FF0000"/>
                <w:sz w:val="12"/>
                <w:szCs w:val="12"/>
              </w:rPr>
              <w:t>[C ÷ 3 years]</w:t>
            </w:r>
          </w:p>
        </w:tc>
        <w:tc>
          <w:tcPr>
            <w:tcW w:w="90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color w:val="FF0000"/>
                <w:sz w:val="12"/>
                <w:szCs w:val="12"/>
              </w:rPr>
            </w:pPr>
            <w:r w:rsidRPr="004E02FF">
              <w:rPr>
                <w:color w:val="FF0000"/>
                <w:sz w:val="12"/>
                <w:szCs w:val="12"/>
              </w:rPr>
              <w:t> </w:t>
            </w:r>
          </w:p>
        </w:tc>
        <w:tc>
          <w:tcPr>
            <w:tcW w:w="92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color w:val="FF0000"/>
                <w:sz w:val="12"/>
                <w:szCs w:val="12"/>
              </w:rPr>
            </w:pPr>
            <w:r w:rsidRPr="004E02FF">
              <w:rPr>
                <w:color w:val="FF0000"/>
                <w:sz w:val="12"/>
                <w:szCs w:val="12"/>
              </w:rPr>
              <w:t>[ D + E]</w:t>
            </w:r>
          </w:p>
        </w:tc>
        <w:tc>
          <w:tcPr>
            <w:tcW w:w="94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color w:val="FF0000"/>
                <w:sz w:val="12"/>
                <w:szCs w:val="12"/>
              </w:rPr>
            </w:pPr>
            <w:r w:rsidRPr="004E02FF">
              <w:rPr>
                <w:color w:val="FF0000"/>
                <w:sz w:val="12"/>
                <w:szCs w:val="12"/>
              </w:rPr>
              <w:t>[F * B]</w:t>
            </w:r>
          </w:p>
        </w:tc>
        <w:tc>
          <w:tcPr>
            <w:tcW w:w="1060" w:type="dxa"/>
            <w:tcBorders>
              <w:top w:val="nil"/>
              <w:left w:val="nil"/>
              <w:bottom w:val="single" w:sz="4" w:space="0" w:color="auto"/>
              <w:right w:val="single" w:sz="4" w:space="0" w:color="auto"/>
            </w:tcBorders>
            <w:shd w:val="clear" w:color="000000" w:fill="D9D9D9"/>
            <w:vAlign w:val="center"/>
            <w:hideMark/>
          </w:tcPr>
          <w:p w:rsidR="004E02FF" w:rsidRPr="004E02FF" w:rsidRDefault="004E02FF" w:rsidP="004E02FF">
            <w:pPr>
              <w:jc w:val="center"/>
              <w:rPr>
                <w:color w:val="FF0000"/>
                <w:sz w:val="12"/>
                <w:szCs w:val="12"/>
              </w:rPr>
            </w:pPr>
            <w:r w:rsidRPr="004E02FF">
              <w:rPr>
                <w:color w:val="FF0000"/>
                <w:sz w:val="12"/>
                <w:szCs w:val="12"/>
              </w:rPr>
              <w:t xml:space="preserve">[G * A]  </w:t>
            </w:r>
          </w:p>
        </w:tc>
        <w:tc>
          <w:tcPr>
            <w:tcW w:w="760" w:type="dxa"/>
            <w:tcBorders>
              <w:top w:val="nil"/>
              <w:left w:val="nil"/>
              <w:bottom w:val="single" w:sz="4" w:space="0" w:color="auto"/>
              <w:right w:val="single" w:sz="8" w:space="0" w:color="auto"/>
            </w:tcBorders>
            <w:shd w:val="clear" w:color="000000" w:fill="D9D9D9"/>
            <w:vAlign w:val="center"/>
            <w:hideMark/>
          </w:tcPr>
          <w:p w:rsidR="004E02FF" w:rsidRPr="004E02FF" w:rsidRDefault="004E02FF" w:rsidP="004E02FF">
            <w:pPr>
              <w:jc w:val="center"/>
              <w:rPr>
                <w:color w:val="FF0000"/>
                <w:sz w:val="12"/>
                <w:szCs w:val="12"/>
              </w:rPr>
            </w:pPr>
            <w:r w:rsidRPr="004E02FF">
              <w:rPr>
                <w:color w:val="FF0000"/>
                <w:sz w:val="12"/>
                <w:szCs w:val="12"/>
              </w:rPr>
              <w:t>[A * 0 %]</w:t>
            </w:r>
          </w:p>
        </w:tc>
      </w:tr>
      <w:tr w:rsidR="004E02FF" w:rsidRPr="004E02FF" w:rsidTr="004E02FF">
        <w:trPr>
          <w:trHeight w:val="330"/>
          <w:jc w:val="center"/>
        </w:trPr>
        <w:tc>
          <w:tcPr>
            <w:tcW w:w="1380" w:type="dxa"/>
            <w:tcBorders>
              <w:top w:val="nil"/>
              <w:left w:val="single" w:sz="8" w:space="0" w:color="auto"/>
              <w:bottom w:val="single" w:sz="4" w:space="0" w:color="auto"/>
              <w:right w:val="single" w:sz="4" w:space="0" w:color="auto"/>
            </w:tcBorders>
            <w:shd w:val="clear" w:color="auto" w:fill="auto"/>
            <w:vAlign w:val="center"/>
            <w:hideMark/>
          </w:tcPr>
          <w:p w:rsidR="004E02FF" w:rsidRPr="004E02FF" w:rsidRDefault="004E02FF" w:rsidP="004E02FF">
            <w:pPr>
              <w:jc w:val="center"/>
              <w:rPr>
                <w:color w:val="000000"/>
                <w:sz w:val="12"/>
                <w:szCs w:val="12"/>
              </w:rPr>
            </w:pPr>
            <w:r w:rsidRPr="004E02FF">
              <w:rPr>
                <w:color w:val="000000"/>
                <w:sz w:val="12"/>
                <w:szCs w:val="12"/>
              </w:rPr>
              <w:t>Trade Acknowledgment Requirement</w:t>
            </w:r>
          </w:p>
        </w:tc>
        <w:tc>
          <w:tcPr>
            <w:tcW w:w="96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center"/>
              <w:rPr>
                <w:color w:val="000000"/>
                <w:sz w:val="12"/>
                <w:szCs w:val="12"/>
              </w:rPr>
            </w:pPr>
            <w:r w:rsidRPr="004E02FF">
              <w:rPr>
                <w:color w:val="000000"/>
                <w:sz w:val="12"/>
                <w:szCs w:val="12"/>
              </w:rPr>
              <w:t>Third-Party</w:t>
            </w:r>
          </w:p>
        </w:tc>
        <w:tc>
          <w:tcPr>
            <w:tcW w:w="76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center"/>
              <w:rPr>
                <w:color w:val="000000"/>
                <w:sz w:val="12"/>
                <w:szCs w:val="12"/>
              </w:rPr>
            </w:pPr>
            <w:r w:rsidRPr="004E02FF">
              <w:rPr>
                <w:color w:val="000000"/>
                <w:sz w:val="12"/>
                <w:szCs w:val="12"/>
              </w:rPr>
              <w:t>55</w:t>
            </w:r>
          </w:p>
        </w:tc>
        <w:tc>
          <w:tcPr>
            <w:tcW w:w="82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center"/>
              <w:rPr>
                <w:color w:val="000000"/>
                <w:sz w:val="12"/>
                <w:szCs w:val="12"/>
              </w:rPr>
            </w:pPr>
            <w:r w:rsidRPr="004E02FF">
              <w:rPr>
                <w:color w:val="000000"/>
                <w:sz w:val="12"/>
                <w:szCs w:val="12"/>
              </w:rPr>
              <w:t>7,455</w:t>
            </w:r>
          </w:p>
        </w:tc>
        <w:tc>
          <w:tcPr>
            <w:tcW w:w="84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right"/>
              <w:rPr>
                <w:color w:val="000000"/>
                <w:sz w:val="12"/>
                <w:szCs w:val="12"/>
              </w:rPr>
            </w:pPr>
            <w:r w:rsidRPr="004E02FF">
              <w:rPr>
                <w:color w:val="000000"/>
                <w:sz w:val="12"/>
                <w:szCs w:val="12"/>
              </w:rPr>
              <w:t>0.05</w:t>
            </w:r>
          </w:p>
        </w:tc>
        <w:tc>
          <w:tcPr>
            <w:tcW w:w="100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right"/>
              <w:rPr>
                <w:color w:val="000000"/>
                <w:sz w:val="12"/>
                <w:szCs w:val="12"/>
              </w:rPr>
            </w:pPr>
            <w:r w:rsidRPr="004E02FF">
              <w:rPr>
                <w:color w:val="000000"/>
                <w:sz w:val="12"/>
                <w:szCs w:val="12"/>
              </w:rPr>
              <w:t>0.02</w:t>
            </w:r>
          </w:p>
        </w:tc>
        <w:tc>
          <w:tcPr>
            <w:tcW w:w="90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right"/>
              <w:rPr>
                <w:color w:val="000000"/>
                <w:sz w:val="12"/>
                <w:szCs w:val="12"/>
              </w:rPr>
            </w:pPr>
            <w:r w:rsidRPr="004E02FF">
              <w:rPr>
                <w:color w:val="000000"/>
                <w:sz w:val="12"/>
                <w:szCs w:val="12"/>
              </w:rPr>
              <w:t>0.06</w:t>
            </w:r>
          </w:p>
        </w:tc>
        <w:tc>
          <w:tcPr>
            <w:tcW w:w="92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right"/>
              <w:rPr>
                <w:color w:val="000000"/>
                <w:sz w:val="12"/>
                <w:szCs w:val="12"/>
              </w:rPr>
            </w:pPr>
            <w:r w:rsidRPr="004E02FF">
              <w:rPr>
                <w:color w:val="000000"/>
                <w:sz w:val="12"/>
                <w:szCs w:val="12"/>
              </w:rPr>
              <w:t>0.07</w:t>
            </w:r>
          </w:p>
        </w:tc>
        <w:tc>
          <w:tcPr>
            <w:tcW w:w="94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right"/>
              <w:rPr>
                <w:color w:val="000000"/>
                <w:sz w:val="12"/>
                <w:szCs w:val="12"/>
              </w:rPr>
            </w:pPr>
            <w:r w:rsidRPr="004E02FF">
              <w:rPr>
                <w:color w:val="000000"/>
                <w:sz w:val="12"/>
                <w:szCs w:val="12"/>
              </w:rPr>
              <w:t>554.33</w:t>
            </w:r>
          </w:p>
        </w:tc>
        <w:tc>
          <w:tcPr>
            <w:tcW w:w="106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right"/>
              <w:rPr>
                <w:color w:val="000000"/>
                <w:sz w:val="12"/>
                <w:szCs w:val="12"/>
              </w:rPr>
            </w:pPr>
            <w:r w:rsidRPr="004E02FF">
              <w:rPr>
                <w:color w:val="000000"/>
                <w:sz w:val="12"/>
                <w:szCs w:val="12"/>
              </w:rPr>
              <w:t>30,488.33</w:t>
            </w:r>
          </w:p>
        </w:tc>
        <w:tc>
          <w:tcPr>
            <w:tcW w:w="760" w:type="dxa"/>
            <w:tcBorders>
              <w:top w:val="nil"/>
              <w:left w:val="nil"/>
              <w:bottom w:val="single" w:sz="4" w:space="0" w:color="auto"/>
              <w:right w:val="single" w:sz="8" w:space="0" w:color="auto"/>
            </w:tcBorders>
            <w:shd w:val="clear" w:color="auto" w:fill="auto"/>
            <w:noWrap/>
            <w:vAlign w:val="center"/>
            <w:hideMark/>
          </w:tcPr>
          <w:p w:rsidR="004E02FF" w:rsidRPr="004E02FF" w:rsidRDefault="004E02FF" w:rsidP="004E02FF">
            <w:pPr>
              <w:jc w:val="right"/>
              <w:rPr>
                <w:color w:val="000000"/>
                <w:sz w:val="12"/>
                <w:szCs w:val="12"/>
              </w:rPr>
            </w:pPr>
            <w:r w:rsidRPr="004E02FF">
              <w:rPr>
                <w:color w:val="000000"/>
                <w:sz w:val="12"/>
                <w:szCs w:val="12"/>
              </w:rPr>
              <w:t>0.00</w:t>
            </w:r>
          </w:p>
        </w:tc>
      </w:tr>
      <w:tr w:rsidR="004E02FF" w:rsidRPr="004E02FF" w:rsidTr="004E02FF">
        <w:trPr>
          <w:trHeight w:val="330"/>
          <w:jc w:val="center"/>
        </w:trPr>
        <w:tc>
          <w:tcPr>
            <w:tcW w:w="1380" w:type="dxa"/>
            <w:tcBorders>
              <w:top w:val="nil"/>
              <w:left w:val="single" w:sz="8" w:space="0" w:color="auto"/>
              <w:bottom w:val="single" w:sz="4" w:space="0" w:color="auto"/>
              <w:right w:val="single" w:sz="4" w:space="0" w:color="auto"/>
            </w:tcBorders>
            <w:shd w:val="clear" w:color="auto" w:fill="auto"/>
            <w:vAlign w:val="center"/>
            <w:hideMark/>
          </w:tcPr>
          <w:p w:rsidR="004E02FF" w:rsidRPr="004E02FF" w:rsidRDefault="004E02FF" w:rsidP="004E02FF">
            <w:pPr>
              <w:jc w:val="center"/>
              <w:rPr>
                <w:color w:val="000000"/>
                <w:sz w:val="12"/>
                <w:szCs w:val="12"/>
              </w:rPr>
            </w:pPr>
            <w:r w:rsidRPr="004E02FF">
              <w:rPr>
                <w:color w:val="000000"/>
                <w:sz w:val="12"/>
                <w:szCs w:val="12"/>
              </w:rPr>
              <w:t>Policies and  Procedures</w:t>
            </w:r>
          </w:p>
        </w:tc>
        <w:tc>
          <w:tcPr>
            <w:tcW w:w="96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center"/>
              <w:rPr>
                <w:color w:val="000000"/>
                <w:sz w:val="12"/>
                <w:szCs w:val="12"/>
              </w:rPr>
            </w:pPr>
            <w:r w:rsidRPr="004E02FF">
              <w:rPr>
                <w:color w:val="000000"/>
                <w:sz w:val="12"/>
                <w:szCs w:val="12"/>
              </w:rPr>
              <w:t>Recordkeeping</w:t>
            </w:r>
          </w:p>
        </w:tc>
        <w:tc>
          <w:tcPr>
            <w:tcW w:w="76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center"/>
              <w:rPr>
                <w:color w:val="000000"/>
                <w:sz w:val="12"/>
                <w:szCs w:val="12"/>
              </w:rPr>
            </w:pPr>
            <w:r w:rsidRPr="004E02FF">
              <w:rPr>
                <w:color w:val="000000"/>
                <w:sz w:val="12"/>
                <w:szCs w:val="12"/>
              </w:rPr>
              <w:t>55</w:t>
            </w:r>
          </w:p>
        </w:tc>
        <w:tc>
          <w:tcPr>
            <w:tcW w:w="82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center"/>
              <w:rPr>
                <w:color w:val="000000"/>
                <w:sz w:val="12"/>
                <w:szCs w:val="12"/>
              </w:rPr>
            </w:pPr>
            <w:r w:rsidRPr="004E02FF">
              <w:rPr>
                <w:color w:val="000000"/>
                <w:sz w:val="12"/>
                <w:szCs w:val="12"/>
              </w:rPr>
              <w:t>1</w:t>
            </w:r>
          </w:p>
        </w:tc>
        <w:tc>
          <w:tcPr>
            <w:tcW w:w="84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right"/>
              <w:rPr>
                <w:color w:val="000000"/>
                <w:sz w:val="12"/>
                <w:szCs w:val="12"/>
              </w:rPr>
            </w:pPr>
            <w:r w:rsidRPr="004E02FF">
              <w:rPr>
                <w:color w:val="000000"/>
                <w:sz w:val="12"/>
                <w:szCs w:val="12"/>
              </w:rPr>
              <w:t>80.00</w:t>
            </w:r>
          </w:p>
        </w:tc>
        <w:tc>
          <w:tcPr>
            <w:tcW w:w="100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right"/>
              <w:rPr>
                <w:color w:val="000000"/>
                <w:sz w:val="12"/>
                <w:szCs w:val="12"/>
              </w:rPr>
            </w:pPr>
            <w:r w:rsidRPr="004E02FF">
              <w:rPr>
                <w:color w:val="000000"/>
                <w:sz w:val="12"/>
                <w:szCs w:val="12"/>
              </w:rPr>
              <w:t>26.67</w:t>
            </w:r>
          </w:p>
        </w:tc>
        <w:tc>
          <w:tcPr>
            <w:tcW w:w="90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right"/>
              <w:rPr>
                <w:color w:val="000000"/>
                <w:sz w:val="12"/>
                <w:szCs w:val="12"/>
              </w:rPr>
            </w:pPr>
            <w:r w:rsidRPr="004E02FF">
              <w:rPr>
                <w:color w:val="000000"/>
                <w:sz w:val="12"/>
                <w:szCs w:val="12"/>
              </w:rPr>
              <w:t>40.00</w:t>
            </w:r>
          </w:p>
        </w:tc>
        <w:tc>
          <w:tcPr>
            <w:tcW w:w="92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right"/>
              <w:rPr>
                <w:color w:val="000000"/>
                <w:sz w:val="12"/>
                <w:szCs w:val="12"/>
              </w:rPr>
            </w:pPr>
            <w:r w:rsidRPr="004E02FF">
              <w:rPr>
                <w:color w:val="000000"/>
                <w:sz w:val="12"/>
                <w:szCs w:val="12"/>
              </w:rPr>
              <w:t>66.67</w:t>
            </w:r>
          </w:p>
        </w:tc>
        <w:tc>
          <w:tcPr>
            <w:tcW w:w="94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right"/>
              <w:rPr>
                <w:color w:val="000000"/>
                <w:sz w:val="12"/>
                <w:szCs w:val="12"/>
              </w:rPr>
            </w:pPr>
            <w:r w:rsidRPr="004E02FF">
              <w:rPr>
                <w:color w:val="000000"/>
                <w:sz w:val="12"/>
                <w:szCs w:val="12"/>
              </w:rPr>
              <w:t>66.67</w:t>
            </w:r>
          </w:p>
        </w:tc>
        <w:tc>
          <w:tcPr>
            <w:tcW w:w="1060" w:type="dxa"/>
            <w:tcBorders>
              <w:top w:val="nil"/>
              <w:left w:val="nil"/>
              <w:bottom w:val="single" w:sz="4" w:space="0" w:color="auto"/>
              <w:right w:val="single" w:sz="4" w:space="0" w:color="auto"/>
            </w:tcBorders>
            <w:shd w:val="clear" w:color="auto" w:fill="auto"/>
            <w:vAlign w:val="center"/>
            <w:hideMark/>
          </w:tcPr>
          <w:p w:rsidR="004E02FF" w:rsidRPr="004E02FF" w:rsidRDefault="004E02FF" w:rsidP="004E02FF">
            <w:pPr>
              <w:jc w:val="right"/>
              <w:rPr>
                <w:color w:val="000000"/>
                <w:sz w:val="12"/>
                <w:szCs w:val="12"/>
              </w:rPr>
            </w:pPr>
            <w:r w:rsidRPr="004E02FF">
              <w:rPr>
                <w:color w:val="000000"/>
                <w:sz w:val="12"/>
                <w:szCs w:val="12"/>
              </w:rPr>
              <w:t>3,666.67</w:t>
            </w:r>
          </w:p>
        </w:tc>
        <w:tc>
          <w:tcPr>
            <w:tcW w:w="760" w:type="dxa"/>
            <w:tcBorders>
              <w:top w:val="nil"/>
              <w:left w:val="nil"/>
              <w:bottom w:val="single" w:sz="4" w:space="0" w:color="auto"/>
              <w:right w:val="single" w:sz="8" w:space="0" w:color="auto"/>
            </w:tcBorders>
            <w:shd w:val="clear" w:color="auto" w:fill="auto"/>
            <w:noWrap/>
            <w:vAlign w:val="center"/>
            <w:hideMark/>
          </w:tcPr>
          <w:p w:rsidR="004E02FF" w:rsidRPr="004E02FF" w:rsidRDefault="004E02FF" w:rsidP="004E02FF">
            <w:pPr>
              <w:jc w:val="right"/>
              <w:rPr>
                <w:color w:val="000000"/>
                <w:sz w:val="12"/>
                <w:szCs w:val="12"/>
              </w:rPr>
            </w:pPr>
            <w:r w:rsidRPr="004E02FF">
              <w:rPr>
                <w:color w:val="000000"/>
                <w:sz w:val="12"/>
                <w:szCs w:val="12"/>
              </w:rPr>
              <w:t>0.00</w:t>
            </w:r>
          </w:p>
        </w:tc>
      </w:tr>
      <w:tr w:rsidR="004E02FF" w:rsidRPr="004E02FF" w:rsidTr="004E02FF">
        <w:trPr>
          <w:trHeight w:val="315"/>
          <w:jc w:val="center"/>
        </w:trPr>
        <w:tc>
          <w:tcPr>
            <w:tcW w:w="8520" w:type="dxa"/>
            <w:gridSpan w:val="9"/>
            <w:tcBorders>
              <w:top w:val="single" w:sz="4" w:space="0" w:color="auto"/>
              <w:left w:val="single" w:sz="8" w:space="0" w:color="auto"/>
              <w:bottom w:val="single" w:sz="8" w:space="0" w:color="auto"/>
              <w:right w:val="single" w:sz="4" w:space="0" w:color="auto"/>
            </w:tcBorders>
            <w:shd w:val="clear" w:color="auto" w:fill="auto"/>
            <w:vAlign w:val="center"/>
            <w:hideMark/>
          </w:tcPr>
          <w:p w:rsidR="004E02FF" w:rsidRPr="004E02FF" w:rsidRDefault="004E02FF" w:rsidP="00602535">
            <w:pPr>
              <w:jc w:val="right"/>
              <w:rPr>
                <w:b/>
                <w:bCs/>
                <w:color w:val="000000"/>
                <w:sz w:val="12"/>
                <w:szCs w:val="12"/>
              </w:rPr>
            </w:pPr>
            <w:r w:rsidRPr="004E02FF">
              <w:rPr>
                <w:b/>
                <w:bCs/>
                <w:color w:val="000000"/>
                <w:sz w:val="12"/>
                <w:szCs w:val="12"/>
              </w:rPr>
              <w:t xml:space="preserve">TOTAL </w:t>
            </w:r>
            <w:r w:rsidR="00602535">
              <w:rPr>
                <w:b/>
                <w:bCs/>
                <w:color w:val="000000"/>
                <w:sz w:val="12"/>
                <w:szCs w:val="12"/>
              </w:rPr>
              <w:t>HOURLY BURDEN</w:t>
            </w:r>
            <w:r w:rsidRPr="004E02FF">
              <w:rPr>
                <w:b/>
                <w:bCs/>
                <w:color w:val="000000"/>
                <w:sz w:val="12"/>
                <w:szCs w:val="12"/>
              </w:rPr>
              <w:t xml:space="preserve"> FOR ALL RESPONDENTS </w:t>
            </w:r>
          </w:p>
        </w:tc>
        <w:tc>
          <w:tcPr>
            <w:tcW w:w="1060" w:type="dxa"/>
            <w:tcBorders>
              <w:top w:val="nil"/>
              <w:left w:val="nil"/>
              <w:bottom w:val="single" w:sz="8" w:space="0" w:color="auto"/>
              <w:right w:val="single" w:sz="4" w:space="0" w:color="auto"/>
            </w:tcBorders>
            <w:shd w:val="clear" w:color="auto" w:fill="auto"/>
            <w:vAlign w:val="center"/>
            <w:hideMark/>
          </w:tcPr>
          <w:p w:rsidR="004E02FF" w:rsidRPr="004E02FF" w:rsidRDefault="004E02FF" w:rsidP="004E02FF">
            <w:pPr>
              <w:jc w:val="right"/>
              <w:rPr>
                <w:b/>
                <w:bCs/>
                <w:color w:val="000000"/>
                <w:sz w:val="12"/>
                <w:szCs w:val="12"/>
              </w:rPr>
            </w:pPr>
            <w:r w:rsidRPr="004E02FF">
              <w:rPr>
                <w:b/>
                <w:bCs/>
                <w:color w:val="000000"/>
                <w:sz w:val="12"/>
                <w:szCs w:val="12"/>
              </w:rPr>
              <w:t>34,155.00</w:t>
            </w:r>
          </w:p>
        </w:tc>
        <w:tc>
          <w:tcPr>
            <w:tcW w:w="760" w:type="dxa"/>
            <w:tcBorders>
              <w:top w:val="nil"/>
              <w:left w:val="nil"/>
              <w:bottom w:val="single" w:sz="8" w:space="0" w:color="auto"/>
              <w:right w:val="single" w:sz="8" w:space="0" w:color="auto"/>
            </w:tcBorders>
            <w:shd w:val="clear" w:color="auto" w:fill="auto"/>
            <w:vAlign w:val="center"/>
            <w:hideMark/>
          </w:tcPr>
          <w:p w:rsidR="004E02FF" w:rsidRPr="004E02FF" w:rsidRDefault="004E02FF" w:rsidP="004E02FF">
            <w:pPr>
              <w:jc w:val="right"/>
              <w:rPr>
                <w:b/>
                <w:bCs/>
                <w:color w:val="000000"/>
                <w:sz w:val="12"/>
                <w:szCs w:val="12"/>
              </w:rPr>
            </w:pPr>
            <w:r w:rsidRPr="004E02FF">
              <w:rPr>
                <w:b/>
                <w:bCs/>
                <w:color w:val="000000"/>
                <w:sz w:val="12"/>
                <w:szCs w:val="12"/>
              </w:rPr>
              <w:t> </w:t>
            </w:r>
          </w:p>
        </w:tc>
      </w:tr>
    </w:tbl>
    <w:p w:rsidR="00775DF4" w:rsidRDefault="00775DF4" w:rsidP="00775DF4">
      <w:pPr>
        <w:ind w:firstLine="720"/>
      </w:pPr>
    </w:p>
    <w:p w:rsidR="00622813" w:rsidRPr="00483D18" w:rsidRDefault="00FA6162" w:rsidP="00A84583">
      <w:pPr>
        <w:pStyle w:val="BodyText"/>
        <w:keepNext/>
        <w:numPr>
          <w:ilvl w:val="0"/>
          <w:numId w:val="1"/>
        </w:numPr>
        <w:rPr>
          <w:szCs w:val="24"/>
        </w:rPr>
      </w:pPr>
      <w:r w:rsidRPr="00483D18">
        <w:rPr>
          <w:szCs w:val="24"/>
          <w:u w:val="single"/>
        </w:rPr>
        <w:t>Costs to Respondents</w:t>
      </w:r>
    </w:p>
    <w:p w:rsidR="00622813" w:rsidRPr="00532DB6" w:rsidRDefault="00622813" w:rsidP="00A84583">
      <w:pPr>
        <w:pStyle w:val="BodyText"/>
        <w:keepNext/>
        <w:rPr>
          <w:szCs w:val="24"/>
        </w:rPr>
      </w:pPr>
    </w:p>
    <w:p w:rsidR="00532DB6" w:rsidRPr="00532DB6" w:rsidRDefault="00532DB6" w:rsidP="00A84583">
      <w:pPr>
        <w:keepNext/>
        <w:tabs>
          <w:tab w:val="left" w:pos="-720"/>
        </w:tabs>
        <w:suppressAutoHyphens/>
        <w:ind w:right="-576"/>
        <w:rPr>
          <w:spacing w:val="-3"/>
          <w:sz w:val="24"/>
          <w:szCs w:val="24"/>
        </w:rPr>
      </w:pPr>
      <w:r w:rsidRPr="00532DB6">
        <w:rPr>
          <w:spacing w:val="-3"/>
          <w:sz w:val="24"/>
          <w:szCs w:val="24"/>
        </w:rPr>
        <w:tab/>
      </w:r>
      <w:r w:rsidR="00FA50DB">
        <w:rPr>
          <w:spacing w:val="-3"/>
          <w:sz w:val="24"/>
          <w:szCs w:val="24"/>
        </w:rPr>
        <w:t>It is not anticipated that respondents will incur any costs to comply with the collection of information.</w:t>
      </w:r>
      <w:bookmarkStart w:id="8" w:name="_GoBack"/>
      <w:bookmarkEnd w:id="8"/>
    </w:p>
    <w:p w:rsidR="00622813" w:rsidRPr="00532DB6" w:rsidRDefault="00622813" w:rsidP="00111F14">
      <w:pPr>
        <w:pStyle w:val="BodyText"/>
        <w:rPr>
          <w:szCs w:val="24"/>
        </w:rPr>
      </w:pPr>
    </w:p>
    <w:p w:rsidR="00622813" w:rsidRPr="00532DB6" w:rsidRDefault="00622813" w:rsidP="00111F14">
      <w:pPr>
        <w:pStyle w:val="BodyText"/>
        <w:numPr>
          <w:ilvl w:val="0"/>
          <w:numId w:val="1"/>
        </w:numPr>
        <w:rPr>
          <w:szCs w:val="24"/>
        </w:rPr>
      </w:pPr>
      <w:r w:rsidRPr="00532DB6">
        <w:rPr>
          <w:szCs w:val="24"/>
          <w:u w:val="single"/>
        </w:rPr>
        <w:t>Cost</w:t>
      </w:r>
      <w:r w:rsidR="00FA6162" w:rsidRPr="00532DB6">
        <w:rPr>
          <w:szCs w:val="24"/>
          <w:u w:val="single"/>
        </w:rPr>
        <w:t>s</w:t>
      </w:r>
      <w:r w:rsidRPr="00532DB6">
        <w:rPr>
          <w:szCs w:val="24"/>
          <w:u w:val="single"/>
        </w:rPr>
        <w:t xml:space="preserve"> to</w:t>
      </w:r>
      <w:r w:rsidR="00FA6162" w:rsidRPr="00532DB6">
        <w:rPr>
          <w:szCs w:val="24"/>
          <w:u w:val="single"/>
        </w:rPr>
        <w:t xml:space="preserve"> </w:t>
      </w:r>
      <w:r w:rsidRPr="00532DB6">
        <w:rPr>
          <w:szCs w:val="24"/>
          <w:u w:val="single"/>
        </w:rPr>
        <w:t>Federal Government</w:t>
      </w:r>
    </w:p>
    <w:p w:rsidR="00622813" w:rsidRPr="00532DB6" w:rsidRDefault="00622813" w:rsidP="00111F14">
      <w:pPr>
        <w:pStyle w:val="BodyText"/>
        <w:rPr>
          <w:szCs w:val="24"/>
        </w:rPr>
      </w:pPr>
    </w:p>
    <w:p w:rsidR="00622813" w:rsidRPr="00532DB6" w:rsidRDefault="00F77ED9" w:rsidP="00111F14">
      <w:pPr>
        <w:pStyle w:val="BodyText"/>
        <w:rPr>
          <w:b/>
          <w:szCs w:val="24"/>
        </w:rPr>
      </w:pPr>
      <w:r w:rsidRPr="00532DB6">
        <w:rPr>
          <w:szCs w:val="24"/>
        </w:rPr>
        <w:tab/>
      </w:r>
      <w:r w:rsidR="00532DB6" w:rsidRPr="00532DB6">
        <w:rPr>
          <w:spacing w:val="-3"/>
          <w:szCs w:val="24"/>
        </w:rPr>
        <w:t xml:space="preserve">The Commission estimates </w:t>
      </w:r>
      <w:r w:rsidR="008E0AB2">
        <w:rPr>
          <w:spacing w:val="-3"/>
          <w:szCs w:val="24"/>
        </w:rPr>
        <w:t xml:space="preserve">that </w:t>
      </w:r>
      <w:r w:rsidR="00E51528">
        <w:rPr>
          <w:szCs w:val="24"/>
        </w:rPr>
        <w:t>the Rules</w:t>
      </w:r>
      <w:r w:rsidR="00E51528" w:rsidRPr="00532DB6">
        <w:rPr>
          <w:szCs w:val="24"/>
        </w:rPr>
        <w:t xml:space="preserve"> </w:t>
      </w:r>
      <w:r w:rsidR="00532DB6" w:rsidRPr="00532DB6">
        <w:rPr>
          <w:spacing w:val="-3"/>
          <w:szCs w:val="24"/>
        </w:rPr>
        <w:t xml:space="preserve">will </w:t>
      </w:r>
      <w:r w:rsidR="008E0AB2">
        <w:rPr>
          <w:spacing w:val="-3"/>
          <w:szCs w:val="24"/>
        </w:rPr>
        <w:t>impose</w:t>
      </w:r>
      <w:r w:rsidR="00532DB6" w:rsidRPr="00532DB6">
        <w:rPr>
          <w:spacing w:val="-3"/>
          <w:szCs w:val="24"/>
        </w:rPr>
        <w:t xml:space="preserve"> no costs to the federal government</w:t>
      </w:r>
      <w:r w:rsidR="008E0AB2">
        <w:rPr>
          <w:spacing w:val="-3"/>
          <w:szCs w:val="24"/>
        </w:rPr>
        <w:t>.</w:t>
      </w:r>
    </w:p>
    <w:p w:rsidR="00622813" w:rsidRPr="00532DB6" w:rsidRDefault="00622813" w:rsidP="00111F14">
      <w:pPr>
        <w:pStyle w:val="BodyText"/>
        <w:rPr>
          <w:szCs w:val="24"/>
        </w:rPr>
      </w:pPr>
    </w:p>
    <w:p w:rsidR="00622813" w:rsidRPr="00483D18" w:rsidRDefault="00622813" w:rsidP="00111F14">
      <w:pPr>
        <w:pStyle w:val="BodyText"/>
        <w:numPr>
          <w:ilvl w:val="0"/>
          <w:numId w:val="1"/>
        </w:numPr>
        <w:rPr>
          <w:szCs w:val="24"/>
        </w:rPr>
      </w:pPr>
      <w:r w:rsidRPr="00483D18">
        <w:rPr>
          <w:szCs w:val="24"/>
          <w:u w:val="single"/>
        </w:rPr>
        <w:t>Change</w:t>
      </w:r>
      <w:r w:rsidR="00E51528" w:rsidRPr="00483D18">
        <w:rPr>
          <w:szCs w:val="24"/>
          <w:u w:val="single"/>
        </w:rPr>
        <w:t xml:space="preserve"> in Burden</w:t>
      </w:r>
    </w:p>
    <w:p w:rsidR="00622813" w:rsidRPr="00532DB6" w:rsidRDefault="00622813" w:rsidP="00111F14">
      <w:pPr>
        <w:rPr>
          <w:color w:val="000000"/>
          <w:sz w:val="24"/>
          <w:szCs w:val="24"/>
        </w:rPr>
      </w:pPr>
    </w:p>
    <w:p w:rsidR="006E56F9" w:rsidRPr="006E56F9" w:rsidRDefault="00622813" w:rsidP="006E56F9">
      <w:pPr>
        <w:keepNext/>
        <w:tabs>
          <w:tab w:val="left" w:pos="0"/>
        </w:tabs>
        <w:suppressAutoHyphens/>
        <w:rPr>
          <w:spacing w:val="-3"/>
          <w:sz w:val="24"/>
          <w:szCs w:val="24"/>
        </w:rPr>
      </w:pPr>
      <w:r w:rsidRPr="00532DB6">
        <w:rPr>
          <w:color w:val="000000"/>
          <w:sz w:val="24"/>
          <w:szCs w:val="24"/>
        </w:rPr>
        <w:tab/>
      </w:r>
      <w:r w:rsidR="00A84583" w:rsidRPr="00A84583">
        <w:rPr>
          <w:spacing w:val="-3"/>
          <w:sz w:val="24"/>
          <w:szCs w:val="24"/>
        </w:rPr>
        <w:t>Not applicable.  The</w:t>
      </w:r>
      <w:r w:rsidR="00A84583">
        <w:rPr>
          <w:spacing w:val="-3"/>
          <w:sz w:val="24"/>
          <w:szCs w:val="24"/>
        </w:rPr>
        <w:t>re was no change in the burden.</w:t>
      </w:r>
    </w:p>
    <w:p w:rsidR="004E02FF" w:rsidRDefault="004E02FF">
      <w:pPr>
        <w:rPr>
          <w:spacing w:val="-3"/>
          <w:sz w:val="24"/>
          <w:szCs w:val="24"/>
        </w:rPr>
      </w:pPr>
      <w:r>
        <w:rPr>
          <w:spacing w:val="-3"/>
          <w:szCs w:val="24"/>
        </w:rPr>
        <w:br w:type="page"/>
      </w:r>
    </w:p>
    <w:p w:rsidR="00622813" w:rsidRPr="00532DB6" w:rsidRDefault="00622813" w:rsidP="00111F14">
      <w:pPr>
        <w:pStyle w:val="BodyText"/>
        <w:numPr>
          <w:ilvl w:val="0"/>
          <w:numId w:val="1"/>
        </w:numPr>
        <w:rPr>
          <w:szCs w:val="24"/>
        </w:rPr>
      </w:pPr>
      <w:r w:rsidRPr="00532DB6">
        <w:rPr>
          <w:szCs w:val="24"/>
          <w:u w:val="single"/>
        </w:rPr>
        <w:lastRenderedPageBreak/>
        <w:t>Information Collection Planned for Statistical Purposes</w:t>
      </w:r>
    </w:p>
    <w:p w:rsidR="00622813" w:rsidRPr="00532DB6" w:rsidRDefault="00622813" w:rsidP="00111F14">
      <w:pPr>
        <w:pStyle w:val="BodyText"/>
        <w:rPr>
          <w:szCs w:val="24"/>
        </w:rPr>
      </w:pPr>
    </w:p>
    <w:p w:rsidR="005E7F64" w:rsidRDefault="00622813" w:rsidP="004E02FF">
      <w:pPr>
        <w:pStyle w:val="BodyText"/>
        <w:rPr>
          <w:spacing w:val="-3"/>
          <w:szCs w:val="24"/>
        </w:rPr>
      </w:pPr>
      <w:r w:rsidRPr="00532DB6">
        <w:rPr>
          <w:szCs w:val="24"/>
        </w:rPr>
        <w:tab/>
      </w:r>
      <w:r w:rsidR="00532DB6" w:rsidRPr="00532DB6">
        <w:rPr>
          <w:spacing w:val="-3"/>
          <w:szCs w:val="24"/>
        </w:rPr>
        <w:t>Not applicable; there is no intention to publish the information for any purpose.</w:t>
      </w:r>
    </w:p>
    <w:p w:rsidR="004E02FF" w:rsidRDefault="004E02FF" w:rsidP="004E02FF">
      <w:pPr>
        <w:pStyle w:val="BodyText"/>
        <w:rPr>
          <w:szCs w:val="24"/>
        </w:rPr>
      </w:pPr>
    </w:p>
    <w:p w:rsidR="00622813" w:rsidRPr="00532DB6" w:rsidRDefault="00FA6162" w:rsidP="00111F14">
      <w:pPr>
        <w:pStyle w:val="BodyText"/>
        <w:numPr>
          <w:ilvl w:val="0"/>
          <w:numId w:val="1"/>
        </w:numPr>
        <w:rPr>
          <w:szCs w:val="24"/>
        </w:rPr>
      </w:pPr>
      <w:r w:rsidRPr="00532DB6">
        <w:rPr>
          <w:szCs w:val="24"/>
          <w:u w:val="single"/>
        </w:rPr>
        <w:t xml:space="preserve">OMB </w:t>
      </w:r>
      <w:r w:rsidR="00E51528">
        <w:rPr>
          <w:szCs w:val="24"/>
          <w:u w:val="single"/>
        </w:rPr>
        <w:t xml:space="preserve">Expiration Date Display </w:t>
      </w:r>
      <w:r w:rsidRPr="00532DB6">
        <w:rPr>
          <w:szCs w:val="24"/>
          <w:u w:val="single"/>
        </w:rPr>
        <w:t>Approval</w:t>
      </w:r>
    </w:p>
    <w:p w:rsidR="00622813" w:rsidRPr="00532DB6" w:rsidRDefault="00622813" w:rsidP="00111F14">
      <w:pPr>
        <w:pStyle w:val="BodyText"/>
        <w:rPr>
          <w:szCs w:val="24"/>
        </w:rPr>
      </w:pPr>
    </w:p>
    <w:p w:rsidR="00E51528" w:rsidRPr="00C81577" w:rsidRDefault="00622813" w:rsidP="00111F14">
      <w:pPr>
        <w:tabs>
          <w:tab w:val="left" w:pos="0"/>
        </w:tabs>
        <w:suppressAutoHyphens/>
        <w:rPr>
          <w:spacing w:val="-3"/>
        </w:rPr>
      </w:pPr>
      <w:r w:rsidRPr="00532DB6">
        <w:rPr>
          <w:szCs w:val="24"/>
        </w:rPr>
        <w:tab/>
      </w:r>
      <w:r w:rsidR="00E51528" w:rsidRPr="00E51528">
        <w:rPr>
          <w:spacing w:val="-3"/>
          <w:sz w:val="24"/>
          <w:szCs w:val="24"/>
        </w:rPr>
        <w:t xml:space="preserve">The Commission is not seeking approval to </w:t>
      </w:r>
      <w:r w:rsidR="00EA7A44">
        <w:rPr>
          <w:spacing w:val="-3"/>
          <w:sz w:val="24"/>
          <w:szCs w:val="24"/>
        </w:rPr>
        <w:t>not display</w:t>
      </w:r>
      <w:r w:rsidR="00E51528" w:rsidRPr="00E51528">
        <w:rPr>
          <w:spacing w:val="-3"/>
          <w:sz w:val="24"/>
          <w:szCs w:val="24"/>
        </w:rPr>
        <w:t xml:space="preserve"> the OMB approval expiration date.</w:t>
      </w:r>
      <w:r w:rsidR="00E51528" w:rsidRPr="00703315" w:rsidDel="009A0274">
        <w:rPr>
          <w:color w:val="000000"/>
          <w:highlight w:val="yellow"/>
        </w:rPr>
        <w:t xml:space="preserve"> </w:t>
      </w:r>
    </w:p>
    <w:p w:rsidR="00622813" w:rsidRPr="00532DB6" w:rsidRDefault="00622813" w:rsidP="00111F14">
      <w:pPr>
        <w:pStyle w:val="BodyText"/>
        <w:outlineLvl w:val="0"/>
        <w:rPr>
          <w:szCs w:val="24"/>
        </w:rPr>
      </w:pPr>
    </w:p>
    <w:p w:rsidR="00622813" w:rsidRPr="00532DB6" w:rsidRDefault="00FA6162" w:rsidP="00111F14">
      <w:pPr>
        <w:pStyle w:val="BodyText"/>
        <w:numPr>
          <w:ilvl w:val="0"/>
          <w:numId w:val="1"/>
        </w:numPr>
        <w:rPr>
          <w:szCs w:val="24"/>
        </w:rPr>
      </w:pPr>
      <w:r w:rsidRPr="00532DB6">
        <w:rPr>
          <w:szCs w:val="24"/>
          <w:u w:val="single"/>
        </w:rPr>
        <w:t>Exceptions to Certification for Paperwork Reduction Act Submissions</w:t>
      </w:r>
    </w:p>
    <w:p w:rsidR="00622813" w:rsidRPr="00532DB6" w:rsidRDefault="00622813" w:rsidP="00111F14">
      <w:pPr>
        <w:pStyle w:val="BodyText"/>
        <w:rPr>
          <w:szCs w:val="24"/>
        </w:rPr>
      </w:pPr>
    </w:p>
    <w:p w:rsidR="00622813" w:rsidRPr="00532DB6" w:rsidRDefault="00622813" w:rsidP="00111F14">
      <w:pPr>
        <w:pStyle w:val="BodyText"/>
        <w:outlineLvl w:val="0"/>
        <w:rPr>
          <w:szCs w:val="24"/>
        </w:rPr>
      </w:pPr>
      <w:r w:rsidRPr="00532DB6">
        <w:rPr>
          <w:szCs w:val="24"/>
        </w:rPr>
        <w:tab/>
      </w:r>
      <w:r w:rsidR="00532DB6" w:rsidRPr="00532DB6">
        <w:rPr>
          <w:szCs w:val="24"/>
        </w:rPr>
        <w:t>This collection complies with the requirements of 5 CFR 1320.9.</w:t>
      </w:r>
    </w:p>
    <w:p w:rsidR="00622813" w:rsidRPr="00532DB6" w:rsidRDefault="00622813" w:rsidP="00111F14">
      <w:pPr>
        <w:pStyle w:val="BodyText"/>
        <w:rPr>
          <w:szCs w:val="24"/>
        </w:rPr>
      </w:pPr>
    </w:p>
    <w:p w:rsidR="00622813" w:rsidRPr="00532DB6" w:rsidRDefault="00FA6162" w:rsidP="00111F14">
      <w:pPr>
        <w:pStyle w:val="BodyText"/>
        <w:rPr>
          <w:szCs w:val="24"/>
        </w:rPr>
      </w:pPr>
      <w:r w:rsidRPr="00532DB6">
        <w:rPr>
          <w:szCs w:val="24"/>
        </w:rPr>
        <w:t>B.</w:t>
      </w:r>
      <w:r w:rsidRPr="00532DB6">
        <w:rPr>
          <w:szCs w:val="24"/>
        </w:rPr>
        <w:tab/>
      </w:r>
      <w:r w:rsidR="00622813" w:rsidRPr="00532DB6">
        <w:rPr>
          <w:szCs w:val="24"/>
          <w:u w:val="single"/>
        </w:rPr>
        <w:t>Collection of Information Employing Statistical Methods</w:t>
      </w:r>
    </w:p>
    <w:p w:rsidR="00622813" w:rsidRPr="00532DB6" w:rsidRDefault="00622813" w:rsidP="00111F14">
      <w:pPr>
        <w:pStyle w:val="BodyText"/>
        <w:rPr>
          <w:szCs w:val="24"/>
        </w:rPr>
      </w:pPr>
    </w:p>
    <w:p w:rsidR="00622813" w:rsidRPr="00532DB6" w:rsidRDefault="00622813" w:rsidP="00111F14">
      <w:pPr>
        <w:pStyle w:val="BodyText"/>
        <w:rPr>
          <w:szCs w:val="24"/>
        </w:rPr>
      </w:pPr>
      <w:r w:rsidRPr="00532DB6">
        <w:rPr>
          <w:szCs w:val="24"/>
        </w:rPr>
        <w:tab/>
      </w:r>
      <w:r w:rsidR="00E51528" w:rsidRPr="00C81577">
        <w:rPr>
          <w:spacing w:val="-3"/>
        </w:rPr>
        <w:t>This collection does not involve statistical methods.</w:t>
      </w:r>
    </w:p>
    <w:sectPr w:rsidR="00622813" w:rsidRPr="00532DB6" w:rsidSect="003B38A1">
      <w:footerReference w:type="even" r:id="rId14"/>
      <w:footerReference w:type="default" r:id="rId15"/>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62A" w:rsidRDefault="0028562A">
      <w:r>
        <w:separator/>
      </w:r>
    </w:p>
  </w:endnote>
  <w:endnote w:type="continuationSeparator" w:id="0">
    <w:p w:rsidR="0028562A" w:rsidRDefault="0028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5C" w:rsidRDefault="00AF275C" w:rsidP="00414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275C" w:rsidRDefault="00AF2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5C" w:rsidRDefault="00AF275C" w:rsidP="00414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535">
      <w:rPr>
        <w:rStyle w:val="PageNumber"/>
        <w:noProof/>
      </w:rPr>
      <w:t>6</w:t>
    </w:r>
    <w:r>
      <w:rPr>
        <w:rStyle w:val="PageNumber"/>
      </w:rPr>
      <w:fldChar w:fldCharType="end"/>
    </w:r>
  </w:p>
  <w:p w:rsidR="00AF275C" w:rsidRDefault="00AF2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62A" w:rsidRDefault="0028562A">
      <w:r>
        <w:separator/>
      </w:r>
    </w:p>
  </w:footnote>
  <w:footnote w:type="continuationSeparator" w:id="0">
    <w:p w:rsidR="0028562A" w:rsidRDefault="0028562A">
      <w:r>
        <w:continuationSeparator/>
      </w:r>
    </w:p>
  </w:footnote>
  <w:footnote w:id="1">
    <w:p w:rsidR="00AF275C" w:rsidRPr="009A1FA9" w:rsidRDefault="00AF275C" w:rsidP="00532DB6">
      <w:pPr>
        <w:pStyle w:val="FootnoteText"/>
        <w:spacing w:after="120"/>
        <w:ind w:left="720" w:hanging="720"/>
        <w:rPr>
          <w:sz w:val="22"/>
          <w:szCs w:val="22"/>
        </w:rPr>
      </w:pPr>
      <w:r w:rsidRPr="009A1FA9">
        <w:rPr>
          <w:rStyle w:val="FootnoteReference"/>
          <w:sz w:val="22"/>
          <w:szCs w:val="22"/>
        </w:rPr>
        <w:footnoteRef/>
      </w:r>
      <w:r w:rsidRPr="009A1FA9">
        <w:rPr>
          <w:sz w:val="22"/>
          <w:szCs w:val="22"/>
        </w:rPr>
        <w:t xml:space="preserve"> </w:t>
      </w:r>
      <w:r w:rsidRPr="009A1FA9">
        <w:rPr>
          <w:sz w:val="22"/>
          <w:szCs w:val="22"/>
        </w:rPr>
        <w:tab/>
      </w:r>
      <w:proofErr w:type="gramStart"/>
      <w:r w:rsidRPr="009A1FA9">
        <w:rPr>
          <w:sz w:val="22"/>
          <w:szCs w:val="22"/>
        </w:rPr>
        <w:t>Pub.</w:t>
      </w:r>
      <w:proofErr w:type="gramEnd"/>
      <w:r w:rsidRPr="009A1FA9">
        <w:rPr>
          <w:sz w:val="22"/>
          <w:szCs w:val="22"/>
        </w:rPr>
        <w:t xml:space="preserve"> L. 111-203, 124 Stat. 1376 (2010).</w:t>
      </w:r>
    </w:p>
  </w:footnote>
  <w:footnote w:id="2">
    <w:p w:rsidR="00AF275C" w:rsidRPr="009A1FA9" w:rsidRDefault="00AF275C" w:rsidP="00532DB6">
      <w:pPr>
        <w:pStyle w:val="FootnoteText"/>
        <w:spacing w:after="120"/>
        <w:ind w:left="720" w:hanging="720"/>
        <w:rPr>
          <w:sz w:val="22"/>
          <w:szCs w:val="22"/>
        </w:rPr>
      </w:pPr>
      <w:r w:rsidRPr="009A1FA9">
        <w:rPr>
          <w:rStyle w:val="FootnoteReference"/>
          <w:sz w:val="22"/>
          <w:szCs w:val="22"/>
        </w:rPr>
        <w:footnoteRef/>
      </w:r>
      <w:r w:rsidRPr="009A1FA9">
        <w:rPr>
          <w:sz w:val="22"/>
          <w:szCs w:val="22"/>
        </w:rPr>
        <w:t xml:space="preserve"> </w:t>
      </w:r>
      <w:r w:rsidRPr="009A1FA9">
        <w:rPr>
          <w:sz w:val="22"/>
          <w:szCs w:val="22"/>
        </w:rPr>
        <w:tab/>
      </w:r>
      <w:proofErr w:type="gramStart"/>
      <w:r w:rsidRPr="009A1FA9">
        <w:rPr>
          <w:sz w:val="22"/>
          <w:szCs w:val="22"/>
        </w:rPr>
        <w:t xml:space="preserve">15 U.S.C. </w:t>
      </w:r>
      <w:bookmarkStart w:id="2" w:name="OLE_LINK5"/>
      <w:bookmarkStart w:id="3" w:name="OLE_LINK6"/>
      <w:r w:rsidRPr="009A1FA9">
        <w:rPr>
          <w:sz w:val="22"/>
          <w:szCs w:val="22"/>
        </w:rPr>
        <w:t>78o-8</w:t>
      </w:r>
      <w:bookmarkEnd w:id="2"/>
      <w:bookmarkEnd w:id="3"/>
      <w:r w:rsidRPr="009A1FA9">
        <w:rPr>
          <w:sz w:val="22"/>
          <w:szCs w:val="22"/>
        </w:rPr>
        <w:t>.</w:t>
      </w:r>
      <w:proofErr w:type="gramEnd"/>
      <w:r w:rsidRPr="009A1FA9">
        <w:rPr>
          <w:sz w:val="22"/>
          <w:szCs w:val="22"/>
        </w:rPr>
        <w:t xml:space="preserve"> </w:t>
      </w:r>
    </w:p>
  </w:footnote>
  <w:footnote w:id="3">
    <w:p w:rsidR="00FA6ABE" w:rsidRPr="009A1FA9" w:rsidRDefault="00FA6ABE" w:rsidP="00FA6ABE">
      <w:pPr>
        <w:pStyle w:val="FootnoteText"/>
        <w:spacing w:after="120"/>
        <w:ind w:left="720" w:hanging="720"/>
        <w:rPr>
          <w:sz w:val="22"/>
          <w:szCs w:val="22"/>
        </w:rPr>
      </w:pPr>
      <w:r w:rsidRPr="009A1FA9">
        <w:rPr>
          <w:rStyle w:val="FootnoteReference"/>
          <w:sz w:val="22"/>
          <w:szCs w:val="22"/>
        </w:rPr>
        <w:footnoteRef/>
      </w:r>
      <w:r w:rsidRPr="009A1FA9">
        <w:rPr>
          <w:sz w:val="22"/>
          <w:szCs w:val="22"/>
        </w:rPr>
        <w:t xml:space="preserve"> </w:t>
      </w:r>
      <w:r w:rsidRPr="009A1FA9">
        <w:rPr>
          <w:sz w:val="22"/>
          <w:szCs w:val="22"/>
        </w:rPr>
        <w:tab/>
      </w:r>
      <w:r w:rsidRPr="00F94DFE">
        <w:rPr>
          <w:sz w:val="22"/>
          <w:szCs w:val="22"/>
          <w:u w:val="single"/>
        </w:rPr>
        <w:t>See</w:t>
      </w:r>
      <w:r w:rsidRPr="00F94DFE">
        <w:rPr>
          <w:sz w:val="22"/>
          <w:szCs w:val="22"/>
        </w:rPr>
        <w:t xml:space="preserve"> </w:t>
      </w:r>
      <w:r w:rsidRPr="00F94DFE">
        <w:rPr>
          <w:sz w:val="22"/>
          <w:szCs w:val="22"/>
          <w:u w:val="single"/>
        </w:rPr>
        <w:t>Trade Acknowledgment and Verification of Security-Based Swap Transactions</w:t>
      </w:r>
      <w:r w:rsidRPr="00F94DFE">
        <w:rPr>
          <w:sz w:val="22"/>
          <w:szCs w:val="22"/>
        </w:rPr>
        <w:t xml:space="preserve">, Exchange Act Release No. 78011 (Jun. 8, 2016), 81 FR </w:t>
      </w:r>
      <w:r w:rsidR="00F94DFE">
        <w:rPr>
          <w:sz w:val="22"/>
          <w:szCs w:val="22"/>
        </w:rPr>
        <w:t>39807</w:t>
      </w:r>
      <w:r w:rsidRPr="00F94DFE">
        <w:rPr>
          <w:sz w:val="22"/>
          <w:szCs w:val="22"/>
        </w:rPr>
        <w:t xml:space="preserve"> (Jun. </w:t>
      </w:r>
      <w:r w:rsidR="00F94DFE">
        <w:rPr>
          <w:sz w:val="22"/>
          <w:szCs w:val="22"/>
        </w:rPr>
        <w:t>17</w:t>
      </w:r>
      <w:r w:rsidRPr="00F94DFE">
        <w:rPr>
          <w:sz w:val="22"/>
          <w:szCs w:val="22"/>
        </w:rPr>
        <w:t>, 2016).</w:t>
      </w:r>
    </w:p>
  </w:footnote>
  <w:footnote w:id="4">
    <w:p w:rsidR="001019BB" w:rsidRPr="00111F14" w:rsidRDefault="001019BB" w:rsidP="001019BB">
      <w:pPr>
        <w:pStyle w:val="FootnoteText"/>
        <w:ind w:left="720" w:hanging="720"/>
        <w:rPr>
          <w:sz w:val="22"/>
          <w:szCs w:val="22"/>
        </w:rPr>
      </w:pPr>
      <w:r w:rsidRPr="00111F14">
        <w:rPr>
          <w:rStyle w:val="FootnoteReference"/>
          <w:sz w:val="22"/>
          <w:szCs w:val="22"/>
        </w:rPr>
        <w:footnoteRef/>
      </w:r>
      <w:r w:rsidRPr="00111F14">
        <w:rPr>
          <w:sz w:val="22"/>
          <w:szCs w:val="22"/>
        </w:rPr>
        <w:t xml:space="preserve"> </w:t>
      </w:r>
      <w:r w:rsidRPr="00111F14">
        <w:rPr>
          <w:sz w:val="22"/>
          <w:szCs w:val="22"/>
        </w:rPr>
        <w:tab/>
        <w:t xml:space="preserve">Trade Acknowledgment and Verification of Security-Based Swap Transactions, Exchange Act Release No. 63727 (Jan. 14, 2011), 76 FR 3859 (Jan. 21, 2011) (“Proposing Release”). </w:t>
      </w:r>
    </w:p>
    <w:p w:rsidR="00B81811" w:rsidRPr="00111F14" w:rsidRDefault="00B81811" w:rsidP="001019BB">
      <w:pPr>
        <w:pStyle w:val="FootnoteText"/>
        <w:ind w:left="720" w:hanging="720"/>
        <w:rPr>
          <w:sz w:val="22"/>
          <w:szCs w:val="22"/>
        </w:rPr>
      </w:pPr>
    </w:p>
  </w:footnote>
  <w:footnote w:id="5">
    <w:p w:rsidR="00112ADA" w:rsidRDefault="00112ADA" w:rsidP="00112ADA">
      <w:pPr>
        <w:pStyle w:val="FootnoteText"/>
        <w:ind w:left="720" w:hanging="720"/>
        <w:rPr>
          <w:sz w:val="22"/>
          <w:szCs w:val="22"/>
        </w:rPr>
      </w:pPr>
      <w:r w:rsidRPr="00111F14">
        <w:rPr>
          <w:rStyle w:val="FootnoteReference"/>
          <w:sz w:val="22"/>
          <w:szCs w:val="22"/>
        </w:rPr>
        <w:footnoteRef/>
      </w:r>
      <w:r w:rsidRPr="00111F14">
        <w:rPr>
          <w:sz w:val="22"/>
          <w:szCs w:val="22"/>
        </w:rPr>
        <w:t xml:space="preserve"> </w:t>
      </w:r>
      <w:r w:rsidRPr="00111F14">
        <w:rPr>
          <w:sz w:val="22"/>
          <w:szCs w:val="22"/>
        </w:rPr>
        <w:tab/>
      </w:r>
      <w:r w:rsidR="00B81811" w:rsidRPr="00111F14">
        <w:rPr>
          <w:sz w:val="22"/>
          <w:szCs w:val="22"/>
          <w:u w:val="single"/>
        </w:rPr>
        <w:t>See</w:t>
      </w:r>
      <w:r w:rsidR="00B81811" w:rsidRPr="00111F14">
        <w:rPr>
          <w:sz w:val="22"/>
          <w:szCs w:val="22"/>
        </w:rPr>
        <w:t xml:space="preserve"> </w:t>
      </w:r>
      <w:r w:rsidRPr="00111F14">
        <w:rPr>
          <w:sz w:val="22"/>
          <w:szCs w:val="22"/>
        </w:rPr>
        <w:t xml:space="preserve">Letter from Robert </w:t>
      </w:r>
      <w:proofErr w:type="spellStart"/>
      <w:r w:rsidRPr="00111F14">
        <w:rPr>
          <w:sz w:val="22"/>
          <w:szCs w:val="22"/>
        </w:rPr>
        <w:t>Pickel</w:t>
      </w:r>
      <w:proofErr w:type="spellEnd"/>
      <w:r w:rsidRPr="00111F14">
        <w:rPr>
          <w:sz w:val="22"/>
          <w:szCs w:val="22"/>
        </w:rPr>
        <w:t>, Executive Vice Chairman, International Swaps and Derivatives Association, Inc., dated Feb. 22, 2011</w:t>
      </w:r>
      <w:r w:rsidR="00B81811" w:rsidRPr="00111F14">
        <w:rPr>
          <w:sz w:val="22"/>
          <w:szCs w:val="22"/>
        </w:rPr>
        <w:t>, at 8</w:t>
      </w:r>
      <w:r w:rsidRPr="00111F14">
        <w:rPr>
          <w:sz w:val="22"/>
          <w:szCs w:val="22"/>
        </w:rPr>
        <w:t>.</w:t>
      </w:r>
      <w:r w:rsidR="00D45748" w:rsidRPr="00111F14">
        <w:rPr>
          <w:sz w:val="22"/>
          <w:szCs w:val="22"/>
        </w:rPr>
        <w:t xml:space="preserve">    </w:t>
      </w:r>
    </w:p>
    <w:p w:rsidR="007456FA" w:rsidRPr="00111F14" w:rsidRDefault="007456FA" w:rsidP="00112ADA">
      <w:pPr>
        <w:pStyle w:val="FootnoteText"/>
        <w:ind w:left="720" w:hanging="720"/>
        <w:rPr>
          <w:sz w:val="22"/>
          <w:szCs w:val="22"/>
        </w:rPr>
      </w:pPr>
    </w:p>
  </w:footnote>
  <w:footnote w:id="6">
    <w:p w:rsidR="00B81811" w:rsidRDefault="00112ADA" w:rsidP="00C95DF9">
      <w:pPr>
        <w:pStyle w:val="FootnoteText"/>
        <w:ind w:left="720" w:hanging="720"/>
      </w:pPr>
      <w:r>
        <w:rPr>
          <w:rStyle w:val="FootnoteReference"/>
        </w:rPr>
        <w:footnoteRef/>
      </w:r>
      <w:r>
        <w:t xml:space="preserve"> </w:t>
      </w:r>
      <w:r>
        <w:tab/>
      </w:r>
      <w:proofErr w:type="gramStart"/>
      <w:r w:rsidRPr="00111F14">
        <w:rPr>
          <w:sz w:val="22"/>
          <w:szCs w:val="22"/>
        </w:rPr>
        <w:t>Memorandum from the Division of Trading and Mar</w:t>
      </w:r>
      <w:r w:rsidR="00A84583">
        <w:rPr>
          <w:sz w:val="22"/>
          <w:szCs w:val="22"/>
        </w:rPr>
        <w:t xml:space="preserve">kets regarding a March 4, 2016, </w:t>
      </w:r>
      <w:r w:rsidRPr="00111F14">
        <w:rPr>
          <w:sz w:val="22"/>
          <w:szCs w:val="22"/>
        </w:rPr>
        <w:t>conference call with representatives of ISDA.</w:t>
      </w:r>
      <w:proofErr w:type="gramEnd"/>
      <w:r w:rsidR="00D45748">
        <w:t xml:space="preserve">  </w:t>
      </w:r>
    </w:p>
    <w:p w:rsidR="00112ADA" w:rsidRDefault="00D45748" w:rsidP="00C95DF9">
      <w:pPr>
        <w:pStyle w:val="FootnoteText"/>
        <w:ind w:left="720" w:hanging="720"/>
      </w:pPr>
      <w:r>
        <w:t xml:space="preserve">  </w:t>
      </w:r>
    </w:p>
  </w:footnote>
  <w:footnote w:id="7">
    <w:p w:rsidR="004B7586" w:rsidRPr="00306B35" w:rsidRDefault="004B7586" w:rsidP="004B7586">
      <w:pPr>
        <w:spacing w:after="120"/>
        <w:ind w:left="720" w:hanging="720"/>
        <w:rPr>
          <w:sz w:val="22"/>
          <w:szCs w:val="22"/>
        </w:rPr>
      </w:pPr>
      <w:r w:rsidRPr="00A14986">
        <w:rPr>
          <w:rStyle w:val="FootnoteReference"/>
        </w:rPr>
        <w:footnoteRef/>
      </w:r>
      <w:r w:rsidRPr="00A14986">
        <w:t xml:space="preserve"> </w:t>
      </w:r>
      <w:r w:rsidRPr="00A14986">
        <w:tab/>
      </w:r>
      <w:r w:rsidRPr="00306B35">
        <w:rPr>
          <w:sz w:val="22"/>
          <w:szCs w:val="22"/>
        </w:rPr>
        <w:t>This figure is based on the following: (2,980,000 estimated SBS transactio</w:t>
      </w:r>
      <w:r w:rsidR="0080211C">
        <w:rPr>
          <w:sz w:val="22"/>
          <w:szCs w:val="22"/>
        </w:rPr>
        <w:t>ns) / (55 SBS Entities) = 54,181.82</w:t>
      </w:r>
      <w:r w:rsidRPr="00306B35">
        <w:rPr>
          <w:sz w:val="22"/>
          <w:szCs w:val="22"/>
        </w:rPr>
        <w:t xml:space="preserve"> SBS transactions per SBS Entity per year.  The Commission understands that many of these transactions may arise from previously executed SBS transactions.</w:t>
      </w:r>
    </w:p>
  </w:footnote>
  <w:footnote w:id="8">
    <w:p w:rsidR="0080211C" w:rsidRPr="00306B35" w:rsidRDefault="0080211C" w:rsidP="0080211C">
      <w:pPr>
        <w:spacing w:after="120"/>
        <w:ind w:left="720" w:hanging="720"/>
        <w:rPr>
          <w:sz w:val="22"/>
          <w:szCs w:val="22"/>
        </w:rPr>
      </w:pPr>
      <w:r w:rsidRPr="00A14986">
        <w:rPr>
          <w:rStyle w:val="FootnoteReference"/>
        </w:rPr>
        <w:footnoteRef/>
      </w:r>
      <w:r w:rsidRPr="00A14986">
        <w:t xml:space="preserve"> </w:t>
      </w:r>
      <w:r w:rsidRPr="00A14986">
        <w:tab/>
      </w:r>
      <w:r w:rsidRPr="00306B35">
        <w:rPr>
          <w:sz w:val="22"/>
          <w:szCs w:val="22"/>
        </w:rPr>
        <w:t>This figure is based on the following: (</w:t>
      </w:r>
      <w:r>
        <w:rPr>
          <w:sz w:val="22"/>
          <w:szCs w:val="22"/>
        </w:rPr>
        <w:t>1</w:t>
      </w:r>
      <w:r w:rsidR="003534A7">
        <w:rPr>
          <w:sz w:val="22"/>
          <w:szCs w:val="22"/>
        </w:rPr>
        <w:t xml:space="preserve">.66 million transactions) </w:t>
      </w:r>
      <w:r w:rsidR="000850FC">
        <w:rPr>
          <w:sz w:val="22"/>
          <w:szCs w:val="22"/>
        </w:rPr>
        <w:t xml:space="preserve">– </w:t>
      </w:r>
      <w:r w:rsidR="003534A7">
        <w:rPr>
          <w:sz w:val="22"/>
          <w:szCs w:val="22"/>
        </w:rPr>
        <w:t>(</w:t>
      </w:r>
      <w:r w:rsidR="000850FC">
        <w:rPr>
          <w:sz w:val="22"/>
          <w:szCs w:val="22"/>
        </w:rPr>
        <w:t>1.25 million</w:t>
      </w:r>
      <w:r w:rsidR="003534A7">
        <w:rPr>
          <w:sz w:val="22"/>
          <w:szCs w:val="22"/>
        </w:rPr>
        <w:t xml:space="preserve"> transactions)</w:t>
      </w:r>
      <w:r>
        <w:rPr>
          <w:sz w:val="22"/>
          <w:szCs w:val="22"/>
        </w:rPr>
        <w:t xml:space="preserve"> = .41 million transactions</w:t>
      </w:r>
      <w:r w:rsidRPr="00306B35">
        <w:rPr>
          <w:sz w:val="22"/>
          <w:szCs w:val="22"/>
        </w:rPr>
        <w:t xml:space="preserve">.  </w:t>
      </w:r>
    </w:p>
  </w:footnote>
  <w:footnote w:id="9">
    <w:p w:rsidR="000F511B" w:rsidRPr="00306B35" w:rsidRDefault="000F511B" w:rsidP="000F511B">
      <w:pPr>
        <w:spacing w:after="120"/>
        <w:ind w:left="720" w:hanging="720"/>
        <w:rPr>
          <w:sz w:val="22"/>
          <w:szCs w:val="22"/>
        </w:rPr>
      </w:pPr>
      <w:r w:rsidRPr="00A14986">
        <w:rPr>
          <w:rStyle w:val="FootnoteReference"/>
        </w:rPr>
        <w:footnoteRef/>
      </w:r>
      <w:r w:rsidRPr="00A14986">
        <w:t xml:space="preserve"> </w:t>
      </w:r>
      <w:r w:rsidRPr="00A14986">
        <w:tab/>
      </w:r>
      <w:r w:rsidRPr="00306B35">
        <w:rPr>
          <w:sz w:val="22"/>
          <w:szCs w:val="22"/>
        </w:rPr>
        <w:t>This figure is based on the following: (</w:t>
      </w:r>
      <w:r>
        <w:rPr>
          <w:sz w:val="22"/>
          <w:szCs w:val="22"/>
        </w:rPr>
        <w:t>.41 million transactions</w:t>
      </w:r>
      <w:r w:rsidR="003534A7">
        <w:rPr>
          <w:sz w:val="22"/>
          <w:szCs w:val="22"/>
        </w:rPr>
        <w:t>)</w:t>
      </w:r>
      <w:r>
        <w:rPr>
          <w:sz w:val="22"/>
          <w:szCs w:val="22"/>
        </w:rPr>
        <w:t xml:space="preserve"> / </w:t>
      </w:r>
      <w:r w:rsidR="003534A7">
        <w:rPr>
          <w:sz w:val="22"/>
          <w:szCs w:val="22"/>
        </w:rPr>
        <w:t>(</w:t>
      </w:r>
      <w:r>
        <w:rPr>
          <w:sz w:val="22"/>
          <w:szCs w:val="22"/>
        </w:rPr>
        <w:t>55 SBS Entities) = 7,454.55 transactions per SBS entity per year</w:t>
      </w:r>
      <w:r w:rsidRPr="00306B35">
        <w:rPr>
          <w:sz w:val="22"/>
          <w:szCs w:val="22"/>
        </w:rPr>
        <w:t xml:space="preserve">.  </w:t>
      </w:r>
    </w:p>
  </w:footnote>
  <w:footnote w:id="10">
    <w:p w:rsidR="004C6315" w:rsidRPr="00306B35" w:rsidRDefault="004C6315" w:rsidP="004C6315">
      <w:pPr>
        <w:pStyle w:val="FootnoteText"/>
        <w:spacing w:after="120"/>
        <w:ind w:left="720" w:hanging="720"/>
        <w:rPr>
          <w:sz w:val="22"/>
          <w:szCs w:val="22"/>
        </w:rPr>
      </w:pPr>
      <w:r w:rsidRPr="00306B35">
        <w:rPr>
          <w:rStyle w:val="FootnoteReference"/>
          <w:sz w:val="22"/>
          <w:szCs w:val="22"/>
        </w:rPr>
        <w:footnoteRef/>
      </w:r>
      <w:r w:rsidRPr="00306B35">
        <w:rPr>
          <w:sz w:val="22"/>
          <w:szCs w:val="22"/>
        </w:rPr>
        <w:t xml:space="preserve"> </w:t>
      </w:r>
      <w:r w:rsidRPr="00306B35">
        <w:rPr>
          <w:sz w:val="22"/>
          <w:szCs w:val="22"/>
        </w:rPr>
        <w:tab/>
        <w:t xml:space="preserve">This estimate is based on Commission staff discussions with market participants </w:t>
      </w:r>
      <w:r w:rsidR="003534A7">
        <w:rPr>
          <w:sz w:val="22"/>
          <w:szCs w:val="22"/>
        </w:rPr>
        <w:t xml:space="preserve">and is calculated as follows: </w:t>
      </w:r>
      <w:r w:rsidRPr="00306B35">
        <w:rPr>
          <w:sz w:val="22"/>
          <w:szCs w:val="22"/>
        </w:rPr>
        <w:t>(Sr. Programmer at 160 hours) + (Sr. Systems Analyst at 160 hours) + (Compliance Manager at 10 hours) + (Director of Compliance at 5 hours) + (C</w:t>
      </w:r>
      <w:r w:rsidR="003534A7">
        <w:rPr>
          <w:sz w:val="22"/>
          <w:szCs w:val="22"/>
        </w:rPr>
        <w:t>ompliance Attorney at 20 hours) =</w:t>
      </w:r>
      <w:r w:rsidRPr="00306B35">
        <w:rPr>
          <w:sz w:val="22"/>
          <w:szCs w:val="22"/>
        </w:rPr>
        <w:t xml:space="preserve"> </w:t>
      </w:r>
      <w:r>
        <w:rPr>
          <w:sz w:val="22"/>
          <w:szCs w:val="22"/>
        </w:rPr>
        <w:t>355</w:t>
      </w:r>
      <w:r w:rsidRPr="00306B35">
        <w:rPr>
          <w:sz w:val="22"/>
          <w:szCs w:val="22"/>
        </w:rPr>
        <w:t xml:space="preserve"> burden hours.  The Commission understands that many SBS Entities may already </w:t>
      </w:r>
      <w:r w:rsidR="00EC58D1">
        <w:rPr>
          <w:sz w:val="22"/>
          <w:szCs w:val="22"/>
        </w:rPr>
        <w:t xml:space="preserve">have </w:t>
      </w:r>
      <w:r w:rsidRPr="00306B35">
        <w:rPr>
          <w:sz w:val="22"/>
          <w:szCs w:val="22"/>
        </w:rPr>
        <w:t>computerized systems in place</w:t>
      </w:r>
      <w:r w:rsidRPr="00EF1906">
        <w:rPr>
          <w:sz w:val="24"/>
          <w:szCs w:val="24"/>
        </w:rPr>
        <w:t xml:space="preserve"> </w:t>
      </w:r>
      <w:r w:rsidRPr="00306B35">
        <w:rPr>
          <w:sz w:val="22"/>
          <w:szCs w:val="22"/>
        </w:rPr>
        <w:t>for electronically processing SBS transactions,</w:t>
      </w:r>
      <w:r w:rsidRPr="00EF1906">
        <w:rPr>
          <w:sz w:val="24"/>
          <w:szCs w:val="24"/>
        </w:rPr>
        <w:t xml:space="preserve"> </w:t>
      </w:r>
      <w:r w:rsidRPr="00306B35">
        <w:rPr>
          <w:sz w:val="22"/>
          <w:szCs w:val="22"/>
        </w:rPr>
        <w:t>whether internally or through a clearing agency.  This may result in lesser burdens for those parties</w:t>
      </w:r>
      <w:r>
        <w:rPr>
          <w:sz w:val="22"/>
          <w:szCs w:val="22"/>
        </w:rPr>
        <w:t>.</w:t>
      </w:r>
    </w:p>
  </w:footnote>
  <w:footnote w:id="11">
    <w:p w:rsidR="009B1F3A" w:rsidRPr="00306B35" w:rsidRDefault="009B1F3A" w:rsidP="009B1F3A">
      <w:pPr>
        <w:pStyle w:val="FootnoteText"/>
        <w:spacing w:after="120"/>
        <w:ind w:left="720" w:hanging="720"/>
        <w:rPr>
          <w:sz w:val="22"/>
          <w:szCs w:val="22"/>
        </w:rPr>
      </w:pPr>
      <w:r w:rsidRPr="00306B35">
        <w:rPr>
          <w:rStyle w:val="FootnoteReference"/>
          <w:sz w:val="22"/>
          <w:szCs w:val="22"/>
        </w:rPr>
        <w:footnoteRef/>
      </w:r>
      <w:r w:rsidRPr="00306B35">
        <w:rPr>
          <w:sz w:val="22"/>
          <w:szCs w:val="22"/>
        </w:rPr>
        <w:t xml:space="preserve"> </w:t>
      </w:r>
      <w:r w:rsidRPr="00306B35">
        <w:rPr>
          <w:sz w:val="22"/>
          <w:szCs w:val="22"/>
        </w:rPr>
        <w:tab/>
      </w:r>
      <w:r w:rsidR="00F11577">
        <w:rPr>
          <w:sz w:val="22"/>
          <w:szCs w:val="22"/>
        </w:rPr>
        <w:t>355</w:t>
      </w:r>
      <w:r w:rsidRPr="00306B35">
        <w:rPr>
          <w:sz w:val="22"/>
          <w:szCs w:val="22"/>
        </w:rPr>
        <w:t xml:space="preserve"> burden hours</w:t>
      </w:r>
      <w:r w:rsidR="004C6315">
        <w:rPr>
          <w:sz w:val="22"/>
          <w:szCs w:val="22"/>
        </w:rPr>
        <w:t xml:space="preserve"> / 7,455 transactions = .048</w:t>
      </w:r>
      <w:r w:rsidRPr="00306B35">
        <w:rPr>
          <w:sz w:val="22"/>
          <w:szCs w:val="22"/>
        </w:rPr>
        <w:t xml:space="preserve">.  </w:t>
      </w:r>
    </w:p>
  </w:footnote>
  <w:footnote w:id="12">
    <w:p w:rsidR="00F11577" w:rsidRPr="00306B35" w:rsidRDefault="00F11577" w:rsidP="00F11577">
      <w:pPr>
        <w:pStyle w:val="FootnoteText"/>
        <w:spacing w:after="120"/>
        <w:ind w:left="720" w:hanging="720"/>
        <w:rPr>
          <w:sz w:val="22"/>
          <w:szCs w:val="22"/>
        </w:rPr>
      </w:pPr>
      <w:r w:rsidRPr="00306B35">
        <w:rPr>
          <w:rStyle w:val="FootnoteReference"/>
          <w:sz w:val="22"/>
          <w:szCs w:val="22"/>
        </w:rPr>
        <w:footnoteRef/>
      </w:r>
      <w:r w:rsidRPr="00306B35">
        <w:rPr>
          <w:sz w:val="22"/>
          <w:szCs w:val="22"/>
        </w:rPr>
        <w:t xml:space="preserve"> </w:t>
      </w:r>
      <w:r w:rsidRPr="00306B35">
        <w:rPr>
          <w:sz w:val="22"/>
          <w:szCs w:val="22"/>
        </w:rPr>
        <w:tab/>
        <w:t>This estimate is based on Commission staff discussions with market participants</w:t>
      </w:r>
      <w:r w:rsidR="003534A7">
        <w:rPr>
          <w:sz w:val="22"/>
          <w:szCs w:val="22"/>
        </w:rPr>
        <w:t xml:space="preserve"> and is calculated as follows: </w:t>
      </w:r>
      <w:r w:rsidR="004C6315">
        <w:rPr>
          <w:sz w:val="22"/>
          <w:szCs w:val="22"/>
        </w:rPr>
        <w:t>(</w:t>
      </w:r>
      <w:r>
        <w:rPr>
          <w:sz w:val="22"/>
          <w:szCs w:val="22"/>
        </w:rPr>
        <w:t>355 hours per SBS Entity)</w:t>
      </w:r>
      <w:r w:rsidR="004C6315">
        <w:rPr>
          <w:sz w:val="22"/>
          <w:szCs w:val="22"/>
        </w:rPr>
        <w:t xml:space="preserve"> </w:t>
      </w:r>
      <w:r>
        <w:rPr>
          <w:sz w:val="22"/>
          <w:szCs w:val="22"/>
        </w:rPr>
        <w:t xml:space="preserve">x (55 </w:t>
      </w:r>
      <w:r w:rsidR="003534A7">
        <w:rPr>
          <w:sz w:val="22"/>
          <w:szCs w:val="22"/>
        </w:rPr>
        <w:t xml:space="preserve">SBS Entities) </w:t>
      </w:r>
      <w:r w:rsidRPr="00306B35">
        <w:rPr>
          <w:sz w:val="22"/>
          <w:szCs w:val="22"/>
        </w:rPr>
        <w:t xml:space="preserve">= </w:t>
      </w:r>
      <w:r>
        <w:rPr>
          <w:sz w:val="22"/>
          <w:szCs w:val="22"/>
        </w:rPr>
        <w:t>1</w:t>
      </w:r>
      <w:r w:rsidR="004C6315">
        <w:rPr>
          <w:sz w:val="22"/>
          <w:szCs w:val="22"/>
        </w:rPr>
        <w:t>9,525</w:t>
      </w:r>
      <w:r w:rsidRPr="00306B35">
        <w:rPr>
          <w:sz w:val="22"/>
          <w:szCs w:val="22"/>
        </w:rPr>
        <w:t xml:space="preserve"> burden hours.  The Commission understands that many SBS Entities may already </w:t>
      </w:r>
      <w:r w:rsidR="00EC58D1">
        <w:rPr>
          <w:sz w:val="22"/>
          <w:szCs w:val="22"/>
        </w:rPr>
        <w:t xml:space="preserve">have </w:t>
      </w:r>
      <w:r w:rsidRPr="00306B35">
        <w:rPr>
          <w:sz w:val="22"/>
          <w:szCs w:val="22"/>
        </w:rPr>
        <w:t>computerized systems in place</w:t>
      </w:r>
      <w:r w:rsidRPr="00EF1906">
        <w:rPr>
          <w:sz w:val="24"/>
          <w:szCs w:val="24"/>
        </w:rPr>
        <w:t xml:space="preserve"> </w:t>
      </w:r>
      <w:r w:rsidRPr="00306B35">
        <w:rPr>
          <w:sz w:val="22"/>
          <w:szCs w:val="22"/>
        </w:rPr>
        <w:t>for electronically processing SBS transactions,</w:t>
      </w:r>
      <w:r w:rsidRPr="00EF1906">
        <w:rPr>
          <w:sz w:val="24"/>
          <w:szCs w:val="24"/>
        </w:rPr>
        <w:t xml:space="preserve"> </w:t>
      </w:r>
      <w:r w:rsidRPr="00306B35">
        <w:rPr>
          <w:sz w:val="22"/>
          <w:szCs w:val="22"/>
        </w:rPr>
        <w:t>whether internally or through a clearing agency.  This may result in lesser burdens for those parties</w:t>
      </w:r>
      <w:r>
        <w:rPr>
          <w:sz w:val="22"/>
          <w:szCs w:val="22"/>
        </w:rPr>
        <w:t>.</w:t>
      </w:r>
    </w:p>
  </w:footnote>
  <w:footnote w:id="13">
    <w:p w:rsidR="00603237" w:rsidRPr="00306B35" w:rsidRDefault="00603237" w:rsidP="00603237">
      <w:pPr>
        <w:pStyle w:val="FootnoteText"/>
        <w:spacing w:after="120"/>
        <w:ind w:left="720" w:hanging="720"/>
        <w:rPr>
          <w:sz w:val="22"/>
          <w:szCs w:val="22"/>
        </w:rPr>
      </w:pPr>
      <w:r w:rsidRPr="00306B35">
        <w:rPr>
          <w:rStyle w:val="FootnoteReference"/>
          <w:sz w:val="22"/>
          <w:szCs w:val="22"/>
        </w:rPr>
        <w:footnoteRef/>
      </w:r>
      <w:r w:rsidRPr="00306B35">
        <w:rPr>
          <w:sz w:val="22"/>
          <w:szCs w:val="22"/>
        </w:rPr>
        <w:t xml:space="preserve"> </w:t>
      </w:r>
      <w:r w:rsidRPr="00306B35">
        <w:rPr>
          <w:sz w:val="22"/>
          <w:szCs w:val="22"/>
        </w:rPr>
        <w:tab/>
        <w:t xml:space="preserve">This estimate is based on </w:t>
      </w:r>
      <w:r w:rsidRPr="00306B35">
        <w:rPr>
          <w:color w:val="000000"/>
          <w:sz w:val="22"/>
          <w:szCs w:val="22"/>
        </w:rPr>
        <w:t xml:space="preserve">Commission staff </w:t>
      </w:r>
      <w:r w:rsidRPr="00306B35">
        <w:rPr>
          <w:sz w:val="22"/>
          <w:szCs w:val="22"/>
        </w:rPr>
        <w:t>discussions with market participants an</w:t>
      </w:r>
      <w:r w:rsidR="003534A7">
        <w:rPr>
          <w:sz w:val="22"/>
          <w:szCs w:val="22"/>
        </w:rPr>
        <w:t xml:space="preserve">d is calculated as follows:  </w:t>
      </w:r>
      <w:r w:rsidR="005620C1">
        <w:rPr>
          <w:sz w:val="22"/>
          <w:szCs w:val="22"/>
        </w:rPr>
        <w:t>(</w:t>
      </w:r>
      <w:r w:rsidRPr="00306B35">
        <w:rPr>
          <w:sz w:val="22"/>
          <w:szCs w:val="22"/>
        </w:rPr>
        <w:t>Sr. Programmer at 32 hours) + (Sr. Systems Analyst at 32 hours) + (Compliance Manager at 60 hours) + (Compliance Clerk at 240 hours) + (Director of Compliance at 24 hours) + (Compliance Attorney at 48 ho</w:t>
      </w:r>
      <w:r w:rsidR="005620C1">
        <w:rPr>
          <w:sz w:val="22"/>
          <w:szCs w:val="22"/>
        </w:rPr>
        <w:t>urs</w:t>
      </w:r>
      <w:r w:rsidR="009B1F3A">
        <w:rPr>
          <w:sz w:val="22"/>
          <w:szCs w:val="22"/>
        </w:rPr>
        <w:t xml:space="preserve">) = </w:t>
      </w:r>
      <w:r w:rsidRPr="00306B35">
        <w:rPr>
          <w:sz w:val="22"/>
          <w:szCs w:val="22"/>
        </w:rPr>
        <w:t xml:space="preserve">436 hours per SBS Entity. </w:t>
      </w:r>
    </w:p>
  </w:footnote>
  <w:footnote w:id="14">
    <w:p w:rsidR="004C6315" w:rsidRPr="00306B35" w:rsidRDefault="004C6315" w:rsidP="004C6315">
      <w:pPr>
        <w:pStyle w:val="FootnoteText"/>
        <w:spacing w:after="120"/>
        <w:ind w:left="720" w:hanging="720"/>
        <w:rPr>
          <w:sz w:val="22"/>
          <w:szCs w:val="22"/>
        </w:rPr>
      </w:pPr>
      <w:r w:rsidRPr="00306B35">
        <w:rPr>
          <w:rStyle w:val="FootnoteReference"/>
          <w:sz w:val="22"/>
          <w:szCs w:val="22"/>
        </w:rPr>
        <w:footnoteRef/>
      </w:r>
      <w:r w:rsidRPr="00306B35">
        <w:rPr>
          <w:sz w:val="22"/>
          <w:szCs w:val="22"/>
        </w:rPr>
        <w:t xml:space="preserve"> </w:t>
      </w:r>
      <w:r w:rsidRPr="00306B35">
        <w:rPr>
          <w:sz w:val="22"/>
          <w:szCs w:val="22"/>
        </w:rPr>
        <w:tab/>
      </w:r>
      <w:r>
        <w:rPr>
          <w:sz w:val="22"/>
          <w:szCs w:val="22"/>
        </w:rPr>
        <w:t>436</w:t>
      </w:r>
      <w:r w:rsidRPr="00306B35">
        <w:rPr>
          <w:sz w:val="22"/>
          <w:szCs w:val="22"/>
        </w:rPr>
        <w:t xml:space="preserve"> burden hours</w:t>
      </w:r>
      <w:r>
        <w:rPr>
          <w:sz w:val="22"/>
          <w:szCs w:val="22"/>
        </w:rPr>
        <w:t xml:space="preserve"> / 7,455 transactions = .058</w:t>
      </w:r>
      <w:r w:rsidRPr="00306B35">
        <w:rPr>
          <w:sz w:val="22"/>
          <w:szCs w:val="22"/>
        </w:rPr>
        <w:t xml:space="preserve">.  </w:t>
      </w:r>
    </w:p>
  </w:footnote>
  <w:footnote w:id="15">
    <w:p w:rsidR="005620C1" w:rsidRPr="00306B35" w:rsidRDefault="005620C1" w:rsidP="005620C1">
      <w:pPr>
        <w:pStyle w:val="FootnoteText"/>
        <w:spacing w:after="120"/>
        <w:ind w:left="720" w:hanging="720"/>
        <w:rPr>
          <w:sz w:val="22"/>
          <w:szCs w:val="22"/>
        </w:rPr>
      </w:pPr>
      <w:r w:rsidRPr="00306B35">
        <w:rPr>
          <w:rStyle w:val="FootnoteReference"/>
          <w:sz w:val="22"/>
          <w:szCs w:val="22"/>
        </w:rPr>
        <w:footnoteRef/>
      </w:r>
      <w:r w:rsidRPr="00306B35">
        <w:rPr>
          <w:sz w:val="22"/>
          <w:szCs w:val="22"/>
        </w:rPr>
        <w:t xml:space="preserve"> </w:t>
      </w:r>
      <w:r w:rsidRPr="00306B35">
        <w:rPr>
          <w:sz w:val="22"/>
          <w:szCs w:val="22"/>
        </w:rPr>
        <w:tab/>
        <w:t>This estimate is based on Commission staff discussions with market participants</w:t>
      </w:r>
      <w:r w:rsidR="003534A7">
        <w:rPr>
          <w:sz w:val="22"/>
          <w:szCs w:val="22"/>
        </w:rPr>
        <w:t xml:space="preserve"> and is calculated as follows: </w:t>
      </w:r>
      <w:r>
        <w:rPr>
          <w:sz w:val="22"/>
          <w:szCs w:val="22"/>
        </w:rPr>
        <w:t>(436 hours per SBS Entity)</w:t>
      </w:r>
      <w:r w:rsidRPr="00306B35">
        <w:rPr>
          <w:sz w:val="22"/>
          <w:szCs w:val="22"/>
        </w:rPr>
        <w:t xml:space="preserve"> x </w:t>
      </w:r>
      <w:r>
        <w:rPr>
          <w:sz w:val="22"/>
          <w:szCs w:val="22"/>
        </w:rPr>
        <w:t xml:space="preserve">(55 </w:t>
      </w:r>
      <w:r w:rsidR="003534A7">
        <w:rPr>
          <w:sz w:val="22"/>
          <w:szCs w:val="22"/>
        </w:rPr>
        <w:t>SBS Entities)</w:t>
      </w:r>
      <w:r w:rsidRPr="00306B35">
        <w:rPr>
          <w:sz w:val="22"/>
          <w:szCs w:val="22"/>
        </w:rPr>
        <w:t xml:space="preserve"> = </w:t>
      </w:r>
      <w:r w:rsidR="003534A7">
        <w:rPr>
          <w:sz w:val="22"/>
          <w:szCs w:val="22"/>
        </w:rPr>
        <w:t xml:space="preserve">23,980 </w:t>
      </w:r>
      <w:r w:rsidRPr="00306B35">
        <w:rPr>
          <w:sz w:val="22"/>
          <w:szCs w:val="22"/>
        </w:rPr>
        <w:t xml:space="preserve">burden hours.  </w:t>
      </w:r>
    </w:p>
  </w:footnote>
  <w:footnote w:id="16">
    <w:p w:rsidR="008A4B0B" w:rsidRPr="00306B35" w:rsidRDefault="008A4B0B" w:rsidP="008A4B0B">
      <w:pPr>
        <w:pStyle w:val="FootnoteText"/>
        <w:spacing w:after="120"/>
        <w:ind w:left="720" w:hanging="720"/>
        <w:rPr>
          <w:sz w:val="22"/>
          <w:szCs w:val="22"/>
        </w:rPr>
      </w:pPr>
      <w:r w:rsidRPr="00306B35">
        <w:rPr>
          <w:rStyle w:val="FootnoteReference"/>
          <w:sz w:val="22"/>
          <w:szCs w:val="22"/>
        </w:rPr>
        <w:footnoteRef/>
      </w:r>
      <w:r>
        <w:rPr>
          <w:sz w:val="22"/>
          <w:szCs w:val="22"/>
        </w:rPr>
        <w:t xml:space="preserve"> </w:t>
      </w:r>
      <w:r>
        <w:rPr>
          <w:sz w:val="22"/>
          <w:szCs w:val="22"/>
        </w:rPr>
        <w:tab/>
        <w:t>(</w:t>
      </w:r>
      <w:r w:rsidR="004C6315">
        <w:rPr>
          <w:sz w:val="22"/>
          <w:szCs w:val="22"/>
        </w:rPr>
        <w:t>19,525</w:t>
      </w:r>
      <w:r>
        <w:rPr>
          <w:sz w:val="22"/>
          <w:szCs w:val="22"/>
        </w:rPr>
        <w:t xml:space="preserve"> hours in the first year + </w:t>
      </w:r>
      <w:r w:rsidR="004C6315">
        <w:rPr>
          <w:sz w:val="22"/>
          <w:szCs w:val="22"/>
        </w:rPr>
        <w:t>23,980</w:t>
      </w:r>
      <w:r>
        <w:rPr>
          <w:sz w:val="22"/>
          <w:szCs w:val="22"/>
        </w:rPr>
        <w:t xml:space="preserve"> hours in the first year) + (</w:t>
      </w:r>
      <w:r w:rsidR="004C6315">
        <w:rPr>
          <w:sz w:val="22"/>
          <w:szCs w:val="22"/>
        </w:rPr>
        <w:t>23,980</w:t>
      </w:r>
      <w:r>
        <w:rPr>
          <w:sz w:val="22"/>
          <w:szCs w:val="22"/>
        </w:rPr>
        <w:t xml:space="preserve"> hours in the second year)</w:t>
      </w:r>
      <w:r w:rsidRPr="00306B35">
        <w:rPr>
          <w:sz w:val="22"/>
          <w:szCs w:val="22"/>
        </w:rPr>
        <w:t xml:space="preserve"> </w:t>
      </w:r>
      <w:r>
        <w:rPr>
          <w:sz w:val="22"/>
          <w:szCs w:val="22"/>
        </w:rPr>
        <w:t>+ (</w:t>
      </w:r>
      <w:r w:rsidR="004C6315">
        <w:rPr>
          <w:sz w:val="22"/>
          <w:szCs w:val="22"/>
        </w:rPr>
        <w:t>23,980</w:t>
      </w:r>
      <w:r>
        <w:rPr>
          <w:sz w:val="22"/>
          <w:szCs w:val="22"/>
        </w:rPr>
        <w:t xml:space="preserve"> hours in the third year) = </w:t>
      </w:r>
      <w:r w:rsidR="004C6315">
        <w:rPr>
          <w:sz w:val="22"/>
          <w:szCs w:val="22"/>
        </w:rPr>
        <w:t>91,465</w:t>
      </w:r>
      <w:r>
        <w:rPr>
          <w:sz w:val="22"/>
          <w:szCs w:val="22"/>
        </w:rPr>
        <w:t xml:space="preserve"> hours.</w:t>
      </w:r>
    </w:p>
  </w:footnote>
  <w:footnote w:id="17">
    <w:p w:rsidR="008A4B0B" w:rsidRPr="00306B35" w:rsidRDefault="008A4B0B" w:rsidP="008A4B0B">
      <w:pPr>
        <w:pStyle w:val="FootnoteText"/>
        <w:spacing w:after="120"/>
        <w:ind w:left="720" w:hanging="720"/>
        <w:rPr>
          <w:sz w:val="22"/>
          <w:szCs w:val="22"/>
        </w:rPr>
      </w:pPr>
      <w:r w:rsidRPr="00306B35">
        <w:rPr>
          <w:rStyle w:val="FootnoteReference"/>
          <w:sz w:val="22"/>
          <w:szCs w:val="22"/>
        </w:rPr>
        <w:footnoteRef/>
      </w:r>
      <w:r w:rsidRPr="00306B35">
        <w:rPr>
          <w:sz w:val="22"/>
          <w:szCs w:val="22"/>
        </w:rPr>
        <w:t xml:space="preserve"> </w:t>
      </w:r>
      <w:r w:rsidRPr="00306B35">
        <w:rPr>
          <w:sz w:val="22"/>
          <w:szCs w:val="22"/>
        </w:rPr>
        <w:tab/>
      </w:r>
      <w:r w:rsidR="004C6315">
        <w:rPr>
          <w:sz w:val="22"/>
          <w:szCs w:val="22"/>
        </w:rPr>
        <w:t>91,465</w:t>
      </w:r>
      <w:r w:rsidR="005C1627">
        <w:rPr>
          <w:sz w:val="22"/>
          <w:szCs w:val="22"/>
        </w:rPr>
        <w:t xml:space="preserve"> hours / 3 years = </w:t>
      </w:r>
      <w:r w:rsidR="004C6315">
        <w:rPr>
          <w:sz w:val="22"/>
          <w:szCs w:val="22"/>
        </w:rPr>
        <w:t>30,488.33</w:t>
      </w:r>
      <w:r w:rsidR="005C1627">
        <w:rPr>
          <w:sz w:val="22"/>
          <w:szCs w:val="22"/>
        </w:rPr>
        <w:t xml:space="preserve"> hours</w:t>
      </w:r>
      <w:r w:rsidRPr="00306B35">
        <w:rPr>
          <w:sz w:val="22"/>
          <w:szCs w:val="22"/>
        </w:rPr>
        <w:t xml:space="preserve">. </w:t>
      </w:r>
    </w:p>
  </w:footnote>
  <w:footnote w:id="18">
    <w:p w:rsidR="00F80514" w:rsidRPr="009A1FA9" w:rsidRDefault="00F80514" w:rsidP="00F80514">
      <w:pPr>
        <w:pStyle w:val="FootnoteText"/>
        <w:spacing w:after="120"/>
        <w:ind w:left="720" w:hanging="720"/>
        <w:rPr>
          <w:sz w:val="22"/>
          <w:szCs w:val="22"/>
        </w:rPr>
      </w:pPr>
      <w:r w:rsidRPr="009A1FA9">
        <w:rPr>
          <w:rStyle w:val="FootnoteReference"/>
          <w:sz w:val="22"/>
          <w:szCs w:val="22"/>
        </w:rPr>
        <w:footnoteRef/>
      </w:r>
      <w:r w:rsidRPr="009A1FA9">
        <w:rPr>
          <w:sz w:val="22"/>
          <w:szCs w:val="22"/>
        </w:rPr>
        <w:t xml:space="preserve"> </w:t>
      </w:r>
      <w:r w:rsidRPr="009A1FA9">
        <w:rPr>
          <w:sz w:val="22"/>
          <w:szCs w:val="22"/>
        </w:rPr>
        <w:tab/>
        <w:t xml:space="preserve">This estimate is based on </w:t>
      </w:r>
      <w:r w:rsidRPr="009A1FA9">
        <w:rPr>
          <w:color w:val="000000"/>
          <w:sz w:val="22"/>
          <w:szCs w:val="22"/>
        </w:rPr>
        <w:t xml:space="preserve">Commission staff </w:t>
      </w:r>
      <w:r w:rsidRPr="009A1FA9">
        <w:rPr>
          <w:sz w:val="22"/>
          <w:szCs w:val="22"/>
        </w:rPr>
        <w:t xml:space="preserve">discussions with market participants </w:t>
      </w:r>
      <w:r w:rsidR="003534A7">
        <w:rPr>
          <w:sz w:val="22"/>
          <w:szCs w:val="22"/>
        </w:rPr>
        <w:t xml:space="preserve">and is calculated as follows:  </w:t>
      </w:r>
      <w:r w:rsidRPr="009A1FA9">
        <w:rPr>
          <w:sz w:val="22"/>
          <w:szCs w:val="22"/>
        </w:rPr>
        <w:t>(Compliance Attorney at 40 hours) (Director of Compliance at 20 hours) + (Deputy General Counsel at 20 hours) = 80 hours per SBS Entity.</w:t>
      </w:r>
    </w:p>
  </w:footnote>
  <w:footnote w:id="19">
    <w:p w:rsidR="00AF275C" w:rsidRPr="009A1FA9" w:rsidRDefault="00AF275C" w:rsidP="00532DB6">
      <w:pPr>
        <w:pStyle w:val="FootnoteText"/>
        <w:spacing w:after="120"/>
        <w:ind w:left="720" w:hanging="720"/>
        <w:rPr>
          <w:sz w:val="22"/>
          <w:szCs w:val="22"/>
        </w:rPr>
      </w:pPr>
      <w:r w:rsidRPr="009A1FA9">
        <w:rPr>
          <w:rStyle w:val="FootnoteReference"/>
          <w:sz w:val="22"/>
          <w:szCs w:val="22"/>
        </w:rPr>
        <w:footnoteRef/>
      </w:r>
      <w:r w:rsidRPr="009A1FA9">
        <w:rPr>
          <w:sz w:val="22"/>
          <w:szCs w:val="22"/>
        </w:rPr>
        <w:t xml:space="preserve"> </w:t>
      </w:r>
      <w:r w:rsidRPr="009A1FA9">
        <w:rPr>
          <w:sz w:val="22"/>
          <w:szCs w:val="22"/>
        </w:rPr>
        <w:tab/>
      </w:r>
      <w:r w:rsidR="0019052D" w:rsidRPr="00306B35">
        <w:rPr>
          <w:sz w:val="22"/>
          <w:szCs w:val="22"/>
        </w:rPr>
        <w:t>This estimate is based on Commission staff discussions with market participants</w:t>
      </w:r>
      <w:r w:rsidR="0019052D">
        <w:rPr>
          <w:sz w:val="22"/>
          <w:szCs w:val="22"/>
        </w:rPr>
        <w:t xml:space="preserve"> and is calculated as follows: (</w:t>
      </w:r>
      <w:r w:rsidR="00F80514">
        <w:rPr>
          <w:sz w:val="22"/>
          <w:szCs w:val="22"/>
        </w:rPr>
        <w:t xml:space="preserve">80 hours </w:t>
      </w:r>
      <w:r w:rsidR="0019052D">
        <w:rPr>
          <w:sz w:val="22"/>
          <w:szCs w:val="22"/>
        </w:rPr>
        <w:t xml:space="preserve">per SBS Entity) </w:t>
      </w:r>
      <w:r w:rsidR="00F80514">
        <w:rPr>
          <w:sz w:val="22"/>
          <w:szCs w:val="22"/>
        </w:rPr>
        <w:t xml:space="preserve">x </w:t>
      </w:r>
      <w:r w:rsidR="0019052D">
        <w:rPr>
          <w:sz w:val="22"/>
          <w:szCs w:val="22"/>
        </w:rPr>
        <w:t>(</w:t>
      </w:r>
      <w:r w:rsidRPr="009A1FA9">
        <w:rPr>
          <w:sz w:val="22"/>
          <w:szCs w:val="22"/>
        </w:rPr>
        <w:t>55 SBS</w:t>
      </w:r>
      <w:r w:rsidR="00F80514">
        <w:rPr>
          <w:sz w:val="22"/>
          <w:szCs w:val="22"/>
        </w:rPr>
        <w:t xml:space="preserve"> Entities</w:t>
      </w:r>
      <w:r w:rsidR="0019052D">
        <w:rPr>
          <w:sz w:val="22"/>
          <w:szCs w:val="22"/>
        </w:rPr>
        <w:t>)</w:t>
      </w:r>
      <w:r w:rsidRPr="009A1FA9">
        <w:rPr>
          <w:sz w:val="22"/>
          <w:szCs w:val="22"/>
        </w:rPr>
        <w:t xml:space="preserve"> = 4,400 burden hours.</w:t>
      </w:r>
    </w:p>
  </w:footnote>
  <w:footnote w:id="20">
    <w:p w:rsidR="00F80514" w:rsidRPr="009A1FA9" w:rsidRDefault="00F80514" w:rsidP="00F80514">
      <w:pPr>
        <w:pStyle w:val="FootnoteText"/>
        <w:spacing w:after="120"/>
        <w:ind w:left="720" w:hanging="720"/>
        <w:rPr>
          <w:sz w:val="22"/>
          <w:szCs w:val="22"/>
        </w:rPr>
      </w:pPr>
      <w:r w:rsidRPr="009A1FA9">
        <w:rPr>
          <w:rStyle w:val="FootnoteReference"/>
          <w:sz w:val="22"/>
          <w:szCs w:val="22"/>
        </w:rPr>
        <w:footnoteRef/>
      </w:r>
      <w:r w:rsidRPr="009A1FA9">
        <w:rPr>
          <w:sz w:val="22"/>
          <w:szCs w:val="22"/>
        </w:rPr>
        <w:t xml:space="preserve"> </w:t>
      </w:r>
      <w:r w:rsidRPr="009A1FA9">
        <w:rPr>
          <w:sz w:val="22"/>
          <w:szCs w:val="22"/>
        </w:rPr>
        <w:tab/>
        <w:t xml:space="preserve">This estimate is based on </w:t>
      </w:r>
      <w:r w:rsidRPr="009A1FA9">
        <w:rPr>
          <w:color w:val="000000"/>
          <w:sz w:val="22"/>
          <w:szCs w:val="22"/>
        </w:rPr>
        <w:t xml:space="preserve">Commission staff </w:t>
      </w:r>
      <w:r w:rsidRPr="009A1FA9">
        <w:rPr>
          <w:sz w:val="22"/>
          <w:szCs w:val="22"/>
        </w:rPr>
        <w:t xml:space="preserve">discussions with market participants </w:t>
      </w:r>
      <w:r w:rsidR="003534A7">
        <w:rPr>
          <w:sz w:val="22"/>
          <w:szCs w:val="22"/>
        </w:rPr>
        <w:t xml:space="preserve">and is calculated as follows:  </w:t>
      </w:r>
      <w:r w:rsidRPr="009A1FA9">
        <w:rPr>
          <w:sz w:val="22"/>
          <w:szCs w:val="22"/>
        </w:rPr>
        <w:t xml:space="preserve">(Compliance Attorney at 20 hours) (Director of Compliance at 10 hours) + (General Counsel at 10 hours) = 40 hours per SBS Entity. </w:t>
      </w:r>
    </w:p>
  </w:footnote>
  <w:footnote w:id="21">
    <w:p w:rsidR="00AF275C" w:rsidRPr="009A1FA9" w:rsidRDefault="00AF275C" w:rsidP="00532DB6">
      <w:pPr>
        <w:pStyle w:val="FootnoteText"/>
        <w:spacing w:after="120"/>
        <w:ind w:left="720" w:hanging="720"/>
        <w:rPr>
          <w:sz w:val="22"/>
          <w:szCs w:val="22"/>
        </w:rPr>
      </w:pPr>
      <w:r w:rsidRPr="009A1FA9">
        <w:rPr>
          <w:rStyle w:val="FootnoteReference"/>
          <w:sz w:val="22"/>
          <w:szCs w:val="22"/>
        </w:rPr>
        <w:footnoteRef/>
      </w:r>
      <w:r w:rsidRPr="009A1FA9">
        <w:rPr>
          <w:sz w:val="22"/>
          <w:szCs w:val="22"/>
        </w:rPr>
        <w:t xml:space="preserve"> </w:t>
      </w:r>
      <w:r w:rsidRPr="009A1FA9">
        <w:rPr>
          <w:sz w:val="22"/>
          <w:szCs w:val="22"/>
        </w:rPr>
        <w:tab/>
      </w:r>
      <w:r w:rsidR="0019052D" w:rsidRPr="00306B35">
        <w:rPr>
          <w:sz w:val="22"/>
          <w:szCs w:val="22"/>
        </w:rPr>
        <w:t>This estimate is based on Commission staff discussions with market participants</w:t>
      </w:r>
      <w:r w:rsidR="0019052D">
        <w:rPr>
          <w:sz w:val="22"/>
          <w:szCs w:val="22"/>
        </w:rPr>
        <w:t xml:space="preserve"> and is calculated as follows: (</w:t>
      </w:r>
      <w:r w:rsidR="00F80514">
        <w:rPr>
          <w:sz w:val="22"/>
          <w:szCs w:val="22"/>
        </w:rPr>
        <w:t>40 hours</w:t>
      </w:r>
      <w:r w:rsidR="0019052D">
        <w:rPr>
          <w:sz w:val="22"/>
          <w:szCs w:val="22"/>
        </w:rPr>
        <w:t xml:space="preserve"> per SBS Entity)</w:t>
      </w:r>
      <w:r w:rsidR="00F80514">
        <w:rPr>
          <w:sz w:val="22"/>
          <w:szCs w:val="22"/>
        </w:rPr>
        <w:t xml:space="preserve"> x </w:t>
      </w:r>
      <w:r w:rsidR="0019052D">
        <w:rPr>
          <w:sz w:val="22"/>
          <w:szCs w:val="22"/>
        </w:rPr>
        <w:t>(</w:t>
      </w:r>
      <w:r w:rsidR="00F80514">
        <w:rPr>
          <w:sz w:val="22"/>
          <w:szCs w:val="22"/>
        </w:rPr>
        <w:t>55 SBS Entities</w:t>
      </w:r>
      <w:r w:rsidR="0019052D">
        <w:rPr>
          <w:sz w:val="22"/>
          <w:szCs w:val="22"/>
        </w:rPr>
        <w:t>)</w:t>
      </w:r>
      <w:r w:rsidR="00F80514">
        <w:rPr>
          <w:sz w:val="22"/>
          <w:szCs w:val="22"/>
        </w:rPr>
        <w:t xml:space="preserve"> = 2,200 hours</w:t>
      </w:r>
      <w:r w:rsidRPr="009A1FA9">
        <w:rPr>
          <w:sz w:val="22"/>
          <w:szCs w:val="22"/>
        </w:rPr>
        <w:t xml:space="preserve">. </w:t>
      </w:r>
    </w:p>
  </w:footnote>
  <w:footnote w:id="22">
    <w:p w:rsidR="00F80514" w:rsidRPr="00306B35" w:rsidRDefault="00F80514" w:rsidP="00F80514">
      <w:pPr>
        <w:pStyle w:val="FootnoteText"/>
        <w:spacing w:after="120"/>
        <w:ind w:left="720" w:hanging="720"/>
        <w:rPr>
          <w:sz w:val="22"/>
          <w:szCs w:val="22"/>
        </w:rPr>
      </w:pPr>
      <w:r w:rsidRPr="00306B35">
        <w:rPr>
          <w:rStyle w:val="FootnoteReference"/>
          <w:sz w:val="22"/>
          <w:szCs w:val="22"/>
        </w:rPr>
        <w:footnoteRef/>
      </w:r>
      <w:r>
        <w:rPr>
          <w:sz w:val="22"/>
          <w:szCs w:val="22"/>
        </w:rPr>
        <w:t xml:space="preserve"> </w:t>
      </w:r>
      <w:r>
        <w:rPr>
          <w:sz w:val="22"/>
          <w:szCs w:val="22"/>
        </w:rPr>
        <w:tab/>
        <w:t>(4,400 hours in the first year + 2,200 hours in the first year) + (2,200 hours in the second year)</w:t>
      </w:r>
      <w:r w:rsidRPr="00306B35">
        <w:rPr>
          <w:sz w:val="22"/>
          <w:szCs w:val="22"/>
        </w:rPr>
        <w:t xml:space="preserve"> </w:t>
      </w:r>
      <w:r>
        <w:rPr>
          <w:sz w:val="22"/>
          <w:szCs w:val="22"/>
        </w:rPr>
        <w:t>+ (2,200 hours in the third year) = 11,000 hours.</w:t>
      </w:r>
    </w:p>
  </w:footnote>
  <w:footnote w:id="23">
    <w:p w:rsidR="00F80514" w:rsidRPr="00306B35" w:rsidRDefault="00F80514" w:rsidP="00F80514">
      <w:pPr>
        <w:pStyle w:val="FootnoteText"/>
        <w:spacing w:after="120"/>
        <w:ind w:left="720" w:hanging="720"/>
        <w:rPr>
          <w:sz w:val="22"/>
          <w:szCs w:val="22"/>
        </w:rPr>
      </w:pPr>
      <w:r w:rsidRPr="00306B35">
        <w:rPr>
          <w:rStyle w:val="FootnoteReference"/>
          <w:sz w:val="22"/>
          <w:szCs w:val="22"/>
        </w:rPr>
        <w:footnoteRef/>
      </w:r>
      <w:r w:rsidRPr="00306B35">
        <w:rPr>
          <w:sz w:val="22"/>
          <w:szCs w:val="22"/>
        </w:rPr>
        <w:t xml:space="preserve"> </w:t>
      </w:r>
      <w:r w:rsidRPr="00306B35">
        <w:rPr>
          <w:sz w:val="22"/>
          <w:szCs w:val="22"/>
        </w:rPr>
        <w:tab/>
      </w:r>
      <w:r>
        <w:rPr>
          <w:sz w:val="22"/>
          <w:szCs w:val="22"/>
        </w:rPr>
        <w:t>11,000 hours / 3 years = 3,666.67 hours</w:t>
      </w:r>
      <w:r w:rsidRPr="00306B35">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669C"/>
    <w:multiLevelType w:val="hybridMultilevel"/>
    <w:tmpl w:val="2E74A1CE"/>
    <w:lvl w:ilvl="0" w:tplc="462A10D6">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3B4363"/>
    <w:multiLevelType w:val="hybridMultilevel"/>
    <w:tmpl w:val="171E251A"/>
    <w:lvl w:ilvl="0" w:tplc="E98050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0EF4A64"/>
    <w:multiLevelType w:val="hybridMultilevel"/>
    <w:tmpl w:val="171E251A"/>
    <w:lvl w:ilvl="0" w:tplc="E98050F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425F77F3"/>
    <w:multiLevelType w:val="hybridMultilevel"/>
    <w:tmpl w:val="171E251A"/>
    <w:lvl w:ilvl="0" w:tplc="E98050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A01886"/>
    <w:multiLevelType w:val="singleLevel"/>
    <w:tmpl w:val="E65E45B0"/>
    <w:lvl w:ilvl="0">
      <w:start w:val="2"/>
      <w:numFmt w:val="decimal"/>
      <w:lvlText w:val="%1."/>
      <w:lvlJc w:val="left"/>
      <w:pPr>
        <w:tabs>
          <w:tab w:val="num" w:pos="1500"/>
        </w:tabs>
        <w:ind w:left="1500" w:hanging="78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35"/>
    <w:rsid w:val="00007273"/>
    <w:rsid w:val="00013B4B"/>
    <w:rsid w:val="00054021"/>
    <w:rsid w:val="0006052B"/>
    <w:rsid w:val="0006253E"/>
    <w:rsid w:val="00063B5D"/>
    <w:rsid w:val="00077036"/>
    <w:rsid w:val="000850FC"/>
    <w:rsid w:val="00085ADA"/>
    <w:rsid w:val="000A565B"/>
    <w:rsid w:val="000B6944"/>
    <w:rsid w:val="000C5210"/>
    <w:rsid w:val="000D708C"/>
    <w:rsid w:val="000E2D35"/>
    <w:rsid w:val="000E505C"/>
    <w:rsid w:val="000F18E6"/>
    <w:rsid w:val="000F511B"/>
    <w:rsid w:val="001019BB"/>
    <w:rsid w:val="00111EB4"/>
    <w:rsid w:val="00111F14"/>
    <w:rsid w:val="00112ADA"/>
    <w:rsid w:val="00143928"/>
    <w:rsid w:val="00174DBA"/>
    <w:rsid w:val="00181A15"/>
    <w:rsid w:val="0019052D"/>
    <w:rsid w:val="001A4D39"/>
    <w:rsid w:val="001B0F5E"/>
    <w:rsid w:val="001C2075"/>
    <w:rsid w:val="001C4CE8"/>
    <w:rsid w:val="001D76F9"/>
    <w:rsid w:val="00206F62"/>
    <w:rsid w:val="00220110"/>
    <w:rsid w:val="0023209A"/>
    <w:rsid w:val="00243298"/>
    <w:rsid w:val="00274F63"/>
    <w:rsid w:val="0027754F"/>
    <w:rsid w:val="0028562A"/>
    <w:rsid w:val="00285B80"/>
    <w:rsid w:val="002A473B"/>
    <w:rsid w:val="002C2D46"/>
    <w:rsid w:val="00306B35"/>
    <w:rsid w:val="003534A7"/>
    <w:rsid w:val="003811A8"/>
    <w:rsid w:val="0039303B"/>
    <w:rsid w:val="003B38A1"/>
    <w:rsid w:val="003B4329"/>
    <w:rsid w:val="003E41E5"/>
    <w:rsid w:val="003E5A81"/>
    <w:rsid w:val="003F1391"/>
    <w:rsid w:val="003F6F88"/>
    <w:rsid w:val="004144CE"/>
    <w:rsid w:val="00432A7B"/>
    <w:rsid w:val="00483D18"/>
    <w:rsid w:val="004844F8"/>
    <w:rsid w:val="004A1FCB"/>
    <w:rsid w:val="004A53EC"/>
    <w:rsid w:val="004B00DD"/>
    <w:rsid w:val="004B7586"/>
    <w:rsid w:val="004C6315"/>
    <w:rsid w:val="004D3D80"/>
    <w:rsid w:val="004D53B7"/>
    <w:rsid w:val="004E02FF"/>
    <w:rsid w:val="004E4342"/>
    <w:rsid w:val="004E7839"/>
    <w:rsid w:val="004F1BFB"/>
    <w:rsid w:val="00525610"/>
    <w:rsid w:val="00532DB6"/>
    <w:rsid w:val="005429BC"/>
    <w:rsid w:val="005620C1"/>
    <w:rsid w:val="0056602C"/>
    <w:rsid w:val="00573BBD"/>
    <w:rsid w:val="0058305A"/>
    <w:rsid w:val="00596AC0"/>
    <w:rsid w:val="005A2BD1"/>
    <w:rsid w:val="005B55BC"/>
    <w:rsid w:val="005C1627"/>
    <w:rsid w:val="005E7F64"/>
    <w:rsid w:val="00602535"/>
    <w:rsid w:val="00603237"/>
    <w:rsid w:val="00622813"/>
    <w:rsid w:val="006363EF"/>
    <w:rsid w:val="00646B40"/>
    <w:rsid w:val="006829D1"/>
    <w:rsid w:val="006B2CC5"/>
    <w:rsid w:val="006B403E"/>
    <w:rsid w:val="006C5CBC"/>
    <w:rsid w:val="006D4E9F"/>
    <w:rsid w:val="006E56F9"/>
    <w:rsid w:val="006F2E4F"/>
    <w:rsid w:val="0070318C"/>
    <w:rsid w:val="007456FA"/>
    <w:rsid w:val="0077485F"/>
    <w:rsid w:val="00775DF4"/>
    <w:rsid w:val="00785A00"/>
    <w:rsid w:val="0078686B"/>
    <w:rsid w:val="007A706C"/>
    <w:rsid w:val="007D5853"/>
    <w:rsid w:val="00800739"/>
    <w:rsid w:val="0080211C"/>
    <w:rsid w:val="0084023E"/>
    <w:rsid w:val="00887601"/>
    <w:rsid w:val="00893535"/>
    <w:rsid w:val="008A4B0B"/>
    <w:rsid w:val="008B4286"/>
    <w:rsid w:val="008B7A50"/>
    <w:rsid w:val="008E0AB2"/>
    <w:rsid w:val="008E2876"/>
    <w:rsid w:val="008F63D8"/>
    <w:rsid w:val="00905127"/>
    <w:rsid w:val="009075FF"/>
    <w:rsid w:val="00933E6D"/>
    <w:rsid w:val="00942F3D"/>
    <w:rsid w:val="00970C9E"/>
    <w:rsid w:val="009758F5"/>
    <w:rsid w:val="00996984"/>
    <w:rsid w:val="009A1FA9"/>
    <w:rsid w:val="009B1F3A"/>
    <w:rsid w:val="009B7495"/>
    <w:rsid w:val="009D5621"/>
    <w:rsid w:val="00A010FB"/>
    <w:rsid w:val="00A0741E"/>
    <w:rsid w:val="00A14A58"/>
    <w:rsid w:val="00A14B31"/>
    <w:rsid w:val="00A51E43"/>
    <w:rsid w:val="00A84583"/>
    <w:rsid w:val="00A94ADE"/>
    <w:rsid w:val="00AC0240"/>
    <w:rsid w:val="00AD64B4"/>
    <w:rsid w:val="00AF275C"/>
    <w:rsid w:val="00B13DEF"/>
    <w:rsid w:val="00B52DA0"/>
    <w:rsid w:val="00B6172D"/>
    <w:rsid w:val="00B7654D"/>
    <w:rsid w:val="00B81811"/>
    <w:rsid w:val="00B9783F"/>
    <w:rsid w:val="00BA00DA"/>
    <w:rsid w:val="00BB45B3"/>
    <w:rsid w:val="00BF7F53"/>
    <w:rsid w:val="00C57513"/>
    <w:rsid w:val="00C64AFD"/>
    <w:rsid w:val="00C91BF1"/>
    <w:rsid w:val="00C95DF9"/>
    <w:rsid w:val="00C96CD7"/>
    <w:rsid w:val="00CA5D45"/>
    <w:rsid w:val="00CD58D8"/>
    <w:rsid w:val="00D23CE8"/>
    <w:rsid w:val="00D45748"/>
    <w:rsid w:val="00D76EA7"/>
    <w:rsid w:val="00D845AA"/>
    <w:rsid w:val="00DC5430"/>
    <w:rsid w:val="00E04964"/>
    <w:rsid w:val="00E51528"/>
    <w:rsid w:val="00EA7A44"/>
    <w:rsid w:val="00EC58D1"/>
    <w:rsid w:val="00ED2565"/>
    <w:rsid w:val="00EF1906"/>
    <w:rsid w:val="00F11577"/>
    <w:rsid w:val="00F360F3"/>
    <w:rsid w:val="00F4335B"/>
    <w:rsid w:val="00F77ED9"/>
    <w:rsid w:val="00F80514"/>
    <w:rsid w:val="00F94024"/>
    <w:rsid w:val="00F94DFE"/>
    <w:rsid w:val="00FA50DB"/>
    <w:rsid w:val="00FA6162"/>
    <w:rsid w:val="00FA6ABE"/>
    <w:rsid w:val="00FB4E94"/>
    <w:rsid w:val="00FC20E4"/>
    <w:rsid w:val="00FC4D24"/>
    <w:rsid w:val="00FF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uiPriority="99"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style>
  <w:style w:type="character" w:styleId="FootnoteReference">
    <w:name w:val="footnote reference"/>
    <w:aliases w:val="fr,Style 19,Style 16,Style 35,Style 39,Style 14,12,Style 6,Footnote Reference Superscript,SUPERS,BVI fnr,Footnote symbol,(Footnote Reference),Footnote reference number,note TESI,EN Footnote Reference,Voetnootverwijzing,Footnote"/>
    <w:basedOn w:val="DefaultParagraphFont"/>
    <w:uiPriority w:val="99"/>
    <w:qFormat/>
    <w:rPr>
      <w:vertAlign w:val="superscript"/>
    </w:rPr>
  </w:style>
  <w:style w:type="paragraph" w:styleId="BodyText">
    <w:name w:val="Body Text"/>
    <w:basedOn w:val="Normal"/>
    <w:pPr>
      <w:tabs>
        <w:tab w:val="left" w:pos="720"/>
      </w:tabs>
    </w:pPr>
    <w:rPr>
      <w:sz w:val="24"/>
    </w:rPr>
  </w:style>
  <w:style w:type="paragraph" w:styleId="BodyTextIndent">
    <w:name w:val="Body Text Indent"/>
    <w:basedOn w:val="Normal"/>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link w:val="TitleChar"/>
    <w:uiPriority w:val="99"/>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532DB6"/>
  </w:style>
  <w:style w:type="character" w:styleId="Hyperlink">
    <w:name w:val="Hyperlink"/>
    <w:basedOn w:val="DefaultParagraphFont"/>
    <w:uiPriority w:val="99"/>
    <w:rsid w:val="00532DB6"/>
    <w:rPr>
      <w:rFonts w:cs="Times New Roman"/>
      <w:color w:val="0000FF"/>
      <w:u w:val="single"/>
    </w:rPr>
  </w:style>
  <w:style w:type="character" w:styleId="FollowedHyperlink">
    <w:name w:val="FollowedHyperlink"/>
    <w:basedOn w:val="DefaultParagraphFont"/>
    <w:rsid w:val="004E7839"/>
    <w:rPr>
      <w:color w:val="800080" w:themeColor="followedHyperlink"/>
      <w:u w:val="single"/>
    </w:rPr>
  </w:style>
  <w:style w:type="character" w:styleId="CommentReference">
    <w:name w:val="annotation reference"/>
    <w:basedOn w:val="DefaultParagraphFont"/>
    <w:rsid w:val="00C64AFD"/>
    <w:rPr>
      <w:sz w:val="16"/>
      <w:szCs w:val="16"/>
    </w:rPr>
  </w:style>
  <w:style w:type="paragraph" w:styleId="CommentText">
    <w:name w:val="annotation text"/>
    <w:basedOn w:val="Normal"/>
    <w:link w:val="CommentTextChar"/>
    <w:rsid w:val="00C64AFD"/>
  </w:style>
  <w:style w:type="character" w:customStyle="1" w:styleId="CommentTextChar">
    <w:name w:val="Comment Text Char"/>
    <w:basedOn w:val="DefaultParagraphFont"/>
    <w:link w:val="CommentText"/>
    <w:rsid w:val="00C64AFD"/>
  </w:style>
  <w:style w:type="paragraph" w:styleId="CommentSubject">
    <w:name w:val="annotation subject"/>
    <w:basedOn w:val="CommentText"/>
    <w:next w:val="CommentText"/>
    <w:link w:val="CommentSubjectChar"/>
    <w:rsid w:val="00C64AFD"/>
    <w:rPr>
      <w:b/>
      <w:bCs/>
    </w:rPr>
  </w:style>
  <w:style w:type="character" w:customStyle="1" w:styleId="CommentSubjectChar">
    <w:name w:val="Comment Subject Char"/>
    <w:basedOn w:val="CommentTextChar"/>
    <w:link w:val="CommentSubject"/>
    <w:rsid w:val="00C64AFD"/>
    <w:rPr>
      <w:b/>
      <w:bCs/>
    </w:rPr>
  </w:style>
  <w:style w:type="paragraph" w:styleId="BalloonText">
    <w:name w:val="Balloon Text"/>
    <w:basedOn w:val="Normal"/>
    <w:link w:val="BalloonTextChar"/>
    <w:rsid w:val="00C64AFD"/>
    <w:rPr>
      <w:rFonts w:ascii="Tahoma" w:hAnsi="Tahoma" w:cs="Tahoma"/>
      <w:sz w:val="16"/>
      <w:szCs w:val="16"/>
    </w:rPr>
  </w:style>
  <w:style w:type="character" w:customStyle="1" w:styleId="BalloonTextChar">
    <w:name w:val="Balloon Text Char"/>
    <w:basedOn w:val="DefaultParagraphFont"/>
    <w:link w:val="BalloonText"/>
    <w:rsid w:val="00C64AFD"/>
    <w:rPr>
      <w:rFonts w:ascii="Tahoma" w:hAnsi="Tahoma" w:cs="Tahoma"/>
      <w:sz w:val="16"/>
      <w:szCs w:val="16"/>
    </w:rPr>
  </w:style>
  <w:style w:type="paragraph" w:styleId="EndnoteText">
    <w:name w:val="endnote text"/>
    <w:basedOn w:val="Normal"/>
    <w:link w:val="EndnoteTextChar"/>
    <w:rsid w:val="00ED2565"/>
  </w:style>
  <w:style w:type="character" w:customStyle="1" w:styleId="EndnoteTextChar">
    <w:name w:val="Endnote Text Char"/>
    <w:basedOn w:val="DefaultParagraphFont"/>
    <w:link w:val="EndnoteText"/>
    <w:rsid w:val="00ED2565"/>
  </w:style>
  <w:style w:type="character" w:styleId="EndnoteReference">
    <w:name w:val="endnote reference"/>
    <w:basedOn w:val="DefaultParagraphFont"/>
    <w:rsid w:val="00ED2565"/>
    <w:rPr>
      <w:vertAlign w:val="superscript"/>
    </w:rPr>
  </w:style>
  <w:style w:type="character" w:customStyle="1" w:styleId="TitleChar">
    <w:name w:val="Title Char"/>
    <w:basedOn w:val="DefaultParagraphFont"/>
    <w:link w:val="Title"/>
    <w:uiPriority w:val="99"/>
    <w:rsid w:val="001019BB"/>
    <w:rPr>
      <w:b/>
      <w:sz w:val="24"/>
      <w:u w:val="single"/>
    </w:rPr>
  </w:style>
  <w:style w:type="table" w:styleId="TableGrid">
    <w:name w:val="Table Grid"/>
    <w:basedOn w:val="TableNormal"/>
    <w:uiPriority w:val="59"/>
    <w:rsid w:val="003E41E5"/>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Reference">
    <w:name w:val="Subtle Reference"/>
    <w:basedOn w:val="DefaultParagraphFont"/>
    <w:uiPriority w:val="31"/>
    <w:qFormat/>
    <w:rsid w:val="005B55BC"/>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uiPriority="99"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style>
  <w:style w:type="character" w:styleId="FootnoteReference">
    <w:name w:val="footnote reference"/>
    <w:aliases w:val="fr,Style 19,Style 16,Style 35,Style 39,Style 14,12,Style 6,Footnote Reference Superscript,SUPERS,BVI fnr,Footnote symbol,(Footnote Reference),Footnote reference number,note TESI,EN Footnote Reference,Voetnootverwijzing,Footnote"/>
    <w:basedOn w:val="DefaultParagraphFont"/>
    <w:uiPriority w:val="99"/>
    <w:qFormat/>
    <w:rPr>
      <w:vertAlign w:val="superscript"/>
    </w:rPr>
  </w:style>
  <w:style w:type="paragraph" w:styleId="BodyText">
    <w:name w:val="Body Text"/>
    <w:basedOn w:val="Normal"/>
    <w:pPr>
      <w:tabs>
        <w:tab w:val="left" w:pos="720"/>
      </w:tabs>
    </w:pPr>
    <w:rPr>
      <w:sz w:val="24"/>
    </w:rPr>
  </w:style>
  <w:style w:type="paragraph" w:styleId="BodyTextIndent">
    <w:name w:val="Body Text Indent"/>
    <w:basedOn w:val="Normal"/>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link w:val="TitleChar"/>
    <w:uiPriority w:val="99"/>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532DB6"/>
  </w:style>
  <w:style w:type="character" w:styleId="Hyperlink">
    <w:name w:val="Hyperlink"/>
    <w:basedOn w:val="DefaultParagraphFont"/>
    <w:uiPriority w:val="99"/>
    <w:rsid w:val="00532DB6"/>
    <w:rPr>
      <w:rFonts w:cs="Times New Roman"/>
      <w:color w:val="0000FF"/>
      <w:u w:val="single"/>
    </w:rPr>
  </w:style>
  <w:style w:type="character" w:styleId="FollowedHyperlink">
    <w:name w:val="FollowedHyperlink"/>
    <w:basedOn w:val="DefaultParagraphFont"/>
    <w:rsid w:val="004E7839"/>
    <w:rPr>
      <w:color w:val="800080" w:themeColor="followedHyperlink"/>
      <w:u w:val="single"/>
    </w:rPr>
  </w:style>
  <w:style w:type="character" w:styleId="CommentReference">
    <w:name w:val="annotation reference"/>
    <w:basedOn w:val="DefaultParagraphFont"/>
    <w:rsid w:val="00C64AFD"/>
    <w:rPr>
      <w:sz w:val="16"/>
      <w:szCs w:val="16"/>
    </w:rPr>
  </w:style>
  <w:style w:type="paragraph" w:styleId="CommentText">
    <w:name w:val="annotation text"/>
    <w:basedOn w:val="Normal"/>
    <w:link w:val="CommentTextChar"/>
    <w:rsid w:val="00C64AFD"/>
  </w:style>
  <w:style w:type="character" w:customStyle="1" w:styleId="CommentTextChar">
    <w:name w:val="Comment Text Char"/>
    <w:basedOn w:val="DefaultParagraphFont"/>
    <w:link w:val="CommentText"/>
    <w:rsid w:val="00C64AFD"/>
  </w:style>
  <w:style w:type="paragraph" w:styleId="CommentSubject">
    <w:name w:val="annotation subject"/>
    <w:basedOn w:val="CommentText"/>
    <w:next w:val="CommentText"/>
    <w:link w:val="CommentSubjectChar"/>
    <w:rsid w:val="00C64AFD"/>
    <w:rPr>
      <w:b/>
      <w:bCs/>
    </w:rPr>
  </w:style>
  <w:style w:type="character" w:customStyle="1" w:styleId="CommentSubjectChar">
    <w:name w:val="Comment Subject Char"/>
    <w:basedOn w:val="CommentTextChar"/>
    <w:link w:val="CommentSubject"/>
    <w:rsid w:val="00C64AFD"/>
    <w:rPr>
      <w:b/>
      <w:bCs/>
    </w:rPr>
  </w:style>
  <w:style w:type="paragraph" w:styleId="BalloonText">
    <w:name w:val="Balloon Text"/>
    <w:basedOn w:val="Normal"/>
    <w:link w:val="BalloonTextChar"/>
    <w:rsid w:val="00C64AFD"/>
    <w:rPr>
      <w:rFonts w:ascii="Tahoma" w:hAnsi="Tahoma" w:cs="Tahoma"/>
      <w:sz w:val="16"/>
      <w:szCs w:val="16"/>
    </w:rPr>
  </w:style>
  <w:style w:type="character" w:customStyle="1" w:styleId="BalloonTextChar">
    <w:name w:val="Balloon Text Char"/>
    <w:basedOn w:val="DefaultParagraphFont"/>
    <w:link w:val="BalloonText"/>
    <w:rsid w:val="00C64AFD"/>
    <w:rPr>
      <w:rFonts w:ascii="Tahoma" w:hAnsi="Tahoma" w:cs="Tahoma"/>
      <w:sz w:val="16"/>
      <w:szCs w:val="16"/>
    </w:rPr>
  </w:style>
  <w:style w:type="paragraph" w:styleId="EndnoteText">
    <w:name w:val="endnote text"/>
    <w:basedOn w:val="Normal"/>
    <w:link w:val="EndnoteTextChar"/>
    <w:rsid w:val="00ED2565"/>
  </w:style>
  <w:style w:type="character" w:customStyle="1" w:styleId="EndnoteTextChar">
    <w:name w:val="Endnote Text Char"/>
    <w:basedOn w:val="DefaultParagraphFont"/>
    <w:link w:val="EndnoteText"/>
    <w:rsid w:val="00ED2565"/>
  </w:style>
  <w:style w:type="character" w:styleId="EndnoteReference">
    <w:name w:val="endnote reference"/>
    <w:basedOn w:val="DefaultParagraphFont"/>
    <w:rsid w:val="00ED2565"/>
    <w:rPr>
      <w:vertAlign w:val="superscript"/>
    </w:rPr>
  </w:style>
  <w:style w:type="character" w:customStyle="1" w:styleId="TitleChar">
    <w:name w:val="Title Char"/>
    <w:basedOn w:val="DefaultParagraphFont"/>
    <w:link w:val="Title"/>
    <w:uiPriority w:val="99"/>
    <w:rsid w:val="001019BB"/>
    <w:rPr>
      <w:b/>
      <w:sz w:val="24"/>
      <w:u w:val="single"/>
    </w:rPr>
  </w:style>
  <w:style w:type="table" w:styleId="TableGrid">
    <w:name w:val="Table Grid"/>
    <w:basedOn w:val="TableNormal"/>
    <w:uiPriority w:val="59"/>
    <w:rsid w:val="003E41E5"/>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Reference">
    <w:name w:val="Subtle Reference"/>
    <w:basedOn w:val="DefaultParagraphFont"/>
    <w:uiPriority w:val="31"/>
    <w:qFormat/>
    <w:rsid w:val="005B55BC"/>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1737">
      <w:bodyDiv w:val="1"/>
      <w:marLeft w:val="0"/>
      <w:marRight w:val="0"/>
      <w:marTop w:val="0"/>
      <w:marBottom w:val="0"/>
      <w:divBdr>
        <w:top w:val="none" w:sz="0" w:space="0" w:color="auto"/>
        <w:left w:val="none" w:sz="0" w:space="0" w:color="auto"/>
        <w:bottom w:val="none" w:sz="0" w:space="0" w:color="auto"/>
        <w:right w:val="none" w:sz="0" w:space="0" w:color="auto"/>
      </w:divBdr>
    </w:div>
    <w:div w:id="606425899">
      <w:bodyDiv w:val="1"/>
      <w:marLeft w:val="0"/>
      <w:marRight w:val="0"/>
      <w:marTop w:val="0"/>
      <w:marBottom w:val="0"/>
      <w:divBdr>
        <w:top w:val="none" w:sz="0" w:space="0" w:color="auto"/>
        <w:left w:val="none" w:sz="0" w:space="0" w:color="auto"/>
        <w:bottom w:val="none" w:sz="0" w:space="0" w:color="auto"/>
        <w:right w:val="none" w:sz="0" w:space="0" w:color="auto"/>
      </w:divBdr>
    </w:div>
    <w:div w:id="742214636">
      <w:bodyDiv w:val="1"/>
      <w:marLeft w:val="0"/>
      <w:marRight w:val="0"/>
      <w:marTop w:val="0"/>
      <w:marBottom w:val="0"/>
      <w:divBdr>
        <w:top w:val="none" w:sz="0" w:space="0" w:color="auto"/>
        <w:left w:val="none" w:sz="0" w:space="0" w:color="auto"/>
        <w:bottom w:val="none" w:sz="0" w:space="0" w:color="auto"/>
        <w:right w:val="none" w:sz="0" w:space="0" w:color="auto"/>
      </w:divBdr>
    </w:div>
    <w:div w:id="856583101">
      <w:bodyDiv w:val="1"/>
      <w:marLeft w:val="0"/>
      <w:marRight w:val="0"/>
      <w:marTop w:val="0"/>
      <w:marBottom w:val="0"/>
      <w:divBdr>
        <w:top w:val="none" w:sz="0" w:space="0" w:color="auto"/>
        <w:left w:val="none" w:sz="0" w:space="0" w:color="auto"/>
        <w:bottom w:val="none" w:sz="0" w:space="0" w:color="auto"/>
        <w:right w:val="none" w:sz="0" w:space="0" w:color="auto"/>
      </w:divBdr>
    </w:div>
    <w:div w:id="1089422820">
      <w:bodyDiv w:val="1"/>
      <w:marLeft w:val="0"/>
      <w:marRight w:val="0"/>
      <w:marTop w:val="0"/>
      <w:marBottom w:val="0"/>
      <w:divBdr>
        <w:top w:val="none" w:sz="0" w:space="0" w:color="auto"/>
        <w:left w:val="none" w:sz="0" w:space="0" w:color="auto"/>
        <w:bottom w:val="none" w:sz="0" w:space="0" w:color="auto"/>
        <w:right w:val="none" w:sz="0" w:space="0" w:color="auto"/>
      </w:divBdr>
    </w:div>
    <w:div w:id="1182280571">
      <w:bodyDiv w:val="1"/>
      <w:marLeft w:val="0"/>
      <w:marRight w:val="0"/>
      <w:marTop w:val="0"/>
      <w:marBottom w:val="0"/>
      <w:divBdr>
        <w:top w:val="none" w:sz="0" w:space="0" w:color="auto"/>
        <w:left w:val="none" w:sz="0" w:space="0" w:color="auto"/>
        <w:bottom w:val="none" w:sz="0" w:space="0" w:color="auto"/>
        <w:right w:val="none" w:sz="0" w:space="0" w:color="auto"/>
      </w:divBdr>
    </w:div>
    <w:div w:id="1262838541">
      <w:bodyDiv w:val="1"/>
      <w:marLeft w:val="0"/>
      <w:marRight w:val="0"/>
      <w:marTop w:val="0"/>
      <w:marBottom w:val="0"/>
      <w:divBdr>
        <w:top w:val="none" w:sz="0" w:space="0" w:color="auto"/>
        <w:left w:val="none" w:sz="0" w:space="0" w:color="auto"/>
        <w:bottom w:val="none" w:sz="0" w:space="0" w:color="auto"/>
        <w:right w:val="none" w:sz="0" w:space="0" w:color="auto"/>
      </w:divBdr>
    </w:div>
    <w:div w:id="1312293977">
      <w:bodyDiv w:val="1"/>
      <w:marLeft w:val="0"/>
      <w:marRight w:val="0"/>
      <w:marTop w:val="0"/>
      <w:marBottom w:val="0"/>
      <w:divBdr>
        <w:top w:val="none" w:sz="0" w:space="0" w:color="auto"/>
        <w:left w:val="none" w:sz="0" w:space="0" w:color="auto"/>
        <w:bottom w:val="none" w:sz="0" w:space="0" w:color="auto"/>
        <w:right w:val="none" w:sz="0" w:space="0" w:color="auto"/>
      </w:divBdr>
    </w:div>
    <w:div w:id="1501310618">
      <w:bodyDiv w:val="1"/>
      <w:marLeft w:val="0"/>
      <w:marRight w:val="0"/>
      <w:marTop w:val="0"/>
      <w:marBottom w:val="0"/>
      <w:divBdr>
        <w:top w:val="none" w:sz="0" w:space="0" w:color="auto"/>
        <w:left w:val="none" w:sz="0" w:space="0" w:color="auto"/>
        <w:bottom w:val="none" w:sz="0" w:space="0" w:color="auto"/>
        <w:right w:val="none" w:sz="0" w:space="0" w:color="auto"/>
      </w:divBdr>
    </w:div>
    <w:div w:id="16130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sec.gov/comments/s7-03-11/s70311.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F6A1F1ACD4F9BD4CB5CD562D39E5E4D2" ma:contentTypeVersion="2" ma:contentTypeDescription="" ma:contentTypeScope="" ma:versionID="42df8016ff3d0e1acf3a6e093e5a3d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DCE69-D418-415A-A7D9-EC0006CE7FCC}">
  <ds:schemaRefs>
    <ds:schemaRef ds:uri="http://schemas.microsoft.com/sharepoint/v3/contenttype/forms"/>
  </ds:schemaRefs>
</ds:datastoreItem>
</file>

<file path=customXml/itemProps2.xml><?xml version="1.0" encoding="utf-8"?>
<ds:datastoreItem xmlns:ds="http://schemas.openxmlformats.org/officeDocument/2006/customXml" ds:itemID="{A698ADAF-EBC4-4EDC-B466-E9DE77849542}">
  <ds:schemaRefs>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1912F65-3022-4A89-A0FD-CD254320927C}">
  <ds:schemaRefs>
    <ds:schemaRef ds:uri="http://schemas.microsoft.com/sharepoint/events"/>
  </ds:schemaRefs>
</ds:datastoreItem>
</file>

<file path=customXml/itemProps4.xml><?xml version="1.0" encoding="utf-8"?>
<ds:datastoreItem xmlns:ds="http://schemas.openxmlformats.org/officeDocument/2006/customXml" ds:itemID="{7078EFF9-3629-4005-917D-38AE5594E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E9F40C5-B7D7-472D-9441-058F1B8A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2189</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	Justification</vt:lpstr>
    </vt:vector>
  </TitlesOfParts>
  <Company>SEC</Company>
  <LinksUpToDate>false</LinksUpToDate>
  <CharactersWithSpaces>14893</CharactersWithSpaces>
  <SharedDoc>false</SharedDoc>
  <HLinks>
    <vt:vector size="6" baseType="variant">
      <vt:variant>
        <vt:i4>327769</vt:i4>
      </vt:variant>
      <vt:variant>
        <vt:i4>0</vt:i4>
      </vt:variant>
      <vt:variant>
        <vt:i4>0</vt:i4>
      </vt:variant>
      <vt:variant>
        <vt:i4>5</vt:i4>
      </vt:variant>
      <vt:variant>
        <vt:lpwstr>http://www.dtcc.com/products/derivserv/data_table_iii.php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us</dc:creator>
  <cp:lastModifiedBy>Tontz, Jennifer</cp:lastModifiedBy>
  <cp:revision>4</cp:revision>
  <cp:lastPrinted>2016-06-15T11:54:00Z</cp:lastPrinted>
  <dcterms:created xsi:type="dcterms:W3CDTF">2016-06-16T15:56:00Z</dcterms:created>
  <dcterms:modified xsi:type="dcterms:W3CDTF">2016-06-21T18:51:00Z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0x0101008CE57A305FE3344E8586358791CCFB2000F6A1F1ACD4F9BD4CB5CD562D39E5E4D2</vt:lpwstr>
  </property>
  <property fmtid="{D5CDD505-2E9C-101B-9397-08002B2CF9AE}" pid="4" name="TemplateUrl">
    <vt:lpwstr/>
  </property>
  <property fmtid="{D5CDD505-2E9C-101B-9397-08002B2CF9AE}" pid="5" name="ShowCombineView">
    <vt:lpwstr/>
  </property>
  <property fmtid="{D5CDD505-2E9C-101B-9397-08002B2CF9AE}" pid="6" name="Order">
    <vt:r8>210400</vt:r8>
  </property>
  <property fmtid="{D5CDD505-2E9C-101B-9397-08002B2CF9AE}" pid="7" name="ShowRepairView">
    <vt:lpwstr/>
  </property>
  <property fmtid="{D5CDD505-2E9C-101B-9397-08002B2CF9AE}" pid="8" name="xd_ProgID">
    <vt:lpwstr/>
  </property>
  <property fmtid="{D5CDD505-2E9C-101B-9397-08002B2CF9AE}" pid="9" name="_CopySource">
    <vt:lpwstr>http://opc-ad-mossfe1/sites/ofa/irm/pra/ICR Documents/3235-XXXX-[1291316139041]/Rule 15F(i)(1) Supporting Statement final.docx</vt:lpwstr>
  </property>
  <property fmtid="{D5CDD505-2E9C-101B-9397-08002B2CF9AE}" pid="10" name="_dlc_DocIdItemGuid">
    <vt:lpwstr>20130baa-c3d2-4d32-a30f-011be2832527</vt:lpwstr>
  </property>
  <property fmtid="{D5CDD505-2E9C-101B-9397-08002B2CF9AE}" pid="11" name="_dlc_DocId">
    <vt:lpwstr>KKE47E4U7XZ3-2108-2704</vt:lpwstr>
  </property>
  <property fmtid="{D5CDD505-2E9C-101B-9397-08002B2CF9AE}" pid="12" name="_dlc_DocIdUrl">
    <vt:lpwstr>https://collaboration/sites/OIT/pra/_layouts/DocIdRedir.aspx?ID=KKE47E4U7XZ3-2108-2704, KKE47E4U7XZ3-2108-2704</vt:lpwstr>
  </property>
</Properties>
</file>