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E4E" w:rsidRDefault="00056E4E" w:rsidP="00056E4E">
      <w:pPr>
        <w:ind w:left="360" w:right="360"/>
        <w:jc w:val="center"/>
        <w:rPr>
          <w:b/>
          <w:sz w:val="28"/>
          <w:szCs w:val="28"/>
        </w:rPr>
      </w:pPr>
      <w:bookmarkStart w:id="0" w:name="_GoBack"/>
      <w:bookmarkEnd w:id="0"/>
    </w:p>
    <w:p w:rsidR="00902B3F" w:rsidRDefault="00B8350F" w:rsidP="00056E4E">
      <w:pPr>
        <w:tabs>
          <w:tab w:val="left" w:pos="9810"/>
        </w:tabs>
        <w:ind w:left="360" w:right="450"/>
        <w:jc w:val="center"/>
        <w:rPr>
          <w:b/>
          <w:sz w:val="28"/>
          <w:szCs w:val="28"/>
        </w:rPr>
      </w:pPr>
      <w:r>
        <w:rPr>
          <w:b/>
          <w:sz w:val="28"/>
          <w:szCs w:val="28"/>
        </w:rPr>
        <w:t>Responses</w:t>
      </w:r>
      <w:r w:rsidR="00902B3F" w:rsidRPr="00B8350F">
        <w:rPr>
          <w:b/>
          <w:sz w:val="28"/>
          <w:szCs w:val="28"/>
        </w:rPr>
        <w:t xml:space="preserve"> to OMB questions</w:t>
      </w:r>
      <w:r w:rsidR="0001734E" w:rsidRPr="00B8350F">
        <w:rPr>
          <w:b/>
          <w:sz w:val="28"/>
          <w:szCs w:val="28"/>
        </w:rPr>
        <w:t xml:space="preserve"> on the 2014-1</w:t>
      </w:r>
      <w:r w:rsidR="00CC7A25">
        <w:rPr>
          <w:b/>
          <w:sz w:val="28"/>
          <w:szCs w:val="28"/>
        </w:rPr>
        <w:t>6</w:t>
      </w:r>
      <w:r w:rsidR="0001734E" w:rsidRPr="00B8350F">
        <w:rPr>
          <w:b/>
          <w:sz w:val="28"/>
          <w:szCs w:val="28"/>
        </w:rPr>
        <w:t xml:space="preserve"> GSS clearance</w:t>
      </w:r>
    </w:p>
    <w:p w:rsidR="00B8350F" w:rsidRPr="00B8350F" w:rsidRDefault="00B8350F" w:rsidP="00056E4E">
      <w:pPr>
        <w:tabs>
          <w:tab w:val="left" w:pos="9810"/>
        </w:tabs>
        <w:ind w:left="360" w:right="450"/>
        <w:jc w:val="center"/>
        <w:rPr>
          <w:b/>
          <w:sz w:val="28"/>
          <w:szCs w:val="28"/>
        </w:rPr>
      </w:pPr>
    </w:p>
    <w:p w:rsidR="00902B3F" w:rsidRPr="00B8350F" w:rsidRDefault="00902B3F" w:rsidP="00056E4E">
      <w:pPr>
        <w:tabs>
          <w:tab w:val="left" w:pos="9810"/>
        </w:tabs>
        <w:ind w:left="360" w:right="450"/>
        <w:rPr>
          <w:b/>
        </w:rPr>
      </w:pPr>
      <w:r w:rsidRPr="00B8350F">
        <w:rPr>
          <w:b/>
        </w:rPr>
        <w:t> </w:t>
      </w:r>
    </w:p>
    <w:p w:rsidR="00902B3F" w:rsidRPr="00B8350F" w:rsidRDefault="00E021AE" w:rsidP="00056E4E">
      <w:pPr>
        <w:tabs>
          <w:tab w:val="left" w:pos="9810"/>
        </w:tabs>
        <w:ind w:left="720" w:right="450" w:hanging="360"/>
        <w:rPr>
          <w:b/>
        </w:rPr>
      </w:pPr>
      <w:r w:rsidRPr="00B8350F">
        <w:rPr>
          <w:b/>
        </w:rPr>
        <w:t>Q1:</w:t>
      </w:r>
      <w:r w:rsidRPr="00B8350F">
        <w:rPr>
          <w:b/>
        </w:rPr>
        <w:tab/>
      </w:r>
      <w:r w:rsidR="00902B3F" w:rsidRPr="00B8350F">
        <w:rPr>
          <w:b/>
        </w:rPr>
        <w:t>Did NCSES explain in advance to OMB and others that the “data collected from newly eligible GSS institutions were not included in the 2011-2013 survey data published…?” (SS p18)</w:t>
      </w:r>
    </w:p>
    <w:p w:rsidR="00902B3F" w:rsidRDefault="00902B3F" w:rsidP="00056E4E">
      <w:pPr>
        <w:tabs>
          <w:tab w:val="left" w:pos="9810"/>
        </w:tabs>
        <w:ind w:left="360" w:right="450"/>
      </w:pPr>
    </w:p>
    <w:p w:rsidR="00431AE5" w:rsidRDefault="00E021AE" w:rsidP="00056E4E">
      <w:pPr>
        <w:tabs>
          <w:tab w:val="left" w:pos="9810"/>
        </w:tabs>
        <w:ind w:left="720" w:right="450" w:hanging="360"/>
        <w:rPr>
          <w:color w:val="1F497D" w:themeColor="text2"/>
        </w:rPr>
      </w:pPr>
      <w:r w:rsidRPr="00056E4E">
        <w:rPr>
          <w:b/>
          <w:color w:val="1F497D" w:themeColor="text2"/>
        </w:rPr>
        <w:t>A1:</w:t>
      </w:r>
      <w:r w:rsidRPr="00056E4E">
        <w:rPr>
          <w:b/>
          <w:color w:val="1F497D" w:themeColor="text2"/>
        </w:rPr>
        <w:tab/>
      </w:r>
      <w:r w:rsidR="00DF59B9">
        <w:rPr>
          <w:color w:val="1F497D" w:themeColor="text2"/>
        </w:rPr>
        <w:t xml:space="preserve">We regret that we did not convey to </w:t>
      </w:r>
      <w:r w:rsidR="000F6496">
        <w:rPr>
          <w:color w:val="1F497D" w:themeColor="text2"/>
        </w:rPr>
        <w:t xml:space="preserve">OMB </w:t>
      </w:r>
      <w:r w:rsidR="00703EDD">
        <w:rPr>
          <w:color w:val="1F497D" w:themeColor="text2"/>
        </w:rPr>
        <w:t>when the data collec</w:t>
      </w:r>
      <w:r w:rsidR="009C2452">
        <w:rPr>
          <w:color w:val="1F497D" w:themeColor="text2"/>
        </w:rPr>
        <w:t xml:space="preserve">ted from these new institutions </w:t>
      </w:r>
      <w:r w:rsidR="00703EDD">
        <w:rPr>
          <w:color w:val="1F497D" w:themeColor="text2"/>
        </w:rPr>
        <w:t xml:space="preserve">would be incorporated </w:t>
      </w:r>
      <w:r w:rsidR="000F6496">
        <w:rPr>
          <w:color w:val="1F497D" w:themeColor="text2"/>
        </w:rPr>
        <w:t xml:space="preserve">in </w:t>
      </w:r>
      <w:r w:rsidR="00703EDD">
        <w:rPr>
          <w:color w:val="1F497D" w:themeColor="text2"/>
        </w:rPr>
        <w:t xml:space="preserve">the </w:t>
      </w:r>
      <w:r w:rsidR="009C2452">
        <w:rPr>
          <w:color w:val="1F497D" w:themeColor="text2"/>
        </w:rPr>
        <w:t xml:space="preserve">final </w:t>
      </w:r>
      <w:r w:rsidR="00703EDD">
        <w:rPr>
          <w:color w:val="1F497D" w:themeColor="text2"/>
        </w:rPr>
        <w:t xml:space="preserve">GSS data. </w:t>
      </w:r>
      <w:r w:rsidR="00830418">
        <w:rPr>
          <w:color w:val="1F497D" w:themeColor="text2"/>
        </w:rPr>
        <w:t>Because t</w:t>
      </w:r>
      <w:r w:rsidR="00D72355">
        <w:rPr>
          <w:color w:val="1F497D" w:themeColor="text2"/>
        </w:rPr>
        <w:t>his</w:t>
      </w:r>
      <w:r w:rsidR="000F6496">
        <w:rPr>
          <w:color w:val="1F497D" w:themeColor="text2"/>
        </w:rPr>
        <w:t xml:space="preserve"> was </w:t>
      </w:r>
      <w:r w:rsidR="00830418">
        <w:rPr>
          <w:color w:val="1F497D" w:themeColor="text2"/>
        </w:rPr>
        <w:t>such</w:t>
      </w:r>
      <w:r w:rsidR="000F6496">
        <w:rPr>
          <w:color w:val="1F497D" w:themeColor="text2"/>
        </w:rPr>
        <w:t xml:space="preserve"> a</w:t>
      </w:r>
      <w:r w:rsidR="00830418">
        <w:rPr>
          <w:color w:val="1F497D" w:themeColor="text2"/>
        </w:rPr>
        <w:t>n extensive and</w:t>
      </w:r>
      <w:r w:rsidR="000F6496">
        <w:rPr>
          <w:color w:val="1F497D" w:themeColor="text2"/>
        </w:rPr>
        <w:t xml:space="preserve"> major frame evaluation</w:t>
      </w:r>
      <w:r w:rsidR="00830418">
        <w:rPr>
          <w:color w:val="1F497D" w:themeColor="text2"/>
        </w:rPr>
        <w:t>,</w:t>
      </w:r>
      <w:r w:rsidR="00D72355">
        <w:rPr>
          <w:color w:val="1F497D" w:themeColor="text2"/>
        </w:rPr>
        <w:t xml:space="preserve"> we </w:t>
      </w:r>
      <w:r w:rsidR="00830418">
        <w:rPr>
          <w:color w:val="1F497D" w:themeColor="text2"/>
        </w:rPr>
        <w:t>were</w:t>
      </w:r>
      <w:r w:rsidR="004016BD">
        <w:rPr>
          <w:color w:val="1F497D" w:themeColor="text2"/>
        </w:rPr>
        <w:t xml:space="preserve"> </w:t>
      </w:r>
      <w:r w:rsidR="00295317">
        <w:rPr>
          <w:color w:val="1F497D" w:themeColor="text2"/>
        </w:rPr>
        <w:t>concern</w:t>
      </w:r>
      <w:r w:rsidR="00830418">
        <w:rPr>
          <w:color w:val="1F497D" w:themeColor="text2"/>
        </w:rPr>
        <w:t>ed about the impact on</w:t>
      </w:r>
      <w:r w:rsidR="00295317">
        <w:rPr>
          <w:color w:val="1F497D" w:themeColor="text2"/>
        </w:rPr>
        <w:t xml:space="preserve"> </w:t>
      </w:r>
      <w:r w:rsidR="008F2B12">
        <w:rPr>
          <w:color w:val="1F497D" w:themeColor="text2"/>
        </w:rPr>
        <w:t xml:space="preserve">data quality, unit eligibility, and </w:t>
      </w:r>
      <w:r w:rsidR="00830418">
        <w:rPr>
          <w:color w:val="1F497D" w:themeColor="text2"/>
        </w:rPr>
        <w:t xml:space="preserve">the interpretation of </w:t>
      </w:r>
      <w:r w:rsidR="008F2B12">
        <w:rPr>
          <w:color w:val="1F497D" w:themeColor="text2"/>
        </w:rPr>
        <w:t>overall trends</w:t>
      </w:r>
      <w:r w:rsidR="0052555B">
        <w:rPr>
          <w:color w:val="1F497D" w:themeColor="text2"/>
        </w:rPr>
        <w:t xml:space="preserve">. </w:t>
      </w:r>
      <w:r w:rsidR="00DF59B9">
        <w:rPr>
          <w:color w:val="1F497D" w:themeColor="text2"/>
        </w:rPr>
        <w:t>We routinely conduct quality assessments before disseminating newly collected information that might impact trends, in addition to pretesting and evaluating prior to data collection.</w:t>
      </w:r>
    </w:p>
    <w:p w:rsidR="00431AE5" w:rsidRDefault="00431AE5" w:rsidP="00056E4E">
      <w:pPr>
        <w:tabs>
          <w:tab w:val="left" w:pos="9810"/>
        </w:tabs>
        <w:ind w:left="720" w:right="450"/>
        <w:rPr>
          <w:color w:val="1F497D" w:themeColor="text2"/>
        </w:rPr>
      </w:pPr>
    </w:p>
    <w:p w:rsidR="00B044A0" w:rsidRDefault="00DF59B9" w:rsidP="00056E4E">
      <w:pPr>
        <w:tabs>
          <w:tab w:val="left" w:pos="9810"/>
        </w:tabs>
        <w:ind w:left="720" w:right="450"/>
        <w:rPr>
          <w:color w:val="1F497D" w:themeColor="text2"/>
        </w:rPr>
      </w:pPr>
      <w:r>
        <w:rPr>
          <w:color w:val="1F497D" w:themeColor="text2"/>
        </w:rPr>
        <w:t xml:space="preserve">Upon review of </w:t>
      </w:r>
      <w:r w:rsidR="0052555B">
        <w:rPr>
          <w:color w:val="1F497D" w:themeColor="text2"/>
        </w:rPr>
        <w:t xml:space="preserve">the 2011 GSS data </w:t>
      </w:r>
      <w:r>
        <w:rPr>
          <w:color w:val="1F497D" w:themeColor="text2"/>
        </w:rPr>
        <w:t>from the newly eligible schools, we</w:t>
      </w:r>
      <w:r w:rsidR="00830418">
        <w:rPr>
          <w:color w:val="1F497D" w:themeColor="text2"/>
        </w:rPr>
        <w:t xml:space="preserve"> de</w:t>
      </w:r>
      <w:r>
        <w:rPr>
          <w:color w:val="1F497D" w:themeColor="text2"/>
        </w:rPr>
        <w:t xml:space="preserve">cided </w:t>
      </w:r>
      <w:r w:rsidR="00D83A2C">
        <w:rPr>
          <w:color w:val="1F497D" w:themeColor="text2"/>
        </w:rPr>
        <w:t xml:space="preserve">that </w:t>
      </w:r>
      <w:r w:rsidR="00431AE5">
        <w:rPr>
          <w:color w:val="1F497D" w:themeColor="text2"/>
        </w:rPr>
        <w:t>more year</w:t>
      </w:r>
      <w:r w:rsidR="000120F0">
        <w:rPr>
          <w:color w:val="1F497D" w:themeColor="text2"/>
        </w:rPr>
        <w:t>s</w:t>
      </w:r>
      <w:r w:rsidR="00431AE5">
        <w:rPr>
          <w:color w:val="1F497D" w:themeColor="text2"/>
        </w:rPr>
        <w:t xml:space="preserve"> of</w:t>
      </w:r>
      <w:r w:rsidR="008F2B12">
        <w:rPr>
          <w:color w:val="1F497D" w:themeColor="text2"/>
        </w:rPr>
        <w:t xml:space="preserve"> data </w:t>
      </w:r>
      <w:r w:rsidR="00D83A2C">
        <w:rPr>
          <w:color w:val="1F497D" w:themeColor="text2"/>
        </w:rPr>
        <w:t xml:space="preserve">were needed </w:t>
      </w:r>
      <w:r w:rsidR="008F2B12">
        <w:rPr>
          <w:color w:val="1F497D" w:themeColor="text2"/>
        </w:rPr>
        <w:t xml:space="preserve">to </w:t>
      </w:r>
      <w:r>
        <w:rPr>
          <w:color w:val="1F497D" w:themeColor="text2"/>
        </w:rPr>
        <w:t>thoroughly</w:t>
      </w:r>
      <w:r w:rsidR="00830418">
        <w:rPr>
          <w:color w:val="1F497D" w:themeColor="text2"/>
        </w:rPr>
        <w:t xml:space="preserve"> </w:t>
      </w:r>
      <w:r w:rsidR="008F2B12">
        <w:rPr>
          <w:color w:val="1F497D" w:themeColor="text2"/>
        </w:rPr>
        <w:t xml:space="preserve">assess </w:t>
      </w:r>
      <w:r w:rsidR="004016BD">
        <w:rPr>
          <w:color w:val="1F497D" w:themeColor="text2"/>
        </w:rPr>
        <w:t xml:space="preserve">the </w:t>
      </w:r>
      <w:r w:rsidR="00431AE5">
        <w:rPr>
          <w:color w:val="1F497D" w:themeColor="text2"/>
        </w:rPr>
        <w:t xml:space="preserve">accuracy, eligibility, </w:t>
      </w:r>
      <w:r>
        <w:rPr>
          <w:color w:val="1F497D" w:themeColor="text2"/>
        </w:rPr>
        <w:t xml:space="preserve">and </w:t>
      </w:r>
      <w:r w:rsidR="00431AE5">
        <w:rPr>
          <w:color w:val="1F497D" w:themeColor="text2"/>
        </w:rPr>
        <w:t>stability</w:t>
      </w:r>
      <w:r>
        <w:rPr>
          <w:color w:val="1F497D" w:themeColor="text2"/>
        </w:rPr>
        <w:t xml:space="preserve"> of the responses. </w:t>
      </w:r>
      <w:r w:rsidR="00431AE5">
        <w:rPr>
          <w:color w:val="1F497D" w:themeColor="text2"/>
        </w:rPr>
        <w:t xml:space="preserve"> </w:t>
      </w:r>
      <w:r w:rsidR="00E97C11">
        <w:rPr>
          <w:color w:val="1F497D" w:themeColor="text2"/>
        </w:rPr>
        <w:t>During t</w:t>
      </w:r>
      <w:r w:rsidR="00C544E3">
        <w:rPr>
          <w:color w:val="1F497D" w:themeColor="text2"/>
        </w:rPr>
        <w:t>he 201</w:t>
      </w:r>
      <w:r w:rsidR="00E97C11">
        <w:rPr>
          <w:color w:val="1F497D" w:themeColor="text2"/>
        </w:rPr>
        <w:t>2</w:t>
      </w:r>
      <w:r w:rsidR="00B044A0">
        <w:rPr>
          <w:color w:val="1F497D" w:themeColor="text2"/>
        </w:rPr>
        <w:t>-</w:t>
      </w:r>
      <w:r w:rsidR="00C544E3">
        <w:rPr>
          <w:color w:val="1F497D" w:themeColor="text2"/>
        </w:rPr>
        <w:t xml:space="preserve">13 </w:t>
      </w:r>
      <w:r w:rsidR="00B044A0">
        <w:rPr>
          <w:color w:val="1F497D" w:themeColor="text2"/>
        </w:rPr>
        <w:t>GSS</w:t>
      </w:r>
      <w:r w:rsidR="00E97C11">
        <w:rPr>
          <w:color w:val="1F497D" w:themeColor="text2"/>
        </w:rPr>
        <w:t xml:space="preserve"> cycles</w:t>
      </w:r>
      <w:r w:rsidR="00B044A0">
        <w:rPr>
          <w:color w:val="1F497D" w:themeColor="text2"/>
        </w:rPr>
        <w:t>,</w:t>
      </w:r>
      <w:r w:rsidR="00C544E3">
        <w:rPr>
          <w:color w:val="1F497D" w:themeColor="text2"/>
        </w:rPr>
        <w:t xml:space="preserve"> </w:t>
      </w:r>
      <w:r w:rsidR="00E97C11">
        <w:rPr>
          <w:color w:val="1F497D" w:themeColor="text2"/>
        </w:rPr>
        <w:t>we worked extensively with the</w:t>
      </w:r>
      <w:r w:rsidR="00D83A2C">
        <w:rPr>
          <w:color w:val="1F497D" w:themeColor="text2"/>
        </w:rPr>
        <w:t xml:space="preserve"> </w:t>
      </w:r>
      <w:r w:rsidR="00830418">
        <w:rPr>
          <w:color w:val="1F497D" w:themeColor="text2"/>
        </w:rPr>
        <w:t>new</w:t>
      </w:r>
      <w:r w:rsidR="00C544E3">
        <w:rPr>
          <w:color w:val="1F497D" w:themeColor="text2"/>
        </w:rPr>
        <w:t xml:space="preserve"> </w:t>
      </w:r>
      <w:r w:rsidR="00E97C11">
        <w:rPr>
          <w:color w:val="1F497D" w:themeColor="text2"/>
        </w:rPr>
        <w:t xml:space="preserve">frame </w:t>
      </w:r>
      <w:r w:rsidR="00C544E3">
        <w:rPr>
          <w:color w:val="1F497D" w:themeColor="text2"/>
        </w:rPr>
        <w:t xml:space="preserve">schools </w:t>
      </w:r>
      <w:r w:rsidR="00B044A0">
        <w:rPr>
          <w:color w:val="1F497D" w:themeColor="text2"/>
        </w:rPr>
        <w:t xml:space="preserve">coordinators </w:t>
      </w:r>
      <w:r w:rsidR="00C544E3">
        <w:rPr>
          <w:color w:val="1F497D" w:themeColor="text2"/>
        </w:rPr>
        <w:t>to</w:t>
      </w:r>
      <w:r w:rsidR="00C544E3" w:rsidRPr="00C544E3">
        <w:t xml:space="preserve"> </w:t>
      </w:r>
      <w:r w:rsidR="00C544E3" w:rsidRPr="008F02E2">
        <w:rPr>
          <w:color w:val="365F91" w:themeColor="accent1" w:themeShade="BF"/>
        </w:rPr>
        <w:t xml:space="preserve">correctly </w:t>
      </w:r>
      <w:r w:rsidR="00C544E3">
        <w:rPr>
          <w:color w:val="1F497D" w:themeColor="text2"/>
        </w:rPr>
        <w:t>identif</w:t>
      </w:r>
      <w:r w:rsidR="00D83A2C">
        <w:rPr>
          <w:color w:val="1F497D" w:themeColor="text2"/>
        </w:rPr>
        <w:t>y</w:t>
      </w:r>
      <w:r w:rsidR="00C544E3">
        <w:rPr>
          <w:color w:val="1F497D" w:themeColor="text2"/>
        </w:rPr>
        <w:t xml:space="preserve"> </w:t>
      </w:r>
      <w:r w:rsidR="00C544E3" w:rsidRPr="00C544E3">
        <w:rPr>
          <w:color w:val="1F497D" w:themeColor="text2"/>
        </w:rPr>
        <w:t>the GSS eligible units (</w:t>
      </w:r>
      <w:r w:rsidR="00B044A0">
        <w:rPr>
          <w:color w:val="1F497D" w:themeColor="text2"/>
        </w:rPr>
        <w:t xml:space="preserve">e.g., </w:t>
      </w:r>
      <w:r w:rsidR="00C544E3" w:rsidRPr="00C544E3">
        <w:rPr>
          <w:color w:val="1F497D" w:themeColor="text2"/>
        </w:rPr>
        <w:t>research-oriented, not practitioner degree) and to report</w:t>
      </w:r>
      <w:r w:rsidR="00B044A0">
        <w:rPr>
          <w:color w:val="1F497D" w:themeColor="text2"/>
        </w:rPr>
        <w:t xml:space="preserve"> complete</w:t>
      </w:r>
      <w:r w:rsidR="00C544E3" w:rsidRPr="00C544E3">
        <w:rPr>
          <w:color w:val="1F497D" w:themeColor="text2"/>
        </w:rPr>
        <w:t xml:space="preserve"> data on their students</w:t>
      </w:r>
      <w:r w:rsidR="00B044A0">
        <w:rPr>
          <w:color w:val="1F497D" w:themeColor="text2"/>
        </w:rPr>
        <w:t xml:space="preserve">, </w:t>
      </w:r>
      <w:r w:rsidR="00C544E3" w:rsidRPr="00C544E3">
        <w:rPr>
          <w:color w:val="1F497D" w:themeColor="text2"/>
        </w:rPr>
        <w:t>postdocs</w:t>
      </w:r>
      <w:r w:rsidR="00B044A0">
        <w:rPr>
          <w:color w:val="1F497D" w:themeColor="text2"/>
        </w:rPr>
        <w:t>, and nonfaculty researchers (NFRs)</w:t>
      </w:r>
      <w:r w:rsidR="00830418">
        <w:rPr>
          <w:color w:val="1F497D" w:themeColor="text2"/>
        </w:rPr>
        <w:t xml:space="preserve">.  </w:t>
      </w:r>
      <w:r w:rsidR="00B044A0">
        <w:rPr>
          <w:color w:val="1F497D" w:themeColor="text2"/>
        </w:rPr>
        <w:t>M</w:t>
      </w:r>
      <w:r w:rsidR="00D83A2C">
        <w:rPr>
          <w:color w:val="1F497D" w:themeColor="text2"/>
        </w:rPr>
        <w:t xml:space="preserve">ost </w:t>
      </w:r>
      <w:r w:rsidR="00B044A0">
        <w:rPr>
          <w:color w:val="1F497D" w:themeColor="text2"/>
        </w:rPr>
        <w:t>new coordinators</w:t>
      </w:r>
      <w:r w:rsidR="00830418">
        <w:rPr>
          <w:color w:val="1F497D" w:themeColor="text2"/>
        </w:rPr>
        <w:t xml:space="preserve"> </w:t>
      </w:r>
      <w:r w:rsidR="00083ADD">
        <w:rPr>
          <w:color w:val="1F497D" w:themeColor="text2"/>
        </w:rPr>
        <w:t xml:space="preserve">were </w:t>
      </w:r>
      <w:r w:rsidR="00C544E3">
        <w:rPr>
          <w:color w:val="1F497D" w:themeColor="text2"/>
        </w:rPr>
        <w:t xml:space="preserve">not familiar with the </w:t>
      </w:r>
      <w:r w:rsidR="00B044A0">
        <w:rPr>
          <w:color w:val="1F497D" w:themeColor="text2"/>
        </w:rPr>
        <w:t>GSS</w:t>
      </w:r>
      <w:r w:rsidR="00C544E3">
        <w:rPr>
          <w:color w:val="1F497D" w:themeColor="text2"/>
        </w:rPr>
        <w:t xml:space="preserve"> or the data </w:t>
      </w:r>
      <w:r w:rsidR="00B044A0">
        <w:rPr>
          <w:color w:val="1F497D" w:themeColor="text2"/>
        </w:rPr>
        <w:t xml:space="preserve">items </w:t>
      </w:r>
      <w:r w:rsidR="00C544E3">
        <w:rPr>
          <w:color w:val="1F497D" w:themeColor="text2"/>
        </w:rPr>
        <w:t>being requested</w:t>
      </w:r>
      <w:r w:rsidR="00D83A2C">
        <w:rPr>
          <w:color w:val="1F497D" w:themeColor="text2"/>
        </w:rPr>
        <w:t>.</w:t>
      </w:r>
      <w:r w:rsidR="00C544E3">
        <w:rPr>
          <w:color w:val="1F497D" w:themeColor="text2"/>
        </w:rPr>
        <w:t xml:space="preserve"> </w:t>
      </w:r>
      <w:r w:rsidR="00E97C11">
        <w:rPr>
          <w:color w:val="1F497D" w:themeColor="text2"/>
        </w:rPr>
        <w:t xml:space="preserve"> </w:t>
      </w:r>
    </w:p>
    <w:p w:rsidR="00B044A0" w:rsidRDefault="00B044A0" w:rsidP="00056E4E">
      <w:pPr>
        <w:tabs>
          <w:tab w:val="left" w:pos="9810"/>
        </w:tabs>
        <w:ind w:left="720" w:right="450"/>
        <w:rPr>
          <w:color w:val="1F497D" w:themeColor="text2"/>
        </w:rPr>
      </w:pPr>
    </w:p>
    <w:p w:rsidR="00B044A0" w:rsidRDefault="00B044A0" w:rsidP="00056E4E">
      <w:pPr>
        <w:tabs>
          <w:tab w:val="left" w:pos="9810"/>
        </w:tabs>
        <w:ind w:left="720" w:right="450"/>
        <w:rPr>
          <w:color w:val="1F497D" w:themeColor="text2"/>
        </w:rPr>
      </w:pPr>
      <w:r>
        <w:rPr>
          <w:color w:val="1F497D" w:themeColor="text2"/>
        </w:rPr>
        <w:t>In addition to working with the coordinators, w</w:t>
      </w:r>
      <w:r w:rsidR="008E1A01">
        <w:rPr>
          <w:color w:val="1F497D" w:themeColor="text2"/>
        </w:rPr>
        <w:t xml:space="preserve">e </w:t>
      </w:r>
      <w:r w:rsidR="00E021AE">
        <w:rPr>
          <w:color w:val="1F497D" w:themeColor="text2"/>
        </w:rPr>
        <w:t xml:space="preserve">recently completed </w:t>
      </w:r>
      <w:r w:rsidR="00E97C11">
        <w:rPr>
          <w:color w:val="1F497D" w:themeColor="text2"/>
        </w:rPr>
        <w:t xml:space="preserve">an </w:t>
      </w:r>
      <w:r w:rsidR="00E021AE">
        <w:rPr>
          <w:color w:val="1F497D" w:themeColor="text2"/>
        </w:rPr>
        <w:t xml:space="preserve">analysis </w:t>
      </w:r>
      <w:r>
        <w:rPr>
          <w:color w:val="1F497D" w:themeColor="text2"/>
        </w:rPr>
        <w:t xml:space="preserve">which </w:t>
      </w:r>
      <w:r w:rsidR="00281737">
        <w:rPr>
          <w:color w:val="1F497D" w:themeColor="text2"/>
        </w:rPr>
        <w:t xml:space="preserve">examines </w:t>
      </w:r>
      <w:r w:rsidR="008E1A01">
        <w:rPr>
          <w:color w:val="1F497D" w:themeColor="text2"/>
        </w:rPr>
        <w:t xml:space="preserve">the impact of adding the newly eligible institution data </w:t>
      </w:r>
      <w:r w:rsidR="004016BD">
        <w:rPr>
          <w:color w:val="1F497D" w:themeColor="text2"/>
        </w:rPr>
        <w:t xml:space="preserve">on </w:t>
      </w:r>
      <w:r w:rsidR="008E1A01">
        <w:rPr>
          <w:color w:val="1F497D" w:themeColor="text2"/>
        </w:rPr>
        <w:t xml:space="preserve">GSS trends </w:t>
      </w:r>
      <w:r>
        <w:rPr>
          <w:color w:val="1F497D" w:themeColor="text2"/>
        </w:rPr>
        <w:t xml:space="preserve">(see attached for an executive summary).  </w:t>
      </w:r>
      <w:r w:rsidR="008E1A01">
        <w:rPr>
          <w:color w:val="1F497D" w:themeColor="text2"/>
        </w:rPr>
        <w:t xml:space="preserve">As </w:t>
      </w:r>
      <w:r>
        <w:rPr>
          <w:color w:val="1F497D" w:themeColor="text2"/>
        </w:rPr>
        <w:t>can be seen</w:t>
      </w:r>
      <w:r w:rsidR="008E1A01">
        <w:rPr>
          <w:color w:val="1F497D" w:themeColor="text2"/>
        </w:rPr>
        <w:t xml:space="preserve"> in the summary</w:t>
      </w:r>
      <w:r w:rsidR="00483F1E">
        <w:rPr>
          <w:color w:val="1F497D" w:themeColor="text2"/>
        </w:rPr>
        <w:t>, the new frame institutions</w:t>
      </w:r>
      <w:r w:rsidR="00594EC3">
        <w:rPr>
          <w:color w:val="1F497D" w:themeColor="text2"/>
        </w:rPr>
        <w:t xml:space="preserve"> </w:t>
      </w:r>
      <w:r w:rsidR="00483F1E">
        <w:rPr>
          <w:color w:val="1F497D" w:themeColor="text2"/>
        </w:rPr>
        <w:t xml:space="preserve">are significantly different </w:t>
      </w:r>
      <w:r w:rsidR="00E97C11">
        <w:rPr>
          <w:color w:val="1F497D" w:themeColor="text2"/>
        </w:rPr>
        <w:t xml:space="preserve">on </w:t>
      </w:r>
      <w:r w:rsidR="00336C75">
        <w:rPr>
          <w:color w:val="1F497D" w:themeColor="text2"/>
        </w:rPr>
        <w:t xml:space="preserve">several </w:t>
      </w:r>
      <w:r w:rsidR="00E97C11">
        <w:rPr>
          <w:color w:val="1F497D" w:themeColor="text2"/>
        </w:rPr>
        <w:t>key data items</w:t>
      </w:r>
      <w:r>
        <w:rPr>
          <w:color w:val="1F497D" w:themeColor="text2"/>
        </w:rPr>
        <w:t xml:space="preserve"> than </w:t>
      </w:r>
      <w:r w:rsidR="00483F1E">
        <w:rPr>
          <w:color w:val="1F497D" w:themeColor="text2"/>
        </w:rPr>
        <w:t xml:space="preserve">the core institutions that </w:t>
      </w:r>
      <w:r>
        <w:rPr>
          <w:color w:val="1F497D" w:themeColor="text2"/>
        </w:rPr>
        <w:t>form the</w:t>
      </w:r>
      <w:r w:rsidR="00483F1E">
        <w:rPr>
          <w:color w:val="1F497D" w:themeColor="text2"/>
        </w:rPr>
        <w:t xml:space="preserve"> basis of </w:t>
      </w:r>
      <w:r>
        <w:rPr>
          <w:color w:val="1F497D" w:themeColor="text2"/>
        </w:rPr>
        <w:t>30 years of</w:t>
      </w:r>
      <w:r w:rsidR="00483F1E">
        <w:rPr>
          <w:color w:val="1F497D" w:themeColor="text2"/>
        </w:rPr>
        <w:t xml:space="preserve"> GSS </w:t>
      </w:r>
      <w:r w:rsidR="00594EC3">
        <w:rPr>
          <w:color w:val="1F497D" w:themeColor="text2"/>
        </w:rPr>
        <w:t>trend data</w:t>
      </w:r>
      <w:r>
        <w:rPr>
          <w:color w:val="1F497D" w:themeColor="text2"/>
        </w:rPr>
        <w:t>.  Also, some of the new schools that were initially deemed eligible in 2011 were subsequently verified to be ineligible.</w:t>
      </w:r>
    </w:p>
    <w:p w:rsidR="00B044A0" w:rsidRDefault="00B044A0" w:rsidP="00056E4E">
      <w:pPr>
        <w:tabs>
          <w:tab w:val="left" w:pos="9810"/>
        </w:tabs>
        <w:ind w:left="720" w:right="450"/>
        <w:rPr>
          <w:color w:val="1F497D" w:themeColor="text2"/>
        </w:rPr>
      </w:pPr>
    </w:p>
    <w:p w:rsidR="00E021AE" w:rsidRDefault="00397DD7" w:rsidP="00056E4E">
      <w:pPr>
        <w:tabs>
          <w:tab w:val="left" w:pos="9810"/>
        </w:tabs>
        <w:ind w:left="720" w:right="450"/>
        <w:rPr>
          <w:color w:val="1F497D" w:themeColor="text2"/>
        </w:rPr>
      </w:pPr>
      <w:r>
        <w:rPr>
          <w:color w:val="1F497D" w:themeColor="text2"/>
        </w:rPr>
        <w:t xml:space="preserve">Based on </w:t>
      </w:r>
      <w:r w:rsidR="00B044A0">
        <w:rPr>
          <w:color w:val="1F497D" w:themeColor="text2"/>
        </w:rPr>
        <w:t xml:space="preserve">the assessment </w:t>
      </w:r>
      <w:r>
        <w:rPr>
          <w:color w:val="1F497D" w:themeColor="text2"/>
        </w:rPr>
        <w:t>over the last 3 years</w:t>
      </w:r>
      <w:r w:rsidR="00E021AE">
        <w:rPr>
          <w:color w:val="1F497D" w:themeColor="text2"/>
        </w:rPr>
        <w:t xml:space="preserve"> and </w:t>
      </w:r>
      <w:r w:rsidR="00336C75">
        <w:rPr>
          <w:color w:val="1F497D" w:themeColor="text2"/>
        </w:rPr>
        <w:t xml:space="preserve">on the </w:t>
      </w:r>
      <w:r w:rsidR="00E021AE">
        <w:rPr>
          <w:color w:val="1F497D" w:themeColor="text2"/>
        </w:rPr>
        <w:t>impact study</w:t>
      </w:r>
      <w:r>
        <w:rPr>
          <w:color w:val="1F497D" w:themeColor="text2"/>
        </w:rPr>
        <w:t xml:space="preserve">, </w:t>
      </w:r>
      <w:r w:rsidR="00E530D7">
        <w:rPr>
          <w:color w:val="1F497D" w:themeColor="text2"/>
        </w:rPr>
        <w:t xml:space="preserve">we </w:t>
      </w:r>
      <w:r w:rsidR="00336C75">
        <w:rPr>
          <w:color w:val="1F497D" w:themeColor="text2"/>
        </w:rPr>
        <w:t xml:space="preserve">are </w:t>
      </w:r>
      <w:r w:rsidR="00B044A0">
        <w:rPr>
          <w:color w:val="1F497D" w:themeColor="text2"/>
        </w:rPr>
        <w:t>now poised</w:t>
      </w:r>
      <w:r w:rsidR="00E021AE">
        <w:rPr>
          <w:color w:val="1F497D" w:themeColor="text2"/>
        </w:rPr>
        <w:t xml:space="preserve"> to</w:t>
      </w:r>
      <w:r w:rsidR="00483F1E">
        <w:rPr>
          <w:color w:val="1F497D" w:themeColor="text2"/>
        </w:rPr>
        <w:t xml:space="preserve"> inc</w:t>
      </w:r>
      <w:r w:rsidR="00B044A0">
        <w:rPr>
          <w:color w:val="1F497D" w:themeColor="text2"/>
        </w:rPr>
        <w:t>orporate</w:t>
      </w:r>
      <w:r w:rsidR="00483F1E">
        <w:rPr>
          <w:color w:val="1F497D" w:themeColor="text2"/>
        </w:rPr>
        <w:t xml:space="preserve"> </w:t>
      </w:r>
      <w:r w:rsidR="00E530D7">
        <w:rPr>
          <w:color w:val="1F497D" w:themeColor="text2"/>
        </w:rPr>
        <w:t xml:space="preserve">data from the new </w:t>
      </w:r>
      <w:r>
        <w:rPr>
          <w:color w:val="1F497D" w:themeColor="text2"/>
        </w:rPr>
        <w:t>institutions</w:t>
      </w:r>
      <w:r w:rsidR="00B044A0">
        <w:rPr>
          <w:color w:val="1F497D" w:themeColor="text2"/>
        </w:rPr>
        <w:t xml:space="preserve">. Thus any new institutions meeting the </w:t>
      </w:r>
      <w:r w:rsidR="00483F1E">
        <w:rPr>
          <w:color w:val="1F497D" w:themeColor="text2"/>
        </w:rPr>
        <w:t>eligib</w:t>
      </w:r>
      <w:r w:rsidR="00B044A0">
        <w:rPr>
          <w:color w:val="1F497D" w:themeColor="text2"/>
        </w:rPr>
        <w:t xml:space="preserve">ility requirements in </w:t>
      </w:r>
      <w:r w:rsidR="00483F1E">
        <w:rPr>
          <w:color w:val="1F497D" w:themeColor="text2"/>
        </w:rPr>
        <w:t xml:space="preserve">the 2014 cycle </w:t>
      </w:r>
      <w:r w:rsidR="00B044A0">
        <w:rPr>
          <w:color w:val="1F497D" w:themeColor="text2"/>
        </w:rPr>
        <w:t xml:space="preserve">will be included </w:t>
      </w:r>
      <w:r w:rsidR="00483F1E">
        <w:rPr>
          <w:color w:val="1F497D" w:themeColor="text2"/>
        </w:rPr>
        <w:t xml:space="preserve">in </w:t>
      </w:r>
      <w:r w:rsidR="00E530D7">
        <w:rPr>
          <w:color w:val="1F497D" w:themeColor="text2"/>
        </w:rPr>
        <w:t>the final</w:t>
      </w:r>
      <w:r>
        <w:rPr>
          <w:color w:val="1F497D" w:themeColor="text2"/>
        </w:rPr>
        <w:t xml:space="preserve"> </w:t>
      </w:r>
      <w:r w:rsidR="00483F1E">
        <w:rPr>
          <w:color w:val="1F497D" w:themeColor="text2"/>
        </w:rPr>
        <w:t>2014</w:t>
      </w:r>
      <w:r w:rsidR="00E530D7">
        <w:rPr>
          <w:color w:val="1F497D" w:themeColor="text2"/>
        </w:rPr>
        <w:t xml:space="preserve"> data products. </w:t>
      </w:r>
      <w:r w:rsidR="00483F1E">
        <w:rPr>
          <w:color w:val="1F497D" w:themeColor="text2"/>
        </w:rPr>
        <w:t xml:space="preserve">We will highlight the addition of these </w:t>
      </w:r>
      <w:r w:rsidR="00111070">
        <w:rPr>
          <w:color w:val="1F497D" w:themeColor="text2"/>
        </w:rPr>
        <w:t xml:space="preserve">new frame </w:t>
      </w:r>
      <w:r w:rsidR="00483F1E">
        <w:rPr>
          <w:color w:val="1F497D" w:themeColor="text2"/>
        </w:rPr>
        <w:t>institution</w:t>
      </w:r>
      <w:r w:rsidR="00111070">
        <w:rPr>
          <w:color w:val="1F497D" w:themeColor="text2"/>
        </w:rPr>
        <w:t>s</w:t>
      </w:r>
      <w:r w:rsidR="00483F1E">
        <w:rPr>
          <w:color w:val="1F497D" w:themeColor="text2"/>
        </w:rPr>
        <w:t xml:space="preserve"> </w:t>
      </w:r>
      <w:r w:rsidR="00B044A0">
        <w:rPr>
          <w:color w:val="1F497D" w:themeColor="text2"/>
        </w:rPr>
        <w:t>and their impact on</w:t>
      </w:r>
      <w:r w:rsidR="00E021AE">
        <w:rPr>
          <w:color w:val="1F497D" w:themeColor="text2"/>
        </w:rPr>
        <w:t xml:space="preserve"> GSS trends</w:t>
      </w:r>
      <w:r w:rsidR="00336C75">
        <w:rPr>
          <w:color w:val="1F497D" w:themeColor="text2"/>
        </w:rPr>
        <w:t>.  The data and information will be available on the NCSES website</w:t>
      </w:r>
      <w:r w:rsidR="00E021AE">
        <w:rPr>
          <w:color w:val="1F497D" w:themeColor="text2"/>
        </w:rPr>
        <w:t xml:space="preserve"> </w:t>
      </w:r>
      <w:r w:rsidR="00336C75">
        <w:rPr>
          <w:color w:val="1F497D" w:themeColor="text2"/>
        </w:rPr>
        <w:t xml:space="preserve">at: </w:t>
      </w:r>
      <w:hyperlink r:id="rId6" w:history="1">
        <w:r w:rsidR="00336C75" w:rsidRPr="007B501A">
          <w:rPr>
            <w:rStyle w:val="Hyperlink"/>
          </w:rPr>
          <w:t>http://www.nsf.gov/statistics/srvygradpostdoc/</w:t>
        </w:r>
      </w:hyperlink>
      <w:r w:rsidR="00336C75">
        <w:rPr>
          <w:color w:val="1F497D" w:themeColor="text2"/>
        </w:rPr>
        <w:t xml:space="preserve">. </w:t>
      </w:r>
      <w:r w:rsidR="00E021AE">
        <w:rPr>
          <w:color w:val="1F497D" w:themeColor="text2"/>
        </w:rPr>
        <w:t xml:space="preserve">  </w:t>
      </w:r>
    </w:p>
    <w:p w:rsidR="00056E4E" w:rsidRDefault="00056E4E" w:rsidP="00056E4E">
      <w:pPr>
        <w:tabs>
          <w:tab w:val="left" w:pos="9810"/>
        </w:tabs>
        <w:ind w:left="720" w:right="450"/>
        <w:rPr>
          <w:color w:val="1F497D" w:themeColor="text2"/>
        </w:rPr>
      </w:pPr>
    </w:p>
    <w:p w:rsidR="00E021AE" w:rsidRDefault="00E021AE" w:rsidP="00056E4E">
      <w:pPr>
        <w:tabs>
          <w:tab w:val="left" w:pos="9810"/>
        </w:tabs>
        <w:ind w:left="720" w:right="450"/>
        <w:rPr>
          <w:color w:val="1F497D" w:themeColor="text2"/>
        </w:rPr>
      </w:pPr>
    </w:p>
    <w:p w:rsidR="00902B3F" w:rsidRPr="00B8350F" w:rsidRDefault="00E021AE" w:rsidP="00056E4E">
      <w:pPr>
        <w:tabs>
          <w:tab w:val="left" w:pos="9810"/>
        </w:tabs>
        <w:ind w:left="720" w:right="450" w:hanging="360"/>
        <w:rPr>
          <w:b/>
        </w:rPr>
      </w:pPr>
      <w:r w:rsidRPr="00B8350F">
        <w:rPr>
          <w:b/>
        </w:rPr>
        <w:t>Q2:</w:t>
      </w:r>
      <w:r w:rsidR="00B8350F">
        <w:rPr>
          <w:b/>
        </w:rPr>
        <w:tab/>
      </w:r>
      <w:r w:rsidR="00902B3F" w:rsidRPr="00B8350F">
        <w:rPr>
          <w:b/>
        </w:rPr>
        <w:t>Is NCSES committed to publishing those results in each of the 2014-2016 rounds of data collection?</w:t>
      </w:r>
    </w:p>
    <w:p w:rsidR="00902B3F" w:rsidRDefault="00902B3F" w:rsidP="00056E4E">
      <w:pPr>
        <w:pStyle w:val="ListParagraph"/>
        <w:tabs>
          <w:tab w:val="left" w:pos="9810"/>
        </w:tabs>
        <w:ind w:right="450"/>
      </w:pPr>
    </w:p>
    <w:p w:rsidR="00902B3F" w:rsidRDefault="00E021AE" w:rsidP="00056E4E">
      <w:pPr>
        <w:tabs>
          <w:tab w:val="left" w:pos="9810"/>
        </w:tabs>
        <w:ind w:left="720" w:right="450" w:hanging="360"/>
      </w:pPr>
      <w:r w:rsidRPr="00056E4E">
        <w:rPr>
          <w:b/>
          <w:color w:val="1F497D" w:themeColor="text2"/>
        </w:rPr>
        <w:t>A2:</w:t>
      </w:r>
      <w:r w:rsidRPr="00056E4E">
        <w:rPr>
          <w:b/>
          <w:color w:val="1F497D" w:themeColor="text2"/>
        </w:rPr>
        <w:tab/>
      </w:r>
      <w:r w:rsidR="00902B3F" w:rsidRPr="000F6FAF">
        <w:rPr>
          <w:color w:val="1F497D" w:themeColor="text2"/>
        </w:rPr>
        <w:t xml:space="preserve">Yes, </w:t>
      </w:r>
      <w:r>
        <w:rPr>
          <w:color w:val="1F497D" w:themeColor="text2"/>
        </w:rPr>
        <w:t xml:space="preserve">as aforementioned, </w:t>
      </w:r>
      <w:r w:rsidR="00902B3F" w:rsidRPr="000F6FAF">
        <w:rPr>
          <w:color w:val="1F497D" w:themeColor="text2"/>
        </w:rPr>
        <w:t xml:space="preserve">NCSES is committed to publishing the data </w:t>
      </w:r>
      <w:r w:rsidR="00DC661C">
        <w:rPr>
          <w:color w:val="1F497D" w:themeColor="text2"/>
        </w:rPr>
        <w:t xml:space="preserve">collected </w:t>
      </w:r>
      <w:r w:rsidR="00902B3F" w:rsidRPr="000F6FAF">
        <w:rPr>
          <w:color w:val="1F497D" w:themeColor="text2"/>
        </w:rPr>
        <w:t xml:space="preserve">from all </w:t>
      </w:r>
      <w:r w:rsidR="00DC661C">
        <w:rPr>
          <w:color w:val="1F497D" w:themeColor="text2"/>
        </w:rPr>
        <w:t>eligible</w:t>
      </w:r>
      <w:r w:rsidR="00902B3F" w:rsidRPr="000F6FAF">
        <w:rPr>
          <w:color w:val="1F497D" w:themeColor="text2"/>
        </w:rPr>
        <w:t xml:space="preserve"> GSS institutions</w:t>
      </w:r>
      <w:r w:rsidR="000F18AA">
        <w:rPr>
          <w:color w:val="1F497D" w:themeColor="text2"/>
        </w:rPr>
        <w:t xml:space="preserve">, including </w:t>
      </w:r>
      <w:r w:rsidR="00DC661C">
        <w:rPr>
          <w:color w:val="1F497D" w:themeColor="text2"/>
        </w:rPr>
        <w:t>those</w:t>
      </w:r>
      <w:r w:rsidR="000F18AA">
        <w:rPr>
          <w:color w:val="1F497D" w:themeColor="text2"/>
        </w:rPr>
        <w:t xml:space="preserve"> from the new institutions</w:t>
      </w:r>
      <w:r w:rsidR="00DC661C">
        <w:rPr>
          <w:color w:val="1F497D" w:themeColor="text2"/>
        </w:rPr>
        <w:t xml:space="preserve"> after</w:t>
      </w:r>
      <w:r w:rsidR="00B4205E">
        <w:rPr>
          <w:color w:val="1F497D" w:themeColor="text2"/>
        </w:rPr>
        <w:t xml:space="preserve"> </w:t>
      </w:r>
      <w:r w:rsidR="00902B3F" w:rsidRPr="000F6FAF">
        <w:rPr>
          <w:color w:val="1F497D" w:themeColor="text2"/>
        </w:rPr>
        <w:t>each of the 2014-1</w:t>
      </w:r>
      <w:r w:rsidR="00D83A2C">
        <w:rPr>
          <w:color w:val="1F497D" w:themeColor="text2"/>
        </w:rPr>
        <w:t>6</w:t>
      </w:r>
      <w:r w:rsidR="00902B3F" w:rsidRPr="000F6FAF">
        <w:rPr>
          <w:color w:val="1F497D" w:themeColor="text2"/>
        </w:rPr>
        <w:t xml:space="preserve"> cycles.  </w:t>
      </w:r>
    </w:p>
    <w:p w:rsidR="00FF3371" w:rsidRDefault="00FF3371" w:rsidP="00056E4E">
      <w:pPr>
        <w:tabs>
          <w:tab w:val="left" w:pos="9810"/>
        </w:tabs>
        <w:ind w:left="360" w:right="450"/>
      </w:pPr>
    </w:p>
    <w:p w:rsidR="00056E4E" w:rsidRDefault="00056E4E" w:rsidP="00056E4E">
      <w:pPr>
        <w:tabs>
          <w:tab w:val="left" w:pos="9810"/>
        </w:tabs>
        <w:ind w:left="360" w:right="450"/>
      </w:pPr>
    </w:p>
    <w:p w:rsidR="00902B3F" w:rsidRPr="00B8350F" w:rsidRDefault="00E021AE" w:rsidP="00056E4E">
      <w:pPr>
        <w:tabs>
          <w:tab w:val="left" w:pos="9810"/>
        </w:tabs>
        <w:ind w:left="720" w:right="450" w:hanging="360"/>
        <w:rPr>
          <w:b/>
        </w:rPr>
      </w:pPr>
      <w:r w:rsidRPr="00B8350F">
        <w:rPr>
          <w:b/>
        </w:rPr>
        <w:t>Q3:</w:t>
      </w:r>
      <w:r w:rsidRPr="00B8350F">
        <w:rPr>
          <w:b/>
        </w:rPr>
        <w:tab/>
      </w:r>
      <w:r w:rsidR="00902B3F" w:rsidRPr="00B8350F">
        <w:rPr>
          <w:b/>
        </w:rPr>
        <w:t>The project schedule indicates that the Info Brief and detailed data tables will be released at the end</w:t>
      </w:r>
      <w:r w:rsidR="00E530D7" w:rsidRPr="00B8350F">
        <w:rPr>
          <w:b/>
        </w:rPr>
        <w:t xml:space="preserve"> of the year, as in the past.  </w:t>
      </w:r>
      <w:r w:rsidR="00902B3F" w:rsidRPr="00B8350F">
        <w:rPr>
          <w:b/>
        </w:rPr>
        <w:t>Does NCSES commit to those releases including the newly eligible institution data and also the NFRs (p 26)?</w:t>
      </w:r>
    </w:p>
    <w:p w:rsidR="000654D8" w:rsidRDefault="000654D8" w:rsidP="00056E4E">
      <w:pPr>
        <w:pStyle w:val="ListParagraph"/>
        <w:tabs>
          <w:tab w:val="left" w:pos="9810"/>
        </w:tabs>
        <w:ind w:right="450"/>
        <w:rPr>
          <w:color w:val="1F497D" w:themeColor="text2"/>
        </w:rPr>
      </w:pPr>
    </w:p>
    <w:p w:rsidR="00A25836" w:rsidRDefault="00E021AE" w:rsidP="00056E4E">
      <w:pPr>
        <w:tabs>
          <w:tab w:val="left" w:pos="9810"/>
        </w:tabs>
        <w:ind w:left="720" w:right="450" w:hanging="360"/>
        <w:rPr>
          <w:color w:val="244061" w:themeColor="accent1" w:themeShade="80"/>
          <w:szCs w:val="24"/>
        </w:rPr>
      </w:pPr>
      <w:r w:rsidRPr="00056E4E">
        <w:rPr>
          <w:b/>
          <w:color w:val="244061" w:themeColor="accent1" w:themeShade="80"/>
        </w:rPr>
        <w:t>A3:</w:t>
      </w:r>
      <w:r w:rsidRPr="00B8350F">
        <w:rPr>
          <w:color w:val="244061" w:themeColor="accent1" w:themeShade="80"/>
        </w:rPr>
        <w:tab/>
      </w:r>
      <w:r w:rsidR="000654D8" w:rsidRPr="00B8350F">
        <w:rPr>
          <w:color w:val="244061" w:themeColor="accent1" w:themeShade="80"/>
        </w:rPr>
        <w:t xml:space="preserve">Yes, </w:t>
      </w:r>
      <w:r w:rsidR="00DC661C">
        <w:rPr>
          <w:color w:val="244061" w:themeColor="accent1" w:themeShade="80"/>
        </w:rPr>
        <w:t>we plan to publish the</w:t>
      </w:r>
      <w:r w:rsidR="00CC57FF">
        <w:rPr>
          <w:color w:val="244061" w:themeColor="accent1" w:themeShade="80"/>
        </w:rPr>
        <w:t xml:space="preserve"> 2014 GSS</w:t>
      </w:r>
      <w:r w:rsidR="00DC661C">
        <w:rPr>
          <w:color w:val="244061" w:themeColor="accent1" w:themeShade="80"/>
        </w:rPr>
        <w:t xml:space="preserve"> Info Brief by December 2015, followed by the detailed data tables shortly after release of </w:t>
      </w:r>
      <w:r w:rsidR="000654D8" w:rsidRPr="00B8350F">
        <w:rPr>
          <w:color w:val="244061" w:themeColor="accent1" w:themeShade="80"/>
        </w:rPr>
        <w:t xml:space="preserve">the </w:t>
      </w:r>
      <w:r w:rsidR="00DC661C">
        <w:rPr>
          <w:color w:val="244061" w:themeColor="accent1" w:themeShade="80"/>
        </w:rPr>
        <w:t xml:space="preserve">Info Brief.  </w:t>
      </w:r>
      <w:r w:rsidR="00D83A2C" w:rsidRPr="00B8350F">
        <w:rPr>
          <w:color w:val="244061" w:themeColor="accent1" w:themeShade="80"/>
          <w:szCs w:val="24"/>
        </w:rPr>
        <w:t>O</w:t>
      </w:r>
      <w:r w:rsidR="000F18AA" w:rsidRPr="00B8350F">
        <w:rPr>
          <w:color w:val="244061" w:themeColor="accent1" w:themeShade="80"/>
          <w:szCs w:val="24"/>
        </w:rPr>
        <w:t xml:space="preserve">nce OMB clearance is received, the 2014 GSS data collection will begin with the Part 1 data submission due date of </w:t>
      </w:r>
      <w:r w:rsidR="00C544E3" w:rsidRPr="00B8350F">
        <w:rPr>
          <w:color w:val="244061" w:themeColor="accent1" w:themeShade="80"/>
          <w:szCs w:val="24"/>
        </w:rPr>
        <w:t>December 1, 2014</w:t>
      </w:r>
      <w:r w:rsidR="000F18AA" w:rsidRPr="00B8350F">
        <w:rPr>
          <w:color w:val="244061" w:themeColor="accent1" w:themeShade="80"/>
          <w:szCs w:val="24"/>
        </w:rPr>
        <w:t>, followed by the Part 2 data</w:t>
      </w:r>
      <w:r w:rsidR="00056E4E">
        <w:rPr>
          <w:color w:val="244061" w:themeColor="accent1" w:themeShade="80"/>
          <w:szCs w:val="24"/>
        </w:rPr>
        <w:t xml:space="preserve"> </w:t>
      </w:r>
      <w:r w:rsidR="000F18AA" w:rsidRPr="00B8350F">
        <w:rPr>
          <w:color w:val="244061" w:themeColor="accent1" w:themeShade="80"/>
          <w:szCs w:val="24"/>
        </w:rPr>
        <w:t xml:space="preserve">submission due date of </w:t>
      </w:r>
      <w:r w:rsidR="00C544E3" w:rsidRPr="00B8350F">
        <w:rPr>
          <w:color w:val="244061" w:themeColor="accent1" w:themeShade="80"/>
          <w:szCs w:val="24"/>
        </w:rPr>
        <w:t xml:space="preserve">February </w:t>
      </w:r>
      <w:r w:rsidR="000F18AA" w:rsidRPr="00B8350F">
        <w:rPr>
          <w:color w:val="244061" w:themeColor="accent1" w:themeShade="80"/>
          <w:szCs w:val="24"/>
        </w:rPr>
        <w:t>28</w:t>
      </w:r>
      <w:r w:rsidR="00C544E3" w:rsidRPr="00B8350F">
        <w:rPr>
          <w:color w:val="244061" w:themeColor="accent1" w:themeShade="80"/>
          <w:szCs w:val="24"/>
        </w:rPr>
        <w:t xml:space="preserve">, </w:t>
      </w:r>
      <w:r w:rsidR="000F18AA" w:rsidRPr="00B8350F">
        <w:rPr>
          <w:color w:val="244061" w:themeColor="accent1" w:themeShade="80"/>
          <w:szCs w:val="24"/>
        </w:rPr>
        <w:t>2015.  The final data closeout take</w:t>
      </w:r>
      <w:r w:rsidR="00C544E3" w:rsidRPr="00B8350F">
        <w:rPr>
          <w:color w:val="244061" w:themeColor="accent1" w:themeShade="80"/>
          <w:szCs w:val="24"/>
        </w:rPr>
        <w:t>s</w:t>
      </w:r>
      <w:r w:rsidR="000F18AA" w:rsidRPr="00B8350F">
        <w:rPr>
          <w:color w:val="244061" w:themeColor="accent1" w:themeShade="80"/>
          <w:szCs w:val="24"/>
        </w:rPr>
        <w:t xml:space="preserve"> place </w:t>
      </w:r>
      <w:r w:rsidR="00C544E3" w:rsidRPr="00B8350F">
        <w:rPr>
          <w:color w:val="244061" w:themeColor="accent1" w:themeShade="80"/>
          <w:szCs w:val="24"/>
        </w:rPr>
        <w:t xml:space="preserve">on April </w:t>
      </w:r>
      <w:r w:rsidR="000F18AA" w:rsidRPr="00B8350F">
        <w:rPr>
          <w:color w:val="244061" w:themeColor="accent1" w:themeShade="80"/>
          <w:szCs w:val="24"/>
        </w:rPr>
        <w:t>30</w:t>
      </w:r>
      <w:r w:rsidR="00C544E3" w:rsidRPr="00B8350F">
        <w:rPr>
          <w:color w:val="244061" w:themeColor="accent1" w:themeShade="80"/>
          <w:szCs w:val="24"/>
        </w:rPr>
        <w:t>,</w:t>
      </w:r>
      <w:r w:rsidR="00DC661C">
        <w:rPr>
          <w:color w:val="244061" w:themeColor="accent1" w:themeShade="80"/>
          <w:szCs w:val="24"/>
        </w:rPr>
        <w:t xml:space="preserve"> </w:t>
      </w:r>
      <w:r w:rsidR="000F18AA" w:rsidRPr="00B8350F">
        <w:rPr>
          <w:color w:val="244061" w:themeColor="accent1" w:themeShade="80"/>
          <w:szCs w:val="24"/>
        </w:rPr>
        <w:t xml:space="preserve">2015. </w:t>
      </w:r>
      <w:r w:rsidR="00DC661C">
        <w:rPr>
          <w:color w:val="244061" w:themeColor="accent1" w:themeShade="80"/>
          <w:szCs w:val="24"/>
        </w:rPr>
        <w:t xml:space="preserve"> </w:t>
      </w:r>
    </w:p>
    <w:p w:rsidR="004A1728" w:rsidRDefault="004A1728" w:rsidP="00C9403A">
      <w:pPr>
        <w:tabs>
          <w:tab w:val="left" w:pos="9810"/>
        </w:tabs>
        <w:ind w:right="450"/>
        <w:rPr>
          <w:color w:val="244061" w:themeColor="accent1" w:themeShade="80"/>
          <w:szCs w:val="24"/>
        </w:rPr>
      </w:pPr>
    </w:p>
    <w:p w:rsidR="00DC661C" w:rsidRDefault="004A1728" w:rsidP="00056E4E">
      <w:pPr>
        <w:tabs>
          <w:tab w:val="left" w:pos="9810"/>
        </w:tabs>
        <w:ind w:left="720" w:right="450" w:hanging="360"/>
        <w:rPr>
          <w:color w:val="1F497D" w:themeColor="text2"/>
        </w:rPr>
      </w:pPr>
      <w:r>
        <w:rPr>
          <w:color w:val="244061" w:themeColor="accent1" w:themeShade="80"/>
          <w:szCs w:val="24"/>
        </w:rPr>
        <w:lastRenderedPageBreak/>
        <w:tab/>
      </w:r>
      <w:r w:rsidR="00DC661C">
        <w:rPr>
          <w:color w:val="244061" w:themeColor="accent1" w:themeShade="80"/>
          <w:szCs w:val="24"/>
        </w:rPr>
        <w:t>When</w:t>
      </w:r>
      <w:r w:rsidR="000F18AA" w:rsidRPr="00B8350F">
        <w:rPr>
          <w:color w:val="244061" w:themeColor="accent1" w:themeShade="80"/>
          <w:szCs w:val="24"/>
        </w:rPr>
        <w:t xml:space="preserve"> data editing and imputation steps are complete and the data file becomes available in July</w:t>
      </w:r>
      <w:r w:rsidR="00C544E3" w:rsidRPr="00B8350F">
        <w:rPr>
          <w:color w:val="244061" w:themeColor="accent1" w:themeShade="80"/>
          <w:szCs w:val="24"/>
        </w:rPr>
        <w:t xml:space="preserve"> 2015</w:t>
      </w:r>
      <w:r w:rsidR="000F18AA" w:rsidRPr="00B8350F">
        <w:rPr>
          <w:color w:val="244061" w:themeColor="accent1" w:themeShade="80"/>
          <w:szCs w:val="24"/>
        </w:rPr>
        <w:t xml:space="preserve">, we </w:t>
      </w:r>
      <w:r w:rsidR="00DC661C">
        <w:rPr>
          <w:color w:val="244061" w:themeColor="accent1" w:themeShade="80"/>
          <w:szCs w:val="24"/>
        </w:rPr>
        <w:t>will draft the</w:t>
      </w:r>
      <w:r w:rsidR="000F18AA" w:rsidRPr="00B8350F">
        <w:rPr>
          <w:color w:val="244061" w:themeColor="accent1" w:themeShade="80"/>
          <w:szCs w:val="24"/>
        </w:rPr>
        <w:t xml:space="preserve"> data release </w:t>
      </w:r>
      <w:r w:rsidR="000F18AA" w:rsidRPr="00B8350F">
        <w:rPr>
          <w:iCs/>
          <w:color w:val="244061" w:themeColor="accent1" w:themeShade="80"/>
          <w:szCs w:val="24"/>
        </w:rPr>
        <w:t xml:space="preserve">InfoBrief.  </w:t>
      </w:r>
      <w:r w:rsidR="00DC661C">
        <w:rPr>
          <w:iCs/>
          <w:color w:val="365F91" w:themeColor="accent1" w:themeShade="BF"/>
          <w:szCs w:val="24"/>
        </w:rPr>
        <w:t xml:space="preserve">The </w:t>
      </w:r>
      <w:r w:rsidR="00DC661C" w:rsidRPr="000F6FAF">
        <w:rPr>
          <w:i/>
          <w:iCs/>
          <w:color w:val="1F497D" w:themeColor="text2"/>
        </w:rPr>
        <w:t>Graduate Students and Postdoctorates in Science and Engineering: Fall 2014</w:t>
      </w:r>
      <w:r w:rsidR="00DC661C" w:rsidRPr="000F6FAF">
        <w:rPr>
          <w:color w:val="1F497D" w:themeColor="text2"/>
        </w:rPr>
        <w:t xml:space="preserve"> report will include data from all institutions</w:t>
      </w:r>
      <w:r w:rsidR="00887CA8">
        <w:rPr>
          <w:color w:val="1F497D" w:themeColor="text2"/>
        </w:rPr>
        <w:t xml:space="preserve">, including </w:t>
      </w:r>
      <w:r w:rsidR="00DC661C">
        <w:rPr>
          <w:color w:val="1F497D" w:themeColor="text2"/>
        </w:rPr>
        <w:t>the NFR data.</w:t>
      </w:r>
    </w:p>
    <w:p w:rsidR="000F18AA" w:rsidRDefault="000F18AA" w:rsidP="00056E4E">
      <w:pPr>
        <w:tabs>
          <w:tab w:val="left" w:pos="9810"/>
        </w:tabs>
        <w:ind w:left="720" w:right="450"/>
      </w:pPr>
    </w:p>
    <w:p w:rsidR="00056E4E" w:rsidRDefault="00056E4E" w:rsidP="00056E4E">
      <w:pPr>
        <w:tabs>
          <w:tab w:val="left" w:pos="9810"/>
        </w:tabs>
        <w:ind w:left="720" w:right="450"/>
      </w:pPr>
    </w:p>
    <w:p w:rsidR="00902B3F" w:rsidRPr="00B8350F" w:rsidRDefault="00E021AE" w:rsidP="00056E4E">
      <w:pPr>
        <w:tabs>
          <w:tab w:val="left" w:pos="9810"/>
        </w:tabs>
        <w:ind w:left="720" w:right="450" w:hanging="360"/>
        <w:rPr>
          <w:b/>
        </w:rPr>
      </w:pPr>
      <w:r w:rsidRPr="00B8350F">
        <w:rPr>
          <w:b/>
        </w:rPr>
        <w:t>Q4:</w:t>
      </w:r>
      <w:r w:rsidRPr="00B8350F">
        <w:rPr>
          <w:b/>
        </w:rPr>
        <w:tab/>
      </w:r>
      <w:r w:rsidR="00902B3F" w:rsidRPr="00B8350F">
        <w:rPr>
          <w:b/>
        </w:rPr>
        <w:t xml:space="preserve">If institutions report at what is essentially the department level, what is the purpose of the GSS code list?  </w:t>
      </w:r>
    </w:p>
    <w:p w:rsidR="000F6FAF" w:rsidRDefault="000F6FAF" w:rsidP="00056E4E">
      <w:pPr>
        <w:pStyle w:val="ListParagraph"/>
        <w:tabs>
          <w:tab w:val="left" w:pos="9810"/>
        </w:tabs>
        <w:ind w:right="450"/>
      </w:pPr>
    </w:p>
    <w:p w:rsidR="00261254" w:rsidRPr="00B8350F" w:rsidRDefault="00E021AE" w:rsidP="00056E4E">
      <w:pPr>
        <w:tabs>
          <w:tab w:val="left" w:pos="9810"/>
        </w:tabs>
        <w:ind w:left="720" w:right="450" w:hanging="360"/>
        <w:rPr>
          <w:color w:val="244061" w:themeColor="accent1" w:themeShade="80"/>
        </w:rPr>
      </w:pPr>
      <w:r w:rsidRPr="00056E4E">
        <w:rPr>
          <w:b/>
          <w:color w:val="244061" w:themeColor="accent1" w:themeShade="80"/>
        </w:rPr>
        <w:t>A4:</w:t>
      </w:r>
      <w:r w:rsidRPr="00056E4E">
        <w:rPr>
          <w:b/>
          <w:color w:val="244061" w:themeColor="accent1" w:themeShade="80"/>
        </w:rPr>
        <w:tab/>
      </w:r>
      <w:r w:rsidR="00B4205E" w:rsidRPr="00B8350F">
        <w:rPr>
          <w:color w:val="244061" w:themeColor="accent1" w:themeShade="80"/>
        </w:rPr>
        <w:t xml:space="preserve">The </w:t>
      </w:r>
      <w:r w:rsidR="003A5FBD" w:rsidRPr="00B8350F">
        <w:rPr>
          <w:color w:val="244061" w:themeColor="accent1" w:themeShade="80"/>
        </w:rPr>
        <w:t xml:space="preserve">GSS code list </w:t>
      </w:r>
      <w:r w:rsidR="00DC661C">
        <w:rPr>
          <w:color w:val="244061" w:themeColor="accent1" w:themeShade="80"/>
        </w:rPr>
        <w:t xml:space="preserve">is </w:t>
      </w:r>
      <w:r w:rsidR="003A5FBD" w:rsidRPr="00B8350F">
        <w:rPr>
          <w:color w:val="244061" w:themeColor="accent1" w:themeShade="80"/>
        </w:rPr>
        <w:t xml:space="preserve">important </w:t>
      </w:r>
      <w:r w:rsidR="00DC661C">
        <w:rPr>
          <w:color w:val="244061" w:themeColor="accent1" w:themeShade="80"/>
        </w:rPr>
        <w:t>for many reasons</w:t>
      </w:r>
      <w:r w:rsidR="00261254" w:rsidRPr="00B8350F">
        <w:rPr>
          <w:color w:val="244061" w:themeColor="accent1" w:themeShade="80"/>
        </w:rPr>
        <w:t xml:space="preserve">.  </w:t>
      </w:r>
      <w:r w:rsidR="00DC661C">
        <w:rPr>
          <w:color w:val="244061" w:themeColor="accent1" w:themeShade="80"/>
        </w:rPr>
        <w:t xml:space="preserve">The most important reason is its </w:t>
      </w:r>
      <w:r w:rsidR="00261254" w:rsidRPr="00B8350F">
        <w:rPr>
          <w:color w:val="244061" w:themeColor="accent1" w:themeShade="80"/>
        </w:rPr>
        <w:t xml:space="preserve">use to </w:t>
      </w:r>
      <w:r w:rsidR="00DC661C">
        <w:rPr>
          <w:color w:val="244061" w:themeColor="accent1" w:themeShade="80"/>
        </w:rPr>
        <w:t xml:space="preserve">establish </w:t>
      </w:r>
      <w:r w:rsidR="007129A4" w:rsidRPr="00B8350F">
        <w:rPr>
          <w:color w:val="244061" w:themeColor="accent1" w:themeShade="80"/>
        </w:rPr>
        <w:t xml:space="preserve">eligibility of the </w:t>
      </w:r>
      <w:r w:rsidR="00261254" w:rsidRPr="00B8350F">
        <w:rPr>
          <w:color w:val="244061" w:themeColor="accent1" w:themeShade="80"/>
        </w:rPr>
        <w:t>unit</w:t>
      </w:r>
      <w:r w:rsidR="007129A4" w:rsidRPr="00B8350F">
        <w:rPr>
          <w:color w:val="244061" w:themeColor="accent1" w:themeShade="80"/>
        </w:rPr>
        <w:t>s</w:t>
      </w:r>
      <w:r w:rsidR="00261254" w:rsidRPr="00B8350F">
        <w:rPr>
          <w:color w:val="244061" w:themeColor="accent1" w:themeShade="80"/>
        </w:rPr>
        <w:t xml:space="preserve"> </w:t>
      </w:r>
      <w:r w:rsidR="007129A4" w:rsidRPr="00B8350F">
        <w:rPr>
          <w:color w:val="244061" w:themeColor="accent1" w:themeShade="80"/>
        </w:rPr>
        <w:t xml:space="preserve">(departments, programs, research centers, or health care facilities) </w:t>
      </w:r>
      <w:r w:rsidR="00261254" w:rsidRPr="00B8350F">
        <w:rPr>
          <w:color w:val="244061" w:themeColor="accent1" w:themeShade="80"/>
        </w:rPr>
        <w:t xml:space="preserve">– if a unit does not fit within the fields listed in the GSS code list, it is </w:t>
      </w:r>
      <w:r w:rsidR="00B4205E" w:rsidRPr="00B8350F">
        <w:rPr>
          <w:color w:val="244061" w:themeColor="accent1" w:themeShade="80"/>
        </w:rPr>
        <w:t xml:space="preserve">not eligible </w:t>
      </w:r>
      <w:r w:rsidR="007129A4" w:rsidRPr="00B8350F">
        <w:rPr>
          <w:color w:val="244061" w:themeColor="accent1" w:themeShade="80"/>
        </w:rPr>
        <w:t>for the survey</w:t>
      </w:r>
      <w:r w:rsidR="00261254" w:rsidRPr="00B8350F">
        <w:rPr>
          <w:color w:val="244061" w:themeColor="accent1" w:themeShade="80"/>
        </w:rPr>
        <w:t xml:space="preserve">.  </w:t>
      </w:r>
    </w:p>
    <w:p w:rsidR="00261254" w:rsidRPr="00B8350F" w:rsidRDefault="00261254" w:rsidP="00056E4E">
      <w:pPr>
        <w:pStyle w:val="ListParagraph"/>
        <w:tabs>
          <w:tab w:val="left" w:pos="9810"/>
        </w:tabs>
        <w:ind w:right="450"/>
        <w:rPr>
          <w:color w:val="244061" w:themeColor="accent1" w:themeShade="80"/>
        </w:rPr>
      </w:pPr>
    </w:p>
    <w:p w:rsidR="000F6FAF" w:rsidRPr="00B8350F" w:rsidRDefault="00DC661C" w:rsidP="00056E4E">
      <w:pPr>
        <w:pStyle w:val="ListParagraph"/>
        <w:tabs>
          <w:tab w:val="left" w:pos="9810"/>
        </w:tabs>
        <w:ind w:right="450"/>
        <w:rPr>
          <w:color w:val="244061" w:themeColor="accent1" w:themeShade="80"/>
        </w:rPr>
      </w:pPr>
      <w:r>
        <w:rPr>
          <w:color w:val="244061" w:themeColor="accent1" w:themeShade="80"/>
        </w:rPr>
        <w:t>Additionally</w:t>
      </w:r>
      <w:r w:rsidR="00261254" w:rsidRPr="00B8350F">
        <w:rPr>
          <w:color w:val="244061" w:themeColor="accent1" w:themeShade="80"/>
        </w:rPr>
        <w:t xml:space="preserve">, the GSS code list </w:t>
      </w:r>
      <w:r w:rsidR="003A5FBD" w:rsidRPr="00B8350F">
        <w:rPr>
          <w:color w:val="244061" w:themeColor="accent1" w:themeShade="80"/>
        </w:rPr>
        <w:t xml:space="preserve">enables the comparison of similar units across institutions and across data collection cycles.  </w:t>
      </w:r>
      <w:r w:rsidR="00DF2720" w:rsidRPr="00B8350F">
        <w:rPr>
          <w:color w:val="244061" w:themeColor="accent1" w:themeShade="80"/>
        </w:rPr>
        <w:t xml:space="preserve">The GSS code list has been developed over the </w:t>
      </w:r>
      <w:r w:rsidR="00B4205E" w:rsidRPr="00B8350F">
        <w:rPr>
          <w:color w:val="244061" w:themeColor="accent1" w:themeShade="80"/>
        </w:rPr>
        <w:t xml:space="preserve">lifetime </w:t>
      </w:r>
      <w:r w:rsidR="00DF2720" w:rsidRPr="00B8350F">
        <w:rPr>
          <w:color w:val="244061" w:themeColor="accent1" w:themeShade="80"/>
        </w:rPr>
        <w:t xml:space="preserve">of the survey to meet the needs of </w:t>
      </w:r>
      <w:r w:rsidR="008B48C1" w:rsidRPr="00B8350F">
        <w:rPr>
          <w:color w:val="244061" w:themeColor="accent1" w:themeShade="80"/>
        </w:rPr>
        <w:t xml:space="preserve">NSF, NIH, and the GSS </w:t>
      </w:r>
      <w:r w:rsidR="00DF2720" w:rsidRPr="00B8350F">
        <w:rPr>
          <w:color w:val="244061" w:themeColor="accent1" w:themeShade="80"/>
        </w:rPr>
        <w:t xml:space="preserve">data users.  </w:t>
      </w:r>
    </w:p>
    <w:p w:rsidR="008B48C1" w:rsidRPr="00B8350F" w:rsidRDefault="008B48C1" w:rsidP="00056E4E">
      <w:pPr>
        <w:pStyle w:val="ListParagraph"/>
        <w:tabs>
          <w:tab w:val="left" w:pos="9810"/>
        </w:tabs>
        <w:ind w:right="450"/>
        <w:rPr>
          <w:color w:val="244061" w:themeColor="accent1" w:themeShade="80"/>
        </w:rPr>
      </w:pPr>
    </w:p>
    <w:p w:rsidR="008B48C1" w:rsidRPr="00B8350F" w:rsidRDefault="008B48C1" w:rsidP="00056E4E">
      <w:pPr>
        <w:pStyle w:val="ListParagraph"/>
        <w:tabs>
          <w:tab w:val="left" w:pos="9810"/>
        </w:tabs>
        <w:ind w:right="450"/>
        <w:rPr>
          <w:color w:val="244061" w:themeColor="accent1" w:themeShade="80"/>
        </w:rPr>
      </w:pPr>
      <w:r w:rsidRPr="00B8350F">
        <w:rPr>
          <w:color w:val="244061" w:themeColor="accent1" w:themeShade="80"/>
        </w:rPr>
        <w:t>Finally,</w:t>
      </w:r>
      <w:r w:rsidR="007129A4" w:rsidRPr="00B8350F">
        <w:rPr>
          <w:color w:val="244061" w:themeColor="accent1" w:themeShade="80"/>
        </w:rPr>
        <w:t xml:space="preserve"> </w:t>
      </w:r>
      <w:r w:rsidR="00E530D7" w:rsidRPr="00B8350F">
        <w:rPr>
          <w:color w:val="244061" w:themeColor="accent1" w:themeShade="80"/>
        </w:rPr>
        <w:t>while there</w:t>
      </w:r>
      <w:r w:rsidR="007129A4" w:rsidRPr="00B8350F">
        <w:rPr>
          <w:color w:val="244061" w:themeColor="accent1" w:themeShade="80"/>
        </w:rPr>
        <w:t xml:space="preserve"> are a</w:t>
      </w:r>
      <w:r w:rsidR="00E530D7" w:rsidRPr="00B8350F">
        <w:rPr>
          <w:color w:val="244061" w:themeColor="accent1" w:themeShade="80"/>
        </w:rPr>
        <w:t xml:space="preserve"> </w:t>
      </w:r>
      <w:r w:rsidR="007129A4" w:rsidRPr="00B8350F">
        <w:rPr>
          <w:color w:val="244061" w:themeColor="accent1" w:themeShade="80"/>
        </w:rPr>
        <w:t xml:space="preserve">fair number of </w:t>
      </w:r>
      <w:r w:rsidR="00E530D7" w:rsidRPr="00B8350F">
        <w:rPr>
          <w:color w:val="244061" w:themeColor="accent1" w:themeShade="80"/>
        </w:rPr>
        <w:t xml:space="preserve">departments </w:t>
      </w:r>
      <w:r w:rsidR="007129A4" w:rsidRPr="00B8350F">
        <w:rPr>
          <w:color w:val="244061" w:themeColor="accent1" w:themeShade="80"/>
        </w:rPr>
        <w:t>a</w:t>
      </w:r>
      <w:r w:rsidR="00E530D7" w:rsidRPr="00B8350F">
        <w:rPr>
          <w:color w:val="244061" w:themeColor="accent1" w:themeShade="80"/>
        </w:rPr>
        <w:t>t the same level as the GSS code</w:t>
      </w:r>
      <w:r w:rsidR="009B6145">
        <w:rPr>
          <w:color w:val="244061" w:themeColor="accent1" w:themeShade="80"/>
        </w:rPr>
        <w:t xml:space="preserve"> (e.g., Chemistry department</w:t>
      </w:r>
      <w:r w:rsidR="001B782D">
        <w:rPr>
          <w:color w:val="244061" w:themeColor="accent1" w:themeShade="80"/>
        </w:rPr>
        <w:t xml:space="preserve"> with degree programs in Organic Chemistry, Polymer Chemistry, and Chemistry (GSS code 202</w:t>
      </w:r>
      <w:r w:rsidR="00F75F08">
        <w:rPr>
          <w:color w:val="244061" w:themeColor="accent1" w:themeShade="80"/>
        </w:rPr>
        <w:t>)</w:t>
      </w:r>
      <w:r w:rsidR="001B782D">
        <w:rPr>
          <w:color w:val="244061" w:themeColor="accent1" w:themeShade="80"/>
        </w:rPr>
        <w:t>)</w:t>
      </w:r>
      <w:r w:rsidR="00E530D7" w:rsidRPr="00B8350F">
        <w:rPr>
          <w:color w:val="244061" w:themeColor="accent1" w:themeShade="80"/>
        </w:rPr>
        <w:t>, some departments</w:t>
      </w:r>
      <w:r w:rsidR="007129A4" w:rsidRPr="00B8350F">
        <w:rPr>
          <w:color w:val="244061" w:themeColor="accent1" w:themeShade="80"/>
        </w:rPr>
        <w:t xml:space="preserve"> have </w:t>
      </w:r>
      <w:r w:rsidR="009B6145">
        <w:rPr>
          <w:color w:val="244061" w:themeColor="accent1" w:themeShade="80"/>
        </w:rPr>
        <w:t xml:space="preserve">degree </w:t>
      </w:r>
      <w:r w:rsidR="007129A4" w:rsidRPr="00B8350F">
        <w:rPr>
          <w:color w:val="244061" w:themeColor="accent1" w:themeShade="80"/>
        </w:rPr>
        <w:t xml:space="preserve">programs </w:t>
      </w:r>
      <w:r w:rsidR="009B6145">
        <w:rPr>
          <w:color w:val="244061" w:themeColor="accent1" w:themeShade="80"/>
        </w:rPr>
        <w:t xml:space="preserve">that have </w:t>
      </w:r>
      <w:r w:rsidRPr="00B8350F">
        <w:rPr>
          <w:color w:val="244061" w:themeColor="accent1" w:themeShade="80"/>
        </w:rPr>
        <w:t xml:space="preserve">multiple </w:t>
      </w:r>
      <w:r w:rsidR="00E530D7" w:rsidRPr="00B8350F">
        <w:rPr>
          <w:color w:val="244061" w:themeColor="accent1" w:themeShade="80"/>
        </w:rPr>
        <w:t xml:space="preserve">GSS </w:t>
      </w:r>
      <w:r w:rsidRPr="00B8350F">
        <w:rPr>
          <w:color w:val="244061" w:themeColor="accent1" w:themeShade="80"/>
        </w:rPr>
        <w:t>codes</w:t>
      </w:r>
      <w:r w:rsidR="009B6145">
        <w:rPr>
          <w:color w:val="244061" w:themeColor="accent1" w:themeShade="80"/>
        </w:rPr>
        <w:t xml:space="preserve"> (e.g.,</w:t>
      </w:r>
      <w:r w:rsidR="001B782D">
        <w:rPr>
          <w:color w:val="244061" w:themeColor="accent1" w:themeShade="80"/>
        </w:rPr>
        <w:t xml:space="preserve"> Engineering department with degree programs Civil Engineering (GSS code 105), Electrical Engineering (GSS code 106), etc.).</w:t>
      </w:r>
      <w:r w:rsidR="00E530D7" w:rsidRPr="00B8350F">
        <w:rPr>
          <w:color w:val="244061" w:themeColor="accent1" w:themeShade="80"/>
        </w:rPr>
        <w:t xml:space="preserve"> </w:t>
      </w:r>
      <w:r w:rsidR="007129A4" w:rsidRPr="00B8350F">
        <w:rPr>
          <w:color w:val="244061" w:themeColor="accent1" w:themeShade="80"/>
        </w:rPr>
        <w:t xml:space="preserve">The </w:t>
      </w:r>
      <w:r w:rsidR="00480E90">
        <w:rPr>
          <w:color w:val="244061" w:themeColor="accent1" w:themeShade="80"/>
        </w:rPr>
        <w:t>GSS</w:t>
      </w:r>
      <w:r w:rsidR="009B6145">
        <w:rPr>
          <w:color w:val="244061" w:themeColor="accent1" w:themeShade="80"/>
        </w:rPr>
        <w:t xml:space="preserve"> collects and</w:t>
      </w:r>
      <w:r w:rsidR="007129A4" w:rsidRPr="00B8350F">
        <w:rPr>
          <w:color w:val="244061" w:themeColor="accent1" w:themeShade="80"/>
        </w:rPr>
        <w:t xml:space="preserve"> report</w:t>
      </w:r>
      <w:r w:rsidR="009B6145">
        <w:rPr>
          <w:color w:val="244061" w:themeColor="accent1" w:themeShade="80"/>
        </w:rPr>
        <w:t>s</w:t>
      </w:r>
      <w:r w:rsidR="007129A4" w:rsidRPr="00B8350F">
        <w:rPr>
          <w:color w:val="244061" w:themeColor="accent1" w:themeShade="80"/>
        </w:rPr>
        <w:t xml:space="preserve"> data </w:t>
      </w:r>
      <w:r w:rsidR="009B6145">
        <w:rPr>
          <w:color w:val="244061" w:themeColor="accent1" w:themeShade="80"/>
        </w:rPr>
        <w:t>at the</w:t>
      </w:r>
      <w:r w:rsidR="007129A4" w:rsidRPr="00B8350F">
        <w:rPr>
          <w:color w:val="244061" w:themeColor="accent1" w:themeShade="80"/>
        </w:rPr>
        <w:t xml:space="preserve"> GSS </w:t>
      </w:r>
      <w:r w:rsidR="00DC661C">
        <w:rPr>
          <w:color w:val="244061" w:themeColor="accent1" w:themeShade="80"/>
        </w:rPr>
        <w:t>code</w:t>
      </w:r>
      <w:r w:rsidR="009B6145">
        <w:rPr>
          <w:color w:val="244061" w:themeColor="accent1" w:themeShade="80"/>
        </w:rPr>
        <w:t xml:space="preserve"> level</w:t>
      </w:r>
      <w:r w:rsidR="007129A4" w:rsidRPr="00B8350F">
        <w:rPr>
          <w:color w:val="244061" w:themeColor="accent1" w:themeShade="80"/>
        </w:rPr>
        <w:t xml:space="preserve">. </w:t>
      </w:r>
      <w:r w:rsidR="00E530D7" w:rsidRPr="00B8350F">
        <w:rPr>
          <w:color w:val="244061" w:themeColor="accent1" w:themeShade="80"/>
        </w:rPr>
        <w:t xml:space="preserve"> </w:t>
      </w:r>
    </w:p>
    <w:p w:rsidR="00FF3371" w:rsidRDefault="00FF3371" w:rsidP="00056E4E">
      <w:pPr>
        <w:tabs>
          <w:tab w:val="left" w:pos="9810"/>
        </w:tabs>
        <w:ind w:left="360" w:right="450"/>
      </w:pPr>
    </w:p>
    <w:p w:rsidR="00056E4E" w:rsidRDefault="00056E4E" w:rsidP="00056E4E">
      <w:pPr>
        <w:tabs>
          <w:tab w:val="left" w:pos="9810"/>
        </w:tabs>
        <w:ind w:left="360" w:right="450"/>
      </w:pPr>
    </w:p>
    <w:p w:rsidR="00902B3F" w:rsidRPr="00B8350F" w:rsidRDefault="00E021AE" w:rsidP="00056E4E">
      <w:pPr>
        <w:tabs>
          <w:tab w:val="left" w:pos="9810"/>
        </w:tabs>
        <w:ind w:left="360" w:right="450"/>
        <w:rPr>
          <w:b/>
        </w:rPr>
      </w:pPr>
      <w:r w:rsidRPr="00B8350F">
        <w:rPr>
          <w:b/>
        </w:rPr>
        <w:t>Q</w:t>
      </w:r>
      <w:r w:rsidR="0001734E" w:rsidRPr="00B8350F">
        <w:rPr>
          <w:b/>
        </w:rPr>
        <w:t>5</w:t>
      </w:r>
      <w:r w:rsidRPr="00B8350F">
        <w:rPr>
          <w:b/>
        </w:rPr>
        <w:t xml:space="preserve">: </w:t>
      </w:r>
      <w:r w:rsidR="00902B3F" w:rsidRPr="00B8350F">
        <w:rPr>
          <w:b/>
        </w:rPr>
        <w:t>What evidence does NCSES have that schools use the GSS–CIP crosswalk?</w:t>
      </w:r>
    </w:p>
    <w:p w:rsidR="00902B3F" w:rsidRDefault="00902B3F" w:rsidP="00056E4E">
      <w:pPr>
        <w:pStyle w:val="ListParagraph"/>
        <w:tabs>
          <w:tab w:val="left" w:pos="9810"/>
        </w:tabs>
        <w:ind w:right="450"/>
      </w:pPr>
    </w:p>
    <w:p w:rsidR="00FF3371" w:rsidRPr="00B8350F" w:rsidRDefault="00E021AE" w:rsidP="00056E4E">
      <w:pPr>
        <w:tabs>
          <w:tab w:val="left" w:pos="9810"/>
        </w:tabs>
        <w:ind w:left="720" w:right="450" w:hanging="360"/>
        <w:rPr>
          <w:color w:val="244061" w:themeColor="accent1" w:themeShade="80"/>
        </w:rPr>
      </w:pPr>
      <w:r w:rsidRPr="00056E4E">
        <w:rPr>
          <w:b/>
          <w:color w:val="244061" w:themeColor="accent1" w:themeShade="80"/>
        </w:rPr>
        <w:t>A</w:t>
      </w:r>
      <w:r w:rsidR="0001734E" w:rsidRPr="00056E4E">
        <w:rPr>
          <w:b/>
          <w:color w:val="244061" w:themeColor="accent1" w:themeShade="80"/>
        </w:rPr>
        <w:t>5</w:t>
      </w:r>
      <w:r w:rsidRPr="00056E4E">
        <w:rPr>
          <w:b/>
          <w:color w:val="244061" w:themeColor="accent1" w:themeShade="80"/>
        </w:rPr>
        <w:t>:</w:t>
      </w:r>
      <w:r w:rsidRPr="00B8350F">
        <w:rPr>
          <w:color w:val="244061" w:themeColor="accent1" w:themeShade="80"/>
        </w:rPr>
        <w:tab/>
      </w:r>
      <w:r w:rsidR="003A5FBD" w:rsidRPr="00B8350F">
        <w:rPr>
          <w:color w:val="244061" w:themeColor="accent1" w:themeShade="80"/>
        </w:rPr>
        <w:t>NCSES has substa</w:t>
      </w:r>
      <w:r w:rsidR="00B427CE" w:rsidRPr="00B8350F">
        <w:rPr>
          <w:color w:val="244061" w:themeColor="accent1" w:themeShade="80"/>
        </w:rPr>
        <w:t>ntial evidence</w:t>
      </w:r>
      <w:r w:rsidR="003A5FBD" w:rsidRPr="00B8350F">
        <w:rPr>
          <w:color w:val="244061" w:themeColor="accent1" w:themeShade="80"/>
        </w:rPr>
        <w:t xml:space="preserve"> </w:t>
      </w:r>
      <w:r w:rsidR="00156945" w:rsidRPr="00B8350F">
        <w:rPr>
          <w:color w:val="244061" w:themeColor="accent1" w:themeShade="80"/>
        </w:rPr>
        <w:t xml:space="preserve">that many schools utilize the </w:t>
      </w:r>
      <w:r w:rsidR="003A5FBD" w:rsidRPr="00B8350F">
        <w:rPr>
          <w:color w:val="244061" w:themeColor="accent1" w:themeShade="80"/>
        </w:rPr>
        <w:t>GSS</w:t>
      </w:r>
      <w:r w:rsidR="00156945" w:rsidRPr="00B8350F">
        <w:rPr>
          <w:color w:val="244061" w:themeColor="accent1" w:themeShade="80"/>
        </w:rPr>
        <w:t>-CIP</w:t>
      </w:r>
      <w:r w:rsidR="003A5FBD" w:rsidRPr="00B8350F">
        <w:rPr>
          <w:color w:val="244061" w:themeColor="accent1" w:themeShade="80"/>
        </w:rPr>
        <w:t xml:space="preserve"> </w:t>
      </w:r>
      <w:r w:rsidR="00156945" w:rsidRPr="00B8350F">
        <w:rPr>
          <w:color w:val="244061" w:themeColor="accent1" w:themeShade="80"/>
        </w:rPr>
        <w:t xml:space="preserve">crosswalk.  </w:t>
      </w:r>
      <w:r w:rsidR="00B427CE" w:rsidRPr="00B8350F">
        <w:rPr>
          <w:color w:val="244061" w:themeColor="accent1" w:themeShade="80"/>
        </w:rPr>
        <w:t xml:space="preserve">In 2013, 426 respondents </w:t>
      </w:r>
      <w:r w:rsidR="00FF3371" w:rsidRPr="00B8350F">
        <w:rPr>
          <w:color w:val="244061" w:themeColor="accent1" w:themeShade="80"/>
        </w:rPr>
        <w:t>from 309 schools (mostly coordinators but also some unit respondents) visited the GSS-CIP crosswalk page on the survey website.  104 of t</w:t>
      </w:r>
      <w:r w:rsidR="007129A4" w:rsidRPr="00B8350F">
        <w:rPr>
          <w:color w:val="244061" w:themeColor="accent1" w:themeShade="80"/>
        </w:rPr>
        <w:t>hese respondents downloaded the</w:t>
      </w:r>
      <w:r w:rsidR="00FF3371" w:rsidRPr="00B8350F">
        <w:rPr>
          <w:color w:val="244061" w:themeColor="accent1" w:themeShade="80"/>
        </w:rPr>
        <w:t xml:space="preserve"> GSS-CIP crosswalk.  These counts likely understate the use of the GSS-CIP crosswalk, since there were no major changes that required a respondent to download a new crosswalk </w:t>
      </w:r>
      <w:r w:rsidRPr="00B8350F">
        <w:rPr>
          <w:color w:val="244061" w:themeColor="accent1" w:themeShade="80"/>
        </w:rPr>
        <w:t>in</w:t>
      </w:r>
      <w:r w:rsidR="00FF3371" w:rsidRPr="00B8350F">
        <w:rPr>
          <w:color w:val="244061" w:themeColor="accent1" w:themeShade="80"/>
        </w:rPr>
        <w:t xml:space="preserve"> 2013 and many respondents have downloaded the crosswalk in prior years.  </w:t>
      </w:r>
    </w:p>
    <w:p w:rsidR="00FF3371" w:rsidRPr="00B8350F" w:rsidRDefault="00FF3371" w:rsidP="00056E4E">
      <w:pPr>
        <w:tabs>
          <w:tab w:val="left" w:pos="9810"/>
        </w:tabs>
        <w:ind w:left="720" w:right="450"/>
        <w:rPr>
          <w:color w:val="244061" w:themeColor="accent1" w:themeShade="80"/>
        </w:rPr>
      </w:pPr>
    </w:p>
    <w:p w:rsidR="00FF3371" w:rsidRPr="00B8350F" w:rsidRDefault="00FF3371" w:rsidP="00056E4E">
      <w:pPr>
        <w:tabs>
          <w:tab w:val="left" w:pos="9810"/>
        </w:tabs>
        <w:ind w:left="720" w:right="450"/>
        <w:rPr>
          <w:color w:val="244061" w:themeColor="accent1" w:themeShade="80"/>
        </w:rPr>
      </w:pPr>
      <w:r w:rsidRPr="00B8350F">
        <w:rPr>
          <w:color w:val="244061" w:themeColor="accent1" w:themeShade="80"/>
        </w:rPr>
        <w:t xml:space="preserve">Additionally, </w:t>
      </w:r>
      <w:r w:rsidR="00E021AE" w:rsidRPr="00B8350F">
        <w:rPr>
          <w:color w:val="244061" w:themeColor="accent1" w:themeShade="80"/>
        </w:rPr>
        <w:t xml:space="preserve">GSS </w:t>
      </w:r>
      <w:r w:rsidRPr="00B8350F">
        <w:rPr>
          <w:color w:val="244061" w:themeColor="accent1" w:themeShade="80"/>
        </w:rPr>
        <w:t>project staff routinely interact</w:t>
      </w:r>
      <w:r w:rsidR="00DF59B9">
        <w:rPr>
          <w:color w:val="244061" w:themeColor="accent1" w:themeShade="80"/>
        </w:rPr>
        <w:t>s</w:t>
      </w:r>
      <w:r w:rsidRPr="00B8350F">
        <w:rPr>
          <w:color w:val="244061" w:themeColor="accent1" w:themeShade="80"/>
        </w:rPr>
        <w:t xml:space="preserve"> with </w:t>
      </w:r>
      <w:r w:rsidR="00E021AE" w:rsidRPr="00B8350F">
        <w:rPr>
          <w:color w:val="244061" w:themeColor="accent1" w:themeShade="80"/>
        </w:rPr>
        <w:t xml:space="preserve">school </w:t>
      </w:r>
      <w:r w:rsidRPr="00B8350F">
        <w:rPr>
          <w:color w:val="244061" w:themeColor="accent1" w:themeShade="80"/>
        </w:rPr>
        <w:t xml:space="preserve">coordinators and </w:t>
      </w:r>
      <w:r w:rsidR="0078433E" w:rsidRPr="00B8350F">
        <w:rPr>
          <w:color w:val="244061" w:themeColor="accent1" w:themeShade="80"/>
        </w:rPr>
        <w:t xml:space="preserve">unit </w:t>
      </w:r>
      <w:r w:rsidRPr="00B8350F">
        <w:rPr>
          <w:color w:val="244061" w:themeColor="accent1" w:themeShade="80"/>
        </w:rPr>
        <w:t xml:space="preserve">respondents who reference the GSS-CIP crosswalk during the data collection process. Discussions </w:t>
      </w:r>
      <w:r w:rsidR="0078433E" w:rsidRPr="00B8350F">
        <w:rPr>
          <w:color w:val="244061" w:themeColor="accent1" w:themeShade="80"/>
        </w:rPr>
        <w:t xml:space="preserve">about </w:t>
      </w:r>
      <w:r w:rsidRPr="00B8350F">
        <w:rPr>
          <w:color w:val="244061" w:themeColor="accent1" w:themeShade="80"/>
        </w:rPr>
        <w:t>the GSS-CIP crosswalk are particularly common during Part 1 of the survey</w:t>
      </w:r>
      <w:r w:rsidR="0078433E" w:rsidRPr="00B8350F">
        <w:rPr>
          <w:color w:val="244061" w:themeColor="accent1" w:themeShade="80"/>
        </w:rPr>
        <w:t xml:space="preserve"> when </w:t>
      </w:r>
      <w:r w:rsidRPr="00B8350F">
        <w:rPr>
          <w:color w:val="244061" w:themeColor="accent1" w:themeShade="80"/>
        </w:rPr>
        <w:t xml:space="preserve">coordinators </w:t>
      </w:r>
      <w:r w:rsidR="0078433E" w:rsidRPr="00B8350F">
        <w:rPr>
          <w:color w:val="244061" w:themeColor="accent1" w:themeShade="80"/>
        </w:rPr>
        <w:t xml:space="preserve">are </w:t>
      </w:r>
      <w:r w:rsidRPr="00B8350F">
        <w:rPr>
          <w:color w:val="244061" w:themeColor="accent1" w:themeShade="80"/>
        </w:rPr>
        <w:t>updat</w:t>
      </w:r>
      <w:r w:rsidR="0078433E" w:rsidRPr="00B8350F">
        <w:rPr>
          <w:color w:val="244061" w:themeColor="accent1" w:themeShade="80"/>
        </w:rPr>
        <w:t>ing</w:t>
      </w:r>
      <w:r w:rsidRPr="00B8350F">
        <w:rPr>
          <w:color w:val="244061" w:themeColor="accent1" w:themeShade="80"/>
        </w:rPr>
        <w:t xml:space="preserve"> their lists of</w:t>
      </w:r>
      <w:r w:rsidR="00D577EC" w:rsidRPr="00B8350F">
        <w:rPr>
          <w:color w:val="244061" w:themeColor="accent1" w:themeShade="80"/>
        </w:rPr>
        <w:t xml:space="preserve"> GSS-eligible units.  C</w:t>
      </w:r>
      <w:r w:rsidRPr="00B8350F">
        <w:rPr>
          <w:color w:val="244061" w:themeColor="accent1" w:themeShade="80"/>
        </w:rPr>
        <w:t xml:space="preserve">oordinators also regularly refer to the GSS-CIP crosswalk when explaining why they changed a unit’s GSS code or why a significant count change occurred. </w:t>
      </w:r>
    </w:p>
    <w:p w:rsidR="00B427CE" w:rsidRPr="00B8350F" w:rsidRDefault="00B427CE" w:rsidP="00056E4E">
      <w:pPr>
        <w:tabs>
          <w:tab w:val="left" w:pos="9810"/>
        </w:tabs>
        <w:ind w:left="720" w:right="450"/>
        <w:rPr>
          <w:color w:val="244061" w:themeColor="accent1" w:themeShade="80"/>
        </w:rPr>
      </w:pPr>
    </w:p>
    <w:p w:rsidR="00B427CE" w:rsidRPr="00B8350F" w:rsidRDefault="00217A2E" w:rsidP="00056E4E">
      <w:pPr>
        <w:tabs>
          <w:tab w:val="left" w:pos="9810"/>
        </w:tabs>
        <w:ind w:left="720" w:right="450"/>
        <w:rPr>
          <w:color w:val="244061" w:themeColor="accent1" w:themeShade="80"/>
        </w:rPr>
      </w:pPr>
      <w:r w:rsidRPr="00B8350F">
        <w:rPr>
          <w:color w:val="244061" w:themeColor="accent1" w:themeShade="80"/>
        </w:rPr>
        <w:t>The</w:t>
      </w:r>
      <w:r w:rsidR="00B427CE" w:rsidRPr="00B8350F">
        <w:rPr>
          <w:color w:val="244061" w:themeColor="accent1" w:themeShade="80"/>
        </w:rPr>
        <w:t xml:space="preserve"> GSS-CIP cross walk is essential for schools that directly upload </w:t>
      </w:r>
      <w:r w:rsidRPr="00B8350F">
        <w:rPr>
          <w:color w:val="244061" w:themeColor="accent1" w:themeShade="80"/>
        </w:rPr>
        <w:t xml:space="preserve">their </w:t>
      </w:r>
      <w:r w:rsidR="00B427CE" w:rsidRPr="00B8350F">
        <w:rPr>
          <w:color w:val="244061" w:themeColor="accent1" w:themeShade="80"/>
        </w:rPr>
        <w:t>data.  Because CIP codes are used for IPEDS reporting, the CIP codes exi</w:t>
      </w:r>
      <w:r w:rsidR="0028079C" w:rsidRPr="00B8350F">
        <w:rPr>
          <w:color w:val="244061" w:themeColor="accent1" w:themeShade="80"/>
        </w:rPr>
        <w:t>s</w:t>
      </w:r>
      <w:r w:rsidR="00B427CE" w:rsidRPr="00B8350F">
        <w:rPr>
          <w:color w:val="244061" w:themeColor="accent1" w:themeShade="80"/>
        </w:rPr>
        <w:t xml:space="preserve">t on many postsecondary institution databases.  Institutional respondents use the crosswalk to create programs to identify GSS eligible units and then extract the enrollment counts and other information directly from their systems and </w:t>
      </w:r>
      <w:r w:rsidRPr="00B8350F">
        <w:rPr>
          <w:color w:val="244061" w:themeColor="accent1" w:themeShade="80"/>
        </w:rPr>
        <w:t>upload/</w:t>
      </w:r>
      <w:r w:rsidR="00B427CE" w:rsidRPr="00B8350F">
        <w:rPr>
          <w:color w:val="244061" w:themeColor="accent1" w:themeShade="80"/>
        </w:rPr>
        <w:t>deliver the file to the GSS contractor.</w:t>
      </w:r>
    </w:p>
    <w:p w:rsidR="00A131DC" w:rsidRDefault="00A131DC" w:rsidP="00056E4E">
      <w:pPr>
        <w:tabs>
          <w:tab w:val="left" w:pos="9810"/>
        </w:tabs>
        <w:ind w:left="720" w:right="450"/>
        <w:rPr>
          <w:color w:val="244061" w:themeColor="accent1" w:themeShade="80"/>
        </w:rPr>
      </w:pPr>
    </w:p>
    <w:p w:rsidR="00887CA8" w:rsidRDefault="00887CA8" w:rsidP="00056E4E">
      <w:pPr>
        <w:tabs>
          <w:tab w:val="left" w:pos="9810"/>
        </w:tabs>
        <w:ind w:left="720" w:right="450" w:hanging="360"/>
        <w:rPr>
          <w:b/>
        </w:rPr>
      </w:pPr>
    </w:p>
    <w:p w:rsidR="00C9403A" w:rsidRPr="006337AD" w:rsidRDefault="00C9403A" w:rsidP="00C9403A">
      <w:pPr>
        <w:tabs>
          <w:tab w:val="left" w:pos="9810"/>
        </w:tabs>
        <w:ind w:left="720" w:right="450" w:hanging="360"/>
        <w:rPr>
          <w:b/>
        </w:rPr>
      </w:pPr>
      <w:r>
        <w:rPr>
          <w:b/>
        </w:rPr>
        <w:t xml:space="preserve">Q6: </w:t>
      </w:r>
      <w:r w:rsidRPr="00B8350F">
        <w:rPr>
          <w:b/>
        </w:rPr>
        <w:t>How does the NCSES Taxonomy of Disciplines relate to STEM classification by BL</w:t>
      </w:r>
      <w:r>
        <w:rPr>
          <w:b/>
        </w:rPr>
        <w:t>S or other statistical agencies?</w:t>
      </w:r>
    </w:p>
    <w:p w:rsidR="00C9403A" w:rsidRDefault="00C9403A" w:rsidP="00C9403A">
      <w:pPr>
        <w:tabs>
          <w:tab w:val="left" w:pos="9810"/>
        </w:tabs>
        <w:ind w:left="720" w:right="450" w:hanging="360"/>
        <w:rPr>
          <w:b/>
          <w:color w:val="244061" w:themeColor="accent1" w:themeShade="80"/>
        </w:rPr>
      </w:pPr>
    </w:p>
    <w:p w:rsidR="00C9403A" w:rsidRPr="00B8350F" w:rsidRDefault="00C9403A" w:rsidP="00C9403A">
      <w:pPr>
        <w:tabs>
          <w:tab w:val="left" w:pos="9810"/>
        </w:tabs>
        <w:ind w:left="720" w:right="450" w:hanging="360"/>
        <w:rPr>
          <w:color w:val="244061" w:themeColor="accent1" w:themeShade="80"/>
        </w:rPr>
      </w:pPr>
      <w:r w:rsidRPr="00056E4E">
        <w:rPr>
          <w:b/>
          <w:color w:val="244061" w:themeColor="accent1" w:themeShade="80"/>
        </w:rPr>
        <w:t>A6:</w:t>
      </w:r>
      <w:r w:rsidRPr="00B8350F">
        <w:rPr>
          <w:color w:val="244061" w:themeColor="accent1" w:themeShade="80"/>
        </w:rPr>
        <w:t xml:space="preserve"> Over the past several years, NCSES has been reviewing our internal taxonomies with the following goals: (1) to provide standard taxonomies to enable improved consistency in the collection, analysis, and reporting of data across our different surveys</w:t>
      </w:r>
      <w:r>
        <w:rPr>
          <w:color w:val="244061" w:themeColor="accent1" w:themeShade="80"/>
        </w:rPr>
        <w:t>,</w:t>
      </w:r>
      <w:r w:rsidRPr="00B8350F">
        <w:rPr>
          <w:color w:val="244061" w:themeColor="accent1" w:themeShade="80"/>
        </w:rPr>
        <w:t xml:space="preserve"> and (2) to the extent possible, better align our internal taxonomies with </w:t>
      </w:r>
      <w:r>
        <w:rPr>
          <w:color w:val="244061" w:themeColor="accent1" w:themeShade="80"/>
        </w:rPr>
        <w:t xml:space="preserve">commonly used </w:t>
      </w:r>
      <w:r w:rsidRPr="00B8350F">
        <w:rPr>
          <w:color w:val="244061" w:themeColor="accent1" w:themeShade="80"/>
        </w:rPr>
        <w:t xml:space="preserve"> federal statistical agency classifications such as the </w:t>
      </w:r>
      <w:r w:rsidRPr="00B8350F">
        <w:rPr>
          <w:color w:val="244061" w:themeColor="accent1" w:themeShade="80"/>
        </w:rPr>
        <w:lastRenderedPageBreak/>
        <w:t xml:space="preserve">National Center for Education Statistic’s (NCES) Classification of Instructional Programs (CIP) and </w:t>
      </w:r>
      <w:r>
        <w:rPr>
          <w:color w:val="244061" w:themeColor="accent1" w:themeShade="80"/>
        </w:rPr>
        <w:t xml:space="preserve">OMB statistical standards like the </w:t>
      </w:r>
      <w:r w:rsidRPr="00B8350F">
        <w:rPr>
          <w:color w:val="244061" w:themeColor="accent1" w:themeShade="80"/>
        </w:rPr>
        <w:t xml:space="preserve">Standard Occupation Classification (SOC).  </w:t>
      </w:r>
    </w:p>
    <w:p w:rsidR="00C9403A" w:rsidRPr="00B8350F" w:rsidRDefault="00C9403A" w:rsidP="00C9403A">
      <w:pPr>
        <w:tabs>
          <w:tab w:val="left" w:pos="9810"/>
        </w:tabs>
        <w:ind w:left="720" w:right="450"/>
        <w:rPr>
          <w:color w:val="244061" w:themeColor="accent1" w:themeShade="80"/>
        </w:rPr>
      </w:pPr>
    </w:p>
    <w:p w:rsidR="00C9403A" w:rsidRDefault="00C9403A" w:rsidP="00C9403A">
      <w:pPr>
        <w:tabs>
          <w:tab w:val="left" w:pos="9810"/>
        </w:tabs>
        <w:ind w:left="720" w:right="450"/>
        <w:rPr>
          <w:color w:val="244061" w:themeColor="accent1" w:themeShade="80"/>
        </w:rPr>
      </w:pPr>
      <w:r>
        <w:rPr>
          <w:color w:val="244061" w:themeColor="accent1" w:themeShade="80"/>
        </w:rPr>
        <w:t xml:space="preserve">The </w:t>
      </w:r>
      <w:r w:rsidRPr="00B8350F">
        <w:rPr>
          <w:color w:val="244061" w:themeColor="accent1" w:themeShade="80"/>
        </w:rPr>
        <w:t>Taxonomy of Disciplines (TOD)</w:t>
      </w:r>
      <w:r>
        <w:rPr>
          <w:color w:val="244061" w:themeColor="accent1" w:themeShade="80"/>
        </w:rPr>
        <w:t xml:space="preserve"> is being developed by NCSES to improve consistency in the collection, analysis and reporting of data collected in </w:t>
      </w:r>
      <w:r w:rsidRPr="00B8350F">
        <w:rPr>
          <w:color w:val="244061" w:themeColor="accent1" w:themeShade="80"/>
        </w:rPr>
        <w:t>NCSES</w:t>
      </w:r>
      <w:r>
        <w:rPr>
          <w:color w:val="244061" w:themeColor="accent1" w:themeShade="80"/>
        </w:rPr>
        <w:t xml:space="preserve"> surveys on fields of study or fields of research</w:t>
      </w:r>
      <w:r w:rsidRPr="00B8350F">
        <w:rPr>
          <w:color w:val="244061" w:themeColor="accent1" w:themeShade="80"/>
        </w:rPr>
        <w:t>.</w:t>
      </w:r>
      <w:r>
        <w:rPr>
          <w:color w:val="244061" w:themeColor="accent1" w:themeShade="80"/>
        </w:rPr>
        <w:t xml:space="preserve"> The NCSES TOD uses CIP as its standard reference so it is very closely aligned with CIP. The GSS/CIP crosswalk is used to identify the science and engineering fields that are eligible for the survey. Implementation of the TOD in GSS will result in reclassification of some fields at the GSS code level</w:t>
      </w:r>
      <w:r w:rsidR="00021E62">
        <w:rPr>
          <w:color w:val="244061" w:themeColor="accent1" w:themeShade="80"/>
        </w:rPr>
        <w:t xml:space="preserve"> </w:t>
      </w:r>
      <w:r w:rsidR="00D56D7F">
        <w:rPr>
          <w:color w:val="244061" w:themeColor="accent1" w:themeShade="80"/>
        </w:rPr>
        <w:t>and</w:t>
      </w:r>
      <w:r w:rsidR="00021E62">
        <w:rPr>
          <w:color w:val="244061" w:themeColor="accent1" w:themeShade="80"/>
        </w:rPr>
        <w:t xml:space="preserve"> a revised GSS/CIP crosswalk.  </w:t>
      </w:r>
    </w:p>
    <w:p w:rsidR="00C9403A" w:rsidRDefault="00C9403A" w:rsidP="00C9403A">
      <w:pPr>
        <w:tabs>
          <w:tab w:val="left" w:pos="9810"/>
        </w:tabs>
        <w:ind w:left="720" w:right="450"/>
        <w:rPr>
          <w:color w:val="244061" w:themeColor="accent1" w:themeShade="80"/>
        </w:rPr>
      </w:pPr>
    </w:p>
    <w:p w:rsidR="00C9403A" w:rsidRDefault="00C9403A" w:rsidP="00C9403A">
      <w:pPr>
        <w:tabs>
          <w:tab w:val="left" w:pos="9810"/>
        </w:tabs>
        <w:ind w:left="720" w:right="450"/>
        <w:rPr>
          <w:color w:val="244061" w:themeColor="accent1" w:themeShade="80"/>
        </w:rPr>
      </w:pPr>
      <w:r>
        <w:rPr>
          <w:color w:val="244061" w:themeColor="accent1" w:themeShade="80"/>
        </w:rPr>
        <w:t xml:space="preserve">The CIP/SOC crosswalk provided by National Center for Education Statistics (NCES) could be used to identify which fields of study or research collected using the TOD relate to which SOC occupations, including the STEM occupations.  </w:t>
      </w:r>
    </w:p>
    <w:p w:rsidR="00C9403A" w:rsidRDefault="00C9403A" w:rsidP="00C9403A">
      <w:pPr>
        <w:tabs>
          <w:tab w:val="left" w:pos="9810"/>
        </w:tabs>
        <w:ind w:left="720" w:right="450"/>
        <w:rPr>
          <w:color w:val="244061" w:themeColor="accent1" w:themeShade="80"/>
        </w:rPr>
      </w:pPr>
    </w:p>
    <w:p w:rsidR="00C9403A" w:rsidRDefault="00C9403A" w:rsidP="00C9403A">
      <w:pPr>
        <w:tabs>
          <w:tab w:val="left" w:pos="9810"/>
        </w:tabs>
        <w:ind w:left="720" w:right="450"/>
        <w:rPr>
          <w:color w:val="244061" w:themeColor="accent1" w:themeShade="80"/>
        </w:rPr>
      </w:pPr>
      <w:r w:rsidRPr="008F02E2">
        <w:rPr>
          <w:color w:val="244061" w:themeColor="accent1" w:themeShade="80"/>
        </w:rPr>
        <w:t xml:space="preserve">We had informed OMB that GSS </w:t>
      </w:r>
      <w:r>
        <w:rPr>
          <w:color w:val="244061" w:themeColor="accent1" w:themeShade="80"/>
        </w:rPr>
        <w:t xml:space="preserve">would </w:t>
      </w:r>
      <w:r w:rsidRPr="008F02E2">
        <w:rPr>
          <w:color w:val="244061" w:themeColor="accent1" w:themeShade="80"/>
        </w:rPr>
        <w:t xml:space="preserve">implement the TOD in the 2014 survey but </w:t>
      </w:r>
      <w:r>
        <w:rPr>
          <w:color w:val="244061" w:themeColor="accent1" w:themeShade="80"/>
        </w:rPr>
        <w:t>that will no longer be possible d</w:t>
      </w:r>
      <w:r w:rsidRPr="008F02E2">
        <w:rPr>
          <w:color w:val="244061" w:themeColor="accent1" w:themeShade="80"/>
        </w:rPr>
        <w:t xml:space="preserve">ue to delays in finalizing the taxonomy within NCSES.  </w:t>
      </w:r>
      <w:r>
        <w:rPr>
          <w:color w:val="244061" w:themeColor="accent1" w:themeShade="80"/>
        </w:rPr>
        <w:t>Therefore, the</w:t>
      </w:r>
      <w:r w:rsidRPr="008F02E2">
        <w:rPr>
          <w:color w:val="244061" w:themeColor="accent1" w:themeShade="80"/>
        </w:rPr>
        <w:t xml:space="preserve"> 2014 GSS will </w:t>
      </w:r>
      <w:r>
        <w:rPr>
          <w:color w:val="244061" w:themeColor="accent1" w:themeShade="80"/>
        </w:rPr>
        <w:t xml:space="preserve">continue to </w:t>
      </w:r>
      <w:r w:rsidRPr="008F02E2">
        <w:rPr>
          <w:color w:val="244061" w:themeColor="accent1" w:themeShade="80"/>
        </w:rPr>
        <w:t xml:space="preserve">use the same </w:t>
      </w:r>
      <w:r>
        <w:rPr>
          <w:color w:val="244061" w:themeColor="accent1" w:themeShade="80"/>
        </w:rPr>
        <w:t xml:space="preserve">GSS code list and GSS/CIP crosswalk as was </w:t>
      </w:r>
      <w:r w:rsidRPr="008F02E2">
        <w:rPr>
          <w:color w:val="244061" w:themeColor="accent1" w:themeShade="80"/>
        </w:rPr>
        <w:t xml:space="preserve">used in </w:t>
      </w:r>
      <w:r>
        <w:rPr>
          <w:color w:val="244061" w:themeColor="accent1" w:themeShade="80"/>
        </w:rPr>
        <w:t xml:space="preserve">the </w:t>
      </w:r>
      <w:r w:rsidRPr="008F02E2">
        <w:rPr>
          <w:color w:val="244061" w:themeColor="accent1" w:themeShade="80"/>
        </w:rPr>
        <w:t>2013 survey</w:t>
      </w:r>
      <w:r>
        <w:rPr>
          <w:color w:val="244061" w:themeColor="accent1" w:themeShade="80"/>
        </w:rPr>
        <w:t>.</w:t>
      </w:r>
      <w:r w:rsidRPr="008F02E2">
        <w:rPr>
          <w:color w:val="244061" w:themeColor="accent1" w:themeShade="80"/>
        </w:rPr>
        <w:t xml:space="preserve">  Once the TOD is </w:t>
      </w:r>
      <w:r>
        <w:rPr>
          <w:color w:val="244061" w:themeColor="accent1" w:themeShade="80"/>
        </w:rPr>
        <w:t xml:space="preserve">finalized, it will be </w:t>
      </w:r>
      <w:r w:rsidRPr="008F02E2">
        <w:rPr>
          <w:color w:val="244061" w:themeColor="accent1" w:themeShade="80"/>
        </w:rPr>
        <w:t>implement</w:t>
      </w:r>
      <w:r>
        <w:rPr>
          <w:color w:val="244061" w:themeColor="accent1" w:themeShade="80"/>
        </w:rPr>
        <w:t>ed</w:t>
      </w:r>
      <w:r w:rsidRPr="008F02E2">
        <w:rPr>
          <w:color w:val="244061" w:themeColor="accent1" w:themeShade="80"/>
        </w:rPr>
        <w:t xml:space="preserve"> in the next </w:t>
      </w:r>
      <w:r>
        <w:rPr>
          <w:color w:val="244061" w:themeColor="accent1" w:themeShade="80"/>
        </w:rPr>
        <w:t xml:space="preserve">GSS </w:t>
      </w:r>
      <w:r w:rsidRPr="008F02E2">
        <w:rPr>
          <w:color w:val="244061" w:themeColor="accent1" w:themeShade="80"/>
        </w:rPr>
        <w:t>survey cycle</w:t>
      </w:r>
      <w:r>
        <w:rPr>
          <w:color w:val="244061" w:themeColor="accent1" w:themeShade="80"/>
        </w:rPr>
        <w:t xml:space="preserve"> that provides us with enough time to revise the survey </w:t>
      </w:r>
      <w:r w:rsidRPr="008F02E2">
        <w:rPr>
          <w:color w:val="244061" w:themeColor="accent1" w:themeShade="80"/>
        </w:rPr>
        <w:t>instruments</w:t>
      </w:r>
      <w:r>
        <w:rPr>
          <w:color w:val="244061" w:themeColor="accent1" w:themeShade="80"/>
        </w:rPr>
        <w:t xml:space="preserve"> and materials and </w:t>
      </w:r>
      <w:r w:rsidRPr="008F02E2">
        <w:rPr>
          <w:color w:val="244061" w:themeColor="accent1" w:themeShade="80"/>
        </w:rPr>
        <w:t xml:space="preserve">to </w:t>
      </w:r>
      <w:r>
        <w:rPr>
          <w:color w:val="244061" w:themeColor="accent1" w:themeShade="80"/>
        </w:rPr>
        <w:t xml:space="preserve">inform our institutional </w:t>
      </w:r>
      <w:r w:rsidRPr="008F02E2">
        <w:rPr>
          <w:color w:val="244061" w:themeColor="accent1" w:themeShade="80"/>
        </w:rPr>
        <w:t xml:space="preserve">respondents </w:t>
      </w:r>
      <w:r>
        <w:rPr>
          <w:color w:val="244061" w:themeColor="accent1" w:themeShade="80"/>
        </w:rPr>
        <w:t>in advance of the changes</w:t>
      </w:r>
      <w:r w:rsidRPr="008F02E2">
        <w:rPr>
          <w:color w:val="244061" w:themeColor="accent1" w:themeShade="80"/>
        </w:rPr>
        <w:t xml:space="preserve">.  </w:t>
      </w:r>
    </w:p>
    <w:p w:rsidR="00C9403A" w:rsidRDefault="00C9403A" w:rsidP="00C9403A">
      <w:pPr>
        <w:tabs>
          <w:tab w:val="left" w:pos="9810"/>
        </w:tabs>
        <w:ind w:left="720" w:right="450"/>
        <w:rPr>
          <w:color w:val="244061" w:themeColor="accent1" w:themeShade="80"/>
        </w:rPr>
      </w:pPr>
    </w:p>
    <w:p w:rsidR="00C9403A" w:rsidRDefault="00C9403A" w:rsidP="00C9403A">
      <w:pPr>
        <w:tabs>
          <w:tab w:val="left" w:pos="9810"/>
        </w:tabs>
        <w:ind w:left="720" w:right="450"/>
        <w:rPr>
          <w:color w:val="244061" w:themeColor="accent1" w:themeShade="80"/>
        </w:rPr>
      </w:pPr>
    </w:p>
    <w:p w:rsidR="00C9403A" w:rsidRPr="00B8350F" w:rsidRDefault="00C9403A" w:rsidP="00C9403A">
      <w:pPr>
        <w:ind w:left="720" w:right="450" w:hanging="360"/>
        <w:rPr>
          <w:b/>
        </w:rPr>
      </w:pPr>
      <w:r w:rsidRPr="00B8350F">
        <w:rPr>
          <w:b/>
        </w:rPr>
        <w:t>Q7: How do NCSES’s publications facilitate alignment of subsets of the GSS with other statistical agency definitions?</w:t>
      </w:r>
    </w:p>
    <w:p w:rsidR="00C9403A" w:rsidRDefault="00C9403A" w:rsidP="00C9403A">
      <w:pPr>
        <w:tabs>
          <w:tab w:val="left" w:pos="9810"/>
        </w:tabs>
        <w:ind w:left="720" w:right="450"/>
        <w:rPr>
          <w:color w:val="1F497D" w:themeColor="text2"/>
        </w:rPr>
      </w:pPr>
    </w:p>
    <w:p w:rsidR="00C9403A" w:rsidRDefault="00C9403A" w:rsidP="00C9403A">
      <w:pPr>
        <w:tabs>
          <w:tab w:val="left" w:pos="9810"/>
        </w:tabs>
        <w:ind w:left="720" w:right="450" w:hanging="360"/>
        <w:rPr>
          <w:color w:val="244061" w:themeColor="accent1" w:themeShade="80"/>
        </w:rPr>
      </w:pPr>
      <w:r w:rsidRPr="00056E4E">
        <w:rPr>
          <w:b/>
          <w:color w:val="244061" w:themeColor="accent1" w:themeShade="80"/>
        </w:rPr>
        <w:t>A7:</w:t>
      </w:r>
      <w:r w:rsidRPr="00056E4E">
        <w:rPr>
          <w:b/>
          <w:color w:val="244061" w:themeColor="accent1" w:themeShade="80"/>
        </w:rPr>
        <w:tab/>
      </w:r>
      <w:r>
        <w:rPr>
          <w:color w:val="244061" w:themeColor="accent1" w:themeShade="80"/>
        </w:rPr>
        <w:t xml:space="preserve">GSS collects and reports data at the GSS code level.  Each GSS code is comprised of one or more CIP codes.  A user interested in comparing the GSS data with another statistical  agency’s CIP-based data can subset the GSS data by specific science, engineering, and health fields using the GSS/CIP crosswalk.  </w:t>
      </w:r>
    </w:p>
    <w:p w:rsidR="00346CFC" w:rsidRDefault="00346CFC" w:rsidP="00056E4E">
      <w:pPr>
        <w:ind w:left="720" w:right="450"/>
        <w:rPr>
          <w:color w:val="1F497D" w:themeColor="text2"/>
        </w:rPr>
      </w:pPr>
    </w:p>
    <w:p w:rsidR="00056E4E" w:rsidRPr="00D53C92" w:rsidRDefault="00056E4E" w:rsidP="004A1728">
      <w:pPr>
        <w:pStyle w:val="Title"/>
        <w:spacing w:before="240" w:after="0"/>
        <w:ind w:left="-187" w:firstLine="86"/>
        <w:rPr>
          <w:sz w:val="28"/>
          <w:szCs w:val="28"/>
        </w:rPr>
      </w:pPr>
      <w:r>
        <w:br w:type="page"/>
      </w:r>
      <w:r w:rsidRPr="00D53C92">
        <w:rPr>
          <w:sz w:val="28"/>
          <w:szCs w:val="28"/>
        </w:rPr>
        <w:lastRenderedPageBreak/>
        <w:t>Assessment of the Impact of Adding Newly Eligible GSS Frame Schools in GSS Estimates</w:t>
      </w:r>
    </w:p>
    <w:p w:rsidR="004A1728" w:rsidRDefault="004A1728" w:rsidP="004A1728">
      <w:pPr>
        <w:tabs>
          <w:tab w:val="left" w:pos="360"/>
        </w:tabs>
        <w:snapToGrid w:val="0"/>
        <w:ind w:left="360" w:right="86" w:hanging="274"/>
        <w:rPr>
          <w:rFonts w:cstheme="majorBidi"/>
          <w:b/>
          <w:sz w:val="24"/>
          <w:szCs w:val="24"/>
        </w:rPr>
      </w:pPr>
    </w:p>
    <w:p w:rsidR="00056E4E" w:rsidRDefault="00056E4E" w:rsidP="004A1728">
      <w:pPr>
        <w:tabs>
          <w:tab w:val="left" w:pos="360"/>
        </w:tabs>
        <w:snapToGrid w:val="0"/>
        <w:ind w:left="360" w:right="86" w:hanging="274"/>
        <w:rPr>
          <w:rFonts w:cstheme="majorBidi"/>
          <w:b/>
          <w:sz w:val="24"/>
          <w:szCs w:val="24"/>
        </w:rPr>
      </w:pPr>
      <w:r w:rsidRPr="00030807">
        <w:rPr>
          <w:rFonts w:cstheme="majorBidi"/>
          <w:b/>
          <w:sz w:val="24"/>
          <w:szCs w:val="24"/>
        </w:rPr>
        <w:t>Executive Summary</w:t>
      </w:r>
    </w:p>
    <w:p w:rsidR="004A1728" w:rsidRPr="00030807" w:rsidRDefault="004A1728" w:rsidP="004A1728">
      <w:pPr>
        <w:tabs>
          <w:tab w:val="left" w:pos="360"/>
        </w:tabs>
        <w:snapToGrid w:val="0"/>
        <w:ind w:left="360" w:right="86" w:hanging="274"/>
        <w:rPr>
          <w:rFonts w:cstheme="majorBidi"/>
          <w:b/>
          <w:sz w:val="24"/>
          <w:szCs w:val="24"/>
        </w:rPr>
      </w:pPr>
    </w:p>
    <w:p w:rsidR="00056E4E" w:rsidRPr="00C50A51" w:rsidRDefault="00056E4E" w:rsidP="00A25836">
      <w:pPr>
        <w:spacing w:after="180"/>
        <w:ind w:left="90" w:right="90"/>
        <w:rPr>
          <w:rFonts w:cstheme="majorBidi"/>
          <w:snapToGrid w:val="0"/>
        </w:rPr>
      </w:pPr>
      <w:r>
        <w:rPr>
          <w:rFonts w:cstheme="majorBidi"/>
        </w:rPr>
        <w:t xml:space="preserve">In 2010, NSF conducted a comprehensive frame evaluation study for </w:t>
      </w:r>
      <w:r w:rsidRPr="00C50A51">
        <w:rPr>
          <w:rFonts w:cstheme="majorBidi"/>
        </w:rPr>
        <w:t>the</w:t>
      </w:r>
      <w:r>
        <w:rPr>
          <w:rFonts w:cstheme="majorBidi"/>
        </w:rPr>
        <w:t xml:space="preserve"> first time since 1979 in the</w:t>
      </w:r>
      <w:r w:rsidRPr="00C50A51">
        <w:rPr>
          <w:rFonts w:cstheme="majorBidi"/>
        </w:rPr>
        <w:t xml:space="preserve"> NSF-NIH Survey of Graduate Students and Postdoctorates in Science and Engineering (GSS)</w:t>
      </w:r>
      <w:r>
        <w:rPr>
          <w:rFonts w:cstheme="majorBidi"/>
        </w:rPr>
        <w:t xml:space="preserve">.  The evaluation was to </w:t>
      </w:r>
      <w:r w:rsidRPr="00C50A51">
        <w:rPr>
          <w:rFonts w:cstheme="majorBidi"/>
          <w:snapToGrid w:val="0"/>
        </w:rPr>
        <w:t>identif</w:t>
      </w:r>
      <w:r>
        <w:rPr>
          <w:rFonts w:cstheme="majorBidi"/>
          <w:snapToGrid w:val="0"/>
        </w:rPr>
        <w:t>y</w:t>
      </w:r>
      <w:r w:rsidRPr="00C50A51">
        <w:rPr>
          <w:rFonts w:cstheme="majorBidi"/>
          <w:snapToGrid w:val="0"/>
        </w:rPr>
        <w:t xml:space="preserve"> </w:t>
      </w:r>
      <w:r>
        <w:rPr>
          <w:rFonts w:cstheme="majorBidi"/>
          <w:snapToGrid w:val="0"/>
        </w:rPr>
        <w:t>any</w:t>
      </w:r>
      <w:r w:rsidRPr="00C50A51">
        <w:rPr>
          <w:rFonts w:cstheme="majorBidi"/>
          <w:snapToGrid w:val="0"/>
        </w:rPr>
        <w:t xml:space="preserve"> potentially eligible U.S. postsecondary academic institutions that had not previously been surveyed in the GSS. </w:t>
      </w:r>
    </w:p>
    <w:p w:rsidR="00056E4E" w:rsidRDefault="00056E4E" w:rsidP="00A25836">
      <w:pPr>
        <w:spacing w:after="180"/>
        <w:ind w:left="90" w:right="90"/>
        <w:rPr>
          <w:rFonts w:cstheme="majorBidi"/>
        </w:rPr>
      </w:pPr>
      <w:r>
        <w:rPr>
          <w:rFonts w:cstheme="majorBidi"/>
        </w:rPr>
        <w:t xml:space="preserve">In 2011, GSS conducted an eligibility screening survey and identified </w:t>
      </w:r>
      <w:r w:rsidRPr="00534F81">
        <w:rPr>
          <w:rFonts w:cstheme="majorBidi"/>
        </w:rPr>
        <w:t xml:space="preserve">165 newly eligible </w:t>
      </w:r>
      <w:r>
        <w:rPr>
          <w:rFonts w:cstheme="majorBidi"/>
        </w:rPr>
        <w:t>“</w:t>
      </w:r>
      <w:r w:rsidRPr="00534F81">
        <w:rPr>
          <w:rFonts w:cstheme="majorBidi"/>
        </w:rPr>
        <w:t>frame</w:t>
      </w:r>
      <w:r>
        <w:rPr>
          <w:rFonts w:cstheme="majorBidi"/>
        </w:rPr>
        <w:t>”</w:t>
      </w:r>
      <w:r w:rsidRPr="00534F81">
        <w:rPr>
          <w:rFonts w:cstheme="majorBidi"/>
        </w:rPr>
        <w:t xml:space="preserve"> institutions </w:t>
      </w:r>
      <w:r>
        <w:rPr>
          <w:rFonts w:cstheme="majorBidi"/>
        </w:rPr>
        <w:t>with</w:t>
      </w:r>
      <w:r w:rsidRPr="00534F81">
        <w:rPr>
          <w:rFonts w:cstheme="majorBidi"/>
        </w:rPr>
        <w:t xml:space="preserve"> at least one master’s or doctorate-granting program in science, engineering, or health (SEH). </w:t>
      </w:r>
      <w:r>
        <w:rPr>
          <w:rFonts w:cstheme="majorBidi"/>
        </w:rPr>
        <w:t xml:space="preserve">After an initial assessment of the </w:t>
      </w:r>
      <w:r w:rsidRPr="00C50A51">
        <w:rPr>
          <w:rFonts w:cstheme="majorBidi"/>
        </w:rPr>
        <w:t xml:space="preserve">data </w:t>
      </w:r>
      <w:r>
        <w:rPr>
          <w:rFonts w:cstheme="majorBidi"/>
        </w:rPr>
        <w:t>quality,</w:t>
      </w:r>
      <w:r w:rsidRPr="00C50A51">
        <w:rPr>
          <w:rFonts w:cstheme="majorBidi"/>
        </w:rPr>
        <w:t xml:space="preserve"> </w:t>
      </w:r>
      <w:r>
        <w:rPr>
          <w:rFonts w:cstheme="majorBidi"/>
        </w:rPr>
        <w:t xml:space="preserve">it was determined that a couple of more years of data were needed for a thorough assessment.  GSS staff </w:t>
      </w:r>
      <w:r w:rsidRPr="00C50A51">
        <w:rPr>
          <w:rFonts w:cstheme="majorBidi"/>
        </w:rPr>
        <w:t>work</w:t>
      </w:r>
      <w:r>
        <w:rPr>
          <w:rFonts w:cstheme="majorBidi"/>
        </w:rPr>
        <w:t>ed</w:t>
      </w:r>
      <w:r w:rsidRPr="00C50A51">
        <w:rPr>
          <w:rFonts w:cstheme="majorBidi"/>
        </w:rPr>
        <w:t xml:space="preserve"> with the new </w:t>
      </w:r>
      <w:r>
        <w:rPr>
          <w:rFonts w:cstheme="majorBidi"/>
        </w:rPr>
        <w:t xml:space="preserve">frame </w:t>
      </w:r>
      <w:r w:rsidRPr="00C50A51">
        <w:rPr>
          <w:rFonts w:cstheme="majorBidi"/>
        </w:rPr>
        <w:t>institutions</w:t>
      </w:r>
      <w:r w:rsidRPr="00BE107A">
        <w:rPr>
          <w:rFonts w:cstheme="majorBidi"/>
        </w:rPr>
        <w:t xml:space="preserve"> </w:t>
      </w:r>
      <w:r>
        <w:rPr>
          <w:rFonts w:cstheme="majorBidi"/>
        </w:rPr>
        <w:t>o</w:t>
      </w:r>
      <w:r w:rsidRPr="00C50A51">
        <w:rPr>
          <w:rFonts w:cstheme="majorBidi"/>
        </w:rPr>
        <w:t xml:space="preserve">ver the </w:t>
      </w:r>
      <w:r>
        <w:rPr>
          <w:rFonts w:cstheme="majorBidi"/>
        </w:rPr>
        <w:t>following</w:t>
      </w:r>
      <w:r w:rsidRPr="00C50A51">
        <w:rPr>
          <w:rFonts w:cstheme="majorBidi"/>
        </w:rPr>
        <w:t xml:space="preserve"> two GSS survey cycles to </w:t>
      </w:r>
      <w:r>
        <w:rPr>
          <w:rFonts w:cstheme="majorBidi"/>
        </w:rPr>
        <w:t xml:space="preserve">verify the degree program </w:t>
      </w:r>
      <w:r w:rsidRPr="00C50A51">
        <w:rPr>
          <w:rFonts w:cstheme="majorBidi"/>
        </w:rPr>
        <w:t>eligibility</w:t>
      </w:r>
      <w:r>
        <w:rPr>
          <w:rFonts w:cstheme="majorBidi"/>
        </w:rPr>
        <w:t xml:space="preserve"> and to assist them in accurately reporting the needed</w:t>
      </w:r>
      <w:r w:rsidRPr="00C50A51">
        <w:rPr>
          <w:rFonts w:cstheme="majorBidi"/>
        </w:rPr>
        <w:t xml:space="preserve"> data</w:t>
      </w:r>
      <w:r>
        <w:rPr>
          <w:rFonts w:cstheme="majorBidi"/>
        </w:rPr>
        <w:t>.</w:t>
      </w:r>
    </w:p>
    <w:p w:rsidR="00056E4E" w:rsidRPr="00C50A51" w:rsidRDefault="00056E4E" w:rsidP="00A25836">
      <w:pPr>
        <w:spacing w:after="180"/>
        <w:ind w:left="90" w:right="90"/>
        <w:rPr>
          <w:rFonts w:cstheme="majorBidi"/>
        </w:rPr>
      </w:pPr>
      <w:r>
        <w:rPr>
          <w:rFonts w:cstheme="majorBidi"/>
        </w:rPr>
        <w:t>D</w:t>
      </w:r>
      <w:r w:rsidRPr="00534F81">
        <w:rPr>
          <w:rFonts w:cstheme="majorBidi"/>
        </w:rPr>
        <w:t>uring the 2012 data collection</w:t>
      </w:r>
      <w:r>
        <w:rPr>
          <w:rFonts w:cstheme="majorBidi"/>
        </w:rPr>
        <w:t xml:space="preserve">, 3 </w:t>
      </w:r>
      <w:r w:rsidRPr="00534F81">
        <w:rPr>
          <w:rFonts w:cstheme="majorBidi"/>
        </w:rPr>
        <w:t>institutions were verified and confirmed as ineligible</w:t>
      </w:r>
      <w:r>
        <w:rPr>
          <w:rFonts w:cstheme="majorBidi"/>
        </w:rPr>
        <w:t>.</w:t>
      </w:r>
      <w:r w:rsidRPr="00534F81">
        <w:rPr>
          <w:rFonts w:cstheme="majorBidi"/>
        </w:rPr>
        <w:t xml:space="preserve"> </w:t>
      </w:r>
      <w:r>
        <w:rPr>
          <w:rFonts w:cstheme="majorBidi"/>
        </w:rPr>
        <w:t>D</w:t>
      </w:r>
      <w:r w:rsidRPr="00534F81">
        <w:rPr>
          <w:rFonts w:cstheme="majorBidi"/>
        </w:rPr>
        <w:t>uring the 2013 data collection</w:t>
      </w:r>
      <w:r>
        <w:rPr>
          <w:rFonts w:cstheme="majorBidi"/>
        </w:rPr>
        <w:t>,</w:t>
      </w:r>
      <w:r w:rsidRPr="00534F81">
        <w:rPr>
          <w:rFonts w:cstheme="majorBidi"/>
        </w:rPr>
        <w:t xml:space="preserve"> 12 more were determined as ineligible</w:t>
      </w:r>
      <w:r>
        <w:rPr>
          <w:rFonts w:cstheme="majorBidi"/>
        </w:rPr>
        <w:t xml:space="preserve"> along with all</w:t>
      </w:r>
      <w:r w:rsidRPr="00534F81">
        <w:rPr>
          <w:rFonts w:cstheme="majorBidi"/>
        </w:rPr>
        <w:t xml:space="preserve"> </w:t>
      </w:r>
      <w:r>
        <w:rPr>
          <w:rFonts w:cstheme="majorBidi"/>
        </w:rPr>
        <w:t>10</w:t>
      </w:r>
      <w:r w:rsidRPr="00534F81">
        <w:rPr>
          <w:rFonts w:cstheme="majorBidi"/>
        </w:rPr>
        <w:t xml:space="preserve"> for-profit institutions, leaving 140 frame institutions eligible for the 2014</w:t>
      </w:r>
      <w:r>
        <w:rPr>
          <w:rFonts w:cstheme="majorBidi"/>
        </w:rPr>
        <w:t xml:space="preserve"> survey</w:t>
      </w:r>
      <w:r w:rsidRPr="00534F81">
        <w:rPr>
          <w:rFonts w:cstheme="majorBidi"/>
        </w:rPr>
        <w:t>.</w:t>
      </w:r>
      <w:r w:rsidRPr="00C50A51">
        <w:rPr>
          <w:rFonts w:cstheme="majorBidi"/>
        </w:rPr>
        <w:t xml:space="preserve"> </w:t>
      </w:r>
    </w:p>
    <w:p w:rsidR="00056E4E" w:rsidRDefault="00056E4E" w:rsidP="00A25836">
      <w:pPr>
        <w:spacing w:after="180"/>
        <w:ind w:left="90" w:right="90"/>
        <w:rPr>
          <w:rFonts w:cstheme="majorBidi"/>
        </w:rPr>
      </w:pPr>
      <w:r>
        <w:rPr>
          <w:rFonts w:cstheme="majorBidi"/>
        </w:rPr>
        <w:t>To better understand th</w:t>
      </w:r>
      <w:r w:rsidRPr="00C50A51">
        <w:rPr>
          <w:rFonts w:cstheme="majorBidi"/>
        </w:rPr>
        <w:t xml:space="preserve">e </w:t>
      </w:r>
      <w:r>
        <w:rPr>
          <w:rFonts w:cstheme="majorBidi"/>
        </w:rPr>
        <w:t xml:space="preserve">effect of </w:t>
      </w:r>
      <w:r w:rsidRPr="00C50A51">
        <w:rPr>
          <w:rFonts w:cstheme="majorBidi"/>
        </w:rPr>
        <w:t xml:space="preserve">new “frame” data </w:t>
      </w:r>
      <w:r>
        <w:rPr>
          <w:rFonts w:cstheme="majorBidi"/>
        </w:rPr>
        <w:t>on the GSS trends, the frame data were analyzed to examine</w:t>
      </w:r>
      <w:r w:rsidRPr="00C50A51">
        <w:rPr>
          <w:rFonts w:cstheme="majorBidi"/>
        </w:rPr>
        <w:t xml:space="preserve"> </w:t>
      </w:r>
      <w:r>
        <w:rPr>
          <w:rFonts w:cstheme="majorBidi"/>
        </w:rPr>
        <w:t xml:space="preserve">any </w:t>
      </w:r>
      <w:r w:rsidRPr="00C50A51">
        <w:rPr>
          <w:rFonts w:cstheme="majorBidi"/>
        </w:rPr>
        <w:t xml:space="preserve">differences in institutional </w:t>
      </w:r>
      <w:r>
        <w:rPr>
          <w:rFonts w:cstheme="majorBidi"/>
        </w:rPr>
        <w:t xml:space="preserve">characteristics </w:t>
      </w:r>
      <w:r w:rsidRPr="00C50A51">
        <w:rPr>
          <w:rFonts w:cstheme="majorBidi"/>
        </w:rPr>
        <w:t xml:space="preserve">and characteristics </w:t>
      </w:r>
      <w:r>
        <w:rPr>
          <w:rFonts w:cstheme="majorBidi"/>
        </w:rPr>
        <w:t xml:space="preserve">of graduate students, postdocs and nonfaculty researchers between new </w:t>
      </w:r>
      <w:r w:rsidRPr="00C50A51">
        <w:rPr>
          <w:rFonts w:cstheme="majorBidi"/>
        </w:rPr>
        <w:t xml:space="preserve">frame and core </w:t>
      </w:r>
      <w:r>
        <w:rPr>
          <w:rFonts w:cstheme="majorBidi"/>
        </w:rPr>
        <w:t>institution.  A primary focus of the evaluation was to determine the impact of the change on the population estimates. Therefore, we examined the</w:t>
      </w:r>
      <w:r w:rsidRPr="00C50A51">
        <w:rPr>
          <w:rFonts w:cstheme="majorBidi"/>
        </w:rPr>
        <w:t xml:space="preserve"> percentage point </w:t>
      </w:r>
      <w:r>
        <w:rPr>
          <w:rFonts w:cstheme="majorBidi"/>
        </w:rPr>
        <w:t>difference</w:t>
      </w:r>
      <w:r w:rsidRPr="00C50A51">
        <w:rPr>
          <w:rFonts w:cstheme="majorBidi"/>
        </w:rPr>
        <w:t xml:space="preserve"> </w:t>
      </w:r>
      <w:r>
        <w:rPr>
          <w:rFonts w:cstheme="majorBidi"/>
        </w:rPr>
        <w:t xml:space="preserve">on the GSS data when excluding the new frame institutions (GSS core data) and when including data from the </w:t>
      </w:r>
      <w:r w:rsidRPr="00C50A51">
        <w:rPr>
          <w:rFonts w:cstheme="majorBidi"/>
        </w:rPr>
        <w:t>new frame institutions.</w:t>
      </w:r>
    </w:p>
    <w:p w:rsidR="00056E4E" w:rsidRPr="00C50A51" w:rsidRDefault="00056E4E" w:rsidP="00A25836">
      <w:pPr>
        <w:spacing w:after="180"/>
        <w:ind w:left="90" w:right="90"/>
        <w:rPr>
          <w:rFonts w:cstheme="majorBidi"/>
        </w:rPr>
      </w:pPr>
      <w:r>
        <w:rPr>
          <w:rFonts w:cstheme="majorBidi"/>
        </w:rPr>
        <w:t>A s</w:t>
      </w:r>
      <w:r w:rsidRPr="00C50A51">
        <w:rPr>
          <w:rFonts w:cstheme="majorBidi"/>
        </w:rPr>
        <w:t>ummary of the key findings are listed below</w:t>
      </w:r>
      <w:r>
        <w:rPr>
          <w:rFonts w:cstheme="majorBidi"/>
        </w:rPr>
        <w:t xml:space="preserve">. A </w:t>
      </w:r>
      <w:r w:rsidRPr="00C50A51">
        <w:rPr>
          <w:rFonts w:cstheme="majorBidi"/>
        </w:rPr>
        <w:t xml:space="preserve">table summarizing the </w:t>
      </w:r>
      <w:r>
        <w:rPr>
          <w:rFonts w:cstheme="majorBidi"/>
        </w:rPr>
        <w:t xml:space="preserve">GSS </w:t>
      </w:r>
      <w:r w:rsidRPr="00C50A51">
        <w:rPr>
          <w:rFonts w:cstheme="majorBidi"/>
        </w:rPr>
        <w:t>data for core and new frame institutions</w:t>
      </w:r>
      <w:r>
        <w:rPr>
          <w:rFonts w:cstheme="majorBidi"/>
        </w:rPr>
        <w:t xml:space="preserve"> is also included</w:t>
      </w:r>
      <w:r w:rsidRPr="00C50A51">
        <w:rPr>
          <w:rFonts w:cstheme="majorBidi"/>
        </w:rPr>
        <w:t xml:space="preserve">. </w:t>
      </w:r>
    </w:p>
    <w:p w:rsidR="00056E4E" w:rsidRDefault="00056E4E" w:rsidP="00A25836">
      <w:pPr>
        <w:tabs>
          <w:tab w:val="left" w:pos="360"/>
        </w:tabs>
        <w:spacing w:after="120"/>
        <w:ind w:left="360" w:right="90" w:hanging="270"/>
        <w:rPr>
          <w:rFonts w:cstheme="majorBidi"/>
          <w:i/>
        </w:rPr>
      </w:pPr>
      <w:r w:rsidRPr="00C50A51">
        <w:rPr>
          <w:rFonts w:cstheme="majorBidi"/>
          <w:i/>
        </w:rPr>
        <w:t>Key Findings</w:t>
      </w:r>
    </w:p>
    <w:p w:rsidR="00056E4E" w:rsidRDefault="00056E4E" w:rsidP="00A25836">
      <w:pPr>
        <w:pStyle w:val="ListParagraph"/>
        <w:numPr>
          <w:ilvl w:val="0"/>
          <w:numId w:val="3"/>
        </w:numPr>
        <w:tabs>
          <w:tab w:val="left" w:pos="360"/>
        </w:tabs>
        <w:spacing w:after="80"/>
        <w:ind w:right="90" w:hanging="270"/>
        <w:rPr>
          <w:rFonts w:cstheme="majorBidi"/>
        </w:rPr>
      </w:pPr>
      <w:r w:rsidRPr="00BF1EE5">
        <w:rPr>
          <w:rFonts w:cstheme="majorBidi"/>
        </w:rPr>
        <w:t xml:space="preserve">Key </w:t>
      </w:r>
      <w:r>
        <w:rPr>
          <w:rFonts w:cstheme="majorBidi"/>
        </w:rPr>
        <w:t xml:space="preserve">data </w:t>
      </w:r>
      <w:r w:rsidRPr="00BF1EE5">
        <w:rPr>
          <w:rFonts w:cstheme="majorBidi"/>
        </w:rPr>
        <w:t>differences between core and frame institutions include institutional control,</w:t>
      </w:r>
      <w:r>
        <w:rPr>
          <w:rFonts w:cstheme="majorBidi"/>
        </w:rPr>
        <w:t xml:space="preserve"> </w:t>
      </w:r>
      <w:r w:rsidRPr="00BF1EE5">
        <w:rPr>
          <w:rFonts w:cstheme="majorBidi"/>
        </w:rPr>
        <w:t>degree</w:t>
      </w:r>
      <w:r>
        <w:rPr>
          <w:rFonts w:cstheme="majorBidi"/>
        </w:rPr>
        <w:t xml:space="preserve"> programs offered, student</w:t>
      </w:r>
      <w:r w:rsidRPr="00BF1EE5">
        <w:rPr>
          <w:rFonts w:cstheme="majorBidi"/>
        </w:rPr>
        <w:t xml:space="preserve"> </w:t>
      </w:r>
      <w:r>
        <w:rPr>
          <w:rFonts w:cstheme="majorBidi"/>
        </w:rPr>
        <w:t>enrollment status, demographic characteristics, and primary funding source</w:t>
      </w:r>
      <w:r w:rsidRPr="00BF1EE5">
        <w:rPr>
          <w:rFonts w:cstheme="majorBidi"/>
        </w:rPr>
        <w:t>.</w:t>
      </w:r>
    </w:p>
    <w:p w:rsidR="00056E4E" w:rsidRDefault="00056E4E" w:rsidP="00A25836">
      <w:pPr>
        <w:pStyle w:val="ListParagraph"/>
        <w:numPr>
          <w:ilvl w:val="0"/>
          <w:numId w:val="3"/>
        </w:numPr>
        <w:tabs>
          <w:tab w:val="left" w:pos="360"/>
        </w:tabs>
        <w:spacing w:after="80"/>
        <w:ind w:right="90" w:hanging="270"/>
        <w:rPr>
          <w:rFonts w:cstheme="majorBidi"/>
        </w:rPr>
      </w:pPr>
      <w:r>
        <w:rPr>
          <w:rFonts w:cstheme="majorBidi"/>
        </w:rPr>
        <w:t>New f</w:t>
      </w:r>
      <w:r w:rsidRPr="00D76424">
        <w:rPr>
          <w:rFonts w:cstheme="majorBidi"/>
        </w:rPr>
        <w:t>rame institutions typically ha</w:t>
      </w:r>
      <w:r>
        <w:rPr>
          <w:rFonts w:cstheme="majorBidi"/>
        </w:rPr>
        <w:t>d</w:t>
      </w:r>
      <w:r w:rsidRPr="00D76424">
        <w:rPr>
          <w:rFonts w:cstheme="majorBidi"/>
        </w:rPr>
        <w:t xml:space="preserve"> only a few eligible SEH units and only one in 10 </w:t>
      </w:r>
      <w:r>
        <w:rPr>
          <w:rFonts w:cstheme="majorBidi"/>
        </w:rPr>
        <w:t xml:space="preserve">new </w:t>
      </w:r>
      <w:r w:rsidRPr="00D76424">
        <w:rPr>
          <w:rFonts w:cstheme="majorBidi"/>
        </w:rPr>
        <w:t xml:space="preserve">frame </w:t>
      </w:r>
      <w:r>
        <w:rPr>
          <w:rFonts w:cstheme="majorBidi"/>
        </w:rPr>
        <w:t xml:space="preserve">institutions reports postdocs or NFRs. </w:t>
      </w:r>
      <w:r w:rsidRPr="00D76424">
        <w:rPr>
          <w:rFonts w:cstheme="majorBidi"/>
        </w:rPr>
        <w:t>In 2013, the average core institution contained 24.9 eligible units, whereas the average frame institution contained 3.2 eligible units</w:t>
      </w:r>
      <w:r>
        <w:rPr>
          <w:rFonts w:cstheme="majorBidi"/>
        </w:rPr>
        <w:t>.</w:t>
      </w:r>
    </w:p>
    <w:p w:rsidR="00056E4E" w:rsidRPr="00C50A51" w:rsidRDefault="00056E4E" w:rsidP="00A25836">
      <w:pPr>
        <w:pStyle w:val="ListParagraph"/>
        <w:numPr>
          <w:ilvl w:val="0"/>
          <w:numId w:val="3"/>
        </w:numPr>
        <w:tabs>
          <w:tab w:val="left" w:pos="360"/>
        </w:tabs>
        <w:spacing w:after="80"/>
        <w:ind w:right="90" w:hanging="270"/>
        <w:rPr>
          <w:rFonts w:cstheme="majorBidi"/>
        </w:rPr>
      </w:pPr>
      <w:r w:rsidRPr="00C50A51">
        <w:rPr>
          <w:rFonts w:cstheme="majorBidi"/>
        </w:rPr>
        <w:t xml:space="preserve">The new frame institutions added 20,772 students to an overall total of 653,782 </w:t>
      </w:r>
      <w:r>
        <w:rPr>
          <w:rFonts w:cstheme="majorBidi"/>
        </w:rPr>
        <w:t xml:space="preserve">SEH </w:t>
      </w:r>
      <w:r w:rsidRPr="00C50A51">
        <w:rPr>
          <w:rFonts w:cstheme="majorBidi"/>
        </w:rPr>
        <w:t xml:space="preserve">graduate enrollments, an increase of 3.2% from 633,010 </w:t>
      </w:r>
      <w:r>
        <w:rPr>
          <w:rFonts w:cstheme="majorBidi"/>
        </w:rPr>
        <w:t xml:space="preserve">core institution </w:t>
      </w:r>
      <w:r w:rsidRPr="00C50A51">
        <w:rPr>
          <w:rFonts w:cstheme="majorBidi"/>
        </w:rPr>
        <w:t xml:space="preserve">students. </w:t>
      </w:r>
    </w:p>
    <w:p w:rsidR="00056E4E" w:rsidRPr="00C50A51" w:rsidRDefault="00056E4E" w:rsidP="00A25836">
      <w:pPr>
        <w:pStyle w:val="ListParagraph"/>
        <w:numPr>
          <w:ilvl w:val="0"/>
          <w:numId w:val="3"/>
        </w:numPr>
        <w:tabs>
          <w:tab w:val="left" w:pos="360"/>
        </w:tabs>
        <w:spacing w:after="80"/>
        <w:ind w:right="90" w:hanging="270"/>
        <w:rPr>
          <w:rFonts w:cstheme="majorBidi"/>
        </w:rPr>
      </w:pPr>
      <w:r w:rsidRPr="00C50A51">
        <w:rPr>
          <w:rFonts w:cstheme="majorBidi"/>
        </w:rPr>
        <w:t>Including graduate students in new frame institutions led to a 2.0% increase in full-time students and a 6.9% increase in part-time students. The increase in part-time enrollment will create one of the largest trend changes from the addition of the frame institutions, causing a 0.9 percentage point increase in the proportion of total SEH graduate students enrolled part-time.</w:t>
      </w:r>
    </w:p>
    <w:p w:rsidR="00056E4E" w:rsidRPr="00C50A51" w:rsidRDefault="00056E4E" w:rsidP="00A25836">
      <w:pPr>
        <w:pStyle w:val="ListParagraph"/>
        <w:numPr>
          <w:ilvl w:val="0"/>
          <w:numId w:val="3"/>
        </w:numPr>
        <w:tabs>
          <w:tab w:val="left" w:pos="360"/>
        </w:tabs>
        <w:spacing w:after="80"/>
        <w:ind w:right="90" w:hanging="270"/>
        <w:rPr>
          <w:rFonts w:cstheme="majorBidi"/>
        </w:rPr>
      </w:pPr>
      <w:r w:rsidRPr="00C50A51">
        <w:rPr>
          <w:rFonts w:cstheme="majorBidi"/>
        </w:rPr>
        <w:t xml:space="preserve">Graduate students in new frame institutions were more likely to be part-time students, women, minorities (particularly African-Americans), U.S. citizens or permanent residents, and self-supported than those in core institutions. </w:t>
      </w:r>
    </w:p>
    <w:p w:rsidR="00056E4E" w:rsidRDefault="00056E4E" w:rsidP="00A25836">
      <w:pPr>
        <w:pStyle w:val="ListParagraph"/>
        <w:numPr>
          <w:ilvl w:val="0"/>
          <w:numId w:val="3"/>
        </w:numPr>
        <w:tabs>
          <w:tab w:val="left" w:pos="360"/>
        </w:tabs>
        <w:spacing w:after="80"/>
        <w:ind w:right="90" w:hanging="270"/>
        <w:rPr>
          <w:rFonts w:cstheme="majorBidi"/>
        </w:rPr>
      </w:pPr>
      <w:r>
        <w:rPr>
          <w:rFonts w:cstheme="majorBidi"/>
        </w:rPr>
        <w:t>New</w:t>
      </w:r>
      <w:r w:rsidRPr="00D76424">
        <w:rPr>
          <w:rFonts w:cstheme="majorBidi"/>
        </w:rPr>
        <w:t xml:space="preserve"> frame </w:t>
      </w:r>
      <w:r>
        <w:rPr>
          <w:rFonts w:cstheme="majorBidi"/>
        </w:rPr>
        <w:t xml:space="preserve">institution </w:t>
      </w:r>
      <w:r w:rsidRPr="00D76424">
        <w:rPr>
          <w:rFonts w:cstheme="majorBidi"/>
        </w:rPr>
        <w:t>units are much more likely than core</w:t>
      </w:r>
      <w:r>
        <w:rPr>
          <w:rFonts w:cstheme="majorBidi"/>
        </w:rPr>
        <w:t xml:space="preserve"> institution</w:t>
      </w:r>
      <w:r w:rsidRPr="00D76424">
        <w:rPr>
          <w:rFonts w:cstheme="majorBidi"/>
        </w:rPr>
        <w:t xml:space="preserve"> units to be in computer sciences (11.3% vs 4.0%) and psychology (11.3% vs 6.2%) and much less likely to be in engineering and health (6.4% vs 14.7% and 12.0% vs 19.1%, respectively</w:t>
      </w:r>
      <w:r>
        <w:rPr>
          <w:rFonts w:cstheme="majorBidi"/>
        </w:rPr>
        <w:t>).</w:t>
      </w:r>
    </w:p>
    <w:p w:rsidR="00A25836" w:rsidRPr="00A25836" w:rsidRDefault="00056E4E" w:rsidP="004A1728">
      <w:pPr>
        <w:pStyle w:val="ListParagraph"/>
        <w:numPr>
          <w:ilvl w:val="0"/>
          <w:numId w:val="3"/>
        </w:numPr>
        <w:tabs>
          <w:tab w:val="left" w:pos="360"/>
        </w:tabs>
        <w:ind w:right="86" w:hanging="274"/>
        <w:rPr>
          <w:rFonts w:cstheme="majorBidi"/>
        </w:rPr>
      </w:pPr>
      <w:r w:rsidRPr="00C50A51">
        <w:t>New frame institutions employed small numbers of postdocs and NFRs. In 2013, there were 1,048 postdocs in new frame institutions, accounting for 1.7% of the 62,9</w:t>
      </w:r>
      <w:r>
        <w:t>90</w:t>
      </w:r>
      <w:r w:rsidRPr="00C50A51">
        <w:t xml:space="preserve"> </w:t>
      </w:r>
      <w:r>
        <w:t xml:space="preserve">total </w:t>
      </w:r>
      <w:r w:rsidRPr="00C50A51">
        <w:t xml:space="preserve">postdocs. The 343 NFRs in new frame institutions accounted for 1.5% of the 22,808 </w:t>
      </w:r>
      <w:r>
        <w:t xml:space="preserve">total </w:t>
      </w:r>
      <w:r w:rsidRPr="00C50A51">
        <w:t>NFRs.</w:t>
      </w:r>
    </w:p>
    <w:p w:rsidR="00DF2720" w:rsidRDefault="00056E4E" w:rsidP="004A1728">
      <w:pPr>
        <w:spacing w:before="240"/>
        <w:ind w:left="360" w:firstLine="86"/>
      </w:pPr>
      <w:r w:rsidRPr="00D4407A">
        <w:rPr>
          <w:noProof/>
        </w:rPr>
        <w:lastRenderedPageBreak/>
        <w:drawing>
          <wp:inline distT="0" distB="0" distL="0" distR="0" wp14:anchorId="50D97865" wp14:editId="41EC90DC">
            <wp:extent cx="5818094" cy="89359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0034" cy="8938904"/>
                    </a:xfrm>
                    <a:prstGeom prst="rect">
                      <a:avLst/>
                    </a:prstGeom>
                    <a:noFill/>
                    <a:ln>
                      <a:noFill/>
                    </a:ln>
                  </pic:spPr>
                </pic:pic>
              </a:graphicData>
            </a:graphic>
          </wp:inline>
        </w:drawing>
      </w:r>
    </w:p>
    <w:sectPr w:rsidR="00DF2720" w:rsidSect="00056E4E">
      <w:pgSz w:w="12240" w:h="15840"/>
      <w:pgMar w:top="720" w:right="990" w:bottom="99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562A6"/>
    <w:multiLevelType w:val="hybridMultilevel"/>
    <w:tmpl w:val="CEC86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B5000F"/>
    <w:multiLevelType w:val="hybridMultilevel"/>
    <w:tmpl w:val="B6F0A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4E031A7"/>
    <w:multiLevelType w:val="hybridMultilevel"/>
    <w:tmpl w:val="1818A7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3F"/>
    <w:rsid w:val="000120F0"/>
    <w:rsid w:val="0001734E"/>
    <w:rsid w:val="00021E62"/>
    <w:rsid w:val="00056E4E"/>
    <w:rsid w:val="000654D8"/>
    <w:rsid w:val="00083ADD"/>
    <w:rsid w:val="000F18AA"/>
    <w:rsid w:val="000F6496"/>
    <w:rsid w:val="000F6FAF"/>
    <w:rsid w:val="000F73F4"/>
    <w:rsid w:val="00111070"/>
    <w:rsid w:val="0014151F"/>
    <w:rsid w:val="001531B2"/>
    <w:rsid w:val="00156945"/>
    <w:rsid w:val="001A15D4"/>
    <w:rsid w:val="001A477B"/>
    <w:rsid w:val="001B782D"/>
    <w:rsid w:val="001E7274"/>
    <w:rsid w:val="00217A2E"/>
    <w:rsid w:val="00236413"/>
    <w:rsid w:val="00257662"/>
    <w:rsid w:val="00261254"/>
    <w:rsid w:val="0028079C"/>
    <w:rsid w:val="00281737"/>
    <w:rsid w:val="00283774"/>
    <w:rsid w:val="00295317"/>
    <w:rsid w:val="002A5BC9"/>
    <w:rsid w:val="002A7224"/>
    <w:rsid w:val="002D2451"/>
    <w:rsid w:val="00336C75"/>
    <w:rsid w:val="00346CFC"/>
    <w:rsid w:val="00397DD7"/>
    <w:rsid w:val="003A5FBD"/>
    <w:rsid w:val="004016BD"/>
    <w:rsid w:val="00431AE5"/>
    <w:rsid w:val="00480E90"/>
    <w:rsid w:val="00483F1E"/>
    <w:rsid w:val="00490DF8"/>
    <w:rsid w:val="004A1728"/>
    <w:rsid w:val="004E4711"/>
    <w:rsid w:val="0052555B"/>
    <w:rsid w:val="00525F09"/>
    <w:rsid w:val="00547027"/>
    <w:rsid w:val="00594EC3"/>
    <w:rsid w:val="00597BBE"/>
    <w:rsid w:val="005A57C6"/>
    <w:rsid w:val="005B619D"/>
    <w:rsid w:val="005D51F9"/>
    <w:rsid w:val="006F3840"/>
    <w:rsid w:val="00703EDD"/>
    <w:rsid w:val="007129A4"/>
    <w:rsid w:val="00716DBC"/>
    <w:rsid w:val="0074031B"/>
    <w:rsid w:val="007603F7"/>
    <w:rsid w:val="0078433E"/>
    <w:rsid w:val="007A73E9"/>
    <w:rsid w:val="007B0619"/>
    <w:rsid w:val="007D4D35"/>
    <w:rsid w:val="00830418"/>
    <w:rsid w:val="0085670C"/>
    <w:rsid w:val="008873E0"/>
    <w:rsid w:val="00887CA8"/>
    <w:rsid w:val="008A64AD"/>
    <w:rsid w:val="008B48C1"/>
    <w:rsid w:val="008C0015"/>
    <w:rsid w:val="008E1A01"/>
    <w:rsid w:val="008F02E2"/>
    <w:rsid w:val="008F2B12"/>
    <w:rsid w:val="00902B3F"/>
    <w:rsid w:val="00907EA2"/>
    <w:rsid w:val="00963271"/>
    <w:rsid w:val="00963902"/>
    <w:rsid w:val="009B6145"/>
    <w:rsid w:val="009C2452"/>
    <w:rsid w:val="00A131DC"/>
    <w:rsid w:val="00A25836"/>
    <w:rsid w:val="00A27B6F"/>
    <w:rsid w:val="00A36703"/>
    <w:rsid w:val="00A40BDF"/>
    <w:rsid w:val="00A700FB"/>
    <w:rsid w:val="00B044A0"/>
    <w:rsid w:val="00B4205E"/>
    <w:rsid w:val="00B427CE"/>
    <w:rsid w:val="00B8350F"/>
    <w:rsid w:val="00BC12EC"/>
    <w:rsid w:val="00C26E3A"/>
    <w:rsid w:val="00C448FF"/>
    <w:rsid w:val="00C544E3"/>
    <w:rsid w:val="00C9403A"/>
    <w:rsid w:val="00CC57FF"/>
    <w:rsid w:val="00CC7A25"/>
    <w:rsid w:val="00CE335F"/>
    <w:rsid w:val="00D31B27"/>
    <w:rsid w:val="00D36972"/>
    <w:rsid w:val="00D56D7F"/>
    <w:rsid w:val="00D577EC"/>
    <w:rsid w:val="00D72355"/>
    <w:rsid w:val="00D83A2C"/>
    <w:rsid w:val="00DB1A14"/>
    <w:rsid w:val="00DC661C"/>
    <w:rsid w:val="00DE2CDB"/>
    <w:rsid w:val="00DF2720"/>
    <w:rsid w:val="00DF59B9"/>
    <w:rsid w:val="00DF6EE6"/>
    <w:rsid w:val="00E021AE"/>
    <w:rsid w:val="00E1391E"/>
    <w:rsid w:val="00E333AA"/>
    <w:rsid w:val="00E530D7"/>
    <w:rsid w:val="00E93EAA"/>
    <w:rsid w:val="00E97C11"/>
    <w:rsid w:val="00EC19F2"/>
    <w:rsid w:val="00EF42E1"/>
    <w:rsid w:val="00F75F08"/>
    <w:rsid w:val="00FC341D"/>
    <w:rsid w:val="00FD4EA1"/>
    <w:rsid w:val="00FF337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B3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B3F"/>
    <w:rPr>
      <w:color w:val="0000FF"/>
      <w:u w:val="single"/>
    </w:rPr>
  </w:style>
  <w:style w:type="paragraph" w:styleId="ListParagraph">
    <w:name w:val="List Paragraph"/>
    <w:basedOn w:val="Normal"/>
    <w:uiPriority w:val="34"/>
    <w:qFormat/>
    <w:rsid w:val="00902B3F"/>
    <w:pPr>
      <w:ind w:left="720"/>
    </w:pPr>
  </w:style>
  <w:style w:type="character" w:styleId="Strong">
    <w:name w:val="Strong"/>
    <w:basedOn w:val="DefaultParagraphFont"/>
    <w:uiPriority w:val="22"/>
    <w:qFormat/>
    <w:rsid w:val="00902B3F"/>
    <w:rPr>
      <w:b/>
      <w:bCs/>
    </w:rPr>
  </w:style>
  <w:style w:type="character" w:styleId="CommentReference">
    <w:name w:val="annotation reference"/>
    <w:basedOn w:val="DefaultParagraphFont"/>
    <w:uiPriority w:val="99"/>
    <w:semiHidden/>
    <w:unhideWhenUsed/>
    <w:rsid w:val="00D577EC"/>
    <w:rPr>
      <w:sz w:val="16"/>
      <w:szCs w:val="16"/>
    </w:rPr>
  </w:style>
  <w:style w:type="paragraph" w:styleId="CommentText">
    <w:name w:val="annotation text"/>
    <w:basedOn w:val="Normal"/>
    <w:link w:val="CommentTextChar"/>
    <w:uiPriority w:val="99"/>
    <w:semiHidden/>
    <w:unhideWhenUsed/>
    <w:rsid w:val="00D577EC"/>
    <w:rPr>
      <w:sz w:val="20"/>
      <w:szCs w:val="20"/>
    </w:rPr>
  </w:style>
  <w:style w:type="character" w:customStyle="1" w:styleId="CommentTextChar">
    <w:name w:val="Comment Text Char"/>
    <w:basedOn w:val="DefaultParagraphFont"/>
    <w:link w:val="CommentText"/>
    <w:uiPriority w:val="99"/>
    <w:semiHidden/>
    <w:rsid w:val="00D577E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77EC"/>
    <w:rPr>
      <w:b/>
      <w:bCs/>
    </w:rPr>
  </w:style>
  <w:style w:type="character" w:customStyle="1" w:styleId="CommentSubjectChar">
    <w:name w:val="Comment Subject Char"/>
    <w:basedOn w:val="CommentTextChar"/>
    <w:link w:val="CommentSubject"/>
    <w:uiPriority w:val="99"/>
    <w:semiHidden/>
    <w:rsid w:val="00D577EC"/>
    <w:rPr>
      <w:rFonts w:ascii="Calibri" w:hAnsi="Calibri" w:cs="Times New Roman"/>
      <w:b/>
      <w:bCs/>
      <w:sz w:val="20"/>
      <w:szCs w:val="20"/>
    </w:rPr>
  </w:style>
  <w:style w:type="paragraph" w:styleId="BalloonText">
    <w:name w:val="Balloon Text"/>
    <w:basedOn w:val="Normal"/>
    <w:link w:val="BalloonTextChar"/>
    <w:uiPriority w:val="99"/>
    <w:semiHidden/>
    <w:unhideWhenUsed/>
    <w:rsid w:val="00D577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7EC"/>
    <w:rPr>
      <w:rFonts w:ascii="Segoe UI" w:hAnsi="Segoe UI" w:cs="Segoe UI"/>
      <w:sz w:val="18"/>
      <w:szCs w:val="18"/>
    </w:rPr>
  </w:style>
  <w:style w:type="paragraph" w:styleId="Revision">
    <w:name w:val="Revision"/>
    <w:hidden/>
    <w:uiPriority w:val="99"/>
    <w:semiHidden/>
    <w:rsid w:val="00D83A2C"/>
    <w:pPr>
      <w:spacing w:after="0" w:line="240" w:lineRule="auto"/>
    </w:pPr>
    <w:rPr>
      <w:rFonts w:ascii="Calibri" w:hAnsi="Calibri" w:cs="Times New Roman"/>
    </w:rPr>
  </w:style>
  <w:style w:type="paragraph" w:styleId="Title">
    <w:name w:val="Title"/>
    <w:basedOn w:val="Normal"/>
    <w:link w:val="TitleChar"/>
    <w:qFormat/>
    <w:rsid w:val="00056E4E"/>
    <w:pPr>
      <w:spacing w:after="240"/>
      <w:jc w:val="center"/>
    </w:pPr>
    <w:rPr>
      <w:rFonts w:asciiTheme="minorHAnsi" w:eastAsia="Times New Roman" w:hAnsiTheme="minorHAnsi"/>
      <w:b/>
      <w:color w:val="000000"/>
      <w:sz w:val="24"/>
      <w:szCs w:val="24"/>
    </w:rPr>
  </w:style>
  <w:style w:type="character" w:customStyle="1" w:styleId="TitleChar">
    <w:name w:val="Title Char"/>
    <w:basedOn w:val="DefaultParagraphFont"/>
    <w:link w:val="Title"/>
    <w:rsid w:val="00056E4E"/>
    <w:rPr>
      <w:rFonts w:eastAsia="Times New Roman" w:cs="Times New Roman"/>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B3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B3F"/>
    <w:rPr>
      <w:color w:val="0000FF"/>
      <w:u w:val="single"/>
    </w:rPr>
  </w:style>
  <w:style w:type="paragraph" w:styleId="ListParagraph">
    <w:name w:val="List Paragraph"/>
    <w:basedOn w:val="Normal"/>
    <w:uiPriority w:val="34"/>
    <w:qFormat/>
    <w:rsid w:val="00902B3F"/>
    <w:pPr>
      <w:ind w:left="720"/>
    </w:pPr>
  </w:style>
  <w:style w:type="character" w:styleId="Strong">
    <w:name w:val="Strong"/>
    <w:basedOn w:val="DefaultParagraphFont"/>
    <w:uiPriority w:val="22"/>
    <w:qFormat/>
    <w:rsid w:val="00902B3F"/>
    <w:rPr>
      <w:b/>
      <w:bCs/>
    </w:rPr>
  </w:style>
  <w:style w:type="character" w:styleId="CommentReference">
    <w:name w:val="annotation reference"/>
    <w:basedOn w:val="DefaultParagraphFont"/>
    <w:uiPriority w:val="99"/>
    <w:semiHidden/>
    <w:unhideWhenUsed/>
    <w:rsid w:val="00D577EC"/>
    <w:rPr>
      <w:sz w:val="16"/>
      <w:szCs w:val="16"/>
    </w:rPr>
  </w:style>
  <w:style w:type="paragraph" w:styleId="CommentText">
    <w:name w:val="annotation text"/>
    <w:basedOn w:val="Normal"/>
    <w:link w:val="CommentTextChar"/>
    <w:uiPriority w:val="99"/>
    <w:semiHidden/>
    <w:unhideWhenUsed/>
    <w:rsid w:val="00D577EC"/>
    <w:rPr>
      <w:sz w:val="20"/>
      <w:szCs w:val="20"/>
    </w:rPr>
  </w:style>
  <w:style w:type="character" w:customStyle="1" w:styleId="CommentTextChar">
    <w:name w:val="Comment Text Char"/>
    <w:basedOn w:val="DefaultParagraphFont"/>
    <w:link w:val="CommentText"/>
    <w:uiPriority w:val="99"/>
    <w:semiHidden/>
    <w:rsid w:val="00D577E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77EC"/>
    <w:rPr>
      <w:b/>
      <w:bCs/>
    </w:rPr>
  </w:style>
  <w:style w:type="character" w:customStyle="1" w:styleId="CommentSubjectChar">
    <w:name w:val="Comment Subject Char"/>
    <w:basedOn w:val="CommentTextChar"/>
    <w:link w:val="CommentSubject"/>
    <w:uiPriority w:val="99"/>
    <w:semiHidden/>
    <w:rsid w:val="00D577EC"/>
    <w:rPr>
      <w:rFonts w:ascii="Calibri" w:hAnsi="Calibri" w:cs="Times New Roman"/>
      <w:b/>
      <w:bCs/>
      <w:sz w:val="20"/>
      <w:szCs w:val="20"/>
    </w:rPr>
  </w:style>
  <w:style w:type="paragraph" w:styleId="BalloonText">
    <w:name w:val="Balloon Text"/>
    <w:basedOn w:val="Normal"/>
    <w:link w:val="BalloonTextChar"/>
    <w:uiPriority w:val="99"/>
    <w:semiHidden/>
    <w:unhideWhenUsed/>
    <w:rsid w:val="00D577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7EC"/>
    <w:rPr>
      <w:rFonts w:ascii="Segoe UI" w:hAnsi="Segoe UI" w:cs="Segoe UI"/>
      <w:sz w:val="18"/>
      <w:szCs w:val="18"/>
    </w:rPr>
  </w:style>
  <w:style w:type="paragraph" w:styleId="Revision">
    <w:name w:val="Revision"/>
    <w:hidden/>
    <w:uiPriority w:val="99"/>
    <w:semiHidden/>
    <w:rsid w:val="00D83A2C"/>
    <w:pPr>
      <w:spacing w:after="0" w:line="240" w:lineRule="auto"/>
    </w:pPr>
    <w:rPr>
      <w:rFonts w:ascii="Calibri" w:hAnsi="Calibri" w:cs="Times New Roman"/>
    </w:rPr>
  </w:style>
  <w:style w:type="paragraph" w:styleId="Title">
    <w:name w:val="Title"/>
    <w:basedOn w:val="Normal"/>
    <w:link w:val="TitleChar"/>
    <w:qFormat/>
    <w:rsid w:val="00056E4E"/>
    <w:pPr>
      <w:spacing w:after="240"/>
      <w:jc w:val="center"/>
    </w:pPr>
    <w:rPr>
      <w:rFonts w:asciiTheme="minorHAnsi" w:eastAsia="Times New Roman" w:hAnsiTheme="minorHAnsi"/>
      <w:b/>
      <w:color w:val="000000"/>
      <w:sz w:val="24"/>
      <w:szCs w:val="24"/>
    </w:rPr>
  </w:style>
  <w:style w:type="character" w:customStyle="1" w:styleId="TitleChar">
    <w:name w:val="Title Char"/>
    <w:basedOn w:val="DefaultParagraphFont"/>
    <w:link w:val="Title"/>
    <w:rsid w:val="00056E4E"/>
    <w:rPr>
      <w:rFonts w:eastAsia="Times New Roman"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59285">
      <w:bodyDiv w:val="1"/>
      <w:marLeft w:val="0"/>
      <w:marRight w:val="0"/>
      <w:marTop w:val="0"/>
      <w:marBottom w:val="0"/>
      <w:divBdr>
        <w:top w:val="none" w:sz="0" w:space="0" w:color="auto"/>
        <w:left w:val="none" w:sz="0" w:space="0" w:color="auto"/>
        <w:bottom w:val="none" w:sz="0" w:space="0" w:color="auto"/>
        <w:right w:val="none" w:sz="0" w:space="0" w:color="auto"/>
      </w:divBdr>
    </w:div>
    <w:div w:id="209940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sf.gov/statistics/srvygradpost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1860</Words>
  <Characters>10607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Einaudi, Peter</dc:creator>
  <cp:lastModifiedBy>martinez_r</cp:lastModifiedBy>
  <cp:revision>2</cp:revision>
  <dcterms:created xsi:type="dcterms:W3CDTF">2014-11-04T15:53:00Z</dcterms:created>
  <dcterms:modified xsi:type="dcterms:W3CDTF">2014-11-04T15:53:00Z</dcterms:modified>
</cp:coreProperties>
</file>