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8FCA" w14:textId="23B825F3" w:rsidR="00B8284A" w:rsidRPr="00087E71" w:rsidRDefault="00BC53E8" w:rsidP="00BC53E8">
      <w:pPr>
        <w:rPr>
          <w:rFonts w:ascii="Times New Roman" w:hAnsi="Times New Roman"/>
          <w:sz w:val="22"/>
          <w:szCs w:val="22"/>
        </w:rPr>
      </w:pPr>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DB607D" w:rsidRPr="00DB607D">
        <w:rPr>
          <w:rFonts w:ascii="Times New Roman" w:hAnsi="Times New Roman"/>
          <w:b/>
          <w:sz w:val="22"/>
          <w:szCs w:val="22"/>
        </w:rPr>
        <w:t>Native American Basic Budget A&amp;B and Native American Basic Final Financial and Performance Report</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33F07E29"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w:t>
      </w:r>
      <w:r w:rsidR="00143554">
        <w:rPr>
          <w:rFonts w:ascii="Times New Roman" w:hAnsi="Times New Roman"/>
          <w:sz w:val="22"/>
          <w:szCs w:val="22"/>
        </w:rPr>
        <w:t xml:space="preserve">the </w:t>
      </w:r>
      <w:r w:rsidR="00D84BAF" w:rsidRPr="00D84BAF">
        <w:rPr>
          <w:rFonts w:ascii="Times New Roman" w:hAnsi="Times New Roman"/>
          <w:sz w:val="22"/>
          <w:szCs w:val="22"/>
        </w:rPr>
        <w:t>Library Reviewer form and Museum Reviewer form</w:t>
      </w:r>
      <w:r w:rsidRPr="00591F85">
        <w:rPr>
          <w:rFonts w:ascii="Times New Roman" w:hAnsi="Times New Roman"/>
          <w:sz w:val="22"/>
          <w:szCs w:val="22"/>
        </w:rPr>
        <w:t>.</w:t>
      </w:r>
      <w:r>
        <w:rPr>
          <w:rFonts w:ascii="Times New Roman" w:hAnsi="Times New Roman"/>
          <w:sz w:val="22"/>
          <w:szCs w:val="22"/>
        </w:rPr>
        <w:t xml:space="preserve"> </w:t>
      </w:r>
      <w:r w:rsidRPr="00591F85">
        <w:rPr>
          <w:rFonts w:ascii="Times New Roman" w:hAnsi="Times New Roman"/>
          <w:sz w:val="22"/>
          <w:szCs w:val="22"/>
        </w:rPr>
        <w:t xml:space="preserve">IMLS is requesting a </w:t>
      </w:r>
      <w:r w:rsidR="00FF60B2">
        <w:rPr>
          <w:rFonts w:ascii="Times New Roman" w:hAnsi="Times New Roman"/>
          <w:sz w:val="22"/>
          <w:szCs w:val="22"/>
        </w:rPr>
        <w:t xml:space="preserve">new </w:t>
      </w:r>
      <w:r w:rsidRPr="00591F85">
        <w:rPr>
          <w:rFonts w:ascii="Times New Roman" w:hAnsi="Times New Roman"/>
          <w:sz w:val="22"/>
          <w:szCs w:val="22"/>
        </w:rPr>
        <w:t xml:space="preserve">three-year </w:t>
      </w:r>
      <w:r w:rsidR="00FF60B2">
        <w:rPr>
          <w:rFonts w:ascii="Times New Roman" w:hAnsi="Times New Roman"/>
          <w:sz w:val="22"/>
          <w:szCs w:val="22"/>
        </w:rPr>
        <w:t>clearance</w:t>
      </w:r>
      <w:r w:rsidRPr="00591F85">
        <w:rPr>
          <w:rFonts w:ascii="Times New Roman" w:hAnsi="Times New Roman"/>
          <w:sz w:val="22"/>
          <w:szCs w:val="22"/>
        </w:rPr>
        <w:t xml:space="preserve"> </w:t>
      </w:r>
      <w:r w:rsidR="00FF60B2">
        <w:rPr>
          <w:rFonts w:ascii="Times New Roman" w:hAnsi="Times New Roman"/>
          <w:sz w:val="22"/>
          <w:szCs w:val="22"/>
        </w:rPr>
        <w:t xml:space="preserve">separating from an </w:t>
      </w:r>
      <w:r w:rsidRPr="00591F85">
        <w:rPr>
          <w:rFonts w:ascii="Times New Roman" w:hAnsi="Times New Roman"/>
          <w:sz w:val="22"/>
          <w:szCs w:val="22"/>
        </w:rPr>
        <w:t xml:space="preserve">existing generic clearance </w:t>
      </w:r>
      <w:r w:rsidR="00FF60B2">
        <w:rPr>
          <w:rFonts w:ascii="Times New Roman" w:hAnsi="Times New Roman"/>
          <w:sz w:val="22"/>
          <w:szCs w:val="22"/>
        </w:rPr>
        <w:t xml:space="preserve">(3137-0071) </w:t>
      </w:r>
      <w:r w:rsidRPr="00591F85">
        <w:rPr>
          <w:rFonts w:ascii="Times New Roman" w:hAnsi="Times New Roman"/>
          <w:sz w:val="22"/>
          <w:szCs w:val="22"/>
        </w:rPr>
        <w:t>f</w:t>
      </w:r>
      <w:r w:rsidR="00143554">
        <w:rPr>
          <w:rFonts w:ascii="Times New Roman" w:hAnsi="Times New Roman"/>
          <w:sz w:val="22"/>
          <w:szCs w:val="22"/>
        </w:rPr>
        <w:t>rom the other</w:t>
      </w:r>
      <w:r w:rsidRPr="00591F85">
        <w:rPr>
          <w:rFonts w:ascii="Times New Roman" w:hAnsi="Times New Roman"/>
          <w:sz w:val="22"/>
          <w:szCs w:val="22"/>
        </w:rPr>
        <w:t xml:space="preserve"> </w:t>
      </w:r>
      <w:r w:rsidR="00143554">
        <w:rPr>
          <w:rFonts w:ascii="Times New Roman" w:hAnsi="Times New Roman"/>
          <w:sz w:val="22"/>
          <w:szCs w:val="22"/>
        </w:rPr>
        <w:t>forms and i</w:t>
      </w:r>
      <w:r w:rsidRPr="00B147A7">
        <w:rPr>
          <w:rFonts w:ascii="Times New Roman" w:hAnsi="Times New Roman"/>
          <w:sz w:val="22"/>
          <w:szCs w:val="22"/>
        </w:rPr>
        <w:t xml:space="preserve">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0CD44E1F" w14:textId="5F1F1424" w:rsidR="00D84BAF" w:rsidRPr="00D84BAF" w:rsidRDefault="002B1449" w:rsidP="00D84BAF">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sidR="00D84BAF" w:rsidRPr="00D84BAF">
        <w:rPr>
          <w:rFonts w:ascii="Times New Roman" w:hAnsi="Times New Roman"/>
          <w:sz w:val="22"/>
          <w:szCs w:val="22"/>
        </w:rPr>
        <w:t xml:space="preserve">On 06/1/2015, IMLS requested, and the Office of Management and Budget (OMB) approved, a reinstatement with change of a previously approved collection for the Generic Clearance for IMLS Grant Forms (3137-0071) through 7/31/2018.  IMLS has submitted non-substantive changes, relevant to changing priorities and potential applicant input, which were subsequently approved by OMB.  Within the previous approvals there were multiple forms included in one </w:t>
      </w:r>
      <w:r w:rsidR="004048FC">
        <w:rPr>
          <w:rFonts w:ascii="Times New Roman" w:hAnsi="Times New Roman"/>
          <w:sz w:val="22"/>
          <w:szCs w:val="22"/>
        </w:rPr>
        <w:t>package.</w:t>
      </w:r>
      <w:r w:rsidR="00D84BAF" w:rsidRPr="00D84BAF">
        <w:rPr>
          <w:rFonts w:ascii="Times New Roman" w:hAnsi="Times New Roman"/>
          <w:sz w:val="22"/>
          <w:szCs w:val="22"/>
        </w:rPr>
        <w:t xml:space="preserve"> IMLS is working toward parsing out the documentation for like collections in order to implement a new process for renewal and updates on like forms rather than a bulk submission of all forms.  At this time IMLS would like a new OMB clearance number issued for </w:t>
      </w:r>
      <w:r w:rsidR="00D84BAF">
        <w:rPr>
          <w:rFonts w:ascii="Times New Roman" w:hAnsi="Times New Roman"/>
          <w:sz w:val="22"/>
          <w:szCs w:val="22"/>
        </w:rPr>
        <w:t>the</w:t>
      </w:r>
      <w:r w:rsidR="00D84BAF" w:rsidRPr="00D84BAF">
        <w:t xml:space="preserve"> </w:t>
      </w:r>
      <w:r w:rsidR="00DB607D" w:rsidRPr="00DB607D">
        <w:rPr>
          <w:rFonts w:ascii="Times New Roman" w:hAnsi="Times New Roman"/>
          <w:sz w:val="22"/>
          <w:szCs w:val="22"/>
        </w:rPr>
        <w:t>Native American Basic Budget A&amp;B and Native American Basic Final Financial and Performance Report</w:t>
      </w:r>
      <w:r w:rsidR="00D84BAF">
        <w:rPr>
          <w:rFonts w:ascii="Times New Roman" w:hAnsi="Times New Roman"/>
          <w:sz w:val="22"/>
          <w:szCs w:val="22"/>
        </w:rPr>
        <w:t xml:space="preserve"> </w:t>
      </w:r>
      <w:r w:rsidR="005D7388">
        <w:rPr>
          <w:rFonts w:ascii="Times New Roman" w:hAnsi="Times New Roman"/>
          <w:sz w:val="22"/>
          <w:szCs w:val="22"/>
        </w:rPr>
        <w:t>collection</w:t>
      </w:r>
      <w:r w:rsidR="00D84BAF" w:rsidRPr="00D84BAF">
        <w:rPr>
          <w:rFonts w:ascii="Times New Roman" w:hAnsi="Times New Roman"/>
          <w:sz w:val="22"/>
          <w:szCs w:val="22"/>
        </w:rPr>
        <w:t xml:space="preserve"> maintaining the same expiration date of 7/31/2018 as the Generic Clearance for IMLS Grant Forms.  Once the separation requests are completed, the groupings with new numbers will be as listed below:</w:t>
      </w:r>
    </w:p>
    <w:p w14:paraId="47C5B927" w14:textId="77777777" w:rsidR="00D84BAF" w:rsidRPr="00D84BAF" w:rsidRDefault="00D84BAF" w:rsidP="00D84BAF">
      <w:pPr>
        <w:tabs>
          <w:tab w:val="left" w:pos="-720"/>
          <w:tab w:val="left" w:pos="0"/>
        </w:tabs>
        <w:suppressAutoHyphens/>
        <w:ind w:left="360"/>
        <w:rPr>
          <w:rFonts w:ascii="Times New Roman" w:hAnsi="Times New Roman"/>
          <w:sz w:val="22"/>
          <w:szCs w:val="22"/>
        </w:rPr>
      </w:pPr>
    </w:p>
    <w:p w14:paraId="075CE85C" w14:textId="12E9D76A" w:rsidR="00D84BAF" w:rsidRPr="00D84BAF" w:rsidRDefault="00D84BAF" w:rsidP="00D84BAF">
      <w:pPr>
        <w:pStyle w:val="ListParagraph"/>
        <w:numPr>
          <w:ilvl w:val="0"/>
          <w:numId w:val="14"/>
        </w:numPr>
        <w:tabs>
          <w:tab w:val="left" w:pos="-720"/>
          <w:tab w:val="left" w:pos="0"/>
        </w:tabs>
        <w:suppressAutoHyphens/>
        <w:ind w:left="1440"/>
        <w:rPr>
          <w:rFonts w:ascii="Times New Roman" w:hAnsi="Times New Roman"/>
          <w:sz w:val="22"/>
          <w:szCs w:val="22"/>
        </w:rPr>
      </w:pPr>
      <w:r w:rsidRPr="00D84BAF">
        <w:rPr>
          <w:rFonts w:ascii="Times New Roman" w:hAnsi="Times New Roman"/>
          <w:sz w:val="22"/>
          <w:szCs w:val="22"/>
        </w:rPr>
        <w:t>Program Information Sheet,  Budget Form, Digital forms</w:t>
      </w:r>
      <w:r>
        <w:rPr>
          <w:rFonts w:ascii="Times New Roman" w:hAnsi="Times New Roman"/>
          <w:sz w:val="22"/>
          <w:szCs w:val="22"/>
        </w:rPr>
        <w:t xml:space="preserve"> (3137-0092)</w:t>
      </w:r>
    </w:p>
    <w:p w14:paraId="124AC713" w14:textId="7DCF653A" w:rsidR="00D84BAF" w:rsidRPr="00D84BAF" w:rsidRDefault="00D84BAF" w:rsidP="00D84BAF">
      <w:pPr>
        <w:pStyle w:val="ListParagraph"/>
        <w:numPr>
          <w:ilvl w:val="0"/>
          <w:numId w:val="14"/>
        </w:numPr>
        <w:tabs>
          <w:tab w:val="left" w:pos="-720"/>
          <w:tab w:val="left" w:pos="0"/>
        </w:tabs>
        <w:suppressAutoHyphens/>
        <w:ind w:left="1440"/>
        <w:rPr>
          <w:rFonts w:ascii="Times New Roman" w:hAnsi="Times New Roman"/>
          <w:sz w:val="22"/>
          <w:szCs w:val="22"/>
        </w:rPr>
      </w:pPr>
      <w:r w:rsidRPr="00D84BAF">
        <w:rPr>
          <w:rFonts w:ascii="Times New Roman" w:hAnsi="Times New Roman"/>
          <w:sz w:val="22"/>
          <w:szCs w:val="22"/>
        </w:rPr>
        <w:t>Native American Basic Budget A&amp;B and Native American Basic Final Financial and Performance Report</w:t>
      </w:r>
    </w:p>
    <w:p w14:paraId="59C3D97A" w14:textId="19D85B3F" w:rsidR="00D84BAF" w:rsidRPr="00D84BAF" w:rsidRDefault="00D84BAF" w:rsidP="00D84BAF">
      <w:pPr>
        <w:pStyle w:val="ListParagraph"/>
        <w:numPr>
          <w:ilvl w:val="0"/>
          <w:numId w:val="14"/>
        </w:numPr>
        <w:tabs>
          <w:tab w:val="left" w:pos="-720"/>
          <w:tab w:val="left" w:pos="0"/>
        </w:tabs>
        <w:suppressAutoHyphens/>
        <w:ind w:left="1440"/>
        <w:rPr>
          <w:rFonts w:ascii="Times New Roman" w:hAnsi="Times New Roman"/>
          <w:sz w:val="22"/>
          <w:szCs w:val="22"/>
        </w:rPr>
      </w:pPr>
      <w:r w:rsidRPr="00D84BAF">
        <w:rPr>
          <w:rFonts w:ascii="Times New Roman" w:hAnsi="Times New Roman"/>
          <w:sz w:val="22"/>
          <w:szCs w:val="22"/>
        </w:rPr>
        <w:t>Interim and Final Performance Reports and cover sheets</w:t>
      </w:r>
    </w:p>
    <w:p w14:paraId="497AF24A" w14:textId="780996D2" w:rsidR="00D84BAF" w:rsidRPr="00D84BAF" w:rsidRDefault="00D84BAF" w:rsidP="00D84BAF">
      <w:pPr>
        <w:pStyle w:val="ListParagraph"/>
        <w:numPr>
          <w:ilvl w:val="0"/>
          <w:numId w:val="14"/>
        </w:numPr>
        <w:tabs>
          <w:tab w:val="left" w:pos="-720"/>
          <w:tab w:val="left" w:pos="0"/>
        </w:tabs>
        <w:suppressAutoHyphens/>
        <w:ind w:left="1440"/>
        <w:rPr>
          <w:rFonts w:ascii="Times New Roman" w:hAnsi="Times New Roman"/>
          <w:sz w:val="22"/>
          <w:szCs w:val="22"/>
        </w:rPr>
      </w:pPr>
      <w:r w:rsidRPr="00D84BAF">
        <w:rPr>
          <w:rFonts w:ascii="Times New Roman" w:hAnsi="Times New Roman"/>
          <w:sz w:val="22"/>
          <w:szCs w:val="22"/>
        </w:rPr>
        <w:t>Library Reviewer form and Museum Reviewer form</w:t>
      </w:r>
    </w:p>
    <w:p w14:paraId="56F0CDB6" w14:textId="77777777" w:rsidR="00F32568" w:rsidRPr="00087E71" w:rsidRDefault="00F32568" w:rsidP="00D84BAF">
      <w:pPr>
        <w:tabs>
          <w:tab w:val="left" w:pos="-720"/>
          <w:tab w:val="left" w:pos="0"/>
        </w:tabs>
        <w:suppressAutoHyphens/>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 xml:space="preserve">instructions online. IMLS requires all applicants to </w:t>
      </w:r>
      <w:r w:rsidRPr="00B147A7">
        <w:rPr>
          <w:rFonts w:ascii="Times New Roman" w:hAnsi="Times New Roman"/>
          <w:color w:val="000000"/>
          <w:sz w:val="22"/>
          <w:szCs w:val="22"/>
        </w:rPr>
        <w:lastRenderedPageBreak/>
        <w:t>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4EA298ED" w14:textId="77777777" w:rsidR="007709E4" w:rsidRPr="00591F85" w:rsidRDefault="007709E4" w:rsidP="00143554">
      <w:pPr>
        <w:widowControl w:val="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1D083667"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2A9A5898"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w:t>
      </w:r>
      <w:r w:rsidR="00143554" w:rsidRPr="00143554">
        <w:rPr>
          <w:rFonts w:ascii="Times New Roman" w:hAnsi="Times New Roman"/>
          <w:sz w:val="22"/>
          <w:szCs w:val="22"/>
        </w:rPr>
        <w:t xml:space="preserve">the </w:t>
      </w:r>
      <w:r w:rsidR="00143554" w:rsidRPr="00143554">
        <w:rPr>
          <w:rFonts w:ascii="Times New Roman" w:hAnsi="Times New Roman"/>
          <w:color w:val="000000"/>
          <w:sz w:val="22"/>
          <w:szCs w:val="22"/>
        </w:rPr>
        <w:t>IMLS Grant Program Application and Post-Award Report Forms</w:t>
      </w:r>
      <w:r w:rsidR="00143554" w:rsidRPr="00143554">
        <w:rPr>
          <w:rFonts w:ascii="Times New Roman" w:hAnsi="Times New Roman"/>
          <w:sz w:val="22"/>
          <w:szCs w:val="22"/>
        </w:rPr>
        <w:t xml:space="preserve"> </w:t>
      </w:r>
      <w:r w:rsidR="00143554">
        <w:rPr>
          <w:rFonts w:ascii="Times New Roman" w:hAnsi="Times New Roman"/>
          <w:sz w:val="22"/>
          <w:szCs w:val="22"/>
        </w:rPr>
        <w:t xml:space="preserve">(3137-0071) </w:t>
      </w:r>
      <w:r w:rsidRPr="00087E71">
        <w:rPr>
          <w:rFonts w:ascii="Times New Roman" w:hAnsi="Times New Roman"/>
          <w:sz w:val="22"/>
          <w:szCs w:val="22"/>
        </w:rPr>
        <w:t xml:space="preserve">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lastRenderedPageBreak/>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Agency staff consults 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w:t>
      </w:r>
      <w:proofErr w:type="spellStart"/>
      <w:r w:rsidRPr="00087E71">
        <w:rPr>
          <w:rFonts w:ascii="Times New Roman" w:hAnsi="Times New Roman"/>
          <w:sz w:val="22"/>
          <w:szCs w:val="22"/>
        </w:rPr>
        <w:t>convenings</w:t>
      </w:r>
      <w:proofErr w:type="spellEnd"/>
      <w:r w:rsidRPr="00087E71">
        <w:rPr>
          <w:rFonts w:ascii="Times New Roman" w:hAnsi="Times New Roman"/>
          <w:sz w:val="22"/>
          <w:szCs w:val="22"/>
        </w:rPr>
        <w:t xml:space="preserve">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1CD61C3C"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926DC1">
        <w:rPr>
          <w:rFonts w:ascii="Times New Roman" w:hAnsi="Times New Roman"/>
          <w:sz w:val="22"/>
          <w:szCs w:val="22"/>
        </w:rPr>
        <w:t>380</w:t>
      </w:r>
      <w:r w:rsidRPr="00087E71">
        <w:rPr>
          <w:rFonts w:ascii="Times New Roman" w:hAnsi="Times New Roman"/>
          <w:sz w:val="22"/>
          <w:szCs w:val="22"/>
        </w:rPr>
        <w:t xml:space="preserve">, the number of </w:t>
      </w:r>
      <w:r w:rsidR="005D7388" w:rsidRPr="005D7388">
        <w:rPr>
          <w:rFonts w:ascii="Times New Roman" w:hAnsi="Times New Roman"/>
          <w:sz w:val="22"/>
          <w:szCs w:val="22"/>
        </w:rPr>
        <w:t>Native American Basic Budget A&amp;B and Native American Basic Final Financial and Performance Report</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201</w:t>
      </w:r>
      <w:r w:rsidR="00B73008">
        <w:rPr>
          <w:rFonts w:ascii="Times New Roman" w:hAnsi="Times New Roman"/>
          <w:sz w:val="22"/>
          <w:szCs w:val="22"/>
        </w:rPr>
        <w:t>5</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w:t>
      </w:r>
      <w:r w:rsidR="006D416F">
        <w:rPr>
          <w:rFonts w:ascii="Times New Roman" w:hAnsi="Times New Roman"/>
          <w:sz w:val="22"/>
          <w:szCs w:val="22"/>
        </w:rPr>
        <w:t>2</w:t>
      </w:r>
      <w:r w:rsidR="00926DC1">
        <w:rPr>
          <w:rFonts w:ascii="Times New Roman" w:hAnsi="Times New Roman"/>
          <w:sz w:val="22"/>
          <w:szCs w:val="22"/>
        </w:rPr>
        <w:t>.5</w:t>
      </w:r>
      <w:r w:rsidR="00B73008">
        <w:rPr>
          <w:rFonts w:ascii="Times New Roman" w:hAnsi="Times New Roman"/>
          <w:sz w:val="22"/>
          <w:szCs w:val="22"/>
        </w:rPr>
        <w:t xml:space="preserve"> </w:t>
      </w:r>
      <w:r w:rsidRPr="00087E71">
        <w:rPr>
          <w:rFonts w:ascii="Times New Roman" w:hAnsi="Times New Roman"/>
          <w:sz w:val="22"/>
          <w:szCs w:val="22"/>
        </w:rPr>
        <w:t xml:space="preserve">hours. </w:t>
      </w:r>
    </w:p>
    <w:p w14:paraId="296E004C" w14:textId="77777777" w:rsidR="003960F8" w:rsidRPr="00087E71" w:rsidRDefault="003960F8" w:rsidP="00D84BAF">
      <w:pPr>
        <w:tabs>
          <w:tab w:val="left" w:pos="540"/>
        </w:tabs>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111B401C"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926DC1">
        <w:rPr>
          <w:rFonts w:ascii="Times New Roman" w:hAnsi="Times New Roman"/>
          <w:sz w:val="22"/>
          <w:szCs w:val="22"/>
        </w:rPr>
        <w:t>13,456.75</w:t>
      </w:r>
      <w:r w:rsidRPr="00591F85">
        <w:rPr>
          <w:rFonts w:ascii="Times New Roman" w:hAnsi="Times New Roman"/>
          <w:sz w:val="22"/>
          <w:szCs w:val="22"/>
        </w:rPr>
        <w:t>. The cost per hour is based on $</w:t>
      </w:r>
      <w:r w:rsidR="000C6A89">
        <w:rPr>
          <w:rFonts w:ascii="Times New Roman" w:hAnsi="Times New Roman"/>
          <w:sz w:val="22"/>
          <w:szCs w:val="22"/>
        </w:rPr>
        <w:t>28.33</w:t>
      </w:r>
      <w:r w:rsidRPr="00591F85">
        <w:rPr>
          <w:rFonts w:ascii="Times New Roman" w:hAnsi="Times New Roman"/>
          <w:sz w:val="22"/>
          <w:szCs w:val="22"/>
        </w:rPr>
        <w:t xml:space="preserve">, the Bureau of Labor Statistics mean hourly wage of a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4465B2FF"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C1150E">
        <w:rPr>
          <w:rFonts w:ascii="Times New Roman" w:hAnsi="Times New Roman"/>
          <w:sz w:val="22"/>
          <w:szCs w:val="22"/>
        </w:rPr>
        <w:t>20,782.05</w:t>
      </w:r>
      <w:r w:rsidRPr="00EE319A">
        <w:rPr>
          <w:rFonts w:ascii="Times New Roman" w:hAnsi="Times New Roman"/>
          <w:sz w:val="22"/>
          <w:szCs w:val="22"/>
        </w:rPr>
        <w:t xml:space="preserve">.  Currently the agency has calculated that </w:t>
      </w:r>
      <w:r w:rsidR="00C1150E">
        <w:rPr>
          <w:rFonts w:ascii="Times New Roman" w:hAnsi="Times New Roman"/>
          <w:sz w:val="22"/>
          <w:szCs w:val="22"/>
        </w:rPr>
        <w:t>380</w:t>
      </w:r>
      <w:r w:rsidRPr="00EE319A">
        <w:rPr>
          <w:rFonts w:ascii="Times New Roman" w:hAnsi="Times New Roman"/>
          <w:sz w:val="22"/>
          <w:szCs w:val="22"/>
        </w:rPr>
        <w:t xml:space="preserve"> responses are made each year.  Approximately</w:t>
      </w:r>
      <w:r w:rsidR="009979D3">
        <w:rPr>
          <w:rFonts w:ascii="Times New Roman" w:hAnsi="Times New Roman"/>
          <w:sz w:val="22"/>
          <w:szCs w:val="22"/>
        </w:rPr>
        <w:t>505.4</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bookmarkStart w:id="0" w:name="_GoBack"/>
      <w:bookmarkEnd w:id="0"/>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9979D3">
      <w:rPr>
        <w:rStyle w:val="PageNumber"/>
        <w:noProof/>
      </w:rPr>
      <w:t>3</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048F"/>
    <w:multiLevelType w:val="hybridMultilevel"/>
    <w:tmpl w:val="462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E69D0"/>
    <w:multiLevelType w:val="hybridMultilevel"/>
    <w:tmpl w:val="104A6448"/>
    <w:lvl w:ilvl="0" w:tplc="A7F85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0"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0"/>
  </w:num>
  <w:num w:numId="5">
    <w:abstractNumId w:val="1"/>
  </w:num>
  <w:num w:numId="6">
    <w:abstractNumId w:val="8"/>
  </w:num>
  <w:num w:numId="7">
    <w:abstractNumId w:val="11"/>
  </w:num>
  <w:num w:numId="8">
    <w:abstractNumId w:val="3"/>
  </w:num>
  <w:num w:numId="9">
    <w:abstractNumId w:val="9"/>
  </w:num>
  <w:num w:numId="10">
    <w:abstractNumId w:val="5"/>
  </w:num>
  <w:num w:numId="11">
    <w:abstractNumId w:val="13"/>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E8"/>
    <w:rsid w:val="000070E9"/>
    <w:rsid w:val="000146AE"/>
    <w:rsid w:val="00024CE0"/>
    <w:rsid w:val="00036A60"/>
    <w:rsid w:val="000412E8"/>
    <w:rsid w:val="00052CFA"/>
    <w:rsid w:val="000534B0"/>
    <w:rsid w:val="00087E71"/>
    <w:rsid w:val="000A6A47"/>
    <w:rsid w:val="000B7A04"/>
    <w:rsid w:val="000B7AA0"/>
    <w:rsid w:val="000C6A89"/>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72BED"/>
    <w:rsid w:val="00281F29"/>
    <w:rsid w:val="002B1449"/>
    <w:rsid w:val="002B3610"/>
    <w:rsid w:val="002C470F"/>
    <w:rsid w:val="002F21B4"/>
    <w:rsid w:val="00351C7D"/>
    <w:rsid w:val="00352694"/>
    <w:rsid w:val="00360242"/>
    <w:rsid w:val="00386D4E"/>
    <w:rsid w:val="003960F8"/>
    <w:rsid w:val="003E5512"/>
    <w:rsid w:val="004048FC"/>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D7388"/>
    <w:rsid w:val="005E35E1"/>
    <w:rsid w:val="00606AC5"/>
    <w:rsid w:val="0061027F"/>
    <w:rsid w:val="0062475A"/>
    <w:rsid w:val="00651EF4"/>
    <w:rsid w:val="00697219"/>
    <w:rsid w:val="006A58B0"/>
    <w:rsid w:val="006D416F"/>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26DC1"/>
    <w:rsid w:val="00943BEC"/>
    <w:rsid w:val="00960410"/>
    <w:rsid w:val="00992C2D"/>
    <w:rsid w:val="009979D3"/>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731DB"/>
    <w:rsid w:val="00B73F31"/>
    <w:rsid w:val="00B8284A"/>
    <w:rsid w:val="00B96EF3"/>
    <w:rsid w:val="00BB7F5D"/>
    <w:rsid w:val="00BC2AEC"/>
    <w:rsid w:val="00BC53E8"/>
    <w:rsid w:val="00BE1A34"/>
    <w:rsid w:val="00C03407"/>
    <w:rsid w:val="00C1150E"/>
    <w:rsid w:val="00C23419"/>
    <w:rsid w:val="00C41AAD"/>
    <w:rsid w:val="00C625A7"/>
    <w:rsid w:val="00C64907"/>
    <w:rsid w:val="00C817E7"/>
    <w:rsid w:val="00C93A3F"/>
    <w:rsid w:val="00CC20B1"/>
    <w:rsid w:val="00CC4AC9"/>
    <w:rsid w:val="00CD1165"/>
    <w:rsid w:val="00CD6B4C"/>
    <w:rsid w:val="00CF17B9"/>
    <w:rsid w:val="00D4326D"/>
    <w:rsid w:val="00D84BAF"/>
    <w:rsid w:val="00DA6972"/>
    <w:rsid w:val="00DB559F"/>
    <w:rsid w:val="00DB607D"/>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EB008F09-DD19-4B93-BA25-7AA590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B52B-4B14-46F1-B93B-DB1CE3B4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1541</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7</cp:revision>
  <cp:lastPrinted>2015-05-15T14:33:00Z</cp:lastPrinted>
  <dcterms:created xsi:type="dcterms:W3CDTF">2016-06-16T18:52:00Z</dcterms:created>
  <dcterms:modified xsi:type="dcterms:W3CDTF">2016-06-16T20:39:00Z</dcterms:modified>
</cp:coreProperties>
</file>