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5AB4383"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745892" w:rsidRPr="00745892">
        <w:rPr>
          <w:rFonts w:ascii="Times New Roman" w:hAnsi="Times New Roman"/>
          <w:b/>
          <w:sz w:val="22"/>
          <w:szCs w:val="22"/>
        </w:rPr>
        <w:tab/>
        <w:t>National Leadership Grant - Museum and Museums For America</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4ABF30A"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950194" w:rsidRPr="00950194">
        <w:rPr>
          <w:rFonts w:ascii="Times New Roman" w:hAnsi="Times New Roman"/>
          <w:sz w:val="22"/>
          <w:szCs w:val="22"/>
        </w:rPr>
        <w:t>National Leadership Grant - Museum and Museums For America</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6CD6C0B1"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w:t>
      </w:r>
      <w:r w:rsidR="00745892" w:rsidRPr="00745892">
        <w:t xml:space="preserve"> </w:t>
      </w:r>
      <w:r w:rsidR="00745892" w:rsidRPr="00745892">
        <w:rPr>
          <w:rFonts w:ascii="Times New Roman" w:hAnsi="Times New Roman"/>
          <w:sz w:val="22"/>
          <w:szCs w:val="22"/>
        </w:rPr>
        <w:t>National Leadership Grant - Museum and Museums For America</w:t>
      </w:r>
      <w:r w:rsidR="00E11CE7">
        <w:rPr>
          <w:rFonts w:ascii="Times New Roman" w:hAnsi="Times New Roman"/>
          <w:sz w:val="22"/>
          <w:szCs w:val="22"/>
        </w:rPr>
        <w:t>,</w:t>
      </w:r>
      <w:r w:rsidRPr="001E7630">
        <w:rPr>
          <w:rFonts w:ascii="Times New Roman" w:hAnsi="Times New Roman"/>
          <w:sz w:val="22"/>
          <w:szCs w:val="22"/>
        </w:rPr>
        <w:t xml:space="preserve"> </w:t>
      </w:r>
      <w:r w:rsidR="00E11CE7">
        <w:rPr>
          <w:rFonts w:ascii="Times New Roman" w:hAnsi="Times New Roman"/>
          <w:sz w:val="22"/>
          <w:szCs w:val="22"/>
        </w:rPr>
        <w:t>(</w:t>
      </w:r>
      <w:r w:rsidRPr="001E7630">
        <w:rPr>
          <w:rFonts w:ascii="Times New Roman" w:hAnsi="Times New Roman"/>
          <w:sz w:val="22"/>
          <w:szCs w:val="22"/>
        </w:rPr>
        <w:t>maintaining the same expiration date of 7/31/2018, as the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4D4DB9A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322C86">
        <w:rPr>
          <w:rFonts w:ascii="Times New Roman" w:hAnsi="Times New Roman"/>
          <w:sz w:val="22"/>
          <w:szCs w:val="22"/>
        </w:rPr>
        <w:t xml:space="preserve"> </w:t>
      </w:r>
      <w:r w:rsidR="00322C86" w:rsidRPr="001E7630">
        <w:rPr>
          <w:rFonts w:ascii="Times New Roman" w:hAnsi="Times New Roman"/>
          <w:sz w:val="22"/>
          <w:szCs w:val="22"/>
        </w:rPr>
        <w:t>–</w:t>
      </w:r>
      <w:r w:rsidR="00322C86">
        <w:rPr>
          <w:rFonts w:ascii="Times New Roman" w:hAnsi="Times New Roman"/>
          <w:sz w:val="22"/>
          <w:szCs w:val="22"/>
        </w:rPr>
        <w:t xml:space="preserve"> Libraries</w:t>
      </w:r>
    </w:p>
    <w:p w14:paraId="6614A13E" w14:textId="77777777" w:rsidR="00873F62" w:rsidRPr="00C76FAC" w:rsidRDefault="00873F62" w:rsidP="00873F62">
      <w:pPr>
        <w:pStyle w:val="ListParagraph"/>
        <w:numPr>
          <w:ilvl w:val="0"/>
          <w:numId w:val="38"/>
        </w:numPr>
        <w:ind w:left="1440"/>
        <w:rPr>
          <w:rFonts w:ascii="Times New Roman" w:hAnsi="Times New Roman"/>
          <w:sz w:val="22"/>
          <w:szCs w:val="22"/>
        </w:rPr>
      </w:pPr>
      <w:r w:rsidRPr="00C76FAC">
        <w:rPr>
          <w:rFonts w:ascii="Times New Roman" w:hAnsi="Times New Roman"/>
          <w:sz w:val="22"/>
          <w:szCs w:val="22"/>
          <w:lang w:val="en"/>
        </w:rPr>
        <w:t>Collections Assessment for Preservation Program</w:t>
      </w:r>
      <w:r>
        <w:rPr>
          <w:rFonts w:ascii="Times New Roman" w:hAnsi="Times New Roman"/>
          <w:sz w:val="22"/>
          <w:szCs w:val="22"/>
          <w:lang w:val="en"/>
        </w:rPr>
        <w:t xml:space="preserve"> </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It is also used by the agency for strategic planning, performance analysis, and to </w:t>
      </w:r>
      <w:r w:rsidRPr="00B147A7">
        <w:rPr>
          <w:rFonts w:ascii="Times New Roman" w:hAnsi="Times New Roman"/>
          <w:color w:val="000000"/>
          <w:sz w:val="22"/>
          <w:szCs w:val="22"/>
        </w:rPr>
        <w:lastRenderedPageBreak/>
        <w:t>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3C8D05A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D33A9">
        <w:rPr>
          <w:rFonts w:ascii="Times New Roman" w:hAnsi="Times New Roman"/>
          <w:color w:val="000000"/>
          <w:sz w:val="22"/>
          <w:szCs w:val="22"/>
        </w:rPr>
        <w:t xml:space="preserve">LB21 and NLG-L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w:t>
      </w:r>
      <w:r w:rsidRPr="00B147A7">
        <w:rPr>
          <w:rFonts w:ascii="Times New Roman" w:hAnsi="Times New Roman"/>
          <w:color w:val="000000"/>
          <w:sz w:val="22"/>
          <w:szCs w:val="22"/>
        </w:rPr>
        <w:lastRenderedPageBreak/>
        <w:t xml:space="preserve">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43636ED"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9442A">
        <w:rPr>
          <w:rFonts w:ascii="Times New Roman" w:hAnsi="Times New Roman"/>
          <w:sz w:val="22"/>
          <w:szCs w:val="22"/>
        </w:rPr>
        <w:t>614</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59442A">
        <w:rPr>
          <w:rFonts w:ascii="Times New Roman" w:hAnsi="Times New Roman"/>
          <w:sz w:val="22"/>
          <w:szCs w:val="22"/>
        </w:rPr>
        <w:t>24,560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63BD2C99"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59442A">
        <w:rPr>
          <w:rFonts w:ascii="Times New Roman" w:hAnsi="Times New Roman"/>
          <w:sz w:val="22"/>
          <w:szCs w:val="22"/>
        </w:rPr>
        <w:t>672,944.00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950194">
        <w:rPr>
          <w:rFonts w:ascii="Times New Roman" w:hAnsi="Times New Roman"/>
          <w:sz w:val="22"/>
          <w:szCs w:val="22"/>
        </w:rPr>
        <w:t xml:space="preserve">for the </w:t>
      </w:r>
      <w:r w:rsidR="00950194" w:rsidRPr="00950194">
        <w:rPr>
          <w:rFonts w:ascii="Times New Roman" w:hAnsi="Times New Roman"/>
          <w:sz w:val="22"/>
          <w:szCs w:val="22"/>
        </w:rPr>
        <w:t>National Leadership Grant - Museum and Museums For America</w:t>
      </w:r>
      <w:r w:rsidR="00950194"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E11CE7">
        <w:rPr>
          <w:rFonts w:ascii="Times New Roman" w:hAnsi="Times New Roman"/>
          <w:sz w:val="22"/>
          <w:szCs w:val="22"/>
        </w:rPr>
        <w:t>2</w:t>
      </w:r>
      <w:r w:rsidR="0059442A">
        <w:rPr>
          <w:rFonts w:ascii="Times New Roman" w:hAnsi="Times New Roman"/>
          <w:sz w:val="22"/>
          <w:szCs w:val="22"/>
        </w:rPr>
        <w:t>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Note: the cost for completion of forms associated w</w:t>
      </w:r>
      <w:bookmarkStart w:id="0" w:name="_GoBack"/>
      <w:bookmarkEnd w:id="0"/>
      <w:r w:rsidRPr="00191DF8">
        <w:rPr>
          <w:rFonts w:ascii="Times New Roman" w:hAnsi="Times New Roman"/>
          <w:sz w:val="22"/>
          <w:szCs w:val="22"/>
        </w:rPr>
        <w:t xml:space="preserve">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21E56AC"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59442A">
        <w:rPr>
          <w:rFonts w:ascii="Times New Roman" w:hAnsi="Times New Roman"/>
          <w:sz w:val="22"/>
          <w:szCs w:val="22"/>
        </w:rPr>
        <w:t>29,472.35</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59442A">
        <w:rPr>
          <w:rFonts w:ascii="Times New Roman" w:hAnsi="Times New Roman"/>
          <w:sz w:val="22"/>
          <w:szCs w:val="22"/>
        </w:rPr>
        <w:t>614</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59442A">
        <w:rPr>
          <w:rFonts w:ascii="Times New Roman" w:hAnsi="Times New Roman"/>
          <w:sz w:val="22"/>
          <w:szCs w:val="22"/>
        </w:rPr>
        <w:t>716.74</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 xml:space="preserve">are spent by IMLS staff reviewing and processing each response at an average </w:t>
      </w:r>
      <w:r w:rsidRPr="00EE319A">
        <w:rPr>
          <w:rFonts w:ascii="Times New Roman" w:hAnsi="Times New Roman"/>
          <w:sz w:val="22"/>
          <w:szCs w:val="22"/>
        </w:rPr>
        <w:lastRenderedPageBreak/>
        <w:t>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22C86"/>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3F62"/>
    <w:rsid w:val="00876E72"/>
    <w:rsid w:val="0088000F"/>
    <w:rsid w:val="00884012"/>
    <w:rsid w:val="008A27EC"/>
    <w:rsid w:val="008B0BA5"/>
    <w:rsid w:val="008B1CD0"/>
    <w:rsid w:val="008B6FEC"/>
    <w:rsid w:val="008B7F04"/>
    <w:rsid w:val="008C5B7D"/>
    <w:rsid w:val="008D53A4"/>
    <w:rsid w:val="008D5C2B"/>
    <w:rsid w:val="008D741A"/>
    <w:rsid w:val="008E430F"/>
    <w:rsid w:val="008F4937"/>
    <w:rsid w:val="00902A79"/>
    <w:rsid w:val="00922220"/>
    <w:rsid w:val="0092360C"/>
    <w:rsid w:val="00935FD2"/>
    <w:rsid w:val="00950127"/>
    <w:rsid w:val="00950194"/>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0506-4207-4960-88D9-70604DC9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1513</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6</cp:revision>
  <cp:lastPrinted>2015-05-13T14:49:00Z</cp:lastPrinted>
  <dcterms:created xsi:type="dcterms:W3CDTF">2016-06-14T12:14:00Z</dcterms:created>
  <dcterms:modified xsi:type="dcterms:W3CDTF">2016-06-14T19:22:00Z</dcterms:modified>
</cp:coreProperties>
</file>