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D4B" w:rsidRPr="00AD132E" w:rsidRDefault="008C3D4B" w:rsidP="008C3D4B">
      <w:pPr>
        <w:jc w:val="center"/>
        <w:rPr>
          <w:rFonts w:ascii="Times New Roman" w:hAnsi="Times New Roman"/>
          <w:bCs/>
          <w:sz w:val="24"/>
        </w:rPr>
      </w:pPr>
      <w:bookmarkStart w:id="0" w:name="_GoBack"/>
      <w:bookmarkEnd w:id="0"/>
      <w:r w:rsidRPr="00AD132E">
        <w:rPr>
          <w:rFonts w:ascii="Times New Roman" w:hAnsi="Times New Roman"/>
          <w:bCs/>
          <w:sz w:val="24"/>
        </w:rPr>
        <w:t>Supporting Statement</w:t>
      </w:r>
    </w:p>
    <w:p w:rsidR="008C3D4B" w:rsidRPr="00AD132E" w:rsidRDefault="008C3D4B" w:rsidP="008C3D4B">
      <w:pPr>
        <w:jc w:val="center"/>
        <w:rPr>
          <w:rFonts w:ascii="Times New Roman" w:hAnsi="Times New Roman"/>
          <w:bCs/>
          <w:sz w:val="24"/>
        </w:rPr>
      </w:pPr>
      <w:r w:rsidRPr="00AD132E">
        <w:rPr>
          <w:rFonts w:ascii="Times New Roman" w:hAnsi="Times New Roman"/>
          <w:bCs/>
          <w:sz w:val="24"/>
        </w:rPr>
        <w:t>National Credit Union Administration</w:t>
      </w:r>
    </w:p>
    <w:p w:rsidR="008C3D4B" w:rsidRPr="00AD132E" w:rsidRDefault="008C3D4B" w:rsidP="008C3D4B">
      <w:pPr>
        <w:jc w:val="center"/>
        <w:rPr>
          <w:rFonts w:ascii="Times New Roman" w:hAnsi="Times New Roman"/>
          <w:b/>
          <w:bCs/>
          <w:sz w:val="24"/>
        </w:rPr>
      </w:pPr>
    </w:p>
    <w:p w:rsidR="008C3D4B" w:rsidRPr="00AD132E" w:rsidRDefault="00100AEB" w:rsidP="008C3D4B">
      <w:pPr>
        <w:tabs>
          <w:tab w:val="left" w:pos="720"/>
        </w:tabs>
        <w:jc w:val="center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Advertising of Excess Insurance</w:t>
      </w:r>
      <w:r w:rsidR="00CF5C04">
        <w:rPr>
          <w:rFonts w:ascii="Times New Roman" w:hAnsi="Times New Roman"/>
          <w:b/>
          <w:sz w:val="24"/>
        </w:rPr>
        <w:t>, 12 CFR 740.3</w:t>
      </w:r>
    </w:p>
    <w:p w:rsidR="008C3D4B" w:rsidRPr="00AD132E" w:rsidRDefault="008C3D4B" w:rsidP="008C3D4B">
      <w:pPr>
        <w:tabs>
          <w:tab w:val="left" w:pos="720"/>
        </w:tabs>
        <w:jc w:val="center"/>
        <w:outlineLvl w:val="0"/>
        <w:rPr>
          <w:rFonts w:ascii="Times New Roman" w:hAnsi="Times New Roman"/>
          <w:b/>
          <w:sz w:val="24"/>
        </w:rPr>
      </w:pPr>
      <w:r w:rsidRPr="00AD132E">
        <w:rPr>
          <w:rFonts w:ascii="Times New Roman" w:hAnsi="Times New Roman"/>
          <w:b/>
          <w:sz w:val="24"/>
        </w:rPr>
        <w:t xml:space="preserve">OMB </w:t>
      </w:r>
      <w:r w:rsidR="00100AEB">
        <w:rPr>
          <w:rFonts w:ascii="Times New Roman" w:hAnsi="Times New Roman"/>
          <w:b/>
          <w:sz w:val="24"/>
        </w:rPr>
        <w:t>No. 3133-0098</w:t>
      </w:r>
    </w:p>
    <w:p w:rsidR="008C3D4B" w:rsidRPr="00AD132E" w:rsidRDefault="008C3D4B" w:rsidP="008C3D4B">
      <w:pPr>
        <w:rPr>
          <w:rFonts w:ascii="Times New Roman" w:hAnsi="Times New Roman"/>
          <w:sz w:val="24"/>
        </w:rPr>
      </w:pPr>
    </w:p>
    <w:p w:rsidR="008C3D4B" w:rsidRPr="00AD132E" w:rsidRDefault="008C3D4B" w:rsidP="008C3D4B">
      <w:pPr>
        <w:rPr>
          <w:rFonts w:ascii="Times New Roman" w:hAnsi="Times New Roman"/>
          <w:sz w:val="24"/>
        </w:rPr>
      </w:pPr>
      <w:r w:rsidRPr="00AD132E">
        <w:rPr>
          <w:rFonts w:ascii="Times New Roman" w:hAnsi="Times New Roman"/>
          <w:sz w:val="24"/>
        </w:rPr>
        <w:t>A.</w:t>
      </w:r>
      <w:r w:rsidRPr="00AD132E">
        <w:rPr>
          <w:rFonts w:ascii="Times New Roman" w:hAnsi="Times New Roman"/>
          <w:sz w:val="24"/>
        </w:rPr>
        <w:tab/>
      </w:r>
      <w:r w:rsidR="0075438A">
        <w:rPr>
          <w:rFonts w:ascii="Times New Roman" w:hAnsi="Times New Roman"/>
          <w:sz w:val="24"/>
          <w:u w:val="single"/>
        </w:rPr>
        <w:t>JUSTIFICATON</w:t>
      </w:r>
    </w:p>
    <w:p w:rsidR="008C3D4B" w:rsidRPr="00AD132E" w:rsidRDefault="008C3D4B" w:rsidP="008C3D4B">
      <w:pPr>
        <w:rPr>
          <w:rFonts w:ascii="Times New Roman" w:hAnsi="Times New Roman"/>
          <w:sz w:val="24"/>
        </w:rPr>
      </w:pPr>
    </w:p>
    <w:p w:rsidR="008C3D4B" w:rsidRPr="00AD132E" w:rsidRDefault="008C3D4B" w:rsidP="008C3D4B">
      <w:pPr>
        <w:rPr>
          <w:rFonts w:ascii="Times New Roman" w:hAnsi="Times New Roman"/>
          <w:sz w:val="24"/>
        </w:rPr>
      </w:pPr>
      <w:r w:rsidRPr="00AD132E">
        <w:rPr>
          <w:rFonts w:ascii="Times New Roman" w:hAnsi="Times New Roman"/>
          <w:sz w:val="24"/>
        </w:rPr>
        <w:t>1.</w:t>
      </w:r>
      <w:r w:rsidRPr="00AD132E">
        <w:rPr>
          <w:rFonts w:ascii="Times New Roman" w:hAnsi="Times New Roman"/>
          <w:sz w:val="24"/>
        </w:rPr>
        <w:tab/>
      </w:r>
      <w:r w:rsidRPr="00AD132E">
        <w:rPr>
          <w:rFonts w:ascii="Times New Roman" w:hAnsi="Times New Roman"/>
          <w:sz w:val="24"/>
          <w:u w:val="single"/>
        </w:rPr>
        <w:t>Circumstances that make the collection necessary:</w:t>
      </w:r>
    </w:p>
    <w:p w:rsidR="008C3D4B" w:rsidRPr="00AD132E" w:rsidRDefault="008C3D4B" w:rsidP="008C3D4B">
      <w:pPr>
        <w:rPr>
          <w:rFonts w:ascii="Times New Roman" w:hAnsi="Times New Roman"/>
          <w:sz w:val="24"/>
        </w:rPr>
      </w:pPr>
    </w:p>
    <w:p w:rsidR="007A4A33" w:rsidRDefault="007D1420" w:rsidP="007D1420">
      <w:pPr>
        <w:pStyle w:val="Header"/>
        <w:tabs>
          <w:tab w:val="clear" w:pos="4320"/>
          <w:tab w:val="clear" w:pos="8640"/>
          <w:tab w:val="left" w:pos="720"/>
        </w:tabs>
        <w:autoSpaceDE w:val="0"/>
        <w:autoSpaceDN w:val="0"/>
        <w:adjustRightInd w:val="0"/>
        <w:ind w:left="720" w:hanging="720"/>
        <w:rPr>
          <w:szCs w:val="24"/>
        </w:rPr>
      </w:pPr>
      <w:r>
        <w:rPr>
          <w:szCs w:val="24"/>
        </w:rPr>
        <w:tab/>
      </w:r>
      <w:r w:rsidR="007A4A33">
        <w:rPr>
          <w:szCs w:val="24"/>
        </w:rPr>
        <w:t>Part 740 applies to all federally insured cred</w:t>
      </w:r>
      <w:r w:rsidR="006E466F">
        <w:rPr>
          <w:szCs w:val="24"/>
        </w:rPr>
        <w:t>it unions (FICUs) and prescribes</w:t>
      </w:r>
      <w:r w:rsidR="007A4A33">
        <w:rPr>
          <w:szCs w:val="24"/>
        </w:rPr>
        <w:t xml:space="preserve"> requirements for the official signage insured credit unions must display and requirements regarding the advertising statement they must include in their advisements</w:t>
      </w:r>
      <w:r w:rsidR="006E466F">
        <w:rPr>
          <w:szCs w:val="24"/>
        </w:rPr>
        <w:t>.  Part 740</w:t>
      </w:r>
      <w:r w:rsidR="007A4A33">
        <w:rPr>
          <w:szCs w:val="24"/>
        </w:rPr>
        <w:t xml:space="preserve"> also establishes requirements for advertisements of excess insurance.  </w:t>
      </w:r>
      <w:r w:rsidR="00100AEB">
        <w:rPr>
          <w:szCs w:val="24"/>
        </w:rPr>
        <w:t>According to 12 U.S.C 1785(a</w:t>
      </w:r>
      <w:proofErr w:type="gramStart"/>
      <w:r w:rsidR="00100AEB">
        <w:rPr>
          <w:szCs w:val="24"/>
        </w:rPr>
        <w:t>)(</w:t>
      </w:r>
      <w:proofErr w:type="gramEnd"/>
      <w:r w:rsidR="00100AEB">
        <w:rPr>
          <w:szCs w:val="24"/>
        </w:rPr>
        <w:t>1)</w:t>
      </w:r>
      <w:r w:rsidR="000370D4">
        <w:rPr>
          <w:szCs w:val="24"/>
        </w:rPr>
        <w:t>,</w:t>
      </w:r>
      <w:r w:rsidR="00100AEB">
        <w:rPr>
          <w:szCs w:val="24"/>
        </w:rPr>
        <w:t xml:space="preserve"> each FICU shall display signs relating to the insurance of </w:t>
      </w:r>
      <w:r w:rsidR="006E466F">
        <w:rPr>
          <w:szCs w:val="24"/>
        </w:rPr>
        <w:t xml:space="preserve">the </w:t>
      </w:r>
      <w:r w:rsidR="00100AEB">
        <w:rPr>
          <w:szCs w:val="24"/>
        </w:rPr>
        <w:t xml:space="preserve">share accounts </w:t>
      </w:r>
      <w:r w:rsidR="00CF5C04">
        <w:rPr>
          <w:szCs w:val="24"/>
        </w:rPr>
        <w:t>in</w:t>
      </w:r>
      <w:r w:rsidR="00100AEB">
        <w:rPr>
          <w:szCs w:val="24"/>
        </w:rPr>
        <w:t xml:space="preserve"> according to regulations </w:t>
      </w:r>
      <w:r w:rsidR="00CF5C04">
        <w:rPr>
          <w:szCs w:val="24"/>
        </w:rPr>
        <w:t>to be prescribed by</w:t>
      </w:r>
      <w:r w:rsidR="00100AEB">
        <w:rPr>
          <w:szCs w:val="24"/>
        </w:rPr>
        <w:t xml:space="preserve"> the Board.  </w:t>
      </w:r>
      <w:r w:rsidR="000370D4">
        <w:rPr>
          <w:szCs w:val="24"/>
        </w:rPr>
        <w:t xml:space="preserve">The NCUA Board </w:t>
      </w:r>
      <w:r w:rsidR="00100AEB">
        <w:rPr>
          <w:szCs w:val="24"/>
        </w:rPr>
        <w:t xml:space="preserve">codified </w:t>
      </w:r>
      <w:r w:rsidR="000370D4">
        <w:rPr>
          <w:szCs w:val="24"/>
        </w:rPr>
        <w:t xml:space="preserve">these disclosure requirements of advertising of excess insurance under </w:t>
      </w:r>
      <w:r w:rsidR="00100AEB">
        <w:rPr>
          <w:szCs w:val="24"/>
        </w:rPr>
        <w:t>§740.3</w:t>
      </w:r>
      <w:r w:rsidR="000370D4">
        <w:rPr>
          <w:szCs w:val="24"/>
        </w:rPr>
        <w:t>.</w:t>
      </w:r>
    </w:p>
    <w:p w:rsidR="007A4A33" w:rsidRDefault="007A4A33" w:rsidP="008C3D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4"/>
        </w:rPr>
      </w:pPr>
    </w:p>
    <w:p w:rsidR="008C3D4B" w:rsidRPr="00AD132E" w:rsidRDefault="008C3D4B" w:rsidP="008C3D4B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  <w:r w:rsidRPr="00AD132E">
        <w:rPr>
          <w:rFonts w:ascii="Times New Roman" w:hAnsi="Times New Roman"/>
          <w:sz w:val="24"/>
        </w:rPr>
        <w:t>2.</w:t>
      </w:r>
      <w:r w:rsidRPr="00AD132E">
        <w:rPr>
          <w:rFonts w:ascii="Times New Roman" w:hAnsi="Times New Roman"/>
          <w:sz w:val="24"/>
        </w:rPr>
        <w:tab/>
      </w:r>
      <w:r w:rsidRPr="00AD132E">
        <w:rPr>
          <w:rFonts w:ascii="Times New Roman" w:hAnsi="Times New Roman"/>
          <w:sz w:val="24"/>
          <w:u w:val="single"/>
        </w:rPr>
        <w:t>Use of the information:</w:t>
      </w:r>
    </w:p>
    <w:p w:rsidR="002F0F94" w:rsidRDefault="002F0F94" w:rsidP="008C3D4B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rPr>
          <w:szCs w:val="24"/>
        </w:rPr>
      </w:pPr>
    </w:p>
    <w:p w:rsidR="002F0F94" w:rsidRDefault="00D35AA1" w:rsidP="00D35AA1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ind w:left="720" w:hanging="720"/>
        <w:rPr>
          <w:szCs w:val="24"/>
        </w:rPr>
      </w:pPr>
      <w:r>
        <w:rPr>
          <w:szCs w:val="24"/>
        </w:rPr>
        <w:tab/>
      </w:r>
      <w:r w:rsidR="0064360B">
        <w:rPr>
          <w:szCs w:val="24"/>
        </w:rPr>
        <w:t xml:space="preserve">Requirements of §740.3, </w:t>
      </w:r>
      <w:r w:rsidR="002F0F94">
        <w:rPr>
          <w:szCs w:val="24"/>
        </w:rPr>
        <w:t>Advertising of excess insurance, prescribes</w:t>
      </w:r>
      <w:r w:rsidR="0064360B">
        <w:rPr>
          <w:szCs w:val="24"/>
        </w:rPr>
        <w:t xml:space="preserve"> that FICUs must di</w:t>
      </w:r>
      <w:r w:rsidR="006E466F">
        <w:rPr>
          <w:szCs w:val="24"/>
        </w:rPr>
        <w:t>sclose in advertising the share</w:t>
      </w:r>
      <w:r w:rsidR="0064360B">
        <w:rPr>
          <w:szCs w:val="24"/>
        </w:rPr>
        <w:t xml:space="preserve"> or savings account insurance provided by a party other than NCUA</w:t>
      </w:r>
      <w:r w:rsidR="002F0F94">
        <w:rPr>
          <w:szCs w:val="24"/>
        </w:rPr>
        <w:t xml:space="preserve">. </w:t>
      </w:r>
      <w:r w:rsidR="0064360B">
        <w:rPr>
          <w:szCs w:val="24"/>
        </w:rPr>
        <w:t xml:space="preserve"> This disclosure </w:t>
      </w:r>
      <w:r w:rsidR="002F0F94">
        <w:rPr>
          <w:szCs w:val="24"/>
        </w:rPr>
        <w:t xml:space="preserve">statement </w:t>
      </w:r>
      <w:r w:rsidR="0064360B">
        <w:rPr>
          <w:szCs w:val="24"/>
        </w:rPr>
        <w:t>must include the identity of the carrier</w:t>
      </w:r>
      <w:r w:rsidR="002F0F94">
        <w:rPr>
          <w:szCs w:val="24"/>
        </w:rPr>
        <w:t>,</w:t>
      </w:r>
      <w:r w:rsidR="0064360B">
        <w:rPr>
          <w:szCs w:val="24"/>
        </w:rPr>
        <w:t xml:space="preserve"> </w:t>
      </w:r>
      <w:r w:rsidR="002F0F94">
        <w:rPr>
          <w:szCs w:val="24"/>
        </w:rPr>
        <w:t xml:space="preserve">the type and amount of such insurance and </w:t>
      </w:r>
      <w:r w:rsidR="0064360B">
        <w:rPr>
          <w:szCs w:val="24"/>
        </w:rPr>
        <w:t>must avoid any statement or implication that the carrier is affiliated with NCUA or the federal government</w:t>
      </w:r>
      <w:r w:rsidR="002F0F94">
        <w:rPr>
          <w:szCs w:val="24"/>
        </w:rPr>
        <w:t>.</w:t>
      </w:r>
      <w:r>
        <w:rPr>
          <w:szCs w:val="24"/>
        </w:rPr>
        <w:t xml:space="preserve">  </w:t>
      </w:r>
      <w:r w:rsidR="002F0F94">
        <w:rPr>
          <w:szCs w:val="24"/>
        </w:rPr>
        <w:t xml:space="preserve">The disclosure requirements under §740.3 are necessary </w:t>
      </w:r>
      <w:r w:rsidR="000370D4">
        <w:rPr>
          <w:szCs w:val="24"/>
        </w:rPr>
        <w:t>to ensure that share account holder</w:t>
      </w:r>
      <w:r>
        <w:rPr>
          <w:szCs w:val="24"/>
        </w:rPr>
        <w:t xml:space="preserve">s are aware that their accounts are insured by carriers other than the NCUA. </w:t>
      </w:r>
    </w:p>
    <w:p w:rsidR="008C3D4B" w:rsidRPr="00AD132E" w:rsidRDefault="008C3D4B" w:rsidP="008C3D4B">
      <w:pPr>
        <w:rPr>
          <w:rFonts w:ascii="Times New Roman" w:hAnsi="Times New Roman"/>
          <w:sz w:val="24"/>
        </w:rPr>
      </w:pPr>
    </w:p>
    <w:p w:rsidR="008C3D4B" w:rsidRPr="00AD132E" w:rsidRDefault="008C3D4B" w:rsidP="008C3D4B">
      <w:pPr>
        <w:tabs>
          <w:tab w:val="left" w:pos="-1440"/>
        </w:tabs>
        <w:rPr>
          <w:rFonts w:ascii="Times New Roman" w:hAnsi="Times New Roman"/>
          <w:sz w:val="24"/>
          <w:u w:val="single"/>
        </w:rPr>
      </w:pPr>
      <w:r w:rsidRPr="00AD132E">
        <w:rPr>
          <w:rFonts w:ascii="Times New Roman" w:hAnsi="Times New Roman"/>
          <w:sz w:val="24"/>
        </w:rPr>
        <w:t>3.</w:t>
      </w:r>
      <w:r w:rsidRPr="00AD132E">
        <w:rPr>
          <w:rFonts w:ascii="Times New Roman" w:hAnsi="Times New Roman"/>
          <w:sz w:val="24"/>
        </w:rPr>
        <w:tab/>
      </w:r>
      <w:r w:rsidRPr="00AD132E">
        <w:rPr>
          <w:rFonts w:ascii="Times New Roman" w:hAnsi="Times New Roman"/>
          <w:sz w:val="24"/>
          <w:u w:val="single"/>
        </w:rPr>
        <w:t xml:space="preserve">Consideration of the use of </w:t>
      </w:r>
      <w:r w:rsidR="007D1420">
        <w:rPr>
          <w:rFonts w:ascii="Times New Roman" w:hAnsi="Times New Roman"/>
          <w:sz w:val="24"/>
          <w:u w:val="single"/>
        </w:rPr>
        <w:t>improved information technology</w:t>
      </w:r>
    </w:p>
    <w:p w:rsidR="008C3D4B" w:rsidRPr="00AD132E" w:rsidRDefault="008C3D4B" w:rsidP="008C3D4B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</w:p>
    <w:p w:rsidR="00D35AA1" w:rsidRDefault="00D35AA1" w:rsidP="008C3D4B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This is a disclosure requirement; </w:t>
      </w:r>
      <w:r w:rsidR="006E466F">
        <w:rPr>
          <w:rFonts w:ascii="Times New Roman" w:hAnsi="Times New Roman"/>
        </w:rPr>
        <w:t>and may</w:t>
      </w:r>
      <w:r>
        <w:rPr>
          <w:rFonts w:ascii="Times New Roman" w:hAnsi="Times New Roman"/>
        </w:rPr>
        <w:t xml:space="preserve"> include</w:t>
      </w:r>
      <w:r w:rsidR="006E466F">
        <w:rPr>
          <w:rFonts w:ascii="Times New Roman" w:hAnsi="Times New Roman"/>
        </w:rPr>
        <w:t xml:space="preserve"> print and electronic </w:t>
      </w:r>
      <w:r>
        <w:rPr>
          <w:rFonts w:ascii="Times New Roman" w:hAnsi="Times New Roman"/>
        </w:rPr>
        <w:t xml:space="preserve">media </w:t>
      </w:r>
      <w:r w:rsidR="006E466F">
        <w:rPr>
          <w:rFonts w:ascii="Times New Roman" w:hAnsi="Times New Roman"/>
        </w:rPr>
        <w:t>advertising.</w:t>
      </w:r>
    </w:p>
    <w:p w:rsidR="008C3D4B" w:rsidRPr="00AD132E" w:rsidRDefault="008C3D4B" w:rsidP="008C3D4B">
      <w:pPr>
        <w:rPr>
          <w:rFonts w:ascii="Times New Roman" w:hAnsi="Times New Roman"/>
          <w:sz w:val="24"/>
        </w:rPr>
      </w:pPr>
    </w:p>
    <w:p w:rsidR="008C3D4B" w:rsidRPr="00AD132E" w:rsidRDefault="008C3D4B" w:rsidP="008C3D4B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  <w:r w:rsidRPr="00AD132E">
        <w:rPr>
          <w:rFonts w:ascii="Times New Roman" w:hAnsi="Times New Roman"/>
          <w:sz w:val="24"/>
        </w:rPr>
        <w:t>4.</w:t>
      </w:r>
      <w:r w:rsidRPr="00AD132E">
        <w:rPr>
          <w:rFonts w:ascii="Times New Roman" w:hAnsi="Times New Roman"/>
          <w:sz w:val="24"/>
        </w:rPr>
        <w:tab/>
      </w:r>
      <w:r w:rsidR="007D1420">
        <w:rPr>
          <w:rFonts w:ascii="Times New Roman" w:hAnsi="Times New Roman"/>
          <w:sz w:val="24"/>
          <w:u w:val="single"/>
        </w:rPr>
        <w:t>Efforts to identify duplication</w:t>
      </w:r>
    </w:p>
    <w:p w:rsidR="008C3D4B" w:rsidRPr="00AD132E" w:rsidRDefault="008C3D4B" w:rsidP="008C3D4B">
      <w:pPr>
        <w:rPr>
          <w:rFonts w:ascii="Times New Roman" w:hAnsi="Times New Roman"/>
          <w:sz w:val="24"/>
        </w:rPr>
      </w:pPr>
    </w:p>
    <w:p w:rsidR="008C3D4B" w:rsidRPr="00AD132E" w:rsidRDefault="007D1420" w:rsidP="008C3D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8C3D4B" w:rsidRPr="00AD132E">
        <w:rPr>
          <w:rFonts w:ascii="Times New Roman" w:hAnsi="Times New Roman"/>
          <w:sz w:val="24"/>
        </w:rPr>
        <w:t xml:space="preserve">This collection of information is unique to each FICU and is not duplicated anywhere.  </w:t>
      </w:r>
    </w:p>
    <w:p w:rsidR="008C3D4B" w:rsidRPr="00AD132E" w:rsidRDefault="008C3D4B" w:rsidP="008C3D4B">
      <w:pPr>
        <w:rPr>
          <w:rFonts w:ascii="Times New Roman" w:hAnsi="Times New Roman"/>
          <w:sz w:val="24"/>
        </w:rPr>
      </w:pPr>
    </w:p>
    <w:p w:rsidR="008C3D4B" w:rsidRPr="00AD132E" w:rsidRDefault="008C3D4B" w:rsidP="008C3D4B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  <w:r w:rsidRPr="00AD132E">
        <w:rPr>
          <w:rFonts w:ascii="Times New Roman" w:hAnsi="Times New Roman"/>
          <w:sz w:val="24"/>
        </w:rPr>
        <w:t>5.</w:t>
      </w:r>
      <w:r w:rsidRPr="00AD132E">
        <w:rPr>
          <w:rFonts w:ascii="Times New Roman" w:hAnsi="Times New Roman"/>
          <w:sz w:val="24"/>
        </w:rPr>
        <w:tab/>
      </w:r>
      <w:r w:rsidR="007D1420">
        <w:rPr>
          <w:rFonts w:ascii="Times New Roman" w:hAnsi="Times New Roman"/>
          <w:sz w:val="24"/>
          <w:u w:val="single"/>
        </w:rPr>
        <w:t>M</w:t>
      </w:r>
      <w:r w:rsidRPr="00AD132E">
        <w:rPr>
          <w:rFonts w:ascii="Times New Roman" w:hAnsi="Times New Roman"/>
          <w:sz w:val="24"/>
          <w:u w:val="single"/>
        </w:rPr>
        <w:t>inimize burden on subst</w:t>
      </w:r>
      <w:r w:rsidR="007D1420">
        <w:rPr>
          <w:rFonts w:ascii="Times New Roman" w:hAnsi="Times New Roman"/>
          <w:sz w:val="24"/>
          <w:u w:val="single"/>
        </w:rPr>
        <w:t>antial number of small entities</w:t>
      </w:r>
    </w:p>
    <w:p w:rsidR="008C3D4B" w:rsidRPr="00AD132E" w:rsidRDefault="008C3D4B" w:rsidP="008C3D4B">
      <w:pPr>
        <w:rPr>
          <w:rFonts w:ascii="Times New Roman" w:hAnsi="Times New Roman"/>
          <w:sz w:val="24"/>
        </w:rPr>
      </w:pPr>
    </w:p>
    <w:p w:rsidR="008C3D4B" w:rsidRPr="00AD132E" w:rsidRDefault="007D1420" w:rsidP="007D1420">
      <w:pPr>
        <w:pStyle w:val="BodyText"/>
        <w:tabs>
          <w:tab w:val="left" w:pos="72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C3D4B" w:rsidRPr="00AD132E">
        <w:rPr>
          <w:rFonts w:ascii="Times New Roman" w:hAnsi="Times New Roman"/>
        </w:rPr>
        <w:t>This collection does not have a significant impact on a substantial number of small credit unions.</w:t>
      </w:r>
    </w:p>
    <w:p w:rsidR="008C3D4B" w:rsidRPr="00AD132E" w:rsidRDefault="008C3D4B" w:rsidP="007D1420">
      <w:pPr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</w:p>
    <w:p w:rsidR="008C3D4B" w:rsidRPr="00AD132E" w:rsidRDefault="008C3D4B" w:rsidP="007D1420">
      <w:pPr>
        <w:tabs>
          <w:tab w:val="left" w:pos="-1440"/>
          <w:tab w:val="left" w:pos="720"/>
        </w:tabs>
        <w:ind w:left="720" w:hanging="720"/>
        <w:rPr>
          <w:rFonts w:ascii="Times New Roman" w:hAnsi="Times New Roman"/>
          <w:sz w:val="24"/>
        </w:rPr>
      </w:pPr>
      <w:r w:rsidRPr="00AD132E">
        <w:rPr>
          <w:rFonts w:ascii="Times New Roman" w:hAnsi="Times New Roman"/>
          <w:sz w:val="24"/>
        </w:rPr>
        <w:t>6.</w:t>
      </w:r>
      <w:r w:rsidRPr="00AD132E">
        <w:rPr>
          <w:rFonts w:ascii="Times New Roman" w:hAnsi="Times New Roman"/>
          <w:sz w:val="24"/>
        </w:rPr>
        <w:tab/>
      </w:r>
      <w:r w:rsidRPr="00AD132E">
        <w:rPr>
          <w:rFonts w:ascii="Times New Roman" w:hAnsi="Times New Roman"/>
          <w:sz w:val="24"/>
          <w:u w:val="single"/>
        </w:rPr>
        <w:t>Consequences to the Federal program if</w:t>
      </w:r>
      <w:r w:rsidR="007D1420">
        <w:rPr>
          <w:rFonts w:ascii="Times New Roman" w:hAnsi="Times New Roman"/>
          <w:sz w:val="24"/>
          <w:u w:val="single"/>
        </w:rPr>
        <w:t xml:space="preserve"> the collections were conducted</w:t>
      </w:r>
    </w:p>
    <w:p w:rsidR="008C3D4B" w:rsidRPr="00AD132E" w:rsidRDefault="008C3D4B" w:rsidP="007D1420">
      <w:pPr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</w:p>
    <w:p w:rsidR="008C3D4B" w:rsidRPr="00AD132E" w:rsidRDefault="007D1420" w:rsidP="007D14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If this information were not disclosed, customers w</w:t>
      </w:r>
      <w:r w:rsidR="006E466F">
        <w:rPr>
          <w:rFonts w:ascii="Times New Roman" w:hAnsi="Times New Roman"/>
          <w:sz w:val="24"/>
        </w:rPr>
        <w:t>ould</w:t>
      </w:r>
      <w:r>
        <w:rPr>
          <w:rFonts w:ascii="Times New Roman" w:hAnsi="Times New Roman"/>
          <w:sz w:val="24"/>
        </w:rPr>
        <w:t xml:space="preserve"> not be aware that their shares </w:t>
      </w:r>
      <w:r w:rsidR="006E466F">
        <w:rPr>
          <w:rFonts w:ascii="Times New Roman" w:hAnsi="Times New Roman"/>
          <w:sz w:val="24"/>
        </w:rPr>
        <w:t>are</w:t>
      </w:r>
      <w:r>
        <w:rPr>
          <w:rFonts w:ascii="Times New Roman" w:hAnsi="Times New Roman"/>
          <w:sz w:val="24"/>
        </w:rPr>
        <w:t xml:space="preserve"> cover</w:t>
      </w:r>
      <w:r w:rsidR="006E466F">
        <w:rPr>
          <w:rFonts w:ascii="Times New Roman" w:hAnsi="Times New Roman"/>
          <w:sz w:val="24"/>
        </w:rPr>
        <w:t>ed</w:t>
      </w:r>
      <w:r>
        <w:rPr>
          <w:rFonts w:ascii="Times New Roman" w:hAnsi="Times New Roman"/>
          <w:sz w:val="24"/>
        </w:rPr>
        <w:t xml:space="preserve"> by </w:t>
      </w:r>
      <w:r w:rsidR="006E466F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carrier other than NCUA.</w:t>
      </w:r>
    </w:p>
    <w:p w:rsidR="008C3D4B" w:rsidRPr="00AD132E" w:rsidRDefault="008C3D4B" w:rsidP="007D1420">
      <w:pPr>
        <w:ind w:left="720"/>
        <w:rPr>
          <w:rFonts w:ascii="Times New Roman" w:hAnsi="Times New Roman"/>
          <w:sz w:val="24"/>
        </w:rPr>
      </w:pPr>
    </w:p>
    <w:p w:rsidR="008C3D4B" w:rsidRPr="00AD132E" w:rsidRDefault="008C3D4B" w:rsidP="007D1420">
      <w:pPr>
        <w:ind w:left="720"/>
        <w:rPr>
          <w:rFonts w:ascii="Times New Roman" w:hAnsi="Times New Roman"/>
          <w:sz w:val="24"/>
        </w:rPr>
      </w:pPr>
    </w:p>
    <w:p w:rsidR="008C3D4B" w:rsidRPr="00AD132E" w:rsidRDefault="008C3D4B" w:rsidP="008C3D4B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  <w:r w:rsidRPr="00AD132E">
        <w:rPr>
          <w:rFonts w:ascii="Times New Roman" w:hAnsi="Times New Roman"/>
          <w:sz w:val="24"/>
        </w:rPr>
        <w:t>7.</w:t>
      </w:r>
      <w:r w:rsidRPr="00AD132E">
        <w:rPr>
          <w:rFonts w:ascii="Times New Roman" w:hAnsi="Times New Roman"/>
          <w:sz w:val="24"/>
        </w:rPr>
        <w:tab/>
      </w:r>
      <w:r w:rsidRPr="00AD132E">
        <w:rPr>
          <w:rFonts w:ascii="Times New Roman" w:hAnsi="Times New Roman"/>
          <w:sz w:val="24"/>
          <w:u w:val="single"/>
        </w:rPr>
        <w:t xml:space="preserve">Special circumstances inconsistent with 5 CFR </w:t>
      </w:r>
      <w:r w:rsidR="007D1420">
        <w:rPr>
          <w:rFonts w:ascii="Times New Roman" w:hAnsi="Times New Roman"/>
          <w:sz w:val="24"/>
          <w:u w:val="single"/>
        </w:rPr>
        <w:t>1320.5(d</w:t>
      </w:r>
      <w:proofErr w:type="gramStart"/>
      <w:r w:rsidR="007D1420">
        <w:rPr>
          <w:rFonts w:ascii="Times New Roman" w:hAnsi="Times New Roman"/>
          <w:sz w:val="24"/>
          <w:u w:val="single"/>
        </w:rPr>
        <w:t>)(</w:t>
      </w:r>
      <w:proofErr w:type="gramEnd"/>
      <w:r w:rsidR="007D1420">
        <w:rPr>
          <w:rFonts w:ascii="Times New Roman" w:hAnsi="Times New Roman"/>
          <w:sz w:val="24"/>
          <w:u w:val="single"/>
        </w:rPr>
        <w:t>2)</w:t>
      </w:r>
    </w:p>
    <w:p w:rsidR="008C3D4B" w:rsidRPr="00AD132E" w:rsidRDefault="008C3D4B" w:rsidP="008C3D4B">
      <w:pPr>
        <w:rPr>
          <w:rFonts w:ascii="Times New Roman" w:hAnsi="Times New Roman"/>
          <w:sz w:val="24"/>
        </w:rPr>
      </w:pPr>
    </w:p>
    <w:p w:rsidR="008C3D4B" w:rsidRPr="00AD132E" w:rsidRDefault="007D1420" w:rsidP="007D1420">
      <w:pPr>
        <w:pStyle w:val="BodyText"/>
        <w:tabs>
          <w:tab w:val="left" w:pos="72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There are no special circumstances.  </w:t>
      </w:r>
      <w:r w:rsidR="008C3D4B" w:rsidRPr="00AD132E">
        <w:rPr>
          <w:rFonts w:ascii="Times New Roman" w:hAnsi="Times New Roman"/>
        </w:rPr>
        <w:t xml:space="preserve">The information collections </w:t>
      </w:r>
      <w:r>
        <w:rPr>
          <w:rFonts w:ascii="Times New Roman" w:hAnsi="Times New Roman"/>
        </w:rPr>
        <w:t>is</w:t>
      </w:r>
      <w:r w:rsidR="008C3D4B" w:rsidRPr="00AD132E">
        <w:rPr>
          <w:rFonts w:ascii="Times New Roman" w:hAnsi="Times New Roman"/>
        </w:rPr>
        <w:t xml:space="preserve"> conducted in a manner consistent with the requirements of 5 CFR 1320.5(d</w:t>
      </w:r>
      <w:proofErr w:type="gramStart"/>
      <w:r w:rsidR="008C3D4B" w:rsidRPr="00AD132E">
        <w:rPr>
          <w:rFonts w:ascii="Times New Roman" w:hAnsi="Times New Roman"/>
        </w:rPr>
        <w:t>)(</w:t>
      </w:r>
      <w:proofErr w:type="gramEnd"/>
      <w:r w:rsidR="008C3D4B" w:rsidRPr="00AD132E">
        <w:rPr>
          <w:rFonts w:ascii="Times New Roman" w:hAnsi="Times New Roman"/>
        </w:rPr>
        <w:t xml:space="preserve">2).  </w:t>
      </w:r>
    </w:p>
    <w:p w:rsidR="008C3D4B" w:rsidRPr="00AD132E" w:rsidRDefault="008C3D4B" w:rsidP="008C3D4B">
      <w:pPr>
        <w:rPr>
          <w:rFonts w:ascii="Times New Roman" w:hAnsi="Times New Roman"/>
          <w:sz w:val="24"/>
        </w:rPr>
      </w:pPr>
    </w:p>
    <w:p w:rsidR="008C3D4B" w:rsidRPr="00AD132E" w:rsidRDefault="008C3D4B" w:rsidP="008C3D4B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  <w:r w:rsidRPr="00AD132E">
        <w:rPr>
          <w:rFonts w:ascii="Times New Roman" w:hAnsi="Times New Roman"/>
          <w:sz w:val="24"/>
        </w:rPr>
        <w:t>8.</w:t>
      </w:r>
      <w:r w:rsidRPr="00AD132E">
        <w:rPr>
          <w:rFonts w:ascii="Times New Roman" w:hAnsi="Times New Roman"/>
          <w:sz w:val="24"/>
        </w:rPr>
        <w:tab/>
      </w:r>
      <w:r w:rsidRPr="00AD132E">
        <w:rPr>
          <w:rFonts w:ascii="Times New Roman" w:hAnsi="Times New Roman"/>
          <w:sz w:val="24"/>
          <w:u w:val="single"/>
        </w:rPr>
        <w:t xml:space="preserve">Efforts to consult </w:t>
      </w:r>
      <w:r w:rsidR="007D1420">
        <w:rPr>
          <w:rFonts w:ascii="Times New Roman" w:hAnsi="Times New Roman"/>
          <w:sz w:val="24"/>
          <w:u w:val="single"/>
        </w:rPr>
        <w:t>with persons outside the agency</w:t>
      </w:r>
    </w:p>
    <w:p w:rsidR="008C3D4B" w:rsidRPr="00AD132E" w:rsidRDefault="008C3D4B" w:rsidP="008C3D4B">
      <w:pPr>
        <w:rPr>
          <w:rFonts w:ascii="Times New Roman" w:hAnsi="Times New Roman"/>
          <w:sz w:val="24"/>
        </w:rPr>
      </w:pPr>
    </w:p>
    <w:p w:rsidR="008C3D4B" w:rsidRPr="00AD132E" w:rsidRDefault="007D1420" w:rsidP="007D1420">
      <w:pPr>
        <w:widowControl/>
        <w:tabs>
          <w:tab w:val="left" w:pos="810"/>
        </w:tabs>
        <w:overflowPunct w:val="0"/>
        <w:ind w:left="720" w:hanging="720"/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8C3D4B" w:rsidRPr="00AD132E">
        <w:rPr>
          <w:rFonts w:ascii="Times New Roman" w:hAnsi="Times New Roman"/>
          <w:sz w:val="24"/>
        </w:rPr>
        <w:t xml:space="preserve">A 60-day day notice was published in the </w:t>
      </w:r>
      <w:r w:rsidR="008C3D4B" w:rsidRPr="00FB77AE">
        <w:rPr>
          <w:rFonts w:ascii="Times New Roman" w:hAnsi="Times New Roman"/>
          <w:i/>
          <w:sz w:val="24"/>
        </w:rPr>
        <w:t>Federal Register</w:t>
      </w:r>
      <w:r w:rsidR="008C3D4B" w:rsidRPr="00AD132E">
        <w:rPr>
          <w:rFonts w:ascii="Times New Roman" w:hAnsi="Times New Roman"/>
          <w:sz w:val="24"/>
        </w:rPr>
        <w:t xml:space="preserve"> </w:t>
      </w:r>
      <w:r w:rsidR="00FB77AE">
        <w:rPr>
          <w:rFonts w:ascii="Times New Roman" w:hAnsi="Times New Roman"/>
          <w:sz w:val="24"/>
        </w:rPr>
        <w:t xml:space="preserve">August 3, 2016, at 81 FR 51215, </w:t>
      </w:r>
      <w:r w:rsidR="008C3D4B" w:rsidRPr="00AD132E">
        <w:rPr>
          <w:rFonts w:ascii="Times New Roman" w:hAnsi="Times New Roman"/>
          <w:sz w:val="24"/>
        </w:rPr>
        <w:t xml:space="preserve">soliciting comments from the public.  </w:t>
      </w:r>
      <w:r w:rsidR="008C3D4B" w:rsidRPr="002D171C">
        <w:rPr>
          <w:rFonts w:ascii="Times New Roman" w:hAnsi="Times New Roman"/>
          <w:sz w:val="24"/>
        </w:rPr>
        <w:t>NCUA did not receive any comments regarding the collection.</w:t>
      </w:r>
    </w:p>
    <w:p w:rsidR="008C3D4B" w:rsidRPr="00AD132E" w:rsidRDefault="008C3D4B" w:rsidP="008C3D4B">
      <w:pPr>
        <w:rPr>
          <w:rFonts w:ascii="Times New Roman" w:hAnsi="Times New Roman"/>
          <w:sz w:val="24"/>
        </w:rPr>
      </w:pPr>
    </w:p>
    <w:p w:rsidR="008C3D4B" w:rsidRPr="00AD132E" w:rsidRDefault="008C3D4B" w:rsidP="008C3D4B">
      <w:pPr>
        <w:rPr>
          <w:rFonts w:ascii="Times New Roman" w:hAnsi="Times New Roman"/>
          <w:sz w:val="24"/>
        </w:rPr>
      </w:pPr>
      <w:r w:rsidRPr="00AD132E">
        <w:rPr>
          <w:rFonts w:ascii="Times New Roman" w:hAnsi="Times New Roman"/>
          <w:sz w:val="24"/>
        </w:rPr>
        <w:t>9.</w:t>
      </w:r>
      <w:r w:rsidRPr="00AD132E">
        <w:rPr>
          <w:rFonts w:ascii="Times New Roman" w:hAnsi="Times New Roman"/>
          <w:sz w:val="24"/>
        </w:rPr>
        <w:tab/>
      </w:r>
      <w:r w:rsidR="007D1420">
        <w:rPr>
          <w:rFonts w:ascii="Times New Roman" w:hAnsi="Times New Roman"/>
          <w:sz w:val="24"/>
          <w:u w:val="single"/>
        </w:rPr>
        <w:t>Payment or gifts to respondents</w:t>
      </w:r>
    </w:p>
    <w:p w:rsidR="008C3D4B" w:rsidRPr="00AD132E" w:rsidRDefault="008C3D4B" w:rsidP="008C3D4B">
      <w:pPr>
        <w:rPr>
          <w:rFonts w:ascii="Times New Roman" w:hAnsi="Times New Roman"/>
          <w:sz w:val="24"/>
        </w:rPr>
      </w:pPr>
    </w:p>
    <w:p w:rsidR="008C3D4B" w:rsidRPr="00AD132E" w:rsidRDefault="007D1420" w:rsidP="008C3D4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N</w:t>
      </w:r>
      <w:r w:rsidR="008C3D4B" w:rsidRPr="00AD132E">
        <w:rPr>
          <w:rFonts w:ascii="Times New Roman" w:hAnsi="Times New Roman"/>
          <w:sz w:val="24"/>
        </w:rPr>
        <w:t xml:space="preserve">o payments </w:t>
      </w:r>
      <w:r>
        <w:rPr>
          <w:rFonts w:ascii="Times New Roman" w:hAnsi="Times New Roman"/>
          <w:sz w:val="24"/>
        </w:rPr>
        <w:t>or gifts are provided to respondents.</w:t>
      </w:r>
    </w:p>
    <w:p w:rsidR="008C3D4B" w:rsidRPr="00AD132E" w:rsidRDefault="008C3D4B" w:rsidP="008C3D4B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</w:p>
    <w:p w:rsidR="008C3D4B" w:rsidRPr="00AD132E" w:rsidRDefault="008C3D4B" w:rsidP="008C3D4B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  <w:r w:rsidRPr="00AD132E">
        <w:rPr>
          <w:rFonts w:ascii="Times New Roman" w:hAnsi="Times New Roman"/>
          <w:sz w:val="24"/>
        </w:rPr>
        <w:t>10.</w:t>
      </w:r>
      <w:r w:rsidRPr="00AD132E">
        <w:rPr>
          <w:rFonts w:ascii="Times New Roman" w:hAnsi="Times New Roman"/>
          <w:sz w:val="24"/>
        </w:rPr>
        <w:tab/>
      </w:r>
      <w:r w:rsidR="007D1420">
        <w:rPr>
          <w:rFonts w:ascii="Times New Roman" w:hAnsi="Times New Roman"/>
          <w:sz w:val="24"/>
          <w:u w:val="single"/>
        </w:rPr>
        <w:t>A</w:t>
      </w:r>
      <w:r w:rsidRPr="00AD132E">
        <w:rPr>
          <w:rFonts w:ascii="Times New Roman" w:hAnsi="Times New Roman"/>
          <w:sz w:val="24"/>
          <w:u w:val="single"/>
        </w:rPr>
        <w:t>ssurance of</w:t>
      </w:r>
      <w:r w:rsidR="007D1420">
        <w:rPr>
          <w:rFonts w:ascii="Times New Roman" w:hAnsi="Times New Roman"/>
          <w:sz w:val="24"/>
          <w:u w:val="single"/>
        </w:rPr>
        <w:t xml:space="preserve"> confidentiality</w:t>
      </w:r>
    </w:p>
    <w:p w:rsidR="008C3D4B" w:rsidRPr="00AD132E" w:rsidRDefault="008C3D4B" w:rsidP="008C3D4B">
      <w:pPr>
        <w:rPr>
          <w:rFonts w:ascii="Times New Roman" w:hAnsi="Times New Roman"/>
          <w:sz w:val="24"/>
        </w:rPr>
      </w:pPr>
    </w:p>
    <w:p w:rsidR="008C3D4B" w:rsidRPr="00AD132E" w:rsidRDefault="007D1420" w:rsidP="007D1420">
      <w:pPr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8C3D4B" w:rsidRPr="00AD132E">
        <w:rPr>
          <w:rFonts w:ascii="Times New Roman" w:hAnsi="Times New Roman"/>
          <w:sz w:val="24"/>
        </w:rPr>
        <w:t xml:space="preserve">This is a </w:t>
      </w:r>
      <w:r>
        <w:rPr>
          <w:rFonts w:ascii="Times New Roman" w:hAnsi="Times New Roman"/>
          <w:sz w:val="24"/>
        </w:rPr>
        <w:t>disclosure</w:t>
      </w:r>
      <w:r w:rsidR="008C3D4B" w:rsidRPr="00AD132E">
        <w:rPr>
          <w:rFonts w:ascii="Times New Roman" w:hAnsi="Times New Roman"/>
          <w:sz w:val="24"/>
        </w:rPr>
        <w:t xml:space="preserve"> requirement; therefore, the collection does not require any assurances of confidentiality.</w:t>
      </w:r>
    </w:p>
    <w:p w:rsidR="008C3D4B" w:rsidRPr="00AD132E" w:rsidRDefault="008C3D4B" w:rsidP="008C3D4B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</w:p>
    <w:p w:rsidR="008C3D4B" w:rsidRPr="00AD132E" w:rsidRDefault="008C3D4B" w:rsidP="008C3D4B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  <w:r w:rsidRPr="00AD132E">
        <w:rPr>
          <w:rFonts w:ascii="Times New Roman" w:hAnsi="Times New Roman"/>
          <w:sz w:val="24"/>
        </w:rPr>
        <w:t>11.</w:t>
      </w:r>
      <w:r w:rsidRPr="00AD132E">
        <w:rPr>
          <w:rFonts w:ascii="Times New Roman" w:hAnsi="Times New Roman"/>
          <w:sz w:val="24"/>
        </w:rPr>
        <w:tab/>
      </w:r>
      <w:r w:rsidR="007D1420">
        <w:rPr>
          <w:rFonts w:ascii="Times New Roman" w:hAnsi="Times New Roman"/>
          <w:sz w:val="24"/>
        </w:rPr>
        <w:t>Q</w:t>
      </w:r>
      <w:r w:rsidR="007D1420">
        <w:rPr>
          <w:rFonts w:ascii="Times New Roman" w:hAnsi="Times New Roman"/>
          <w:sz w:val="24"/>
          <w:u w:val="single"/>
        </w:rPr>
        <w:t>uestions of a sensitive nature</w:t>
      </w:r>
    </w:p>
    <w:p w:rsidR="008C3D4B" w:rsidRPr="00AD132E" w:rsidRDefault="008C3D4B" w:rsidP="008C3D4B">
      <w:pPr>
        <w:rPr>
          <w:rFonts w:ascii="Times New Roman" w:hAnsi="Times New Roman"/>
          <w:sz w:val="24"/>
        </w:rPr>
      </w:pPr>
    </w:p>
    <w:p w:rsidR="008C3D4B" w:rsidRPr="00AD132E" w:rsidRDefault="007D1420" w:rsidP="008C3D4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8C3D4B" w:rsidRPr="00AD132E">
        <w:rPr>
          <w:rFonts w:ascii="Times New Roman" w:hAnsi="Times New Roman"/>
          <w:sz w:val="24"/>
        </w:rPr>
        <w:t xml:space="preserve">No personally identifiable information (PII) is collected.  </w:t>
      </w:r>
    </w:p>
    <w:p w:rsidR="008C3D4B" w:rsidRPr="00AD132E" w:rsidRDefault="008C3D4B" w:rsidP="008C3D4B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</w:p>
    <w:p w:rsidR="008C3D4B" w:rsidRPr="00AD132E" w:rsidRDefault="008C3D4B" w:rsidP="008C3D4B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  <w:r w:rsidRPr="00AD132E">
        <w:rPr>
          <w:rFonts w:ascii="Times New Roman" w:hAnsi="Times New Roman"/>
          <w:sz w:val="24"/>
        </w:rPr>
        <w:t>12.</w:t>
      </w:r>
      <w:r w:rsidRPr="00AD132E">
        <w:rPr>
          <w:rFonts w:ascii="Times New Roman" w:hAnsi="Times New Roman"/>
          <w:sz w:val="24"/>
        </w:rPr>
        <w:tab/>
      </w:r>
      <w:r w:rsidRPr="00AD132E">
        <w:rPr>
          <w:rFonts w:ascii="Times New Roman" w:hAnsi="Times New Roman"/>
          <w:sz w:val="24"/>
          <w:u w:val="single"/>
        </w:rPr>
        <w:t>Burden estimate:</w:t>
      </w:r>
    </w:p>
    <w:p w:rsidR="008C3D4B" w:rsidRPr="00AD132E" w:rsidRDefault="008C3D4B" w:rsidP="008C3D4B">
      <w:pPr>
        <w:rPr>
          <w:rFonts w:ascii="Times New Roman" w:hAnsi="Times New Roman"/>
          <w:sz w:val="24"/>
        </w:rPr>
      </w:pPr>
    </w:p>
    <w:tbl>
      <w:tblPr>
        <w:tblW w:w="8275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1313"/>
        <w:gridCol w:w="1260"/>
        <w:gridCol w:w="1368"/>
        <w:gridCol w:w="1350"/>
        <w:gridCol w:w="1555"/>
      </w:tblGrid>
      <w:tr w:rsidR="007D1420" w:rsidRPr="00AD132E" w:rsidTr="0075438A">
        <w:tc>
          <w:tcPr>
            <w:tcW w:w="1429" w:type="dxa"/>
            <w:shd w:val="clear" w:color="auto" w:fill="auto"/>
            <w:vAlign w:val="center"/>
          </w:tcPr>
          <w:p w:rsidR="007D1420" w:rsidRPr="007D1420" w:rsidRDefault="007D1420" w:rsidP="007D1420">
            <w:pPr>
              <w:tabs>
                <w:tab w:val="left" w:pos="720"/>
              </w:tabs>
              <w:jc w:val="center"/>
              <w:rPr>
                <w:rFonts w:ascii="Arial Narrow" w:hAnsi="Arial Narrow" w:cs="Arial"/>
                <w:szCs w:val="20"/>
              </w:rPr>
            </w:pPr>
            <w:r w:rsidRPr="007D1420">
              <w:rPr>
                <w:rFonts w:ascii="Arial Narrow" w:hAnsi="Arial Narrow" w:cs="Arial"/>
                <w:szCs w:val="20"/>
              </w:rPr>
              <w:t># Respondents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7D1420" w:rsidRPr="007D1420" w:rsidRDefault="007D1420" w:rsidP="007D1420">
            <w:pPr>
              <w:tabs>
                <w:tab w:val="left" w:pos="720"/>
              </w:tabs>
              <w:jc w:val="center"/>
              <w:rPr>
                <w:rFonts w:ascii="Arial Narrow" w:hAnsi="Arial Narrow" w:cs="Arial"/>
                <w:szCs w:val="20"/>
              </w:rPr>
            </w:pPr>
            <w:r w:rsidRPr="007D1420">
              <w:rPr>
                <w:rFonts w:ascii="Arial Narrow" w:hAnsi="Arial Narrow" w:cs="Arial"/>
                <w:szCs w:val="20"/>
              </w:rPr>
              <w:t># Responses per Respondent</w:t>
            </w:r>
          </w:p>
        </w:tc>
        <w:tc>
          <w:tcPr>
            <w:tcW w:w="1260" w:type="dxa"/>
            <w:vAlign w:val="center"/>
          </w:tcPr>
          <w:p w:rsidR="007D1420" w:rsidRPr="007D1420" w:rsidRDefault="007D1420" w:rsidP="007D1420">
            <w:pPr>
              <w:tabs>
                <w:tab w:val="left" w:pos="720"/>
              </w:tabs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# Annual Response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7D1420" w:rsidRPr="007D1420" w:rsidRDefault="007D1420" w:rsidP="007D1420">
            <w:pPr>
              <w:tabs>
                <w:tab w:val="left" w:pos="720"/>
              </w:tabs>
              <w:jc w:val="center"/>
              <w:rPr>
                <w:rFonts w:ascii="Arial Narrow" w:hAnsi="Arial Narrow" w:cs="Arial"/>
                <w:szCs w:val="20"/>
              </w:rPr>
            </w:pPr>
            <w:r w:rsidRPr="007D1420">
              <w:rPr>
                <w:rFonts w:ascii="Arial Narrow" w:hAnsi="Arial Narrow" w:cs="Arial"/>
                <w:szCs w:val="20"/>
              </w:rPr>
              <w:t>Hours Per Response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D1420" w:rsidRPr="007D1420" w:rsidRDefault="007D1420" w:rsidP="007D1420">
            <w:pPr>
              <w:tabs>
                <w:tab w:val="left" w:pos="720"/>
              </w:tabs>
              <w:jc w:val="center"/>
              <w:rPr>
                <w:rFonts w:ascii="Arial Narrow" w:hAnsi="Arial Narrow" w:cs="Arial"/>
                <w:szCs w:val="20"/>
              </w:rPr>
            </w:pPr>
            <w:r w:rsidRPr="007D1420">
              <w:rPr>
                <w:rFonts w:ascii="Arial Narrow" w:hAnsi="Arial Narrow" w:cs="Arial"/>
                <w:szCs w:val="20"/>
              </w:rPr>
              <w:t>Total Annual Burden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7D1420" w:rsidRPr="007D1420" w:rsidRDefault="007D1420" w:rsidP="007D1420">
            <w:pPr>
              <w:tabs>
                <w:tab w:val="left" w:pos="720"/>
              </w:tabs>
              <w:jc w:val="center"/>
              <w:rPr>
                <w:rFonts w:ascii="Arial Narrow" w:hAnsi="Arial Narrow" w:cs="Arial"/>
                <w:szCs w:val="20"/>
              </w:rPr>
            </w:pPr>
            <w:r w:rsidRPr="007D1420">
              <w:rPr>
                <w:rFonts w:ascii="Arial Narrow" w:hAnsi="Arial Narrow" w:cs="Arial"/>
                <w:szCs w:val="20"/>
              </w:rPr>
              <w:t>Cost to Respondents (Based on hourly wage</w:t>
            </w:r>
            <w:r w:rsidR="006E466F">
              <w:rPr>
                <w:rFonts w:ascii="Arial Narrow" w:hAnsi="Arial Narrow" w:cs="Arial"/>
                <w:szCs w:val="20"/>
              </w:rPr>
              <w:t xml:space="preserve"> rate of $35</w:t>
            </w:r>
            <w:r w:rsidRPr="007D1420">
              <w:rPr>
                <w:rFonts w:ascii="Arial Narrow" w:hAnsi="Arial Narrow" w:cs="Arial"/>
                <w:szCs w:val="20"/>
              </w:rPr>
              <w:t>.00)</w:t>
            </w:r>
          </w:p>
        </w:tc>
      </w:tr>
      <w:tr w:rsidR="007D1420" w:rsidRPr="00AD132E" w:rsidTr="0075438A">
        <w:trPr>
          <w:trHeight w:val="557"/>
        </w:trPr>
        <w:tc>
          <w:tcPr>
            <w:tcW w:w="1429" w:type="dxa"/>
            <w:shd w:val="clear" w:color="auto" w:fill="auto"/>
            <w:vAlign w:val="center"/>
          </w:tcPr>
          <w:p w:rsidR="007D1420" w:rsidRPr="007D1420" w:rsidRDefault="006E466F" w:rsidP="007D1420">
            <w:pPr>
              <w:tabs>
                <w:tab w:val="left" w:pos="720"/>
              </w:tabs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300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7D1420" w:rsidRPr="007D1420" w:rsidRDefault="007D1420" w:rsidP="007D1420">
            <w:pPr>
              <w:tabs>
                <w:tab w:val="left" w:pos="720"/>
              </w:tabs>
              <w:jc w:val="center"/>
              <w:rPr>
                <w:rFonts w:ascii="Arial" w:hAnsi="Arial" w:cs="Arial"/>
                <w:szCs w:val="20"/>
              </w:rPr>
            </w:pPr>
            <w:r w:rsidRPr="007D1420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7D1420" w:rsidRPr="007D1420" w:rsidRDefault="006E466F" w:rsidP="007D1420">
            <w:pPr>
              <w:tabs>
                <w:tab w:val="left" w:pos="720"/>
              </w:tabs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300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7D1420" w:rsidRPr="007D1420" w:rsidRDefault="0075438A" w:rsidP="007D1420">
            <w:pPr>
              <w:tabs>
                <w:tab w:val="left" w:pos="720"/>
              </w:tabs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D1420" w:rsidRPr="007D1420" w:rsidRDefault="006E466F" w:rsidP="007D1420">
            <w:pPr>
              <w:tabs>
                <w:tab w:val="left" w:pos="720"/>
              </w:tabs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300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7D1420" w:rsidRPr="007D1420" w:rsidRDefault="007D1420" w:rsidP="0075438A">
            <w:pPr>
              <w:tabs>
                <w:tab w:val="left" w:pos="720"/>
              </w:tabs>
              <w:jc w:val="center"/>
              <w:rPr>
                <w:rFonts w:ascii="Arial" w:hAnsi="Arial" w:cs="Arial"/>
                <w:szCs w:val="20"/>
              </w:rPr>
            </w:pPr>
            <w:r w:rsidRPr="007D1420">
              <w:rPr>
                <w:rFonts w:ascii="Arial" w:hAnsi="Arial" w:cs="Arial"/>
                <w:szCs w:val="20"/>
              </w:rPr>
              <w:t>$</w:t>
            </w:r>
            <w:r w:rsidR="006E466F">
              <w:rPr>
                <w:rFonts w:ascii="Arial" w:hAnsi="Arial" w:cs="Arial"/>
                <w:szCs w:val="20"/>
              </w:rPr>
              <w:t>10,500</w:t>
            </w:r>
          </w:p>
        </w:tc>
      </w:tr>
    </w:tbl>
    <w:p w:rsidR="008C3D4B" w:rsidRPr="00AD132E" w:rsidRDefault="008C3D4B" w:rsidP="007D1420">
      <w:pPr>
        <w:rPr>
          <w:rFonts w:ascii="Times New Roman" w:hAnsi="Times New Roman"/>
          <w:sz w:val="24"/>
        </w:rPr>
      </w:pPr>
    </w:p>
    <w:p w:rsidR="008C3D4B" w:rsidRPr="00AD132E" w:rsidRDefault="008C3D4B" w:rsidP="008C3D4B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  <w:r w:rsidRPr="00AD132E">
        <w:rPr>
          <w:rFonts w:ascii="Times New Roman" w:hAnsi="Times New Roman"/>
          <w:sz w:val="24"/>
        </w:rPr>
        <w:t>13.</w:t>
      </w:r>
      <w:r w:rsidRPr="00AD132E">
        <w:rPr>
          <w:rFonts w:ascii="Times New Roman" w:hAnsi="Times New Roman"/>
          <w:sz w:val="24"/>
        </w:rPr>
        <w:tab/>
      </w:r>
      <w:r w:rsidRPr="00AD132E">
        <w:rPr>
          <w:rFonts w:ascii="Times New Roman" w:hAnsi="Times New Roman"/>
          <w:sz w:val="24"/>
          <w:u w:val="single"/>
        </w:rPr>
        <w:t>Estimates of capital start-up and maintenance costs</w:t>
      </w:r>
    </w:p>
    <w:p w:rsidR="008C3D4B" w:rsidRPr="00AD132E" w:rsidRDefault="008C3D4B" w:rsidP="008C3D4B">
      <w:pPr>
        <w:rPr>
          <w:rFonts w:ascii="Times New Roman" w:hAnsi="Times New Roman"/>
          <w:sz w:val="24"/>
        </w:rPr>
      </w:pPr>
    </w:p>
    <w:p w:rsidR="008C3D4B" w:rsidRPr="00AD132E" w:rsidRDefault="0075438A" w:rsidP="008C3D4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There are no capital start-up or maintenance costs.</w:t>
      </w:r>
    </w:p>
    <w:p w:rsidR="008C3D4B" w:rsidRPr="00AD132E" w:rsidRDefault="008C3D4B" w:rsidP="008C3D4B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</w:p>
    <w:p w:rsidR="008C3D4B" w:rsidRPr="00AD132E" w:rsidRDefault="008C3D4B" w:rsidP="008C3D4B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  <w:r w:rsidRPr="00AD132E">
        <w:rPr>
          <w:rFonts w:ascii="Times New Roman" w:hAnsi="Times New Roman"/>
          <w:sz w:val="24"/>
        </w:rPr>
        <w:t>14.</w:t>
      </w:r>
      <w:r w:rsidRPr="00AD132E">
        <w:rPr>
          <w:rFonts w:ascii="Times New Roman" w:hAnsi="Times New Roman"/>
          <w:sz w:val="24"/>
        </w:rPr>
        <w:tab/>
      </w:r>
      <w:r w:rsidRPr="00AD132E">
        <w:rPr>
          <w:rFonts w:ascii="Times New Roman" w:hAnsi="Times New Roman"/>
          <w:sz w:val="24"/>
          <w:u w:val="single"/>
        </w:rPr>
        <w:t>Estimates of annualized</w:t>
      </w:r>
      <w:r w:rsidR="0075438A">
        <w:rPr>
          <w:rFonts w:ascii="Times New Roman" w:hAnsi="Times New Roman"/>
          <w:sz w:val="24"/>
          <w:u w:val="single"/>
        </w:rPr>
        <w:t xml:space="preserve"> cost to the Federal Government</w:t>
      </w:r>
    </w:p>
    <w:p w:rsidR="008C3D4B" w:rsidRPr="00AD132E" w:rsidRDefault="008C3D4B" w:rsidP="008C3D4B">
      <w:pPr>
        <w:rPr>
          <w:rFonts w:ascii="Times New Roman" w:hAnsi="Times New Roman"/>
          <w:sz w:val="24"/>
        </w:rPr>
      </w:pPr>
    </w:p>
    <w:p w:rsidR="008C3D4B" w:rsidRPr="00AD132E" w:rsidRDefault="0075438A" w:rsidP="008C3D4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8C3D4B" w:rsidRPr="00AD132E">
        <w:rPr>
          <w:rFonts w:ascii="Times New Roman" w:hAnsi="Times New Roman"/>
          <w:sz w:val="24"/>
        </w:rPr>
        <w:t>There are no costs to the Government.</w:t>
      </w:r>
    </w:p>
    <w:p w:rsidR="008C3D4B" w:rsidRPr="00AD132E" w:rsidRDefault="008C3D4B" w:rsidP="008C3D4B">
      <w:pPr>
        <w:tabs>
          <w:tab w:val="left" w:pos="-1440"/>
        </w:tabs>
        <w:ind w:left="720" w:hanging="720"/>
        <w:rPr>
          <w:rFonts w:ascii="Times New Roman" w:hAnsi="Times New Roman"/>
          <w:sz w:val="24"/>
        </w:rPr>
      </w:pPr>
    </w:p>
    <w:p w:rsidR="008C3D4B" w:rsidRPr="00AD132E" w:rsidRDefault="008C3D4B" w:rsidP="008C3D4B">
      <w:pPr>
        <w:tabs>
          <w:tab w:val="left" w:pos="-1440"/>
        </w:tabs>
        <w:ind w:left="720" w:hanging="720"/>
        <w:rPr>
          <w:rFonts w:ascii="Times New Roman" w:hAnsi="Times New Roman"/>
          <w:sz w:val="24"/>
          <w:u w:val="single"/>
        </w:rPr>
      </w:pPr>
      <w:r w:rsidRPr="00AD132E">
        <w:rPr>
          <w:rFonts w:ascii="Times New Roman" w:hAnsi="Times New Roman"/>
          <w:sz w:val="24"/>
        </w:rPr>
        <w:t>15.</w:t>
      </w:r>
      <w:r w:rsidRPr="00AD132E">
        <w:rPr>
          <w:rFonts w:ascii="Times New Roman" w:hAnsi="Times New Roman"/>
          <w:sz w:val="24"/>
        </w:rPr>
        <w:tab/>
      </w:r>
      <w:r w:rsidRPr="00AD132E">
        <w:rPr>
          <w:rFonts w:ascii="Times New Roman" w:hAnsi="Times New Roman"/>
          <w:sz w:val="24"/>
          <w:u w:val="single"/>
        </w:rPr>
        <w:t>Changes in burden:</w:t>
      </w:r>
    </w:p>
    <w:p w:rsidR="008C3D4B" w:rsidRPr="00AD132E" w:rsidRDefault="008C3D4B" w:rsidP="008C3D4B">
      <w:pPr>
        <w:rPr>
          <w:rFonts w:ascii="Times New Roman" w:hAnsi="Times New Roman"/>
          <w:sz w:val="24"/>
        </w:rPr>
      </w:pPr>
    </w:p>
    <w:p w:rsidR="008C3D4B" w:rsidRPr="00AD132E" w:rsidRDefault="0075438A" w:rsidP="0075438A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This is a reinstatement of a previously approved collection.  Adjustment</w:t>
      </w:r>
      <w:r w:rsidR="009D3135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</w:t>
      </w:r>
      <w:r w:rsidR="00B300D3">
        <w:rPr>
          <w:rFonts w:ascii="Times New Roman" w:hAnsi="Times New Roman"/>
          <w:sz w:val="24"/>
        </w:rPr>
        <w:t xml:space="preserve">primarily </w:t>
      </w:r>
      <w:r>
        <w:rPr>
          <w:rFonts w:ascii="Times New Roman" w:hAnsi="Times New Roman"/>
          <w:sz w:val="24"/>
        </w:rPr>
        <w:t>reflect a reduction in the number of respondents due to a decline in the number of FICUs.</w:t>
      </w:r>
      <w:r w:rsidR="00B300D3">
        <w:rPr>
          <w:rFonts w:ascii="Times New Roman" w:hAnsi="Times New Roman"/>
          <w:sz w:val="24"/>
        </w:rPr>
        <w:t xml:space="preserve">  </w:t>
      </w:r>
      <w:r w:rsidR="00B300D3">
        <w:rPr>
          <w:rFonts w:ascii="Times New Roman" w:hAnsi="Times New Roman"/>
          <w:sz w:val="24"/>
        </w:rPr>
        <w:lastRenderedPageBreak/>
        <w:t xml:space="preserve">In addition, the increase in the standard maximum share insurance amount from $100,000 to $250,000, made permanent in </w:t>
      </w:r>
      <w:r w:rsidR="00CB5859">
        <w:rPr>
          <w:rFonts w:ascii="Times New Roman" w:hAnsi="Times New Roman"/>
          <w:sz w:val="24"/>
        </w:rPr>
        <w:t>2010, has likely reduced demand for federally-insured credit unions to seek excess coverage.</w:t>
      </w:r>
    </w:p>
    <w:p w:rsidR="008C3D4B" w:rsidRPr="00AD132E" w:rsidRDefault="008C3D4B" w:rsidP="008C3D4B">
      <w:pPr>
        <w:tabs>
          <w:tab w:val="left" w:pos="-1440"/>
        </w:tabs>
        <w:rPr>
          <w:rFonts w:ascii="Times New Roman" w:hAnsi="Times New Roman"/>
          <w:sz w:val="24"/>
        </w:rPr>
      </w:pPr>
    </w:p>
    <w:p w:rsidR="008C3D4B" w:rsidRPr="00AD132E" w:rsidRDefault="008C3D4B" w:rsidP="0075438A">
      <w:pPr>
        <w:tabs>
          <w:tab w:val="left" w:pos="-1440"/>
          <w:tab w:val="left" w:pos="720"/>
        </w:tabs>
        <w:ind w:left="720" w:hanging="720"/>
        <w:rPr>
          <w:rFonts w:ascii="Times New Roman" w:hAnsi="Times New Roman"/>
          <w:sz w:val="24"/>
        </w:rPr>
      </w:pPr>
      <w:r w:rsidRPr="00AD132E">
        <w:rPr>
          <w:rFonts w:ascii="Times New Roman" w:hAnsi="Times New Roman"/>
          <w:sz w:val="24"/>
        </w:rPr>
        <w:t>16.</w:t>
      </w:r>
      <w:r w:rsidRPr="00AD132E">
        <w:rPr>
          <w:rFonts w:ascii="Times New Roman" w:hAnsi="Times New Roman"/>
          <w:sz w:val="24"/>
        </w:rPr>
        <w:tab/>
      </w:r>
      <w:r w:rsidRPr="00AD132E">
        <w:rPr>
          <w:rFonts w:ascii="Times New Roman" w:hAnsi="Times New Roman"/>
          <w:sz w:val="24"/>
          <w:u w:val="single"/>
        </w:rPr>
        <w:t>Information regarding collections whose results are planned to be published for statistical use:</w:t>
      </w:r>
    </w:p>
    <w:p w:rsidR="008C3D4B" w:rsidRPr="00AD132E" w:rsidRDefault="008C3D4B" w:rsidP="0075438A">
      <w:pPr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</w:p>
    <w:p w:rsidR="008C3D4B" w:rsidRPr="00AD132E" w:rsidRDefault="0075438A" w:rsidP="0075438A">
      <w:pPr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8C3D4B" w:rsidRPr="00AD132E">
        <w:rPr>
          <w:rFonts w:ascii="Times New Roman" w:hAnsi="Times New Roman"/>
          <w:sz w:val="24"/>
        </w:rPr>
        <w:t>No data will be published for statistical purposes.</w:t>
      </w:r>
    </w:p>
    <w:p w:rsidR="008C3D4B" w:rsidRPr="00AD132E" w:rsidRDefault="008C3D4B" w:rsidP="0075438A">
      <w:pPr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</w:p>
    <w:p w:rsidR="008C3D4B" w:rsidRPr="00AD132E" w:rsidRDefault="008C3D4B" w:rsidP="0075438A">
      <w:pPr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  <w:r w:rsidRPr="00AD132E">
        <w:rPr>
          <w:rFonts w:ascii="Times New Roman" w:hAnsi="Times New Roman"/>
          <w:sz w:val="24"/>
        </w:rPr>
        <w:t>17.</w:t>
      </w:r>
      <w:r w:rsidRPr="00AD132E">
        <w:rPr>
          <w:rFonts w:ascii="Times New Roman" w:hAnsi="Times New Roman"/>
          <w:sz w:val="24"/>
        </w:rPr>
        <w:tab/>
      </w:r>
      <w:r w:rsidRPr="00AD132E">
        <w:rPr>
          <w:rFonts w:ascii="Times New Roman" w:hAnsi="Times New Roman"/>
          <w:sz w:val="24"/>
          <w:u w:val="single"/>
        </w:rPr>
        <w:t>Display of expiration date:</w:t>
      </w:r>
    </w:p>
    <w:p w:rsidR="008C3D4B" w:rsidRPr="00AD132E" w:rsidRDefault="008C3D4B" w:rsidP="0075438A">
      <w:pPr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</w:p>
    <w:p w:rsidR="008C3D4B" w:rsidRPr="00AD132E" w:rsidRDefault="0075438A" w:rsidP="0075438A">
      <w:pPr>
        <w:tabs>
          <w:tab w:val="left" w:pos="720"/>
        </w:tabs>
        <w:ind w:left="720" w:hanging="720"/>
        <w:rPr>
          <w:rFonts w:ascii="Times New Roman" w:hAnsi="Times New Roman"/>
          <w:spacing w:val="60"/>
          <w:sz w:val="24"/>
        </w:rPr>
      </w:pPr>
      <w:r>
        <w:rPr>
          <w:rFonts w:ascii="Times New Roman" w:hAnsi="Times New Roman"/>
          <w:spacing w:val="-1"/>
          <w:sz w:val="24"/>
        </w:rPr>
        <w:tab/>
      </w:r>
      <w:r w:rsidR="008C3D4B" w:rsidRPr="00AD132E">
        <w:rPr>
          <w:rFonts w:ascii="Times New Roman" w:hAnsi="Times New Roman"/>
          <w:spacing w:val="-1"/>
          <w:sz w:val="24"/>
        </w:rPr>
        <w:t>The OMB</w:t>
      </w:r>
      <w:r w:rsidR="008C3D4B" w:rsidRPr="00AD132E">
        <w:rPr>
          <w:rFonts w:ascii="Times New Roman" w:hAnsi="Times New Roman"/>
          <w:sz w:val="24"/>
        </w:rPr>
        <w:t xml:space="preserve"> </w:t>
      </w:r>
      <w:r w:rsidR="008C3D4B" w:rsidRPr="00AD132E">
        <w:rPr>
          <w:rFonts w:ascii="Times New Roman" w:hAnsi="Times New Roman"/>
          <w:spacing w:val="-1"/>
          <w:sz w:val="24"/>
        </w:rPr>
        <w:t>control</w:t>
      </w:r>
      <w:r w:rsidR="008C3D4B" w:rsidRPr="00AD132E">
        <w:rPr>
          <w:rFonts w:ascii="Times New Roman" w:hAnsi="Times New Roman"/>
          <w:sz w:val="24"/>
        </w:rPr>
        <w:t xml:space="preserve"> number</w:t>
      </w:r>
      <w:r w:rsidR="008C3D4B" w:rsidRPr="00AD132E">
        <w:rPr>
          <w:rFonts w:ascii="Times New Roman" w:hAnsi="Times New Roman"/>
          <w:spacing w:val="-1"/>
          <w:sz w:val="24"/>
        </w:rPr>
        <w:t xml:space="preserve"> and</w:t>
      </w:r>
      <w:r w:rsidR="008C3D4B" w:rsidRPr="00AD132E">
        <w:rPr>
          <w:rFonts w:ascii="Times New Roman" w:hAnsi="Times New Roman"/>
          <w:sz w:val="24"/>
        </w:rPr>
        <w:t xml:space="preserve"> </w:t>
      </w:r>
      <w:r w:rsidR="008C3D4B" w:rsidRPr="00AD132E">
        <w:rPr>
          <w:rFonts w:ascii="Times New Roman" w:hAnsi="Times New Roman"/>
          <w:spacing w:val="-1"/>
          <w:sz w:val="24"/>
        </w:rPr>
        <w:t>expiration</w:t>
      </w:r>
      <w:r w:rsidR="008C3D4B" w:rsidRPr="00AD132E">
        <w:rPr>
          <w:rFonts w:ascii="Times New Roman" w:hAnsi="Times New Roman"/>
          <w:sz w:val="24"/>
        </w:rPr>
        <w:t xml:space="preserve"> </w:t>
      </w:r>
      <w:r w:rsidR="008C3D4B" w:rsidRPr="00AD132E">
        <w:rPr>
          <w:rFonts w:ascii="Times New Roman" w:hAnsi="Times New Roman"/>
          <w:spacing w:val="-1"/>
          <w:sz w:val="24"/>
        </w:rPr>
        <w:t>date associated</w:t>
      </w:r>
      <w:r w:rsidR="008C3D4B" w:rsidRPr="00AD132E">
        <w:rPr>
          <w:rFonts w:ascii="Times New Roman" w:hAnsi="Times New Roman"/>
          <w:sz w:val="24"/>
        </w:rPr>
        <w:t xml:space="preserve"> </w:t>
      </w:r>
      <w:r w:rsidR="008C3D4B" w:rsidRPr="00AD132E">
        <w:rPr>
          <w:rFonts w:ascii="Times New Roman" w:hAnsi="Times New Roman"/>
          <w:spacing w:val="-1"/>
          <w:sz w:val="24"/>
        </w:rPr>
        <w:t>with</w:t>
      </w:r>
      <w:r w:rsidR="008C3D4B" w:rsidRPr="00AD132E">
        <w:rPr>
          <w:rFonts w:ascii="Times New Roman" w:hAnsi="Times New Roman"/>
          <w:sz w:val="24"/>
        </w:rPr>
        <w:t xml:space="preserve"> this PRA</w:t>
      </w:r>
      <w:r w:rsidR="008C3D4B" w:rsidRPr="00AD132E">
        <w:rPr>
          <w:rFonts w:ascii="Times New Roman" w:hAnsi="Times New Roman"/>
          <w:spacing w:val="-1"/>
          <w:sz w:val="24"/>
        </w:rPr>
        <w:t xml:space="preserve"> </w:t>
      </w:r>
      <w:r w:rsidR="008C3D4B" w:rsidRPr="00AD132E">
        <w:rPr>
          <w:rFonts w:ascii="Times New Roman" w:hAnsi="Times New Roman"/>
          <w:sz w:val="24"/>
        </w:rPr>
        <w:t xml:space="preserve">submission </w:t>
      </w:r>
      <w:r w:rsidR="008C3D4B" w:rsidRPr="00AD132E">
        <w:rPr>
          <w:rFonts w:ascii="Times New Roman" w:hAnsi="Times New Roman"/>
          <w:spacing w:val="-1"/>
          <w:sz w:val="24"/>
        </w:rPr>
        <w:t>will</w:t>
      </w:r>
      <w:r w:rsidR="008C3D4B" w:rsidRPr="00AD132E">
        <w:rPr>
          <w:rFonts w:ascii="Times New Roman" w:hAnsi="Times New Roman"/>
          <w:spacing w:val="77"/>
          <w:sz w:val="24"/>
        </w:rPr>
        <w:t xml:space="preserve"> </w:t>
      </w:r>
      <w:r w:rsidR="008C3D4B" w:rsidRPr="00AD132E">
        <w:rPr>
          <w:rFonts w:ascii="Times New Roman" w:hAnsi="Times New Roman"/>
          <w:sz w:val="24"/>
        </w:rPr>
        <w:t>be</w:t>
      </w:r>
      <w:r w:rsidR="008C3D4B" w:rsidRPr="00AD132E">
        <w:rPr>
          <w:rFonts w:ascii="Times New Roman" w:hAnsi="Times New Roman"/>
          <w:spacing w:val="-1"/>
          <w:sz w:val="24"/>
        </w:rPr>
        <w:t xml:space="preserve"> displayed</w:t>
      </w:r>
      <w:r w:rsidR="008C3D4B" w:rsidRPr="00AD132E">
        <w:rPr>
          <w:rFonts w:ascii="Times New Roman" w:hAnsi="Times New Roman"/>
          <w:sz w:val="24"/>
        </w:rPr>
        <w:t xml:space="preserve"> on the</w:t>
      </w:r>
      <w:r w:rsidR="008C3D4B" w:rsidRPr="00AD132E">
        <w:rPr>
          <w:rFonts w:ascii="Times New Roman" w:hAnsi="Times New Roman"/>
          <w:spacing w:val="-1"/>
          <w:sz w:val="24"/>
        </w:rPr>
        <w:t xml:space="preserve"> Federal</w:t>
      </w:r>
      <w:r w:rsidR="008C3D4B" w:rsidRPr="00AD132E">
        <w:rPr>
          <w:rFonts w:ascii="Times New Roman" w:hAnsi="Times New Roman"/>
          <w:sz w:val="24"/>
        </w:rPr>
        <w:t xml:space="preserve"> </w:t>
      </w:r>
      <w:r w:rsidR="008C3D4B" w:rsidRPr="00AD132E">
        <w:rPr>
          <w:rFonts w:ascii="Times New Roman" w:hAnsi="Times New Roman"/>
          <w:spacing w:val="-1"/>
          <w:sz w:val="24"/>
        </w:rPr>
        <w:t>government’s</w:t>
      </w:r>
      <w:r w:rsidR="008C3D4B" w:rsidRPr="00AD132E">
        <w:rPr>
          <w:rFonts w:ascii="Times New Roman" w:hAnsi="Times New Roman"/>
          <w:spacing w:val="2"/>
          <w:sz w:val="24"/>
        </w:rPr>
        <w:t xml:space="preserve"> </w:t>
      </w:r>
      <w:r w:rsidR="008C3D4B" w:rsidRPr="00AD132E">
        <w:rPr>
          <w:rFonts w:ascii="Times New Roman" w:hAnsi="Times New Roman"/>
          <w:spacing w:val="-1"/>
          <w:sz w:val="24"/>
        </w:rPr>
        <w:t xml:space="preserve">electronic </w:t>
      </w:r>
      <w:r w:rsidR="008C3D4B" w:rsidRPr="00AD132E">
        <w:rPr>
          <w:rFonts w:ascii="Times New Roman" w:hAnsi="Times New Roman"/>
          <w:sz w:val="24"/>
        </w:rPr>
        <w:t>PRA</w:t>
      </w:r>
      <w:r w:rsidR="008C3D4B" w:rsidRPr="00AD132E">
        <w:rPr>
          <w:rFonts w:ascii="Times New Roman" w:hAnsi="Times New Roman"/>
          <w:spacing w:val="-1"/>
          <w:sz w:val="24"/>
        </w:rPr>
        <w:t xml:space="preserve"> docket</w:t>
      </w:r>
      <w:r w:rsidR="008C3D4B" w:rsidRPr="00AD132E">
        <w:rPr>
          <w:rFonts w:ascii="Times New Roman" w:hAnsi="Times New Roman"/>
          <w:sz w:val="24"/>
        </w:rPr>
        <w:t xml:space="preserve"> </w:t>
      </w:r>
      <w:r w:rsidR="008C3D4B" w:rsidRPr="00AD132E">
        <w:rPr>
          <w:rFonts w:ascii="Times New Roman" w:hAnsi="Times New Roman"/>
          <w:spacing w:val="-1"/>
          <w:sz w:val="24"/>
        </w:rPr>
        <w:t>at</w:t>
      </w:r>
      <w:r w:rsidR="008C3D4B" w:rsidRPr="00AD132E">
        <w:rPr>
          <w:rFonts w:ascii="Times New Roman" w:hAnsi="Times New Roman"/>
          <w:sz w:val="24"/>
        </w:rPr>
        <w:t xml:space="preserve"> </w:t>
      </w:r>
      <w:hyperlink r:id="rId6" w:history="1">
        <w:r w:rsidR="008C3D4B" w:rsidRPr="00AD132E">
          <w:rPr>
            <w:rStyle w:val="Hyperlink"/>
            <w:rFonts w:ascii="Times New Roman" w:hAnsi="Times New Roman"/>
            <w:spacing w:val="-1"/>
            <w:sz w:val="24"/>
          </w:rPr>
          <w:t>www.reginfo.gov</w:t>
        </w:r>
      </w:hyperlink>
      <w:r w:rsidR="008C3D4B" w:rsidRPr="00AD132E">
        <w:rPr>
          <w:rFonts w:ascii="Times New Roman" w:hAnsi="Times New Roman"/>
          <w:sz w:val="24"/>
        </w:rPr>
        <w:t>.</w:t>
      </w:r>
      <w:r w:rsidR="008C3D4B" w:rsidRPr="00AD132E">
        <w:rPr>
          <w:rFonts w:ascii="Times New Roman" w:hAnsi="Times New Roman"/>
          <w:spacing w:val="60"/>
          <w:sz w:val="24"/>
        </w:rPr>
        <w:t xml:space="preserve"> </w:t>
      </w:r>
    </w:p>
    <w:p w:rsidR="008C3D4B" w:rsidRPr="00AD132E" w:rsidRDefault="008C3D4B" w:rsidP="0075438A">
      <w:pPr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</w:p>
    <w:p w:rsidR="008C3D4B" w:rsidRPr="00AD132E" w:rsidRDefault="008C3D4B" w:rsidP="0075438A">
      <w:pPr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  <w:r w:rsidRPr="00AD132E">
        <w:rPr>
          <w:rFonts w:ascii="Times New Roman" w:hAnsi="Times New Roman"/>
          <w:sz w:val="24"/>
        </w:rPr>
        <w:t>18.</w:t>
      </w:r>
      <w:r w:rsidRPr="00AD132E">
        <w:rPr>
          <w:rFonts w:ascii="Times New Roman" w:hAnsi="Times New Roman"/>
          <w:sz w:val="24"/>
        </w:rPr>
        <w:tab/>
      </w:r>
      <w:r w:rsidRPr="00AD132E">
        <w:rPr>
          <w:rFonts w:ascii="Times New Roman" w:hAnsi="Times New Roman"/>
          <w:sz w:val="24"/>
          <w:u w:val="single"/>
        </w:rPr>
        <w:t>Exceptions to certification statement:</w:t>
      </w:r>
    </w:p>
    <w:p w:rsidR="008C3D4B" w:rsidRPr="00AD132E" w:rsidRDefault="008C3D4B" w:rsidP="0075438A">
      <w:pPr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</w:p>
    <w:p w:rsidR="008C3D4B" w:rsidRPr="00AD132E" w:rsidRDefault="0075438A" w:rsidP="0075438A">
      <w:pPr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8C3D4B" w:rsidRPr="00AD132E">
        <w:rPr>
          <w:rFonts w:ascii="Times New Roman" w:hAnsi="Times New Roman"/>
          <w:sz w:val="24"/>
        </w:rPr>
        <w:t>There are no exceptions to the certification statement.</w:t>
      </w:r>
    </w:p>
    <w:p w:rsidR="008C3D4B" w:rsidRPr="00AD132E" w:rsidRDefault="008C3D4B" w:rsidP="0075438A">
      <w:pPr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</w:p>
    <w:p w:rsidR="008C3D4B" w:rsidRDefault="008C3D4B" w:rsidP="0075438A">
      <w:pPr>
        <w:tabs>
          <w:tab w:val="left" w:pos="-1440"/>
          <w:tab w:val="left" w:pos="720"/>
        </w:tabs>
        <w:ind w:left="720" w:hanging="720"/>
        <w:rPr>
          <w:rFonts w:ascii="Times New Roman" w:hAnsi="Times New Roman"/>
          <w:sz w:val="24"/>
        </w:rPr>
      </w:pPr>
    </w:p>
    <w:p w:rsidR="0075438A" w:rsidRPr="00AD132E" w:rsidRDefault="0075438A" w:rsidP="0075438A">
      <w:pPr>
        <w:tabs>
          <w:tab w:val="left" w:pos="-1440"/>
          <w:tab w:val="left" w:pos="720"/>
        </w:tabs>
        <w:ind w:left="720" w:hanging="720"/>
        <w:rPr>
          <w:rFonts w:ascii="Times New Roman" w:hAnsi="Times New Roman"/>
          <w:sz w:val="24"/>
        </w:rPr>
      </w:pPr>
    </w:p>
    <w:p w:rsidR="0075438A" w:rsidRDefault="008C3D4B" w:rsidP="0075438A">
      <w:pPr>
        <w:tabs>
          <w:tab w:val="left" w:pos="-1440"/>
          <w:tab w:val="left" w:pos="720"/>
        </w:tabs>
        <w:ind w:left="720" w:hanging="720"/>
        <w:rPr>
          <w:rFonts w:ascii="Times New Roman" w:hAnsi="Times New Roman"/>
          <w:sz w:val="24"/>
        </w:rPr>
      </w:pPr>
      <w:r w:rsidRPr="00AD132E">
        <w:rPr>
          <w:rFonts w:ascii="Times New Roman" w:hAnsi="Times New Roman"/>
          <w:sz w:val="24"/>
        </w:rPr>
        <w:t>B.</w:t>
      </w:r>
      <w:r w:rsidRPr="00AD132E">
        <w:rPr>
          <w:rFonts w:ascii="Times New Roman" w:hAnsi="Times New Roman"/>
          <w:sz w:val="24"/>
        </w:rPr>
        <w:tab/>
      </w:r>
      <w:r w:rsidR="0075438A" w:rsidRPr="0075438A">
        <w:rPr>
          <w:rFonts w:ascii="Times New Roman" w:hAnsi="Times New Roman"/>
          <w:sz w:val="24"/>
          <w:u w:val="single"/>
        </w:rPr>
        <w:t>COLLECTION OF INFORMATION EMPLOYING STATISTICAL METHODS</w:t>
      </w:r>
    </w:p>
    <w:p w:rsidR="008C3D4B" w:rsidRPr="00AD132E" w:rsidRDefault="008C3D4B" w:rsidP="0075438A">
      <w:pPr>
        <w:tabs>
          <w:tab w:val="left" w:pos="720"/>
        </w:tabs>
        <w:ind w:left="720" w:hanging="720"/>
        <w:rPr>
          <w:rFonts w:ascii="Times New Roman" w:hAnsi="Times New Roman"/>
          <w:sz w:val="24"/>
          <w:u w:val="single"/>
        </w:rPr>
      </w:pPr>
    </w:p>
    <w:p w:rsidR="0041449B" w:rsidRPr="0075438A" w:rsidRDefault="008C3D4B" w:rsidP="0075438A">
      <w:pPr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  <w:r w:rsidRPr="00AD132E">
        <w:rPr>
          <w:rFonts w:ascii="Times New Roman" w:hAnsi="Times New Roman"/>
          <w:sz w:val="24"/>
        </w:rPr>
        <w:t>This collection does not employ statistical methods.</w:t>
      </w:r>
    </w:p>
    <w:sectPr w:rsidR="0041449B" w:rsidRPr="0075438A" w:rsidSect="008C3D4B">
      <w:headerReference w:type="even" r:id="rId7"/>
      <w:footerReference w:type="even" r:id="rId8"/>
      <w:footerReference w:type="default" r:id="rId9"/>
      <w:endnotePr>
        <w:numFmt w:val="decimal"/>
      </w:endnotePr>
      <w:pgSz w:w="12240" w:h="15840"/>
      <w:pgMar w:top="1440" w:right="1440" w:bottom="1440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7C7" w:rsidRDefault="000677C7" w:rsidP="008C3D4B">
      <w:r>
        <w:separator/>
      </w:r>
    </w:p>
  </w:endnote>
  <w:endnote w:type="continuationSeparator" w:id="0">
    <w:p w:rsidR="000677C7" w:rsidRDefault="000677C7" w:rsidP="008C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C08" w:rsidRDefault="008C3D4B" w:rsidP="00FA3E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91C08" w:rsidRDefault="00FB77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4"/>
        <w:szCs w:val="24"/>
        <w:vertAlign w:val="baseline"/>
      </w:rPr>
      <w:id w:val="-11331719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C3D4B" w:rsidRPr="008C3D4B" w:rsidRDefault="00A94E4B" w:rsidP="008C3D4B">
        <w:pPr>
          <w:pStyle w:val="Footer"/>
          <w:tabs>
            <w:tab w:val="clear" w:pos="8640"/>
            <w:tab w:val="right" w:pos="9360"/>
          </w:tabs>
          <w:rPr>
            <w:rFonts w:ascii="Times New Roman" w:hAnsi="Times New Roman"/>
            <w:sz w:val="24"/>
            <w:szCs w:val="24"/>
            <w:vertAlign w:val="baseline"/>
          </w:rPr>
        </w:pPr>
        <w:r w:rsidRPr="00A94E4B">
          <w:rPr>
            <w:rFonts w:ascii="Times New Roman" w:hAnsi="Times New Roman"/>
            <w:i/>
            <w:sz w:val="22"/>
            <w:szCs w:val="22"/>
            <w:vertAlign w:val="baseline"/>
          </w:rPr>
          <w:t xml:space="preserve">OMB No. </w:t>
        </w:r>
        <w:r w:rsidR="008C3D4B" w:rsidRPr="00A94E4B">
          <w:rPr>
            <w:rFonts w:ascii="Times New Roman" w:hAnsi="Times New Roman"/>
            <w:i/>
            <w:sz w:val="22"/>
            <w:szCs w:val="22"/>
            <w:vertAlign w:val="baseline"/>
          </w:rPr>
          <w:t>3133-0098</w:t>
        </w:r>
        <w:r w:rsidRPr="00A94E4B">
          <w:rPr>
            <w:rFonts w:ascii="Times New Roman" w:hAnsi="Times New Roman"/>
            <w:i/>
            <w:sz w:val="22"/>
            <w:szCs w:val="22"/>
            <w:vertAlign w:val="baseline"/>
          </w:rPr>
          <w:t>, October 2016</w:t>
        </w:r>
        <w:r w:rsidR="008C3D4B">
          <w:rPr>
            <w:rFonts w:ascii="Times New Roman" w:hAnsi="Times New Roman"/>
            <w:sz w:val="24"/>
            <w:szCs w:val="24"/>
            <w:vertAlign w:val="baseline"/>
          </w:rPr>
          <w:tab/>
        </w:r>
        <w:r w:rsidR="008C3D4B">
          <w:rPr>
            <w:rFonts w:ascii="Times New Roman" w:hAnsi="Times New Roman"/>
            <w:sz w:val="24"/>
            <w:szCs w:val="24"/>
            <w:vertAlign w:val="baseline"/>
          </w:rPr>
          <w:tab/>
        </w:r>
        <w:r w:rsidR="008C3D4B" w:rsidRPr="008C3D4B">
          <w:rPr>
            <w:rFonts w:ascii="Times New Roman" w:hAnsi="Times New Roman"/>
            <w:sz w:val="24"/>
            <w:szCs w:val="24"/>
            <w:vertAlign w:val="baseline"/>
          </w:rPr>
          <w:fldChar w:fldCharType="begin"/>
        </w:r>
        <w:r w:rsidR="008C3D4B" w:rsidRPr="008C3D4B">
          <w:rPr>
            <w:rFonts w:ascii="Times New Roman" w:hAnsi="Times New Roman"/>
            <w:sz w:val="24"/>
            <w:szCs w:val="24"/>
            <w:vertAlign w:val="baseline"/>
          </w:rPr>
          <w:instrText xml:space="preserve"> PAGE   \* MERGEFORMAT </w:instrText>
        </w:r>
        <w:r w:rsidR="008C3D4B" w:rsidRPr="008C3D4B">
          <w:rPr>
            <w:rFonts w:ascii="Times New Roman" w:hAnsi="Times New Roman"/>
            <w:sz w:val="24"/>
            <w:szCs w:val="24"/>
            <w:vertAlign w:val="baseline"/>
          </w:rPr>
          <w:fldChar w:fldCharType="separate"/>
        </w:r>
        <w:r w:rsidR="00FB77AE">
          <w:rPr>
            <w:rFonts w:ascii="Times New Roman" w:hAnsi="Times New Roman"/>
            <w:noProof/>
            <w:sz w:val="24"/>
            <w:szCs w:val="24"/>
            <w:vertAlign w:val="baseline"/>
          </w:rPr>
          <w:t>1</w:t>
        </w:r>
        <w:r w:rsidR="008C3D4B" w:rsidRPr="008C3D4B">
          <w:rPr>
            <w:rFonts w:ascii="Times New Roman" w:hAnsi="Times New Roman"/>
            <w:noProof/>
            <w:sz w:val="24"/>
            <w:szCs w:val="24"/>
            <w:vertAlign w:val="baseline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7C7" w:rsidRDefault="000677C7" w:rsidP="008C3D4B">
      <w:r>
        <w:separator/>
      </w:r>
    </w:p>
  </w:footnote>
  <w:footnote w:type="continuationSeparator" w:id="0">
    <w:p w:rsidR="000677C7" w:rsidRDefault="000677C7" w:rsidP="008C3D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C08" w:rsidRDefault="008C3D4B" w:rsidP="00FA3E2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91C08" w:rsidRDefault="00FB77AE" w:rsidP="004F665A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D4B"/>
    <w:rsid w:val="000370D4"/>
    <w:rsid w:val="000677C7"/>
    <w:rsid w:val="0009397B"/>
    <w:rsid w:val="00100AEB"/>
    <w:rsid w:val="002D171C"/>
    <w:rsid w:val="002F0F94"/>
    <w:rsid w:val="0060182F"/>
    <w:rsid w:val="0064360B"/>
    <w:rsid w:val="006E466F"/>
    <w:rsid w:val="0075438A"/>
    <w:rsid w:val="007A4A33"/>
    <w:rsid w:val="007B75C8"/>
    <w:rsid w:val="007D1420"/>
    <w:rsid w:val="008C3D4B"/>
    <w:rsid w:val="009D3135"/>
    <w:rsid w:val="00A94E4B"/>
    <w:rsid w:val="00B300D3"/>
    <w:rsid w:val="00C67BAD"/>
    <w:rsid w:val="00CB5859"/>
    <w:rsid w:val="00CF5C04"/>
    <w:rsid w:val="00D35AA1"/>
    <w:rsid w:val="00FB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974F7F-D259-4F27-A99C-E44F14120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D4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3D4B"/>
    <w:pPr>
      <w:tabs>
        <w:tab w:val="center" w:pos="4320"/>
        <w:tab w:val="right" w:pos="8640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8C3D4B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8C3D4B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8C3D4B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C3D4B"/>
    <w:pPr>
      <w:tabs>
        <w:tab w:val="center" w:pos="4320"/>
        <w:tab w:val="right" w:pos="8640"/>
      </w:tabs>
    </w:pPr>
    <w:rPr>
      <w:rFonts w:ascii="Arial" w:hAnsi="Arial"/>
      <w:szCs w:val="20"/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8C3D4B"/>
    <w:rPr>
      <w:rFonts w:ascii="Arial" w:eastAsia="Times New Roman" w:hAnsi="Arial" w:cs="Times New Roman"/>
      <w:sz w:val="20"/>
      <w:szCs w:val="20"/>
      <w:vertAlign w:val="superscript"/>
    </w:rPr>
  </w:style>
  <w:style w:type="character" w:styleId="PageNumber">
    <w:name w:val="page number"/>
    <w:basedOn w:val="DefaultParagraphFont"/>
    <w:rsid w:val="008C3D4B"/>
  </w:style>
  <w:style w:type="character" w:styleId="Hyperlink">
    <w:name w:val="Hyperlink"/>
    <w:basedOn w:val="DefaultParagraphFont"/>
    <w:uiPriority w:val="99"/>
    <w:unhideWhenUsed/>
    <w:rsid w:val="008C3D4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ginfo.gov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NCUA</Company>
  <LinksUpToDate>false</LinksUpToDate>
  <CharactersWithSpaces>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Wolfgang, Dawn</dc:creator>
  <cp:keywords/>
  <dc:description/>
  <cp:lastModifiedBy>Wolfgang, Dawn</cp:lastModifiedBy>
  <cp:revision>3</cp:revision>
  <dcterms:created xsi:type="dcterms:W3CDTF">2016-10-20T12:06:00Z</dcterms:created>
  <dcterms:modified xsi:type="dcterms:W3CDTF">2016-10-20T12:15:00Z</dcterms:modified>
</cp:coreProperties>
</file>