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CAF6" w14:textId="69D7C2CF" w:rsidR="00496272" w:rsidRPr="00496272" w:rsidRDefault="00496272" w:rsidP="00496272">
      <w:pPr>
        <w:rPr>
          <w:sz w:val="24"/>
          <w:szCs w:val="24"/>
        </w:rPr>
      </w:pPr>
      <w:r w:rsidRPr="00496272">
        <w:rPr>
          <w:sz w:val="24"/>
          <w:szCs w:val="24"/>
        </w:rPr>
        <w:t xml:space="preserve">June </w:t>
      </w:r>
      <w:r w:rsidR="005F69F5">
        <w:rPr>
          <w:sz w:val="24"/>
          <w:szCs w:val="24"/>
        </w:rPr>
        <w:t>14</w:t>
      </w:r>
      <w:r>
        <w:rPr>
          <w:sz w:val="24"/>
          <w:szCs w:val="24"/>
        </w:rPr>
        <w:t>, 2016</w:t>
      </w:r>
    </w:p>
    <w:p w14:paraId="49112079" w14:textId="77777777" w:rsidR="00496272" w:rsidRPr="00496272" w:rsidRDefault="00496272" w:rsidP="00496272">
      <w:pPr>
        <w:rPr>
          <w:b/>
          <w:sz w:val="24"/>
          <w:szCs w:val="24"/>
        </w:rPr>
      </w:pPr>
    </w:p>
    <w:p w14:paraId="3117AB62" w14:textId="77777777" w:rsidR="00496272" w:rsidRPr="00496272" w:rsidRDefault="00496272" w:rsidP="00496272">
      <w:pPr>
        <w:rPr>
          <w:b/>
          <w:sz w:val="24"/>
          <w:szCs w:val="24"/>
        </w:rPr>
      </w:pPr>
      <w:r w:rsidRPr="00496272">
        <w:rPr>
          <w:b/>
          <w:sz w:val="24"/>
          <w:szCs w:val="24"/>
        </w:rPr>
        <w:t>Federal Communications Commission</w:t>
      </w:r>
    </w:p>
    <w:p w14:paraId="741697E1" w14:textId="77777777" w:rsidR="00496272" w:rsidRPr="00496272" w:rsidRDefault="00496272" w:rsidP="00496272">
      <w:pPr>
        <w:rPr>
          <w:b/>
          <w:sz w:val="24"/>
          <w:szCs w:val="24"/>
        </w:rPr>
      </w:pPr>
    </w:p>
    <w:p w14:paraId="21CD854E" w14:textId="77777777" w:rsidR="00496272" w:rsidRPr="00496272" w:rsidRDefault="00496272" w:rsidP="00496272">
      <w:pPr>
        <w:rPr>
          <w:b/>
          <w:sz w:val="24"/>
          <w:szCs w:val="24"/>
        </w:rPr>
      </w:pPr>
      <w:r w:rsidRPr="00496272">
        <w:rPr>
          <w:b/>
          <w:sz w:val="24"/>
          <w:szCs w:val="24"/>
        </w:rPr>
        <w:t>OMB Control Number 3060-1211</w:t>
      </w:r>
    </w:p>
    <w:p w14:paraId="647FD0D5" w14:textId="77777777" w:rsidR="00496272" w:rsidRPr="00496272" w:rsidRDefault="00496272" w:rsidP="00496272">
      <w:pPr>
        <w:rPr>
          <w:b/>
          <w:sz w:val="24"/>
          <w:szCs w:val="24"/>
        </w:rPr>
      </w:pPr>
    </w:p>
    <w:p w14:paraId="167B70DF" w14:textId="77777777" w:rsidR="00496272" w:rsidRPr="00496272" w:rsidRDefault="00496272" w:rsidP="00496272">
      <w:pPr>
        <w:rPr>
          <w:b/>
          <w:sz w:val="24"/>
          <w:szCs w:val="24"/>
        </w:rPr>
      </w:pPr>
    </w:p>
    <w:p w14:paraId="18A5C74C" w14:textId="77777777" w:rsidR="00496272" w:rsidRPr="00496272" w:rsidRDefault="00496272" w:rsidP="00496272">
      <w:pPr>
        <w:rPr>
          <w:b/>
          <w:sz w:val="24"/>
          <w:szCs w:val="24"/>
        </w:rPr>
      </w:pPr>
      <w:r w:rsidRPr="00496272">
        <w:rPr>
          <w:b/>
          <w:sz w:val="24"/>
          <w:szCs w:val="24"/>
        </w:rPr>
        <w:t xml:space="preserve">Explanation of Non-Substantive Changes to </w:t>
      </w:r>
      <w:r w:rsidRPr="00496272">
        <w:rPr>
          <w:rFonts w:cs="Arial"/>
          <w:b/>
          <w:sz w:val="24"/>
          <w:szCs w:val="24"/>
        </w:rPr>
        <w:t>OMB Control Number: 3060-1211</w:t>
      </w:r>
      <w:r w:rsidRPr="00496272">
        <w:rPr>
          <w:b/>
          <w:sz w:val="24"/>
          <w:szCs w:val="24"/>
        </w:rPr>
        <w:t>:</w:t>
      </w:r>
    </w:p>
    <w:p w14:paraId="2ADB6F80" w14:textId="77777777" w:rsidR="00496272" w:rsidRPr="00496272" w:rsidRDefault="00496272" w:rsidP="00496272">
      <w:pPr>
        <w:rPr>
          <w:sz w:val="24"/>
          <w:szCs w:val="24"/>
        </w:rPr>
      </w:pPr>
    </w:p>
    <w:p w14:paraId="3F514084" w14:textId="77777777" w:rsidR="00496272" w:rsidRPr="00496272" w:rsidRDefault="00496272" w:rsidP="00496272">
      <w:pPr>
        <w:pBdr>
          <w:bottom w:val="single" w:sz="12" w:space="0" w:color="auto"/>
        </w:pBdr>
        <w:rPr>
          <w:sz w:val="24"/>
          <w:szCs w:val="24"/>
        </w:rPr>
      </w:pPr>
    </w:p>
    <w:p w14:paraId="2B24D894" w14:textId="77777777" w:rsidR="00496272" w:rsidRPr="00496272" w:rsidRDefault="00496272" w:rsidP="00496272">
      <w:pPr>
        <w:rPr>
          <w:sz w:val="24"/>
          <w:szCs w:val="24"/>
        </w:rPr>
      </w:pPr>
    </w:p>
    <w:p w14:paraId="3F956A53" w14:textId="0298ED47" w:rsidR="00496272" w:rsidRPr="00496272" w:rsidRDefault="00496272" w:rsidP="00496272">
      <w:pPr>
        <w:rPr>
          <w:sz w:val="24"/>
          <w:szCs w:val="24"/>
        </w:rPr>
      </w:pPr>
      <w:r w:rsidRPr="00496272">
        <w:rPr>
          <w:b/>
          <w:sz w:val="24"/>
          <w:szCs w:val="24"/>
        </w:rPr>
        <w:t>Purpose of this Submission:</w:t>
      </w:r>
      <w:r w:rsidRPr="00496272">
        <w:rPr>
          <w:sz w:val="24"/>
          <w:szCs w:val="24"/>
        </w:rPr>
        <w:t xml:space="preserve"> This submission is being made to an existing information collection pursuant to 44 U.S.C. § 3507 for a non-substantive change to this collection.</w:t>
      </w:r>
      <w:r w:rsidRPr="00496272">
        <w:rPr>
          <w:rStyle w:val="FootnoteReference"/>
          <w:sz w:val="24"/>
          <w:szCs w:val="24"/>
        </w:rPr>
        <w:footnoteReference w:id="1"/>
      </w:r>
      <w:r w:rsidRPr="00496272">
        <w:rPr>
          <w:sz w:val="24"/>
          <w:szCs w:val="24"/>
        </w:rPr>
        <w:t xml:space="preserve">  On </w:t>
      </w:r>
      <w:r w:rsidR="000424C7">
        <w:rPr>
          <w:sz w:val="24"/>
          <w:szCs w:val="24"/>
        </w:rPr>
        <w:t>May 2, 2016</w:t>
      </w:r>
      <w:r w:rsidRPr="00496272">
        <w:rPr>
          <w:sz w:val="24"/>
          <w:szCs w:val="24"/>
        </w:rPr>
        <w:t>, the Federal Communications Commission (Commission or FCC) r</w:t>
      </w:r>
      <w:r w:rsidR="000424C7">
        <w:rPr>
          <w:sz w:val="24"/>
          <w:szCs w:val="24"/>
        </w:rPr>
        <w:t>eleased an Order on Reconsideration and Second Report and Order</w:t>
      </w:r>
      <w:r w:rsidRPr="00496272">
        <w:rPr>
          <w:sz w:val="24"/>
          <w:szCs w:val="24"/>
        </w:rPr>
        <w:t>,</w:t>
      </w:r>
      <w:r w:rsidR="00442912" w:rsidRPr="00442912">
        <w:rPr>
          <w:sz w:val="24"/>
          <w:szCs w:val="24"/>
          <w:vertAlign w:val="superscript"/>
        </w:rPr>
        <w:footnoteReference w:id="2"/>
      </w:r>
      <w:r w:rsidRPr="00496272">
        <w:rPr>
          <w:sz w:val="24"/>
          <w:szCs w:val="24"/>
        </w:rPr>
        <w:t xml:space="preserve"> </w:t>
      </w:r>
      <w:r w:rsidR="00655EF8">
        <w:rPr>
          <w:sz w:val="24"/>
          <w:szCs w:val="24"/>
        </w:rPr>
        <w:t>which</w:t>
      </w:r>
      <w:r w:rsidR="00655EF8" w:rsidRPr="00496272">
        <w:rPr>
          <w:sz w:val="24"/>
          <w:szCs w:val="24"/>
        </w:rPr>
        <w:t xml:space="preserve"> </w:t>
      </w:r>
      <w:r w:rsidR="000424C7">
        <w:rPr>
          <w:sz w:val="24"/>
          <w:szCs w:val="24"/>
        </w:rPr>
        <w:t>alters rules previously proposed by the Commission,</w:t>
      </w:r>
      <w:r w:rsidR="00AF02A5">
        <w:rPr>
          <w:rStyle w:val="FootnoteReference"/>
          <w:sz w:val="24"/>
          <w:szCs w:val="24"/>
        </w:rPr>
        <w:footnoteReference w:id="3"/>
      </w:r>
      <w:r w:rsidR="000424C7">
        <w:rPr>
          <w:sz w:val="24"/>
          <w:szCs w:val="24"/>
        </w:rPr>
        <w:t xml:space="preserve"> </w:t>
      </w:r>
      <w:r w:rsidR="000424C7">
        <w:rPr>
          <w:sz w:val="24"/>
          <w:szCs w:val="24"/>
          <w:shd w:val="clear" w:color="auto" w:fill="FFFFFF"/>
        </w:rPr>
        <w:t>establishing</w:t>
      </w:r>
      <w:r w:rsidRPr="00496272">
        <w:rPr>
          <w:sz w:val="24"/>
          <w:szCs w:val="24"/>
          <w:shd w:val="clear" w:color="auto" w:fill="FFFFFF"/>
        </w:rPr>
        <w:t xml:space="preserve"> rules for commercial use of 150 megahertz in the 3550-37</w:t>
      </w:r>
      <w:r w:rsidR="000424C7">
        <w:rPr>
          <w:sz w:val="24"/>
          <w:szCs w:val="24"/>
          <w:shd w:val="clear" w:color="auto" w:fill="FFFFFF"/>
        </w:rPr>
        <w:t>00 MHz (3.5 GHz) band and creating</w:t>
      </w:r>
      <w:r w:rsidRPr="00496272">
        <w:rPr>
          <w:sz w:val="24"/>
          <w:szCs w:val="24"/>
          <w:shd w:val="clear" w:color="auto" w:fill="FFFFFF"/>
        </w:rPr>
        <w:t xml:space="preserve"> a new Citizens Broadband Radio Service</w:t>
      </w:r>
      <w:r w:rsidRPr="00496272">
        <w:rPr>
          <w:sz w:val="24"/>
          <w:szCs w:val="24"/>
        </w:rPr>
        <w:t xml:space="preserve">. </w:t>
      </w:r>
    </w:p>
    <w:p w14:paraId="621CD3B5" w14:textId="77777777" w:rsidR="00496272" w:rsidRPr="00496272" w:rsidRDefault="00496272" w:rsidP="00496272">
      <w:pPr>
        <w:rPr>
          <w:sz w:val="24"/>
          <w:szCs w:val="24"/>
        </w:rPr>
      </w:pPr>
    </w:p>
    <w:p w14:paraId="06F2B3A1" w14:textId="77777777" w:rsidR="00A67821" w:rsidRDefault="00496272" w:rsidP="00496272">
      <w:pPr>
        <w:suppressAutoHyphens/>
        <w:rPr>
          <w:sz w:val="24"/>
          <w:szCs w:val="24"/>
        </w:rPr>
      </w:pPr>
      <w:r w:rsidRPr="00496272">
        <w:rPr>
          <w:sz w:val="24"/>
          <w:szCs w:val="24"/>
        </w:rPr>
        <w:t>The band is currently used by Depart of Defense (</w:t>
      </w:r>
      <w:proofErr w:type="gramStart"/>
      <w:r w:rsidRPr="00496272">
        <w:rPr>
          <w:sz w:val="24"/>
          <w:szCs w:val="24"/>
        </w:rPr>
        <w:t>DoD</w:t>
      </w:r>
      <w:proofErr w:type="gramEnd"/>
      <w:r w:rsidRPr="00496272">
        <w:rPr>
          <w:sz w:val="24"/>
          <w:szCs w:val="24"/>
        </w:rPr>
        <w:t xml:space="preserve">) radar systems, commercial fixed satellite service (FSS) earth stations, and commercial wireless radio services. </w:t>
      </w:r>
      <w:r w:rsidR="00DE4674">
        <w:rPr>
          <w:sz w:val="24"/>
          <w:szCs w:val="24"/>
        </w:rPr>
        <w:t xml:space="preserve"> </w:t>
      </w:r>
      <w:r w:rsidR="00ED773F">
        <w:rPr>
          <w:sz w:val="24"/>
          <w:szCs w:val="24"/>
        </w:rPr>
        <w:t xml:space="preserve">The Commission has </w:t>
      </w:r>
      <w:r w:rsidR="007C4A82">
        <w:rPr>
          <w:sz w:val="24"/>
          <w:szCs w:val="24"/>
        </w:rPr>
        <w:t>established a framework for</w:t>
      </w:r>
      <w:r w:rsidR="00ED773F">
        <w:rPr>
          <w:sz w:val="24"/>
          <w:szCs w:val="24"/>
        </w:rPr>
        <w:t xml:space="preserve"> </w:t>
      </w:r>
      <w:r w:rsidR="00ED773F" w:rsidRPr="00496272">
        <w:rPr>
          <w:sz w:val="24"/>
          <w:szCs w:val="24"/>
        </w:rPr>
        <w:t>making the entirety of the band available for commercial use in a phased manner and creates a three-tiered sharing framework enabled by a Spectrum Access System (SAS).</w:t>
      </w:r>
      <w:r w:rsidR="00ED773F">
        <w:rPr>
          <w:sz w:val="24"/>
          <w:szCs w:val="24"/>
        </w:rPr>
        <w:t xml:space="preserve"> </w:t>
      </w:r>
    </w:p>
    <w:p w14:paraId="27E1D80B" w14:textId="77777777" w:rsidR="00A67821" w:rsidRDefault="00A67821" w:rsidP="00496272">
      <w:pPr>
        <w:suppressAutoHyphens/>
        <w:rPr>
          <w:sz w:val="24"/>
          <w:szCs w:val="24"/>
        </w:rPr>
      </w:pPr>
    </w:p>
    <w:p w14:paraId="1E29EC73" w14:textId="77777777" w:rsidR="00AF02A5" w:rsidRDefault="00F64367" w:rsidP="00496272">
      <w:pPr>
        <w:suppressAutoHyphens/>
        <w:rPr>
          <w:sz w:val="24"/>
          <w:szCs w:val="24"/>
        </w:rPr>
      </w:pPr>
      <w:r>
        <w:rPr>
          <w:sz w:val="24"/>
          <w:szCs w:val="24"/>
        </w:rPr>
        <w:t xml:space="preserve">The </w:t>
      </w:r>
      <w:r>
        <w:rPr>
          <w:i/>
          <w:sz w:val="24"/>
          <w:szCs w:val="24"/>
        </w:rPr>
        <w:t xml:space="preserve">First Report and Order </w:t>
      </w:r>
      <w:r>
        <w:rPr>
          <w:sz w:val="24"/>
          <w:szCs w:val="24"/>
        </w:rPr>
        <w:t>established a process for FSS earth stations to register annually with the Commission i</w:t>
      </w:r>
      <w:r w:rsidR="00317BE0">
        <w:rPr>
          <w:sz w:val="24"/>
          <w:szCs w:val="24"/>
        </w:rPr>
        <w:t xml:space="preserve">n order to gain protection from interference from new </w:t>
      </w:r>
      <w:r w:rsidR="00317BE0" w:rsidRPr="00496272">
        <w:rPr>
          <w:sz w:val="24"/>
          <w:szCs w:val="24"/>
          <w:shd w:val="clear" w:color="auto" w:fill="FFFFFF"/>
        </w:rPr>
        <w:t>Citizens Broadband Radio Service</w:t>
      </w:r>
      <w:r w:rsidR="00317BE0">
        <w:rPr>
          <w:sz w:val="24"/>
          <w:szCs w:val="24"/>
          <w:shd w:val="clear" w:color="auto" w:fill="FFFFFF"/>
        </w:rPr>
        <w:t xml:space="preserve"> users</w:t>
      </w:r>
      <w:r>
        <w:rPr>
          <w:sz w:val="24"/>
          <w:szCs w:val="24"/>
          <w:shd w:val="clear" w:color="auto" w:fill="FFFFFF"/>
        </w:rPr>
        <w:t xml:space="preserve">.  </w:t>
      </w:r>
      <w:r w:rsidR="00496272" w:rsidRPr="00496272">
        <w:rPr>
          <w:sz w:val="24"/>
          <w:szCs w:val="24"/>
        </w:rPr>
        <w:t xml:space="preserve">The </w:t>
      </w:r>
      <w:r w:rsidR="00ED773F" w:rsidRPr="00ED773F">
        <w:rPr>
          <w:i/>
          <w:sz w:val="24"/>
          <w:szCs w:val="24"/>
        </w:rPr>
        <w:t>Second</w:t>
      </w:r>
      <w:r w:rsidR="00ED773F">
        <w:rPr>
          <w:sz w:val="24"/>
          <w:szCs w:val="24"/>
        </w:rPr>
        <w:t xml:space="preserve"> </w:t>
      </w:r>
      <w:r w:rsidR="00496272" w:rsidRPr="00496272">
        <w:rPr>
          <w:i/>
          <w:sz w:val="24"/>
          <w:szCs w:val="24"/>
        </w:rPr>
        <w:t xml:space="preserve">Report and Order </w:t>
      </w:r>
      <w:r w:rsidR="00AF02A5">
        <w:rPr>
          <w:sz w:val="24"/>
          <w:szCs w:val="24"/>
        </w:rPr>
        <w:t xml:space="preserve">includes </w:t>
      </w:r>
      <w:r>
        <w:rPr>
          <w:sz w:val="24"/>
          <w:szCs w:val="24"/>
        </w:rPr>
        <w:t>an additional</w:t>
      </w:r>
      <w:r w:rsidR="00A67821">
        <w:rPr>
          <w:sz w:val="24"/>
          <w:szCs w:val="24"/>
        </w:rPr>
        <w:t xml:space="preserve"> </w:t>
      </w:r>
      <w:r>
        <w:rPr>
          <w:sz w:val="24"/>
          <w:szCs w:val="24"/>
        </w:rPr>
        <w:t>information requirement</w:t>
      </w:r>
      <w:r w:rsidR="00AF02A5">
        <w:rPr>
          <w:sz w:val="24"/>
          <w:szCs w:val="24"/>
        </w:rPr>
        <w:t xml:space="preserve"> that FSS earth stations will need to submit </w:t>
      </w:r>
      <w:r w:rsidR="00ED773F">
        <w:rPr>
          <w:sz w:val="24"/>
          <w:szCs w:val="24"/>
        </w:rPr>
        <w:t>pursuant to this framework</w:t>
      </w:r>
      <w:r w:rsidR="00A67821">
        <w:rPr>
          <w:sz w:val="24"/>
          <w:szCs w:val="24"/>
        </w:rPr>
        <w:t xml:space="preserve">. </w:t>
      </w:r>
      <w:r w:rsidR="00DE4674">
        <w:rPr>
          <w:sz w:val="24"/>
          <w:szCs w:val="24"/>
        </w:rPr>
        <w:t xml:space="preserve"> </w:t>
      </w:r>
      <w:r w:rsidR="00A67821">
        <w:rPr>
          <w:sz w:val="24"/>
          <w:szCs w:val="24"/>
        </w:rPr>
        <w:t>FSS earth station</w:t>
      </w:r>
      <w:r>
        <w:rPr>
          <w:sz w:val="24"/>
          <w:szCs w:val="24"/>
        </w:rPr>
        <w:t xml:space="preserve">s </w:t>
      </w:r>
      <w:r w:rsidR="006014AF">
        <w:rPr>
          <w:sz w:val="24"/>
          <w:szCs w:val="24"/>
        </w:rPr>
        <w:t xml:space="preserve">operating within the 3700-4200 MHz band </w:t>
      </w:r>
      <w:r>
        <w:rPr>
          <w:sz w:val="24"/>
          <w:szCs w:val="24"/>
        </w:rPr>
        <w:t>will be required to disclose if they</w:t>
      </w:r>
      <w:r w:rsidR="00A67821">
        <w:rPr>
          <w:sz w:val="24"/>
          <w:szCs w:val="24"/>
        </w:rPr>
        <w:t xml:space="preserve"> </w:t>
      </w:r>
      <w:r>
        <w:rPr>
          <w:sz w:val="24"/>
          <w:szCs w:val="24"/>
        </w:rPr>
        <w:t>provide</w:t>
      </w:r>
      <w:r w:rsidR="00A67821">
        <w:rPr>
          <w:sz w:val="24"/>
          <w:szCs w:val="24"/>
        </w:rPr>
        <w:t xml:space="preserve"> </w:t>
      </w:r>
      <w:r w:rsidR="00A67821" w:rsidRPr="00AF02A5">
        <w:rPr>
          <w:sz w:val="24"/>
          <w:szCs w:val="24"/>
        </w:rPr>
        <w:t>satellite telemetry, tracking, and control</w:t>
      </w:r>
      <w:r>
        <w:rPr>
          <w:sz w:val="24"/>
          <w:szCs w:val="24"/>
        </w:rPr>
        <w:t>,</w:t>
      </w:r>
      <w:r w:rsidR="00317BE0">
        <w:rPr>
          <w:sz w:val="24"/>
          <w:szCs w:val="24"/>
        </w:rPr>
        <w:t xml:space="preserve"> </w:t>
      </w:r>
      <w:r>
        <w:rPr>
          <w:sz w:val="24"/>
          <w:szCs w:val="24"/>
        </w:rPr>
        <w:t>along with the information collection already approved by OMB</w:t>
      </w:r>
      <w:r w:rsidR="006014AF">
        <w:rPr>
          <w:sz w:val="24"/>
          <w:szCs w:val="24"/>
        </w:rPr>
        <w:t xml:space="preserve"> as a part of the registration process</w:t>
      </w:r>
      <w:r w:rsidR="00A67821">
        <w:rPr>
          <w:sz w:val="24"/>
          <w:szCs w:val="24"/>
        </w:rPr>
        <w:t>.</w:t>
      </w:r>
      <w:r w:rsidR="00A67821">
        <w:rPr>
          <w:rStyle w:val="FootnoteReference"/>
          <w:sz w:val="24"/>
          <w:szCs w:val="24"/>
        </w:rPr>
        <w:footnoteReference w:id="4"/>
      </w:r>
    </w:p>
    <w:p w14:paraId="4960B212" w14:textId="77777777" w:rsidR="00A67821" w:rsidRDefault="00A67821" w:rsidP="00496272">
      <w:pPr>
        <w:suppressAutoHyphens/>
        <w:rPr>
          <w:sz w:val="24"/>
          <w:szCs w:val="24"/>
        </w:rPr>
      </w:pPr>
    </w:p>
    <w:p w14:paraId="1D9C4285" w14:textId="77777777" w:rsidR="00ED773F" w:rsidRDefault="00A67821" w:rsidP="0020490F">
      <w:pPr>
        <w:suppressAutoHyphens/>
        <w:rPr>
          <w:sz w:val="24"/>
          <w:szCs w:val="24"/>
        </w:rPr>
      </w:pPr>
      <w:r>
        <w:rPr>
          <w:sz w:val="24"/>
          <w:szCs w:val="24"/>
        </w:rPr>
        <w:t xml:space="preserve">The </w:t>
      </w:r>
      <w:r>
        <w:rPr>
          <w:i/>
          <w:sz w:val="24"/>
          <w:szCs w:val="24"/>
        </w:rPr>
        <w:t>Second Report and Order</w:t>
      </w:r>
      <w:r>
        <w:rPr>
          <w:sz w:val="24"/>
          <w:szCs w:val="24"/>
        </w:rPr>
        <w:t xml:space="preserve"> also adds provisions allowing the FSS earth stations to request additional protections through SAS Administrators.</w:t>
      </w:r>
      <w:r w:rsidR="007C4A82">
        <w:rPr>
          <w:sz w:val="24"/>
          <w:szCs w:val="24"/>
        </w:rPr>
        <w:t xml:space="preserve"> </w:t>
      </w:r>
      <w:r w:rsidR="0020490F">
        <w:rPr>
          <w:sz w:val="24"/>
          <w:szCs w:val="24"/>
        </w:rPr>
        <w:t xml:space="preserve"> SAS Administrators are responsible for establishing a process to manage these requests and process information submitted by the FSS earth stations</w:t>
      </w:r>
      <w:r w:rsidR="00B76DBA">
        <w:rPr>
          <w:sz w:val="24"/>
          <w:szCs w:val="24"/>
        </w:rPr>
        <w:t>, as part of their responsibilities addressing interference concerns</w:t>
      </w:r>
      <w:r w:rsidR="0020490F">
        <w:rPr>
          <w:sz w:val="24"/>
          <w:szCs w:val="24"/>
        </w:rPr>
        <w:t>.</w:t>
      </w:r>
      <w:r w:rsidR="0020490F">
        <w:rPr>
          <w:rStyle w:val="FootnoteReference"/>
          <w:sz w:val="24"/>
          <w:szCs w:val="24"/>
        </w:rPr>
        <w:footnoteReference w:id="5"/>
      </w:r>
      <w:r w:rsidR="0020490F">
        <w:rPr>
          <w:sz w:val="24"/>
          <w:szCs w:val="24"/>
        </w:rPr>
        <w:t xml:space="preserve"> </w:t>
      </w:r>
      <w:r w:rsidR="007C4A82">
        <w:rPr>
          <w:sz w:val="24"/>
          <w:szCs w:val="24"/>
        </w:rPr>
        <w:t xml:space="preserve"> </w:t>
      </w:r>
      <w:r w:rsidR="005238B4">
        <w:rPr>
          <w:sz w:val="24"/>
          <w:szCs w:val="24"/>
        </w:rPr>
        <w:t xml:space="preserve">This rule </w:t>
      </w:r>
      <w:proofErr w:type="gramStart"/>
      <w:r w:rsidR="005238B4">
        <w:rPr>
          <w:sz w:val="24"/>
          <w:szCs w:val="24"/>
        </w:rPr>
        <w:lastRenderedPageBreak/>
        <w:t>change</w:t>
      </w:r>
      <w:proofErr w:type="gramEnd"/>
      <w:r w:rsidR="005238B4">
        <w:rPr>
          <w:sz w:val="24"/>
          <w:szCs w:val="24"/>
        </w:rPr>
        <w:t xml:space="preserve"> does not require licensees to provide information directly to the Commission</w:t>
      </w:r>
      <w:r w:rsidR="0020490F">
        <w:rPr>
          <w:sz w:val="24"/>
          <w:szCs w:val="24"/>
        </w:rPr>
        <w:t>.</w:t>
      </w:r>
      <w:r w:rsidR="0020490F">
        <w:rPr>
          <w:rStyle w:val="FootnoteReference"/>
          <w:sz w:val="24"/>
          <w:szCs w:val="24"/>
        </w:rPr>
        <w:footnoteReference w:id="6"/>
      </w:r>
      <w:r w:rsidR="0020490F">
        <w:rPr>
          <w:sz w:val="24"/>
          <w:szCs w:val="24"/>
        </w:rPr>
        <w:t xml:space="preserve"> </w:t>
      </w:r>
    </w:p>
    <w:p w14:paraId="0EB0A3F6" w14:textId="77777777" w:rsidR="00496272" w:rsidRPr="00496272" w:rsidRDefault="00496272" w:rsidP="00496272">
      <w:pPr>
        <w:rPr>
          <w:sz w:val="24"/>
          <w:szCs w:val="24"/>
        </w:rPr>
      </w:pPr>
    </w:p>
    <w:p w14:paraId="298EDE53" w14:textId="65460C89" w:rsidR="00496272" w:rsidRPr="00496272" w:rsidRDefault="00496272" w:rsidP="00496272">
      <w:pPr>
        <w:rPr>
          <w:b/>
          <w:sz w:val="24"/>
          <w:szCs w:val="24"/>
        </w:rPr>
      </w:pPr>
      <w:r w:rsidRPr="00496272">
        <w:rPr>
          <w:b/>
          <w:sz w:val="24"/>
          <w:szCs w:val="24"/>
          <w:u w:val="single"/>
        </w:rPr>
        <w:t>Rule</w:t>
      </w:r>
      <w:r w:rsidRPr="00496272">
        <w:rPr>
          <w:b/>
          <w:sz w:val="24"/>
          <w:szCs w:val="24"/>
        </w:rPr>
        <w:t>:</w:t>
      </w:r>
    </w:p>
    <w:p w14:paraId="68F3D457" w14:textId="77777777" w:rsidR="00496272" w:rsidRPr="00496272" w:rsidRDefault="00496272" w:rsidP="00496272">
      <w:pPr>
        <w:rPr>
          <w:b/>
          <w:sz w:val="24"/>
          <w:szCs w:val="24"/>
        </w:rPr>
      </w:pPr>
    </w:p>
    <w:p w14:paraId="6D2604AA" w14:textId="77777777" w:rsidR="00496272" w:rsidRPr="00496272" w:rsidRDefault="00496272" w:rsidP="000424C7">
      <w:pPr>
        <w:spacing w:after="240"/>
        <w:rPr>
          <w:sz w:val="24"/>
          <w:szCs w:val="24"/>
        </w:rPr>
      </w:pPr>
      <w:r w:rsidRPr="00496272">
        <w:rPr>
          <w:b/>
          <w:sz w:val="24"/>
          <w:szCs w:val="24"/>
        </w:rPr>
        <w:t>96.17 - Protection of Existing FSS Earth Stations in the 3600-3700 MHz Band</w:t>
      </w:r>
      <w:r w:rsidRPr="00496272">
        <w:rPr>
          <w:sz w:val="24"/>
          <w:szCs w:val="24"/>
        </w:rPr>
        <w:t xml:space="preserve"> </w:t>
      </w:r>
      <w:r w:rsidRPr="00496272">
        <w:rPr>
          <w:b/>
          <w:sz w:val="24"/>
          <w:szCs w:val="24"/>
        </w:rPr>
        <w:t>and 3700-4200 MHz Band</w:t>
      </w:r>
    </w:p>
    <w:p w14:paraId="1CB0AEF9" w14:textId="77777777" w:rsidR="00496272" w:rsidRPr="00496272" w:rsidRDefault="00496272" w:rsidP="000424C7">
      <w:pPr>
        <w:spacing w:after="240"/>
        <w:rPr>
          <w:sz w:val="24"/>
          <w:szCs w:val="24"/>
        </w:rPr>
      </w:pPr>
      <w:r w:rsidRPr="00496272">
        <w:rPr>
          <w:sz w:val="24"/>
          <w:szCs w:val="24"/>
        </w:rPr>
        <w:tab/>
        <w:t>(d)****</w:t>
      </w:r>
    </w:p>
    <w:p w14:paraId="41353609" w14:textId="77777777" w:rsidR="00496272" w:rsidRPr="00655EF8" w:rsidRDefault="00496272" w:rsidP="000424C7">
      <w:pPr>
        <w:spacing w:after="240"/>
        <w:rPr>
          <w:sz w:val="24"/>
          <w:szCs w:val="24"/>
        </w:rPr>
      </w:pPr>
      <w:r w:rsidRPr="00496272">
        <w:rPr>
          <w:sz w:val="24"/>
          <w:szCs w:val="24"/>
        </w:rPr>
        <w:tab/>
      </w:r>
      <w:r w:rsidRPr="008D37D2">
        <w:rPr>
          <w:sz w:val="24"/>
          <w:szCs w:val="24"/>
        </w:rPr>
        <w:t xml:space="preserve">(vi) </w:t>
      </w:r>
      <w:proofErr w:type="gramStart"/>
      <w:r w:rsidRPr="008D37D2">
        <w:rPr>
          <w:sz w:val="24"/>
          <w:szCs w:val="24"/>
        </w:rPr>
        <w:t>whether</w:t>
      </w:r>
      <w:proofErr w:type="gramEnd"/>
      <w:r w:rsidRPr="008D37D2">
        <w:rPr>
          <w:sz w:val="24"/>
          <w:szCs w:val="24"/>
        </w:rPr>
        <w:t xml:space="preserve"> the earth station is used for satellite telemetry, tracking, and control (for earth stations in the 3700-4200 MHz band).</w:t>
      </w:r>
      <w:r w:rsidRPr="00655EF8">
        <w:rPr>
          <w:sz w:val="24"/>
          <w:szCs w:val="24"/>
        </w:rPr>
        <w:t xml:space="preserve"> </w:t>
      </w:r>
    </w:p>
    <w:p w14:paraId="79F6CAB9" w14:textId="660B99D6" w:rsidR="00496272" w:rsidRDefault="00496272" w:rsidP="000424C7">
      <w:pPr>
        <w:spacing w:after="240"/>
        <w:ind w:firstLine="720"/>
        <w:rPr>
          <w:sz w:val="24"/>
          <w:szCs w:val="24"/>
        </w:rPr>
      </w:pPr>
      <w:r w:rsidRPr="008D37D2">
        <w:rPr>
          <w:sz w:val="24"/>
          <w:szCs w:val="24"/>
        </w:rPr>
        <w:t>(f) FSS earth station licensees in the 3600-3700 and 3700-4200 MHz bands may request additional protection from SAS Administrators to prevent harmful interference into their systems.  SAS Administrators must establish a process to receive and address such requests, consistent with section 96.53(o) and 96.63 and shall make good faith efforts to address interference concerns, consistent with their other responsibilities under this Part. In addressing such requests, SASs shall assume that 3700-4200 MHz earth stations are utilizing filters with the characteristics described in sections 96.17(a)(3) or (b)(2) as appropriate for the 3600-3700 or 3700-4200 MHz band.</w:t>
      </w:r>
    </w:p>
    <w:p w14:paraId="32B3BE23" w14:textId="2AF86E93" w:rsidR="00F908BC" w:rsidRPr="00AF02A5" w:rsidRDefault="00F908BC" w:rsidP="00F908BC">
      <w:pPr>
        <w:spacing w:after="240"/>
        <w:rPr>
          <w:sz w:val="24"/>
          <w:szCs w:val="24"/>
        </w:rPr>
      </w:pPr>
      <w:bookmarkStart w:id="0" w:name="_GoBack"/>
      <w:bookmarkEnd w:id="0"/>
      <w:r>
        <w:rPr>
          <w:sz w:val="24"/>
          <w:szCs w:val="24"/>
        </w:rPr>
        <w:t>There are no changes in the burden hours or cost for this collection as a result of this non-substantive change submission to the Office of Management and Budget (OMB) for approval.</w:t>
      </w:r>
    </w:p>
    <w:p w14:paraId="0BCC04A2" w14:textId="77777777" w:rsidR="00466BF9" w:rsidRPr="00496272" w:rsidRDefault="00466BF9" w:rsidP="000424C7">
      <w:pPr>
        <w:spacing w:after="240"/>
        <w:rPr>
          <w:sz w:val="24"/>
          <w:szCs w:val="24"/>
        </w:rPr>
      </w:pPr>
    </w:p>
    <w:sectPr w:rsidR="00466BF9" w:rsidRPr="004962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3842F" w14:textId="77777777" w:rsidR="00CF3E67" w:rsidRDefault="00CF3E67" w:rsidP="00496272">
      <w:r>
        <w:separator/>
      </w:r>
    </w:p>
  </w:endnote>
  <w:endnote w:type="continuationSeparator" w:id="0">
    <w:p w14:paraId="152FC139" w14:textId="77777777" w:rsidR="00CF3E67" w:rsidRDefault="00CF3E67" w:rsidP="0049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3D51" w14:textId="77777777" w:rsidR="00CF3E67" w:rsidRDefault="00CF3E67" w:rsidP="00496272">
      <w:r>
        <w:separator/>
      </w:r>
    </w:p>
  </w:footnote>
  <w:footnote w:type="continuationSeparator" w:id="0">
    <w:p w14:paraId="12A9B34C" w14:textId="77777777" w:rsidR="00CF3E67" w:rsidRDefault="00CF3E67" w:rsidP="00496272">
      <w:r>
        <w:continuationSeparator/>
      </w:r>
    </w:p>
  </w:footnote>
  <w:footnote w:id="1">
    <w:p w14:paraId="208E424A" w14:textId="77777777" w:rsidR="00496272" w:rsidRDefault="00496272" w:rsidP="00496272">
      <w:pPr>
        <w:pStyle w:val="FootnoteText"/>
      </w:pPr>
      <w:r>
        <w:rPr>
          <w:rStyle w:val="FootnoteReference"/>
        </w:rPr>
        <w:footnoteRef/>
      </w:r>
      <w:r w:rsidR="000424C7">
        <w:t xml:space="preserve"> 44</w:t>
      </w:r>
      <w:r>
        <w:t xml:space="preserve"> U.S.C. § 3507.</w:t>
      </w:r>
    </w:p>
  </w:footnote>
  <w:footnote w:id="2">
    <w:p w14:paraId="5384FCC9" w14:textId="77777777" w:rsidR="00442912" w:rsidRDefault="00442912" w:rsidP="00442912">
      <w:pPr>
        <w:pStyle w:val="FootnoteText"/>
      </w:pPr>
      <w:r>
        <w:rPr>
          <w:rStyle w:val="FootnoteReference"/>
        </w:rPr>
        <w:footnoteRef/>
      </w:r>
      <w:r>
        <w:t xml:space="preserve"> </w:t>
      </w:r>
      <w:r w:rsidRPr="008D37D2">
        <w:rPr>
          <w:i/>
        </w:rPr>
        <w:t>Amendment of the Commission’s Rules with Regard to Commercial Operations in the 3550-3650 MHz Band</w:t>
      </w:r>
      <w:r>
        <w:t>, Order on Reconsideration and Second Report and Order, FCC 16-55 (2016) (</w:t>
      </w:r>
      <w:r>
        <w:rPr>
          <w:i/>
        </w:rPr>
        <w:t>Second Report and Order</w:t>
      </w:r>
      <w:r>
        <w:t>).</w:t>
      </w:r>
    </w:p>
  </w:footnote>
  <w:footnote w:id="3">
    <w:p w14:paraId="2FE28C94" w14:textId="77777777" w:rsidR="00AF02A5" w:rsidRDefault="00AF02A5">
      <w:pPr>
        <w:pStyle w:val="FootnoteText"/>
      </w:pPr>
      <w:r>
        <w:rPr>
          <w:rStyle w:val="FootnoteReference"/>
        </w:rPr>
        <w:footnoteRef/>
      </w:r>
      <w:r>
        <w:t xml:space="preserve"> </w:t>
      </w:r>
      <w:r w:rsidRPr="008D37D2">
        <w:rPr>
          <w:i/>
        </w:rPr>
        <w:t>See</w:t>
      </w:r>
      <w:r>
        <w:t xml:space="preserve"> </w:t>
      </w:r>
      <w:r w:rsidR="00571174">
        <w:rPr>
          <w:i/>
        </w:rPr>
        <w:t>Amendment of the Commission’s Rules with Regard to Commercial Operations in the 3550-3650 MHz Band</w:t>
      </w:r>
      <w:r w:rsidR="00571174" w:rsidRPr="00571174">
        <w:t>,</w:t>
      </w:r>
      <w:r w:rsidR="00571174">
        <w:rPr>
          <w:i/>
        </w:rPr>
        <w:t xml:space="preserve"> </w:t>
      </w:r>
      <w:r>
        <w:t xml:space="preserve">Report and Order and Second Further Notice of Proposed Rulemaking, </w:t>
      </w:r>
      <w:r w:rsidR="00011A4B">
        <w:t xml:space="preserve">30 FCC </w:t>
      </w:r>
      <w:proofErr w:type="spellStart"/>
      <w:r w:rsidR="00011A4B">
        <w:t>Rcd</w:t>
      </w:r>
      <w:proofErr w:type="spellEnd"/>
      <w:r w:rsidR="00011A4B">
        <w:t xml:space="preserve"> 3959</w:t>
      </w:r>
      <w:r w:rsidR="00ED773F">
        <w:t xml:space="preserve"> (2015)</w:t>
      </w:r>
      <w:r w:rsidR="00F64367">
        <w:t xml:space="preserve"> (</w:t>
      </w:r>
      <w:r w:rsidR="00F64367" w:rsidRPr="00F64367">
        <w:rPr>
          <w:i/>
        </w:rPr>
        <w:t>First Report and Order</w:t>
      </w:r>
      <w:r w:rsidR="00F64367">
        <w:t>)</w:t>
      </w:r>
      <w:r w:rsidR="00ED773F">
        <w:t>.</w:t>
      </w:r>
    </w:p>
  </w:footnote>
  <w:footnote w:id="4">
    <w:p w14:paraId="2137D046" w14:textId="77777777" w:rsidR="00A67821" w:rsidRDefault="00A67821">
      <w:pPr>
        <w:pStyle w:val="FootnoteText"/>
      </w:pPr>
      <w:r>
        <w:rPr>
          <w:rStyle w:val="FootnoteReference"/>
        </w:rPr>
        <w:footnoteRef/>
      </w:r>
      <w:r>
        <w:t xml:space="preserve"> </w:t>
      </w:r>
      <w:r w:rsidR="0020490F" w:rsidRPr="0020490F">
        <w:rPr>
          <w:i/>
        </w:rPr>
        <w:t>Second Report and Order</w:t>
      </w:r>
      <w:r w:rsidR="0020490F">
        <w:t xml:space="preserve">, </w:t>
      </w:r>
      <w:r w:rsidR="00767643">
        <w:t xml:space="preserve">FCC 16-55 at 98, </w:t>
      </w:r>
      <w:r w:rsidR="0020490F">
        <w:t>96.17(d</w:t>
      </w:r>
      <w:proofErr w:type="gramStart"/>
      <w:r w:rsidR="0020490F">
        <w:t>)(</w:t>
      </w:r>
      <w:proofErr w:type="gramEnd"/>
      <w:r w:rsidR="0020490F">
        <w:t xml:space="preserve">1)(vi). </w:t>
      </w:r>
      <w:r w:rsidR="009328D3">
        <w:t xml:space="preserve"> </w:t>
      </w:r>
      <w:r>
        <w:t xml:space="preserve">The registration process was accounted for previously as a part of </w:t>
      </w:r>
      <w:r w:rsidR="00442912">
        <w:t xml:space="preserve">existing clearance (OMB Control No. </w:t>
      </w:r>
      <w:r>
        <w:t>3060-1211</w:t>
      </w:r>
      <w:r w:rsidR="00442912">
        <w:t>)</w:t>
      </w:r>
      <w:r w:rsidR="00B25833">
        <w:t>,</w:t>
      </w:r>
      <w:r>
        <w:t xml:space="preserve"> and the </w:t>
      </w:r>
      <w:r w:rsidR="00317BE0">
        <w:t xml:space="preserve">cost </w:t>
      </w:r>
      <w:r>
        <w:t>estimates will not be impacted by the proposed change.</w:t>
      </w:r>
    </w:p>
  </w:footnote>
  <w:footnote w:id="5">
    <w:p w14:paraId="753DE458" w14:textId="77777777" w:rsidR="0020490F" w:rsidRDefault="0020490F">
      <w:pPr>
        <w:pStyle w:val="FootnoteText"/>
      </w:pPr>
      <w:r>
        <w:rPr>
          <w:rStyle w:val="FootnoteReference"/>
        </w:rPr>
        <w:footnoteRef/>
      </w:r>
      <w:r>
        <w:t xml:space="preserve"> </w:t>
      </w:r>
      <w:r w:rsidRPr="0020490F">
        <w:rPr>
          <w:i/>
        </w:rPr>
        <w:t>Second Report and Order</w:t>
      </w:r>
      <w:r>
        <w:t xml:space="preserve">, </w:t>
      </w:r>
      <w:r w:rsidR="00767643">
        <w:t xml:space="preserve">FCC 16-55 at 98, </w:t>
      </w:r>
      <w:r>
        <w:t>96.17(f).</w:t>
      </w:r>
    </w:p>
  </w:footnote>
  <w:footnote w:id="6">
    <w:p w14:paraId="626DF8C8" w14:textId="77777777" w:rsidR="0020490F" w:rsidRDefault="0020490F">
      <w:pPr>
        <w:pStyle w:val="FootnoteText"/>
      </w:pPr>
      <w:r>
        <w:rPr>
          <w:rStyle w:val="FootnoteReference"/>
        </w:rPr>
        <w:footnoteRef/>
      </w:r>
      <w:r>
        <w:t xml:space="preserve"> </w:t>
      </w:r>
      <w:r w:rsidRPr="0020490F">
        <w:rPr>
          <w:i/>
        </w:rPr>
        <w:t>See generally</w:t>
      </w:r>
      <w:r>
        <w:t xml:space="preserve"> 44 U.S.C. § 3507 (establishing information collection requirements with respect to information provided directly to agencies).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72"/>
    <w:rsid w:val="00011A4B"/>
    <w:rsid w:val="000424C7"/>
    <w:rsid w:val="000A2A0E"/>
    <w:rsid w:val="000E25AA"/>
    <w:rsid w:val="001B5566"/>
    <w:rsid w:val="0020490F"/>
    <w:rsid w:val="00266A41"/>
    <w:rsid w:val="00317BE0"/>
    <w:rsid w:val="004006A5"/>
    <w:rsid w:val="0044090C"/>
    <w:rsid w:val="00442912"/>
    <w:rsid w:val="00466BF9"/>
    <w:rsid w:val="0048416A"/>
    <w:rsid w:val="00496272"/>
    <w:rsid w:val="004B2063"/>
    <w:rsid w:val="004C3350"/>
    <w:rsid w:val="005238B4"/>
    <w:rsid w:val="00571174"/>
    <w:rsid w:val="005F69F5"/>
    <w:rsid w:val="006014AF"/>
    <w:rsid w:val="006558AD"/>
    <w:rsid w:val="00655EF8"/>
    <w:rsid w:val="00686584"/>
    <w:rsid w:val="00767643"/>
    <w:rsid w:val="007C4A82"/>
    <w:rsid w:val="00846CD6"/>
    <w:rsid w:val="008D37D2"/>
    <w:rsid w:val="008F2CA2"/>
    <w:rsid w:val="009328D3"/>
    <w:rsid w:val="00A563EA"/>
    <w:rsid w:val="00A64865"/>
    <w:rsid w:val="00A67821"/>
    <w:rsid w:val="00AF02A5"/>
    <w:rsid w:val="00B25165"/>
    <w:rsid w:val="00B25833"/>
    <w:rsid w:val="00B76DBA"/>
    <w:rsid w:val="00CF3E67"/>
    <w:rsid w:val="00DE4674"/>
    <w:rsid w:val="00E66770"/>
    <w:rsid w:val="00ED773F"/>
    <w:rsid w:val="00F64367"/>
    <w:rsid w:val="00F908BC"/>
    <w:rsid w:val="00FE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7B88"/>
  <w15:chartTrackingRefBased/>
  <w15:docId w15:val="{69EDB433-30FC-471B-85D5-A87AF49A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272"/>
    <w:pPr>
      <w:widowControl w:val="0"/>
      <w:spacing w:after="0" w:line="240" w:lineRule="auto"/>
    </w:pPr>
    <w:rPr>
      <w:rFonts w:ascii="Times New Roman" w:eastAsia="Times New Roman" w:hAnsi="Times New Roman" w:cs="Times New Roman"/>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6272"/>
    <w:pPr>
      <w:widowControl/>
    </w:pPr>
    <w:rPr>
      <w:snapToGrid/>
      <w:kern w:val="0"/>
      <w:sz w:val="20"/>
    </w:rPr>
  </w:style>
  <w:style w:type="character" w:customStyle="1" w:styleId="FootnoteTextChar">
    <w:name w:val="Footnote Text Char"/>
    <w:basedOn w:val="DefaultParagraphFont"/>
    <w:link w:val="FootnoteText"/>
    <w:uiPriority w:val="99"/>
    <w:semiHidden/>
    <w:rsid w:val="0049627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6272"/>
    <w:rPr>
      <w:vertAlign w:val="superscript"/>
    </w:rPr>
  </w:style>
  <w:style w:type="character" w:styleId="CommentReference">
    <w:name w:val="annotation reference"/>
    <w:basedOn w:val="DefaultParagraphFont"/>
    <w:uiPriority w:val="99"/>
    <w:semiHidden/>
    <w:unhideWhenUsed/>
    <w:rsid w:val="00DE4674"/>
    <w:rPr>
      <w:sz w:val="16"/>
      <w:szCs w:val="16"/>
    </w:rPr>
  </w:style>
  <w:style w:type="paragraph" w:styleId="CommentText">
    <w:name w:val="annotation text"/>
    <w:basedOn w:val="Normal"/>
    <w:link w:val="CommentTextChar"/>
    <w:uiPriority w:val="99"/>
    <w:semiHidden/>
    <w:unhideWhenUsed/>
    <w:rsid w:val="00DE4674"/>
    <w:rPr>
      <w:sz w:val="20"/>
    </w:rPr>
  </w:style>
  <w:style w:type="character" w:customStyle="1" w:styleId="CommentTextChar">
    <w:name w:val="Comment Text Char"/>
    <w:basedOn w:val="DefaultParagraphFont"/>
    <w:link w:val="CommentText"/>
    <w:uiPriority w:val="99"/>
    <w:semiHidden/>
    <w:rsid w:val="00DE4674"/>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E4674"/>
    <w:rPr>
      <w:b/>
      <w:bCs/>
    </w:rPr>
  </w:style>
  <w:style w:type="character" w:customStyle="1" w:styleId="CommentSubjectChar">
    <w:name w:val="Comment Subject Char"/>
    <w:basedOn w:val="CommentTextChar"/>
    <w:link w:val="CommentSubject"/>
    <w:uiPriority w:val="99"/>
    <w:semiHidden/>
    <w:rsid w:val="00DE4674"/>
    <w:rPr>
      <w:rFonts w:ascii="Times New Roman" w:eastAsia="Times New Roman" w:hAnsi="Times New Roman" w:cs="Times New Roman"/>
      <w:b/>
      <w:bCs/>
      <w:snapToGrid w:val="0"/>
      <w:kern w:val="28"/>
      <w:sz w:val="20"/>
      <w:szCs w:val="20"/>
    </w:rPr>
  </w:style>
  <w:style w:type="paragraph" w:styleId="BalloonText">
    <w:name w:val="Balloon Text"/>
    <w:basedOn w:val="Normal"/>
    <w:link w:val="BalloonTextChar"/>
    <w:uiPriority w:val="99"/>
    <w:semiHidden/>
    <w:unhideWhenUsed/>
    <w:rsid w:val="00DE4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674"/>
    <w:rPr>
      <w:rFonts w:ascii="Segoe UI" w:eastAsia="Times New Roman" w:hAnsi="Segoe UI" w:cs="Segoe UI"/>
      <w:snapToGrid w:val="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74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5EFD8-34AC-4D3D-9CDE-2FC77598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Saviola</dc:creator>
  <cp:keywords/>
  <dc:description/>
  <cp:lastModifiedBy>Cathy Williams</cp:lastModifiedBy>
  <cp:revision>4</cp:revision>
  <cp:lastPrinted>2016-06-06T19:32:00Z</cp:lastPrinted>
  <dcterms:created xsi:type="dcterms:W3CDTF">2016-06-14T12:24:00Z</dcterms:created>
  <dcterms:modified xsi:type="dcterms:W3CDTF">2016-06-14T17:52:00Z</dcterms:modified>
</cp:coreProperties>
</file>