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39EAA"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1E3A9FE6"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4A15009D"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22C55A82"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082DEE0B"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6511D40A"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78007EBD"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460B0335"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2F86ED7C"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665170BB"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p>
    <w:p w14:paraId="5D5EA919" w14:textId="312FD48B" w:rsidR="0013113B" w:rsidRDefault="00D362A9" w:rsidP="00961860">
      <w:pPr>
        <w:pStyle w:val="Standard"/>
        <w:tabs>
          <w:tab w:val="left" w:pos="-720"/>
          <w:tab w:val="left" w:pos="0"/>
          <w:tab w:val="left" w:pos="720"/>
          <w:tab w:val="left" w:pos="1440"/>
          <w:tab w:val="left" w:pos="2160"/>
          <w:tab w:val="left" w:pos="2880"/>
          <w:tab w:val="left" w:pos="3600"/>
          <w:tab w:val="left" w:pos="4320"/>
        </w:tabs>
        <w:jc w:val="center"/>
      </w:pPr>
      <w:r>
        <w:t xml:space="preserve">Final </w:t>
      </w:r>
      <w:r w:rsidR="0013113B">
        <w:t>Supporting Statement</w:t>
      </w:r>
    </w:p>
    <w:p w14:paraId="138A04E4"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r>
        <w:t>For</w:t>
      </w:r>
    </w:p>
    <w:p w14:paraId="30EA6C61" w14:textId="77777777" w:rsidR="00962E45" w:rsidRDefault="0013113B" w:rsidP="00961860">
      <w:pPr>
        <w:pStyle w:val="Standard"/>
        <w:tabs>
          <w:tab w:val="left" w:pos="-720"/>
          <w:tab w:val="left" w:pos="0"/>
          <w:tab w:val="left" w:pos="720"/>
          <w:tab w:val="left" w:pos="1440"/>
          <w:tab w:val="left" w:pos="2160"/>
          <w:tab w:val="left" w:pos="2880"/>
          <w:tab w:val="left" w:pos="3600"/>
          <w:tab w:val="left" w:pos="4320"/>
        </w:tabs>
        <w:jc w:val="center"/>
      </w:pPr>
      <w:r>
        <w:t>Information Collection Request</w:t>
      </w:r>
    </w:p>
    <w:p w14:paraId="2C4C9F01" w14:textId="77777777" w:rsidR="00A55B2A" w:rsidRDefault="00A55B2A" w:rsidP="00961860">
      <w:pPr>
        <w:pStyle w:val="Standard"/>
        <w:tabs>
          <w:tab w:val="left" w:pos="-720"/>
          <w:tab w:val="left" w:pos="0"/>
          <w:tab w:val="left" w:pos="720"/>
          <w:tab w:val="left" w:pos="1440"/>
          <w:tab w:val="left" w:pos="2160"/>
          <w:tab w:val="left" w:pos="2880"/>
          <w:tab w:val="left" w:pos="3600"/>
          <w:tab w:val="left" w:pos="4320"/>
        </w:tabs>
        <w:jc w:val="center"/>
      </w:pPr>
      <w:r>
        <w:t>Cellulosic Production Volume</w:t>
      </w:r>
      <w:r w:rsidR="00980C3C">
        <w:t xml:space="preserve"> Projections</w:t>
      </w:r>
      <w:r w:rsidR="005A55AE">
        <w:t xml:space="preserve"> </w:t>
      </w:r>
      <w:r w:rsidR="002C5AE8">
        <w:t xml:space="preserve">and Efficient Producer Reporting </w:t>
      </w:r>
    </w:p>
    <w:p w14:paraId="127CB412" w14:textId="77777777" w:rsidR="0013113B" w:rsidRDefault="0013113B" w:rsidP="00961860">
      <w:pPr>
        <w:pStyle w:val="Standard"/>
        <w:tabs>
          <w:tab w:val="left" w:pos="-720"/>
          <w:tab w:val="left" w:pos="0"/>
          <w:tab w:val="left" w:pos="720"/>
          <w:tab w:val="left" w:pos="1440"/>
          <w:tab w:val="left" w:pos="2160"/>
          <w:tab w:val="left" w:pos="2880"/>
          <w:tab w:val="left" w:pos="3600"/>
          <w:tab w:val="left" w:pos="4320"/>
        </w:tabs>
        <w:jc w:val="center"/>
      </w:pPr>
      <w:r>
        <w:t xml:space="preserve">40 CFR Part 80, Subpart </w:t>
      </w:r>
      <w:r w:rsidR="00656495">
        <w:t>M</w:t>
      </w:r>
    </w:p>
    <w:p w14:paraId="5514CDAF" w14:textId="77777777" w:rsidR="00962E45" w:rsidRDefault="00962E45" w:rsidP="00961860">
      <w:pPr>
        <w:pStyle w:val="Standard"/>
        <w:tabs>
          <w:tab w:val="left" w:pos="-720"/>
          <w:tab w:val="left" w:pos="0"/>
          <w:tab w:val="left" w:pos="720"/>
          <w:tab w:val="left" w:pos="1440"/>
          <w:tab w:val="left" w:pos="2160"/>
          <w:tab w:val="left" w:pos="2880"/>
          <w:tab w:val="left" w:pos="3600"/>
          <w:tab w:val="left" w:pos="4320"/>
        </w:tabs>
        <w:jc w:val="center"/>
      </w:pPr>
    </w:p>
    <w:p w14:paraId="1A23A6CA" w14:textId="77777777" w:rsidR="0013113B" w:rsidRDefault="0013113B">
      <w:pPr>
        <w:widowControl/>
        <w:suppressAutoHyphens w:val="0"/>
        <w:autoSpaceDN/>
        <w:textAlignment w:val="auto"/>
      </w:pPr>
    </w:p>
    <w:p w14:paraId="64C262A8" w14:textId="6C2AB63C" w:rsidR="0013113B" w:rsidRDefault="0013113B" w:rsidP="0013113B">
      <w:pPr>
        <w:widowControl/>
        <w:suppressAutoHyphens w:val="0"/>
        <w:autoSpaceDN/>
        <w:jc w:val="center"/>
        <w:textAlignment w:val="auto"/>
      </w:pPr>
      <w:r>
        <w:t xml:space="preserve">EPA ICR </w:t>
      </w:r>
      <w:r w:rsidR="00EB4892">
        <w:t>2551</w:t>
      </w:r>
      <w:r w:rsidR="00FC3BFB" w:rsidRPr="00B04E6B">
        <w:t>.01</w:t>
      </w:r>
    </w:p>
    <w:p w14:paraId="104FA79E" w14:textId="77777777" w:rsidR="0013113B" w:rsidRDefault="0013113B" w:rsidP="0013113B">
      <w:pPr>
        <w:widowControl/>
        <w:suppressAutoHyphens w:val="0"/>
        <w:autoSpaceDN/>
        <w:jc w:val="center"/>
        <w:textAlignment w:val="auto"/>
      </w:pPr>
    </w:p>
    <w:p w14:paraId="5ADE110B" w14:textId="77777777" w:rsidR="0013113B" w:rsidRDefault="0013113B" w:rsidP="0013113B">
      <w:pPr>
        <w:widowControl/>
        <w:suppressAutoHyphens w:val="0"/>
        <w:autoSpaceDN/>
        <w:jc w:val="center"/>
        <w:textAlignment w:val="auto"/>
      </w:pPr>
    </w:p>
    <w:p w14:paraId="1440B920" w14:textId="77777777" w:rsidR="0013113B" w:rsidRDefault="0013113B" w:rsidP="0013113B">
      <w:pPr>
        <w:widowControl/>
        <w:suppressAutoHyphens w:val="0"/>
        <w:autoSpaceDN/>
        <w:jc w:val="center"/>
        <w:textAlignment w:val="auto"/>
      </w:pPr>
    </w:p>
    <w:p w14:paraId="120ACA35" w14:textId="77777777" w:rsidR="0013113B" w:rsidRDefault="0013113B" w:rsidP="0013113B">
      <w:pPr>
        <w:widowControl/>
        <w:suppressAutoHyphens w:val="0"/>
        <w:autoSpaceDN/>
        <w:jc w:val="center"/>
        <w:textAlignment w:val="auto"/>
      </w:pPr>
      <w:r>
        <w:t>Office of Transportation and Air Quality</w:t>
      </w:r>
    </w:p>
    <w:p w14:paraId="42FC14F7" w14:textId="77777777" w:rsidR="00FA775F" w:rsidRDefault="0013113B" w:rsidP="0013113B">
      <w:pPr>
        <w:widowControl/>
        <w:suppressAutoHyphens w:val="0"/>
        <w:autoSpaceDN/>
        <w:jc w:val="center"/>
        <w:textAlignment w:val="auto"/>
      </w:pPr>
      <w:r>
        <w:t>U.S. Environmental Protection Agency</w:t>
      </w:r>
    </w:p>
    <w:p w14:paraId="5BBD2D08" w14:textId="77777777" w:rsidR="00A77694" w:rsidRDefault="00A77694" w:rsidP="00961860">
      <w:pPr>
        <w:pStyle w:val="Standard"/>
        <w:tabs>
          <w:tab w:val="left" w:pos="-720"/>
          <w:tab w:val="left" w:pos="0"/>
          <w:tab w:val="left" w:pos="720"/>
          <w:tab w:val="left" w:pos="1440"/>
          <w:tab w:val="left" w:pos="2160"/>
          <w:tab w:val="left" w:pos="2880"/>
          <w:tab w:val="left" w:pos="3600"/>
          <w:tab w:val="left" w:pos="4320"/>
        </w:tabs>
        <w:jc w:val="center"/>
      </w:pPr>
    </w:p>
    <w:p w14:paraId="03757BEE" w14:textId="77777777" w:rsidR="00856B5E" w:rsidRDefault="00A77694">
      <w:pPr>
        <w:pStyle w:val="Standard"/>
      </w:pPr>
      <w:r>
        <w:tab/>
      </w:r>
    </w:p>
    <w:p w14:paraId="4D1FFBC7" w14:textId="77777777" w:rsidR="00856B5E" w:rsidRDefault="00856B5E">
      <w:pPr>
        <w:widowControl/>
        <w:suppressAutoHyphens w:val="0"/>
        <w:autoSpaceDN/>
        <w:textAlignment w:val="auto"/>
      </w:pPr>
      <w:r>
        <w:br w:type="page"/>
      </w:r>
    </w:p>
    <w:p w14:paraId="5F0AE279" w14:textId="77777777" w:rsidR="00962E45" w:rsidRDefault="00962E45">
      <w:pPr>
        <w:pStyle w:val="Standard"/>
      </w:pPr>
    </w:p>
    <w:p w14:paraId="3F9F2C5A" w14:textId="77777777" w:rsidR="00D528B6" w:rsidRDefault="00D528B6">
      <w:pPr>
        <w:pStyle w:val="Standard"/>
      </w:pPr>
    </w:p>
    <w:p w14:paraId="58753DDA" w14:textId="77777777" w:rsidR="00962E45" w:rsidRDefault="00962E45">
      <w:pPr>
        <w:pStyle w:val="Standard"/>
      </w:pPr>
      <w:r>
        <w:t>A.</w:t>
      </w:r>
      <w:r>
        <w:tab/>
        <w:t>JUSTIFICATION</w:t>
      </w:r>
    </w:p>
    <w:p w14:paraId="24D2C723" w14:textId="77777777" w:rsidR="00962E45" w:rsidRDefault="00962E45">
      <w:pPr>
        <w:pStyle w:val="Standard"/>
      </w:pPr>
    </w:p>
    <w:p w14:paraId="452E559E" w14:textId="77777777" w:rsidR="00962E45" w:rsidRDefault="00962E45">
      <w:pPr>
        <w:pStyle w:val="Standard"/>
      </w:pPr>
      <w:r>
        <w:t>1.</w:t>
      </w:r>
      <w:r>
        <w:tab/>
      </w:r>
      <w:r>
        <w:rPr>
          <w:u w:val="single"/>
        </w:rPr>
        <w:t>Identification of the Information Collection</w:t>
      </w:r>
    </w:p>
    <w:p w14:paraId="1D976851" w14:textId="77777777" w:rsidR="00962E45" w:rsidRDefault="00962E45">
      <w:pPr>
        <w:pStyle w:val="Standard"/>
      </w:pPr>
    </w:p>
    <w:p w14:paraId="54899DB4" w14:textId="71A5ABC9" w:rsidR="00962E45" w:rsidRPr="00D61B7F" w:rsidRDefault="00962E45" w:rsidP="00A55B2A">
      <w:pPr>
        <w:pStyle w:val="Heading3"/>
      </w:pPr>
      <w:r w:rsidRPr="00D61B7F">
        <w:t>a.</w:t>
      </w:r>
      <w:r w:rsidRPr="00D61B7F">
        <w:tab/>
      </w:r>
      <w:r w:rsidRPr="001A055E">
        <w:t>Title:</w:t>
      </w:r>
      <w:r w:rsidRPr="00D61B7F">
        <w:t xml:space="preserve">  </w:t>
      </w:r>
      <w:r w:rsidR="00856B5E">
        <w:t xml:space="preserve">Information Collection Request: </w:t>
      </w:r>
      <w:r w:rsidR="001A055E">
        <w:t>Cellulosic Production Volume Projections and Efficient Producer Reporting</w:t>
      </w:r>
      <w:r w:rsidR="00696B54">
        <w:t>;</w:t>
      </w:r>
      <w:r>
        <w:t xml:space="preserve"> </w:t>
      </w:r>
      <w:r w:rsidR="00D84D2B">
        <w:t>Information Collection Request (</w:t>
      </w:r>
      <w:r>
        <w:t>ICR</w:t>
      </w:r>
      <w:r w:rsidR="00D84D2B">
        <w:t>)</w:t>
      </w:r>
      <w:r>
        <w:t xml:space="preserve"> No.</w:t>
      </w:r>
      <w:r w:rsidR="00D84D2B">
        <w:t xml:space="preserve"> </w:t>
      </w:r>
      <w:r w:rsidR="00EB4892">
        <w:t>2551</w:t>
      </w:r>
      <w:bookmarkStart w:id="0" w:name="_GoBack"/>
      <w:bookmarkEnd w:id="0"/>
      <w:r w:rsidR="00FC3BFB" w:rsidRPr="00334766">
        <w:t>.01</w:t>
      </w:r>
      <w:r w:rsidRPr="00D61B7F">
        <w:t>,</w:t>
      </w:r>
      <w:r>
        <w:t xml:space="preserve"> O</w:t>
      </w:r>
      <w:r w:rsidRPr="00D61B7F">
        <w:t>MB Control Number</w:t>
      </w:r>
      <w:r>
        <w:t xml:space="preserve"> 2060-NEW</w:t>
      </w:r>
      <w:r w:rsidRPr="00D61B7F">
        <w:t>.</w:t>
      </w:r>
    </w:p>
    <w:p w14:paraId="3E73D7A9" w14:textId="77777777" w:rsidR="00962E45" w:rsidRDefault="00962E45">
      <w:pPr>
        <w:pStyle w:val="Standard"/>
      </w:pPr>
      <w:r>
        <w:t xml:space="preserve"> </w:t>
      </w:r>
    </w:p>
    <w:p w14:paraId="7D253CFE" w14:textId="77777777" w:rsidR="00962E45" w:rsidRDefault="00962E45">
      <w:pPr>
        <w:pStyle w:val="Standard"/>
      </w:pPr>
      <w:r>
        <w:t xml:space="preserve">b. </w:t>
      </w:r>
      <w:r>
        <w:tab/>
        <w:t>Short characterization:</w:t>
      </w:r>
    </w:p>
    <w:p w14:paraId="18A1CADF" w14:textId="77777777" w:rsidR="00962E45" w:rsidRDefault="00962E45">
      <w:pPr>
        <w:pStyle w:val="Standard"/>
      </w:pPr>
      <w:r>
        <w:t xml:space="preserve"> </w:t>
      </w:r>
    </w:p>
    <w:p w14:paraId="11F08463" w14:textId="258CC7EF" w:rsidR="00F72047" w:rsidRDefault="00D84D2B" w:rsidP="00F72047">
      <w:pPr>
        <w:pStyle w:val="Standard"/>
        <w:rPr>
          <w:rFonts w:cs="Times New Roman"/>
        </w:rPr>
      </w:pPr>
      <w:r>
        <w:tab/>
      </w:r>
      <w:r w:rsidR="00F72047" w:rsidRPr="0037793A">
        <w:rPr>
          <w:rFonts w:eastAsia="Arial Unicode MS" w:cs="Times New Roman"/>
          <w:color w:val="000000"/>
        </w:rPr>
        <w:t>Section 1501 of the Energy Policy Act of 2005 (the Act) describes the renewable fuel program, also known as the Renewable Fuel Standard (RFS) program</w:t>
      </w:r>
      <w:r w:rsidR="00F72047" w:rsidRPr="0037793A">
        <w:rPr>
          <w:rFonts w:cs="Times New Roman"/>
        </w:rPr>
        <w:t xml:space="preserve"> or RFS1</w:t>
      </w:r>
      <w:r w:rsidR="00F72047" w:rsidRPr="0037793A">
        <w:rPr>
          <w:rFonts w:eastAsia="Arial Unicode MS" w:cs="Times New Roman"/>
          <w:color w:val="000000"/>
        </w:rPr>
        <w:t xml:space="preserve">. </w:t>
      </w:r>
      <w:r w:rsidR="00CF2E54">
        <w:rPr>
          <w:rFonts w:eastAsia="Arial Unicode MS" w:cs="Times New Roman"/>
          <w:color w:val="000000"/>
        </w:rPr>
        <w:t xml:space="preserve"> </w:t>
      </w:r>
      <w:r w:rsidR="00F72047" w:rsidRPr="0037793A">
        <w:rPr>
          <w:rFonts w:eastAsia="Arial Unicode MS" w:cs="Times New Roman"/>
          <w:color w:val="000000"/>
        </w:rPr>
        <w:t>This provision was added to the Clean Air Act as Section 211(o), and required EPA to establish a program to ensure that U.S. gasoline contains specific volumes of renewable fuel for each calendar year 2006 through 2012</w:t>
      </w:r>
      <w:r w:rsidR="00F72047">
        <w:t xml:space="preserve">. </w:t>
      </w:r>
      <w:r w:rsidR="00F72047" w:rsidRPr="00E415F0">
        <w:rPr>
          <w:rFonts w:cs="Times New Roman"/>
        </w:rPr>
        <w:t xml:space="preserve"> The program started in 2006 and was covered by EPA ICR No. 2242.02, OMB Control Number 2060-0600 which is now discontinued</w:t>
      </w:r>
      <w:r w:rsidR="00F72047">
        <w:rPr>
          <w:rFonts w:cs="Times New Roman"/>
        </w:rPr>
        <w:t xml:space="preserve"> due to the expansion of the RFS1 program </w:t>
      </w:r>
      <w:r w:rsidR="00BD67C1">
        <w:rPr>
          <w:rFonts w:cs="Times New Roman"/>
        </w:rPr>
        <w:t xml:space="preserve">under the Energy Independence and Security Act, </w:t>
      </w:r>
      <w:r w:rsidR="00F72047">
        <w:rPr>
          <w:rFonts w:cs="Times New Roman"/>
        </w:rPr>
        <w:t xml:space="preserve">now referenced as RFS2 and covered under </w:t>
      </w:r>
      <w:r w:rsidR="00A74E45">
        <w:rPr>
          <w:rFonts w:cs="Times New Roman"/>
        </w:rPr>
        <w:t xml:space="preserve">EPA </w:t>
      </w:r>
      <w:r w:rsidR="00F72047">
        <w:rPr>
          <w:rFonts w:cs="Times New Roman"/>
        </w:rPr>
        <w:t>ICR</w:t>
      </w:r>
      <w:r w:rsidR="00A74E45">
        <w:rPr>
          <w:rFonts w:cs="Times New Roman"/>
        </w:rPr>
        <w:t xml:space="preserve"> Number 2380.02</w:t>
      </w:r>
      <w:r w:rsidR="00F72047">
        <w:rPr>
          <w:rFonts w:cs="Times New Roman"/>
        </w:rPr>
        <w:t xml:space="preserve"> and OMB </w:t>
      </w:r>
      <w:r w:rsidR="00A74E45">
        <w:rPr>
          <w:rFonts w:cs="Times New Roman"/>
        </w:rPr>
        <w:t>Control N</w:t>
      </w:r>
      <w:r w:rsidR="00F72047">
        <w:rPr>
          <w:rFonts w:cs="Times New Roman"/>
        </w:rPr>
        <w:t>umber</w:t>
      </w:r>
      <w:r w:rsidR="00A74E45">
        <w:rPr>
          <w:rFonts w:cs="Times New Roman"/>
        </w:rPr>
        <w:t xml:space="preserve"> 2060-0637</w:t>
      </w:r>
      <w:r w:rsidR="00146308">
        <w:rPr>
          <w:rFonts w:cs="Times New Roman"/>
        </w:rPr>
        <w:t xml:space="preserve"> and EPA ICR Number 2333.03 and OMB Control Number 2060-0640</w:t>
      </w:r>
      <w:r w:rsidR="00F72047">
        <w:rPr>
          <w:rFonts w:cs="Times New Roman"/>
        </w:rPr>
        <w:t xml:space="preserve">.  </w:t>
      </w:r>
    </w:p>
    <w:p w14:paraId="5313865B" w14:textId="77777777" w:rsidR="00F72047" w:rsidRDefault="00F72047" w:rsidP="00F72047">
      <w:pPr>
        <w:spacing w:line="300" w:lineRule="atLeast"/>
        <w:rPr>
          <w:rFonts w:cs="Times New Roman"/>
        </w:rPr>
      </w:pPr>
    </w:p>
    <w:p w14:paraId="2F163A56" w14:textId="77777777" w:rsidR="00C61DAC" w:rsidRDefault="00F72047" w:rsidP="00BA724E">
      <w:pPr>
        <w:rPr>
          <w:rFonts w:eastAsia="Arial Unicode MS" w:cs="Times New Roman"/>
          <w:color w:val="000000"/>
          <w:kern w:val="0"/>
          <w:lang w:eastAsia="en-US" w:bidi="ar-SA"/>
        </w:rPr>
      </w:pPr>
      <w:r>
        <w:rPr>
          <w:rFonts w:cs="Times New Roman"/>
        </w:rPr>
        <w:tab/>
      </w:r>
      <w:r>
        <w:rPr>
          <w:rFonts w:eastAsia="Arial Unicode MS" w:cs="Times New Roman"/>
          <w:color w:val="000000"/>
          <w:kern w:val="0"/>
          <w:lang w:eastAsia="en-US" w:bidi="ar-SA"/>
        </w:rPr>
        <w:t>Among other obligations</w:t>
      </w:r>
      <w:r w:rsidR="00EC2536">
        <w:rPr>
          <w:rFonts w:eastAsia="Arial Unicode MS" w:cs="Times New Roman"/>
          <w:color w:val="000000"/>
          <w:kern w:val="0"/>
          <w:lang w:eastAsia="en-US" w:bidi="ar-SA"/>
        </w:rPr>
        <w:t xml:space="preserve"> under the RFS program</w:t>
      </w:r>
      <w:r>
        <w:rPr>
          <w:rFonts w:eastAsia="Arial Unicode MS" w:cs="Times New Roman"/>
          <w:color w:val="000000"/>
          <w:kern w:val="0"/>
          <w:lang w:eastAsia="en-US" w:bidi="ar-SA"/>
        </w:rPr>
        <w:t>, t</w:t>
      </w:r>
      <w:r w:rsidR="008B6323">
        <w:rPr>
          <w:rFonts w:eastAsia="Arial Unicode MS" w:cs="Times New Roman"/>
          <w:color w:val="000000"/>
          <w:kern w:val="0"/>
          <w:lang w:eastAsia="en-US" w:bidi="ar-SA"/>
        </w:rPr>
        <w:t>he Agency needs</w:t>
      </w:r>
      <w:r w:rsidRPr="00E415F0">
        <w:rPr>
          <w:rFonts w:eastAsia="Arial Unicode MS" w:cs="Times New Roman"/>
          <w:color w:val="000000"/>
          <w:kern w:val="0"/>
          <w:lang w:eastAsia="en-US" w:bidi="ar-SA"/>
        </w:rPr>
        <w:t xml:space="preserve"> to determine and publish the applicable renewa</w:t>
      </w:r>
      <w:r>
        <w:rPr>
          <w:rFonts w:eastAsia="Arial Unicode MS" w:cs="Times New Roman"/>
          <w:color w:val="000000"/>
          <w:kern w:val="0"/>
          <w:lang w:eastAsia="en-US" w:bidi="ar-SA"/>
        </w:rPr>
        <w:t xml:space="preserve">ble fuel standard for each year </w:t>
      </w:r>
      <w:r w:rsidRPr="00E415F0">
        <w:rPr>
          <w:rFonts w:eastAsia="Arial Unicode MS" w:cs="Times New Roman"/>
          <w:color w:val="000000"/>
          <w:kern w:val="0"/>
          <w:lang w:eastAsia="en-US" w:bidi="ar-SA"/>
        </w:rPr>
        <w:t xml:space="preserve">and </w:t>
      </w:r>
      <w:r w:rsidR="008B6323">
        <w:rPr>
          <w:rFonts w:eastAsia="Arial Unicode MS" w:cs="Times New Roman"/>
          <w:color w:val="000000"/>
          <w:kern w:val="0"/>
          <w:lang w:eastAsia="en-US" w:bidi="ar-SA"/>
        </w:rPr>
        <w:t>maintain</w:t>
      </w:r>
      <w:r w:rsidR="00EC2536">
        <w:rPr>
          <w:rFonts w:eastAsia="Arial Unicode MS" w:cs="Times New Roman"/>
          <w:color w:val="000000"/>
          <w:kern w:val="0"/>
          <w:lang w:eastAsia="en-US" w:bidi="ar-SA"/>
        </w:rPr>
        <w:t xml:space="preserve"> </w:t>
      </w:r>
      <w:r w:rsidR="008B6323">
        <w:rPr>
          <w:rFonts w:eastAsia="Arial Unicode MS" w:cs="Times New Roman"/>
          <w:color w:val="000000"/>
          <w:kern w:val="0"/>
          <w:lang w:eastAsia="en-US" w:bidi="ar-SA"/>
        </w:rPr>
        <w:t>a</w:t>
      </w:r>
      <w:r w:rsidR="00EC2536">
        <w:rPr>
          <w:rFonts w:eastAsia="Arial Unicode MS" w:cs="Times New Roman"/>
          <w:color w:val="000000"/>
          <w:kern w:val="0"/>
          <w:lang w:eastAsia="en-US" w:bidi="ar-SA"/>
        </w:rPr>
        <w:t xml:space="preserve"> compliance program including recordkeeping and reporting requirements</w:t>
      </w:r>
      <w:r w:rsidRPr="00E415F0">
        <w:rPr>
          <w:rFonts w:eastAsia="Arial Unicode MS" w:cs="Times New Roman"/>
          <w:color w:val="000000"/>
          <w:kern w:val="0"/>
          <w:lang w:eastAsia="en-US" w:bidi="ar-SA"/>
        </w:rPr>
        <w:t>.</w:t>
      </w:r>
      <w:r w:rsidR="00BA724E">
        <w:rPr>
          <w:rFonts w:eastAsia="Arial Unicode MS" w:cs="Times New Roman"/>
          <w:color w:val="000000"/>
          <w:kern w:val="0"/>
          <w:lang w:eastAsia="en-US" w:bidi="ar-SA"/>
        </w:rPr>
        <w:t xml:space="preserve"> </w:t>
      </w:r>
      <w:r w:rsidR="001A055E">
        <w:rPr>
          <w:rFonts w:eastAsia="Arial Unicode MS" w:cs="Times New Roman"/>
          <w:color w:val="000000"/>
          <w:kern w:val="0"/>
          <w:lang w:eastAsia="en-US" w:bidi="ar-SA"/>
        </w:rPr>
        <w:t xml:space="preserve"> </w:t>
      </w:r>
      <w:r w:rsidR="00BA724E">
        <w:rPr>
          <w:rFonts w:eastAsia="Arial Unicode MS" w:cs="Times New Roman"/>
          <w:color w:val="000000"/>
          <w:kern w:val="0"/>
          <w:lang w:eastAsia="en-US" w:bidi="ar-SA"/>
        </w:rPr>
        <w:t xml:space="preserve">This supporting statement describes new information collection instruments designed to </w:t>
      </w:r>
      <w:r w:rsidR="00B96FA1">
        <w:rPr>
          <w:rFonts w:eastAsia="Arial Unicode MS" w:cs="Times New Roman"/>
          <w:color w:val="000000"/>
          <w:kern w:val="0"/>
          <w:lang w:eastAsia="en-US" w:bidi="ar-SA"/>
        </w:rPr>
        <w:t xml:space="preserve">help </w:t>
      </w:r>
      <w:r w:rsidR="00A74E45">
        <w:rPr>
          <w:rFonts w:eastAsia="Arial Unicode MS" w:cs="Times New Roman"/>
          <w:color w:val="000000"/>
          <w:kern w:val="0"/>
          <w:lang w:eastAsia="en-US" w:bidi="ar-SA"/>
        </w:rPr>
        <w:t xml:space="preserve">implement the RFS program by </w:t>
      </w:r>
      <w:r w:rsidR="00C61DAC">
        <w:rPr>
          <w:rFonts w:eastAsia="Arial Unicode MS" w:cs="Times New Roman"/>
          <w:color w:val="000000"/>
          <w:kern w:val="0"/>
          <w:lang w:eastAsia="en-US" w:bidi="ar-SA"/>
        </w:rPr>
        <w:t>project</w:t>
      </w:r>
      <w:r w:rsidR="00A74E45">
        <w:rPr>
          <w:rFonts w:eastAsia="Arial Unicode MS" w:cs="Times New Roman"/>
          <w:color w:val="000000"/>
          <w:kern w:val="0"/>
          <w:lang w:eastAsia="en-US" w:bidi="ar-SA"/>
        </w:rPr>
        <w:t>ing</w:t>
      </w:r>
      <w:r w:rsidR="00C61DAC">
        <w:rPr>
          <w:rFonts w:eastAsia="Arial Unicode MS" w:cs="Times New Roman"/>
          <w:color w:val="000000"/>
          <w:kern w:val="0"/>
          <w:lang w:eastAsia="en-US" w:bidi="ar-SA"/>
        </w:rPr>
        <w:t xml:space="preserve"> cellulosic production volumes for the coming year and </w:t>
      </w:r>
      <w:r w:rsidR="00BA724E">
        <w:rPr>
          <w:rFonts w:eastAsia="Arial Unicode MS" w:cs="Times New Roman"/>
          <w:color w:val="000000"/>
          <w:kern w:val="0"/>
          <w:lang w:eastAsia="en-US" w:bidi="ar-SA"/>
        </w:rPr>
        <w:t>facilitat</w:t>
      </w:r>
      <w:r w:rsidR="00A74E45">
        <w:rPr>
          <w:rFonts w:eastAsia="Arial Unicode MS" w:cs="Times New Roman"/>
          <w:color w:val="000000"/>
          <w:kern w:val="0"/>
          <w:lang w:eastAsia="en-US" w:bidi="ar-SA"/>
        </w:rPr>
        <w:t>ing</w:t>
      </w:r>
      <w:r w:rsidR="00BA724E">
        <w:rPr>
          <w:rFonts w:eastAsia="Arial Unicode MS" w:cs="Times New Roman"/>
          <w:color w:val="000000"/>
          <w:kern w:val="0"/>
          <w:lang w:eastAsia="en-US" w:bidi="ar-SA"/>
        </w:rPr>
        <w:t xml:space="preserve"> compliance with existing statutory obligations</w:t>
      </w:r>
      <w:r w:rsidR="00C61DAC">
        <w:rPr>
          <w:rFonts w:eastAsia="Arial Unicode MS" w:cs="Times New Roman"/>
          <w:color w:val="000000"/>
          <w:kern w:val="0"/>
          <w:lang w:eastAsia="en-US" w:bidi="ar-SA"/>
        </w:rPr>
        <w:t>.</w:t>
      </w:r>
    </w:p>
    <w:p w14:paraId="02C8B097" w14:textId="77777777" w:rsidR="00BA724E" w:rsidRDefault="00BA724E" w:rsidP="00BA724E">
      <w:pPr>
        <w:rPr>
          <w:rFonts w:eastAsia="Arial Unicode MS" w:cs="Times New Roman"/>
          <w:color w:val="000000"/>
          <w:kern w:val="0"/>
          <w:lang w:eastAsia="en-US" w:bidi="ar-SA"/>
        </w:rPr>
      </w:pPr>
    </w:p>
    <w:p w14:paraId="682B3EEF" w14:textId="77777777" w:rsidR="00962E45" w:rsidRDefault="00962E45">
      <w:pPr>
        <w:pStyle w:val="Standard"/>
      </w:pPr>
      <w:r>
        <w:t>2</w:t>
      </w:r>
      <w:r w:rsidR="00D84D2B">
        <w:t xml:space="preserve">. </w:t>
      </w:r>
      <w:r>
        <w:rPr>
          <w:u w:val="single"/>
        </w:rPr>
        <w:t>Need For, and Use of, the Collection</w:t>
      </w:r>
    </w:p>
    <w:p w14:paraId="5E1A4BDD" w14:textId="77777777" w:rsidR="00962E45" w:rsidRDefault="00962E45" w:rsidP="00962E45">
      <w:pPr>
        <w:pStyle w:val="Standard"/>
      </w:pPr>
    </w:p>
    <w:p w14:paraId="31DD437D" w14:textId="77777777" w:rsidR="00962E45" w:rsidRDefault="00962E45" w:rsidP="00962E45">
      <w:pPr>
        <w:pStyle w:val="Standard"/>
      </w:pPr>
      <w:r>
        <w:tab/>
        <w:t>a.</w:t>
      </w:r>
      <w:r>
        <w:tab/>
        <w:t>Authority for the Collection</w:t>
      </w:r>
    </w:p>
    <w:p w14:paraId="1072E2F6" w14:textId="77777777" w:rsidR="00962E45" w:rsidRDefault="00962E45">
      <w:pPr>
        <w:pStyle w:val="Standard"/>
        <w:ind w:left="720"/>
      </w:pPr>
    </w:p>
    <w:p w14:paraId="2279B4F6" w14:textId="77777777" w:rsidR="00962E45" w:rsidRDefault="00962E45">
      <w:pPr>
        <w:pStyle w:val="Standard"/>
      </w:pPr>
      <w:r>
        <w:rPr>
          <w:lang w:val="en-CA"/>
        </w:rPr>
        <w:tab/>
      </w:r>
      <w:r>
        <w:t>Sections 114 and 208 of the Clean Air Act (CAA), 42 U.S.C. §§ 7414 and 7542, authorize EPA to require recordkeeping and reporting regarding enforcement of the provisions of Title II of the CAA</w:t>
      </w:r>
      <w:r w:rsidR="00D84D2B">
        <w:t xml:space="preserve">. </w:t>
      </w:r>
    </w:p>
    <w:p w14:paraId="322000AF" w14:textId="77777777" w:rsidR="00962E45" w:rsidRDefault="00962E45">
      <w:pPr>
        <w:pStyle w:val="Standard"/>
      </w:pPr>
      <w:r>
        <w:tab/>
      </w:r>
    </w:p>
    <w:p w14:paraId="10C6FFB6" w14:textId="77777777" w:rsidR="00962E45" w:rsidRDefault="00962E45">
      <w:pPr>
        <w:pStyle w:val="Standard"/>
      </w:pPr>
      <w:r>
        <w:tab/>
        <w:t xml:space="preserve">b. </w:t>
      </w:r>
      <w:r>
        <w:tab/>
        <w:t>Practical Utility/Uses of the Data</w:t>
      </w:r>
    </w:p>
    <w:p w14:paraId="3D4C9D31" w14:textId="77777777" w:rsidR="00962E45" w:rsidRDefault="00962E45" w:rsidP="009C2075">
      <w:pPr>
        <w:pStyle w:val="Standard"/>
      </w:pPr>
    </w:p>
    <w:p w14:paraId="3F3743DB" w14:textId="77777777" w:rsidR="00962E45" w:rsidRDefault="00962E45">
      <w:pPr>
        <w:pStyle w:val="Standard"/>
      </w:pPr>
      <w:r>
        <w:tab/>
      </w:r>
      <w:r w:rsidR="008B6323">
        <w:t xml:space="preserve">These instruments will facilitate the collection of information associated with </w:t>
      </w:r>
      <w:r w:rsidR="00BA6E69">
        <w:t xml:space="preserve">existing reporting requirements and </w:t>
      </w:r>
      <w:r w:rsidR="00980C3C">
        <w:t>project</w:t>
      </w:r>
      <w:r w:rsidR="004A5039">
        <w:t>ing</w:t>
      </w:r>
      <w:r w:rsidR="00980C3C">
        <w:t xml:space="preserve"> </w:t>
      </w:r>
      <w:r w:rsidR="00BA6E69">
        <w:t>cellulosic production volumes</w:t>
      </w:r>
      <w:r w:rsidR="008B6323">
        <w:t>.</w:t>
      </w:r>
      <w:r w:rsidR="00CC4975">
        <w:t xml:space="preserve"> The data will be used to evaluate compliance with statutory requirements and </w:t>
      </w:r>
      <w:r w:rsidR="00980C3C">
        <w:t>to provide information to inform EPA’s projection of</w:t>
      </w:r>
      <w:r w:rsidR="00CC4975">
        <w:t xml:space="preserve"> cellulosic production volumes.</w:t>
      </w:r>
    </w:p>
    <w:p w14:paraId="46330758" w14:textId="77777777" w:rsidR="008B6323" w:rsidRDefault="008B6323">
      <w:pPr>
        <w:pStyle w:val="Standard"/>
      </w:pPr>
    </w:p>
    <w:p w14:paraId="2EAD8C31" w14:textId="77777777" w:rsidR="00962E45" w:rsidRDefault="00962E45">
      <w:pPr>
        <w:pStyle w:val="Standard"/>
      </w:pPr>
      <w:r>
        <w:t>3</w:t>
      </w:r>
      <w:r w:rsidR="00D84D2B">
        <w:t xml:space="preserve">. </w:t>
      </w:r>
      <w:r>
        <w:rPr>
          <w:u w:val="single"/>
        </w:rPr>
        <w:t>Non-duplication, Consultation, and other Collection Criteria</w:t>
      </w:r>
    </w:p>
    <w:p w14:paraId="52E809BE" w14:textId="77777777" w:rsidR="00962E45" w:rsidRDefault="00962E45">
      <w:pPr>
        <w:pStyle w:val="Standard"/>
        <w:rPr>
          <w:u w:val="single"/>
        </w:rPr>
      </w:pPr>
    </w:p>
    <w:p w14:paraId="2ACAA4FA" w14:textId="77777777" w:rsidR="00962E45" w:rsidRDefault="00962E45">
      <w:pPr>
        <w:pStyle w:val="Standard"/>
      </w:pPr>
      <w:r>
        <w:lastRenderedPageBreak/>
        <w:tab/>
        <w:t xml:space="preserve">a. </w:t>
      </w:r>
      <w:r>
        <w:tab/>
        <w:t>Non-duplication</w:t>
      </w:r>
    </w:p>
    <w:p w14:paraId="3B27D453" w14:textId="77777777" w:rsidR="00962E45" w:rsidRDefault="00962E45">
      <w:pPr>
        <w:pStyle w:val="Standard"/>
      </w:pPr>
    </w:p>
    <w:p w14:paraId="02095543" w14:textId="77777777" w:rsidR="00962E45" w:rsidRDefault="00962E45">
      <w:pPr>
        <w:pStyle w:val="Standard"/>
      </w:pPr>
      <w:r>
        <w:tab/>
        <w:t xml:space="preserve">Efforts have been made to eliminate duplication in this information collection. </w:t>
      </w:r>
      <w:r w:rsidR="001A055E">
        <w:t xml:space="preserve"> </w:t>
      </w:r>
      <w:r>
        <w:t>The information is not considered general in nature and</w:t>
      </w:r>
      <w:r w:rsidR="00D528B6">
        <w:t xml:space="preserve"> is</w:t>
      </w:r>
      <w:r>
        <w:t xml:space="preserve"> not found in other databases, directories or sources. </w:t>
      </w:r>
      <w:r w:rsidR="001A055E">
        <w:t xml:space="preserve"> </w:t>
      </w:r>
      <w:r>
        <w:t>The data submitted to EPA is specific to a compan</w:t>
      </w:r>
      <w:r w:rsidR="00D528B6">
        <w:t>y’</w:t>
      </w:r>
      <w:r>
        <w:t>s business practices.</w:t>
      </w:r>
    </w:p>
    <w:p w14:paraId="3B18AE67" w14:textId="77777777" w:rsidR="00962E45" w:rsidRDefault="00962E45">
      <w:pPr>
        <w:pStyle w:val="Standard"/>
      </w:pPr>
      <w:r>
        <w:tab/>
      </w:r>
    </w:p>
    <w:p w14:paraId="3CE76EB3" w14:textId="77777777" w:rsidR="00962E45" w:rsidRDefault="00962E45">
      <w:pPr>
        <w:pStyle w:val="Standard"/>
        <w:ind w:firstLine="720"/>
      </w:pPr>
      <w:r>
        <w:t xml:space="preserve">b. </w:t>
      </w:r>
      <w:r>
        <w:tab/>
        <w:t>Public Notice</w:t>
      </w:r>
    </w:p>
    <w:p w14:paraId="158EAC3C" w14:textId="77777777" w:rsidR="00962E45" w:rsidRDefault="00962E45">
      <w:pPr>
        <w:pStyle w:val="Standard"/>
        <w:ind w:firstLine="720"/>
      </w:pPr>
    </w:p>
    <w:p w14:paraId="6739D45E" w14:textId="0184577D" w:rsidR="0016527D" w:rsidRDefault="00962E45" w:rsidP="003A1B94">
      <w:pPr>
        <w:pStyle w:val="Standard"/>
      </w:pPr>
      <w:r>
        <w:tab/>
      </w:r>
      <w:r w:rsidR="00D362A9">
        <w:t xml:space="preserve">In compliance with the 1995 Paperwork Reduction Act, </w:t>
      </w:r>
      <w:r w:rsidR="003A1B94">
        <w:t xml:space="preserve">EPA </w:t>
      </w:r>
      <w:r w:rsidR="00AB1C3B">
        <w:t>solicit</w:t>
      </w:r>
      <w:r w:rsidR="0016527D">
        <w:t>ed</w:t>
      </w:r>
      <w:r w:rsidR="00AB1C3B">
        <w:t xml:space="preserve"> comments for sixty (60) days on this ICR prior to submitting this ICR to OMB.  </w:t>
      </w:r>
      <w:r w:rsidR="0016527D">
        <w:t xml:space="preserve">During this public comment period EPA received one public comment in support of the RFS program.  EPA considered this comment prior to submitting this Final Supporting Statement and this comment is available in docket EPA-HQ-OAR-2015-0207.  </w:t>
      </w:r>
      <w:r w:rsidR="009A6A94">
        <w:t xml:space="preserve">EPA published a second notice in the Federal Register </w:t>
      </w:r>
      <w:r w:rsidR="00D362A9">
        <w:t xml:space="preserve">which </w:t>
      </w:r>
      <w:r w:rsidR="009A6A94">
        <w:t>announc</w:t>
      </w:r>
      <w:r w:rsidR="00D362A9">
        <w:t>ed</w:t>
      </w:r>
      <w:r w:rsidR="009A6A94">
        <w:t xml:space="preserve"> submittal of this ICR to OMB and initiat</w:t>
      </w:r>
      <w:r w:rsidR="00D362A9">
        <w:t>ed</w:t>
      </w:r>
      <w:r w:rsidR="009A6A94">
        <w:t xml:space="preserve"> a thirty (30) day public comment period.  </w:t>
      </w:r>
    </w:p>
    <w:p w14:paraId="43140783" w14:textId="77777777" w:rsidR="00AB1C3B" w:rsidRDefault="00AB1C3B" w:rsidP="003A1B94">
      <w:pPr>
        <w:pStyle w:val="Standard"/>
      </w:pPr>
    </w:p>
    <w:p w14:paraId="72710347" w14:textId="77777777" w:rsidR="00962E45" w:rsidRDefault="00962E45">
      <w:pPr>
        <w:pStyle w:val="Standard"/>
      </w:pPr>
      <w:r>
        <w:tab/>
        <w:t xml:space="preserve">c. </w:t>
      </w:r>
      <w:r>
        <w:tab/>
        <w:t>Consultations</w:t>
      </w:r>
    </w:p>
    <w:p w14:paraId="7497C110" w14:textId="77777777" w:rsidR="00962E45" w:rsidRDefault="00962E45">
      <w:pPr>
        <w:pStyle w:val="Standard"/>
      </w:pPr>
    </w:p>
    <w:p w14:paraId="7CD66FD4" w14:textId="04F45684" w:rsidR="00E24D66" w:rsidRDefault="00F92F2A" w:rsidP="00C53E3E">
      <w:pPr>
        <w:pStyle w:val="Standard"/>
        <w:ind w:firstLine="720"/>
      </w:pPr>
      <w:r>
        <w:t>EPA has consulted two parties regarding cellulosic production volume projections. Mr. Delayne Johnson, Chief Executive Officer of Quad County Corn Processors can be reached at (712) 282-4305.  Mr. Johnson agreed with EPA’s burden estimates regarding cellulosic volume projections.  EPA also consulted Johannes Escudero, Executive Director of the Coalition for Renewable Natural Gas, who can be reached at (916) 520-4764.  Mr. Escudero</w:t>
      </w:r>
      <w:r w:rsidR="00993D0C">
        <w:t xml:space="preserve"> generally agreed with EPA’s burden estimates although suggested a slightly greater amount of time </w:t>
      </w:r>
      <w:r w:rsidR="00152D49">
        <w:t>and cost estimate</w:t>
      </w:r>
      <w:r w:rsidR="00993D0C">
        <w:t xml:space="preserve">.  EPA has considered this consultation in analyzing party burden </w:t>
      </w:r>
      <w:r w:rsidR="00152D49">
        <w:t>and</w:t>
      </w:r>
      <w:r w:rsidR="00993D0C">
        <w:t xml:space="preserve"> </w:t>
      </w:r>
      <w:r w:rsidR="00773A7D">
        <w:t>believes an</w:t>
      </w:r>
      <w:r w:rsidR="00993D0C">
        <w:t xml:space="preserve"> estimate of 2 hours per response</w:t>
      </w:r>
      <w:r w:rsidR="00152D49">
        <w:t xml:space="preserve"> at an average labor cost of $114 per hour</w:t>
      </w:r>
      <w:r w:rsidR="00773A7D">
        <w:t xml:space="preserve"> accurately </w:t>
      </w:r>
      <w:r w:rsidR="00152D49">
        <w:t>estimates</w:t>
      </w:r>
      <w:r w:rsidR="00773A7D">
        <w:t xml:space="preserve"> the </w:t>
      </w:r>
      <w:r w:rsidR="00152D49">
        <w:t>burden associated with t</w:t>
      </w:r>
      <w:r w:rsidR="00773A7D">
        <w:t>his action</w:t>
      </w:r>
      <w:r w:rsidR="00993D0C">
        <w:t>.  EPA also consulted Mr. Geoff Cooper</w:t>
      </w:r>
      <w:r w:rsidR="00E11C63">
        <w:t xml:space="preserve"> Senior Vice President of the Renewable Fuels Association (RFA)</w:t>
      </w:r>
      <w:r>
        <w:t xml:space="preserve"> </w:t>
      </w:r>
      <w:r w:rsidR="00E11C63">
        <w:t xml:space="preserve">regarding efficient producer reporting.  Mr. Cooper can be reached at (636) 594-2284.  Mr. Cooper, based on conversations with RFA member companies, </w:t>
      </w:r>
      <w:r w:rsidR="005A7CE6">
        <w:t>estimated</w:t>
      </w:r>
      <w:r w:rsidR="00E11C63">
        <w:t xml:space="preserve"> </w:t>
      </w:r>
      <w:r w:rsidR="005A7CE6">
        <w:t xml:space="preserve">slightly higher burden hours and burden costs, and also estimated the respondent universe will continue to expand. </w:t>
      </w:r>
      <w:r w:rsidR="00773A7D">
        <w:t xml:space="preserve"> Based on this feedback EPA updated its</w:t>
      </w:r>
      <w:r w:rsidR="00E16415">
        <w:t xml:space="preserve"> estimates for</w:t>
      </w:r>
      <w:r w:rsidR="00773A7D">
        <w:t xml:space="preserve"> burden</w:t>
      </w:r>
      <w:r w:rsidR="00E16415">
        <w:t>s</w:t>
      </w:r>
      <w:r w:rsidR="00773A7D">
        <w:t xml:space="preserve"> </w:t>
      </w:r>
      <w:r w:rsidR="00E16415">
        <w:t>and the respondent universe</w:t>
      </w:r>
      <w:r w:rsidR="00773A7D">
        <w:t xml:space="preserve">.  </w:t>
      </w:r>
      <w:r w:rsidR="00C53E3E">
        <w:rPr>
          <w:rFonts w:eastAsia="Arial Unicode MS" w:cs="Times New Roman"/>
          <w:color w:val="000000"/>
          <w:kern w:val="0"/>
          <w:lang w:eastAsia="en-US" w:bidi="ar-SA"/>
        </w:rPr>
        <w:t xml:space="preserve"> </w:t>
      </w:r>
      <w:r w:rsidR="00E375CD">
        <w:rPr>
          <w:rFonts w:eastAsia="Arial Unicode MS" w:cs="Times New Roman"/>
          <w:color w:val="000000"/>
          <w:kern w:val="0"/>
          <w:lang w:eastAsia="en-US" w:bidi="ar-SA"/>
        </w:rPr>
        <w:t xml:space="preserve"> </w:t>
      </w:r>
    </w:p>
    <w:p w14:paraId="498D234F" w14:textId="77777777" w:rsidR="00962E45" w:rsidRDefault="00962E45">
      <w:pPr>
        <w:pStyle w:val="Standard"/>
      </w:pPr>
      <w:r>
        <w:tab/>
      </w:r>
    </w:p>
    <w:p w14:paraId="46905AF3" w14:textId="77777777" w:rsidR="00962E45" w:rsidRDefault="00962E45" w:rsidP="00964BA3">
      <w:pPr>
        <w:pStyle w:val="Standard"/>
      </w:pPr>
      <w:r>
        <w:tab/>
        <w:t xml:space="preserve">d. </w:t>
      </w:r>
      <w:r>
        <w:tab/>
        <w:t>Effects of Less Frequent Data Collection</w:t>
      </w:r>
    </w:p>
    <w:p w14:paraId="0AD70F2E" w14:textId="77777777" w:rsidR="00206874" w:rsidRDefault="00206874" w:rsidP="00964BA3">
      <w:pPr>
        <w:pStyle w:val="Standard"/>
      </w:pPr>
    </w:p>
    <w:p w14:paraId="2AFE0088" w14:textId="77777777" w:rsidR="00962E45" w:rsidRDefault="00962E45">
      <w:pPr>
        <w:pStyle w:val="Standard"/>
      </w:pPr>
    </w:p>
    <w:p w14:paraId="6D673C97" w14:textId="77777777" w:rsidR="004C47F9" w:rsidRDefault="00B540B8">
      <w:pPr>
        <w:pStyle w:val="Standard"/>
      </w:pPr>
      <w:r>
        <w:tab/>
      </w:r>
      <w:r w:rsidR="004811BA">
        <w:t xml:space="preserve">The first instrument included in this ICR addresses </w:t>
      </w:r>
      <w:r w:rsidR="00380EF9">
        <w:t xml:space="preserve">annual </w:t>
      </w:r>
      <w:r w:rsidR="004811BA">
        <w:t>s</w:t>
      </w:r>
      <w:r>
        <w:t>ubmission of data on anticipated cellulosic production volumes</w:t>
      </w:r>
      <w:r w:rsidR="004811BA">
        <w:t>, which</w:t>
      </w:r>
      <w:r>
        <w:t xml:space="preserve"> is a voluntary activity used to inform EPA’s statutory obligation to set annual volumes. </w:t>
      </w:r>
      <w:r w:rsidR="001A055E">
        <w:t xml:space="preserve"> </w:t>
      </w:r>
      <w:r>
        <w:t xml:space="preserve">Updates and clarifications will only be requested on an as-needed basis and no less frequent collection is possible.  </w:t>
      </w:r>
      <w:r w:rsidR="004811BA">
        <w:t xml:space="preserve">The second instrument included in this ICR is a new data template </w:t>
      </w:r>
      <w:r w:rsidR="001A055E">
        <w:t>for the</w:t>
      </w:r>
      <w:r w:rsidR="006D6758">
        <w:t xml:space="preserve"> existing </w:t>
      </w:r>
      <w:r w:rsidR="001A055E">
        <w:t>RIN generation</w:t>
      </w:r>
      <w:r w:rsidR="006D6758">
        <w:t xml:space="preserve"> report.  Therefore the data collected would be submitted on </w:t>
      </w:r>
      <w:r w:rsidR="00980C3C">
        <w:t>a</w:t>
      </w:r>
      <w:r w:rsidR="006D6758">
        <w:t xml:space="preserve"> quarterly reporting schedule.  </w:t>
      </w:r>
      <w:r w:rsidR="00962E45">
        <w:t>Less frequent collection of data would</w:t>
      </w:r>
      <w:r w:rsidR="006D6758">
        <w:t xml:space="preserve"> </w:t>
      </w:r>
      <w:r w:rsidR="00A038A7">
        <w:t xml:space="preserve">hinder the EPA’s ability to monitor compliance and </w:t>
      </w:r>
      <w:r w:rsidR="006D6758">
        <w:t>could</w:t>
      </w:r>
      <w:r w:rsidR="00A038A7">
        <w:t xml:space="preserve"> lead to noncompliance.</w:t>
      </w:r>
      <w:r>
        <w:t xml:space="preserve"> </w:t>
      </w:r>
    </w:p>
    <w:p w14:paraId="2C8C6F3B" w14:textId="77777777" w:rsidR="00962E45" w:rsidRDefault="00962E45">
      <w:pPr>
        <w:pStyle w:val="Standard"/>
      </w:pPr>
    </w:p>
    <w:p w14:paraId="2294065F" w14:textId="77777777" w:rsidR="00962E45" w:rsidRDefault="00962E45">
      <w:pPr>
        <w:pStyle w:val="Standard"/>
      </w:pPr>
      <w:r>
        <w:tab/>
        <w:t xml:space="preserve">e. </w:t>
      </w:r>
      <w:r>
        <w:tab/>
        <w:t>General Guidelines</w:t>
      </w:r>
    </w:p>
    <w:p w14:paraId="23C53F7C" w14:textId="77777777" w:rsidR="006E7F18" w:rsidRDefault="006E7F18" w:rsidP="000A4610">
      <w:pPr>
        <w:outlineLvl w:val="0"/>
      </w:pPr>
    </w:p>
    <w:p w14:paraId="61212AC6" w14:textId="77777777" w:rsidR="000A4610" w:rsidRPr="00C910ED" w:rsidRDefault="002F74D9" w:rsidP="000A4610">
      <w:pPr>
        <w:outlineLvl w:val="0"/>
      </w:pPr>
      <w:r>
        <w:tab/>
        <w:t>This information collection does not exceed any of the OMB guidelines.</w:t>
      </w:r>
      <w:r w:rsidR="000A4610">
        <w:t xml:space="preserve"> </w:t>
      </w:r>
      <w:r w:rsidR="00964BA3" w:rsidRPr="00964BA3">
        <w:t xml:space="preserve"> </w:t>
      </w:r>
    </w:p>
    <w:p w14:paraId="5072C6A5" w14:textId="77777777" w:rsidR="002F74D9" w:rsidRDefault="00962E45">
      <w:pPr>
        <w:pStyle w:val="Standard"/>
      </w:pPr>
      <w:r>
        <w:lastRenderedPageBreak/>
        <w:tab/>
      </w:r>
    </w:p>
    <w:p w14:paraId="5E3B842D" w14:textId="77777777" w:rsidR="00962E45" w:rsidRDefault="00962E45">
      <w:pPr>
        <w:pStyle w:val="Standard"/>
      </w:pPr>
      <w:r>
        <w:tab/>
        <w:t xml:space="preserve">f. </w:t>
      </w:r>
      <w:r>
        <w:tab/>
        <w:t>Confidentiality</w:t>
      </w:r>
    </w:p>
    <w:p w14:paraId="2C4AA331" w14:textId="77777777" w:rsidR="00962E45" w:rsidRDefault="00962E45">
      <w:pPr>
        <w:pStyle w:val="Standard"/>
      </w:pPr>
    </w:p>
    <w:p w14:paraId="46635768" w14:textId="77777777" w:rsidR="002F74D9" w:rsidRDefault="002F74D9" w:rsidP="002F74D9">
      <w:pPr>
        <w:ind w:firstLine="720"/>
      </w:pPr>
      <w:r>
        <w:t>We inform respondents that they may assert claims of business confidentiality (CBI) for information they submit.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14:paraId="6C1D0AFE" w14:textId="77777777" w:rsidR="002F74D9" w:rsidRDefault="00962E45">
      <w:pPr>
        <w:pStyle w:val="Standard"/>
      </w:pPr>
      <w:r>
        <w:tab/>
      </w:r>
    </w:p>
    <w:p w14:paraId="313BA6CA" w14:textId="77777777" w:rsidR="00962E45" w:rsidRDefault="00962E45">
      <w:pPr>
        <w:pStyle w:val="Standard"/>
        <w:ind w:firstLine="720"/>
      </w:pPr>
      <w:r>
        <w:t xml:space="preserve">g. </w:t>
      </w:r>
      <w:r>
        <w:tab/>
        <w:t>Sensitive Information</w:t>
      </w:r>
    </w:p>
    <w:p w14:paraId="587A583E" w14:textId="77777777" w:rsidR="00962E45" w:rsidRDefault="00962E45">
      <w:pPr>
        <w:pStyle w:val="Standard"/>
      </w:pPr>
      <w:r>
        <w:tab/>
      </w:r>
    </w:p>
    <w:p w14:paraId="68981997" w14:textId="77777777" w:rsidR="00DD6F8D" w:rsidRDefault="00962E45" w:rsidP="00DD6F8D">
      <w:pPr>
        <w:rPr>
          <w:rFonts w:cs="Times New Roman"/>
          <w:kern w:val="0"/>
          <w:szCs w:val="20"/>
          <w:lang w:eastAsia="en-US" w:bidi="ar-SA"/>
        </w:rPr>
      </w:pPr>
      <w:r>
        <w:tab/>
      </w:r>
      <w:r w:rsidR="00DD6F8D">
        <w:t xml:space="preserve">This information collection does not require submission of any sensitive information. </w:t>
      </w:r>
    </w:p>
    <w:p w14:paraId="2E1A923E" w14:textId="77777777" w:rsidR="00962E45" w:rsidRDefault="00962E45">
      <w:pPr>
        <w:pStyle w:val="Standard"/>
      </w:pPr>
    </w:p>
    <w:p w14:paraId="4C692CF0" w14:textId="77777777" w:rsidR="00962E45" w:rsidRDefault="00962E45">
      <w:pPr>
        <w:pStyle w:val="Standard"/>
      </w:pPr>
      <w:r>
        <w:t>4.</w:t>
      </w:r>
      <w:r>
        <w:tab/>
        <w:t>The Respondents and the Information Requested</w:t>
      </w:r>
    </w:p>
    <w:p w14:paraId="79EDD9E9" w14:textId="77777777" w:rsidR="00962E45" w:rsidRDefault="00962E45">
      <w:pPr>
        <w:pStyle w:val="Standard"/>
      </w:pPr>
    </w:p>
    <w:p w14:paraId="34CDC0F9" w14:textId="77777777" w:rsidR="00962E45" w:rsidRDefault="00962E45">
      <w:pPr>
        <w:pStyle w:val="Standard"/>
      </w:pPr>
      <w:r>
        <w:tab/>
        <w:t>a.</w:t>
      </w:r>
      <w:r>
        <w:tab/>
        <w:t>Respondents/with NAICS and SIC Codes</w:t>
      </w:r>
    </w:p>
    <w:p w14:paraId="5470D7B7" w14:textId="77777777" w:rsidR="00962E45" w:rsidRDefault="00962E45">
      <w:pPr>
        <w:pStyle w:val="Standard"/>
      </w:pPr>
    </w:p>
    <w:p w14:paraId="0810575C" w14:textId="68F34CB4" w:rsidR="00962E45" w:rsidRPr="005A55AE" w:rsidRDefault="00962E45">
      <w:pPr>
        <w:pStyle w:val="Standard"/>
        <w:ind w:firstLine="720"/>
      </w:pPr>
      <w:r w:rsidRPr="005A55AE">
        <w:t xml:space="preserve">The respondents to this information collection fall into the following general industry categories: </w:t>
      </w:r>
      <w:r w:rsidR="00AF77DA" w:rsidRPr="005A55AE">
        <w:t>petroleum refineries (324110/2911)</w:t>
      </w:r>
      <w:r w:rsidR="00AF77DA">
        <w:t xml:space="preserve">, </w:t>
      </w:r>
      <w:r w:rsidRPr="005A55AE">
        <w:t>ethyl alcohol manufacturers (325193/2869), other basic organic chemical manufacturing (</w:t>
      </w:r>
      <w:r w:rsidR="004031C0" w:rsidRPr="005A55AE">
        <w:t>325100</w:t>
      </w:r>
      <w:r w:rsidRPr="005A55AE">
        <w:t xml:space="preserve">/2869), </w:t>
      </w:r>
      <w:r w:rsidR="00AF77DA" w:rsidRPr="005A55AE">
        <w:t>chemical and allied products merchant wholesalers (424690/5169),</w:t>
      </w:r>
      <w:r w:rsidR="00AF77DA">
        <w:t xml:space="preserve"> </w:t>
      </w:r>
      <w:r w:rsidR="00345E2E">
        <w:t xml:space="preserve">and </w:t>
      </w:r>
      <w:r w:rsidRPr="005A55AE">
        <w:t>petroleum and petroleum products merchant wholesalers (422720/5172)</w:t>
      </w:r>
      <w:r w:rsidR="00D84D2B" w:rsidRPr="005A55AE">
        <w:t xml:space="preserve">. </w:t>
      </w:r>
    </w:p>
    <w:p w14:paraId="75F409A9" w14:textId="77777777" w:rsidR="00962E45" w:rsidRDefault="00962E45">
      <w:pPr>
        <w:pStyle w:val="Standard"/>
        <w:ind w:firstLine="720"/>
      </w:pPr>
    </w:p>
    <w:p w14:paraId="2E237CCD" w14:textId="77777777" w:rsidR="00962E45" w:rsidRDefault="00962E45" w:rsidP="00B05305">
      <w:pPr>
        <w:pStyle w:val="Standard"/>
        <w:ind w:firstLine="720"/>
      </w:pPr>
      <w:r>
        <w:t>Using the terminology associated with the RFS2 Rule, we have assumed the following classes of party which are covered by this</w:t>
      </w:r>
      <w:r w:rsidR="00AE3D53">
        <w:t xml:space="preserve"> information collection</w:t>
      </w:r>
      <w:r w:rsidR="00D84D2B">
        <w:t xml:space="preserve">. </w:t>
      </w:r>
    </w:p>
    <w:p w14:paraId="2277873C" w14:textId="77777777" w:rsidR="00962E45" w:rsidRDefault="00962E45" w:rsidP="00B05305">
      <w:pPr>
        <w:pStyle w:val="Standard"/>
        <w:ind w:firstLine="720"/>
      </w:pPr>
    </w:p>
    <w:p w14:paraId="5E8BDC91" w14:textId="0B301A2C" w:rsidR="00962E45" w:rsidRDefault="00962E45" w:rsidP="00B05305">
      <w:pPr>
        <w:pStyle w:val="Standard"/>
        <w:numPr>
          <w:ilvl w:val="0"/>
          <w:numId w:val="27"/>
        </w:numPr>
      </w:pPr>
      <w:r>
        <w:t>Producers of renewable fuels</w:t>
      </w:r>
      <w:r w:rsidR="00CF2E54">
        <w:t>.</w:t>
      </w:r>
    </w:p>
    <w:p w14:paraId="3699835D" w14:textId="4F68B1B2" w:rsidR="00962E45" w:rsidRDefault="00962E45" w:rsidP="00B05305">
      <w:pPr>
        <w:pStyle w:val="Standard"/>
        <w:numPr>
          <w:ilvl w:val="0"/>
          <w:numId w:val="27"/>
        </w:numPr>
      </w:pPr>
      <w:r>
        <w:t>Importers of renewable fuels</w:t>
      </w:r>
      <w:r w:rsidR="00CF2E54">
        <w:t>.</w:t>
      </w:r>
    </w:p>
    <w:p w14:paraId="3A5154B6" w14:textId="77777777" w:rsidR="00962E45" w:rsidRDefault="00962E45">
      <w:pPr>
        <w:pStyle w:val="Standard"/>
        <w:ind w:firstLine="720"/>
      </w:pPr>
    </w:p>
    <w:p w14:paraId="5D2BA05C" w14:textId="77777777" w:rsidR="00962E45" w:rsidRDefault="00962E45">
      <w:pPr>
        <w:pStyle w:val="Standard"/>
        <w:ind w:firstLine="720"/>
      </w:pPr>
      <w:r>
        <w:t xml:space="preserve">b. </w:t>
      </w:r>
      <w:r>
        <w:tab/>
        <w:t>Information Requested</w:t>
      </w:r>
    </w:p>
    <w:p w14:paraId="6DB3C5E2" w14:textId="77777777" w:rsidR="00962E45" w:rsidRDefault="00962E45">
      <w:pPr>
        <w:pStyle w:val="Standard"/>
        <w:ind w:firstLine="720"/>
      </w:pPr>
    </w:p>
    <w:p w14:paraId="24BB4E7D" w14:textId="77777777" w:rsidR="004A5039" w:rsidRPr="00354E9A" w:rsidRDefault="00962E45" w:rsidP="004A5039">
      <w:pPr>
        <w:rPr>
          <w:b/>
          <w:u w:val="single"/>
        </w:rPr>
      </w:pPr>
      <w:r>
        <w:tab/>
      </w:r>
      <w:r w:rsidR="004A5039" w:rsidRPr="00354E9A">
        <w:rPr>
          <w:b/>
          <w:u w:val="single"/>
        </w:rPr>
        <w:t>i. Reporting: Cellulosic</w:t>
      </w:r>
      <w:r w:rsidR="004A5039">
        <w:rPr>
          <w:b/>
          <w:u w:val="single"/>
        </w:rPr>
        <w:t xml:space="preserve"> </w:t>
      </w:r>
      <w:r w:rsidR="004A5039" w:rsidRPr="00354E9A">
        <w:rPr>
          <w:b/>
          <w:u w:val="single"/>
        </w:rPr>
        <w:t>Produc</w:t>
      </w:r>
      <w:r w:rsidR="004A5039">
        <w:rPr>
          <w:b/>
          <w:u w:val="single"/>
        </w:rPr>
        <w:t>tion</w:t>
      </w:r>
      <w:r w:rsidR="001A055E">
        <w:rPr>
          <w:b/>
          <w:u w:val="single"/>
        </w:rPr>
        <w:t xml:space="preserve"> Volume Projections</w:t>
      </w:r>
    </w:p>
    <w:p w14:paraId="40BECDBA" w14:textId="77777777" w:rsidR="004A5039" w:rsidRDefault="004A5039" w:rsidP="004A5039">
      <w:pPr>
        <w:ind w:firstLine="720"/>
      </w:pPr>
    </w:p>
    <w:p w14:paraId="72E73AE0" w14:textId="75C4B82F" w:rsidR="004A5039" w:rsidRDefault="004A5039" w:rsidP="004A5039">
      <w:pPr>
        <w:ind w:firstLine="720"/>
      </w:pPr>
      <w:r>
        <w:t xml:space="preserve">Annual </w:t>
      </w:r>
      <w:r w:rsidR="00966E3F">
        <w:t>cellulosic biofuel produc</w:t>
      </w:r>
      <w:r w:rsidR="00345E2E">
        <w:t>er</w:t>
      </w:r>
      <w:r w:rsidR="00966E3F">
        <w:t xml:space="preserve"> </w:t>
      </w:r>
      <w:r w:rsidR="00345E2E">
        <w:t>questionnaire</w:t>
      </w:r>
      <w:r w:rsidR="00966E3F">
        <w:t xml:space="preserve"> forms</w:t>
      </w:r>
      <w:r>
        <w:t xml:space="preserve"> are due on </w:t>
      </w:r>
      <w:r w:rsidR="00827C18">
        <w:t>March 31</w:t>
      </w:r>
      <w:r>
        <w:t xml:space="preserve"> each year.  Respondents will be required to use the collection instrument included in this ICR and </w:t>
      </w:r>
      <w:r w:rsidRPr="00205266">
        <w:t xml:space="preserve">submit </w:t>
      </w:r>
      <w:r>
        <w:t>the following information:</w:t>
      </w:r>
    </w:p>
    <w:p w14:paraId="2BCA8934" w14:textId="77777777" w:rsidR="004A5039" w:rsidRDefault="004A5039" w:rsidP="004A5039">
      <w:pPr>
        <w:pStyle w:val="ListParagraph"/>
        <w:numPr>
          <w:ilvl w:val="0"/>
          <w:numId w:val="31"/>
        </w:numPr>
      </w:pPr>
      <w:r>
        <w:t>Nameplate capacity of the cellulosic biofuel production facility</w:t>
      </w:r>
      <w:r w:rsidR="001A055E">
        <w:t>.</w:t>
      </w:r>
    </w:p>
    <w:p w14:paraId="13FE640A" w14:textId="77777777" w:rsidR="004A5039" w:rsidRDefault="004A5039" w:rsidP="004A5039">
      <w:pPr>
        <w:pStyle w:val="ListParagraph"/>
        <w:numPr>
          <w:ilvl w:val="0"/>
          <w:numId w:val="31"/>
        </w:numPr>
      </w:pPr>
      <w:r>
        <w:t>General description of the cellulosic biofuel production process</w:t>
      </w:r>
      <w:r w:rsidR="001A055E">
        <w:t>.</w:t>
      </w:r>
    </w:p>
    <w:p w14:paraId="6B3894D7" w14:textId="77777777" w:rsidR="004A5039" w:rsidRDefault="004A5039" w:rsidP="004A5039">
      <w:pPr>
        <w:pStyle w:val="ListParagraph"/>
        <w:numPr>
          <w:ilvl w:val="0"/>
          <w:numId w:val="31"/>
        </w:numPr>
      </w:pPr>
      <w:r>
        <w:t>Name(s) of technology providers (if applicable)</w:t>
      </w:r>
      <w:r w:rsidR="001A055E">
        <w:t>.</w:t>
      </w:r>
    </w:p>
    <w:p w14:paraId="0F474E51" w14:textId="77777777" w:rsidR="004A5039" w:rsidRDefault="004A5039" w:rsidP="004A5039">
      <w:pPr>
        <w:pStyle w:val="ListParagraph"/>
        <w:numPr>
          <w:ilvl w:val="0"/>
          <w:numId w:val="31"/>
        </w:numPr>
      </w:pPr>
      <w:r>
        <w:t>Date construction of the cellulosic biofuel production facility was completed (or projected date)</w:t>
      </w:r>
      <w:r w:rsidR="001A055E">
        <w:t>.</w:t>
      </w:r>
    </w:p>
    <w:p w14:paraId="3D941FB7" w14:textId="77777777" w:rsidR="004A5039" w:rsidRDefault="004A5039" w:rsidP="004A5039">
      <w:pPr>
        <w:pStyle w:val="ListParagraph"/>
        <w:numPr>
          <w:ilvl w:val="0"/>
          <w:numId w:val="31"/>
        </w:numPr>
      </w:pPr>
      <w:r>
        <w:t>Date commissioning of the cellulosic biofuel production facility began (or projected date)</w:t>
      </w:r>
      <w:r w:rsidR="001A055E">
        <w:t>.</w:t>
      </w:r>
    </w:p>
    <w:p w14:paraId="76918259" w14:textId="77777777" w:rsidR="004A5039" w:rsidRDefault="004A5039" w:rsidP="004A5039">
      <w:pPr>
        <w:pStyle w:val="ListParagraph"/>
        <w:numPr>
          <w:ilvl w:val="0"/>
          <w:numId w:val="31"/>
        </w:numPr>
      </w:pPr>
      <w:r>
        <w:t>Date production of commercial scale quantities of fuel began (or projected date)</w:t>
      </w:r>
      <w:r w:rsidR="001A055E">
        <w:t>.</w:t>
      </w:r>
    </w:p>
    <w:p w14:paraId="47428C7D" w14:textId="0ACC7BB1" w:rsidR="00F4029A" w:rsidRDefault="00F4029A" w:rsidP="004A5039">
      <w:pPr>
        <w:pStyle w:val="ListParagraph"/>
        <w:numPr>
          <w:ilvl w:val="0"/>
          <w:numId w:val="31"/>
        </w:numPr>
      </w:pPr>
      <w:r>
        <w:t>Date nameplate capacity production rate is achieved</w:t>
      </w:r>
      <w:r w:rsidR="00CF2E54">
        <w:t>.</w:t>
      </w:r>
    </w:p>
    <w:p w14:paraId="5F147080" w14:textId="77777777" w:rsidR="004A5039" w:rsidRDefault="004A5039" w:rsidP="004A5039">
      <w:pPr>
        <w:pStyle w:val="ListParagraph"/>
        <w:numPr>
          <w:ilvl w:val="0"/>
          <w:numId w:val="31"/>
        </w:numPr>
      </w:pPr>
      <w:r>
        <w:t>Date of facility registration under the RFS program (or projected date)</w:t>
      </w:r>
      <w:r w:rsidR="001A055E">
        <w:t>.</w:t>
      </w:r>
    </w:p>
    <w:p w14:paraId="047D9539" w14:textId="77777777" w:rsidR="004A5039" w:rsidRDefault="004A5039" w:rsidP="004A5039">
      <w:pPr>
        <w:pStyle w:val="ListParagraph"/>
        <w:numPr>
          <w:ilvl w:val="0"/>
          <w:numId w:val="31"/>
        </w:numPr>
      </w:pPr>
      <w:r>
        <w:t>Brief description of fuel off-take agreements (if applicable)</w:t>
      </w:r>
      <w:r w:rsidR="001A055E">
        <w:t>.</w:t>
      </w:r>
    </w:p>
    <w:p w14:paraId="60D24FD2" w14:textId="77777777" w:rsidR="004A5039" w:rsidRDefault="004A5039" w:rsidP="00833BAC">
      <w:pPr>
        <w:autoSpaceDE w:val="0"/>
        <w:adjustRightInd w:val="0"/>
        <w:contextualSpacing/>
      </w:pPr>
      <w:r>
        <w:lastRenderedPageBreak/>
        <w:tab/>
      </w:r>
    </w:p>
    <w:p w14:paraId="7F4D1A41" w14:textId="77777777" w:rsidR="004A5039" w:rsidRDefault="004A5039" w:rsidP="00833BAC">
      <w:pPr>
        <w:autoSpaceDE w:val="0"/>
        <w:adjustRightInd w:val="0"/>
        <w:contextualSpacing/>
      </w:pPr>
    </w:p>
    <w:p w14:paraId="4BF53031" w14:textId="77777777" w:rsidR="00354E9A" w:rsidRDefault="004A5039" w:rsidP="007168E6">
      <w:pPr>
        <w:autoSpaceDE w:val="0"/>
        <w:adjustRightInd w:val="0"/>
        <w:ind w:firstLine="720"/>
        <w:contextualSpacing/>
      </w:pPr>
      <w:r w:rsidRPr="007168E6">
        <w:rPr>
          <w:b/>
          <w:u w:val="single"/>
        </w:rPr>
        <w:t>i</w:t>
      </w:r>
      <w:r w:rsidR="00962E45" w:rsidRPr="00B91739">
        <w:rPr>
          <w:b/>
          <w:u w:val="single"/>
        </w:rPr>
        <w:t>i.</w:t>
      </w:r>
      <w:r w:rsidR="00962E45" w:rsidRPr="00354E9A">
        <w:rPr>
          <w:b/>
          <w:u w:val="single"/>
        </w:rPr>
        <w:t xml:space="preserve"> Reporting: </w:t>
      </w:r>
      <w:r w:rsidR="00354E9A" w:rsidRPr="00354E9A">
        <w:rPr>
          <w:b/>
          <w:u w:val="single"/>
        </w:rPr>
        <w:t>Renewable F</w:t>
      </w:r>
      <w:r w:rsidR="00277C5E" w:rsidRPr="00354E9A">
        <w:rPr>
          <w:b/>
          <w:u w:val="single"/>
        </w:rPr>
        <w:t xml:space="preserve">uel </w:t>
      </w:r>
      <w:r w:rsidR="00354E9A" w:rsidRPr="00354E9A">
        <w:rPr>
          <w:b/>
          <w:u w:val="single"/>
        </w:rPr>
        <w:t>P</w:t>
      </w:r>
      <w:r w:rsidR="00962E45" w:rsidRPr="00354E9A">
        <w:rPr>
          <w:b/>
          <w:u w:val="single"/>
        </w:rPr>
        <w:t xml:space="preserve">roducers </w:t>
      </w:r>
      <w:r w:rsidR="00354E9A" w:rsidRPr="00354E9A">
        <w:rPr>
          <w:b/>
          <w:u w:val="single"/>
        </w:rPr>
        <w:t>Using Efficient P</w:t>
      </w:r>
      <w:r w:rsidR="008C5DD6" w:rsidRPr="00354E9A">
        <w:rPr>
          <w:b/>
          <w:u w:val="single"/>
        </w:rPr>
        <w:t>roducer</w:t>
      </w:r>
      <w:r w:rsidR="008C5DD6" w:rsidRPr="00354E9A">
        <w:rPr>
          <w:u w:val="single"/>
        </w:rPr>
        <w:t xml:space="preserve"> </w:t>
      </w:r>
      <w:r w:rsidR="00354E9A" w:rsidRPr="00354E9A">
        <w:rPr>
          <w:b/>
          <w:u w:val="single"/>
        </w:rPr>
        <w:t>P</w:t>
      </w:r>
      <w:r w:rsidR="008C5DD6" w:rsidRPr="00354E9A">
        <w:rPr>
          <w:b/>
          <w:u w:val="single"/>
        </w:rPr>
        <w:t>rocesses</w:t>
      </w:r>
      <w:r w:rsidR="008C5DD6">
        <w:t xml:space="preserve"> </w:t>
      </w:r>
    </w:p>
    <w:p w14:paraId="184695F4" w14:textId="5F1C8651" w:rsidR="00962E45" w:rsidRDefault="00354E9A" w:rsidP="00354E9A">
      <w:pPr>
        <w:autoSpaceDE w:val="0"/>
        <w:adjustRightInd w:val="0"/>
        <w:ind w:firstLine="720"/>
        <w:contextualSpacing/>
      </w:pPr>
      <w:r>
        <w:t xml:space="preserve">Respondents will be required to use the collection instrument included in this ICR and </w:t>
      </w:r>
      <w:r w:rsidR="00962E45" w:rsidRPr="00205266">
        <w:t xml:space="preserve">submit </w:t>
      </w:r>
      <w:r w:rsidR="008C5DD6">
        <w:t xml:space="preserve">the following </w:t>
      </w:r>
      <w:r w:rsidR="00277C5E">
        <w:t xml:space="preserve">information </w:t>
      </w:r>
      <w:r w:rsidR="00897DCF">
        <w:t xml:space="preserve">for operations associated with fuel production at their facility </w:t>
      </w:r>
      <w:r w:rsidR="003A374A">
        <w:t>as part of</w:t>
      </w:r>
      <w:r w:rsidR="00277C5E">
        <w:t xml:space="preserve"> </w:t>
      </w:r>
      <w:r w:rsidR="00962E45" w:rsidRPr="00205266">
        <w:t>their existing quarterly reporting obligations</w:t>
      </w:r>
      <w:r w:rsidR="0050109B">
        <w:t xml:space="preserve"> </w:t>
      </w:r>
      <w:r>
        <w:t>under the RFS program</w:t>
      </w:r>
      <w:r w:rsidR="00962E45" w:rsidRPr="00205266">
        <w:t>:</w:t>
      </w:r>
    </w:p>
    <w:p w14:paraId="66F3766C" w14:textId="77777777" w:rsidR="00962E45" w:rsidRDefault="00962E45" w:rsidP="00833BAC">
      <w:pPr>
        <w:autoSpaceDE w:val="0"/>
        <w:adjustRightInd w:val="0"/>
        <w:contextualSpacing/>
      </w:pPr>
    </w:p>
    <w:p w14:paraId="4CB8A121" w14:textId="3D6B17C7" w:rsidR="00761D0D" w:rsidRDefault="00761D0D" w:rsidP="00962E45">
      <w:pPr>
        <w:pStyle w:val="ListParagraph"/>
        <w:numPr>
          <w:ilvl w:val="0"/>
          <w:numId w:val="30"/>
        </w:numPr>
        <w:autoSpaceDE w:val="0"/>
        <w:adjustRightInd w:val="0"/>
        <w:contextualSpacing/>
        <w:jc w:val="both"/>
      </w:pPr>
      <w:r>
        <w:t>Number of Feedstocks Used</w:t>
      </w:r>
    </w:p>
    <w:p w14:paraId="620A3A4A" w14:textId="402D8068" w:rsidR="00761D0D" w:rsidRDefault="00761D0D" w:rsidP="00962E45">
      <w:pPr>
        <w:pStyle w:val="ListParagraph"/>
        <w:numPr>
          <w:ilvl w:val="0"/>
          <w:numId w:val="30"/>
        </w:numPr>
        <w:autoSpaceDE w:val="0"/>
        <w:adjustRightInd w:val="0"/>
        <w:contextualSpacing/>
        <w:jc w:val="both"/>
      </w:pPr>
      <w:r>
        <w:t>Types of Feedstocks Used</w:t>
      </w:r>
    </w:p>
    <w:p w14:paraId="507C008A" w14:textId="24F65D6C" w:rsidR="00761D0D" w:rsidRDefault="00761D0D" w:rsidP="00962E45">
      <w:pPr>
        <w:pStyle w:val="ListParagraph"/>
        <w:numPr>
          <w:ilvl w:val="0"/>
          <w:numId w:val="30"/>
        </w:numPr>
        <w:autoSpaceDE w:val="0"/>
        <w:adjustRightInd w:val="0"/>
        <w:contextualSpacing/>
        <w:jc w:val="both"/>
      </w:pPr>
      <w:r>
        <w:t>Number of Fuels Produced</w:t>
      </w:r>
    </w:p>
    <w:p w14:paraId="2CA3DA31" w14:textId="1A6AC6FD" w:rsidR="00761D0D" w:rsidRDefault="00761D0D" w:rsidP="00962E45">
      <w:pPr>
        <w:pStyle w:val="ListParagraph"/>
        <w:numPr>
          <w:ilvl w:val="0"/>
          <w:numId w:val="30"/>
        </w:numPr>
        <w:autoSpaceDE w:val="0"/>
        <w:adjustRightInd w:val="0"/>
        <w:contextualSpacing/>
        <w:jc w:val="both"/>
      </w:pPr>
      <w:r>
        <w:t>Types of Fuels Produced</w:t>
      </w:r>
    </w:p>
    <w:p w14:paraId="52E8F1B5" w14:textId="3A4CCFBB" w:rsidR="00761D0D" w:rsidRDefault="00897DCF" w:rsidP="00962E45">
      <w:pPr>
        <w:pStyle w:val="ListParagraph"/>
        <w:numPr>
          <w:ilvl w:val="0"/>
          <w:numId w:val="30"/>
        </w:numPr>
        <w:autoSpaceDE w:val="0"/>
        <w:adjustRightInd w:val="0"/>
        <w:contextualSpacing/>
        <w:jc w:val="both"/>
      </w:pPr>
      <w:r>
        <w:t>Daily a</w:t>
      </w:r>
      <w:r w:rsidR="00761D0D">
        <w:t>mount</w:t>
      </w:r>
      <w:r>
        <w:t>s</w:t>
      </w:r>
      <w:r w:rsidR="00761D0D">
        <w:t xml:space="preserve"> of feedstock</w:t>
      </w:r>
      <w:r>
        <w:t>s</w:t>
      </w:r>
      <w:r w:rsidR="00761D0D">
        <w:t xml:space="preserve"> used (dry pounds)</w:t>
      </w:r>
    </w:p>
    <w:p w14:paraId="39840407" w14:textId="231E6222" w:rsidR="003A374A" w:rsidRDefault="003A374A" w:rsidP="00962E45">
      <w:pPr>
        <w:pStyle w:val="ListParagraph"/>
        <w:numPr>
          <w:ilvl w:val="0"/>
          <w:numId w:val="30"/>
        </w:numPr>
        <w:autoSpaceDE w:val="0"/>
        <w:adjustRightInd w:val="0"/>
        <w:contextualSpacing/>
        <w:jc w:val="both"/>
      </w:pPr>
      <w:r>
        <w:t>Daily natural gas use</w:t>
      </w:r>
      <w:r w:rsidR="00F25013">
        <w:t xml:space="preserve"> (</w:t>
      </w:r>
      <w:r w:rsidR="00897DCF">
        <w:t>scf</w:t>
      </w:r>
      <w:r w:rsidR="00F25013">
        <w:t>)</w:t>
      </w:r>
      <w:r w:rsidR="001A055E">
        <w:t>.</w:t>
      </w:r>
    </w:p>
    <w:p w14:paraId="189B446E" w14:textId="540D36D3" w:rsidR="003A374A" w:rsidRDefault="003A374A" w:rsidP="00962E45">
      <w:pPr>
        <w:pStyle w:val="ListParagraph"/>
        <w:numPr>
          <w:ilvl w:val="0"/>
          <w:numId w:val="30"/>
        </w:numPr>
        <w:autoSpaceDE w:val="0"/>
        <w:adjustRightInd w:val="0"/>
        <w:contextualSpacing/>
        <w:jc w:val="both"/>
      </w:pPr>
      <w:r>
        <w:t>Daily biogas methane use</w:t>
      </w:r>
      <w:r w:rsidR="00F25013">
        <w:t xml:space="preserve"> (</w:t>
      </w:r>
      <w:r w:rsidR="00897DCF">
        <w:t>scf</w:t>
      </w:r>
      <w:r w:rsidR="00F25013">
        <w:t>)</w:t>
      </w:r>
      <w:r w:rsidR="001A055E">
        <w:t>.</w:t>
      </w:r>
    </w:p>
    <w:p w14:paraId="179CF92B" w14:textId="03F25C8E" w:rsidR="00962E45" w:rsidRDefault="0050109B" w:rsidP="00962E45">
      <w:pPr>
        <w:pStyle w:val="ListParagraph"/>
        <w:numPr>
          <w:ilvl w:val="0"/>
          <w:numId w:val="30"/>
        </w:numPr>
        <w:autoSpaceDE w:val="0"/>
        <w:adjustRightInd w:val="0"/>
        <w:contextualSpacing/>
        <w:jc w:val="both"/>
      </w:pPr>
      <w:r>
        <w:t xml:space="preserve">Daily </w:t>
      </w:r>
      <w:r w:rsidR="00897DCF">
        <w:t xml:space="preserve">grid electricity use </w:t>
      </w:r>
      <w:r w:rsidR="00F25013">
        <w:t>(kWh)</w:t>
      </w:r>
      <w:r w:rsidR="001A055E">
        <w:t>.</w:t>
      </w:r>
    </w:p>
    <w:p w14:paraId="0040C41C" w14:textId="0188ED6B" w:rsidR="003A374A" w:rsidRDefault="003A374A" w:rsidP="00962E45">
      <w:pPr>
        <w:pStyle w:val="ListParagraph"/>
        <w:numPr>
          <w:ilvl w:val="0"/>
          <w:numId w:val="30"/>
        </w:numPr>
        <w:autoSpaceDE w:val="0"/>
        <w:adjustRightInd w:val="0"/>
        <w:contextualSpacing/>
        <w:jc w:val="both"/>
      </w:pPr>
      <w:r>
        <w:t>Daily coal use</w:t>
      </w:r>
      <w:r w:rsidR="0050109B">
        <w:t xml:space="preserve"> </w:t>
      </w:r>
      <w:r w:rsidR="00F25013">
        <w:t>(tons)</w:t>
      </w:r>
      <w:r w:rsidR="001A055E">
        <w:t>.</w:t>
      </w:r>
    </w:p>
    <w:p w14:paraId="4FB007AA" w14:textId="7D08DAAA" w:rsidR="003A374A" w:rsidRDefault="003A374A" w:rsidP="00962E45">
      <w:pPr>
        <w:pStyle w:val="ListParagraph"/>
        <w:numPr>
          <w:ilvl w:val="0"/>
          <w:numId w:val="30"/>
        </w:numPr>
        <w:autoSpaceDE w:val="0"/>
        <w:adjustRightInd w:val="0"/>
        <w:contextualSpacing/>
        <w:jc w:val="both"/>
      </w:pPr>
      <w:r>
        <w:t>Daily biomass use</w:t>
      </w:r>
      <w:r w:rsidR="00F25013">
        <w:t xml:space="preserve"> (</w:t>
      </w:r>
      <w:r w:rsidR="00487A47">
        <w:t>dry pounds</w:t>
      </w:r>
      <w:r w:rsidR="00F25013">
        <w:t>)</w:t>
      </w:r>
      <w:r w:rsidR="001A055E">
        <w:t>.</w:t>
      </w:r>
    </w:p>
    <w:p w14:paraId="2F22E604" w14:textId="57B99FD2" w:rsidR="003A374A" w:rsidRDefault="003A374A" w:rsidP="00962E45">
      <w:pPr>
        <w:pStyle w:val="ListParagraph"/>
        <w:numPr>
          <w:ilvl w:val="0"/>
          <w:numId w:val="30"/>
        </w:numPr>
        <w:autoSpaceDE w:val="0"/>
        <w:adjustRightInd w:val="0"/>
        <w:contextualSpacing/>
        <w:jc w:val="both"/>
      </w:pPr>
      <w:r>
        <w:t xml:space="preserve">Daily </w:t>
      </w:r>
      <w:r w:rsidR="004B289D">
        <w:t xml:space="preserve">fuel </w:t>
      </w:r>
      <w:r>
        <w:t>production</w:t>
      </w:r>
      <w:r w:rsidR="00F25013">
        <w:t xml:space="preserve"> (standard gallons)</w:t>
      </w:r>
      <w:r w:rsidR="001A055E">
        <w:t>.</w:t>
      </w:r>
    </w:p>
    <w:p w14:paraId="704B5476" w14:textId="77777777" w:rsidR="00487A47" w:rsidRDefault="00487A47" w:rsidP="00487A47">
      <w:pPr>
        <w:pStyle w:val="ListParagraph"/>
        <w:numPr>
          <w:ilvl w:val="0"/>
          <w:numId w:val="30"/>
        </w:numPr>
        <w:autoSpaceDE w:val="0"/>
        <w:adjustRightInd w:val="0"/>
        <w:contextualSpacing/>
        <w:jc w:val="both"/>
      </w:pPr>
      <w:r>
        <w:t>Daily 365-day rolling average lifecycle GHG emissions (kgCO</w:t>
      </w:r>
      <w:r w:rsidRPr="007168E6">
        <w:rPr>
          <w:vertAlign w:val="subscript"/>
        </w:rPr>
        <w:t>2</w:t>
      </w:r>
      <w:r>
        <w:t>e/mmBtu fuel) based on formulas specified by EPA.</w:t>
      </w:r>
    </w:p>
    <w:p w14:paraId="78BB628B" w14:textId="77777777" w:rsidR="00487A47" w:rsidRDefault="00487A47" w:rsidP="007E1161">
      <w:pPr>
        <w:pStyle w:val="ListParagraph"/>
        <w:autoSpaceDE w:val="0"/>
        <w:adjustRightInd w:val="0"/>
        <w:contextualSpacing/>
        <w:jc w:val="both"/>
      </w:pPr>
    </w:p>
    <w:p w14:paraId="68DF06D6" w14:textId="77777777" w:rsidR="003A374A" w:rsidRDefault="003A374A" w:rsidP="003A374A">
      <w:pPr>
        <w:pStyle w:val="ListParagraph"/>
        <w:autoSpaceDE w:val="0"/>
        <w:adjustRightInd w:val="0"/>
        <w:contextualSpacing/>
        <w:jc w:val="both"/>
      </w:pPr>
    </w:p>
    <w:p w14:paraId="4F162259" w14:textId="77777777" w:rsidR="00962E45" w:rsidRDefault="00962E45" w:rsidP="0050109B">
      <w:pPr>
        <w:ind w:firstLine="720"/>
      </w:pPr>
      <w:r>
        <w:t>Quarterly reports are due as follows:</w:t>
      </w:r>
    </w:p>
    <w:p w14:paraId="1F308BAC" w14:textId="77777777" w:rsidR="00962E45" w:rsidRDefault="00962E45" w:rsidP="003707DE">
      <w:r>
        <w:t xml:space="preserve"> </w:t>
      </w:r>
    </w:p>
    <w:p w14:paraId="246B0912" w14:textId="77777777" w:rsidR="00962E45" w:rsidRDefault="00962E45" w:rsidP="003707DE">
      <w:pPr>
        <w:jc w:val="center"/>
        <w:rPr>
          <w:b/>
        </w:rPr>
      </w:pPr>
      <w:r>
        <w:t>Quarterly Reporting Schedule for RFS2 Program</w:t>
      </w:r>
    </w:p>
    <w:p w14:paraId="3947CB3C" w14:textId="77777777" w:rsidR="00962E45" w:rsidRDefault="00962E45" w:rsidP="003707DE"/>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962E45" w14:paraId="20A969DF" w14:textId="77777777" w:rsidTr="001D16EA">
        <w:trPr>
          <w:jc w:val="center"/>
        </w:trPr>
        <w:tc>
          <w:tcPr>
            <w:tcW w:w="4428" w:type="dxa"/>
          </w:tcPr>
          <w:p w14:paraId="124C9285" w14:textId="77777777" w:rsidR="00962E45" w:rsidRDefault="00962E45" w:rsidP="001D16EA">
            <w:pPr>
              <w:jc w:val="center"/>
              <w:rPr>
                <w:b/>
              </w:rPr>
            </w:pPr>
            <w:r>
              <w:rPr>
                <w:b/>
              </w:rPr>
              <w:t>Quarter Covered by Quarterly Report</w:t>
            </w:r>
          </w:p>
        </w:tc>
        <w:tc>
          <w:tcPr>
            <w:tcW w:w="4428" w:type="dxa"/>
          </w:tcPr>
          <w:p w14:paraId="1E9DA401" w14:textId="77777777" w:rsidR="00962E45" w:rsidRDefault="00962E45" w:rsidP="001D16EA">
            <w:pPr>
              <w:jc w:val="center"/>
              <w:rPr>
                <w:b/>
              </w:rPr>
            </w:pPr>
            <w:r>
              <w:rPr>
                <w:b/>
              </w:rPr>
              <w:t>Due Date for Quarterly Report</w:t>
            </w:r>
          </w:p>
        </w:tc>
      </w:tr>
      <w:tr w:rsidR="00962E45" w14:paraId="44B4BE0E" w14:textId="77777777" w:rsidTr="001D16EA">
        <w:trPr>
          <w:jc w:val="center"/>
        </w:trPr>
        <w:tc>
          <w:tcPr>
            <w:tcW w:w="4428" w:type="dxa"/>
          </w:tcPr>
          <w:p w14:paraId="1E4F49A2" w14:textId="77777777" w:rsidR="00962E45" w:rsidRDefault="00962E45" w:rsidP="001D16EA">
            <w:pPr>
              <w:jc w:val="center"/>
            </w:pPr>
            <w:r>
              <w:t>January - March</w:t>
            </w:r>
          </w:p>
        </w:tc>
        <w:tc>
          <w:tcPr>
            <w:tcW w:w="4428" w:type="dxa"/>
          </w:tcPr>
          <w:p w14:paraId="62C8997A" w14:textId="668769F4" w:rsidR="00962E45" w:rsidRPr="00D32BD3" w:rsidRDefault="00E07F6D" w:rsidP="001D16EA">
            <w:pPr>
              <w:jc w:val="center"/>
              <w:rPr>
                <w:rFonts w:cs="Times New Roman"/>
              </w:rPr>
            </w:pPr>
            <w:r w:rsidRPr="00B04E6B">
              <w:rPr>
                <w:rFonts w:cs="Times New Roman"/>
                <w:color w:val="000000"/>
                <w:shd w:val="clear" w:color="auto" w:fill="FFFFFF"/>
              </w:rPr>
              <w:t>June 1.</w:t>
            </w:r>
          </w:p>
        </w:tc>
      </w:tr>
      <w:tr w:rsidR="00962E45" w14:paraId="6F04AA0E" w14:textId="77777777" w:rsidTr="001D16EA">
        <w:trPr>
          <w:jc w:val="center"/>
        </w:trPr>
        <w:tc>
          <w:tcPr>
            <w:tcW w:w="4428" w:type="dxa"/>
          </w:tcPr>
          <w:p w14:paraId="64EBE5AB" w14:textId="77777777" w:rsidR="00962E45" w:rsidRDefault="00962E45" w:rsidP="001D16EA">
            <w:pPr>
              <w:jc w:val="center"/>
            </w:pPr>
            <w:r>
              <w:t>April - June</w:t>
            </w:r>
          </w:p>
        </w:tc>
        <w:tc>
          <w:tcPr>
            <w:tcW w:w="4428" w:type="dxa"/>
          </w:tcPr>
          <w:p w14:paraId="48D6AF02" w14:textId="73F8904D" w:rsidR="00962E45" w:rsidRPr="00D32BD3" w:rsidRDefault="00E07F6D" w:rsidP="001D16EA">
            <w:pPr>
              <w:jc w:val="center"/>
              <w:rPr>
                <w:rFonts w:cs="Times New Roman"/>
              </w:rPr>
            </w:pPr>
            <w:r w:rsidRPr="00B04E6B">
              <w:rPr>
                <w:rFonts w:cs="Times New Roman"/>
                <w:color w:val="000000"/>
                <w:shd w:val="clear" w:color="auto" w:fill="FFFFFF"/>
              </w:rPr>
              <w:t>September 1.</w:t>
            </w:r>
          </w:p>
        </w:tc>
      </w:tr>
      <w:tr w:rsidR="00962E45" w14:paraId="460F2955" w14:textId="77777777" w:rsidTr="001D16EA">
        <w:trPr>
          <w:jc w:val="center"/>
        </w:trPr>
        <w:tc>
          <w:tcPr>
            <w:tcW w:w="4428" w:type="dxa"/>
          </w:tcPr>
          <w:p w14:paraId="20FCBC1F" w14:textId="77777777" w:rsidR="00962E45" w:rsidRDefault="00962E45" w:rsidP="001D16EA">
            <w:pPr>
              <w:jc w:val="center"/>
            </w:pPr>
            <w:r>
              <w:t>July - September</w:t>
            </w:r>
          </w:p>
        </w:tc>
        <w:tc>
          <w:tcPr>
            <w:tcW w:w="4428" w:type="dxa"/>
          </w:tcPr>
          <w:p w14:paraId="1AC9AD6F" w14:textId="21C4D1EF" w:rsidR="00962E45" w:rsidRPr="00D32BD3" w:rsidRDefault="00E07F6D" w:rsidP="001D16EA">
            <w:pPr>
              <w:jc w:val="center"/>
              <w:rPr>
                <w:rFonts w:cs="Times New Roman"/>
              </w:rPr>
            </w:pPr>
            <w:r w:rsidRPr="00B04E6B">
              <w:rPr>
                <w:rFonts w:cs="Times New Roman"/>
                <w:color w:val="000000"/>
                <w:shd w:val="clear" w:color="auto" w:fill="FFFFFF"/>
              </w:rPr>
              <w:t>December 1.</w:t>
            </w:r>
          </w:p>
        </w:tc>
      </w:tr>
      <w:tr w:rsidR="00962E45" w14:paraId="4F3D6ECD" w14:textId="77777777" w:rsidTr="001D16EA">
        <w:trPr>
          <w:jc w:val="center"/>
        </w:trPr>
        <w:tc>
          <w:tcPr>
            <w:tcW w:w="4428" w:type="dxa"/>
          </w:tcPr>
          <w:p w14:paraId="4EB16996" w14:textId="77777777" w:rsidR="00962E45" w:rsidRDefault="00962E45" w:rsidP="001D16EA">
            <w:pPr>
              <w:jc w:val="center"/>
            </w:pPr>
            <w:r>
              <w:t>October - December</w:t>
            </w:r>
          </w:p>
        </w:tc>
        <w:tc>
          <w:tcPr>
            <w:tcW w:w="4428" w:type="dxa"/>
          </w:tcPr>
          <w:p w14:paraId="072C72D1" w14:textId="16B69053" w:rsidR="00962E45" w:rsidRPr="00D32BD3" w:rsidRDefault="00E07F6D" w:rsidP="001D16EA">
            <w:pPr>
              <w:jc w:val="center"/>
              <w:rPr>
                <w:rFonts w:cs="Times New Roman"/>
              </w:rPr>
            </w:pPr>
            <w:r w:rsidRPr="00B04E6B">
              <w:rPr>
                <w:rFonts w:cs="Times New Roman"/>
                <w:color w:val="000000"/>
                <w:shd w:val="clear" w:color="auto" w:fill="FFFFFF"/>
              </w:rPr>
              <w:t>March 31.</w:t>
            </w:r>
          </w:p>
        </w:tc>
      </w:tr>
    </w:tbl>
    <w:p w14:paraId="02D09521" w14:textId="77777777" w:rsidR="00962E45" w:rsidRDefault="001D16EA" w:rsidP="003707DE">
      <w:r>
        <w:br w:type="textWrapping" w:clear="all"/>
      </w:r>
      <w:r w:rsidR="00962E45">
        <w:t xml:space="preserve">        </w:t>
      </w:r>
      <w:r w:rsidR="00354E9A">
        <w:tab/>
      </w:r>
    </w:p>
    <w:p w14:paraId="16F5C09F" w14:textId="77777777" w:rsidR="00962E45" w:rsidRDefault="00354E9A">
      <w:pPr>
        <w:pStyle w:val="Standard"/>
      </w:pPr>
      <w:r w:rsidRPr="00247494">
        <w:tab/>
      </w:r>
      <w:r w:rsidR="00962E45">
        <w:t xml:space="preserve"> </w:t>
      </w:r>
    </w:p>
    <w:p w14:paraId="6CEB5EFD" w14:textId="77777777" w:rsidR="00962E45" w:rsidRDefault="00962E45">
      <w:pPr>
        <w:pStyle w:val="Standard"/>
      </w:pPr>
      <w:r>
        <w:t>5.</w:t>
      </w:r>
      <w:r>
        <w:tab/>
        <w:t>The Information Collected, Agency Activities, Collection Methodology, and Information Management</w:t>
      </w:r>
    </w:p>
    <w:p w14:paraId="1CA80ED7" w14:textId="77777777" w:rsidR="00962E45" w:rsidRDefault="00962E45">
      <w:pPr>
        <w:pStyle w:val="Standard"/>
      </w:pPr>
    </w:p>
    <w:p w14:paraId="764E1C8D" w14:textId="77777777" w:rsidR="00962E45" w:rsidRDefault="00962E45">
      <w:pPr>
        <w:pStyle w:val="Standard"/>
      </w:pPr>
      <w:r>
        <w:tab/>
        <w:t>a.</w:t>
      </w:r>
      <w:r>
        <w:tab/>
        <w:t>Agency Activities</w:t>
      </w:r>
    </w:p>
    <w:p w14:paraId="2DAA543F" w14:textId="77777777" w:rsidR="00962E45" w:rsidRDefault="00962E45" w:rsidP="009C2075">
      <w:pPr>
        <w:pStyle w:val="Standard"/>
      </w:pPr>
    </w:p>
    <w:p w14:paraId="7A6EB4A6" w14:textId="74CB731A" w:rsidR="00AC7D12" w:rsidRDefault="00AC7D12" w:rsidP="009C2075">
      <w:pPr>
        <w:pStyle w:val="Standard"/>
        <w:numPr>
          <w:ilvl w:val="0"/>
          <w:numId w:val="26"/>
        </w:numPr>
        <w:tabs>
          <w:tab w:val="left" w:pos="2160"/>
        </w:tabs>
      </w:pPr>
      <w:r>
        <w:t xml:space="preserve">EPA will develop a </w:t>
      </w:r>
      <w:r w:rsidR="00DB72DB">
        <w:t>data</w:t>
      </w:r>
      <w:r>
        <w:t xml:space="preserve"> form for the </w:t>
      </w:r>
      <w:r w:rsidR="001A055E">
        <w:t>quarterly RIN generation report</w:t>
      </w:r>
      <w:r>
        <w:t xml:space="preserve"> and a </w:t>
      </w:r>
      <w:r w:rsidR="00345E2E">
        <w:t xml:space="preserve">questionnaire </w:t>
      </w:r>
      <w:r w:rsidR="00966E3F">
        <w:t>form</w:t>
      </w:r>
      <w:r w:rsidR="00D40A58">
        <w:t xml:space="preserve"> </w:t>
      </w:r>
      <w:r>
        <w:t>for cellulosic biofuel producers.</w:t>
      </w:r>
    </w:p>
    <w:p w14:paraId="04153440" w14:textId="77777777" w:rsidR="0007773B" w:rsidRDefault="0007773B" w:rsidP="009C2075">
      <w:pPr>
        <w:pStyle w:val="Standard"/>
        <w:numPr>
          <w:ilvl w:val="0"/>
          <w:numId w:val="26"/>
        </w:numPr>
        <w:tabs>
          <w:tab w:val="left" w:pos="2160"/>
        </w:tabs>
      </w:pPr>
      <w:r>
        <w:t>R</w:t>
      </w:r>
      <w:r w:rsidR="00AC7D12">
        <w:t>eport</w:t>
      </w:r>
      <w:r w:rsidR="00DB72DB">
        <w:t>ing data forms</w:t>
      </w:r>
      <w:r w:rsidR="00AC7D12">
        <w:t xml:space="preserve"> </w:t>
      </w:r>
      <w:r>
        <w:t xml:space="preserve">may </w:t>
      </w:r>
      <w:r w:rsidR="00962E45">
        <w:t>be reviewed by EPA for completeness</w:t>
      </w:r>
      <w:r w:rsidR="00AC7D12">
        <w:t xml:space="preserve">. </w:t>
      </w:r>
    </w:p>
    <w:p w14:paraId="3C823D1D" w14:textId="77777777" w:rsidR="00962E45" w:rsidRDefault="001A055E" w:rsidP="009C2075">
      <w:pPr>
        <w:pStyle w:val="Standard"/>
        <w:numPr>
          <w:ilvl w:val="0"/>
          <w:numId w:val="26"/>
        </w:numPr>
        <w:tabs>
          <w:tab w:val="left" w:pos="2160"/>
        </w:tabs>
      </w:pPr>
      <w:r>
        <w:t>The efficient producer data form</w:t>
      </w:r>
      <w:r w:rsidR="00AC7D12">
        <w:t xml:space="preserve"> </w:t>
      </w:r>
      <w:r w:rsidR="002245ED">
        <w:t xml:space="preserve">may </w:t>
      </w:r>
      <w:r w:rsidR="00AC7D12">
        <w:t>be reviewed</w:t>
      </w:r>
      <w:r w:rsidR="00962E45">
        <w:t xml:space="preserve"> for potential violations.</w:t>
      </w:r>
    </w:p>
    <w:p w14:paraId="6B6F4E69" w14:textId="77777777" w:rsidR="00962E45" w:rsidRDefault="00962E45" w:rsidP="009C2075">
      <w:pPr>
        <w:pStyle w:val="Standard"/>
        <w:numPr>
          <w:ilvl w:val="0"/>
          <w:numId w:val="26"/>
        </w:numPr>
        <w:tabs>
          <w:tab w:val="left" w:pos="2160"/>
        </w:tabs>
      </w:pPr>
      <w:r>
        <w:t xml:space="preserve">Potential </w:t>
      </w:r>
      <w:r w:rsidR="00AC7D12">
        <w:t xml:space="preserve">report </w:t>
      </w:r>
      <w:r>
        <w:t>violations will be referred to enforcement personnel.</w:t>
      </w:r>
    </w:p>
    <w:p w14:paraId="281FF9EC" w14:textId="77777777" w:rsidR="00962E45" w:rsidRDefault="00D528B6" w:rsidP="00271338">
      <w:pPr>
        <w:pStyle w:val="Standard"/>
        <w:numPr>
          <w:ilvl w:val="0"/>
          <w:numId w:val="26"/>
        </w:numPr>
        <w:tabs>
          <w:tab w:val="left" w:pos="2160"/>
        </w:tabs>
      </w:pPr>
      <w:r>
        <w:t>R</w:t>
      </w:r>
      <w:r w:rsidR="00962E45">
        <w:t xml:space="preserve">eporting parties </w:t>
      </w:r>
      <w:r>
        <w:t xml:space="preserve">will be contacted </w:t>
      </w:r>
      <w:r w:rsidR="00962E45">
        <w:t>if</w:t>
      </w:r>
      <w:r>
        <w:t xml:space="preserve"> there is a problem with their </w:t>
      </w:r>
      <w:r w:rsidR="00AC7D12">
        <w:t>submission.</w:t>
      </w:r>
    </w:p>
    <w:p w14:paraId="6DC39C3D" w14:textId="77777777" w:rsidR="00AC7D12" w:rsidRDefault="00AC7D12" w:rsidP="00271338">
      <w:pPr>
        <w:pStyle w:val="Standard"/>
        <w:numPr>
          <w:ilvl w:val="0"/>
          <w:numId w:val="26"/>
        </w:numPr>
        <w:tabs>
          <w:tab w:val="left" w:pos="2160"/>
        </w:tabs>
      </w:pPr>
      <w:r>
        <w:lastRenderedPageBreak/>
        <w:t>EPA will store data received.</w:t>
      </w:r>
    </w:p>
    <w:p w14:paraId="044DB145" w14:textId="77777777" w:rsidR="00D40A58" w:rsidRDefault="00D40A58" w:rsidP="00271338">
      <w:pPr>
        <w:pStyle w:val="Standard"/>
        <w:numPr>
          <w:ilvl w:val="0"/>
          <w:numId w:val="26"/>
        </w:numPr>
        <w:tabs>
          <w:tab w:val="left" w:pos="2160"/>
        </w:tabs>
      </w:pPr>
      <w:r>
        <w:t>EPA may contact reporting parties for clarification of information submitted</w:t>
      </w:r>
      <w:r w:rsidR="00CD6C92">
        <w:t>.</w:t>
      </w:r>
    </w:p>
    <w:p w14:paraId="33966721" w14:textId="77777777" w:rsidR="00AC7D12" w:rsidRDefault="00AC7D12" w:rsidP="00AC7D12">
      <w:pPr>
        <w:pStyle w:val="Standard"/>
        <w:ind w:left="720"/>
      </w:pPr>
    </w:p>
    <w:p w14:paraId="2BFF2645" w14:textId="77777777" w:rsidR="00962E45" w:rsidRDefault="00962E45" w:rsidP="00AC7D12">
      <w:pPr>
        <w:pStyle w:val="Standard"/>
        <w:ind w:firstLine="720"/>
      </w:pPr>
      <w:r>
        <w:t xml:space="preserve">b. </w:t>
      </w:r>
      <w:r>
        <w:tab/>
        <w:t>Collection and Methodology and Management</w:t>
      </w:r>
    </w:p>
    <w:p w14:paraId="766BF144" w14:textId="77777777" w:rsidR="00962E45" w:rsidRDefault="00962E45">
      <w:pPr>
        <w:pStyle w:val="Standard"/>
        <w:ind w:firstLine="720"/>
      </w:pPr>
    </w:p>
    <w:p w14:paraId="2613B37E" w14:textId="608937F3" w:rsidR="001D579B" w:rsidRDefault="001D579B" w:rsidP="001D579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w:t>
      </w:r>
      <w:r w:rsidR="00931957">
        <w:t>C</w:t>
      </w:r>
      <w:r>
        <w:t>ollection methodology and management of the information collected is similar to the process used for other 40 CFR Part 80 fuel</w:t>
      </w:r>
      <w:r w:rsidR="00931957">
        <w:t>s</w:t>
      </w:r>
      <w:r>
        <w:t xml:space="preserve"> programs.  The information must be reported electronically via a format specified by the Administrator.  </w:t>
      </w:r>
      <w:r w:rsidR="00C753BC">
        <w:t xml:space="preserve">EPA anticipates receiving reports from producers which will include the collection instrument in a simplified and secure fashion via the Agency’s electronic Central Data Exchange (CDX).  Information claimed as CBI will be stored in appropriately controlled areas. </w:t>
      </w:r>
      <w:r w:rsidR="001A055E">
        <w:t xml:space="preserve"> </w:t>
      </w:r>
      <w:r w:rsidR="00C753BC">
        <w:t>W</w:t>
      </w:r>
      <w:r>
        <w:t>hen the submittal is received, EPA will review it for completeness</w:t>
      </w:r>
      <w:r w:rsidR="00931957">
        <w:t>.</w:t>
      </w:r>
      <w:r>
        <w:t xml:space="preserve"> </w:t>
      </w:r>
      <w:r w:rsidR="001A055E">
        <w:t xml:space="preserve"> </w:t>
      </w:r>
      <w:r>
        <w:t xml:space="preserve">EPA may also review respondents' records as a part of its enforcement effort to ensure the accuracy and validity of the data submitted. </w:t>
      </w:r>
      <w:r w:rsidR="001A055E">
        <w:t xml:space="preserve"> </w:t>
      </w:r>
      <w:r>
        <w:t>Non-confidential data will be made available upon request.</w:t>
      </w:r>
      <w:r w:rsidR="00C753BC">
        <w:t xml:space="preserve">  EPA </w:t>
      </w:r>
      <w:r w:rsidR="00D40A58">
        <w:t xml:space="preserve">also </w:t>
      </w:r>
      <w:r w:rsidR="00C753BC">
        <w:t xml:space="preserve">anticipates receiving </w:t>
      </w:r>
      <w:r w:rsidR="00966E3F">
        <w:t>data forms</w:t>
      </w:r>
      <w:r w:rsidR="00D40A58">
        <w:t xml:space="preserve"> </w:t>
      </w:r>
      <w:r w:rsidR="00C753BC">
        <w:t xml:space="preserve">from cellulosic biofuel producers </w:t>
      </w:r>
      <w:r w:rsidR="00D40A58">
        <w:t>through CDX.  Information claimed as CBI will similarly be stored in appropriately controlled areas.  The information contained in the</w:t>
      </w:r>
      <w:r w:rsidR="00C22BEC">
        <w:t xml:space="preserve"> cellulosic biofuel producer questionnaire forms </w:t>
      </w:r>
      <w:r w:rsidR="00D40A58">
        <w:t xml:space="preserve">will be used to inform EPA’s projections of cellulosic biofuel production for use in establishing our annual standards under the RFS program. </w:t>
      </w:r>
    </w:p>
    <w:p w14:paraId="5CD9B0EE" w14:textId="77777777" w:rsidR="00962E45" w:rsidRDefault="00962E45">
      <w:pPr>
        <w:pStyle w:val="Standard"/>
        <w:ind w:firstLine="720"/>
      </w:pPr>
    </w:p>
    <w:p w14:paraId="2665713B" w14:textId="77777777" w:rsidR="00962E45" w:rsidRDefault="00962E45">
      <w:pPr>
        <w:pStyle w:val="Standard"/>
      </w:pPr>
      <w:r>
        <w:tab/>
        <w:t>c.</w:t>
      </w:r>
      <w:r>
        <w:tab/>
        <w:t xml:space="preserve">Small Entity Flexibility    </w:t>
      </w:r>
    </w:p>
    <w:p w14:paraId="1CB5A4F3" w14:textId="77777777" w:rsidR="00962E45" w:rsidRDefault="00962E45">
      <w:pPr>
        <w:pStyle w:val="Standard"/>
      </w:pPr>
    </w:p>
    <w:p w14:paraId="7F85C0CF" w14:textId="77777777" w:rsidR="00962E45" w:rsidRDefault="001A1CDB" w:rsidP="001A1CDB">
      <w:pPr>
        <w:pStyle w:val="Standard"/>
        <w:ind w:firstLine="720"/>
        <w:rPr>
          <w:rFonts w:cs="Times New Roman"/>
        </w:rPr>
      </w:pPr>
      <w:r>
        <w:rPr>
          <w:rFonts w:cs="Times New Roman"/>
        </w:rPr>
        <w:t xml:space="preserve">This collection will not adversely affect small entities.  </w:t>
      </w:r>
      <w:r w:rsidRPr="005C4F80">
        <w:rPr>
          <w:rFonts w:cs="Times New Roman"/>
        </w:rPr>
        <w:t xml:space="preserve">The flexibility provisions that are available to small entities are found in 40 CFR </w:t>
      </w:r>
      <w:r w:rsidRPr="005C4F80">
        <w:rPr>
          <w:rStyle w:val="st1"/>
          <w:rFonts w:cs="Times New Roman"/>
          <w:color w:val="222222"/>
        </w:rPr>
        <w:t xml:space="preserve">§ </w:t>
      </w:r>
      <w:r w:rsidRPr="005C4F80">
        <w:rPr>
          <w:rStyle w:val="st1"/>
          <w:rFonts w:cs="Times New Roman"/>
          <w:bCs/>
          <w:color w:val="000000"/>
        </w:rPr>
        <w:t xml:space="preserve">80.1441 and </w:t>
      </w:r>
      <w:r w:rsidRPr="005C4F80">
        <w:rPr>
          <w:rStyle w:val="st1"/>
          <w:rFonts w:cs="Times New Roman"/>
          <w:color w:val="222222"/>
        </w:rPr>
        <w:t xml:space="preserve">§ </w:t>
      </w:r>
      <w:r w:rsidRPr="005C4F80">
        <w:rPr>
          <w:rStyle w:val="st1"/>
          <w:rFonts w:cs="Times New Roman"/>
          <w:bCs/>
          <w:color w:val="000000"/>
        </w:rPr>
        <w:t>80.1442</w:t>
      </w:r>
      <w:r w:rsidRPr="005C4F80">
        <w:rPr>
          <w:rFonts w:cs="Times New Roman"/>
        </w:rPr>
        <w:t xml:space="preserve">.  These refiners have less than 1,500 employees corporate-wide and corporate average crude oil capacity less than or equal to 155,000 barrels per calendar day.  There are only six refiners that meet this definition registered in DCFUEL under the RFS2 program.  </w:t>
      </w:r>
    </w:p>
    <w:p w14:paraId="4942D0CA" w14:textId="77777777" w:rsidR="001A1CDB" w:rsidRDefault="001A1CDB" w:rsidP="001A1CDB">
      <w:pPr>
        <w:pStyle w:val="Standard"/>
        <w:ind w:firstLine="720"/>
      </w:pPr>
    </w:p>
    <w:p w14:paraId="2350BE82" w14:textId="77777777" w:rsidR="00962E45" w:rsidRDefault="00962E45">
      <w:pPr>
        <w:pStyle w:val="Standard"/>
      </w:pPr>
      <w:r>
        <w:tab/>
        <w:t>d.</w:t>
      </w:r>
      <w:r>
        <w:tab/>
        <w:t xml:space="preserve">Collection Schedule </w:t>
      </w:r>
    </w:p>
    <w:p w14:paraId="6BA954FE" w14:textId="77777777" w:rsidR="00962E45" w:rsidRDefault="00962E45">
      <w:pPr>
        <w:pStyle w:val="Standard"/>
      </w:pPr>
    </w:p>
    <w:p w14:paraId="5A2E9752" w14:textId="566CF1E7" w:rsidR="00962E45" w:rsidRDefault="00962E45">
      <w:pPr>
        <w:pStyle w:val="Standard"/>
      </w:pPr>
      <w:r>
        <w:tab/>
      </w:r>
      <w:r w:rsidR="001A1CDB">
        <w:t xml:space="preserve">The </w:t>
      </w:r>
      <w:r w:rsidR="001A055E">
        <w:t>efficient producer data form</w:t>
      </w:r>
      <w:r w:rsidR="00992C9C">
        <w:t xml:space="preserve"> </w:t>
      </w:r>
      <w:r w:rsidR="00CF2E54">
        <w:t xml:space="preserve">will be </w:t>
      </w:r>
      <w:r w:rsidR="001A1CDB">
        <w:t xml:space="preserve">submitted quarterly.  </w:t>
      </w:r>
      <w:r w:rsidR="00C22BEC">
        <w:t>The cellulosic biofuel producer questionnaire</w:t>
      </w:r>
      <w:r w:rsidR="00966E3F">
        <w:t xml:space="preserve"> forms</w:t>
      </w:r>
      <w:r w:rsidR="00D40A58">
        <w:t xml:space="preserve"> will be</w:t>
      </w:r>
      <w:r w:rsidR="001A1CDB">
        <w:t xml:space="preserve"> submitted annually. </w:t>
      </w:r>
    </w:p>
    <w:p w14:paraId="48701927" w14:textId="77777777" w:rsidR="0010232D" w:rsidRDefault="0010232D">
      <w:pPr>
        <w:pStyle w:val="Standard"/>
      </w:pPr>
    </w:p>
    <w:p w14:paraId="0F81CA62" w14:textId="77777777" w:rsidR="00962E45" w:rsidRDefault="00962E45">
      <w:pPr>
        <w:pStyle w:val="Standard"/>
      </w:pPr>
      <w:r>
        <w:t>6.</w:t>
      </w:r>
      <w:r>
        <w:tab/>
      </w:r>
      <w:r>
        <w:rPr>
          <w:u w:val="single"/>
        </w:rPr>
        <w:t xml:space="preserve">Estimating the Burden and Cost of Collection  </w:t>
      </w:r>
    </w:p>
    <w:p w14:paraId="013DC395" w14:textId="77777777" w:rsidR="00962E45" w:rsidRDefault="00962E45">
      <w:pPr>
        <w:pStyle w:val="Standard"/>
      </w:pPr>
    </w:p>
    <w:p w14:paraId="3984E486" w14:textId="77777777" w:rsidR="00962E45" w:rsidRDefault="00962E45">
      <w:pPr>
        <w:pStyle w:val="Standard"/>
        <w:ind w:firstLine="720"/>
      </w:pPr>
      <w:r>
        <w:t>a.</w:t>
      </w:r>
      <w:r>
        <w:tab/>
        <w:t>Estimating the Respondent Universe</w:t>
      </w:r>
    </w:p>
    <w:p w14:paraId="3A3FC7C4" w14:textId="77777777" w:rsidR="00962E45" w:rsidRDefault="00962E45">
      <w:pPr>
        <w:pStyle w:val="Standard"/>
      </w:pPr>
    </w:p>
    <w:p w14:paraId="3BDF7C66" w14:textId="77777777" w:rsidR="00962E45" w:rsidRDefault="00962E45">
      <w:pPr>
        <w:pStyle w:val="Standard"/>
      </w:pPr>
      <w:r>
        <w:tab/>
        <w:t xml:space="preserve">We drew upon experience implementing RFS2 and </w:t>
      </w:r>
      <w:r w:rsidR="00C670B7">
        <w:t>previous EPA fuel programs</w:t>
      </w:r>
      <w:r>
        <w:t xml:space="preserve"> among the same entities to develop estimates of the burden associated with this collection</w:t>
      </w:r>
      <w:r w:rsidR="00D84D2B">
        <w:t xml:space="preserve">. </w:t>
      </w:r>
      <w:r w:rsidR="001A055E">
        <w:t xml:space="preserve"> </w:t>
      </w:r>
      <w:r w:rsidR="00135F5F">
        <w:t xml:space="preserve">The number of each participating party was based on the number of </w:t>
      </w:r>
      <w:r w:rsidR="0023441C">
        <w:t xml:space="preserve">efficient producer </w:t>
      </w:r>
      <w:r w:rsidR="00135F5F">
        <w:t xml:space="preserve">petitions EPA has received and the number of </w:t>
      </w:r>
      <w:r w:rsidR="00D40A58">
        <w:t xml:space="preserve">facilities registered as </w:t>
      </w:r>
      <w:r w:rsidR="00135F5F">
        <w:t xml:space="preserve">cellulosic </w:t>
      </w:r>
      <w:r w:rsidR="00D40A58">
        <w:t xml:space="preserve">biofuel </w:t>
      </w:r>
      <w:r w:rsidR="00135F5F">
        <w:t xml:space="preserve">producers. </w:t>
      </w:r>
      <w:r w:rsidR="00DC6DBF">
        <w:t xml:space="preserve"> The time per response assumptions came from EPA’s experience implementing the RFS program and having knowledge from industry on how long it takes to produce compliance documents and entry of data in the Central Data Exchange (CDX) and EPA Moderated Transaction System (EMTS). </w:t>
      </w:r>
      <w:r w:rsidR="00973537">
        <w:t xml:space="preserve"> </w:t>
      </w:r>
    </w:p>
    <w:p w14:paraId="07B438DD" w14:textId="77777777" w:rsidR="00962E45" w:rsidRDefault="00962E45">
      <w:pPr>
        <w:pStyle w:val="Standard"/>
      </w:pPr>
    </w:p>
    <w:p w14:paraId="27F627AA" w14:textId="77777777" w:rsidR="00962E45" w:rsidRDefault="00E65129">
      <w:pPr>
        <w:pStyle w:val="Standard"/>
        <w:ind w:firstLine="720"/>
      </w:pPr>
      <w:r>
        <w:t xml:space="preserve"> </w:t>
      </w:r>
      <w:r w:rsidR="00962E45">
        <w:t>b.</w:t>
      </w:r>
      <w:r w:rsidR="00962E45">
        <w:tab/>
        <w:t>Estimating the Respondent Burden and Cost</w:t>
      </w:r>
    </w:p>
    <w:p w14:paraId="295C7322" w14:textId="77777777" w:rsidR="00962E45" w:rsidRDefault="00962E45">
      <w:pPr>
        <w:pStyle w:val="Standard"/>
      </w:pPr>
    </w:p>
    <w:p w14:paraId="5AB9B90A" w14:textId="66A3D2F8" w:rsidR="00962E45" w:rsidRDefault="00962E45">
      <w:pPr>
        <w:pStyle w:val="Standard"/>
      </w:pPr>
      <w:r>
        <w:lastRenderedPageBreak/>
        <w:tab/>
        <w:t xml:space="preserve">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2012), with a </w:t>
      </w:r>
      <w:r w:rsidR="001B5DF9">
        <w:t xml:space="preserve">three percent </w:t>
      </w:r>
      <w:r>
        <w:t>annual inflation factor applied to bring the values to the present</w:t>
      </w:r>
      <w:r w:rsidR="00D84D2B">
        <w:t xml:space="preserve">. </w:t>
      </w:r>
      <w:r w:rsidR="00CF2E54">
        <w:t xml:space="preserve"> </w:t>
      </w:r>
      <w:r>
        <w:t>Using this method, the following wages and benefits apply by category:</w:t>
      </w:r>
    </w:p>
    <w:p w14:paraId="21FC9EBC" w14:textId="77777777" w:rsidR="00962E45" w:rsidRDefault="00962E45">
      <w:pPr>
        <w:pStyle w:val="Standard"/>
      </w:pPr>
    </w:p>
    <w:p w14:paraId="73624D90" w14:textId="77777777" w:rsidR="00962E45" w:rsidRDefault="00962E45">
      <w:pPr>
        <w:pStyle w:val="Standard"/>
        <w:rPr>
          <w:u w:val="single"/>
        </w:rPr>
      </w:pPr>
      <w:r>
        <w:rPr>
          <w:u w:val="single"/>
        </w:rPr>
        <w:t>Wages and Benefits – Petroleum and Coal Products Manufacturing</w:t>
      </w:r>
    </w:p>
    <w:p w14:paraId="1D468127" w14:textId="77777777" w:rsidR="00962E45" w:rsidRDefault="00962E45">
      <w:pPr>
        <w:pStyle w:val="Standard"/>
        <w:rPr>
          <w:u w:val="single"/>
        </w:rPr>
      </w:pPr>
    </w:p>
    <w:p w14:paraId="34D5881D" w14:textId="77777777" w:rsidR="00962E45" w:rsidRDefault="00962E45">
      <w:pPr>
        <w:pStyle w:val="Standard"/>
      </w:pPr>
      <w:r>
        <w:t xml:space="preserve">Managerial    </w:t>
      </w:r>
      <w:r>
        <w:tab/>
      </w:r>
      <w:r>
        <w:tab/>
        <w:t>$67.44   per hour</w:t>
      </w:r>
    </w:p>
    <w:p w14:paraId="7ED39D4B" w14:textId="77777777" w:rsidR="00962E45" w:rsidRDefault="00962E45">
      <w:pPr>
        <w:pStyle w:val="Standard"/>
      </w:pPr>
      <w:r>
        <w:t>Technical</w:t>
      </w:r>
      <w:r>
        <w:tab/>
      </w:r>
      <w:r>
        <w:tab/>
        <w:t>$65.56   per hour</w:t>
      </w:r>
    </w:p>
    <w:p w14:paraId="17464182" w14:textId="77777777" w:rsidR="00962E45" w:rsidRDefault="00962E45">
      <w:pPr>
        <w:pStyle w:val="Standard"/>
      </w:pPr>
      <w:r>
        <w:t>Clerical</w:t>
      </w:r>
      <w:r>
        <w:tab/>
      </w:r>
      <w:r>
        <w:tab/>
        <w:t>$22.17   per hour</w:t>
      </w:r>
    </w:p>
    <w:p w14:paraId="7D4BC40E" w14:textId="77777777" w:rsidR="00962E45" w:rsidRDefault="00962E45">
      <w:pPr>
        <w:pStyle w:val="Standard"/>
      </w:pPr>
    </w:p>
    <w:p w14:paraId="5EAD5741" w14:textId="77777777" w:rsidR="00962E45" w:rsidRDefault="00962E45">
      <w:pPr>
        <w:pStyle w:val="Standard"/>
      </w:pPr>
      <w:r>
        <w:t>Doubling for company overhead beyond wages and benefits, and for convenience, rounding up to the dollar, gives the following rates for this ICR:</w:t>
      </w:r>
    </w:p>
    <w:p w14:paraId="3AF9305B" w14:textId="77777777" w:rsidR="00962E45" w:rsidRDefault="00962E45">
      <w:pPr>
        <w:pStyle w:val="Standard"/>
      </w:pPr>
    </w:p>
    <w:p w14:paraId="04C0E170" w14:textId="77777777" w:rsidR="00962E45" w:rsidRDefault="00962E45">
      <w:pPr>
        <w:pStyle w:val="Standard"/>
        <w:rPr>
          <w:u w:val="single"/>
        </w:rPr>
      </w:pPr>
      <w:r>
        <w:rPr>
          <w:u w:val="single"/>
        </w:rPr>
        <w:t>Total Employer Cost</w:t>
      </w:r>
    </w:p>
    <w:p w14:paraId="76953903" w14:textId="77777777" w:rsidR="00962E45" w:rsidRDefault="00962E45">
      <w:pPr>
        <w:pStyle w:val="Standard"/>
      </w:pPr>
    </w:p>
    <w:p w14:paraId="55B91230" w14:textId="77777777" w:rsidR="00962E45" w:rsidRDefault="00962E45">
      <w:pPr>
        <w:pStyle w:val="Standard"/>
      </w:pPr>
      <w:r>
        <w:t>Managerial</w:t>
      </w:r>
      <w:r>
        <w:tab/>
      </w:r>
      <w:r>
        <w:tab/>
        <w:t>$135.00   per hour</w:t>
      </w:r>
    </w:p>
    <w:p w14:paraId="37FB9D12" w14:textId="77777777" w:rsidR="00962E45" w:rsidRDefault="00962E45">
      <w:pPr>
        <w:pStyle w:val="Standard"/>
      </w:pPr>
      <w:r>
        <w:t>Technical</w:t>
      </w:r>
      <w:r>
        <w:tab/>
      </w:r>
      <w:r>
        <w:tab/>
        <w:t>$131.00   per hour</w:t>
      </w:r>
    </w:p>
    <w:p w14:paraId="4AC58904" w14:textId="77777777" w:rsidR="00962E45" w:rsidRDefault="00962E45">
      <w:pPr>
        <w:pStyle w:val="Standard"/>
      </w:pPr>
      <w:r>
        <w:t>Clerical</w:t>
      </w:r>
      <w:r>
        <w:tab/>
      </w:r>
      <w:r>
        <w:tab/>
        <w:t>$  44.00   per hour</w:t>
      </w:r>
    </w:p>
    <w:p w14:paraId="17263140" w14:textId="77777777" w:rsidR="00962E45" w:rsidRDefault="00962E45">
      <w:pPr>
        <w:pStyle w:val="Standard"/>
      </w:pPr>
    </w:p>
    <w:p w14:paraId="2F3C3313" w14:textId="0B4D6856" w:rsidR="00962E45" w:rsidRDefault="00962E45">
      <w:pPr>
        <w:pStyle w:val="Standard"/>
      </w:pPr>
      <w:r>
        <w:t>It is assumed that for each hour of activity the mix will be about 0.</w:t>
      </w:r>
      <w:r w:rsidR="004A4697">
        <w:t>3</w:t>
      </w:r>
      <w:r>
        <w:t xml:space="preserve"> hour managerial, 0.</w:t>
      </w:r>
      <w:r w:rsidR="004A4697">
        <w:t>5</w:t>
      </w:r>
      <w:r>
        <w:t xml:space="preserve"> hour technical, and 0.2 hour clerical</w:t>
      </w:r>
      <w:r w:rsidR="00D84D2B">
        <w:t xml:space="preserve">. </w:t>
      </w:r>
      <w:r w:rsidR="003E0C90">
        <w:t xml:space="preserve"> </w:t>
      </w:r>
      <w:r>
        <w:t>This gives an average labor cost of $11</w:t>
      </w:r>
      <w:r w:rsidR="00975622">
        <w:t>6</w:t>
      </w:r>
      <w:r>
        <w:t xml:space="preserve"> per hour, which will be used in this ICR</w:t>
      </w:r>
      <w:r w:rsidR="00E01845">
        <w:t xml:space="preserve"> for purposes of calculating burdens associated with the RFS Efficient Producer Data form</w:t>
      </w:r>
      <w:r w:rsidR="003E0C90">
        <w:t>.</w:t>
      </w:r>
      <w:r>
        <w:t xml:space="preserve"> </w:t>
      </w:r>
      <w:r w:rsidR="003E0C90">
        <w:t xml:space="preserve"> </w:t>
      </w:r>
      <w:r w:rsidR="00E01845">
        <w:t xml:space="preserve">For purposes of calculating burdens associated with the RFS Cellulosic Biofuel Producer Questionnaire Form, it is assumed that for each hour of activity the mix will be about 0.1 hour managerial, 0.7 hour technical, and 0.2 hour clerical.  This gives an average labor cost of $114 per hour.  </w:t>
      </w:r>
      <w:r>
        <w:t xml:space="preserve">There </w:t>
      </w:r>
      <w:r w:rsidR="00931957">
        <w:t xml:space="preserve">are </w:t>
      </w:r>
      <w:r>
        <w:t xml:space="preserve">no </w:t>
      </w:r>
      <w:r w:rsidR="00C670B7">
        <w:t>operat</w:t>
      </w:r>
      <w:r w:rsidR="00D0114D">
        <w:t>ing</w:t>
      </w:r>
      <w:r w:rsidR="00C670B7">
        <w:t xml:space="preserve"> and maintenance </w:t>
      </w:r>
      <w:r>
        <w:t>cost</w:t>
      </w:r>
      <w:r w:rsidR="00931957">
        <w:t>s</w:t>
      </w:r>
      <w:r>
        <w:t xml:space="preserve"> associated with this collection. </w:t>
      </w:r>
    </w:p>
    <w:p w14:paraId="33803D0A" w14:textId="77777777" w:rsidR="00962E45" w:rsidRDefault="00962E45" w:rsidP="0011181D">
      <w:pPr>
        <w:pStyle w:val="Standard"/>
      </w:pPr>
    </w:p>
    <w:p w14:paraId="59B27A01" w14:textId="77777777" w:rsidR="00962E45" w:rsidRDefault="00962E45">
      <w:pPr>
        <w:pStyle w:val="Standard"/>
      </w:pPr>
      <w:r w:rsidRPr="00195837">
        <w:t>c</w:t>
      </w:r>
      <w:r w:rsidR="00D84D2B" w:rsidRPr="00195837">
        <w:t xml:space="preserve">. </w:t>
      </w:r>
      <w:r w:rsidRPr="00195837">
        <w:tab/>
        <w:t>Estimating the Agency Burden and Cost</w:t>
      </w:r>
      <w:r>
        <w:t xml:space="preserve"> </w:t>
      </w:r>
      <w:r w:rsidR="00931957">
        <w:t xml:space="preserve"> </w:t>
      </w:r>
    </w:p>
    <w:p w14:paraId="2EFF5C3E" w14:textId="77777777" w:rsidR="00962E45" w:rsidRDefault="00962E45">
      <w:pPr>
        <w:pStyle w:val="Standard"/>
      </w:pPr>
    </w:p>
    <w:p w14:paraId="1582953C" w14:textId="17BBA90E" w:rsidR="00CD4A0F" w:rsidRDefault="00195837" w:rsidP="004A4128">
      <w:pPr>
        <w:pStyle w:val="Standard"/>
        <w:ind w:firstLine="720"/>
      </w:pPr>
      <w:r>
        <w:t xml:space="preserve">EPA must generate </w:t>
      </w:r>
      <w:r w:rsidR="00966E3F">
        <w:t>two</w:t>
      </w:r>
      <w:r>
        <w:t xml:space="preserve"> data form</w:t>
      </w:r>
      <w:r w:rsidR="00966E3F">
        <w:t>s</w:t>
      </w:r>
      <w:r>
        <w:t xml:space="preserve"> and instructions/guidance must be prepared by Agency personnel.  Forms will be processed by contractors and must be reviewed by Agency personnel.  Submitting parties must be contacted if there is a </w:t>
      </w:r>
      <w:r w:rsidR="004A4128">
        <w:t xml:space="preserve">problem with their submission.  </w:t>
      </w:r>
      <w:r>
        <w:t xml:space="preserve">Using the initial RFS2, the RFG and anti-dumping, and other recent fuels-related ICRs </w:t>
      </w:r>
      <w:r w:rsidRPr="009F4F55">
        <w:t xml:space="preserve">as a guide in developing these initial estimates for RFS, we anticipate that </w:t>
      </w:r>
      <w:r w:rsidR="00455F65">
        <w:t xml:space="preserve">activities associated with this ICR </w:t>
      </w:r>
      <w:r w:rsidRPr="009F4F55">
        <w:t>may require the eq</w:t>
      </w:r>
      <w:r w:rsidR="00CD4A0F" w:rsidRPr="009F4F55">
        <w:t>uivalent labor of 1/</w:t>
      </w:r>
      <w:r w:rsidR="00D32BD3">
        <w:t>16</w:t>
      </w:r>
      <w:r w:rsidR="00CD4A0F" w:rsidRPr="009F4F55">
        <w:t xml:space="preserve"> </w:t>
      </w:r>
      <w:r w:rsidRPr="009F4F55">
        <w:t>time GS-13 technical employee for a total of $</w:t>
      </w:r>
      <w:r w:rsidR="00D32BD3">
        <w:t>11,600</w:t>
      </w:r>
      <w:r w:rsidRPr="009F4F55">
        <w:t>, and labor costs of $</w:t>
      </w:r>
      <w:r w:rsidR="00D32BD3">
        <w:t>7,300</w:t>
      </w:r>
      <w:r w:rsidRPr="009F4F55">
        <w:t xml:space="preserve"> in the clerical category and $</w:t>
      </w:r>
      <w:r w:rsidR="00D32BD3">
        <w:t>7,800</w:t>
      </w:r>
      <w:r w:rsidRPr="009F4F55">
        <w:t xml:space="preserve"> in the management category.</w:t>
      </w:r>
      <w:r w:rsidRPr="009F4F55">
        <w:rPr>
          <w:rStyle w:val="FootnoteReference"/>
        </w:rPr>
        <w:footnoteReference w:id="1"/>
      </w:r>
      <w:r>
        <w:t xml:space="preserve">  </w:t>
      </w:r>
    </w:p>
    <w:p w14:paraId="4DA3E90D" w14:textId="77777777" w:rsidR="00CD4A0F" w:rsidRDefault="00CD4A0F" w:rsidP="00CD4A0F">
      <w:pPr>
        <w:pStyle w:val="Standard"/>
        <w:ind w:firstLine="720"/>
      </w:pPr>
    </w:p>
    <w:p w14:paraId="243071CA" w14:textId="77777777" w:rsidR="00195837" w:rsidRDefault="004A4128" w:rsidP="00A8628D">
      <w:pPr>
        <w:pStyle w:val="Standard"/>
        <w:ind w:firstLine="720"/>
      </w:pPr>
      <w:r>
        <w:lastRenderedPageBreak/>
        <w:t xml:space="preserve">This support statement considers all Agency costs associated with accepting the efficient producer data form and cellulosic producer questionnaire. </w:t>
      </w:r>
      <w:r w:rsidR="001A055E">
        <w:t xml:space="preserve"> </w:t>
      </w:r>
      <w:r w:rsidR="00195837">
        <w:t>Since we are using the CDX</w:t>
      </w:r>
      <w:r w:rsidR="00271338">
        <w:t xml:space="preserve"> for submission of the efficient producer data form</w:t>
      </w:r>
      <w:r w:rsidR="00195837">
        <w:t>, some costs incurred by the Agency will be tied to th</w:t>
      </w:r>
      <w:r w:rsidR="00271338">
        <w:t>e number forms received</w:t>
      </w:r>
      <w:r w:rsidR="00195837">
        <w:t xml:space="preserve">. </w:t>
      </w:r>
      <w:r>
        <w:t xml:space="preserve"> </w:t>
      </w:r>
      <w:r w:rsidR="00A8628D">
        <w:t>There are costs associated with use of CDX which are born by the agency.</w:t>
      </w:r>
      <w:r w:rsidR="00A8628D" w:rsidRPr="00A8628D">
        <w:rPr>
          <w:rStyle w:val="FootnoteReference"/>
        </w:rPr>
        <w:t xml:space="preserve"> </w:t>
      </w:r>
      <w:r w:rsidR="00A8628D">
        <w:rPr>
          <w:rStyle w:val="FootnoteReference"/>
        </w:rPr>
        <w:footnoteReference w:id="2"/>
      </w:r>
      <w:r w:rsidR="00A8628D">
        <w:t xml:space="preserve">  However, the number of forms received as a result of this ICR is expected to represent a very small fraction of forms submitted through CDX.  EPA estimates approximately 5% of CDX usage will be attributable to the forms contained in this ICR. </w:t>
      </w:r>
      <w:r w:rsidR="001A055E">
        <w:t xml:space="preserve"> </w:t>
      </w:r>
      <w:r w:rsidR="00195837">
        <w:t>Adding the following values results in an annual estimated Agency burden as follows:</w:t>
      </w:r>
      <w:r w:rsidR="00A8628D">
        <w:t xml:space="preserve"> </w:t>
      </w:r>
    </w:p>
    <w:p w14:paraId="718A1298" w14:textId="77777777" w:rsidR="00195837" w:rsidRDefault="00195837" w:rsidP="00195837">
      <w:pPr>
        <w:pStyle w:val="Standard"/>
        <w:ind w:firstLine="720"/>
      </w:pPr>
    </w:p>
    <w:p w14:paraId="58F8449B" w14:textId="15513C81" w:rsidR="00195837" w:rsidRDefault="00195837" w:rsidP="00195837">
      <w:pPr>
        <w:pStyle w:val="Standard"/>
        <w:ind w:firstLine="720"/>
      </w:pPr>
      <w:r>
        <w:t>One GS-13 technical employee (1/</w:t>
      </w:r>
      <w:r w:rsidR="008C69CA">
        <w:t>16</w:t>
      </w:r>
      <w:r>
        <w:t xml:space="preserve"> time) = </w:t>
      </w:r>
      <w:r w:rsidR="008C69CA">
        <w:t xml:space="preserve">                    </w:t>
      </w:r>
      <w:r w:rsidR="00D32BD3">
        <w:t>11,600</w:t>
      </w:r>
    </w:p>
    <w:p w14:paraId="476CE405" w14:textId="2AB17105" w:rsidR="00195837" w:rsidRDefault="00195837" w:rsidP="00195837">
      <w:pPr>
        <w:pStyle w:val="Standard"/>
        <w:ind w:firstLine="720"/>
      </w:pPr>
      <w:r>
        <w:t>One GS-7 clerical worker (1/</w:t>
      </w:r>
      <w:r w:rsidR="008C69CA">
        <w:t>12</w:t>
      </w:r>
      <w:r>
        <w:t xml:space="preserve"> time) = </w:t>
      </w:r>
      <w:r>
        <w:tab/>
        <w:t xml:space="preserve">      </w:t>
      </w:r>
      <w:r>
        <w:tab/>
        <w:t xml:space="preserve">       </w:t>
      </w:r>
      <w:r w:rsidR="002F519F">
        <w:t xml:space="preserve">  </w:t>
      </w:r>
      <w:r w:rsidR="00D32BD3">
        <w:t>7,300</w:t>
      </w:r>
    </w:p>
    <w:p w14:paraId="37747B5E" w14:textId="4ED54CFE" w:rsidR="00195837" w:rsidRDefault="00195837" w:rsidP="00195837">
      <w:pPr>
        <w:pStyle w:val="Standard"/>
        <w:ind w:firstLine="720"/>
      </w:pPr>
      <w:r>
        <w:t>One GS-15 manager (1/</w:t>
      </w:r>
      <w:r w:rsidR="00D561EB">
        <w:t>32</w:t>
      </w:r>
      <w:r>
        <w:t xml:space="preserve"> time) = </w:t>
      </w:r>
      <w:r>
        <w:tab/>
      </w:r>
      <w:r>
        <w:tab/>
      </w:r>
      <w:r w:rsidR="005E58FF">
        <w:tab/>
      </w:r>
      <w:r>
        <w:t xml:space="preserve">      </w:t>
      </w:r>
      <w:r w:rsidR="002F519F">
        <w:t xml:space="preserve">  </w:t>
      </w:r>
      <w:r>
        <w:t xml:space="preserve"> </w:t>
      </w:r>
      <w:r w:rsidR="00D32BD3">
        <w:t>7,800</w:t>
      </w:r>
    </w:p>
    <w:p w14:paraId="0AADA00A" w14:textId="77777777" w:rsidR="00195837" w:rsidRDefault="00195837" w:rsidP="00195837">
      <w:pPr>
        <w:pStyle w:val="Standard"/>
        <w:ind w:firstLine="720"/>
      </w:pPr>
      <w:r>
        <w:t xml:space="preserve">Annual CDX subscription fee = </w:t>
      </w:r>
      <w:r>
        <w:tab/>
      </w:r>
      <w:r>
        <w:tab/>
      </w:r>
      <w:r>
        <w:tab/>
        <w:t xml:space="preserve">     </w:t>
      </w:r>
      <w:r w:rsidR="00A8628D">
        <w:t xml:space="preserve">  10</w:t>
      </w:r>
      <w:r>
        <w:t>,000</w:t>
      </w:r>
    </w:p>
    <w:p w14:paraId="41E15FC6" w14:textId="67F77E78" w:rsidR="00195837" w:rsidRDefault="00195837" w:rsidP="00195837">
      <w:pPr>
        <w:pStyle w:val="Standard"/>
        <w:ind w:firstLine="720"/>
      </w:pPr>
      <w:r>
        <w:t>Annu</w:t>
      </w:r>
      <w:r w:rsidR="00A8628D">
        <w:t xml:space="preserve">al contract costs = </w:t>
      </w:r>
      <w:r w:rsidR="00A8628D">
        <w:tab/>
      </w:r>
      <w:r w:rsidR="00A8628D">
        <w:tab/>
      </w:r>
      <w:r w:rsidR="00A8628D">
        <w:tab/>
      </w:r>
      <w:r w:rsidR="00A8628D">
        <w:tab/>
        <w:t xml:space="preserve">       13</w:t>
      </w:r>
      <w:r>
        <w:t>,</w:t>
      </w:r>
      <w:r w:rsidR="00A8628D">
        <w:t>3</w:t>
      </w:r>
      <w:r w:rsidR="007D1320">
        <w:t>0</w:t>
      </w:r>
      <w:r>
        <w:t>0</w:t>
      </w:r>
    </w:p>
    <w:p w14:paraId="7E23F4FC" w14:textId="77777777" w:rsidR="00195837" w:rsidRDefault="00195837" w:rsidP="00195837">
      <w:pPr>
        <w:pStyle w:val="Standard"/>
        <w:ind w:firstLine="720"/>
      </w:pPr>
      <w:r>
        <w:t xml:space="preserve">Testing and development= </w:t>
      </w:r>
      <w:r>
        <w:tab/>
      </w:r>
      <w:r w:rsidR="00A8628D">
        <w:tab/>
      </w:r>
      <w:r w:rsidR="00A8628D">
        <w:tab/>
      </w:r>
      <w:r w:rsidR="00A8628D">
        <w:tab/>
        <w:t xml:space="preserve">       1</w:t>
      </w:r>
      <w:r>
        <w:t>0,000</w:t>
      </w:r>
    </w:p>
    <w:p w14:paraId="447A6161" w14:textId="65C511CB" w:rsidR="00195837" w:rsidRDefault="00195837" w:rsidP="00195837">
      <w:pPr>
        <w:pStyle w:val="Standard"/>
        <w:ind w:firstLine="720"/>
        <w:rPr>
          <w:b/>
        </w:rPr>
      </w:pPr>
      <w:r>
        <w:rPr>
          <w:b/>
        </w:rPr>
        <w:t xml:space="preserve">TOTAL = </w:t>
      </w:r>
      <w:r>
        <w:rPr>
          <w:b/>
        </w:rPr>
        <w:tab/>
      </w:r>
      <w:r>
        <w:rPr>
          <w:b/>
        </w:rPr>
        <w:tab/>
      </w:r>
      <w:r>
        <w:rPr>
          <w:b/>
        </w:rPr>
        <w:tab/>
      </w:r>
      <w:r>
        <w:rPr>
          <w:b/>
        </w:rPr>
        <w:tab/>
      </w:r>
      <w:r>
        <w:rPr>
          <w:b/>
        </w:rPr>
        <w:tab/>
      </w:r>
      <w:r>
        <w:rPr>
          <w:b/>
        </w:rPr>
        <w:tab/>
        <w:t xml:space="preserve">   </w:t>
      </w:r>
      <w:r w:rsidR="00F14E0E">
        <w:rPr>
          <w:b/>
        </w:rPr>
        <w:t xml:space="preserve">  </w:t>
      </w:r>
      <w:r>
        <w:rPr>
          <w:b/>
        </w:rPr>
        <w:t>$</w:t>
      </w:r>
      <w:r w:rsidR="007D1320">
        <w:rPr>
          <w:b/>
        </w:rPr>
        <w:t>6</w:t>
      </w:r>
      <w:r w:rsidR="008C69CA">
        <w:rPr>
          <w:b/>
        </w:rPr>
        <w:t>0</w:t>
      </w:r>
      <w:r w:rsidR="002F519F">
        <w:rPr>
          <w:b/>
        </w:rPr>
        <w:t>,</w:t>
      </w:r>
      <w:r w:rsidR="008C69CA">
        <w:rPr>
          <w:b/>
        </w:rPr>
        <w:t>0</w:t>
      </w:r>
      <w:r w:rsidR="007D1320">
        <w:rPr>
          <w:b/>
        </w:rPr>
        <w:t>0</w:t>
      </w:r>
      <w:r w:rsidR="008C69CA">
        <w:rPr>
          <w:b/>
        </w:rPr>
        <w:t>0</w:t>
      </w:r>
    </w:p>
    <w:p w14:paraId="25F6AD91" w14:textId="77777777" w:rsidR="00195837" w:rsidRDefault="00195837" w:rsidP="00195837">
      <w:pPr>
        <w:pStyle w:val="Standard"/>
        <w:ind w:firstLine="720"/>
      </w:pPr>
    </w:p>
    <w:p w14:paraId="036D59AA" w14:textId="77777777" w:rsidR="00195837" w:rsidRDefault="00195837" w:rsidP="00195837">
      <w:pPr>
        <w:pStyle w:val="Standard"/>
        <w:ind w:firstLine="720"/>
      </w:pPr>
      <w:r>
        <w:t xml:space="preserve">  As with all items in this supporting statement, we strongly encourage comment on the estimated Agency burden and on the Agency activities associated with this proposed information collection.    </w:t>
      </w:r>
    </w:p>
    <w:p w14:paraId="151574E6" w14:textId="77777777" w:rsidR="00195837" w:rsidRDefault="00195837">
      <w:pPr>
        <w:pStyle w:val="Standard"/>
      </w:pPr>
    </w:p>
    <w:p w14:paraId="7332607C" w14:textId="77777777" w:rsidR="00195837" w:rsidRDefault="00195837">
      <w:pPr>
        <w:pStyle w:val="Standard"/>
      </w:pPr>
    </w:p>
    <w:p w14:paraId="6EAC7971" w14:textId="77777777" w:rsidR="00962E45" w:rsidRPr="00315CE8" w:rsidRDefault="00962E45">
      <w:pPr>
        <w:pStyle w:val="Standard"/>
      </w:pPr>
      <w:r w:rsidRPr="00315CE8">
        <w:t>d.</w:t>
      </w:r>
      <w:r w:rsidRPr="00315CE8">
        <w:tab/>
        <w:t>Estimating the Respondent Universe</w:t>
      </w:r>
    </w:p>
    <w:p w14:paraId="69BBE2C1" w14:textId="77777777" w:rsidR="00263324" w:rsidRDefault="00263324">
      <w:pPr>
        <w:pStyle w:val="Standard"/>
        <w:rPr>
          <w:highlight w:val="red"/>
        </w:rPr>
      </w:pPr>
    </w:p>
    <w:p w14:paraId="67F6E5F2" w14:textId="77777777" w:rsidR="00315CE8" w:rsidRDefault="00315CE8" w:rsidP="00315CE8">
      <w:pPr>
        <w:pStyle w:val="Standard"/>
      </w:pPr>
      <w:r>
        <w:t>We were able to estimate the number of regulated entities drawing upon experience regulating the same or similar entities.</w:t>
      </w:r>
    </w:p>
    <w:p w14:paraId="05E05AF8" w14:textId="77777777" w:rsidR="00315CE8" w:rsidRDefault="00315CE8" w:rsidP="00315CE8">
      <w:pPr>
        <w:pStyle w:val="Standard"/>
      </w:pPr>
    </w:p>
    <w:p w14:paraId="0B0E9EB5" w14:textId="77777777" w:rsidR="00315CE8" w:rsidRDefault="00315CE8" w:rsidP="00315CE8">
      <w:pPr>
        <w:pStyle w:val="Standard"/>
      </w:pPr>
      <w:r>
        <w:t>e.</w:t>
      </w:r>
      <w:r>
        <w:tab/>
        <w:t>Bottom Line Burden Hours and Costs</w:t>
      </w:r>
    </w:p>
    <w:p w14:paraId="4AEB4B96" w14:textId="77777777" w:rsidR="00315CE8" w:rsidRDefault="00315CE8" w:rsidP="00315CE8">
      <w:pPr>
        <w:pStyle w:val="Standard"/>
      </w:pPr>
    </w:p>
    <w:p w14:paraId="3FBF9E6C" w14:textId="77777777" w:rsidR="00315CE8" w:rsidRDefault="00315CE8" w:rsidP="00315CE8">
      <w:pPr>
        <w:pStyle w:val="Standard"/>
      </w:pPr>
      <w:r>
        <w:tab/>
        <w:t>From the tables, we estimate the following annual totals:</w:t>
      </w:r>
    </w:p>
    <w:p w14:paraId="352D6269" w14:textId="77777777" w:rsidR="00315CE8" w:rsidRDefault="00315CE8" w:rsidP="00315CE8">
      <w:pPr>
        <w:pStyle w:val="Standard"/>
      </w:pPr>
    </w:p>
    <w:p w14:paraId="2925336F" w14:textId="5C4191F8" w:rsidR="00315CE8" w:rsidRPr="00B51AE1" w:rsidRDefault="00315CE8" w:rsidP="00315CE8">
      <w:pPr>
        <w:pStyle w:val="Standard"/>
        <w:rPr>
          <w:b/>
        </w:rPr>
      </w:pPr>
      <w:r w:rsidRPr="00B51AE1">
        <w:rPr>
          <w:b/>
        </w:rPr>
        <w:t>TOTAL NO. OF RESPONDENTS:</w:t>
      </w:r>
      <w:r w:rsidRPr="00B51AE1">
        <w:rPr>
          <w:b/>
        </w:rPr>
        <w:tab/>
      </w:r>
      <w:r w:rsidRPr="00B51AE1">
        <w:rPr>
          <w:b/>
        </w:rPr>
        <w:tab/>
      </w:r>
      <w:r w:rsidRPr="00B51AE1">
        <w:rPr>
          <w:b/>
        </w:rPr>
        <w:tab/>
      </w:r>
      <w:r w:rsidR="00766DC4">
        <w:rPr>
          <w:b/>
        </w:rPr>
        <w:t>90</w:t>
      </w:r>
    </w:p>
    <w:p w14:paraId="1332E246" w14:textId="5A89BF05" w:rsidR="00315CE8" w:rsidRPr="00B51AE1" w:rsidRDefault="00315CE8" w:rsidP="00315CE8">
      <w:pPr>
        <w:pStyle w:val="Standard"/>
        <w:rPr>
          <w:b/>
        </w:rPr>
      </w:pPr>
      <w:r w:rsidRPr="00B51AE1">
        <w:rPr>
          <w:b/>
        </w:rPr>
        <w:t>TOTAL NO. OF RESPONSES:</w:t>
      </w:r>
      <w:r w:rsidRPr="00B51AE1">
        <w:rPr>
          <w:b/>
        </w:rPr>
        <w:tab/>
      </w:r>
      <w:r w:rsidRPr="00B51AE1">
        <w:rPr>
          <w:b/>
        </w:rPr>
        <w:tab/>
      </w:r>
      <w:r w:rsidRPr="00B51AE1">
        <w:rPr>
          <w:b/>
        </w:rPr>
        <w:tab/>
      </w:r>
      <w:r w:rsidR="00766DC4">
        <w:rPr>
          <w:b/>
        </w:rPr>
        <w:t>240</w:t>
      </w:r>
    </w:p>
    <w:p w14:paraId="221F4CB5" w14:textId="7171FA2E" w:rsidR="00315CE8" w:rsidRPr="00B51AE1" w:rsidRDefault="00315CE8" w:rsidP="00315CE8">
      <w:pPr>
        <w:pStyle w:val="Standard"/>
        <w:rPr>
          <w:b/>
        </w:rPr>
      </w:pPr>
      <w:r w:rsidRPr="00B51AE1">
        <w:rPr>
          <w:b/>
        </w:rPr>
        <w:t>TOTAL BURDEN HOURS:</w:t>
      </w:r>
      <w:r w:rsidRPr="00B51AE1">
        <w:rPr>
          <w:b/>
        </w:rPr>
        <w:tab/>
      </w:r>
      <w:r w:rsidRPr="00B51AE1">
        <w:rPr>
          <w:b/>
        </w:rPr>
        <w:tab/>
      </w:r>
      <w:r w:rsidRPr="00B51AE1">
        <w:rPr>
          <w:b/>
        </w:rPr>
        <w:tab/>
      </w:r>
      <w:r w:rsidRPr="00B51AE1">
        <w:rPr>
          <w:b/>
        </w:rPr>
        <w:tab/>
      </w:r>
      <w:r w:rsidR="00766DC4">
        <w:rPr>
          <w:b/>
        </w:rPr>
        <w:t>880</w:t>
      </w:r>
    </w:p>
    <w:p w14:paraId="25CE74DA" w14:textId="3C97AEF9" w:rsidR="00315CE8" w:rsidRDefault="00315CE8" w:rsidP="00315CE8">
      <w:pPr>
        <w:pStyle w:val="Standard"/>
        <w:rPr>
          <w:b/>
        </w:rPr>
      </w:pPr>
      <w:r w:rsidRPr="00B51AE1">
        <w:rPr>
          <w:b/>
        </w:rPr>
        <w:t>TOTAL COST TO RESPONDENTS:</w:t>
      </w:r>
      <w:r w:rsidRPr="00B51AE1">
        <w:rPr>
          <w:b/>
        </w:rPr>
        <w:tab/>
        <w:t xml:space="preserve">       </w:t>
      </w:r>
      <w:r w:rsidRPr="00B51AE1">
        <w:rPr>
          <w:b/>
        </w:rPr>
        <w:tab/>
      </w:r>
      <w:r>
        <w:rPr>
          <w:b/>
        </w:rPr>
        <w:t>$</w:t>
      </w:r>
      <w:r w:rsidR="00766DC4">
        <w:rPr>
          <w:b/>
        </w:rPr>
        <w:t>101,920</w:t>
      </w:r>
    </w:p>
    <w:p w14:paraId="7C659267" w14:textId="77777777" w:rsidR="00315CE8" w:rsidRDefault="00315CE8" w:rsidP="00315CE8">
      <w:pPr>
        <w:pStyle w:val="Standard"/>
      </w:pPr>
    </w:p>
    <w:p w14:paraId="5FAE76FF" w14:textId="77777777" w:rsidR="00315CE8" w:rsidRDefault="00315CE8" w:rsidP="00315CE8">
      <w:pPr>
        <w:pStyle w:val="Standard"/>
      </w:pPr>
      <w:r>
        <w:t>f.</w:t>
      </w:r>
      <w:r>
        <w:tab/>
        <w:t>Reason for Change in Burden</w:t>
      </w:r>
      <w:r w:rsidR="009B7F08">
        <w:t xml:space="preserve"> </w:t>
      </w:r>
    </w:p>
    <w:p w14:paraId="4317FEF6" w14:textId="77777777" w:rsidR="00315CE8" w:rsidRDefault="00315CE8" w:rsidP="00315CE8">
      <w:pPr>
        <w:pStyle w:val="Standard"/>
      </w:pPr>
    </w:p>
    <w:p w14:paraId="0A9CF38B" w14:textId="77777777" w:rsidR="00315CE8" w:rsidRDefault="00315CE8" w:rsidP="00315CE8">
      <w:pPr>
        <w:pStyle w:val="Standard"/>
      </w:pPr>
      <w:r>
        <w:tab/>
        <w:t>There is no previous ICR for this collection.</w:t>
      </w:r>
    </w:p>
    <w:p w14:paraId="4237DC9C" w14:textId="77777777" w:rsidR="00315CE8" w:rsidRDefault="00315CE8" w:rsidP="00315CE8">
      <w:pPr>
        <w:pStyle w:val="Standard"/>
      </w:pPr>
    </w:p>
    <w:p w14:paraId="74172097" w14:textId="77777777" w:rsidR="00315CE8" w:rsidRPr="00DD6547" w:rsidRDefault="00315CE8" w:rsidP="00315CE8">
      <w:pPr>
        <w:pStyle w:val="Standard"/>
      </w:pPr>
      <w:r w:rsidRPr="00DD6547">
        <w:t>g.</w:t>
      </w:r>
      <w:r w:rsidRPr="00DD6547">
        <w:tab/>
        <w:t>Burden Statement</w:t>
      </w:r>
    </w:p>
    <w:p w14:paraId="364A2B7B" w14:textId="77777777" w:rsidR="00315CE8" w:rsidRPr="00DD6547" w:rsidRDefault="00315CE8" w:rsidP="00315CE8">
      <w:pPr>
        <w:pStyle w:val="Standard"/>
      </w:pPr>
    </w:p>
    <w:p w14:paraId="5672D371" w14:textId="22204E77" w:rsidR="00315CE8" w:rsidRPr="00DD6547" w:rsidRDefault="00315CE8" w:rsidP="00315CE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D6547">
        <w:lastRenderedPageBreak/>
        <w:tab/>
        <w:t xml:space="preserve">The annual reporting and recordkeeping burden for this collection of information is estimated to be </w:t>
      </w:r>
      <w:r w:rsidR="00F53CAC">
        <w:t>4</w:t>
      </w:r>
      <w:r w:rsidR="004E4EE9" w:rsidRPr="00DD6547">
        <w:t xml:space="preserve"> </w:t>
      </w:r>
      <w:r w:rsidRPr="00DD6547">
        <w:t>hours per response (total number of hours divided by total number of responses)</w:t>
      </w:r>
      <w:r w:rsidR="00BE7C84">
        <w:t xml:space="preserve"> for the Efficient Producer Data Form and 2 hours response for the Cellulosic Biofuel Producer Questionnaire Form</w:t>
      </w:r>
      <w:r>
        <w:t xml:space="preserve">. </w:t>
      </w:r>
      <w:r w:rsidR="001A055E">
        <w:t xml:space="preserve"> </w:t>
      </w:r>
      <w:r w:rsidRPr="00DD6547">
        <w:t>Burden means the total time, effort, or financial resources expended by persons to generate, maintain, retain, or disclose or provide information to or for a Federal agency</w:t>
      </w:r>
      <w:r>
        <w:t xml:space="preserve">. </w:t>
      </w:r>
      <w:r w:rsidR="001A055E">
        <w:t xml:space="preserve"> </w:t>
      </w:r>
      <w:r w:rsidRPr="00DD654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t xml:space="preserve">. </w:t>
      </w:r>
      <w:r w:rsidR="005F07F0">
        <w:t xml:space="preserve"> </w:t>
      </w:r>
      <w:r w:rsidRPr="00DD6547">
        <w:t>An agency may not conduct or sponsor, and a person is not required to respond to, a collection of information unless it displays a currently valid OMB control number</w:t>
      </w:r>
      <w:r>
        <w:t xml:space="preserve">. </w:t>
      </w:r>
      <w:r w:rsidR="005F07F0">
        <w:t xml:space="preserve"> </w:t>
      </w:r>
      <w:r w:rsidRPr="00DD6547">
        <w:t>The OMB control numbers for EPA's regulations are listed in 40 CFR part 9 and 48 CFR chapter 15</w:t>
      </w:r>
      <w:r>
        <w:t xml:space="preserve">. </w:t>
      </w:r>
      <w:r w:rsidRPr="00DD6547">
        <w:t xml:space="preserve">   </w:t>
      </w:r>
    </w:p>
    <w:p w14:paraId="0E267404" w14:textId="77777777" w:rsidR="00315CE8" w:rsidRPr="00DD6547" w:rsidRDefault="00315CE8" w:rsidP="00315CE8">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3D6862" w14:textId="2EC32153" w:rsidR="00315CE8" w:rsidRPr="00DD6547" w:rsidRDefault="00315CE8" w:rsidP="00B04E6B">
      <w:r w:rsidRPr="00DD6547">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t xml:space="preserve">Docket ID number </w:t>
      </w:r>
      <w:r w:rsidR="00F60C74" w:rsidRPr="009B61AD">
        <w:rPr>
          <w:rFonts w:cs="Times New Roman"/>
          <w:shd w:val="clear" w:color="auto" w:fill="FFFFFF"/>
        </w:rPr>
        <w:t>EPA-HQ-OAR-2015-0207</w:t>
      </w:r>
      <w:r w:rsidRPr="00DD6547">
        <w:t xml:space="preserve">, which is available for online viewing at </w:t>
      </w:r>
      <w:hyperlink r:id="rId8" w:history="1">
        <w:r w:rsidRPr="00DD6547">
          <w:t>www.regulations.gov</w:t>
        </w:r>
      </w:hyperlink>
      <w:r w:rsidRPr="00DD6547">
        <w:t>,or in person viewing at the Air Docket in the EPA Docket Center in Washington, DC (EPA/DC)</w:t>
      </w:r>
      <w:r>
        <w:t xml:space="preserve">. </w:t>
      </w:r>
      <w:r w:rsidR="00855111">
        <w:t xml:space="preserve"> </w:t>
      </w:r>
      <w:r w:rsidRPr="00DD6547">
        <w:t xml:space="preserve">The docket is located in the </w:t>
      </w:r>
      <w:r>
        <w:t>William Jefferson Clinton</w:t>
      </w:r>
      <w:r w:rsidRPr="00DD6547">
        <w:t xml:space="preserve"> West Building, 1301 Constitution Avenue, NW, Room 3334, and is open from 8:30 a.m. to 4:30 p.m., Eastern Standard Time, Monday through Friday, excluding legal holidays</w:t>
      </w:r>
      <w:r>
        <w:t xml:space="preserve">. </w:t>
      </w:r>
      <w:r w:rsidR="00855111">
        <w:t xml:space="preserve"> </w:t>
      </w:r>
      <w:r w:rsidRPr="00DD6547">
        <w:t>The telephone number for the Reading Room is (202) 566-1744, and the telephone number for the Air Docket is (202) 566-1742.</w:t>
      </w:r>
    </w:p>
    <w:p w14:paraId="72DA7AE0" w14:textId="77777777" w:rsidR="00315CE8" w:rsidRDefault="00315CE8" w:rsidP="00315CE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DD6547">
        <w:tab/>
      </w:r>
    </w:p>
    <w:p w14:paraId="2C26ACD2" w14:textId="33395D1B" w:rsidR="00F60C74" w:rsidRPr="009B61AD" w:rsidRDefault="00315CE8" w:rsidP="00F60C74">
      <w:pPr>
        <w:rPr>
          <w:rFonts w:cs="Times New Roman"/>
          <w:shd w:val="clear" w:color="auto" w:fill="FFFFFF"/>
        </w:rPr>
      </w:pPr>
      <w:r w:rsidRPr="00DD6547">
        <w:tab/>
        <w:t>You may use www.regulations.gov to submit or view public comments, access the index listing of the contents of the public docket, and to access those documents in the public docket that are available electronically</w:t>
      </w:r>
      <w:r>
        <w:t xml:space="preserve">. </w:t>
      </w:r>
      <w:r w:rsidR="00855111">
        <w:t xml:space="preserve"> </w:t>
      </w:r>
      <w:r w:rsidRPr="00DD6547">
        <w:t xml:space="preserve">When in the system, select “search,” then key in the </w:t>
      </w:r>
      <w:r>
        <w:t xml:space="preserve">Docket ID Number </w:t>
      </w:r>
      <w:r w:rsidR="00F60C74" w:rsidRPr="009B61AD">
        <w:rPr>
          <w:rFonts w:cs="Times New Roman"/>
          <w:shd w:val="clear" w:color="auto" w:fill="FFFFFF"/>
        </w:rPr>
        <w:t>EPA-HQ-OAR-2015-0207</w:t>
      </w:r>
      <w:r>
        <w:t xml:space="preserve">. </w:t>
      </w:r>
      <w:r w:rsidR="00855111">
        <w:t xml:space="preserve"> </w:t>
      </w:r>
      <w:r w:rsidRPr="00DD6547">
        <w:t>Also, you can send comments to the Office of Information and Regulatory Affairs, Office of Management and Budget, 725 17th Street, NW, Washington, D.C. 20503, Attention: Desk Officer for EPA</w:t>
      </w:r>
      <w:r>
        <w:t xml:space="preserve">. </w:t>
      </w:r>
      <w:r w:rsidR="00855111">
        <w:t xml:space="preserve"> </w:t>
      </w:r>
      <w:r w:rsidRPr="00DD6547">
        <w:t xml:space="preserve">Please include the EPA </w:t>
      </w:r>
      <w:r>
        <w:t xml:space="preserve">Docket ID Number </w:t>
      </w:r>
    </w:p>
    <w:p w14:paraId="42A8C635" w14:textId="794E74E4" w:rsidR="00315CE8" w:rsidRPr="00DD6547" w:rsidRDefault="00F60C74" w:rsidP="00B04E6B">
      <w:r w:rsidRPr="009B61AD">
        <w:rPr>
          <w:rFonts w:cs="Times New Roman"/>
          <w:shd w:val="clear" w:color="auto" w:fill="FFFFFF"/>
        </w:rPr>
        <w:t>EPA-HQ-OAR-2015-0207</w:t>
      </w:r>
      <w:r w:rsidRPr="009B61AD">
        <w:rPr>
          <w:rStyle w:val="apple-converted-space"/>
          <w:rFonts w:cs="Times New Roman"/>
          <w:color w:val="000000"/>
          <w:shd w:val="clear" w:color="auto" w:fill="FFFFFF"/>
        </w:rPr>
        <w:t> </w:t>
      </w:r>
      <w:r w:rsidR="00315CE8" w:rsidRPr="00DD6547">
        <w:t>and OMB Control Number 2060-</w:t>
      </w:r>
      <w:r w:rsidR="00315CE8">
        <w:t>NEW</w:t>
      </w:r>
      <w:r w:rsidR="00315CE8" w:rsidRPr="00DD6547">
        <w:t xml:space="preserve"> in any correspondence.</w:t>
      </w:r>
    </w:p>
    <w:p w14:paraId="5FC8A935" w14:textId="77777777" w:rsidR="00F06961" w:rsidRDefault="00315CE8" w:rsidP="00315CE8">
      <w:pPr>
        <w:pStyle w:val="Standard"/>
      </w:pPr>
      <w:r>
        <w:t xml:space="preserve">  </w:t>
      </w:r>
    </w:p>
    <w:p w14:paraId="30103ACF" w14:textId="77777777" w:rsidR="00315CE8" w:rsidRPr="00315CE8" w:rsidRDefault="00315CE8" w:rsidP="00315CE8">
      <w:pPr>
        <w:pStyle w:val="Standard"/>
        <w:rPr>
          <w:highlight w:val="red"/>
        </w:rPr>
        <w:sectPr w:rsidR="00315CE8" w:rsidRPr="00315CE8" w:rsidSect="00856B5E">
          <w:footerReference w:type="even" r:id="rId9"/>
          <w:footerReference w:type="default" r:id="rId10"/>
          <w:pgSz w:w="12240" w:h="15840"/>
          <w:pgMar w:top="1440" w:right="1440" w:bottom="1440" w:left="1440" w:header="720" w:footer="720" w:gutter="0"/>
          <w:pgNumType w:fmt="numberInDash" w:start="1"/>
          <w:cols w:space="720"/>
          <w:docGrid w:linePitch="326"/>
        </w:sectPr>
      </w:pPr>
    </w:p>
    <w:tbl>
      <w:tblPr>
        <w:tblpPr w:leftFromText="180" w:rightFromText="180" w:horzAnchor="margin" w:tblpXSpec="center" w:tblpY="-510"/>
        <w:tblW w:w="15300" w:type="dxa"/>
        <w:tblLook w:val="0000" w:firstRow="0" w:lastRow="0" w:firstColumn="0" w:lastColumn="0" w:noHBand="0" w:noVBand="0"/>
      </w:tblPr>
      <w:tblGrid>
        <w:gridCol w:w="5490"/>
        <w:gridCol w:w="1662"/>
        <w:gridCol w:w="1308"/>
        <w:gridCol w:w="1620"/>
        <w:gridCol w:w="1172"/>
        <w:gridCol w:w="1528"/>
        <w:gridCol w:w="1170"/>
        <w:gridCol w:w="1350"/>
      </w:tblGrid>
      <w:tr w:rsidR="00BD67C1" w:rsidRPr="00281C9C" w14:paraId="79492E14" w14:textId="77777777" w:rsidTr="00F4029A">
        <w:trPr>
          <w:trHeight w:val="510"/>
        </w:trPr>
        <w:tc>
          <w:tcPr>
            <w:tcW w:w="15300" w:type="dxa"/>
            <w:gridSpan w:val="8"/>
            <w:tcBorders>
              <w:top w:val="single" w:sz="8" w:space="0" w:color="auto"/>
              <w:left w:val="single" w:sz="8" w:space="0" w:color="auto"/>
              <w:bottom w:val="nil"/>
              <w:right w:val="single" w:sz="8" w:space="0" w:color="000000"/>
            </w:tcBorders>
            <w:shd w:val="clear" w:color="auto" w:fill="auto"/>
            <w:noWrap/>
            <w:vAlign w:val="bottom"/>
          </w:tcPr>
          <w:p w14:paraId="79ACE7E5" w14:textId="77777777" w:rsidR="00BD67C1" w:rsidRPr="00281C9C" w:rsidRDefault="00BD67C1" w:rsidP="00F4029A">
            <w:pPr>
              <w:jc w:val="center"/>
              <w:rPr>
                <w:rFonts w:ascii="Arial" w:hAnsi="Arial" w:cs="Arial"/>
                <w:b/>
                <w:bCs/>
                <w:sz w:val="20"/>
              </w:rPr>
            </w:pPr>
            <w:r w:rsidRPr="00281C9C">
              <w:rPr>
                <w:rFonts w:ascii="Arial" w:hAnsi="Arial" w:cs="Arial"/>
                <w:b/>
                <w:bCs/>
                <w:sz w:val="20"/>
              </w:rPr>
              <w:lastRenderedPageBreak/>
              <w:t>Information Collection Burden by Type of Party</w:t>
            </w:r>
          </w:p>
        </w:tc>
      </w:tr>
      <w:tr w:rsidR="00BD67C1" w:rsidRPr="00281C9C" w14:paraId="63BD8822" w14:textId="77777777" w:rsidTr="00F4029A">
        <w:trPr>
          <w:trHeight w:val="525"/>
        </w:trPr>
        <w:tc>
          <w:tcPr>
            <w:tcW w:w="15300" w:type="dxa"/>
            <w:gridSpan w:val="8"/>
            <w:tcBorders>
              <w:top w:val="nil"/>
              <w:left w:val="single" w:sz="8" w:space="0" w:color="auto"/>
              <w:bottom w:val="single" w:sz="8" w:space="0" w:color="auto"/>
              <w:right w:val="single" w:sz="8" w:space="0" w:color="000000"/>
            </w:tcBorders>
            <w:shd w:val="clear" w:color="auto" w:fill="auto"/>
            <w:noWrap/>
            <w:vAlign w:val="bottom"/>
          </w:tcPr>
          <w:p w14:paraId="0779B911" w14:textId="5208303F" w:rsidR="00BD67C1" w:rsidRPr="00281C9C" w:rsidRDefault="00BD67C1" w:rsidP="00B04E6B">
            <w:pPr>
              <w:jc w:val="center"/>
              <w:rPr>
                <w:rFonts w:ascii="Arial" w:hAnsi="Arial" w:cs="Arial"/>
                <w:i/>
                <w:iCs/>
                <w:sz w:val="20"/>
              </w:rPr>
            </w:pPr>
            <w:r w:rsidRPr="00281C9C">
              <w:rPr>
                <w:rFonts w:ascii="Arial" w:hAnsi="Arial" w:cs="Arial"/>
                <w:i/>
                <w:iCs/>
                <w:sz w:val="20"/>
              </w:rPr>
              <w:t xml:space="preserve">Table </w:t>
            </w:r>
            <w:r>
              <w:rPr>
                <w:rFonts w:ascii="Arial" w:hAnsi="Arial" w:cs="Arial"/>
                <w:i/>
                <w:iCs/>
                <w:sz w:val="20"/>
              </w:rPr>
              <w:t>I</w:t>
            </w:r>
            <w:r w:rsidRPr="00281C9C">
              <w:rPr>
                <w:rFonts w:ascii="Arial" w:hAnsi="Arial" w:cs="Arial"/>
                <w:i/>
                <w:iCs/>
                <w:sz w:val="20"/>
              </w:rPr>
              <w:t xml:space="preserve">-  </w:t>
            </w:r>
            <w:r>
              <w:rPr>
                <w:rFonts w:ascii="Arial" w:hAnsi="Arial" w:cs="Arial"/>
                <w:i/>
                <w:iCs/>
                <w:sz w:val="20"/>
              </w:rPr>
              <w:t>Annual</w:t>
            </w:r>
            <w:r w:rsidRPr="00281C9C">
              <w:rPr>
                <w:rFonts w:ascii="Arial" w:hAnsi="Arial" w:cs="Arial"/>
                <w:i/>
                <w:iCs/>
                <w:sz w:val="20"/>
              </w:rPr>
              <w:t xml:space="preserve"> Reports of </w:t>
            </w:r>
            <w:r>
              <w:rPr>
                <w:rFonts w:ascii="Arial" w:hAnsi="Arial" w:cs="Arial"/>
                <w:i/>
                <w:iCs/>
                <w:sz w:val="20"/>
              </w:rPr>
              <w:t xml:space="preserve">Projected Cellulosic </w:t>
            </w:r>
            <w:r w:rsidRPr="00281C9C">
              <w:rPr>
                <w:rFonts w:ascii="Arial" w:hAnsi="Arial" w:cs="Arial"/>
                <w:i/>
                <w:iCs/>
                <w:sz w:val="20"/>
              </w:rPr>
              <w:t xml:space="preserve">Biofuel </w:t>
            </w:r>
            <w:r>
              <w:rPr>
                <w:rFonts w:ascii="Arial" w:hAnsi="Arial" w:cs="Arial"/>
                <w:i/>
                <w:iCs/>
                <w:sz w:val="20"/>
              </w:rPr>
              <w:t xml:space="preserve">Production Using </w:t>
            </w:r>
            <w:r w:rsidR="007D3FB9">
              <w:rPr>
                <w:rFonts w:ascii="Arial" w:hAnsi="Arial" w:cs="Arial"/>
                <w:i/>
                <w:iCs/>
                <w:sz w:val="20"/>
              </w:rPr>
              <w:t xml:space="preserve">RFS </w:t>
            </w:r>
            <w:r>
              <w:rPr>
                <w:rFonts w:ascii="Arial" w:hAnsi="Arial" w:cs="Arial"/>
                <w:i/>
                <w:iCs/>
                <w:sz w:val="20"/>
              </w:rPr>
              <w:t>Cellulosic Biofuel Produc</w:t>
            </w:r>
            <w:r w:rsidR="00B611C5">
              <w:rPr>
                <w:rFonts w:ascii="Arial" w:hAnsi="Arial" w:cs="Arial"/>
                <w:i/>
                <w:iCs/>
                <w:sz w:val="20"/>
              </w:rPr>
              <w:t>er</w:t>
            </w:r>
            <w:r>
              <w:rPr>
                <w:rFonts w:ascii="Arial" w:hAnsi="Arial" w:cs="Arial"/>
                <w:i/>
                <w:iCs/>
                <w:sz w:val="20"/>
              </w:rPr>
              <w:t xml:space="preserve"> </w:t>
            </w:r>
            <w:r w:rsidR="00B611C5">
              <w:rPr>
                <w:rFonts w:ascii="Arial" w:hAnsi="Arial" w:cs="Arial"/>
                <w:i/>
                <w:iCs/>
                <w:sz w:val="20"/>
              </w:rPr>
              <w:t>Questionnaire</w:t>
            </w:r>
            <w:r>
              <w:rPr>
                <w:rFonts w:ascii="Arial" w:hAnsi="Arial" w:cs="Arial"/>
                <w:i/>
                <w:iCs/>
                <w:sz w:val="20"/>
              </w:rPr>
              <w:t xml:space="preserve"> Form</w:t>
            </w:r>
            <w:r w:rsidRPr="00281C9C">
              <w:rPr>
                <w:rFonts w:ascii="Arial" w:hAnsi="Arial" w:cs="Arial"/>
                <w:i/>
                <w:iCs/>
                <w:sz w:val="20"/>
              </w:rPr>
              <w:t xml:space="preserve"> (Producer</w:t>
            </w:r>
            <w:r>
              <w:rPr>
                <w:rFonts w:ascii="Arial" w:hAnsi="Arial" w:cs="Arial"/>
                <w:i/>
                <w:iCs/>
                <w:sz w:val="20"/>
              </w:rPr>
              <w:t>s</w:t>
            </w:r>
            <w:r w:rsidRPr="00281C9C">
              <w:rPr>
                <w:rFonts w:ascii="Arial" w:hAnsi="Arial" w:cs="Arial"/>
                <w:i/>
                <w:iCs/>
                <w:sz w:val="20"/>
              </w:rPr>
              <w:t xml:space="preserve"> and Importers</w:t>
            </w:r>
            <w:r>
              <w:rPr>
                <w:rFonts w:ascii="Arial" w:hAnsi="Arial" w:cs="Arial"/>
                <w:i/>
                <w:iCs/>
                <w:sz w:val="20"/>
              </w:rPr>
              <w:t>)</w:t>
            </w:r>
            <w:r w:rsidDel="00780B7C">
              <w:rPr>
                <w:rFonts w:ascii="Arial" w:hAnsi="Arial" w:cs="Arial"/>
                <w:i/>
                <w:iCs/>
                <w:sz w:val="20"/>
              </w:rPr>
              <w:t xml:space="preserve"> </w:t>
            </w:r>
          </w:p>
        </w:tc>
      </w:tr>
      <w:tr w:rsidR="00BD67C1" w:rsidRPr="00281C9C" w14:paraId="512DB1C3" w14:textId="77777777" w:rsidTr="00F4029A">
        <w:trPr>
          <w:trHeight w:val="1335"/>
        </w:trPr>
        <w:tc>
          <w:tcPr>
            <w:tcW w:w="5490" w:type="dxa"/>
            <w:tcBorders>
              <w:top w:val="nil"/>
              <w:left w:val="single" w:sz="8" w:space="0" w:color="auto"/>
              <w:bottom w:val="single" w:sz="8" w:space="0" w:color="auto"/>
              <w:right w:val="single" w:sz="4" w:space="0" w:color="auto"/>
            </w:tcBorders>
            <w:shd w:val="clear" w:color="auto" w:fill="auto"/>
            <w:vAlign w:val="bottom"/>
          </w:tcPr>
          <w:p w14:paraId="791C5AB6" w14:textId="77777777" w:rsidR="00BD67C1" w:rsidRPr="00281C9C" w:rsidRDefault="00BD67C1" w:rsidP="00F4029A">
            <w:pPr>
              <w:rPr>
                <w:rFonts w:ascii="Arial" w:hAnsi="Arial" w:cs="Arial"/>
                <w:b/>
                <w:bCs/>
                <w:color w:val="FF0000"/>
                <w:sz w:val="20"/>
              </w:rPr>
            </w:pPr>
            <w:r w:rsidRPr="00281C9C">
              <w:rPr>
                <w:rFonts w:ascii="Arial" w:hAnsi="Arial" w:cs="Arial"/>
                <w:b/>
                <w:bCs/>
                <w:color w:val="FF0000"/>
                <w:sz w:val="20"/>
              </w:rPr>
              <w:t>Collection Activity</w:t>
            </w:r>
          </w:p>
        </w:tc>
        <w:tc>
          <w:tcPr>
            <w:tcW w:w="1662" w:type="dxa"/>
            <w:tcBorders>
              <w:top w:val="nil"/>
              <w:left w:val="nil"/>
              <w:bottom w:val="single" w:sz="8" w:space="0" w:color="auto"/>
              <w:right w:val="single" w:sz="4" w:space="0" w:color="auto"/>
            </w:tcBorders>
            <w:shd w:val="clear" w:color="auto" w:fill="auto"/>
            <w:vAlign w:val="bottom"/>
          </w:tcPr>
          <w:p w14:paraId="4FD0FA91"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Number of Respondents</w:t>
            </w:r>
          </w:p>
        </w:tc>
        <w:tc>
          <w:tcPr>
            <w:tcW w:w="1308" w:type="dxa"/>
            <w:tcBorders>
              <w:top w:val="nil"/>
              <w:left w:val="nil"/>
              <w:bottom w:val="single" w:sz="8" w:space="0" w:color="auto"/>
              <w:right w:val="single" w:sz="4" w:space="0" w:color="auto"/>
            </w:tcBorders>
            <w:shd w:val="clear" w:color="auto" w:fill="auto"/>
            <w:vAlign w:val="bottom"/>
          </w:tcPr>
          <w:p w14:paraId="1F296FA9"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Number of Responses per Party</w:t>
            </w:r>
          </w:p>
        </w:tc>
        <w:tc>
          <w:tcPr>
            <w:tcW w:w="1620" w:type="dxa"/>
            <w:tcBorders>
              <w:top w:val="nil"/>
              <w:left w:val="nil"/>
              <w:bottom w:val="single" w:sz="8" w:space="0" w:color="auto"/>
              <w:right w:val="single" w:sz="4" w:space="0" w:color="auto"/>
            </w:tcBorders>
            <w:shd w:val="clear" w:color="auto" w:fill="auto"/>
            <w:vAlign w:val="bottom"/>
          </w:tcPr>
          <w:p w14:paraId="13AD57DA"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Total Number of Responses</w:t>
            </w:r>
          </w:p>
        </w:tc>
        <w:tc>
          <w:tcPr>
            <w:tcW w:w="1172" w:type="dxa"/>
            <w:tcBorders>
              <w:top w:val="nil"/>
              <w:left w:val="nil"/>
              <w:bottom w:val="single" w:sz="8" w:space="0" w:color="auto"/>
              <w:right w:val="single" w:sz="4" w:space="0" w:color="auto"/>
            </w:tcBorders>
            <w:shd w:val="clear" w:color="auto" w:fill="auto"/>
            <w:vAlign w:val="bottom"/>
          </w:tcPr>
          <w:p w14:paraId="7C0FF52C"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Time per Response (hours)</w:t>
            </w:r>
          </w:p>
        </w:tc>
        <w:tc>
          <w:tcPr>
            <w:tcW w:w="1528" w:type="dxa"/>
            <w:tcBorders>
              <w:top w:val="nil"/>
              <w:left w:val="nil"/>
              <w:bottom w:val="single" w:sz="8" w:space="0" w:color="auto"/>
              <w:right w:val="single" w:sz="4" w:space="0" w:color="auto"/>
            </w:tcBorders>
            <w:shd w:val="clear" w:color="auto" w:fill="auto"/>
            <w:vAlign w:val="bottom"/>
          </w:tcPr>
          <w:p w14:paraId="0B3D94EB"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Cost per Response (dollars)</w:t>
            </w:r>
          </w:p>
        </w:tc>
        <w:tc>
          <w:tcPr>
            <w:tcW w:w="1170" w:type="dxa"/>
            <w:tcBorders>
              <w:top w:val="nil"/>
              <w:left w:val="nil"/>
              <w:bottom w:val="single" w:sz="8" w:space="0" w:color="auto"/>
              <w:right w:val="single" w:sz="4" w:space="0" w:color="auto"/>
            </w:tcBorders>
            <w:shd w:val="clear" w:color="auto" w:fill="auto"/>
            <w:vAlign w:val="bottom"/>
          </w:tcPr>
          <w:p w14:paraId="5486BFA1"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Total Hours</w:t>
            </w:r>
          </w:p>
        </w:tc>
        <w:tc>
          <w:tcPr>
            <w:tcW w:w="1350" w:type="dxa"/>
            <w:tcBorders>
              <w:top w:val="nil"/>
              <w:left w:val="nil"/>
              <w:bottom w:val="single" w:sz="8" w:space="0" w:color="auto"/>
              <w:right w:val="single" w:sz="8" w:space="0" w:color="auto"/>
            </w:tcBorders>
            <w:shd w:val="clear" w:color="auto" w:fill="auto"/>
            <w:vAlign w:val="bottom"/>
          </w:tcPr>
          <w:p w14:paraId="50726F89" w14:textId="77777777" w:rsidR="00BD67C1" w:rsidRPr="00281C9C" w:rsidRDefault="00BD67C1" w:rsidP="00F4029A">
            <w:pPr>
              <w:jc w:val="center"/>
              <w:rPr>
                <w:rFonts w:ascii="Arial" w:hAnsi="Arial" w:cs="Arial"/>
                <w:b/>
                <w:bCs/>
                <w:color w:val="FF0000"/>
                <w:sz w:val="20"/>
              </w:rPr>
            </w:pPr>
            <w:r w:rsidRPr="00281C9C">
              <w:rPr>
                <w:rFonts w:ascii="Arial" w:hAnsi="Arial" w:cs="Arial"/>
                <w:b/>
                <w:bCs/>
                <w:color w:val="FF0000"/>
                <w:sz w:val="20"/>
              </w:rPr>
              <w:t>Total Cost (dollars)</w:t>
            </w:r>
          </w:p>
        </w:tc>
      </w:tr>
      <w:tr w:rsidR="00BD67C1" w:rsidRPr="00281C9C" w14:paraId="15BFCAC9" w14:textId="77777777" w:rsidTr="00F4029A">
        <w:trPr>
          <w:trHeight w:val="735"/>
        </w:trPr>
        <w:tc>
          <w:tcPr>
            <w:tcW w:w="5490" w:type="dxa"/>
            <w:tcBorders>
              <w:top w:val="single" w:sz="4" w:space="0" w:color="auto"/>
              <w:left w:val="single" w:sz="8" w:space="0" w:color="auto"/>
              <w:bottom w:val="single" w:sz="4" w:space="0" w:color="auto"/>
              <w:right w:val="single" w:sz="4" w:space="0" w:color="auto"/>
            </w:tcBorders>
            <w:shd w:val="clear" w:color="auto" w:fill="auto"/>
            <w:vAlign w:val="center"/>
          </w:tcPr>
          <w:p w14:paraId="61095B42" w14:textId="77777777" w:rsidR="00BD67C1" w:rsidRPr="00281C9C" w:rsidRDefault="00BD67C1" w:rsidP="00F4029A">
            <w:pPr>
              <w:rPr>
                <w:rFonts w:ascii="Arial" w:hAnsi="Arial" w:cs="Arial"/>
                <w:sz w:val="20"/>
              </w:rPr>
            </w:pPr>
            <w:r>
              <w:rPr>
                <w:rFonts w:ascii="Arial" w:hAnsi="Arial" w:cs="Arial"/>
                <w:sz w:val="20"/>
              </w:rPr>
              <w:t>Annual reports from cellulosic biofuel producers and importers</w:t>
            </w:r>
          </w:p>
        </w:tc>
        <w:tc>
          <w:tcPr>
            <w:tcW w:w="1662" w:type="dxa"/>
            <w:tcBorders>
              <w:top w:val="single" w:sz="4" w:space="0" w:color="auto"/>
              <w:left w:val="nil"/>
              <w:bottom w:val="single" w:sz="4" w:space="0" w:color="auto"/>
              <w:right w:val="single" w:sz="4" w:space="0" w:color="auto"/>
            </w:tcBorders>
            <w:shd w:val="clear" w:color="auto" w:fill="auto"/>
            <w:noWrap/>
            <w:vAlign w:val="center"/>
          </w:tcPr>
          <w:p w14:paraId="3EFECF83" w14:textId="77777777" w:rsidR="00BD67C1" w:rsidRPr="00281C9C" w:rsidRDefault="00BD67C1" w:rsidP="00F4029A">
            <w:pPr>
              <w:jc w:val="center"/>
              <w:rPr>
                <w:rFonts w:ascii="Arial" w:hAnsi="Arial" w:cs="Arial"/>
                <w:sz w:val="20"/>
              </w:rPr>
            </w:pPr>
            <w:r>
              <w:rPr>
                <w:rFonts w:ascii="Arial" w:hAnsi="Arial" w:cs="Arial"/>
                <w:sz w:val="20"/>
              </w:rPr>
              <w:t>40</w:t>
            </w:r>
          </w:p>
        </w:tc>
        <w:tc>
          <w:tcPr>
            <w:tcW w:w="1308" w:type="dxa"/>
            <w:tcBorders>
              <w:top w:val="single" w:sz="4" w:space="0" w:color="auto"/>
              <w:left w:val="nil"/>
              <w:bottom w:val="single" w:sz="4" w:space="0" w:color="auto"/>
              <w:right w:val="single" w:sz="4" w:space="0" w:color="auto"/>
            </w:tcBorders>
            <w:shd w:val="clear" w:color="auto" w:fill="auto"/>
            <w:noWrap/>
            <w:vAlign w:val="center"/>
          </w:tcPr>
          <w:p w14:paraId="506BBAF1" w14:textId="77777777" w:rsidR="00BD67C1" w:rsidRPr="00281C9C" w:rsidRDefault="00BD67C1" w:rsidP="00F4029A">
            <w:pPr>
              <w:jc w:val="center"/>
              <w:rPr>
                <w:rFonts w:ascii="Arial" w:hAnsi="Arial" w:cs="Arial"/>
                <w:sz w:val="20"/>
              </w:rPr>
            </w:pPr>
            <w:r>
              <w:rPr>
                <w:rFonts w:ascii="Arial" w:hAnsi="Arial" w:cs="Arial"/>
                <w:sz w:val="20"/>
              </w:rPr>
              <w:t>1</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FEF8E09" w14:textId="77777777" w:rsidR="00BD67C1" w:rsidRPr="00281C9C" w:rsidRDefault="00BD67C1" w:rsidP="00F4029A">
            <w:pPr>
              <w:jc w:val="center"/>
              <w:rPr>
                <w:rFonts w:ascii="Arial" w:hAnsi="Arial" w:cs="Arial"/>
                <w:sz w:val="20"/>
              </w:rPr>
            </w:pPr>
            <w:r>
              <w:rPr>
                <w:rFonts w:ascii="Arial" w:hAnsi="Arial" w:cs="Arial"/>
                <w:sz w:val="20"/>
              </w:rPr>
              <w:t>40</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428CAFC" w14:textId="77777777" w:rsidR="00BD67C1" w:rsidRPr="00281C9C" w:rsidRDefault="00BD67C1" w:rsidP="00F4029A">
            <w:pPr>
              <w:jc w:val="center"/>
              <w:rPr>
                <w:rFonts w:ascii="Arial" w:hAnsi="Arial" w:cs="Arial"/>
                <w:sz w:val="20"/>
              </w:rPr>
            </w:pPr>
            <w:r>
              <w:rPr>
                <w:rFonts w:ascii="Arial" w:hAnsi="Arial" w:cs="Arial"/>
                <w:sz w:val="20"/>
              </w:rPr>
              <w:t>2</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1BFFE59D" w14:textId="77777777" w:rsidR="00BD67C1" w:rsidRPr="00281C9C" w:rsidRDefault="00BD67C1" w:rsidP="00F4029A">
            <w:pPr>
              <w:jc w:val="center"/>
              <w:rPr>
                <w:rFonts w:ascii="Arial" w:hAnsi="Arial" w:cs="Arial"/>
                <w:sz w:val="20"/>
              </w:rPr>
            </w:pPr>
            <w:r>
              <w:rPr>
                <w:rFonts w:ascii="Arial" w:hAnsi="Arial" w:cs="Arial"/>
                <w:sz w:val="20"/>
              </w:rPr>
              <w:t>$228</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3187720" w14:textId="77777777" w:rsidR="00BD67C1" w:rsidRDefault="00BD67C1" w:rsidP="00F4029A">
            <w:pPr>
              <w:jc w:val="center"/>
              <w:rPr>
                <w:rFonts w:ascii="Arial" w:hAnsi="Arial" w:cs="Arial"/>
                <w:sz w:val="20"/>
              </w:rPr>
            </w:pPr>
            <w:r>
              <w:rPr>
                <w:rFonts w:ascii="Arial" w:hAnsi="Arial" w:cs="Arial"/>
                <w:sz w:val="20"/>
              </w:rPr>
              <w:t>80</w:t>
            </w:r>
          </w:p>
        </w:tc>
        <w:tc>
          <w:tcPr>
            <w:tcW w:w="1350" w:type="dxa"/>
            <w:tcBorders>
              <w:top w:val="single" w:sz="4" w:space="0" w:color="auto"/>
              <w:left w:val="nil"/>
              <w:bottom w:val="single" w:sz="4" w:space="0" w:color="auto"/>
              <w:right w:val="single" w:sz="8" w:space="0" w:color="auto"/>
            </w:tcBorders>
            <w:shd w:val="clear" w:color="auto" w:fill="auto"/>
            <w:noWrap/>
            <w:vAlign w:val="center"/>
          </w:tcPr>
          <w:p w14:paraId="1C9EDE38" w14:textId="77777777" w:rsidR="00BD67C1" w:rsidRPr="00281C9C" w:rsidRDefault="00BD67C1" w:rsidP="00F4029A">
            <w:pPr>
              <w:jc w:val="center"/>
              <w:rPr>
                <w:rFonts w:ascii="Arial" w:hAnsi="Arial" w:cs="Arial"/>
                <w:sz w:val="20"/>
              </w:rPr>
            </w:pPr>
            <w:r>
              <w:rPr>
                <w:rFonts w:ascii="Arial" w:hAnsi="Arial" w:cs="Arial"/>
                <w:sz w:val="20"/>
              </w:rPr>
              <w:t>$9,120</w:t>
            </w:r>
          </w:p>
        </w:tc>
      </w:tr>
      <w:tr w:rsidR="00BD67C1" w:rsidRPr="00281C9C" w14:paraId="1EAB62C6" w14:textId="77777777" w:rsidTr="00F4029A">
        <w:trPr>
          <w:trHeight w:val="735"/>
        </w:trPr>
        <w:tc>
          <w:tcPr>
            <w:tcW w:w="5490" w:type="dxa"/>
            <w:tcBorders>
              <w:top w:val="nil"/>
              <w:left w:val="single" w:sz="8" w:space="0" w:color="auto"/>
              <w:bottom w:val="single" w:sz="8" w:space="0" w:color="auto"/>
              <w:right w:val="single" w:sz="4" w:space="0" w:color="auto"/>
            </w:tcBorders>
            <w:shd w:val="clear" w:color="auto" w:fill="auto"/>
            <w:vAlign w:val="bottom"/>
          </w:tcPr>
          <w:p w14:paraId="79D33C96" w14:textId="77777777" w:rsidR="00BD67C1" w:rsidRPr="00281C9C" w:rsidRDefault="00BD67C1" w:rsidP="00F4029A">
            <w:pPr>
              <w:rPr>
                <w:rFonts w:ascii="Arial" w:hAnsi="Arial" w:cs="Arial"/>
                <w:sz w:val="20"/>
              </w:rPr>
            </w:pPr>
            <w:r w:rsidRPr="00281C9C">
              <w:rPr>
                <w:rFonts w:ascii="Arial" w:hAnsi="Arial" w:cs="Arial"/>
                <w:b/>
                <w:bCs/>
                <w:color w:val="008000"/>
                <w:sz w:val="20"/>
              </w:rPr>
              <w:t>TOTAL</w:t>
            </w:r>
          </w:p>
        </w:tc>
        <w:tc>
          <w:tcPr>
            <w:tcW w:w="1662" w:type="dxa"/>
            <w:tcBorders>
              <w:top w:val="nil"/>
              <w:left w:val="nil"/>
              <w:bottom w:val="single" w:sz="8" w:space="0" w:color="auto"/>
              <w:right w:val="single" w:sz="4" w:space="0" w:color="auto"/>
            </w:tcBorders>
            <w:shd w:val="clear" w:color="auto" w:fill="auto"/>
            <w:noWrap/>
            <w:vAlign w:val="bottom"/>
          </w:tcPr>
          <w:p w14:paraId="37C82FD8" w14:textId="77777777" w:rsidR="00BD67C1" w:rsidRPr="00281C9C" w:rsidRDefault="00BD67C1" w:rsidP="00F4029A">
            <w:pPr>
              <w:jc w:val="center"/>
              <w:rPr>
                <w:rFonts w:ascii="Arial" w:hAnsi="Arial" w:cs="Arial"/>
                <w:sz w:val="20"/>
              </w:rPr>
            </w:pPr>
          </w:p>
        </w:tc>
        <w:tc>
          <w:tcPr>
            <w:tcW w:w="1308" w:type="dxa"/>
            <w:tcBorders>
              <w:top w:val="nil"/>
              <w:left w:val="nil"/>
              <w:bottom w:val="single" w:sz="8" w:space="0" w:color="auto"/>
              <w:right w:val="single" w:sz="4" w:space="0" w:color="auto"/>
            </w:tcBorders>
            <w:shd w:val="clear" w:color="auto" w:fill="auto"/>
            <w:noWrap/>
            <w:vAlign w:val="bottom"/>
          </w:tcPr>
          <w:p w14:paraId="15E033EF" w14:textId="77777777" w:rsidR="00BD67C1" w:rsidRPr="00281C9C" w:rsidRDefault="00BD67C1" w:rsidP="00F4029A">
            <w:pPr>
              <w:jc w:val="center"/>
              <w:rPr>
                <w:rFonts w:ascii="Arial" w:hAnsi="Arial" w:cs="Arial"/>
                <w:sz w:val="20"/>
              </w:rPr>
            </w:pPr>
          </w:p>
        </w:tc>
        <w:tc>
          <w:tcPr>
            <w:tcW w:w="1620" w:type="dxa"/>
            <w:tcBorders>
              <w:top w:val="nil"/>
              <w:left w:val="nil"/>
              <w:bottom w:val="single" w:sz="8" w:space="0" w:color="auto"/>
              <w:right w:val="single" w:sz="4" w:space="0" w:color="auto"/>
            </w:tcBorders>
            <w:shd w:val="clear" w:color="auto" w:fill="auto"/>
            <w:noWrap/>
            <w:vAlign w:val="bottom"/>
          </w:tcPr>
          <w:p w14:paraId="55350FB8" w14:textId="77777777" w:rsidR="00BD67C1" w:rsidRPr="00281C9C" w:rsidRDefault="00BD67C1" w:rsidP="00F4029A">
            <w:pPr>
              <w:jc w:val="center"/>
              <w:rPr>
                <w:rFonts w:ascii="Arial" w:hAnsi="Arial" w:cs="Arial"/>
                <w:sz w:val="20"/>
              </w:rPr>
            </w:pPr>
          </w:p>
        </w:tc>
        <w:tc>
          <w:tcPr>
            <w:tcW w:w="1172" w:type="dxa"/>
            <w:tcBorders>
              <w:top w:val="nil"/>
              <w:left w:val="nil"/>
              <w:bottom w:val="single" w:sz="8" w:space="0" w:color="auto"/>
              <w:right w:val="single" w:sz="4" w:space="0" w:color="auto"/>
            </w:tcBorders>
            <w:shd w:val="clear" w:color="auto" w:fill="auto"/>
            <w:noWrap/>
            <w:vAlign w:val="bottom"/>
          </w:tcPr>
          <w:p w14:paraId="6FA8F303" w14:textId="77777777" w:rsidR="00BD67C1" w:rsidRPr="00281C9C" w:rsidRDefault="00BD67C1" w:rsidP="00F4029A">
            <w:pPr>
              <w:jc w:val="center"/>
              <w:rPr>
                <w:rFonts w:ascii="Arial" w:hAnsi="Arial" w:cs="Arial"/>
                <w:sz w:val="20"/>
              </w:rPr>
            </w:pPr>
          </w:p>
        </w:tc>
        <w:tc>
          <w:tcPr>
            <w:tcW w:w="1528" w:type="dxa"/>
            <w:tcBorders>
              <w:top w:val="nil"/>
              <w:left w:val="nil"/>
              <w:bottom w:val="single" w:sz="8" w:space="0" w:color="auto"/>
              <w:right w:val="single" w:sz="4" w:space="0" w:color="auto"/>
            </w:tcBorders>
            <w:shd w:val="clear" w:color="auto" w:fill="auto"/>
            <w:noWrap/>
            <w:vAlign w:val="bottom"/>
          </w:tcPr>
          <w:p w14:paraId="3F7FACE1" w14:textId="77777777" w:rsidR="00BD67C1" w:rsidRPr="00281C9C" w:rsidRDefault="00BD67C1" w:rsidP="00F4029A">
            <w:pPr>
              <w:jc w:val="center"/>
              <w:rPr>
                <w:rFonts w:ascii="Arial" w:hAnsi="Arial" w:cs="Arial"/>
                <w:sz w:val="20"/>
              </w:rPr>
            </w:pPr>
          </w:p>
        </w:tc>
        <w:tc>
          <w:tcPr>
            <w:tcW w:w="1170" w:type="dxa"/>
            <w:tcBorders>
              <w:top w:val="nil"/>
              <w:left w:val="nil"/>
              <w:bottom w:val="single" w:sz="8" w:space="0" w:color="auto"/>
              <w:right w:val="single" w:sz="4" w:space="0" w:color="auto"/>
            </w:tcBorders>
            <w:shd w:val="clear" w:color="auto" w:fill="auto"/>
            <w:noWrap/>
            <w:vAlign w:val="bottom"/>
          </w:tcPr>
          <w:p w14:paraId="20181812" w14:textId="77777777" w:rsidR="00BD67C1" w:rsidRPr="00281C9C" w:rsidRDefault="00BD67C1" w:rsidP="00F4029A">
            <w:pPr>
              <w:jc w:val="center"/>
              <w:rPr>
                <w:rFonts w:ascii="Arial" w:hAnsi="Arial" w:cs="Arial"/>
                <w:sz w:val="20"/>
              </w:rPr>
            </w:pPr>
          </w:p>
        </w:tc>
        <w:tc>
          <w:tcPr>
            <w:tcW w:w="1350" w:type="dxa"/>
            <w:tcBorders>
              <w:top w:val="nil"/>
              <w:left w:val="nil"/>
              <w:bottom w:val="single" w:sz="8" w:space="0" w:color="auto"/>
              <w:right w:val="single" w:sz="8" w:space="0" w:color="auto"/>
            </w:tcBorders>
            <w:shd w:val="clear" w:color="auto" w:fill="auto"/>
            <w:noWrap/>
            <w:vAlign w:val="bottom"/>
          </w:tcPr>
          <w:p w14:paraId="57602655" w14:textId="77777777" w:rsidR="00BD67C1" w:rsidRPr="00281C9C" w:rsidRDefault="00BD67C1" w:rsidP="00F4029A">
            <w:pPr>
              <w:jc w:val="center"/>
              <w:rPr>
                <w:rFonts w:ascii="Arial" w:hAnsi="Arial" w:cs="Arial"/>
                <w:sz w:val="20"/>
              </w:rPr>
            </w:pPr>
            <w:r>
              <w:rPr>
                <w:rFonts w:ascii="Arial" w:hAnsi="Arial" w:cs="Arial"/>
                <w:sz w:val="20"/>
              </w:rPr>
              <w:t>$9,120</w:t>
            </w:r>
          </w:p>
        </w:tc>
      </w:tr>
    </w:tbl>
    <w:p w14:paraId="2FF8FBE1" w14:textId="77777777" w:rsidR="00BD67C1" w:rsidRDefault="00BD67C1">
      <w:pPr>
        <w:widowControl/>
        <w:suppressAutoHyphens w:val="0"/>
        <w:autoSpaceDN/>
        <w:textAlignment w:val="auto"/>
      </w:pPr>
    </w:p>
    <w:p w14:paraId="7DE3B82F" w14:textId="77777777" w:rsidR="00BD67C1" w:rsidRDefault="00BD67C1">
      <w:pPr>
        <w:widowControl/>
        <w:suppressAutoHyphens w:val="0"/>
        <w:autoSpaceDN/>
        <w:textAlignment w:val="auto"/>
      </w:pPr>
      <w:r>
        <w:br w:type="page"/>
      </w:r>
    </w:p>
    <w:tbl>
      <w:tblPr>
        <w:tblpPr w:leftFromText="180" w:rightFromText="180" w:vertAnchor="page" w:horzAnchor="page" w:tblpX="286" w:tblpY="991"/>
        <w:tblW w:w="15501" w:type="dxa"/>
        <w:tblLook w:val="0000" w:firstRow="0" w:lastRow="0" w:firstColumn="0" w:lastColumn="0" w:noHBand="0" w:noVBand="0"/>
      </w:tblPr>
      <w:tblGrid>
        <w:gridCol w:w="5490"/>
        <w:gridCol w:w="1662"/>
        <w:gridCol w:w="1308"/>
        <w:gridCol w:w="1620"/>
        <w:gridCol w:w="1172"/>
        <w:gridCol w:w="1528"/>
        <w:gridCol w:w="1170"/>
        <w:gridCol w:w="1551"/>
      </w:tblGrid>
      <w:tr w:rsidR="00BD67C1" w:rsidRPr="00281C9C" w14:paraId="2671B179" w14:textId="77777777" w:rsidTr="00BD67C1">
        <w:trPr>
          <w:trHeight w:val="510"/>
        </w:trPr>
        <w:tc>
          <w:tcPr>
            <w:tcW w:w="15501" w:type="dxa"/>
            <w:gridSpan w:val="8"/>
            <w:tcBorders>
              <w:top w:val="single" w:sz="8" w:space="0" w:color="auto"/>
              <w:left w:val="single" w:sz="8" w:space="0" w:color="auto"/>
              <w:bottom w:val="nil"/>
              <w:right w:val="single" w:sz="8" w:space="0" w:color="000000"/>
            </w:tcBorders>
            <w:shd w:val="clear" w:color="auto" w:fill="auto"/>
            <w:noWrap/>
            <w:vAlign w:val="bottom"/>
          </w:tcPr>
          <w:p w14:paraId="241DCDED" w14:textId="77777777" w:rsidR="00BD67C1" w:rsidRPr="00281C9C" w:rsidRDefault="00BD67C1" w:rsidP="00BD67C1">
            <w:pPr>
              <w:jc w:val="center"/>
              <w:rPr>
                <w:rFonts w:ascii="Arial" w:hAnsi="Arial" w:cs="Arial"/>
                <w:b/>
                <w:bCs/>
                <w:sz w:val="20"/>
              </w:rPr>
            </w:pPr>
            <w:r w:rsidRPr="00281C9C">
              <w:rPr>
                <w:rFonts w:ascii="Arial" w:hAnsi="Arial" w:cs="Arial"/>
                <w:b/>
                <w:bCs/>
                <w:sz w:val="20"/>
              </w:rPr>
              <w:lastRenderedPageBreak/>
              <w:t>Information Collection Burden by Type of Party</w:t>
            </w:r>
          </w:p>
        </w:tc>
      </w:tr>
      <w:tr w:rsidR="00BD67C1" w:rsidRPr="00281C9C" w14:paraId="3C6EADFB" w14:textId="77777777" w:rsidTr="00BD67C1">
        <w:trPr>
          <w:trHeight w:val="525"/>
        </w:trPr>
        <w:tc>
          <w:tcPr>
            <w:tcW w:w="15501" w:type="dxa"/>
            <w:gridSpan w:val="8"/>
            <w:tcBorders>
              <w:top w:val="nil"/>
              <w:left w:val="single" w:sz="8" w:space="0" w:color="auto"/>
              <w:bottom w:val="single" w:sz="8" w:space="0" w:color="auto"/>
              <w:right w:val="single" w:sz="8" w:space="0" w:color="000000"/>
            </w:tcBorders>
            <w:shd w:val="clear" w:color="auto" w:fill="auto"/>
            <w:noWrap/>
            <w:vAlign w:val="bottom"/>
          </w:tcPr>
          <w:p w14:paraId="72B24785" w14:textId="77777777" w:rsidR="00BD67C1" w:rsidRPr="00281C9C" w:rsidRDefault="00BD67C1" w:rsidP="00BD67C1">
            <w:pPr>
              <w:jc w:val="center"/>
              <w:rPr>
                <w:rFonts w:ascii="Arial" w:hAnsi="Arial" w:cs="Arial"/>
                <w:i/>
                <w:iCs/>
                <w:sz w:val="20"/>
              </w:rPr>
            </w:pPr>
            <w:r w:rsidRPr="00281C9C">
              <w:rPr>
                <w:rFonts w:ascii="Arial" w:hAnsi="Arial" w:cs="Arial"/>
                <w:i/>
                <w:iCs/>
                <w:sz w:val="20"/>
              </w:rPr>
              <w:t>Table I</w:t>
            </w:r>
            <w:r w:rsidR="005B6E5F">
              <w:rPr>
                <w:rFonts w:ascii="Arial" w:hAnsi="Arial" w:cs="Arial"/>
                <w:i/>
                <w:iCs/>
                <w:sz w:val="20"/>
              </w:rPr>
              <w:t>I</w:t>
            </w:r>
            <w:r w:rsidRPr="00281C9C">
              <w:rPr>
                <w:rFonts w:ascii="Arial" w:hAnsi="Arial" w:cs="Arial"/>
                <w:i/>
                <w:iCs/>
                <w:sz w:val="20"/>
              </w:rPr>
              <w:t>- Quarterly Reports of Biofuels Party</w:t>
            </w:r>
            <w:r>
              <w:rPr>
                <w:rFonts w:ascii="Arial" w:hAnsi="Arial" w:cs="Arial"/>
                <w:i/>
                <w:iCs/>
                <w:sz w:val="20"/>
              </w:rPr>
              <w:t xml:space="preserve"> Using Efficient Producer Data Form</w:t>
            </w:r>
            <w:r w:rsidRPr="00281C9C">
              <w:rPr>
                <w:rFonts w:ascii="Arial" w:hAnsi="Arial" w:cs="Arial"/>
                <w:i/>
                <w:iCs/>
                <w:sz w:val="20"/>
              </w:rPr>
              <w:t xml:space="preserve"> (Producer and Importers)</w:t>
            </w:r>
          </w:p>
        </w:tc>
      </w:tr>
      <w:tr w:rsidR="00BD67C1" w:rsidRPr="00281C9C" w14:paraId="1F83814C" w14:textId="77777777" w:rsidTr="00BD67C1">
        <w:trPr>
          <w:trHeight w:val="1335"/>
        </w:trPr>
        <w:tc>
          <w:tcPr>
            <w:tcW w:w="5490" w:type="dxa"/>
            <w:tcBorders>
              <w:top w:val="nil"/>
              <w:left w:val="single" w:sz="8" w:space="0" w:color="auto"/>
              <w:bottom w:val="single" w:sz="8" w:space="0" w:color="auto"/>
              <w:right w:val="single" w:sz="4" w:space="0" w:color="auto"/>
            </w:tcBorders>
            <w:shd w:val="clear" w:color="auto" w:fill="auto"/>
            <w:vAlign w:val="bottom"/>
          </w:tcPr>
          <w:p w14:paraId="7D1548FA" w14:textId="77777777" w:rsidR="00BD67C1" w:rsidRPr="00281C9C" w:rsidRDefault="00BD67C1" w:rsidP="00BD67C1">
            <w:pPr>
              <w:rPr>
                <w:rFonts w:ascii="Arial" w:hAnsi="Arial" w:cs="Arial"/>
                <w:b/>
                <w:bCs/>
                <w:color w:val="FF0000"/>
                <w:sz w:val="20"/>
              </w:rPr>
            </w:pPr>
            <w:r w:rsidRPr="00281C9C">
              <w:rPr>
                <w:rFonts w:ascii="Arial" w:hAnsi="Arial" w:cs="Arial"/>
                <w:b/>
                <w:bCs/>
                <w:color w:val="FF0000"/>
                <w:sz w:val="20"/>
              </w:rPr>
              <w:t>Collection Activity</w:t>
            </w:r>
          </w:p>
        </w:tc>
        <w:tc>
          <w:tcPr>
            <w:tcW w:w="1662" w:type="dxa"/>
            <w:tcBorders>
              <w:top w:val="nil"/>
              <w:left w:val="nil"/>
              <w:bottom w:val="single" w:sz="8" w:space="0" w:color="auto"/>
              <w:right w:val="single" w:sz="4" w:space="0" w:color="auto"/>
            </w:tcBorders>
            <w:shd w:val="clear" w:color="auto" w:fill="auto"/>
            <w:vAlign w:val="bottom"/>
          </w:tcPr>
          <w:p w14:paraId="349D9402"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Number of Respondents</w:t>
            </w:r>
          </w:p>
        </w:tc>
        <w:tc>
          <w:tcPr>
            <w:tcW w:w="1308" w:type="dxa"/>
            <w:tcBorders>
              <w:top w:val="nil"/>
              <w:left w:val="nil"/>
              <w:bottom w:val="single" w:sz="8" w:space="0" w:color="auto"/>
              <w:right w:val="single" w:sz="4" w:space="0" w:color="auto"/>
            </w:tcBorders>
            <w:shd w:val="clear" w:color="auto" w:fill="auto"/>
            <w:vAlign w:val="bottom"/>
          </w:tcPr>
          <w:p w14:paraId="1C43EDDD"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Number of Responses per Party</w:t>
            </w:r>
          </w:p>
        </w:tc>
        <w:tc>
          <w:tcPr>
            <w:tcW w:w="1620" w:type="dxa"/>
            <w:tcBorders>
              <w:top w:val="nil"/>
              <w:left w:val="nil"/>
              <w:bottom w:val="single" w:sz="8" w:space="0" w:color="auto"/>
              <w:right w:val="single" w:sz="4" w:space="0" w:color="auto"/>
            </w:tcBorders>
            <w:shd w:val="clear" w:color="auto" w:fill="auto"/>
            <w:vAlign w:val="bottom"/>
          </w:tcPr>
          <w:p w14:paraId="750908A8"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Total Number of Responses</w:t>
            </w:r>
          </w:p>
        </w:tc>
        <w:tc>
          <w:tcPr>
            <w:tcW w:w="1172" w:type="dxa"/>
            <w:tcBorders>
              <w:top w:val="nil"/>
              <w:left w:val="nil"/>
              <w:bottom w:val="single" w:sz="8" w:space="0" w:color="auto"/>
              <w:right w:val="single" w:sz="4" w:space="0" w:color="auto"/>
            </w:tcBorders>
            <w:shd w:val="clear" w:color="auto" w:fill="auto"/>
            <w:vAlign w:val="bottom"/>
          </w:tcPr>
          <w:p w14:paraId="769DF8E8"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Time per Response (hours)</w:t>
            </w:r>
          </w:p>
        </w:tc>
        <w:tc>
          <w:tcPr>
            <w:tcW w:w="1528" w:type="dxa"/>
            <w:tcBorders>
              <w:top w:val="nil"/>
              <w:left w:val="nil"/>
              <w:bottom w:val="single" w:sz="8" w:space="0" w:color="auto"/>
              <w:right w:val="single" w:sz="4" w:space="0" w:color="auto"/>
            </w:tcBorders>
            <w:shd w:val="clear" w:color="auto" w:fill="auto"/>
            <w:vAlign w:val="bottom"/>
          </w:tcPr>
          <w:p w14:paraId="2562E16E"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Cost per Response (dollars)</w:t>
            </w:r>
          </w:p>
        </w:tc>
        <w:tc>
          <w:tcPr>
            <w:tcW w:w="1170" w:type="dxa"/>
            <w:tcBorders>
              <w:top w:val="nil"/>
              <w:left w:val="nil"/>
              <w:bottom w:val="single" w:sz="8" w:space="0" w:color="auto"/>
              <w:right w:val="single" w:sz="4" w:space="0" w:color="auto"/>
            </w:tcBorders>
            <w:shd w:val="clear" w:color="auto" w:fill="auto"/>
            <w:vAlign w:val="bottom"/>
          </w:tcPr>
          <w:p w14:paraId="5D6F0A42"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Total Hours</w:t>
            </w:r>
          </w:p>
        </w:tc>
        <w:tc>
          <w:tcPr>
            <w:tcW w:w="1551" w:type="dxa"/>
            <w:tcBorders>
              <w:top w:val="nil"/>
              <w:left w:val="nil"/>
              <w:bottom w:val="single" w:sz="8" w:space="0" w:color="auto"/>
              <w:right w:val="single" w:sz="8" w:space="0" w:color="auto"/>
            </w:tcBorders>
            <w:shd w:val="clear" w:color="auto" w:fill="auto"/>
            <w:vAlign w:val="bottom"/>
          </w:tcPr>
          <w:p w14:paraId="07E962E4" w14:textId="77777777" w:rsidR="00BD67C1" w:rsidRPr="00281C9C" w:rsidRDefault="00BD67C1" w:rsidP="00BD67C1">
            <w:pPr>
              <w:jc w:val="center"/>
              <w:rPr>
                <w:rFonts w:ascii="Arial" w:hAnsi="Arial" w:cs="Arial"/>
                <w:b/>
                <w:bCs/>
                <w:color w:val="FF0000"/>
                <w:sz w:val="20"/>
              </w:rPr>
            </w:pPr>
            <w:r w:rsidRPr="00281C9C">
              <w:rPr>
                <w:rFonts w:ascii="Arial" w:hAnsi="Arial" w:cs="Arial"/>
                <w:b/>
                <w:bCs/>
                <w:color w:val="FF0000"/>
                <w:sz w:val="20"/>
              </w:rPr>
              <w:t>Total Cost (dollars)</w:t>
            </w:r>
          </w:p>
        </w:tc>
      </w:tr>
      <w:tr w:rsidR="00BD67C1" w:rsidRPr="00281C9C" w14:paraId="33A03BD0" w14:textId="77777777" w:rsidTr="00BD67C1">
        <w:trPr>
          <w:trHeight w:val="735"/>
        </w:trPr>
        <w:tc>
          <w:tcPr>
            <w:tcW w:w="5490" w:type="dxa"/>
            <w:tcBorders>
              <w:top w:val="single" w:sz="4" w:space="0" w:color="auto"/>
              <w:left w:val="single" w:sz="8" w:space="0" w:color="auto"/>
              <w:bottom w:val="single" w:sz="4" w:space="0" w:color="auto"/>
              <w:right w:val="single" w:sz="4" w:space="0" w:color="auto"/>
            </w:tcBorders>
            <w:shd w:val="clear" w:color="auto" w:fill="auto"/>
            <w:vAlign w:val="center"/>
          </w:tcPr>
          <w:p w14:paraId="13040A7E" w14:textId="77777777" w:rsidR="00BD67C1" w:rsidRPr="00281C9C" w:rsidRDefault="00BD67C1" w:rsidP="00BD67C1">
            <w:pPr>
              <w:rPr>
                <w:rFonts w:ascii="Arial" w:hAnsi="Arial" w:cs="Arial"/>
                <w:sz w:val="20"/>
              </w:rPr>
            </w:pPr>
            <w:r w:rsidRPr="00281C9C">
              <w:rPr>
                <w:rFonts w:ascii="Arial" w:hAnsi="Arial" w:cs="Arial"/>
                <w:sz w:val="20"/>
              </w:rPr>
              <w:t xml:space="preserve">Quarterly Reports for Producers </w:t>
            </w:r>
            <w:r>
              <w:rPr>
                <w:rFonts w:ascii="Arial" w:hAnsi="Arial" w:cs="Arial"/>
                <w:sz w:val="20"/>
              </w:rPr>
              <w:t xml:space="preserve">and Importers </w:t>
            </w:r>
            <w:r w:rsidRPr="00281C9C">
              <w:rPr>
                <w:rFonts w:ascii="Arial" w:hAnsi="Arial" w:cs="Arial"/>
                <w:sz w:val="20"/>
              </w:rPr>
              <w:t xml:space="preserve">of Biofuels </w:t>
            </w:r>
            <w:r w:rsidRPr="00451EF9">
              <w:rPr>
                <w:rFonts w:ascii="Arial" w:hAnsi="Arial" w:cs="Arial"/>
                <w:iCs/>
                <w:sz w:val="20"/>
              </w:rPr>
              <w:t>Using Efficient Producer Data Form</w:t>
            </w:r>
            <w:r w:rsidRPr="00281C9C">
              <w:rPr>
                <w:rFonts w:ascii="Arial" w:hAnsi="Arial" w:cs="Arial"/>
                <w:i/>
                <w:iCs/>
                <w:sz w:val="20"/>
              </w:rPr>
              <w:t xml:space="preserve"> </w:t>
            </w:r>
            <w:r w:rsidRPr="00281C9C">
              <w:rPr>
                <w:rFonts w:ascii="Arial" w:hAnsi="Arial" w:cs="Arial"/>
                <w:sz w:val="20"/>
              </w:rPr>
              <w:t>- Generation and Assignment of RINS</w:t>
            </w:r>
          </w:p>
        </w:tc>
        <w:tc>
          <w:tcPr>
            <w:tcW w:w="1662" w:type="dxa"/>
            <w:tcBorders>
              <w:top w:val="single" w:sz="4" w:space="0" w:color="auto"/>
              <w:left w:val="nil"/>
              <w:bottom w:val="single" w:sz="4" w:space="0" w:color="auto"/>
              <w:right w:val="single" w:sz="4" w:space="0" w:color="auto"/>
            </w:tcBorders>
            <w:shd w:val="clear" w:color="auto" w:fill="auto"/>
            <w:noWrap/>
            <w:vAlign w:val="center"/>
          </w:tcPr>
          <w:p w14:paraId="1D133B00" w14:textId="4C6EF40F" w:rsidR="00BD67C1" w:rsidRPr="00281C9C" w:rsidRDefault="00B67935" w:rsidP="00BD67C1">
            <w:pPr>
              <w:jc w:val="center"/>
              <w:rPr>
                <w:rFonts w:ascii="Arial" w:hAnsi="Arial" w:cs="Arial"/>
                <w:sz w:val="20"/>
              </w:rPr>
            </w:pPr>
            <w:r>
              <w:rPr>
                <w:rFonts w:ascii="Arial" w:hAnsi="Arial" w:cs="Arial"/>
                <w:sz w:val="20"/>
              </w:rPr>
              <w:t>50</w:t>
            </w:r>
          </w:p>
        </w:tc>
        <w:tc>
          <w:tcPr>
            <w:tcW w:w="1308" w:type="dxa"/>
            <w:tcBorders>
              <w:top w:val="single" w:sz="4" w:space="0" w:color="auto"/>
              <w:left w:val="nil"/>
              <w:bottom w:val="single" w:sz="4" w:space="0" w:color="auto"/>
              <w:right w:val="single" w:sz="4" w:space="0" w:color="auto"/>
            </w:tcBorders>
            <w:shd w:val="clear" w:color="auto" w:fill="auto"/>
            <w:noWrap/>
            <w:vAlign w:val="center"/>
          </w:tcPr>
          <w:p w14:paraId="05CB1D76" w14:textId="77777777" w:rsidR="00BD67C1" w:rsidRPr="00281C9C" w:rsidRDefault="00BD67C1" w:rsidP="00BD67C1">
            <w:pPr>
              <w:jc w:val="center"/>
              <w:rPr>
                <w:rFonts w:ascii="Arial" w:hAnsi="Arial" w:cs="Arial"/>
                <w:sz w:val="20"/>
              </w:rPr>
            </w:pPr>
            <w:r w:rsidRPr="00281C9C">
              <w:rPr>
                <w:rFonts w:ascii="Arial" w:hAnsi="Arial" w:cs="Arial"/>
                <w:sz w:val="20"/>
              </w:rPr>
              <w:t>4</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5C35DCA8" w14:textId="5795D291" w:rsidR="00BD67C1" w:rsidRPr="00281C9C" w:rsidRDefault="00B67935" w:rsidP="00BD67C1">
            <w:pPr>
              <w:jc w:val="center"/>
              <w:rPr>
                <w:rFonts w:ascii="Arial" w:hAnsi="Arial" w:cs="Arial"/>
                <w:sz w:val="20"/>
              </w:rPr>
            </w:pPr>
            <w:r>
              <w:rPr>
                <w:rFonts w:ascii="Arial" w:hAnsi="Arial" w:cs="Arial"/>
                <w:sz w:val="20"/>
              </w:rPr>
              <w:t>200</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195EF9FE" w14:textId="29BBECD4" w:rsidR="00BD67C1" w:rsidRPr="00281C9C" w:rsidRDefault="005A7CE6" w:rsidP="00BD67C1">
            <w:pPr>
              <w:jc w:val="center"/>
              <w:rPr>
                <w:rFonts w:ascii="Arial" w:hAnsi="Arial" w:cs="Arial"/>
                <w:sz w:val="20"/>
              </w:rPr>
            </w:pPr>
            <w:r>
              <w:rPr>
                <w:rFonts w:ascii="Arial" w:hAnsi="Arial" w:cs="Arial"/>
                <w:sz w:val="20"/>
              </w:rPr>
              <w:t>4</w:t>
            </w:r>
          </w:p>
        </w:tc>
        <w:tc>
          <w:tcPr>
            <w:tcW w:w="1528" w:type="dxa"/>
            <w:tcBorders>
              <w:top w:val="single" w:sz="4" w:space="0" w:color="auto"/>
              <w:left w:val="nil"/>
              <w:bottom w:val="single" w:sz="4" w:space="0" w:color="auto"/>
              <w:right w:val="single" w:sz="4" w:space="0" w:color="auto"/>
            </w:tcBorders>
            <w:shd w:val="clear" w:color="auto" w:fill="auto"/>
            <w:noWrap/>
            <w:vAlign w:val="center"/>
          </w:tcPr>
          <w:p w14:paraId="6BA93A65" w14:textId="297946ED" w:rsidR="00BD67C1" w:rsidRPr="00281C9C" w:rsidRDefault="00BD67C1" w:rsidP="007D3FB9">
            <w:pPr>
              <w:jc w:val="center"/>
              <w:rPr>
                <w:rFonts w:ascii="Arial" w:hAnsi="Arial" w:cs="Arial"/>
                <w:sz w:val="20"/>
              </w:rPr>
            </w:pPr>
            <w:r w:rsidRPr="00281C9C">
              <w:rPr>
                <w:rFonts w:ascii="Arial" w:hAnsi="Arial" w:cs="Arial"/>
                <w:sz w:val="20"/>
              </w:rPr>
              <w:t>$</w:t>
            </w:r>
            <w:r w:rsidR="007D3FB9">
              <w:rPr>
                <w:rFonts w:ascii="Arial" w:hAnsi="Arial" w:cs="Arial"/>
                <w:sz w:val="20"/>
              </w:rPr>
              <w:t>464</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6322C93" w14:textId="2CA2B7A2" w:rsidR="00BD67C1" w:rsidRPr="00281C9C" w:rsidRDefault="00BD67C1" w:rsidP="00B67935">
            <w:pPr>
              <w:rPr>
                <w:rFonts w:ascii="Arial" w:hAnsi="Arial" w:cs="Arial"/>
                <w:sz w:val="20"/>
              </w:rPr>
            </w:pPr>
            <w:r>
              <w:rPr>
                <w:rFonts w:ascii="Arial" w:hAnsi="Arial" w:cs="Arial"/>
                <w:sz w:val="20"/>
              </w:rPr>
              <w:t xml:space="preserve">     </w:t>
            </w:r>
            <w:r w:rsidR="00B67935">
              <w:rPr>
                <w:rFonts w:ascii="Arial" w:hAnsi="Arial" w:cs="Arial"/>
                <w:sz w:val="20"/>
              </w:rPr>
              <w:t>800</w:t>
            </w:r>
          </w:p>
        </w:tc>
        <w:tc>
          <w:tcPr>
            <w:tcW w:w="1551" w:type="dxa"/>
            <w:tcBorders>
              <w:top w:val="single" w:sz="4" w:space="0" w:color="auto"/>
              <w:left w:val="nil"/>
              <w:bottom w:val="single" w:sz="4" w:space="0" w:color="auto"/>
              <w:right w:val="single" w:sz="8" w:space="0" w:color="auto"/>
            </w:tcBorders>
            <w:shd w:val="clear" w:color="auto" w:fill="auto"/>
            <w:noWrap/>
            <w:vAlign w:val="center"/>
          </w:tcPr>
          <w:p w14:paraId="5DE4F538" w14:textId="3DB5D07D" w:rsidR="00BD67C1" w:rsidRPr="00281C9C" w:rsidRDefault="00BD67C1" w:rsidP="00B67935">
            <w:pPr>
              <w:jc w:val="center"/>
              <w:rPr>
                <w:rFonts w:ascii="Arial" w:hAnsi="Arial" w:cs="Arial"/>
                <w:sz w:val="20"/>
              </w:rPr>
            </w:pPr>
            <w:r w:rsidRPr="00281C9C">
              <w:rPr>
                <w:rFonts w:ascii="Arial" w:hAnsi="Arial" w:cs="Arial"/>
                <w:sz w:val="20"/>
              </w:rPr>
              <w:t>$</w:t>
            </w:r>
            <w:r w:rsidR="00B67935">
              <w:rPr>
                <w:rFonts w:ascii="Arial" w:hAnsi="Arial" w:cs="Arial"/>
                <w:sz w:val="20"/>
              </w:rPr>
              <w:t>92,800</w:t>
            </w:r>
          </w:p>
        </w:tc>
      </w:tr>
      <w:tr w:rsidR="00BD67C1" w:rsidRPr="00281C9C" w14:paraId="3E15DF53" w14:textId="77777777" w:rsidTr="00BD67C1">
        <w:trPr>
          <w:trHeight w:val="482"/>
        </w:trPr>
        <w:tc>
          <w:tcPr>
            <w:tcW w:w="5490" w:type="dxa"/>
            <w:tcBorders>
              <w:top w:val="nil"/>
              <w:left w:val="single" w:sz="8" w:space="0" w:color="auto"/>
              <w:bottom w:val="single" w:sz="8" w:space="0" w:color="auto"/>
              <w:right w:val="single" w:sz="4" w:space="0" w:color="auto"/>
            </w:tcBorders>
            <w:shd w:val="clear" w:color="auto" w:fill="auto"/>
            <w:noWrap/>
            <w:vAlign w:val="bottom"/>
          </w:tcPr>
          <w:p w14:paraId="25236591" w14:textId="77777777" w:rsidR="00BD67C1" w:rsidRPr="00281C9C" w:rsidRDefault="00BD67C1" w:rsidP="00BD67C1">
            <w:pPr>
              <w:rPr>
                <w:rFonts w:ascii="Arial" w:hAnsi="Arial" w:cs="Arial"/>
                <w:b/>
                <w:bCs/>
                <w:color w:val="008000"/>
                <w:sz w:val="20"/>
              </w:rPr>
            </w:pPr>
            <w:r w:rsidRPr="00281C9C">
              <w:rPr>
                <w:rFonts w:ascii="Arial" w:hAnsi="Arial" w:cs="Arial"/>
                <w:b/>
                <w:bCs/>
                <w:color w:val="008000"/>
                <w:sz w:val="20"/>
              </w:rPr>
              <w:t>TOTAL</w:t>
            </w:r>
          </w:p>
        </w:tc>
        <w:tc>
          <w:tcPr>
            <w:tcW w:w="1662" w:type="dxa"/>
            <w:tcBorders>
              <w:top w:val="nil"/>
              <w:left w:val="nil"/>
              <w:bottom w:val="single" w:sz="8" w:space="0" w:color="auto"/>
              <w:right w:val="single" w:sz="4" w:space="0" w:color="auto"/>
            </w:tcBorders>
            <w:shd w:val="clear" w:color="auto" w:fill="auto"/>
            <w:noWrap/>
            <w:vAlign w:val="bottom"/>
          </w:tcPr>
          <w:p w14:paraId="59FC3EB2" w14:textId="030C2062" w:rsidR="00BD67C1" w:rsidRPr="00281C9C" w:rsidRDefault="00B67935" w:rsidP="00BD67C1">
            <w:pPr>
              <w:jc w:val="center"/>
              <w:rPr>
                <w:rFonts w:ascii="Arial" w:hAnsi="Arial" w:cs="Arial"/>
                <w:b/>
                <w:bCs/>
                <w:color w:val="008000"/>
                <w:sz w:val="20"/>
              </w:rPr>
            </w:pPr>
            <w:r>
              <w:rPr>
                <w:rFonts w:ascii="Arial" w:hAnsi="Arial" w:cs="Arial"/>
                <w:b/>
                <w:bCs/>
                <w:color w:val="008000"/>
                <w:sz w:val="20"/>
              </w:rPr>
              <w:t>50</w:t>
            </w:r>
          </w:p>
        </w:tc>
        <w:tc>
          <w:tcPr>
            <w:tcW w:w="1308" w:type="dxa"/>
            <w:tcBorders>
              <w:top w:val="nil"/>
              <w:left w:val="nil"/>
              <w:bottom w:val="single" w:sz="8" w:space="0" w:color="auto"/>
              <w:right w:val="single" w:sz="4" w:space="0" w:color="auto"/>
            </w:tcBorders>
            <w:shd w:val="clear" w:color="auto" w:fill="auto"/>
            <w:noWrap/>
            <w:vAlign w:val="bottom"/>
          </w:tcPr>
          <w:p w14:paraId="3CFE1665" w14:textId="77777777" w:rsidR="00BD67C1" w:rsidRPr="00281C9C" w:rsidRDefault="00BD67C1" w:rsidP="00BD67C1">
            <w:pPr>
              <w:jc w:val="center"/>
              <w:rPr>
                <w:rFonts w:ascii="Arial" w:hAnsi="Arial" w:cs="Arial"/>
                <w:b/>
                <w:bCs/>
                <w:color w:val="008000"/>
                <w:sz w:val="20"/>
              </w:rPr>
            </w:pPr>
            <w:r w:rsidRPr="00281C9C">
              <w:rPr>
                <w:rFonts w:ascii="Arial" w:hAnsi="Arial" w:cs="Arial"/>
                <w:b/>
                <w:bCs/>
                <w:color w:val="008000"/>
                <w:sz w:val="20"/>
              </w:rPr>
              <w:t> </w:t>
            </w:r>
          </w:p>
        </w:tc>
        <w:tc>
          <w:tcPr>
            <w:tcW w:w="1620" w:type="dxa"/>
            <w:tcBorders>
              <w:top w:val="nil"/>
              <w:left w:val="nil"/>
              <w:bottom w:val="single" w:sz="8" w:space="0" w:color="auto"/>
              <w:right w:val="single" w:sz="4" w:space="0" w:color="auto"/>
            </w:tcBorders>
            <w:shd w:val="clear" w:color="auto" w:fill="auto"/>
            <w:noWrap/>
            <w:vAlign w:val="bottom"/>
          </w:tcPr>
          <w:p w14:paraId="7AADF176" w14:textId="03430255" w:rsidR="00BD67C1" w:rsidRPr="00281C9C" w:rsidRDefault="00B67935" w:rsidP="00BD67C1">
            <w:pPr>
              <w:jc w:val="center"/>
              <w:rPr>
                <w:rFonts w:ascii="Arial" w:hAnsi="Arial" w:cs="Arial"/>
                <w:b/>
                <w:bCs/>
                <w:color w:val="008000"/>
                <w:sz w:val="20"/>
              </w:rPr>
            </w:pPr>
            <w:r>
              <w:rPr>
                <w:rFonts w:ascii="Arial" w:hAnsi="Arial" w:cs="Arial"/>
                <w:b/>
                <w:bCs/>
                <w:color w:val="008000"/>
                <w:sz w:val="20"/>
              </w:rPr>
              <w:t>200</w:t>
            </w:r>
          </w:p>
        </w:tc>
        <w:tc>
          <w:tcPr>
            <w:tcW w:w="1172" w:type="dxa"/>
            <w:tcBorders>
              <w:top w:val="nil"/>
              <w:left w:val="nil"/>
              <w:bottom w:val="single" w:sz="8" w:space="0" w:color="auto"/>
              <w:right w:val="single" w:sz="4" w:space="0" w:color="auto"/>
            </w:tcBorders>
            <w:shd w:val="clear" w:color="auto" w:fill="auto"/>
            <w:noWrap/>
            <w:vAlign w:val="bottom"/>
          </w:tcPr>
          <w:p w14:paraId="7E1534B9" w14:textId="77777777" w:rsidR="00BD67C1" w:rsidRPr="00281C9C" w:rsidRDefault="00BD67C1" w:rsidP="00BD67C1">
            <w:pPr>
              <w:jc w:val="center"/>
              <w:rPr>
                <w:rFonts w:ascii="Arial" w:hAnsi="Arial" w:cs="Arial"/>
                <w:b/>
                <w:bCs/>
                <w:color w:val="008000"/>
                <w:sz w:val="20"/>
              </w:rPr>
            </w:pPr>
            <w:r w:rsidRPr="00281C9C">
              <w:rPr>
                <w:rFonts w:ascii="Arial" w:hAnsi="Arial" w:cs="Arial"/>
                <w:b/>
                <w:bCs/>
                <w:color w:val="008000"/>
                <w:sz w:val="20"/>
              </w:rPr>
              <w:t> </w:t>
            </w:r>
          </w:p>
        </w:tc>
        <w:tc>
          <w:tcPr>
            <w:tcW w:w="1528" w:type="dxa"/>
            <w:tcBorders>
              <w:top w:val="nil"/>
              <w:left w:val="nil"/>
              <w:bottom w:val="single" w:sz="8" w:space="0" w:color="auto"/>
              <w:right w:val="single" w:sz="4" w:space="0" w:color="auto"/>
            </w:tcBorders>
            <w:shd w:val="clear" w:color="auto" w:fill="auto"/>
            <w:noWrap/>
            <w:vAlign w:val="bottom"/>
          </w:tcPr>
          <w:p w14:paraId="0E949CF7" w14:textId="77777777" w:rsidR="00BD67C1" w:rsidRPr="00281C9C" w:rsidRDefault="00BD67C1" w:rsidP="00BD67C1">
            <w:pPr>
              <w:jc w:val="center"/>
              <w:rPr>
                <w:rFonts w:ascii="Arial" w:hAnsi="Arial" w:cs="Arial"/>
                <w:b/>
                <w:bCs/>
                <w:color w:val="008000"/>
                <w:sz w:val="20"/>
              </w:rPr>
            </w:pPr>
            <w:r w:rsidRPr="00281C9C">
              <w:rPr>
                <w:rFonts w:ascii="Arial" w:hAnsi="Arial" w:cs="Arial"/>
                <w:b/>
                <w:bCs/>
                <w:color w:val="008000"/>
                <w:sz w:val="20"/>
              </w:rPr>
              <w:t> </w:t>
            </w:r>
          </w:p>
        </w:tc>
        <w:tc>
          <w:tcPr>
            <w:tcW w:w="1170" w:type="dxa"/>
            <w:tcBorders>
              <w:top w:val="nil"/>
              <w:left w:val="nil"/>
              <w:bottom w:val="single" w:sz="8" w:space="0" w:color="auto"/>
              <w:right w:val="single" w:sz="4" w:space="0" w:color="auto"/>
            </w:tcBorders>
            <w:shd w:val="clear" w:color="auto" w:fill="auto"/>
            <w:noWrap/>
            <w:vAlign w:val="bottom"/>
          </w:tcPr>
          <w:p w14:paraId="765657AA" w14:textId="3CBD293C" w:rsidR="00BD67C1" w:rsidRPr="00281C9C" w:rsidRDefault="00B67935" w:rsidP="00BD67C1">
            <w:pPr>
              <w:jc w:val="center"/>
              <w:rPr>
                <w:rFonts w:ascii="Arial" w:hAnsi="Arial" w:cs="Arial"/>
                <w:b/>
                <w:bCs/>
                <w:color w:val="008000"/>
                <w:sz w:val="20"/>
              </w:rPr>
            </w:pPr>
            <w:r>
              <w:rPr>
                <w:rFonts w:ascii="Arial" w:hAnsi="Arial" w:cs="Arial"/>
                <w:b/>
                <w:bCs/>
                <w:color w:val="008000"/>
                <w:sz w:val="20"/>
              </w:rPr>
              <w:t>800</w:t>
            </w:r>
          </w:p>
        </w:tc>
        <w:tc>
          <w:tcPr>
            <w:tcW w:w="1551" w:type="dxa"/>
            <w:tcBorders>
              <w:top w:val="nil"/>
              <w:left w:val="nil"/>
              <w:bottom w:val="single" w:sz="8" w:space="0" w:color="auto"/>
              <w:right w:val="single" w:sz="8" w:space="0" w:color="auto"/>
            </w:tcBorders>
            <w:shd w:val="clear" w:color="auto" w:fill="auto"/>
            <w:noWrap/>
            <w:vAlign w:val="bottom"/>
          </w:tcPr>
          <w:p w14:paraId="696E0DD7" w14:textId="020A802E" w:rsidR="00BD67C1" w:rsidRPr="00281C9C" w:rsidRDefault="00BD67C1" w:rsidP="00B67935">
            <w:pPr>
              <w:jc w:val="center"/>
              <w:rPr>
                <w:rFonts w:ascii="Arial" w:hAnsi="Arial" w:cs="Arial"/>
                <w:b/>
                <w:bCs/>
                <w:color w:val="008000"/>
                <w:sz w:val="20"/>
              </w:rPr>
            </w:pPr>
            <w:r>
              <w:rPr>
                <w:rFonts w:ascii="Arial" w:hAnsi="Arial" w:cs="Arial"/>
                <w:b/>
                <w:bCs/>
                <w:color w:val="008000"/>
                <w:sz w:val="20"/>
              </w:rPr>
              <w:t>$</w:t>
            </w:r>
            <w:r w:rsidR="00B67935">
              <w:rPr>
                <w:rFonts w:ascii="Arial" w:hAnsi="Arial" w:cs="Arial"/>
                <w:b/>
                <w:bCs/>
                <w:color w:val="008000"/>
                <w:sz w:val="20"/>
              </w:rPr>
              <w:t>92,800</w:t>
            </w:r>
          </w:p>
        </w:tc>
      </w:tr>
    </w:tbl>
    <w:p w14:paraId="68255468" w14:textId="77777777" w:rsidR="00BD67C1" w:rsidRDefault="00BD67C1">
      <w:pPr>
        <w:widowControl/>
        <w:suppressAutoHyphens w:val="0"/>
        <w:autoSpaceDN/>
        <w:textAlignment w:val="auto"/>
      </w:pPr>
    </w:p>
    <w:p w14:paraId="7B241124" w14:textId="77777777" w:rsidR="00BD67C1" w:rsidRDefault="00BD67C1">
      <w:pPr>
        <w:widowControl/>
        <w:suppressAutoHyphens w:val="0"/>
        <w:autoSpaceDN/>
        <w:textAlignment w:val="auto"/>
      </w:pPr>
    </w:p>
    <w:p w14:paraId="31B2797B" w14:textId="77777777" w:rsidR="00992C9C" w:rsidRDefault="00992C9C" w:rsidP="00D018C8">
      <w:pPr>
        <w:widowControl/>
        <w:suppressAutoHyphens w:val="0"/>
        <w:autoSpaceDN/>
        <w:textAlignment w:val="auto"/>
        <w:sectPr w:rsidR="00992C9C" w:rsidSect="00B51AE1">
          <w:pgSz w:w="15840" w:h="12240" w:orient="landscape"/>
          <w:pgMar w:top="1440" w:right="1440" w:bottom="1440" w:left="1440" w:header="720" w:footer="720" w:gutter="0"/>
          <w:pgNumType w:fmt="numberInDash"/>
          <w:cols w:space="720"/>
          <w:docGrid w:linePitch="326"/>
        </w:sectPr>
      </w:pPr>
    </w:p>
    <w:p w14:paraId="26EB30A3" w14:textId="77777777" w:rsidR="00162646" w:rsidRDefault="00162646">
      <w:pPr>
        <w:pStyle w:val="Standard"/>
      </w:pPr>
    </w:p>
    <w:p w14:paraId="27B5A599" w14:textId="77777777" w:rsidR="00962E45" w:rsidRPr="00DD6547" w:rsidRDefault="00D84D2B">
      <w:pPr>
        <w:pStyle w:val="Standard"/>
      </w:pPr>
      <w:r>
        <w:t xml:space="preserve">. </w:t>
      </w:r>
      <w:r w:rsidR="00962E45" w:rsidRPr="00DD6547">
        <w:t xml:space="preserve">     </w:t>
      </w:r>
    </w:p>
    <w:sectPr w:rsidR="00962E45" w:rsidRPr="00DD6547" w:rsidSect="0068736D">
      <w:footerReference w:type="even" r:id="rId11"/>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700B" w14:textId="77777777" w:rsidR="00704AA8" w:rsidRDefault="00704AA8" w:rsidP="00C6311A">
      <w:r>
        <w:separator/>
      </w:r>
    </w:p>
  </w:endnote>
  <w:endnote w:type="continuationSeparator" w:id="0">
    <w:p w14:paraId="1C3CC16D" w14:textId="77777777" w:rsidR="00704AA8" w:rsidRDefault="00704AA8" w:rsidP="00C6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21331"/>
      <w:docPartObj>
        <w:docPartGallery w:val="Page Numbers (Bottom of Page)"/>
        <w:docPartUnique/>
      </w:docPartObj>
    </w:sdtPr>
    <w:sdtEndPr>
      <w:rPr>
        <w:noProof/>
      </w:rPr>
    </w:sdtEndPr>
    <w:sdtContent>
      <w:p w14:paraId="770B061D" w14:textId="77777777" w:rsidR="00F4029A" w:rsidRDefault="00105074">
        <w:pPr>
          <w:pStyle w:val="Footer"/>
          <w:jc w:val="center"/>
        </w:pPr>
        <w:r>
          <w:fldChar w:fldCharType="begin"/>
        </w:r>
        <w:r>
          <w:instrText xml:space="preserve"> PAGE  \* Arabic  \* MERGEFORMAT </w:instrText>
        </w:r>
        <w:r>
          <w:fldChar w:fldCharType="separate"/>
        </w:r>
        <w:r w:rsidR="00F4029A">
          <w:rPr>
            <w:noProof/>
          </w:rPr>
          <w:t>10</w:t>
        </w:r>
        <w:r>
          <w:rPr>
            <w:noProof/>
          </w:rPr>
          <w:fldChar w:fldCharType="end"/>
        </w:r>
      </w:p>
    </w:sdtContent>
  </w:sdt>
  <w:p w14:paraId="7CF688C2" w14:textId="77777777" w:rsidR="00F4029A" w:rsidRDefault="00F40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525306"/>
      <w:docPartObj>
        <w:docPartGallery w:val="Page Numbers (Bottom of Page)"/>
        <w:docPartUnique/>
      </w:docPartObj>
    </w:sdtPr>
    <w:sdtEndPr>
      <w:rPr>
        <w:noProof/>
      </w:rPr>
    </w:sdtEndPr>
    <w:sdtContent>
      <w:p w14:paraId="4E53CB22" w14:textId="77777777" w:rsidR="00F4029A" w:rsidRDefault="00105074">
        <w:pPr>
          <w:pStyle w:val="Footer"/>
          <w:jc w:val="center"/>
        </w:pPr>
        <w:r>
          <w:fldChar w:fldCharType="begin"/>
        </w:r>
        <w:r>
          <w:instrText xml:space="preserve"> PAGE  \* Arabic  \* MERGEFORMAT </w:instrText>
        </w:r>
        <w:r>
          <w:fldChar w:fldCharType="separate"/>
        </w:r>
        <w:r w:rsidR="00EB4892">
          <w:rPr>
            <w:noProof/>
          </w:rPr>
          <w:t>2</w:t>
        </w:r>
        <w:r>
          <w:rPr>
            <w:noProof/>
          </w:rPr>
          <w:fldChar w:fldCharType="end"/>
        </w:r>
      </w:p>
    </w:sdtContent>
  </w:sdt>
  <w:p w14:paraId="7FA4AE6A" w14:textId="77777777" w:rsidR="00F4029A" w:rsidRDefault="00F4029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8B77" w14:textId="77777777" w:rsidR="00F4029A" w:rsidRDefault="00105074">
    <w:pPr>
      <w:pStyle w:val="Footer"/>
    </w:pPr>
    <w:r>
      <w:fldChar w:fldCharType="begin"/>
    </w:r>
    <w:r>
      <w:instrText xml:space="preserve"> PAGE </w:instrText>
    </w:r>
    <w:r>
      <w:fldChar w:fldCharType="separate"/>
    </w:r>
    <w:r w:rsidR="00F4029A">
      <w:rPr>
        <w:noProof/>
      </w:rPr>
      <w:t>12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630983"/>
      <w:docPartObj>
        <w:docPartGallery w:val="Page Numbers (Bottom of Page)"/>
        <w:docPartUnique/>
      </w:docPartObj>
    </w:sdtPr>
    <w:sdtEndPr>
      <w:rPr>
        <w:noProof/>
      </w:rPr>
    </w:sdtEndPr>
    <w:sdtContent>
      <w:p w14:paraId="68BDD7CF" w14:textId="77777777" w:rsidR="00F4029A" w:rsidRDefault="00105074">
        <w:pPr>
          <w:pStyle w:val="Footer"/>
          <w:jc w:val="center"/>
        </w:pPr>
        <w:r>
          <w:fldChar w:fldCharType="begin"/>
        </w:r>
        <w:r>
          <w:instrText xml:space="preserve"> PAGE   \* MERGEFORMAT </w:instrText>
        </w:r>
        <w:r>
          <w:fldChar w:fldCharType="separate"/>
        </w:r>
        <w:r w:rsidR="00EB4892">
          <w:rPr>
            <w:noProof/>
          </w:rPr>
          <w:t>12</w:t>
        </w:r>
        <w:r>
          <w:rPr>
            <w:noProof/>
          </w:rPr>
          <w:fldChar w:fldCharType="end"/>
        </w:r>
      </w:p>
    </w:sdtContent>
  </w:sdt>
  <w:p w14:paraId="560D09EC" w14:textId="77777777" w:rsidR="00F4029A" w:rsidRDefault="00F402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42AB4" w14:textId="77777777" w:rsidR="00704AA8" w:rsidRDefault="00704AA8" w:rsidP="00C6311A">
      <w:r w:rsidRPr="00C6311A">
        <w:rPr>
          <w:color w:val="000000"/>
        </w:rPr>
        <w:separator/>
      </w:r>
    </w:p>
  </w:footnote>
  <w:footnote w:type="continuationSeparator" w:id="0">
    <w:p w14:paraId="511F2A08" w14:textId="77777777" w:rsidR="00704AA8" w:rsidRDefault="00704AA8" w:rsidP="00C6311A">
      <w:r>
        <w:continuationSeparator/>
      </w:r>
    </w:p>
  </w:footnote>
  <w:footnote w:id="1">
    <w:p w14:paraId="713658C7" w14:textId="7D0C2641" w:rsidR="00F4029A" w:rsidRDefault="00F4029A" w:rsidP="00A8628D">
      <w:pPr>
        <w:pStyle w:val="FootnoteText"/>
      </w:pPr>
      <w:r w:rsidRPr="00DE102F">
        <w:rPr>
          <w:rStyle w:val="FootnoteReference"/>
        </w:rPr>
        <w:footnoteRef/>
      </w:r>
      <w:r>
        <w:t xml:space="preserve"> These estimates are derived from "OPM Salary Table 2013-DCB," effective January 2013.  This table may be found at </w:t>
      </w:r>
      <w:r w:rsidRPr="00221A34">
        <w:t>http://www.opm.gov/policy-data-oversight/pay-leave/salaries-wages/2013/general-schedule/washington-baltimore-northern-virginia-dc-md-va-wv-pa-annual-rates-by-grade-and-step/</w:t>
      </w:r>
      <w:r>
        <w:t>.  The extreme of step 10 was assumed for all categories.  We have assumed a GS-7 clerical worker</w:t>
      </w:r>
      <w:r w:rsidR="00050F15">
        <w:t xml:space="preserve"> working one-twelfth of his/her time</w:t>
      </w:r>
      <w:r>
        <w:t xml:space="preserve">, </w:t>
      </w:r>
      <w:r w:rsidR="00050F15">
        <w:t>a</w:t>
      </w:r>
      <w:r>
        <w:t xml:space="preserve"> GS-13 technical worker</w:t>
      </w:r>
      <w:r w:rsidR="00050F15">
        <w:t xml:space="preserve"> working one-sixteenth of his/her time</w:t>
      </w:r>
      <w:r>
        <w:t>, and a GS-15 manager working one-</w:t>
      </w:r>
      <w:r w:rsidR="00050F15">
        <w:t>thirty second</w:t>
      </w:r>
      <w:r>
        <w:t xml:space="preserve"> of his/her time managing this project.  All values were multiplied by 1.6 (which is a common factor utilized in ICRs to account for overhead costs). We rounded the resulting dollar value to the nearest hundred.  This cost is per year.</w:t>
      </w:r>
    </w:p>
  </w:footnote>
  <w:footnote w:id="2">
    <w:p w14:paraId="4CF8D117" w14:textId="4CE745BF" w:rsidR="00F4029A" w:rsidRDefault="00F4029A" w:rsidP="00A8628D">
      <w:pPr>
        <w:pStyle w:val="Standard"/>
      </w:pPr>
      <w:r w:rsidRPr="00A8628D">
        <w:rPr>
          <w:rStyle w:val="FootnoteReference"/>
          <w:sz w:val="20"/>
          <w:szCs w:val="20"/>
        </w:rPr>
        <w:footnoteRef/>
      </w:r>
      <w:r w:rsidRPr="00A8628D">
        <w:rPr>
          <w:sz w:val="20"/>
          <w:szCs w:val="20"/>
        </w:rPr>
        <w:t xml:space="preserve"> There is an annual "subscription cost" associated with the use of CDX that is passed on to the EPA program office, EPA estimates that registrants in the RFS program will cost our office approximately $200,000 per year in 2015, 2016 and 2017.  We anticipate $267,000 in annual contract costs related to registration and reporting activities.  We anticipate IT development and testing costs at $600,000 divided by three years to yield an annual cost of $200,000.</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D6F"/>
    <w:multiLevelType w:val="multilevel"/>
    <w:tmpl w:val="B5F280EA"/>
    <w:styleLink w:val="WWNum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06104EF4"/>
    <w:multiLevelType w:val="multilevel"/>
    <w:tmpl w:val="4954770A"/>
    <w:styleLink w:val="WWNum1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0E5E50E5"/>
    <w:multiLevelType w:val="hybridMultilevel"/>
    <w:tmpl w:val="5D564666"/>
    <w:lvl w:ilvl="0" w:tplc="6478AC16">
      <w:start w:val="4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20580"/>
    <w:multiLevelType w:val="multilevel"/>
    <w:tmpl w:val="7C3A1A06"/>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15:restartNumberingAfterBreak="0">
    <w:nsid w:val="11F33B1F"/>
    <w:multiLevelType w:val="hybridMultilevel"/>
    <w:tmpl w:val="BB761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C1725"/>
    <w:multiLevelType w:val="multilevel"/>
    <w:tmpl w:val="1C0A0704"/>
    <w:styleLink w:val="WW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14C02ED6"/>
    <w:multiLevelType w:val="multilevel"/>
    <w:tmpl w:val="18F48AAA"/>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B71673A"/>
    <w:multiLevelType w:val="multilevel"/>
    <w:tmpl w:val="E42C02D0"/>
    <w:styleLink w:val="WWNum4"/>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1D9E695D"/>
    <w:multiLevelType w:val="multilevel"/>
    <w:tmpl w:val="BABC42BA"/>
    <w:styleLink w:val="WW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ECD590A"/>
    <w:multiLevelType w:val="hybridMultilevel"/>
    <w:tmpl w:val="BCE2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061207"/>
    <w:multiLevelType w:val="multilevel"/>
    <w:tmpl w:val="84C64A1A"/>
    <w:styleLink w:val="WWNum1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273F63E1"/>
    <w:multiLevelType w:val="multilevel"/>
    <w:tmpl w:val="E17624BC"/>
    <w:styleLink w:val="WW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28DE156E"/>
    <w:multiLevelType w:val="hybridMultilevel"/>
    <w:tmpl w:val="BCE2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05F672B"/>
    <w:multiLevelType w:val="multilevel"/>
    <w:tmpl w:val="3906186A"/>
    <w:styleLink w:val="WWNum14"/>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30A448B6"/>
    <w:multiLevelType w:val="multilevel"/>
    <w:tmpl w:val="82DCD606"/>
    <w:styleLink w:val="WWNum13"/>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30F61D41"/>
    <w:multiLevelType w:val="multilevel"/>
    <w:tmpl w:val="01068F52"/>
    <w:styleLink w:val="WW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3E114E0F"/>
    <w:multiLevelType w:val="multilevel"/>
    <w:tmpl w:val="B5040BDA"/>
    <w:styleLink w:val="WWNum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44426B60"/>
    <w:multiLevelType w:val="hybridMultilevel"/>
    <w:tmpl w:val="FDA2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67373"/>
    <w:multiLevelType w:val="multilevel"/>
    <w:tmpl w:val="84C4BAC8"/>
    <w:styleLink w:val="WW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46FF594D"/>
    <w:multiLevelType w:val="hybridMultilevel"/>
    <w:tmpl w:val="66EA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D6257"/>
    <w:multiLevelType w:val="multilevel"/>
    <w:tmpl w:val="DFC2DA6E"/>
    <w:styleLink w:val="WWNum1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5504551A"/>
    <w:multiLevelType w:val="hybridMultilevel"/>
    <w:tmpl w:val="BF4C5BD2"/>
    <w:lvl w:ilvl="0" w:tplc="774C2102">
      <w:start w:val="4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975C4A"/>
    <w:multiLevelType w:val="hybridMultilevel"/>
    <w:tmpl w:val="A9302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17919"/>
    <w:multiLevelType w:val="multilevel"/>
    <w:tmpl w:val="F044EE12"/>
    <w:styleLink w:val="WWNum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62F40871"/>
    <w:multiLevelType w:val="multilevel"/>
    <w:tmpl w:val="167AB9B4"/>
    <w:styleLink w:val="WW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68014A6F"/>
    <w:multiLevelType w:val="multilevel"/>
    <w:tmpl w:val="A028B2F4"/>
    <w:styleLink w:val="WW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6E515A9D"/>
    <w:multiLevelType w:val="multilevel"/>
    <w:tmpl w:val="0A1C5858"/>
    <w:styleLink w:val="WWNum11"/>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6F486849"/>
    <w:multiLevelType w:val="multilevel"/>
    <w:tmpl w:val="0C1E30F4"/>
    <w:styleLink w:val="WWNum1"/>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739E5601"/>
    <w:multiLevelType w:val="multilevel"/>
    <w:tmpl w:val="44666C62"/>
    <w:styleLink w:val="WW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28"/>
  </w:num>
  <w:num w:numId="2">
    <w:abstractNumId w:val="17"/>
  </w:num>
  <w:num w:numId="3">
    <w:abstractNumId w:val="0"/>
  </w:num>
  <w:num w:numId="4">
    <w:abstractNumId w:val="7"/>
  </w:num>
  <w:num w:numId="5">
    <w:abstractNumId w:val="11"/>
  </w:num>
  <w:num w:numId="6">
    <w:abstractNumId w:val="25"/>
  </w:num>
  <w:num w:numId="7">
    <w:abstractNumId w:val="29"/>
  </w:num>
  <w:num w:numId="8">
    <w:abstractNumId w:val="16"/>
  </w:num>
  <w:num w:numId="9">
    <w:abstractNumId w:val="24"/>
  </w:num>
  <w:num w:numId="10">
    <w:abstractNumId w:val="26"/>
  </w:num>
  <w:num w:numId="11">
    <w:abstractNumId w:val="27"/>
  </w:num>
  <w:num w:numId="12">
    <w:abstractNumId w:val="21"/>
  </w:num>
  <w:num w:numId="13">
    <w:abstractNumId w:val="15"/>
  </w:num>
  <w:num w:numId="14">
    <w:abstractNumId w:val="14"/>
  </w:num>
  <w:num w:numId="15">
    <w:abstractNumId w:val="1"/>
  </w:num>
  <w:num w:numId="16">
    <w:abstractNumId w:val="10"/>
  </w:num>
  <w:num w:numId="17">
    <w:abstractNumId w:val="6"/>
  </w:num>
  <w:num w:numId="18">
    <w:abstractNumId w:val="8"/>
  </w:num>
  <w:num w:numId="19">
    <w:abstractNumId w:val="5"/>
  </w:num>
  <w:num w:numId="20">
    <w:abstractNumId w:val="19"/>
  </w:num>
  <w:num w:numId="21">
    <w:abstractNumId w:val="3"/>
  </w:num>
  <w:num w:numId="22">
    <w:abstractNumId w:val="17"/>
    <w:lvlOverride w:ilvl="0">
      <w:startOverride w:val="1"/>
    </w:lvlOverride>
  </w:num>
  <w:num w:numId="23">
    <w:abstractNumId w:val="5"/>
  </w:num>
  <w:num w:numId="24">
    <w:abstractNumId w:val="28"/>
  </w:num>
  <w:num w:numId="25">
    <w:abstractNumId w:val="13"/>
  </w:num>
  <w:num w:numId="26">
    <w:abstractNumId w:val="23"/>
  </w:num>
  <w:num w:numId="27">
    <w:abstractNumId w:val="4"/>
  </w:num>
  <w:num w:numId="28">
    <w:abstractNumId w:val="22"/>
  </w:num>
  <w:num w:numId="29">
    <w:abstractNumId w:val="2"/>
  </w:num>
  <w:num w:numId="30">
    <w:abstractNumId w:val="20"/>
  </w:num>
  <w:num w:numId="31">
    <w:abstractNumId w:val="1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6311A"/>
    <w:rsid w:val="00006C88"/>
    <w:rsid w:val="00007EA7"/>
    <w:rsid w:val="000139E7"/>
    <w:rsid w:val="00016DBC"/>
    <w:rsid w:val="00025802"/>
    <w:rsid w:val="00026145"/>
    <w:rsid w:val="00027EE5"/>
    <w:rsid w:val="00032DC5"/>
    <w:rsid w:val="00033827"/>
    <w:rsid w:val="0003752F"/>
    <w:rsid w:val="00050F15"/>
    <w:rsid w:val="000751C0"/>
    <w:rsid w:val="00076DB0"/>
    <w:rsid w:val="00077488"/>
    <w:rsid w:val="0007773B"/>
    <w:rsid w:val="00090689"/>
    <w:rsid w:val="00091385"/>
    <w:rsid w:val="00092A8D"/>
    <w:rsid w:val="00095B7F"/>
    <w:rsid w:val="00096F7B"/>
    <w:rsid w:val="000A4610"/>
    <w:rsid w:val="000B0D16"/>
    <w:rsid w:val="000B0DFE"/>
    <w:rsid w:val="000B184F"/>
    <w:rsid w:val="000B41E5"/>
    <w:rsid w:val="000C5C3B"/>
    <w:rsid w:val="000D2C59"/>
    <w:rsid w:val="000F12F1"/>
    <w:rsid w:val="000F2C0B"/>
    <w:rsid w:val="000F485E"/>
    <w:rsid w:val="0010097E"/>
    <w:rsid w:val="0010232D"/>
    <w:rsid w:val="00105074"/>
    <w:rsid w:val="001114B2"/>
    <w:rsid w:val="0011181D"/>
    <w:rsid w:val="001157A4"/>
    <w:rsid w:val="001261F9"/>
    <w:rsid w:val="0013113B"/>
    <w:rsid w:val="0013116E"/>
    <w:rsid w:val="00131531"/>
    <w:rsid w:val="00135F5F"/>
    <w:rsid w:val="00140065"/>
    <w:rsid w:val="001440D3"/>
    <w:rsid w:val="00146308"/>
    <w:rsid w:val="00152D49"/>
    <w:rsid w:val="00152EE8"/>
    <w:rsid w:val="0015464D"/>
    <w:rsid w:val="0016045B"/>
    <w:rsid w:val="00162646"/>
    <w:rsid w:val="00163B63"/>
    <w:rsid w:val="00164AF2"/>
    <w:rsid w:val="0016527D"/>
    <w:rsid w:val="00171824"/>
    <w:rsid w:val="00187245"/>
    <w:rsid w:val="0018774B"/>
    <w:rsid w:val="00195837"/>
    <w:rsid w:val="001A055E"/>
    <w:rsid w:val="001A1CDB"/>
    <w:rsid w:val="001B038D"/>
    <w:rsid w:val="001B4832"/>
    <w:rsid w:val="001B5DF9"/>
    <w:rsid w:val="001C085C"/>
    <w:rsid w:val="001C29B2"/>
    <w:rsid w:val="001D16EA"/>
    <w:rsid w:val="001D579B"/>
    <w:rsid w:val="001D69DC"/>
    <w:rsid w:val="001E6D84"/>
    <w:rsid w:val="001E77D1"/>
    <w:rsid w:val="001F04AE"/>
    <w:rsid w:val="001F2049"/>
    <w:rsid w:val="001F696B"/>
    <w:rsid w:val="00201F9E"/>
    <w:rsid w:val="00205266"/>
    <w:rsid w:val="00206874"/>
    <w:rsid w:val="00216299"/>
    <w:rsid w:val="00221A34"/>
    <w:rsid w:val="002245ED"/>
    <w:rsid w:val="00230564"/>
    <w:rsid w:val="002323DA"/>
    <w:rsid w:val="0023441C"/>
    <w:rsid w:val="002348CD"/>
    <w:rsid w:val="002356CC"/>
    <w:rsid w:val="00237524"/>
    <w:rsid w:val="002410F5"/>
    <w:rsid w:val="002448D3"/>
    <w:rsid w:val="00245231"/>
    <w:rsid w:val="00247494"/>
    <w:rsid w:val="002511DF"/>
    <w:rsid w:val="00254423"/>
    <w:rsid w:val="00256C85"/>
    <w:rsid w:val="00263324"/>
    <w:rsid w:val="00265929"/>
    <w:rsid w:val="00271338"/>
    <w:rsid w:val="00277C5E"/>
    <w:rsid w:val="00281C9C"/>
    <w:rsid w:val="00293C74"/>
    <w:rsid w:val="00294398"/>
    <w:rsid w:val="002974F3"/>
    <w:rsid w:val="002A0256"/>
    <w:rsid w:val="002A2970"/>
    <w:rsid w:val="002A4E0A"/>
    <w:rsid w:val="002B5B4C"/>
    <w:rsid w:val="002C5AE8"/>
    <w:rsid w:val="002F483A"/>
    <w:rsid w:val="002F4A3D"/>
    <w:rsid w:val="002F519F"/>
    <w:rsid w:val="002F5569"/>
    <w:rsid w:val="002F7033"/>
    <w:rsid w:val="002F74D9"/>
    <w:rsid w:val="00314D7E"/>
    <w:rsid w:val="00315CE8"/>
    <w:rsid w:val="00323051"/>
    <w:rsid w:val="003331EB"/>
    <w:rsid w:val="0033737D"/>
    <w:rsid w:val="00343E4C"/>
    <w:rsid w:val="00345E2E"/>
    <w:rsid w:val="00354E9A"/>
    <w:rsid w:val="00355734"/>
    <w:rsid w:val="003707DE"/>
    <w:rsid w:val="003747D9"/>
    <w:rsid w:val="00380EF9"/>
    <w:rsid w:val="003864B8"/>
    <w:rsid w:val="00387850"/>
    <w:rsid w:val="00391373"/>
    <w:rsid w:val="00393991"/>
    <w:rsid w:val="00393F5E"/>
    <w:rsid w:val="003A1B94"/>
    <w:rsid w:val="003A1EE5"/>
    <w:rsid w:val="003A374A"/>
    <w:rsid w:val="003A4F39"/>
    <w:rsid w:val="003A66CC"/>
    <w:rsid w:val="003B0414"/>
    <w:rsid w:val="003B135B"/>
    <w:rsid w:val="003B3778"/>
    <w:rsid w:val="003B3EC5"/>
    <w:rsid w:val="003B4AB1"/>
    <w:rsid w:val="003B6EC4"/>
    <w:rsid w:val="003C1CF3"/>
    <w:rsid w:val="003C56C8"/>
    <w:rsid w:val="003C5720"/>
    <w:rsid w:val="003D435F"/>
    <w:rsid w:val="003E0C90"/>
    <w:rsid w:val="003E18DE"/>
    <w:rsid w:val="003F4EFF"/>
    <w:rsid w:val="003F636B"/>
    <w:rsid w:val="004031C0"/>
    <w:rsid w:val="004168E4"/>
    <w:rsid w:val="004268B5"/>
    <w:rsid w:val="004338D3"/>
    <w:rsid w:val="00437AA2"/>
    <w:rsid w:val="00437BF9"/>
    <w:rsid w:val="00441940"/>
    <w:rsid w:val="00443BAA"/>
    <w:rsid w:val="00444F6E"/>
    <w:rsid w:val="00451EF9"/>
    <w:rsid w:val="004547F1"/>
    <w:rsid w:val="00455F65"/>
    <w:rsid w:val="00462154"/>
    <w:rsid w:val="004653B3"/>
    <w:rsid w:val="00472D44"/>
    <w:rsid w:val="004811BA"/>
    <w:rsid w:val="00481507"/>
    <w:rsid w:val="00487A47"/>
    <w:rsid w:val="00496E98"/>
    <w:rsid w:val="004A3A6D"/>
    <w:rsid w:val="004A4128"/>
    <w:rsid w:val="004A4697"/>
    <w:rsid w:val="004A5039"/>
    <w:rsid w:val="004B229C"/>
    <w:rsid w:val="004B289D"/>
    <w:rsid w:val="004C47F9"/>
    <w:rsid w:val="004D65A7"/>
    <w:rsid w:val="004D7EAF"/>
    <w:rsid w:val="004E1D12"/>
    <w:rsid w:val="004E4464"/>
    <w:rsid w:val="004E4EE9"/>
    <w:rsid w:val="004E5355"/>
    <w:rsid w:val="0050109B"/>
    <w:rsid w:val="0050216E"/>
    <w:rsid w:val="005039BA"/>
    <w:rsid w:val="005047E3"/>
    <w:rsid w:val="00505AB0"/>
    <w:rsid w:val="00512C7C"/>
    <w:rsid w:val="0053056B"/>
    <w:rsid w:val="00533B2F"/>
    <w:rsid w:val="0053741B"/>
    <w:rsid w:val="00545ADF"/>
    <w:rsid w:val="00547797"/>
    <w:rsid w:val="00551F0F"/>
    <w:rsid w:val="00566D7A"/>
    <w:rsid w:val="005672F8"/>
    <w:rsid w:val="0058355B"/>
    <w:rsid w:val="00584AF8"/>
    <w:rsid w:val="00593B13"/>
    <w:rsid w:val="0059543A"/>
    <w:rsid w:val="00597FF6"/>
    <w:rsid w:val="005A09EC"/>
    <w:rsid w:val="005A4534"/>
    <w:rsid w:val="005A55AE"/>
    <w:rsid w:val="005A7CE6"/>
    <w:rsid w:val="005B0A73"/>
    <w:rsid w:val="005B230B"/>
    <w:rsid w:val="005B2ED8"/>
    <w:rsid w:val="005B6E5F"/>
    <w:rsid w:val="005E58FF"/>
    <w:rsid w:val="005F07F0"/>
    <w:rsid w:val="005F3DE4"/>
    <w:rsid w:val="005F4234"/>
    <w:rsid w:val="005F611C"/>
    <w:rsid w:val="006031FE"/>
    <w:rsid w:val="00605AE6"/>
    <w:rsid w:val="00605D06"/>
    <w:rsid w:val="006072A0"/>
    <w:rsid w:val="0065460D"/>
    <w:rsid w:val="00655545"/>
    <w:rsid w:val="00656495"/>
    <w:rsid w:val="00661970"/>
    <w:rsid w:val="00665192"/>
    <w:rsid w:val="00666D90"/>
    <w:rsid w:val="006800EB"/>
    <w:rsid w:val="0068736D"/>
    <w:rsid w:val="006929A3"/>
    <w:rsid w:val="00693AE7"/>
    <w:rsid w:val="00696B54"/>
    <w:rsid w:val="006C1084"/>
    <w:rsid w:val="006D226C"/>
    <w:rsid w:val="006D3351"/>
    <w:rsid w:val="006D347B"/>
    <w:rsid w:val="006D6061"/>
    <w:rsid w:val="006D6758"/>
    <w:rsid w:val="006E70F2"/>
    <w:rsid w:val="006E7F18"/>
    <w:rsid w:val="006F6341"/>
    <w:rsid w:val="00703811"/>
    <w:rsid w:val="00704AA8"/>
    <w:rsid w:val="00705BF5"/>
    <w:rsid w:val="007168E6"/>
    <w:rsid w:val="007215CF"/>
    <w:rsid w:val="007241F1"/>
    <w:rsid w:val="00743B6D"/>
    <w:rsid w:val="00760C71"/>
    <w:rsid w:val="00761D0D"/>
    <w:rsid w:val="00766DC4"/>
    <w:rsid w:val="0076753B"/>
    <w:rsid w:val="00773A7D"/>
    <w:rsid w:val="00773E26"/>
    <w:rsid w:val="00777F67"/>
    <w:rsid w:val="00780B7C"/>
    <w:rsid w:val="00797971"/>
    <w:rsid w:val="007A12AB"/>
    <w:rsid w:val="007B1DBA"/>
    <w:rsid w:val="007B2C9F"/>
    <w:rsid w:val="007B553C"/>
    <w:rsid w:val="007B60D8"/>
    <w:rsid w:val="007D1320"/>
    <w:rsid w:val="007D3FB9"/>
    <w:rsid w:val="007D4BC4"/>
    <w:rsid w:val="007D6212"/>
    <w:rsid w:val="007E1161"/>
    <w:rsid w:val="007F6F90"/>
    <w:rsid w:val="00803F2D"/>
    <w:rsid w:val="008105E7"/>
    <w:rsid w:val="00827C18"/>
    <w:rsid w:val="00833BAC"/>
    <w:rsid w:val="008452AB"/>
    <w:rsid w:val="00847762"/>
    <w:rsid w:val="00850975"/>
    <w:rsid w:val="0085412A"/>
    <w:rsid w:val="00855111"/>
    <w:rsid w:val="00856B5E"/>
    <w:rsid w:val="008676D2"/>
    <w:rsid w:val="0087049C"/>
    <w:rsid w:val="008732AF"/>
    <w:rsid w:val="00873999"/>
    <w:rsid w:val="00882168"/>
    <w:rsid w:val="00886C2A"/>
    <w:rsid w:val="008906FC"/>
    <w:rsid w:val="00891F5A"/>
    <w:rsid w:val="00897DCF"/>
    <w:rsid w:val="008B6323"/>
    <w:rsid w:val="008C5245"/>
    <w:rsid w:val="008C5DD6"/>
    <w:rsid w:val="008C69CA"/>
    <w:rsid w:val="008D6870"/>
    <w:rsid w:val="008E4138"/>
    <w:rsid w:val="008F7F23"/>
    <w:rsid w:val="00900BCB"/>
    <w:rsid w:val="00925579"/>
    <w:rsid w:val="0093075A"/>
    <w:rsid w:val="00931957"/>
    <w:rsid w:val="0093310B"/>
    <w:rsid w:val="00933DD8"/>
    <w:rsid w:val="0093466C"/>
    <w:rsid w:val="00936383"/>
    <w:rsid w:val="009531D4"/>
    <w:rsid w:val="00953292"/>
    <w:rsid w:val="00956A03"/>
    <w:rsid w:val="00960CF0"/>
    <w:rsid w:val="00961860"/>
    <w:rsid w:val="00961BD8"/>
    <w:rsid w:val="00962E45"/>
    <w:rsid w:val="00964BA3"/>
    <w:rsid w:val="00966E3F"/>
    <w:rsid w:val="00973537"/>
    <w:rsid w:val="00975622"/>
    <w:rsid w:val="00975816"/>
    <w:rsid w:val="00980C3C"/>
    <w:rsid w:val="00992C9C"/>
    <w:rsid w:val="00993D0C"/>
    <w:rsid w:val="0099508B"/>
    <w:rsid w:val="0099539E"/>
    <w:rsid w:val="009A29AB"/>
    <w:rsid w:val="009A42AC"/>
    <w:rsid w:val="009A6A94"/>
    <w:rsid w:val="009B7F08"/>
    <w:rsid w:val="009C0FF6"/>
    <w:rsid w:val="009C2075"/>
    <w:rsid w:val="009F4115"/>
    <w:rsid w:val="009F4F55"/>
    <w:rsid w:val="009F6D70"/>
    <w:rsid w:val="00A01F9B"/>
    <w:rsid w:val="00A038A7"/>
    <w:rsid w:val="00A056A6"/>
    <w:rsid w:val="00A11B22"/>
    <w:rsid w:val="00A15C61"/>
    <w:rsid w:val="00A16A4E"/>
    <w:rsid w:val="00A466A6"/>
    <w:rsid w:val="00A55B2A"/>
    <w:rsid w:val="00A61494"/>
    <w:rsid w:val="00A61C89"/>
    <w:rsid w:val="00A659DC"/>
    <w:rsid w:val="00A6673C"/>
    <w:rsid w:val="00A72D4C"/>
    <w:rsid w:val="00A730A2"/>
    <w:rsid w:val="00A74E45"/>
    <w:rsid w:val="00A77694"/>
    <w:rsid w:val="00A856C8"/>
    <w:rsid w:val="00A8628D"/>
    <w:rsid w:val="00A96A69"/>
    <w:rsid w:val="00AB1C3B"/>
    <w:rsid w:val="00AC7D12"/>
    <w:rsid w:val="00AD3F58"/>
    <w:rsid w:val="00AE3D53"/>
    <w:rsid w:val="00AE4D0D"/>
    <w:rsid w:val="00AF53FC"/>
    <w:rsid w:val="00AF77DA"/>
    <w:rsid w:val="00B008CF"/>
    <w:rsid w:val="00B016B3"/>
    <w:rsid w:val="00B04E6B"/>
    <w:rsid w:val="00B04FB8"/>
    <w:rsid w:val="00B05305"/>
    <w:rsid w:val="00B066FB"/>
    <w:rsid w:val="00B11347"/>
    <w:rsid w:val="00B114E1"/>
    <w:rsid w:val="00B12801"/>
    <w:rsid w:val="00B23BFC"/>
    <w:rsid w:val="00B2481D"/>
    <w:rsid w:val="00B341C3"/>
    <w:rsid w:val="00B45BF9"/>
    <w:rsid w:val="00B51AE1"/>
    <w:rsid w:val="00B540B8"/>
    <w:rsid w:val="00B605E1"/>
    <w:rsid w:val="00B611C5"/>
    <w:rsid w:val="00B67935"/>
    <w:rsid w:val="00B82CD6"/>
    <w:rsid w:val="00B84DB4"/>
    <w:rsid w:val="00B90C9B"/>
    <w:rsid w:val="00B91739"/>
    <w:rsid w:val="00B94560"/>
    <w:rsid w:val="00B96FA1"/>
    <w:rsid w:val="00BA3159"/>
    <w:rsid w:val="00BA6E69"/>
    <w:rsid w:val="00BA724E"/>
    <w:rsid w:val="00BC0A99"/>
    <w:rsid w:val="00BC5EDE"/>
    <w:rsid w:val="00BC7C56"/>
    <w:rsid w:val="00BD2947"/>
    <w:rsid w:val="00BD67C1"/>
    <w:rsid w:val="00BE4FFF"/>
    <w:rsid w:val="00BE7C84"/>
    <w:rsid w:val="00BF24CF"/>
    <w:rsid w:val="00C03F30"/>
    <w:rsid w:val="00C06F6B"/>
    <w:rsid w:val="00C0774A"/>
    <w:rsid w:val="00C10462"/>
    <w:rsid w:val="00C1298D"/>
    <w:rsid w:val="00C168C1"/>
    <w:rsid w:val="00C20845"/>
    <w:rsid w:val="00C22BEC"/>
    <w:rsid w:val="00C319B7"/>
    <w:rsid w:val="00C35F36"/>
    <w:rsid w:val="00C416F5"/>
    <w:rsid w:val="00C41F2C"/>
    <w:rsid w:val="00C53E3E"/>
    <w:rsid w:val="00C573C5"/>
    <w:rsid w:val="00C60337"/>
    <w:rsid w:val="00C61B90"/>
    <w:rsid w:val="00C61DAC"/>
    <w:rsid w:val="00C6311A"/>
    <w:rsid w:val="00C670B7"/>
    <w:rsid w:val="00C734D6"/>
    <w:rsid w:val="00C753BC"/>
    <w:rsid w:val="00C767AB"/>
    <w:rsid w:val="00C8181B"/>
    <w:rsid w:val="00C82157"/>
    <w:rsid w:val="00C83385"/>
    <w:rsid w:val="00C9132E"/>
    <w:rsid w:val="00C948B3"/>
    <w:rsid w:val="00CB71AA"/>
    <w:rsid w:val="00CC1D6B"/>
    <w:rsid w:val="00CC4975"/>
    <w:rsid w:val="00CC5680"/>
    <w:rsid w:val="00CD3DB8"/>
    <w:rsid w:val="00CD4A0F"/>
    <w:rsid w:val="00CD58A9"/>
    <w:rsid w:val="00CD6C92"/>
    <w:rsid w:val="00CE0FEF"/>
    <w:rsid w:val="00CE44C0"/>
    <w:rsid w:val="00CE6F2B"/>
    <w:rsid w:val="00CF2E54"/>
    <w:rsid w:val="00CF6116"/>
    <w:rsid w:val="00D00679"/>
    <w:rsid w:val="00D0114D"/>
    <w:rsid w:val="00D018C8"/>
    <w:rsid w:val="00D258C1"/>
    <w:rsid w:val="00D32BD3"/>
    <w:rsid w:val="00D36222"/>
    <w:rsid w:val="00D362A9"/>
    <w:rsid w:val="00D40A58"/>
    <w:rsid w:val="00D477A8"/>
    <w:rsid w:val="00D528B6"/>
    <w:rsid w:val="00D52E0C"/>
    <w:rsid w:val="00D561EB"/>
    <w:rsid w:val="00D61B7F"/>
    <w:rsid w:val="00D650E4"/>
    <w:rsid w:val="00D6716C"/>
    <w:rsid w:val="00D71134"/>
    <w:rsid w:val="00D72AC1"/>
    <w:rsid w:val="00D7452E"/>
    <w:rsid w:val="00D764A5"/>
    <w:rsid w:val="00D77CCA"/>
    <w:rsid w:val="00D84D2B"/>
    <w:rsid w:val="00DA2110"/>
    <w:rsid w:val="00DB654F"/>
    <w:rsid w:val="00DB72DB"/>
    <w:rsid w:val="00DC6DBF"/>
    <w:rsid w:val="00DD08DE"/>
    <w:rsid w:val="00DD60EF"/>
    <w:rsid w:val="00DD6547"/>
    <w:rsid w:val="00DD6F8D"/>
    <w:rsid w:val="00DE25C5"/>
    <w:rsid w:val="00DE7E99"/>
    <w:rsid w:val="00DF1576"/>
    <w:rsid w:val="00DF3241"/>
    <w:rsid w:val="00E01845"/>
    <w:rsid w:val="00E01A88"/>
    <w:rsid w:val="00E06EE6"/>
    <w:rsid w:val="00E07F6D"/>
    <w:rsid w:val="00E1055F"/>
    <w:rsid w:val="00E11C63"/>
    <w:rsid w:val="00E16415"/>
    <w:rsid w:val="00E24D66"/>
    <w:rsid w:val="00E359BF"/>
    <w:rsid w:val="00E375CD"/>
    <w:rsid w:val="00E440B4"/>
    <w:rsid w:val="00E46949"/>
    <w:rsid w:val="00E53BF0"/>
    <w:rsid w:val="00E65129"/>
    <w:rsid w:val="00E67F5D"/>
    <w:rsid w:val="00E714EB"/>
    <w:rsid w:val="00E82BFF"/>
    <w:rsid w:val="00E83926"/>
    <w:rsid w:val="00E9039A"/>
    <w:rsid w:val="00E936D4"/>
    <w:rsid w:val="00E940CF"/>
    <w:rsid w:val="00EA476C"/>
    <w:rsid w:val="00EA75D3"/>
    <w:rsid w:val="00EA7716"/>
    <w:rsid w:val="00EA7E70"/>
    <w:rsid w:val="00EB4892"/>
    <w:rsid w:val="00EC2536"/>
    <w:rsid w:val="00ED20DF"/>
    <w:rsid w:val="00ED3371"/>
    <w:rsid w:val="00EE46DA"/>
    <w:rsid w:val="00EE6EA9"/>
    <w:rsid w:val="00EF24E6"/>
    <w:rsid w:val="00EF26FA"/>
    <w:rsid w:val="00EF4EC5"/>
    <w:rsid w:val="00EF612E"/>
    <w:rsid w:val="00F06961"/>
    <w:rsid w:val="00F13781"/>
    <w:rsid w:val="00F14E0E"/>
    <w:rsid w:val="00F15EC3"/>
    <w:rsid w:val="00F23C4E"/>
    <w:rsid w:val="00F25013"/>
    <w:rsid w:val="00F26C03"/>
    <w:rsid w:val="00F341E4"/>
    <w:rsid w:val="00F34695"/>
    <w:rsid w:val="00F35C9E"/>
    <w:rsid w:val="00F4029A"/>
    <w:rsid w:val="00F40FB8"/>
    <w:rsid w:val="00F41D55"/>
    <w:rsid w:val="00F52B21"/>
    <w:rsid w:val="00F53CAC"/>
    <w:rsid w:val="00F60C74"/>
    <w:rsid w:val="00F652FF"/>
    <w:rsid w:val="00F72047"/>
    <w:rsid w:val="00F722B7"/>
    <w:rsid w:val="00F845AA"/>
    <w:rsid w:val="00F90531"/>
    <w:rsid w:val="00F92F2A"/>
    <w:rsid w:val="00F94C27"/>
    <w:rsid w:val="00F94E18"/>
    <w:rsid w:val="00FA39F9"/>
    <w:rsid w:val="00FA775F"/>
    <w:rsid w:val="00FB4B4F"/>
    <w:rsid w:val="00FC3BFB"/>
    <w:rsid w:val="00FC3FD6"/>
    <w:rsid w:val="00FD32FF"/>
    <w:rsid w:val="00FE48B6"/>
    <w:rsid w:val="00FF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11D85"/>
  <w15:docId w15:val="{5FE9BB6F-0308-4EA3-B8E2-F4EAA8D2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11A"/>
    <w:pPr>
      <w:widowControl w:val="0"/>
      <w:suppressAutoHyphens/>
      <w:autoSpaceDN w:val="0"/>
      <w:textAlignment w:val="baseline"/>
    </w:pPr>
    <w:rPr>
      <w:rFonts w:cs="Mangal"/>
      <w:kern w:val="3"/>
      <w:sz w:val="24"/>
      <w:szCs w:val="24"/>
      <w:lang w:eastAsia="zh-CN" w:bidi="hi-IN"/>
    </w:rPr>
  </w:style>
  <w:style w:type="paragraph" w:styleId="Heading3">
    <w:name w:val="heading 3"/>
    <w:basedOn w:val="Normal"/>
    <w:next w:val="Normal"/>
    <w:link w:val="Heading3Char"/>
    <w:autoRedefine/>
    <w:uiPriority w:val="9"/>
    <w:qFormat/>
    <w:rsid w:val="00D61B7F"/>
    <w:pPr>
      <w:suppressAutoHyphens w:val="0"/>
      <w:autoSpaceDE w:val="0"/>
      <w:adjustRightInd w:val="0"/>
      <w:textAlignment w:val="auto"/>
      <w:outlineLvl w:val="2"/>
    </w:pPr>
    <w:rPr>
      <w:rFonts w:cs="Times New Roman"/>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D61B7F"/>
    <w:rPr>
      <w:rFonts w:eastAsia="Times New Roman" w:cs="Times New Roman"/>
      <w:sz w:val="24"/>
      <w:szCs w:val="24"/>
    </w:rPr>
  </w:style>
  <w:style w:type="paragraph" w:customStyle="1" w:styleId="Standard">
    <w:name w:val="Standard"/>
    <w:rsid w:val="00C6311A"/>
    <w:pPr>
      <w:suppressAutoHyphens/>
      <w:autoSpaceDN w:val="0"/>
      <w:textAlignment w:val="baseline"/>
    </w:pPr>
    <w:rPr>
      <w:rFonts w:cs="Mangal"/>
      <w:kern w:val="3"/>
      <w:sz w:val="24"/>
      <w:szCs w:val="24"/>
      <w:lang w:eastAsia="zh-CN" w:bidi="hi-IN"/>
    </w:rPr>
  </w:style>
  <w:style w:type="paragraph" w:customStyle="1" w:styleId="Heading">
    <w:name w:val="Heading"/>
    <w:basedOn w:val="Standard"/>
    <w:next w:val="Textbody"/>
    <w:rsid w:val="00C6311A"/>
    <w:pPr>
      <w:keepNext/>
      <w:spacing w:before="240" w:after="120"/>
    </w:pPr>
    <w:rPr>
      <w:rFonts w:ascii="Arial" w:eastAsia="Times New Roman" w:hAnsi="Arial"/>
      <w:sz w:val="28"/>
      <w:szCs w:val="28"/>
    </w:rPr>
  </w:style>
  <w:style w:type="paragraph" w:customStyle="1" w:styleId="Textbody">
    <w:name w:val="Text body"/>
    <w:basedOn w:val="Standard"/>
    <w:rsid w:val="00C6311A"/>
    <w:pPr>
      <w:spacing w:after="120"/>
    </w:pPr>
  </w:style>
  <w:style w:type="paragraph" w:styleId="List">
    <w:name w:val="List"/>
    <w:basedOn w:val="Textbody"/>
    <w:uiPriority w:val="99"/>
    <w:rsid w:val="00C6311A"/>
  </w:style>
  <w:style w:type="paragraph" w:styleId="Caption">
    <w:name w:val="caption"/>
    <w:basedOn w:val="Standard"/>
    <w:uiPriority w:val="35"/>
    <w:qFormat/>
    <w:rsid w:val="00C6311A"/>
    <w:pPr>
      <w:suppressLineNumbers/>
      <w:spacing w:before="120" w:after="120"/>
    </w:pPr>
    <w:rPr>
      <w:i/>
      <w:iCs/>
    </w:rPr>
  </w:style>
  <w:style w:type="paragraph" w:customStyle="1" w:styleId="Index">
    <w:name w:val="Index"/>
    <w:basedOn w:val="Standard"/>
    <w:rsid w:val="00C6311A"/>
    <w:pPr>
      <w:suppressLineNumbers/>
    </w:pPr>
  </w:style>
  <w:style w:type="paragraph" w:styleId="Footer">
    <w:name w:val="footer"/>
    <w:basedOn w:val="Standard"/>
    <w:link w:val="FooterChar"/>
    <w:uiPriority w:val="99"/>
    <w:rsid w:val="00C6311A"/>
    <w:pPr>
      <w:suppressLineNumbers/>
      <w:tabs>
        <w:tab w:val="center" w:pos="4320"/>
        <w:tab w:val="right" w:pos="8640"/>
      </w:tabs>
    </w:pPr>
  </w:style>
  <w:style w:type="character" w:customStyle="1" w:styleId="FooterChar">
    <w:name w:val="Footer Char"/>
    <w:basedOn w:val="DefaultParagraphFont"/>
    <w:link w:val="Footer"/>
    <w:uiPriority w:val="99"/>
    <w:rsid w:val="00C6311A"/>
    <w:rPr>
      <w:rFonts w:cs="Times New Roman"/>
      <w:sz w:val="24"/>
      <w:lang w:val="en-US" w:eastAsia="en-US" w:bidi="ar-SA"/>
    </w:rPr>
  </w:style>
  <w:style w:type="paragraph" w:styleId="BalloonText">
    <w:name w:val="Balloon Text"/>
    <w:basedOn w:val="Standard"/>
    <w:link w:val="BalloonTextChar"/>
    <w:uiPriority w:val="99"/>
    <w:rsid w:val="00C6311A"/>
    <w:rPr>
      <w:rFonts w:ascii="Tahoma" w:hAnsi="Tahoma" w:cs="Tahoma"/>
      <w:sz w:val="16"/>
      <w:szCs w:val="16"/>
    </w:rPr>
  </w:style>
  <w:style w:type="character" w:customStyle="1" w:styleId="BalloonTextChar">
    <w:name w:val="Balloon Text Char"/>
    <w:basedOn w:val="DefaultParagraphFont"/>
    <w:link w:val="BalloonText"/>
    <w:uiPriority w:val="99"/>
    <w:rsid w:val="00C6311A"/>
    <w:rPr>
      <w:rFonts w:ascii="Tahoma" w:hAnsi="Tahoma" w:cs="Tahoma"/>
      <w:sz w:val="16"/>
      <w:szCs w:val="16"/>
      <w:lang w:val="en-US" w:eastAsia="en-US" w:bidi="ar-SA"/>
    </w:rPr>
  </w:style>
  <w:style w:type="paragraph" w:styleId="FootnoteText">
    <w:name w:val="footnote text"/>
    <w:basedOn w:val="Standard"/>
    <w:link w:val="FootnoteTextChar"/>
    <w:rsid w:val="00C6311A"/>
    <w:rPr>
      <w:sz w:val="20"/>
    </w:rPr>
  </w:style>
  <w:style w:type="character" w:customStyle="1" w:styleId="FootnoteTextChar">
    <w:name w:val="Footnote Text Char"/>
    <w:basedOn w:val="DefaultParagraphFont"/>
    <w:link w:val="FootnoteText"/>
    <w:rsid w:val="00C6311A"/>
    <w:rPr>
      <w:rFonts w:cs="Times New Roman"/>
      <w:lang w:val="en-US" w:eastAsia="en-US" w:bidi="ar-SA"/>
    </w:rPr>
  </w:style>
  <w:style w:type="paragraph" w:styleId="DocumentMap">
    <w:name w:val="Document Map"/>
    <w:basedOn w:val="Standard"/>
    <w:link w:val="DocumentMapChar"/>
    <w:uiPriority w:val="99"/>
    <w:rsid w:val="00C63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rsid w:val="00C6311A"/>
    <w:rPr>
      <w:rFonts w:ascii="Tahoma" w:hAnsi="Tahoma" w:cs="Tahoma"/>
      <w:lang w:val="en-US" w:eastAsia="en-US" w:bidi="ar-SA"/>
    </w:rPr>
  </w:style>
  <w:style w:type="paragraph" w:styleId="Header">
    <w:name w:val="header"/>
    <w:basedOn w:val="Standard"/>
    <w:link w:val="HeaderChar"/>
    <w:uiPriority w:val="99"/>
    <w:rsid w:val="00C6311A"/>
    <w:pPr>
      <w:suppressLineNumbers/>
      <w:tabs>
        <w:tab w:val="center" w:pos="4320"/>
        <w:tab w:val="right" w:pos="8640"/>
      </w:tabs>
    </w:pPr>
  </w:style>
  <w:style w:type="character" w:customStyle="1" w:styleId="HeaderChar">
    <w:name w:val="Header Char"/>
    <w:basedOn w:val="DefaultParagraphFont"/>
    <w:link w:val="Header"/>
    <w:uiPriority w:val="99"/>
    <w:rsid w:val="00C6311A"/>
    <w:rPr>
      <w:rFonts w:cs="Times New Roman"/>
      <w:sz w:val="24"/>
      <w:lang w:val="en-US" w:eastAsia="en-US" w:bidi="ar-SA"/>
    </w:rPr>
  </w:style>
  <w:style w:type="paragraph" w:styleId="CommentText">
    <w:name w:val="annotation text"/>
    <w:basedOn w:val="Standard"/>
    <w:link w:val="CommentTextChar"/>
    <w:rsid w:val="00C6311A"/>
    <w:rPr>
      <w:sz w:val="20"/>
    </w:rPr>
  </w:style>
  <w:style w:type="character" w:customStyle="1" w:styleId="CommentTextChar">
    <w:name w:val="Comment Text Char"/>
    <w:basedOn w:val="DefaultParagraphFont"/>
    <w:link w:val="CommentText"/>
    <w:rsid w:val="00C6311A"/>
    <w:rPr>
      <w:rFonts w:cs="Times New Roman"/>
      <w:lang w:val="en-US" w:eastAsia="en-US" w:bidi="ar-SA"/>
    </w:rPr>
  </w:style>
  <w:style w:type="paragraph" w:styleId="CommentSubject">
    <w:name w:val="annotation subject"/>
    <w:basedOn w:val="CommentText"/>
    <w:link w:val="CommentSubjectChar"/>
    <w:uiPriority w:val="99"/>
    <w:rsid w:val="00C6311A"/>
    <w:rPr>
      <w:b/>
      <w:bCs/>
    </w:rPr>
  </w:style>
  <w:style w:type="character" w:customStyle="1" w:styleId="CommentSubjectChar">
    <w:name w:val="Comment Subject Char"/>
    <w:basedOn w:val="CommentTextChar"/>
    <w:link w:val="CommentSubject"/>
    <w:uiPriority w:val="99"/>
    <w:rsid w:val="00C6311A"/>
    <w:rPr>
      <w:rFonts w:cs="Times New Roman"/>
      <w:b/>
      <w:bCs/>
      <w:lang w:val="en-US" w:eastAsia="en-US" w:bidi="ar-SA"/>
    </w:rPr>
  </w:style>
  <w:style w:type="paragraph" w:styleId="Revision">
    <w:name w:val="Revision"/>
    <w:uiPriority w:val="99"/>
    <w:rsid w:val="00C6311A"/>
    <w:pPr>
      <w:suppressAutoHyphens/>
      <w:autoSpaceDN w:val="0"/>
      <w:textAlignment w:val="baseline"/>
    </w:pPr>
    <w:rPr>
      <w:rFonts w:cs="Mangal"/>
      <w:kern w:val="3"/>
      <w:sz w:val="24"/>
      <w:szCs w:val="24"/>
      <w:lang w:eastAsia="zh-CN" w:bidi="hi-IN"/>
    </w:rPr>
  </w:style>
  <w:style w:type="paragraph" w:styleId="ListParagraph">
    <w:name w:val="List Paragraph"/>
    <w:basedOn w:val="Standard"/>
    <w:uiPriority w:val="34"/>
    <w:qFormat/>
    <w:rsid w:val="00C6311A"/>
    <w:pPr>
      <w:ind w:left="720"/>
    </w:pPr>
  </w:style>
  <w:style w:type="paragraph" w:customStyle="1" w:styleId="Footnote">
    <w:name w:val="Footnote"/>
    <w:basedOn w:val="Standard"/>
    <w:rsid w:val="00C6311A"/>
    <w:pPr>
      <w:suppressLineNumbers/>
      <w:ind w:left="283" w:hanging="283"/>
    </w:pPr>
    <w:rPr>
      <w:sz w:val="20"/>
      <w:szCs w:val="20"/>
    </w:rPr>
  </w:style>
  <w:style w:type="character" w:customStyle="1" w:styleId="Internetlink">
    <w:name w:val="Internet link"/>
    <w:basedOn w:val="DefaultParagraphFont"/>
    <w:rsid w:val="00C6311A"/>
    <w:rPr>
      <w:rFonts w:cs="Times New Roman"/>
      <w:color w:val="0000FF"/>
      <w:u w:val="single"/>
    </w:rPr>
  </w:style>
  <w:style w:type="character" w:styleId="PageNumber">
    <w:name w:val="page number"/>
    <w:basedOn w:val="DefaultParagraphFont"/>
    <w:uiPriority w:val="99"/>
    <w:rsid w:val="00C6311A"/>
    <w:rPr>
      <w:rFonts w:cs="Times New Roman"/>
    </w:rPr>
  </w:style>
  <w:style w:type="character" w:styleId="FootnoteReference">
    <w:name w:val="footnote reference"/>
    <w:basedOn w:val="DefaultParagraphFont"/>
    <w:rsid w:val="00C6311A"/>
    <w:rPr>
      <w:rFonts w:cs="Times New Roman"/>
      <w:position w:val="0"/>
      <w:vertAlign w:val="superscript"/>
    </w:rPr>
  </w:style>
  <w:style w:type="character" w:styleId="CommentReference">
    <w:name w:val="annotation reference"/>
    <w:basedOn w:val="DefaultParagraphFont"/>
    <w:rsid w:val="00C6311A"/>
    <w:rPr>
      <w:rFonts w:cs="Times New Roman"/>
      <w:sz w:val="16"/>
      <w:szCs w:val="16"/>
    </w:rPr>
  </w:style>
  <w:style w:type="character" w:customStyle="1" w:styleId="ListLabel1">
    <w:name w:val="ListLabel 1"/>
    <w:rsid w:val="00C6311A"/>
  </w:style>
  <w:style w:type="character" w:customStyle="1" w:styleId="ListLabel2">
    <w:name w:val="ListLabel 2"/>
    <w:rsid w:val="00C6311A"/>
  </w:style>
  <w:style w:type="character" w:customStyle="1" w:styleId="FootnoteSymbol">
    <w:name w:val="Footnote Symbol"/>
    <w:rsid w:val="00C6311A"/>
  </w:style>
  <w:style w:type="character" w:customStyle="1" w:styleId="Footnoteanchor">
    <w:name w:val="Footnote anchor"/>
    <w:rsid w:val="00C6311A"/>
    <w:rPr>
      <w:position w:val="0"/>
      <w:vertAlign w:val="superscript"/>
    </w:rPr>
  </w:style>
  <w:style w:type="character" w:styleId="Hyperlink">
    <w:name w:val="Hyperlink"/>
    <w:basedOn w:val="DefaultParagraphFont"/>
    <w:uiPriority w:val="99"/>
    <w:rsid w:val="001114B2"/>
    <w:rPr>
      <w:rFonts w:cs="Times New Roman"/>
      <w:color w:val="0000FF"/>
      <w:u w:val="single"/>
    </w:rPr>
  </w:style>
  <w:style w:type="character" w:styleId="HTMLCite">
    <w:name w:val="HTML Cite"/>
    <w:basedOn w:val="DefaultParagraphFont"/>
    <w:uiPriority w:val="99"/>
    <w:semiHidden/>
    <w:unhideWhenUsed/>
    <w:rsid w:val="00BC7C56"/>
    <w:rPr>
      <w:rFonts w:cs="Times New Roman"/>
      <w:color w:val="388222"/>
    </w:rPr>
  </w:style>
  <w:style w:type="character" w:styleId="Strong">
    <w:name w:val="Strong"/>
    <w:basedOn w:val="DefaultParagraphFont"/>
    <w:uiPriority w:val="22"/>
    <w:qFormat/>
    <w:rsid w:val="00BC7C56"/>
    <w:rPr>
      <w:rFonts w:cs="Times New Roman"/>
      <w:b/>
      <w:bCs/>
    </w:rPr>
  </w:style>
  <w:style w:type="paragraph" w:styleId="PlainText">
    <w:name w:val="Plain Text"/>
    <w:basedOn w:val="Normal"/>
    <w:link w:val="PlainTextChar"/>
    <w:uiPriority w:val="99"/>
    <w:unhideWhenUsed/>
    <w:rsid w:val="004338D3"/>
    <w:pPr>
      <w:widowControl/>
      <w:suppressAutoHyphens w:val="0"/>
      <w:autoSpaceDN/>
      <w:textAlignment w:val="auto"/>
    </w:pPr>
    <w:rPr>
      <w:rFonts w:ascii="Consolas" w:eastAsia="Times New Roman" w:hAnsi="Consolas" w:cs="Times New Roman"/>
      <w:kern w:val="0"/>
      <w:sz w:val="21"/>
      <w:szCs w:val="21"/>
      <w:lang w:eastAsia="en-US" w:bidi="ar-SA"/>
    </w:rPr>
  </w:style>
  <w:style w:type="character" w:customStyle="1" w:styleId="PlainTextChar">
    <w:name w:val="Plain Text Char"/>
    <w:basedOn w:val="DefaultParagraphFont"/>
    <w:link w:val="PlainText"/>
    <w:uiPriority w:val="99"/>
    <w:locked/>
    <w:rsid w:val="004338D3"/>
    <w:rPr>
      <w:rFonts w:ascii="Consolas" w:eastAsia="Times New Roman" w:hAnsi="Consolas" w:cs="Times New Roman"/>
      <w:sz w:val="21"/>
      <w:szCs w:val="21"/>
    </w:rPr>
  </w:style>
  <w:style w:type="numbering" w:customStyle="1" w:styleId="WWNum3">
    <w:name w:val="WWNum3"/>
    <w:rsid w:val="00950818"/>
    <w:pPr>
      <w:numPr>
        <w:numId w:val="3"/>
      </w:numPr>
    </w:pPr>
  </w:style>
  <w:style w:type="numbering" w:customStyle="1" w:styleId="WWNum15">
    <w:name w:val="WWNum15"/>
    <w:rsid w:val="00950818"/>
    <w:pPr>
      <w:numPr>
        <w:numId w:val="15"/>
      </w:numPr>
    </w:pPr>
  </w:style>
  <w:style w:type="numbering" w:customStyle="1" w:styleId="WWNum21">
    <w:name w:val="WWNum21"/>
    <w:rsid w:val="00950818"/>
    <w:pPr>
      <w:numPr>
        <w:numId w:val="21"/>
      </w:numPr>
    </w:pPr>
  </w:style>
  <w:style w:type="numbering" w:customStyle="1" w:styleId="WWNum19">
    <w:name w:val="WWNum19"/>
    <w:rsid w:val="00950818"/>
    <w:pPr>
      <w:numPr>
        <w:numId w:val="19"/>
      </w:numPr>
    </w:pPr>
  </w:style>
  <w:style w:type="numbering" w:customStyle="1" w:styleId="WWNum17">
    <w:name w:val="WWNum17"/>
    <w:rsid w:val="00950818"/>
    <w:pPr>
      <w:numPr>
        <w:numId w:val="17"/>
      </w:numPr>
    </w:pPr>
  </w:style>
  <w:style w:type="numbering" w:customStyle="1" w:styleId="WWNum4">
    <w:name w:val="WWNum4"/>
    <w:rsid w:val="00950818"/>
    <w:pPr>
      <w:numPr>
        <w:numId w:val="4"/>
      </w:numPr>
    </w:pPr>
  </w:style>
  <w:style w:type="numbering" w:customStyle="1" w:styleId="WWNum18">
    <w:name w:val="WWNum18"/>
    <w:rsid w:val="00950818"/>
    <w:pPr>
      <w:numPr>
        <w:numId w:val="18"/>
      </w:numPr>
    </w:pPr>
  </w:style>
  <w:style w:type="numbering" w:customStyle="1" w:styleId="WWNum16">
    <w:name w:val="WWNum16"/>
    <w:rsid w:val="00950818"/>
    <w:pPr>
      <w:numPr>
        <w:numId w:val="16"/>
      </w:numPr>
    </w:pPr>
  </w:style>
  <w:style w:type="numbering" w:customStyle="1" w:styleId="WWNum5">
    <w:name w:val="WWNum5"/>
    <w:rsid w:val="00950818"/>
    <w:pPr>
      <w:numPr>
        <w:numId w:val="5"/>
      </w:numPr>
    </w:pPr>
  </w:style>
  <w:style w:type="numbering" w:customStyle="1" w:styleId="WWNum14">
    <w:name w:val="WWNum14"/>
    <w:rsid w:val="00950818"/>
    <w:pPr>
      <w:numPr>
        <w:numId w:val="14"/>
      </w:numPr>
    </w:pPr>
  </w:style>
  <w:style w:type="numbering" w:customStyle="1" w:styleId="WWNum13">
    <w:name w:val="WWNum13"/>
    <w:rsid w:val="00950818"/>
    <w:pPr>
      <w:numPr>
        <w:numId w:val="13"/>
      </w:numPr>
    </w:pPr>
  </w:style>
  <w:style w:type="numbering" w:customStyle="1" w:styleId="WWNum8">
    <w:name w:val="WWNum8"/>
    <w:rsid w:val="00950818"/>
    <w:pPr>
      <w:numPr>
        <w:numId w:val="8"/>
      </w:numPr>
    </w:pPr>
  </w:style>
  <w:style w:type="numbering" w:customStyle="1" w:styleId="WWNum2">
    <w:name w:val="WWNum2"/>
    <w:rsid w:val="00950818"/>
    <w:pPr>
      <w:numPr>
        <w:numId w:val="2"/>
      </w:numPr>
    </w:pPr>
  </w:style>
  <w:style w:type="numbering" w:customStyle="1" w:styleId="WWNum20">
    <w:name w:val="WWNum20"/>
    <w:rsid w:val="00950818"/>
    <w:pPr>
      <w:numPr>
        <w:numId w:val="20"/>
      </w:numPr>
    </w:pPr>
  </w:style>
  <w:style w:type="numbering" w:customStyle="1" w:styleId="WWNum12">
    <w:name w:val="WWNum12"/>
    <w:rsid w:val="00950818"/>
    <w:pPr>
      <w:numPr>
        <w:numId w:val="12"/>
      </w:numPr>
    </w:pPr>
  </w:style>
  <w:style w:type="numbering" w:customStyle="1" w:styleId="WWNum9">
    <w:name w:val="WWNum9"/>
    <w:rsid w:val="00950818"/>
    <w:pPr>
      <w:numPr>
        <w:numId w:val="9"/>
      </w:numPr>
    </w:pPr>
  </w:style>
  <w:style w:type="numbering" w:customStyle="1" w:styleId="WWNum6">
    <w:name w:val="WWNum6"/>
    <w:rsid w:val="00950818"/>
    <w:pPr>
      <w:numPr>
        <w:numId w:val="6"/>
      </w:numPr>
    </w:pPr>
  </w:style>
  <w:style w:type="numbering" w:customStyle="1" w:styleId="WWNum10">
    <w:name w:val="WWNum10"/>
    <w:rsid w:val="00950818"/>
    <w:pPr>
      <w:numPr>
        <w:numId w:val="10"/>
      </w:numPr>
    </w:pPr>
  </w:style>
  <w:style w:type="numbering" w:customStyle="1" w:styleId="WWNum11">
    <w:name w:val="WWNum11"/>
    <w:rsid w:val="00950818"/>
    <w:pPr>
      <w:numPr>
        <w:numId w:val="11"/>
      </w:numPr>
    </w:pPr>
  </w:style>
  <w:style w:type="numbering" w:customStyle="1" w:styleId="WWNum1">
    <w:name w:val="WWNum1"/>
    <w:rsid w:val="00950818"/>
    <w:pPr>
      <w:numPr>
        <w:numId w:val="1"/>
      </w:numPr>
    </w:pPr>
  </w:style>
  <w:style w:type="numbering" w:customStyle="1" w:styleId="WWNum7">
    <w:name w:val="WWNum7"/>
    <w:rsid w:val="00950818"/>
    <w:pPr>
      <w:numPr>
        <w:numId w:val="7"/>
      </w:numPr>
    </w:pPr>
  </w:style>
  <w:style w:type="character" w:styleId="FollowedHyperlink">
    <w:name w:val="FollowedHyperlink"/>
    <w:basedOn w:val="DefaultParagraphFont"/>
    <w:uiPriority w:val="99"/>
    <w:semiHidden/>
    <w:unhideWhenUsed/>
    <w:rsid w:val="00A15C61"/>
    <w:rPr>
      <w:color w:val="800080" w:themeColor="followedHyperlink"/>
      <w:u w:val="single"/>
    </w:rPr>
  </w:style>
  <w:style w:type="character" w:customStyle="1" w:styleId="st1">
    <w:name w:val="st1"/>
    <w:basedOn w:val="DefaultParagraphFont"/>
    <w:rsid w:val="001A1CDB"/>
  </w:style>
  <w:style w:type="character" w:customStyle="1" w:styleId="apple-converted-space">
    <w:name w:val="apple-converted-space"/>
    <w:basedOn w:val="DefaultParagraphFont"/>
    <w:rsid w:val="00F6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794">
      <w:bodyDiv w:val="1"/>
      <w:marLeft w:val="0"/>
      <w:marRight w:val="0"/>
      <w:marTop w:val="0"/>
      <w:marBottom w:val="0"/>
      <w:divBdr>
        <w:top w:val="none" w:sz="0" w:space="0" w:color="auto"/>
        <w:left w:val="none" w:sz="0" w:space="0" w:color="auto"/>
        <w:bottom w:val="none" w:sz="0" w:space="0" w:color="auto"/>
        <w:right w:val="none" w:sz="0" w:space="0" w:color="auto"/>
      </w:divBdr>
    </w:div>
    <w:div w:id="39407674">
      <w:bodyDiv w:val="1"/>
      <w:marLeft w:val="0"/>
      <w:marRight w:val="0"/>
      <w:marTop w:val="0"/>
      <w:marBottom w:val="0"/>
      <w:divBdr>
        <w:top w:val="none" w:sz="0" w:space="0" w:color="auto"/>
        <w:left w:val="none" w:sz="0" w:space="0" w:color="auto"/>
        <w:bottom w:val="none" w:sz="0" w:space="0" w:color="auto"/>
        <w:right w:val="none" w:sz="0" w:space="0" w:color="auto"/>
      </w:divBdr>
    </w:div>
    <w:div w:id="144975456">
      <w:bodyDiv w:val="1"/>
      <w:marLeft w:val="0"/>
      <w:marRight w:val="0"/>
      <w:marTop w:val="0"/>
      <w:marBottom w:val="0"/>
      <w:divBdr>
        <w:top w:val="none" w:sz="0" w:space="0" w:color="auto"/>
        <w:left w:val="none" w:sz="0" w:space="0" w:color="auto"/>
        <w:bottom w:val="none" w:sz="0" w:space="0" w:color="auto"/>
        <w:right w:val="none" w:sz="0" w:space="0" w:color="auto"/>
      </w:divBdr>
    </w:div>
    <w:div w:id="163784753">
      <w:bodyDiv w:val="1"/>
      <w:marLeft w:val="0"/>
      <w:marRight w:val="0"/>
      <w:marTop w:val="0"/>
      <w:marBottom w:val="0"/>
      <w:divBdr>
        <w:top w:val="none" w:sz="0" w:space="0" w:color="auto"/>
        <w:left w:val="none" w:sz="0" w:space="0" w:color="auto"/>
        <w:bottom w:val="none" w:sz="0" w:space="0" w:color="auto"/>
        <w:right w:val="none" w:sz="0" w:space="0" w:color="auto"/>
      </w:divBdr>
    </w:div>
    <w:div w:id="238828327">
      <w:bodyDiv w:val="1"/>
      <w:marLeft w:val="0"/>
      <w:marRight w:val="0"/>
      <w:marTop w:val="0"/>
      <w:marBottom w:val="0"/>
      <w:divBdr>
        <w:top w:val="none" w:sz="0" w:space="0" w:color="auto"/>
        <w:left w:val="none" w:sz="0" w:space="0" w:color="auto"/>
        <w:bottom w:val="none" w:sz="0" w:space="0" w:color="auto"/>
        <w:right w:val="none" w:sz="0" w:space="0" w:color="auto"/>
      </w:divBdr>
    </w:div>
    <w:div w:id="256526705">
      <w:bodyDiv w:val="1"/>
      <w:marLeft w:val="0"/>
      <w:marRight w:val="0"/>
      <w:marTop w:val="0"/>
      <w:marBottom w:val="0"/>
      <w:divBdr>
        <w:top w:val="none" w:sz="0" w:space="0" w:color="auto"/>
        <w:left w:val="none" w:sz="0" w:space="0" w:color="auto"/>
        <w:bottom w:val="none" w:sz="0" w:space="0" w:color="auto"/>
        <w:right w:val="none" w:sz="0" w:space="0" w:color="auto"/>
      </w:divBdr>
    </w:div>
    <w:div w:id="302349905">
      <w:bodyDiv w:val="1"/>
      <w:marLeft w:val="0"/>
      <w:marRight w:val="0"/>
      <w:marTop w:val="0"/>
      <w:marBottom w:val="0"/>
      <w:divBdr>
        <w:top w:val="none" w:sz="0" w:space="0" w:color="auto"/>
        <w:left w:val="none" w:sz="0" w:space="0" w:color="auto"/>
        <w:bottom w:val="none" w:sz="0" w:space="0" w:color="auto"/>
        <w:right w:val="none" w:sz="0" w:space="0" w:color="auto"/>
      </w:divBdr>
    </w:div>
    <w:div w:id="346055304">
      <w:bodyDiv w:val="1"/>
      <w:marLeft w:val="0"/>
      <w:marRight w:val="0"/>
      <w:marTop w:val="0"/>
      <w:marBottom w:val="0"/>
      <w:divBdr>
        <w:top w:val="none" w:sz="0" w:space="0" w:color="auto"/>
        <w:left w:val="none" w:sz="0" w:space="0" w:color="auto"/>
        <w:bottom w:val="none" w:sz="0" w:space="0" w:color="auto"/>
        <w:right w:val="none" w:sz="0" w:space="0" w:color="auto"/>
      </w:divBdr>
    </w:div>
    <w:div w:id="447630813">
      <w:bodyDiv w:val="1"/>
      <w:marLeft w:val="0"/>
      <w:marRight w:val="0"/>
      <w:marTop w:val="0"/>
      <w:marBottom w:val="0"/>
      <w:divBdr>
        <w:top w:val="none" w:sz="0" w:space="0" w:color="auto"/>
        <w:left w:val="none" w:sz="0" w:space="0" w:color="auto"/>
        <w:bottom w:val="none" w:sz="0" w:space="0" w:color="auto"/>
        <w:right w:val="none" w:sz="0" w:space="0" w:color="auto"/>
      </w:divBdr>
    </w:div>
    <w:div w:id="502596868">
      <w:bodyDiv w:val="1"/>
      <w:marLeft w:val="0"/>
      <w:marRight w:val="0"/>
      <w:marTop w:val="0"/>
      <w:marBottom w:val="0"/>
      <w:divBdr>
        <w:top w:val="none" w:sz="0" w:space="0" w:color="auto"/>
        <w:left w:val="none" w:sz="0" w:space="0" w:color="auto"/>
        <w:bottom w:val="none" w:sz="0" w:space="0" w:color="auto"/>
        <w:right w:val="none" w:sz="0" w:space="0" w:color="auto"/>
      </w:divBdr>
    </w:div>
    <w:div w:id="545138366">
      <w:bodyDiv w:val="1"/>
      <w:marLeft w:val="0"/>
      <w:marRight w:val="0"/>
      <w:marTop w:val="0"/>
      <w:marBottom w:val="0"/>
      <w:divBdr>
        <w:top w:val="none" w:sz="0" w:space="0" w:color="auto"/>
        <w:left w:val="none" w:sz="0" w:space="0" w:color="auto"/>
        <w:bottom w:val="none" w:sz="0" w:space="0" w:color="auto"/>
        <w:right w:val="none" w:sz="0" w:space="0" w:color="auto"/>
      </w:divBdr>
    </w:div>
    <w:div w:id="659501980">
      <w:bodyDiv w:val="1"/>
      <w:marLeft w:val="0"/>
      <w:marRight w:val="0"/>
      <w:marTop w:val="0"/>
      <w:marBottom w:val="0"/>
      <w:divBdr>
        <w:top w:val="none" w:sz="0" w:space="0" w:color="auto"/>
        <w:left w:val="none" w:sz="0" w:space="0" w:color="auto"/>
        <w:bottom w:val="none" w:sz="0" w:space="0" w:color="auto"/>
        <w:right w:val="none" w:sz="0" w:space="0" w:color="auto"/>
      </w:divBdr>
    </w:div>
    <w:div w:id="711346335">
      <w:bodyDiv w:val="1"/>
      <w:marLeft w:val="0"/>
      <w:marRight w:val="0"/>
      <w:marTop w:val="0"/>
      <w:marBottom w:val="0"/>
      <w:divBdr>
        <w:top w:val="none" w:sz="0" w:space="0" w:color="auto"/>
        <w:left w:val="none" w:sz="0" w:space="0" w:color="auto"/>
        <w:bottom w:val="none" w:sz="0" w:space="0" w:color="auto"/>
        <w:right w:val="none" w:sz="0" w:space="0" w:color="auto"/>
      </w:divBdr>
    </w:div>
    <w:div w:id="732510432">
      <w:bodyDiv w:val="1"/>
      <w:marLeft w:val="0"/>
      <w:marRight w:val="0"/>
      <w:marTop w:val="0"/>
      <w:marBottom w:val="0"/>
      <w:divBdr>
        <w:top w:val="none" w:sz="0" w:space="0" w:color="auto"/>
        <w:left w:val="none" w:sz="0" w:space="0" w:color="auto"/>
        <w:bottom w:val="none" w:sz="0" w:space="0" w:color="auto"/>
        <w:right w:val="none" w:sz="0" w:space="0" w:color="auto"/>
      </w:divBdr>
    </w:div>
    <w:div w:id="811480635">
      <w:bodyDiv w:val="1"/>
      <w:marLeft w:val="0"/>
      <w:marRight w:val="0"/>
      <w:marTop w:val="0"/>
      <w:marBottom w:val="0"/>
      <w:divBdr>
        <w:top w:val="none" w:sz="0" w:space="0" w:color="auto"/>
        <w:left w:val="none" w:sz="0" w:space="0" w:color="auto"/>
        <w:bottom w:val="none" w:sz="0" w:space="0" w:color="auto"/>
        <w:right w:val="none" w:sz="0" w:space="0" w:color="auto"/>
      </w:divBdr>
    </w:div>
    <w:div w:id="871186576">
      <w:marLeft w:val="0"/>
      <w:marRight w:val="0"/>
      <w:marTop w:val="0"/>
      <w:marBottom w:val="0"/>
      <w:divBdr>
        <w:top w:val="none" w:sz="0" w:space="0" w:color="auto"/>
        <w:left w:val="none" w:sz="0" w:space="0" w:color="auto"/>
        <w:bottom w:val="none" w:sz="0" w:space="0" w:color="auto"/>
        <w:right w:val="none" w:sz="0" w:space="0" w:color="auto"/>
      </w:divBdr>
    </w:div>
    <w:div w:id="871186577">
      <w:marLeft w:val="0"/>
      <w:marRight w:val="0"/>
      <w:marTop w:val="0"/>
      <w:marBottom w:val="0"/>
      <w:divBdr>
        <w:top w:val="none" w:sz="0" w:space="0" w:color="auto"/>
        <w:left w:val="none" w:sz="0" w:space="0" w:color="auto"/>
        <w:bottom w:val="none" w:sz="0" w:space="0" w:color="auto"/>
        <w:right w:val="none" w:sz="0" w:space="0" w:color="auto"/>
      </w:divBdr>
    </w:div>
    <w:div w:id="903099583">
      <w:bodyDiv w:val="1"/>
      <w:marLeft w:val="0"/>
      <w:marRight w:val="0"/>
      <w:marTop w:val="0"/>
      <w:marBottom w:val="0"/>
      <w:divBdr>
        <w:top w:val="none" w:sz="0" w:space="0" w:color="auto"/>
        <w:left w:val="none" w:sz="0" w:space="0" w:color="auto"/>
        <w:bottom w:val="none" w:sz="0" w:space="0" w:color="auto"/>
        <w:right w:val="none" w:sz="0" w:space="0" w:color="auto"/>
      </w:divBdr>
    </w:div>
    <w:div w:id="935164544">
      <w:bodyDiv w:val="1"/>
      <w:marLeft w:val="0"/>
      <w:marRight w:val="0"/>
      <w:marTop w:val="0"/>
      <w:marBottom w:val="0"/>
      <w:divBdr>
        <w:top w:val="none" w:sz="0" w:space="0" w:color="auto"/>
        <w:left w:val="none" w:sz="0" w:space="0" w:color="auto"/>
        <w:bottom w:val="none" w:sz="0" w:space="0" w:color="auto"/>
        <w:right w:val="none" w:sz="0" w:space="0" w:color="auto"/>
      </w:divBdr>
    </w:div>
    <w:div w:id="1016468916">
      <w:bodyDiv w:val="1"/>
      <w:marLeft w:val="0"/>
      <w:marRight w:val="0"/>
      <w:marTop w:val="0"/>
      <w:marBottom w:val="0"/>
      <w:divBdr>
        <w:top w:val="none" w:sz="0" w:space="0" w:color="auto"/>
        <w:left w:val="none" w:sz="0" w:space="0" w:color="auto"/>
        <w:bottom w:val="none" w:sz="0" w:space="0" w:color="auto"/>
        <w:right w:val="none" w:sz="0" w:space="0" w:color="auto"/>
      </w:divBdr>
    </w:div>
    <w:div w:id="1033728022">
      <w:bodyDiv w:val="1"/>
      <w:marLeft w:val="0"/>
      <w:marRight w:val="0"/>
      <w:marTop w:val="0"/>
      <w:marBottom w:val="0"/>
      <w:divBdr>
        <w:top w:val="none" w:sz="0" w:space="0" w:color="auto"/>
        <w:left w:val="none" w:sz="0" w:space="0" w:color="auto"/>
        <w:bottom w:val="none" w:sz="0" w:space="0" w:color="auto"/>
        <w:right w:val="none" w:sz="0" w:space="0" w:color="auto"/>
      </w:divBdr>
    </w:div>
    <w:div w:id="1319191757">
      <w:bodyDiv w:val="1"/>
      <w:marLeft w:val="0"/>
      <w:marRight w:val="0"/>
      <w:marTop w:val="0"/>
      <w:marBottom w:val="0"/>
      <w:divBdr>
        <w:top w:val="none" w:sz="0" w:space="0" w:color="auto"/>
        <w:left w:val="none" w:sz="0" w:space="0" w:color="auto"/>
        <w:bottom w:val="none" w:sz="0" w:space="0" w:color="auto"/>
        <w:right w:val="none" w:sz="0" w:space="0" w:color="auto"/>
      </w:divBdr>
    </w:div>
    <w:div w:id="1326006841">
      <w:bodyDiv w:val="1"/>
      <w:marLeft w:val="0"/>
      <w:marRight w:val="0"/>
      <w:marTop w:val="0"/>
      <w:marBottom w:val="0"/>
      <w:divBdr>
        <w:top w:val="none" w:sz="0" w:space="0" w:color="auto"/>
        <w:left w:val="none" w:sz="0" w:space="0" w:color="auto"/>
        <w:bottom w:val="none" w:sz="0" w:space="0" w:color="auto"/>
        <w:right w:val="none" w:sz="0" w:space="0" w:color="auto"/>
      </w:divBdr>
    </w:div>
    <w:div w:id="1442721747">
      <w:bodyDiv w:val="1"/>
      <w:marLeft w:val="0"/>
      <w:marRight w:val="0"/>
      <w:marTop w:val="0"/>
      <w:marBottom w:val="0"/>
      <w:divBdr>
        <w:top w:val="none" w:sz="0" w:space="0" w:color="auto"/>
        <w:left w:val="none" w:sz="0" w:space="0" w:color="auto"/>
        <w:bottom w:val="none" w:sz="0" w:space="0" w:color="auto"/>
        <w:right w:val="none" w:sz="0" w:space="0" w:color="auto"/>
      </w:divBdr>
    </w:div>
    <w:div w:id="1478524346">
      <w:bodyDiv w:val="1"/>
      <w:marLeft w:val="0"/>
      <w:marRight w:val="0"/>
      <w:marTop w:val="0"/>
      <w:marBottom w:val="0"/>
      <w:divBdr>
        <w:top w:val="none" w:sz="0" w:space="0" w:color="auto"/>
        <w:left w:val="none" w:sz="0" w:space="0" w:color="auto"/>
        <w:bottom w:val="none" w:sz="0" w:space="0" w:color="auto"/>
        <w:right w:val="none" w:sz="0" w:space="0" w:color="auto"/>
      </w:divBdr>
    </w:div>
    <w:div w:id="1524856265">
      <w:bodyDiv w:val="1"/>
      <w:marLeft w:val="0"/>
      <w:marRight w:val="0"/>
      <w:marTop w:val="0"/>
      <w:marBottom w:val="0"/>
      <w:divBdr>
        <w:top w:val="none" w:sz="0" w:space="0" w:color="auto"/>
        <w:left w:val="none" w:sz="0" w:space="0" w:color="auto"/>
        <w:bottom w:val="none" w:sz="0" w:space="0" w:color="auto"/>
        <w:right w:val="none" w:sz="0" w:space="0" w:color="auto"/>
      </w:divBdr>
    </w:div>
    <w:div w:id="1621640718">
      <w:bodyDiv w:val="1"/>
      <w:marLeft w:val="0"/>
      <w:marRight w:val="0"/>
      <w:marTop w:val="0"/>
      <w:marBottom w:val="0"/>
      <w:divBdr>
        <w:top w:val="none" w:sz="0" w:space="0" w:color="auto"/>
        <w:left w:val="none" w:sz="0" w:space="0" w:color="auto"/>
        <w:bottom w:val="none" w:sz="0" w:space="0" w:color="auto"/>
        <w:right w:val="none" w:sz="0" w:space="0" w:color="auto"/>
      </w:divBdr>
    </w:div>
    <w:div w:id="1762994666">
      <w:bodyDiv w:val="1"/>
      <w:marLeft w:val="0"/>
      <w:marRight w:val="0"/>
      <w:marTop w:val="0"/>
      <w:marBottom w:val="0"/>
      <w:divBdr>
        <w:top w:val="none" w:sz="0" w:space="0" w:color="auto"/>
        <w:left w:val="none" w:sz="0" w:space="0" w:color="auto"/>
        <w:bottom w:val="none" w:sz="0" w:space="0" w:color="auto"/>
        <w:right w:val="none" w:sz="0" w:space="0" w:color="auto"/>
      </w:divBdr>
    </w:div>
    <w:div w:id="1809780270">
      <w:bodyDiv w:val="1"/>
      <w:marLeft w:val="0"/>
      <w:marRight w:val="0"/>
      <w:marTop w:val="0"/>
      <w:marBottom w:val="0"/>
      <w:divBdr>
        <w:top w:val="none" w:sz="0" w:space="0" w:color="auto"/>
        <w:left w:val="none" w:sz="0" w:space="0" w:color="auto"/>
        <w:bottom w:val="none" w:sz="0" w:space="0" w:color="auto"/>
        <w:right w:val="none" w:sz="0" w:space="0" w:color="auto"/>
      </w:divBdr>
    </w:div>
    <w:div w:id="1919555000">
      <w:bodyDiv w:val="1"/>
      <w:marLeft w:val="0"/>
      <w:marRight w:val="0"/>
      <w:marTop w:val="0"/>
      <w:marBottom w:val="0"/>
      <w:divBdr>
        <w:top w:val="none" w:sz="0" w:space="0" w:color="auto"/>
        <w:left w:val="none" w:sz="0" w:space="0" w:color="auto"/>
        <w:bottom w:val="none" w:sz="0" w:space="0" w:color="auto"/>
        <w:right w:val="none" w:sz="0" w:space="0" w:color="auto"/>
      </w:divBdr>
    </w:div>
    <w:div w:id="2020236593">
      <w:bodyDiv w:val="1"/>
      <w:marLeft w:val="0"/>
      <w:marRight w:val="0"/>
      <w:marTop w:val="0"/>
      <w:marBottom w:val="0"/>
      <w:divBdr>
        <w:top w:val="none" w:sz="0" w:space="0" w:color="auto"/>
        <w:left w:val="none" w:sz="0" w:space="0" w:color="auto"/>
        <w:bottom w:val="none" w:sz="0" w:space="0" w:color="auto"/>
        <w:right w:val="none" w:sz="0" w:space="0" w:color="auto"/>
      </w:divBdr>
    </w:div>
    <w:div w:id="2026318340">
      <w:bodyDiv w:val="1"/>
      <w:marLeft w:val="0"/>
      <w:marRight w:val="0"/>
      <w:marTop w:val="0"/>
      <w:marBottom w:val="0"/>
      <w:divBdr>
        <w:top w:val="none" w:sz="0" w:space="0" w:color="auto"/>
        <w:left w:val="none" w:sz="0" w:space="0" w:color="auto"/>
        <w:bottom w:val="none" w:sz="0" w:space="0" w:color="auto"/>
        <w:right w:val="none" w:sz="0" w:space="0" w:color="auto"/>
      </w:divBdr>
    </w:div>
    <w:div w:id="2112121434">
      <w:bodyDiv w:val="1"/>
      <w:marLeft w:val="0"/>
      <w:marRight w:val="0"/>
      <w:marTop w:val="0"/>
      <w:marBottom w:val="0"/>
      <w:divBdr>
        <w:top w:val="none" w:sz="0" w:space="0" w:color="auto"/>
        <w:left w:val="none" w:sz="0" w:space="0" w:color="auto"/>
        <w:bottom w:val="none" w:sz="0" w:space="0" w:color="auto"/>
        <w:right w:val="none" w:sz="0" w:space="0" w:color="auto"/>
      </w:divBdr>
    </w:div>
    <w:div w:id="21470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3A19-0811-4A71-8454-AE888546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US-EPA</Company>
  <LinksUpToDate>false</LinksUpToDate>
  <CharactersWithSpaces>19735</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2293870</vt:i4>
      </vt:variant>
      <vt:variant>
        <vt:i4>0</vt:i4>
      </vt:variant>
      <vt:variant>
        <vt:i4>0</vt:i4>
      </vt:variant>
      <vt:variant>
        <vt:i4>5</vt:i4>
      </vt:variant>
      <vt:variant>
        <vt:lpwstr>http://www.epa.gov/epawaste/nonhaz/municipal/pubs/MSWcharacterization_fnl_060713_2_rpt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Courtney Kerwin</dc:creator>
  <cp:keywords/>
  <dc:description/>
  <cp:lastModifiedBy>Kerwin, Courtney</cp:lastModifiedBy>
  <cp:revision>9</cp:revision>
  <cp:lastPrinted>2015-09-04T21:33:00Z</cp:lastPrinted>
  <dcterms:created xsi:type="dcterms:W3CDTF">2015-09-04T21:24:00Z</dcterms:created>
  <dcterms:modified xsi:type="dcterms:W3CDTF">2016-06-22T00:10:00Z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EPA</vt:lpwstr>
  </property>
  <property fmtid="{D5CDD505-2E9C-101B-9397-08002B2CF9AE}" pid="4" name="DocSecurity">
    <vt:r8>1.19730334840772E-302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