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6BC2B" w14:textId="77777777" w:rsidR="00123C4A" w:rsidRPr="00BF481B" w:rsidRDefault="00123C4A">
      <w:pPr>
        <w:rPr>
          <w:color w:val="000000" w:themeColor="text1"/>
        </w:rPr>
      </w:pPr>
      <w:bookmarkStart w:id="0" w:name="_GoBack"/>
      <w:bookmarkEnd w:id="0"/>
    </w:p>
    <w:p w14:paraId="47ED778A" w14:textId="77777777" w:rsidR="00DD2D24" w:rsidRPr="00BF481B" w:rsidRDefault="00DD2D24">
      <w:pPr>
        <w:rPr>
          <w:color w:val="000000" w:themeColor="text1"/>
        </w:rPr>
      </w:pPr>
    </w:p>
    <w:p w14:paraId="7C0FD2A1" w14:textId="77777777" w:rsidR="007D0804" w:rsidRPr="00BF481B" w:rsidRDefault="00770B92" w:rsidP="0009794A">
      <w:pPr>
        <w:jc w:val="center"/>
        <w:outlineLvl w:val="0"/>
        <w:rPr>
          <w:b/>
          <w:color w:val="000000" w:themeColor="text1"/>
        </w:rPr>
      </w:pPr>
      <w:r w:rsidRPr="00BF481B">
        <w:rPr>
          <w:b/>
          <w:color w:val="000000" w:themeColor="text1"/>
        </w:rPr>
        <w:t>U.S. Department of Energy</w:t>
      </w:r>
    </w:p>
    <w:p w14:paraId="0610611B" w14:textId="77777777" w:rsidR="00770B92" w:rsidRPr="00BF481B" w:rsidRDefault="00C82919" w:rsidP="0009794A">
      <w:pPr>
        <w:jc w:val="center"/>
        <w:outlineLvl w:val="0"/>
        <w:rPr>
          <w:b/>
          <w:color w:val="000000" w:themeColor="text1"/>
        </w:rPr>
      </w:pPr>
      <w:r w:rsidRPr="00BF481B">
        <w:rPr>
          <w:b/>
          <w:color w:val="000000" w:themeColor="text1"/>
        </w:rPr>
        <w:t>Supporting Statement</w:t>
      </w:r>
    </w:p>
    <w:p w14:paraId="3D69EA9A" w14:textId="77777777" w:rsidR="00C82919" w:rsidRPr="00BF481B" w:rsidRDefault="00770B92" w:rsidP="0009794A">
      <w:pPr>
        <w:jc w:val="center"/>
        <w:outlineLvl w:val="0"/>
        <w:rPr>
          <w:b/>
          <w:color w:val="000000" w:themeColor="text1"/>
        </w:rPr>
      </w:pPr>
      <w:r w:rsidRPr="00BF481B">
        <w:rPr>
          <w:b/>
          <w:color w:val="000000" w:themeColor="text1"/>
        </w:rPr>
        <w:t>Energy and Jobs Survey</w:t>
      </w:r>
    </w:p>
    <w:p w14:paraId="2359ECB7" w14:textId="77777777" w:rsidR="00C82919" w:rsidRPr="00BF481B" w:rsidRDefault="00C82919" w:rsidP="0009794A">
      <w:pPr>
        <w:jc w:val="center"/>
        <w:outlineLvl w:val="0"/>
        <w:rPr>
          <w:b/>
          <w:color w:val="000000" w:themeColor="text1"/>
        </w:rPr>
      </w:pPr>
      <w:r w:rsidRPr="00BF481B">
        <w:rPr>
          <w:b/>
          <w:color w:val="000000" w:themeColor="text1"/>
        </w:rPr>
        <w:t>OMB Control Number 1910-</w:t>
      </w:r>
      <w:r w:rsidR="00770B92" w:rsidRPr="00BF481B">
        <w:rPr>
          <w:b/>
          <w:color w:val="000000" w:themeColor="text1"/>
        </w:rPr>
        <w:t>New</w:t>
      </w:r>
    </w:p>
    <w:p w14:paraId="4BDAE8FE" w14:textId="77777777" w:rsidR="00720F5A" w:rsidRPr="00BF481B" w:rsidRDefault="00720F5A" w:rsidP="00C82919">
      <w:pPr>
        <w:jc w:val="center"/>
        <w:rPr>
          <w:b/>
          <w:color w:val="000000" w:themeColor="text1"/>
        </w:rPr>
      </w:pPr>
    </w:p>
    <w:p w14:paraId="2829412D" w14:textId="77777777" w:rsidR="00184C46" w:rsidRPr="00BF481B" w:rsidRDefault="00184C46" w:rsidP="00184C46">
      <w:pPr>
        <w:rPr>
          <w:color w:val="000000" w:themeColor="text1"/>
        </w:rPr>
      </w:pPr>
      <w:r w:rsidRPr="00BF481B">
        <w:rPr>
          <w:color w:val="000000" w:themeColor="text1"/>
        </w:rPr>
        <w:t xml:space="preserve">This supporting statement provides additional information regarding the Department of Energy (DOE) request for processing of the proposed information collection, </w:t>
      </w:r>
      <w:r w:rsidR="00770B92" w:rsidRPr="00BF481B">
        <w:rPr>
          <w:color w:val="000000" w:themeColor="text1"/>
        </w:rPr>
        <w:t>Energy and Jobs Survey</w:t>
      </w:r>
      <w:r w:rsidRPr="00BF481B">
        <w:rPr>
          <w:color w:val="000000" w:themeColor="text1"/>
        </w:rPr>
        <w:t>.  The numbered questions correspond to the order shown on the Office of Management and Budget (OMB) Form 83-I, “Instructions for Completing OMB Form 83-I.”</w:t>
      </w:r>
    </w:p>
    <w:p w14:paraId="51B61A36" w14:textId="77777777" w:rsidR="00720F5A" w:rsidRPr="00BF481B" w:rsidRDefault="00720F5A" w:rsidP="00C82919">
      <w:pPr>
        <w:jc w:val="center"/>
        <w:rPr>
          <w:b/>
          <w:color w:val="000000" w:themeColor="text1"/>
        </w:rPr>
      </w:pPr>
    </w:p>
    <w:p w14:paraId="521872AA" w14:textId="77777777" w:rsidR="00123C4A" w:rsidRPr="00BF481B" w:rsidRDefault="00123C4A" w:rsidP="00184C46">
      <w:pPr>
        <w:rPr>
          <w:color w:val="000000" w:themeColor="text1"/>
        </w:rPr>
      </w:pPr>
    </w:p>
    <w:p w14:paraId="0EF3D6ED" w14:textId="77777777" w:rsidR="00FE43CD" w:rsidRPr="00BF481B" w:rsidRDefault="00FE43CD" w:rsidP="00184C46">
      <w:pPr>
        <w:numPr>
          <w:ilvl w:val="0"/>
          <w:numId w:val="2"/>
        </w:numPr>
        <w:tabs>
          <w:tab w:val="num" w:pos="720"/>
        </w:tabs>
        <w:rPr>
          <w:b/>
          <w:color w:val="000000" w:themeColor="text1"/>
          <w:u w:val="single"/>
        </w:rPr>
      </w:pPr>
      <w:r w:rsidRPr="00BF481B">
        <w:rPr>
          <w:b/>
          <w:color w:val="000000" w:themeColor="text1"/>
          <w:u w:val="single"/>
        </w:rPr>
        <w:t>Justification</w:t>
      </w:r>
    </w:p>
    <w:p w14:paraId="3B88FC8B" w14:textId="77777777" w:rsidR="00FE43CD" w:rsidRPr="00BF481B" w:rsidRDefault="00FE43CD" w:rsidP="00184C46">
      <w:pPr>
        <w:rPr>
          <w:color w:val="000000" w:themeColor="text1"/>
        </w:rPr>
      </w:pPr>
    </w:p>
    <w:p w14:paraId="114D2E0D" w14:textId="77777777" w:rsidR="00184C46" w:rsidRPr="00BF481B" w:rsidRDefault="00123C4A" w:rsidP="00F4687A">
      <w:pPr>
        <w:numPr>
          <w:ilvl w:val="0"/>
          <w:numId w:val="7"/>
        </w:numPr>
        <w:rPr>
          <w:b/>
          <w:color w:val="000000" w:themeColor="text1"/>
        </w:rPr>
      </w:pPr>
      <w:r w:rsidRPr="00BF481B">
        <w:rPr>
          <w:b/>
          <w:color w:val="000000" w:themeColor="text1"/>
          <w:u w:val="single"/>
        </w:rPr>
        <w:t>Explain the circumstances that make the collection of information necessary.</w:t>
      </w:r>
      <w:r w:rsidR="00184C46" w:rsidRPr="00BF481B">
        <w:rPr>
          <w:b/>
          <w:color w:val="000000" w:themeColor="text1"/>
          <w:u w:val="single"/>
        </w:rPr>
        <w:t xml:space="preserve">  Identify any legal or administrative requirements that necessitate the collection.  Attach a copy of the</w:t>
      </w:r>
      <w:r w:rsidR="00184C46" w:rsidRPr="00BF481B">
        <w:rPr>
          <w:b/>
          <w:color w:val="000000" w:themeColor="text1"/>
        </w:rPr>
        <w:t xml:space="preserve"> </w:t>
      </w:r>
      <w:r w:rsidR="00184C46" w:rsidRPr="00BF481B">
        <w:rPr>
          <w:b/>
          <w:color w:val="000000" w:themeColor="text1"/>
          <w:u w:val="single"/>
        </w:rPr>
        <w:t>appropriate section of each statute and regulation mandating or authorizing the information collection.</w:t>
      </w:r>
      <w:r w:rsidR="00184C46" w:rsidRPr="00BF481B">
        <w:rPr>
          <w:b/>
          <w:color w:val="000000" w:themeColor="text1"/>
        </w:rPr>
        <w:t xml:space="preserve"> </w:t>
      </w:r>
    </w:p>
    <w:p w14:paraId="58EC5C1F" w14:textId="77777777" w:rsidR="005B54F5" w:rsidRPr="00BF481B" w:rsidRDefault="005B54F5" w:rsidP="00184C46">
      <w:pPr>
        <w:rPr>
          <w:color w:val="000000" w:themeColor="text1"/>
        </w:rPr>
      </w:pPr>
    </w:p>
    <w:p w14:paraId="7E970253" w14:textId="77777777" w:rsidR="000B3741" w:rsidRPr="00BF481B" w:rsidRDefault="000B3741" w:rsidP="00184C46">
      <w:pPr>
        <w:rPr>
          <w:color w:val="000000" w:themeColor="text1"/>
        </w:rPr>
      </w:pPr>
      <w:r w:rsidRPr="00BF481B">
        <w:rPr>
          <w:color w:val="000000" w:themeColor="text1"/>
        </w:rPr>
        <w:t>A major objective of the Department of Energy’s Jobs Strategy Council is to identify and quantify the effect that the rapidly changing nature of energy production, distribution, and consumption throughout the U.S. economy is having on job creation and economic competitiveness</w:t>
      </w:r>
      <w:r w:rsidR="00545AF1" w:rsidRPr="00BF481B">
        <w:rPr>
          <w:rStyle w:val="FootnoteReference"/>
          <w:color w:val="000000" w:themeColor="text1"/>
        </w:rPr>
        <w:footnoteReference w:id="1"/>
      </w:r>
      <w:r w:rsidRPr="00BF481B">
        <w:rPr>
          <w:color w:val="000000" w:themeColor="text1"/>
        </w:rPr>
        <w:t>.  Too often, these impacts are inadequately understood and, in some sectors, incompletely measured.</w:t>
      </w:r>
    </w:p>
    <w:p w14:paraId="02412E08" w14:textId="77777777" w:rsidR="0015599A" w:rsidRPr="00BF481B" w:rsidRDefault="0015599A" w:rsidP="00184C46">
      <w:pPr>
        <w:rPr>
          <w:color w:val="000000" w:themeColor="text1"/>
        </w:rPr>
      </w:pPr>
    </w:p>
    <w:p w14:paraId="198F9065" w14:textId="77777777" w:rsidR="0015599A" w:rsidRPr="00BF481B" w:rsidRDefault="00457350" w:rsidP="00184C46">
      <w:pPr>
        <w:rPr>
          <w:color w:val="000000" w:themeColor="text1"/>
        </w:rPr>
      </w:pPr>
      <w:r w:rsidRPr="00BF481B">
        <w:rPr>
          <w:color w:val="000000" w:themeColor="text1"/>
          <w:lang w:val="en"/>
        </w:rPr>
        <w:t>Informed by the June 2013 President’s </w:t>
      </w:r>
      <w:r w:rsidRPr="00BF481B">
        <w:rPr>
          <w:bCs/>
          <w:color w:val="000000" w:themeColor="text1"/>
          <w:lang w:val="en"/>
        </w:rPr>
        <w:t>“Climate Action Plan,</w:t>
      </w:r>
      <w:r w:rsidR="00545AF1" w:rsidRPr="00BF481B">
        <w:rPr>
          <w:rStyle w:val="FootnoteReference"/>
          <w:bCs/>
          <w:color w:val="000000" w:themeColor="text1"/>
          <w:lang w:val="en"/>
        </w:rPr>
        <w:footnoteReference w:id="2"/>
      </w:r>
      <w:r w:rsidRPr="00BF481B">
        <w:rPr>
          <w:bCs/>
          <w:color w:val="000000" w:themeColor="text1"/>
          <w:lang w:val="en"/>
        </w:rPr>
        <w:t>”</w:t>
      </w:r>
      <w:r w:rsidRPr="00BF481B">
        <w:rPr>
          <w:color w:val="000000" w:themeColor="text1"/>
          <w:lang w:val="en"/>
        </w:rPr>
        <w:t xml:space="preserve"> the administration-wide Quadrennial Energy (QER)</w:t>
      </w:r>
      <w:r w:rsidR="00545AF1" w:rsidRPr="00BF481B">
        <w:rPr>
          <w:rStyle w:val="FootnoteReference"/>
          <w:color w:val="000000" w:themeColor="text1"/>
          <w:lang w:val="en"/>
        </w:rPr>
        <w:footnoteReference w:id="3"/>
      </w:r>
      <w:r w:rsidRPr="00BF481B">
        <w:rPr>
          <w:color w:val="000000" w:themeColor="text1"/>
          <w:lang w:val="en"/>
        </w:rPr>
        <w:t xml:space="preserve"> enables the federal government to translate policy goals into a set of analytically based, integrated actions over a four-year planning horizon. </w:t>
      </w:r>
      <w:r w:rsidRPr="00BF481B">
        <w:rPr>
          <w:color w:val="000000" w:themeColor="text1"/>
        </w:rPr>
        <w:t>Am</w:t>
      </w:r>
      <w:r w:rsidR="0015599A" w:rsidRPr="00BF481B">
        <w:rPr>
          <w:color w:val="000000" w:themeColor="text1"/>
        </w:rPr>
        <w:t>ong the recommendations in the</w:t>
      </w:r>
      <w:r w:rsidRPr="00BF481B">
        <w:rPr>
          <w:color w:val="000000" w:themeColor="text1"/>
        </w:rPr>
        <w:t xml:space="preserve"> QER</w:t>
      </w:r>
      <w:r w:rsidR="0015599A" w:rsidRPr="00BF481B">
        <w:rPr>
          <w:color w:val="000000" w:themeColor="text1"/>
        </w:rPr>
        <w:t xml:space="preserve"> (Attachment 1) was Recommendation 8.6 entitled, Reforming Existing Energy Jobs Data Collection Systems.  Specifically, Recommendation 8.6 states that “DOE should establish an interagency working group – including the Department of Labor and Commerce – to reform existing data collection systems and provide consistent and complete definitions and quantification of energy jobs across all sectors of the economy.”</w:t>
      </w:r>
      <w:r w:rsidR="00545AF1" w:rsidRPr="00BF481B">
        <w:rPr>
          <w:rStyle w:val="FootnoteReference"/>
          <w:color w:val="000000" w:themeColor="text1"/>
        </w:rPr>
        <w:footnoteReference w:id="4"/>
      </w:r>
    </w:p>
    <w:p w14:paraId="33A341F8" w14:textId="77777777" w:rsidR="006B6EEF" w:rsidRPr="00BF481B" w:rsidRDefault="006B6EEF" w:rsidP="00184C46">
      <w:pPr>
        <w:rPr>
          <w:color w:val="000000" w:themeColor="text1"/>
        </w:rPr>
      </w:pPr>
    </w:p>
    <w:p w14:paraId="19269852" w14:textId="77777777" w:rsidR="005933BF" w:rsidRDefault="006B6EEF" w:rsidP="005933BF">
      <w:pPr>
        <w:rPr>
          <w:color w:val="000000" w:themeColor="text1"/>
        </w:rPr>
      </w:pPr>
      <w:r w:rsidRPr="00BF481B">
        <w:rPr>
          <w:color w:val="000000" w:themeColor="text1"/>
        </w:rPr>
        <w:t xml:space="preserve">The proposed data collection will </w:t>
      </w:r>
      <w:r w:rsidR="001D5040" w:rsidRPr="00BF481B">
        <w:rPr>
          <w:color w:val="000000" w:themeColor="text1"/>
        </w:rPr>
        <w:t>survey employers and analyze employment data in the following sectors:</w:t>
      </w:r>
      <w:r w:rsidRPr="00BF481B">
        <w:rPr>
          <w:color w:val="000000" w:themeColor="text1"/>
        </w:rPr>
        <w:t xml:space="preserve"> electric power generation, electric power transmission, distribution, and storage; energy efficiency, including heating, cooling and building envelope; fuels; and motor vehicles production.  The purpose is to quantify that employment, and </w:t>
      </w:r>
      <w:r w:rsidR="00073763" w:rsidRPr="00BF481B">
        <w:rPr>
          <w:color w:val="000000" w:themeColor="text1"/>
        </w:rPr>
        <w:t xml:space="preserve">classify </w:t>
      </w:r>
      <w:r w:rsidRPr="00BF481B">
        <w:rPr>
          <w:color w:val="000000" w:themeColor="text1"/>
        </w:rPr>
        <w:t xml:space="preserve">its distribution among different sources of energy and the </w:t>
      </w:r>
      <w:r w:rsidR="00073763" w:rsidRPr="00BF481B">
        <w:rPr>
          <w:color w:val="000000" w:themeColor="text1"/>
        </w:rPr>
        <w:t xml:space="preserve">different </w:t>
      </w:r>
      <w:r w:rsidRPr="00BF481B">
        <w:rPr>
          <w:color w:val="000000" w:themeColor="text1"/>
        </w:rPr>
        <w:t xml:space="preserve">technologies employed.  </w:t>
      </w:r>
      <w:r w:rsidR="00942E58">
        <w:rPr>
          <w:color w:val="000000" w:themeColor="text1"/>
        </w:rPr>
        <w:t>In particular</w:t>
      </w:r>
      <w:r w:rsidR="005933BF">
        <w:rPr>
          <w:color w:val="000000" w:themeColor="text1"/>
        </w:rPr>
        <w:t>, a</w:t>
      </w:r>
      <w:r w:rsidR="005933BF" w:rsidRPr="007B1937">
        <w:rPr>
          <w:color w:val="000000" w:themeColor="text1"/>
        </w:rPr>
        <w:t xml:space="preserve">s </w:t>
      </w:r>
      <w:r w:rsidR="005933BF" w:rsidRPr="007B1937">
        <w:rPr>
          <w:color w:val="000000" w:themeColor="text1"/>
        </w:rPr>
        <w:lastRenderedPageBreak/>
        <w:t>mentioned in U.S. Energy and Employment Report</w:t>
      </w:r>
      <w:r w:rsidR="005933BF">
        <w:rPr>
          <w:color w:val="000000" w:themeColor="text1"/>
        </w:rPr>
        <w:t>,</w:t>
      </w:r>
      <w:r w:rsidR="005933BF">
        <w:rPr>
          <w:rStyle w:val="FootnoteReference"/>
          <w:color w:val="000000" w:themeColor="text1"/>
        </w:rPr>
        <w:footnoteReference w:id="5"/>
      </w:r>
      <w:r w:rsidR="005933BF">
        <w:rPr>
          <w:color w:val="000000" w:themeColor="text1"/>
        </w:rPr>
        <w:t xml:space="preserve"> in recent years, </w:t>
      </w:r>
      <w:r w:rsidR="005933BF" w:rsidRPr="007B1937">
        <w:rPr>
          <w:color w:val="000000" w:themeColor="text1"/>
        </w:rPr>
        <w:t xml:space="preserve">the manner in which society consumes energy has </w:t>
      </w:r>
      <w:r w:rsidR="005933BF">
        <w:rPr>
          <w:color w:val="000000" w:themeColor="text1"/>
        </w:rPr>
        <w:t xml:space="preserve">also </w:t>
      </w:r>
      <w:r w:rsidR="005933BF" w:rsidRPr="007B1937">
        <w:rPr>
          <w:color w:val="000000" w:themeColor="text1"/>
        </w:rPr>
        <w:t>created a new category of energy</w:t>
      </w:r>
      <w:r w:rsidR="005933BF">
        <w:rPr>
          <w:color w:val="000000" w:themeColor="text1"/>
        </w:rPr>
        <w:t xml:space="preserve"> </w:t>
      </w:r>
      <w:r w:rsidR="005933BF" w:rsidRPr="007B1937">
        <w:rPr>
          <w:color w:val="000000" w:themeColor="text1"/>
        </w:rPr>
        <w:t xml:space="preserve">jobs—an energy efficiency job. As there is no commonly accepted definition of an energy efficiency job, the Department </w:t>
      </w:r>
      <w:r w:rsidR="005933BF">
        <w:rPr>
          <w:color w:val="000000" w:themeColor="text1"/>
        </w:rPr>
        <w:t>chose</w:t>
      </w:r>
      <w:r w:rsidR="005933BF" w:rsidRPr="007B1937">
        <w:rPr>
          <w:color w:val="000000" w:themeColor="text1"/>
        </w:rPr>
        <w:t xml:space="preserve"> to define energy efficiency employment</w:t>
      </w:r>
      <w:r w:rsidR="005933BF">
        <w:rPr>
          <w:color w:val="000000" w:themeColor="text1"/>
        </w:rPr>
        <w:t xml:space="preserve"> for the purposes of the study</w:t>
      </w:r>
      <w:r w:rsidR="005933BF" w:rsidRPr="007B1937">
        <w:rPr>
          <w:color w:val="000000" w:themeColor="text1"/>
        </w:rPr>
        <w:t xml:space="preserve"> as the production or</w:t>
      </w:r>
      <w:r w:rsidR="005933BF">
        <w:rPr>
          <w:color w:val="000000" w:themeColor="text1"/>
        </w:rPr>
        <w:t xml:space="preserve"> </w:t>
      </w:r>
      <w:r w:rsidR="005933BF" w:rsidRPr="007B1937">
        <w:rPr>
          <w:color w:val="000000" w:themeColor="text1"/>
        </w:rPr>
        <w:t>installation of energy efficiency products certified by the Environmental Protection Agency’s Energy Star program</w:t>
      </w:r>
      <w:r w:rsidR="005933BF">
        <w:rPr>
          <w:color w:val="000000" w:themeColor="text1"/>
        </w:rPr>
        <w:t xml:space="preserve"> </w:t>
      </w:r>
      <w:r w:rsidR="005933BF" w:rsidRPr="007B1937">
        <w:rPr>
          <w:color w:val="000000" w:themeColor="text1"/>
        </w:rPr>
        <w:t>or installed pursuant to the Energy Star program guidelines. Thus, the USEER energy efficiency employment figures</w:t>
      </w:r>
      <w:r w:rsidR="005933BF">
        <w:rPr>
          <w:color w:val="000000" w:themeColor="text1"/>
        </w:rPr>
        <w:t xml:space="preserve"> </w:t>
      </w:r>
      <w:r w:rsidR="005933BF" w:rsidRPr="007B1937">
        <w:rPr>
          <w:color w:val="000000" w:themeColor="text1"/>
        </w:rPr>
        <w:t>include only work with efficient technologies or building design and retrofits. The report does not capture</w:t>
      </w:r>
      <w:r w:rsidR="005933BF">
        <w:rPr>
          <w:color w:val="000000" w:themeColor="text1"/>
        </w:rPr>
        <w:t xml:space="preserve"> </w:t>
      </w:r>
      <w:r w:rsidR="005933BF" w:rsidRPr="007B1937">
        <w:rPr>
          <w:color w:val="000000" w:themeColor="text1"/>
        </w:rPr>
        <w:t>employment related to energy efficient manufacturing processes or employees associated with combined heat and</w:t>
      </w:r>
      <w:r w:rsidR="005933BF">
        <w:rPr>
          <w:color w:val="000000" w:themeColor="text1"/>
        </w:rPr>
        <w:t xml:space="preserve"> </w:t>
      </w:r>
      <w:r w:rsidR="005933BF" w:rsidRPr="007B1937">
        <w:rPr>
          <w:color w:val="000000" w:themeColor="text1"/>
        </w:rPr>
        <w:t>power (CHP) or waste heat to power (WHP)</w:t>
      </w:r>
      <w:r w:rsidR="005933BF">
        <w:rPr>
          <w:color w:val="000000" w:themeColor="text1"/>
        </w:rPr>
        <w:t>, which is data that this collection will aim to capture with respect to energy consumption.</w:t>
      </w:r>
    </w:p>
    <w:p w14:paraId="78AE315E" w14:textId="77777777" w:rsidR="005933BF" w:rsidRDefault="005933BF" w:rsidP="00184C46">
      <w:pPr>
        <w:rPr>
          <w:color w:val="000000" w:themeColor="text1"/>
        </w:rPr>
      </w:pPr>
    </w:p>
    <w:p w14:paraId="4DA8CA19" w14:textId="20F7C24D" w:rsidR="006B6EEF" w:rsidRPr="00BF481B" w:rsidRDefault="00384427" w:rsidP="00184C46">
      <w:pPr>
        <w:rPr>
          <w:color w:val="000000" w:themeColor="text1"/>
        </w:rPr>
      </w:pPr>
      <w:r w:rsidRPr="00BF481B">
        <w:rPr>
          <w:color w:val="000000" w:themeColor="text1"/>
        </w:rPr>
        <w:t>Collected data will allow energy-related</w:t>
      </w:r>
      <w:r w:rsidR="006B6EEF" w:rsidRPr="00BF481B">
        <w:rPr>
          <w:color w:val="000000" w:themeColor="text1"/>
        </w:rPr>
        <w:t xml:space="preserve"> employment</w:t>
      </w:r>
      <w:r w:rsidRPr="00BF481B">
        <w:rPr>
          <w:color w:val="000000" w:themeColor="text1"/>
        </w:rPr>
        <w:t xml:space="preserve"> to be assigned </w:t>
      </w:r>
      <w:r w:rsidR="006B6EEF" w:rsidRPr="00BF481B">
        <w:rPr>
          <w:color w:val="000000" w:themeColor="text1"/>
        </w:rPr>
        <w:t xml:space="preserve">by primary value chain activity, including: research and development; manufacturing; sales and distribution; installation, repair and maintenance; and professional services.  It will also </w:t>
      </w:r>
      <w:r w:rsidRPr="00BF481B">
        <w:rPr>
          <w:color w:val="000000" w:themeColor="text1"/>
        </w:rPr>
        <w:t>provide insight</w:t>
      </w:r>
      <w:r w:rsidR="006B6EEF" w:rsidRPr="00BF481B">
        <w:rPr>
          <w:color w:val="000000" w:themeColor="text1"/>
        </w:rPr>
        <w:t xml:space="preserve"> on workforce demographics and </w:t>
      </w:r>
      <w:r w:rsidRPr="00BF481B">
        <w:rPr>
          <w:color w:val="000000" w:themeColor="text1"/>
        </w:rPr>
        <w:t>employer</w:t>
      </w:r>
      <w:r w:rsidR="003300C3">
        <w:rPr>
          <w:color w:val="000000" w:themeColor="text1"/>
        </w:rPr>
        <w:t>s’ ability to recruit</w:t>
      </w:r>
      <w:r w:rsidR="006B6EEF" w:rsidRPr="00BF481B">
        <w:rPr>
          <w:color w:val="000000" w:themeColor="text1"/>
        </w:rPr>
        <w:t xml:space="preserve"> qualified workers.</w:t>
      </w:r>
    </w:p>
    <w:p w14:paraId="5F5E1119" w14:textId="77777777" w:rsidR="000B3741" w:rsidRPr="00BF481B" w:rsidRDefault="000B3741" w:rsidP="00184C46">
      <w:pPr>
        <w:rPr>
          <w:color w:val="000000" w:themeColor="text1"/>
        </w:rPr>
      </w:pPr>
    </w:p>
    <w:p w14:paraId="36C2DB20" w14:textId="77777777" w:rsidR="00123C4A" w:rsidRPr="00BF481B" w:rsidRDefault="00123C4A" w:rsidP="00184C46">
      <w:pPr>
        <w:rPr>
          <w:color w:val="000000" w:themeColor="text1"/>
        </w:rPr>
      </w:pPr>
      <w:r w:rsidRPr="00BF481B">
        <w:rPr>
          <w:color w:val="000000" w:themeColor="text1"/>
        </w:rPr>
        <w:t xml:space="preserve">  </w:t>
      </w:r>
    </w:p>
    <w:p w14:paraId="6C5D3BCE" w14:textId="77777777" w:rsidR="00123C4A" w:rsidRPr="00BF481B" w:rsidRDefault="00123C4A" w:rsidP="00184C46">
      <w:pPr>
        <w:numPr>
          <w:ilvl w:val="0"/>
          <w:numId w:val="7"/>
        </w:numPr>
        <w:rPr>
          <w:b/>
          <w:color w:val="000000" w:themeColor="text1"/>
          <w:u w:val="single"/>
        </w:rPr>
      </w:pPr>
      <w:r w:rsidRPr="00BF481B">
        <w:rPr>
          <w:b/>
          <w:color w:val="000000" w:themeColor="text1"/>
          <w:u w:val="single"/>
        </w:rPr>
        <w:t xml:space="preserve">Indicate how, by whom, and for what purpose the information is to be </w:t>
      </w:r>
      <w:r w:rsidR="005377BE" w:rsidRPr="00BF481B">
        <w:rPr>
          <w:b/>
          <w:color w:val="000000" w:themeColor="text1"/>
          <w:u w:val="single"/>
        </w:rPr>
        <w:t xml:space="preserve">used. Except for a new collection, indicate the actual use the agency has made of the information received from the current collection </w:t>
      </w:r>
    </w:p>
    <w:p w14:paraId="4FCC3E3A" w14:textId="77777777" w:rsidR="00E65FC8" w:rsidRPr="00BF481B" w:rsidRDefault="00E65FC8" w:rsidP="00184C46">
      <w:pPr>
        <w:rPr>
          <w:b/>
          <w:color w:val="000000" w:themeColor="text1"/>
          <w:u w:val="single"/>
        </w:rPr>
      </w:pPr>
    </w:p>
    <w:p w14:paraId="697C2297" w14:textId="77777777" w:rsidR="001959D4" w:rsidRPr="00BF481B" w:rsidRDefault="00F7673F" w:rsidP="006D3DD7">
      <w:pPr>
        <w:spacing w:after="160" w:line="259" w:lineRule="auto"/>
        <w:rPr>
          <w:color w:val="000000" w:themeColor="text1"/>
        </w:rPr>
      </w:pPr>
      <w:r w:rsidRPr="00BF481B">
        <w:rPr>
          <w:color w:val="000000" w:themeColor="text1"/>
        </w:rPr>
        <w:t xml:space="preserve">In order to solve </w:t>
      </w:r>
      <w:r w:rsidR="00770B92" w:rsidRPr="00BF481B">
        <w:rPr>
          <w:color w:val="000000" w:themeColor="text1"/>
        </w:rPr>
        <w:t>the inadequacy of current energy jobs</w:t>
      </w:r>
      <w:r w:rsidR="009F006F" w:rsidRPr="00BF481B">
        <w:rPr>
          <w:color w:val="000000" w:themeColor="text1"/>
        </w:rPr>
        <w:t xml:space="preserve"> data</w:t>
      </w:r>
      <w:r w:rsidRPr="00BF481B">
        <w:rPr>
          <w:color w:val="000000" w:themeColor="text1"/>
        </w:rPr>
        <w:t xml:space="preserve">, DOE </w:t>
      </w:r>
      <w:r w:rsidR="00BE32E2" w:rsidRPr="00BF481B">
        <w:rPr>
          <w:color w:val="000000" w:themeColor="text1"/>
        </w:rPr>
        <w:t xml:space="preserve">has commissioned this data </w:t>
      </w:r>
      <w:r w:rsidR="00CF5DA9" w:rsidRPr="00BF481B">
        <w:rPr>
          <w:color w:val="000000" w:themeColor="text1"/>
        </w:rPr>
        <w:t xml:space="preserve">collection to prepare an annual </w:t>
      </w:r>
      <w:r w:rsidR="00BE32E2" w:rsidRPr="00BF481B">
        <w:rPr>
          <w:color w:val="000000" w:themeColor="text1"/>
        </w:rPr>
        <w:t>US Energy and Employment Report t</w:t>
      </w:r>
      <w:r w:rsidRPr="00BF481B">
        <w:rPr>
          <w:color w:val="000000" w:themeColor="text1"/>
        </w:rPr>
        <w:t>o develop consistent criteria</w:t>
      </w:r>
      <w:r w:rsidR="00BC58CD" w:rsidRPr="00BF481B">
        <w:rPr>
          <w:color w:val="000000" w:themeColor="text1"/>
        </w:rPr>
        <w:t xml:space="preserve"> for analyzing em</w:t>
      </w:r>
      <w:r w:rsidR="00CF5DA9" w:rsidRPr="00BF481B">
        <w:rPr>
          <w:color w:val="000000" w:themeColor="text1"/>
        </w:rPr>
        <w:t>ployment in the energy industry which will better inform economic development planning as well as workforce development needs.  For example, community colleges and Workforce Investment Board</w:t>
      </w:r>
      <w:r w:rsidR="00C45B44" w:rsidRPr="00BF481B">
        <w:rPr>
          <w:color w:val="000000" w:themeColor="text1"/>
        </w:rPr>
        <w:t>s</w:t>
      </w:r>
      <w:r w:rsidR="00CF5DA9" w:rsidRPr="00BF481B">
        <w:rPr>
          <w:color w:val="000000" w:themeColor="text1"/>
        </w:rPr>
        <w:t xml:space="preserve"> will have timely and accurate data regarding trends, growth and decline in </w:t>
      </w:r>
      <w:r w:rsidR="001959D4" w:rsidRPr="00BF481B">
        <w:rPr>
          <w:color w:val="000000" w:themeColor="text1"/>
        </w:rPr>
        <w:t>energy sectors which will allow for more adequate planning and coordination to maximize the benefits of energy sector opportunities.</w:t>
      </w:r>
    </w:p>
    <w:p w14:paraId="5A47EDCB" w14:textId="77777777" w:rsidR="001959D4" w:rsidRPr="00BF481B" w:rsidRDefault="001959D4" w:rsidP="001959D4">
      <w:pPr>
        <w:spacing w:after="160" w:line="259" w:lineRule="auto"/>
        <w:rPr>
          <w:color w:val="000000" w:themeColor="text1"/>
        </w:rPr>
      </w:pPr>
      <w:r w:rsidRPr="00BF481B">
        <w:rPr>
          <w:color w:val="000000" w:themeColor="text1"/>
        </w:rPr>
        <w:t>The data collected will be used by industry, training organizations, community colleges, job seekers, federal agencies and other stakeholders, to</w:t>
      </w:r>
      <w:r w:rsidRPr="00BF481B">
        <w:rPr>
          <w:rFonts w:eastAsiaTheme="minorEastAsia"/>
          <w:bCs/>
          <w:color w:val="000000" w:themeColor="text1"/>
          <w:kern w:val="24"/>
        </w:rPr>
        <w:t xml:space="preserve"> better inform the workforce development system by highlighting changes in the industry that are driving demand for workers. </w:t>
      </w:r>
      <w:r w:rsidR="00014E1F" w:rsidRPr="00BF481B">
        <w:rPr>
          <w:rFonts w:eastAsiaTheme="minorEastAsia"/>
          <w:bCs/>
          <w:color w:val="000000" w:themeColor="text1"/>
          <w:kern w:val="24"/>
        </w:rPr>
        <w:t>This type of</w:t>
      </w:r>
      <w:r w:rsidR="004F0428" w:rsidRPr="00BF481B">
        <w:rPr>
          <w:rFonts w:eastAsiaTheme="minorEastAsia"/>
          <w:bCs/>
          <w:color w:val="000000" w:themeColor="text1"/>
          <w:kern w:val="24"/>
        </w:rPr>
        <w:t xml:space="preserve"> activity for energy and energy</w:t>
      </w:r>
      <w:r w:rsidR="00014E1F" w:rsidRPr="00BF481B">
        <w:rPr>
          <w:rFonts w:eastAsiaTheme="minorEastAsia"/>
          <w:bCs/>
          <w:color w:val="000000" w:themeColor="text1"/>
          <w:kern w:val="24"/>
        </w:rPr>
        <w:t xml:space="preserve"> related industries is directly aligned with the broad administrative priority around job-driven training articulated in the </w:t>
      </w:r>
      <w:r w:rsidR="00746AA4" w:rsidRPr="00BF481B">
        <w:rPr>
          <w:rFonts w:eastAsiaTheme="minorEastAsia"/>
          <w:bCs/>
          <w:color w:val="000000" w:themeColor="text1"/>
          <w:kern w:val="24"/>
        </w:rPr>
        <w:t>A</w:t>
      </w:r>
      <w:r w:rsidR="00014E1F" w:rsidRPr="00BF481B">
        <w:rPr>
          <w:rFonts w:eastAsiaTheme="minorEastAsia"/>
          <w:bCs/>
          <w:color w:val="000000" w:themeColor="text1"/>
          <w:kern w:val="24"/>
        </w:rPr>
        <w:t>dministration</w:t>
      </w:r>
      <w:r w:rsidR="00746AA4" w:rsidRPr="00BF481B">
        <w:rPr>
          <w:rFonts w:eastAsiaTheme="minorEastAsia"/>
          <w:bCs/>
          <w:color w:val="000000" w:themeColor="text1"/>
          <w:kern w:val="24"/>
        </w:rPr>
        <w:t>’</w:t>
      </w:r>
      <w:r w:rsidR="00014E1F" w:rsidRPr="00BF481B">
        <w:rPr>
          <w:rFonts w:eastAsiaTheme="minorEastAsia"/>
          <w:bCs/>
          <w:color w:val="000000" w:themeColor="text1"/>
          <w:kern w:val="24"/>
        </w:rPr>
        <w:t xml:space="preserve">s Job Driven training initiative and associated Presidential Memorandum on interagency priorities around jobs, skills and training. </w:t>
      </w:r>
      <w:r w:rsidR="00014E1F" w:rsidRPr="00BF481B">
        <w:rPr>
          <w:rStyle w:val="FootnoteReference"/>
          <w:rFonts w:eastAsiaTheme="minorEastAsia"/>
          <w:bCs/>
          <w:color w:val="000000" w:themeColor="text1"/>
          <w:kern w:val="24"/>
        </w:rPr>
        <w:footnoteReference w:id="6"/>
      </w:r>
    </w:p>
    <w:p w14:paraId="147A7704" w14:textId="77777777" w:rsidR="001959D4" w:rsidRPr="00BF481B" w:rsidRDefault="001959D4" w:rsidP="00C045BE">
      <w:pPr>
        <w:pStyle w:val="NoSpacing"/>
        <w:rPr>
          <w:rFonts w:ascii="Times New Roman" w:hAnsi="Times New Roman"/>
          <w:color w:val="000000" w:themeColor="text1"/>
          <w:sz w:val="24"/>
          <w:szCs w:val="24"/>
          <w:lang w:val="en"/>
        </w:rPr>
      </w:pPr>
      <w:r w:rsidRPr="00BF481B">
        <w:rPr>
          <w:rFonts w:ascii="Times New Roman" w:hAnsi="Times New Roman"/>
          <w:color w:val="000000" w:themeColor="text1"/>
          <w:sz w:val="24"/>
          <w:szCs w:val="24"/>
        </w:rPr>
        <w:t>The data collected will also inform energy economic development planning activities at the local, state and regional levels by providing a more detailed assessment of energy jobs, as well as the changing energy landscape and how such changes influence labor markets.</w:t>
      </w:r>
      <w:r w:rsidR="00CD2346" w:rsidRPr="00BF481B">
        <w:rPr>
          <w:rFonts w:ascii="Times New Roman" w:hAnsi="Times New Roman"/>
          <w:color w:val="000000" w:themeColor="text1"/>
          <w:sz w:val="24"/>
          <w:szCs w:val="24"/>
        </w:rPr>
        <w:t xml:space="preserve">  </w:t>
      </w:r>
    </w:p>
    <w:p w14:paraId="39348801" w14:textId="77777777" w:rsidR="00C045BE" w:rsidRPr="00BF481B" w:rsidRDefault="00C045BE" w:rsidP="00C045BE">
      <w:pPr>
        <w:pStyle w:val="NoSpacing"/>
        <w:rPr>
          <w:rFonts w:ascii="Times New Roman" w:hAnsi="Times New Roman"/>
          <w:color w:val="000000" w:themeColor="text1"/>
          <w:sz w:val="24"/>
          <w:szCs w:val="24"/>
          <w:lang w:val="en"/>
        </w:rPr>
      </w:pPr>
    </w:p>
    <w:p w14:paraId="2F526701" w14:textId="77777777" w:rsidR="006D3DD7" w:rsidRPr="00BF481B" w:rsidRDefault="006D3DD7" w:rsidP="00BE32E2">
      <w:pPr>
        <w:spacing w:after="160" w:line="259" w:lineRule="auto"/>
        <w:rPr>
          <w:color w:val="000000" w:themeColor="text1"/>
        </w:rPr>
      </w:pPr>
    </w:p>
    <w:p w14:paraId="074666A3" w14:textId="77777777" w:rsidR="00123C4A" w:rsidRPr="00BF481B" w:rsidRDefault="00123C4A" w:rsidP="00184C46">
      <w:pPr>
        <w:numPr>
          <w:ilvl w:val="0"/>
          <w:numId w:val="7"/>
        </w:numPr>
        <w:rPr>
          <w:b/>
          <w:color w:val="000000" w:themeColor="text1"/>
          <w:u w:val="single"/>
        </w:rPr>
      </w:pPr>
      <w:r w:rsidRPr="00BF481B">
        <w:rPr>
          <w:b/>
          <w:color w:val="000000" w:themeColor="text1"/>
          <w:u w:val="single"/>
        </w:rPr>
        <w:t>Describe whether, and to what extent, the collection of information involves the use of automated, electronic, mechanical, or other technological collection techniques or other forms of information technology</w:t>
      </w:r>
      <w:r w:rsidR="005377BE" w:rsidRPr="00BF481B">
        <w:rPr>
          <w:b/>
          <w:color w:val="000000" w:themeColor="text1"/>
          <w:u w:val="single"/>
        </w:rPr>
        <w:t>, e.g., permitting electronic submission of responses</w:t>
      </w:r>
      <w:r w:rsidRPr="00BF481B">
        <w:rPr>
          <w:b/>
          <w:color w:val="000000" w:themeColor="text1"/>
          <w:u w:val="single"/>
        </w:rPr>
        <w:t xml:space="preserve">. </w:t>
      </w:r>
    </w:p>
    <w:p w14:paraId="32DC2374" w14:textId="77777777" w:rsidR="00486E8E" w:rsidRPr="00BF481B" w:rsidRDefault="00486E8E" w:rsidP="00184C46">
      <w:pPr>
        <w:rPr>
          <w:color w:val="000000" w:themeColor="text1"/>
        </w:rPr>
      </w:pPr>
    </w:p>
    <w:p w14:paraId="4248E15F" w14:textId="77777777" w:rsidR="001959D4" w:rsidRPr="00BF481B" w:rsidRDefault="001959D4" w:rsidP="00E821CD">
      <w:pPr>
        <w:rPr>
          <w:color w:val="000000" w:themeColor="text1"/>
        </w:rPr>
      </w:pPr>
    </w:p>
    <w:p w14:paraId="00FAD740" w14:textId="40D762FD" w:rsidR="00E821CD" w:rsidRPr="00BF481B" w:rsidRDefault="00E821CD" w:rsidP="00E821CD">
      <w:pPr>
        <w:rPr>
          <w:color w:val="000000" w:themeColor="text1"/>
        </w:rPr>
      </w:pPr>
      <w:r w:rsidRPr="00BF481B">
        <w:rPr>
          <w:color w:val="000000" w:themeColor="text1"/>
        </w:rPr>
        <w:t>The survey is programmed in Qualtrics survey software, which can be utilized via email (respondent specific link) or with a general link and identifier (mail, etc.). Respondents will receive a letter (and email, if an address is available) encouraging electronic submission of data. Telephone respondents will have the option of receiving an email with a link rather than completing by telephone.</w:t>
      </w:r>
      <w:r w:rsidR="007209F1" w:rsidRPr="00BF481B">
        <w:rPr>
          <w:color w:val="000000" w:themeColor="text1"/>
        </w:rPr>
        <w:t xml:space="preserve"> A copy of the survey instrument reflecting the questions respondents will be asked is included as supplementary documents. </w:t>
      </w:r>
      <w:r w:rsidR="00770B92" w:rsidRPr="00BF481B">
        <w:rPr>
          <w:color w:val="000000" w:themeColor="text1"/>
        </w:rPr>
        <w:t xml:space="preserve">  </w:t>
      </w:r>
    </w:p>
    <w:p w14:paraId="32206EA5" w14:textId="77777777" w:rsidR="008C0162" w:rsidRPr="00BF481B" w:rsidRDefault="008C0162" w:rsidP="00184C46">
      <w:pPr>
        <w:rPr>
          <w:color w:val="000000" w:themeColor="text1"/>
        </w:rPr>
      </w:pPr>
    </w:p>
    <w:p w14:paraId="214172DB" w14:textId="77777777" w:rsidR="00C46F0F" w:rsidRPr="00BF481B" w:rsidRDefault="00123C4A" w:rsidP="00184C46">
      <w:pPr>
        <w:numPr>
          <w:ilvl w:val="0"/>
          <w:numId w:val="7"/>
        </w:numPr>
        <w:rPr>
          <w:b/>
          <w:color w:val="000000" w:themeColor="text1"/>
          <w:u w:val="single"/>
        </w:rPr>
      </w:pPr>
      <w:r w:rsidRPr="00BF481B">
        <w:rPr>
          <w:b/>
          <w:color w:val="000000" w:themeColor="text1"/>
          <w:u w:val="single"/>
        </w:rPr>
        <w:t xml:space="preserve">Describe efforts to identify duplication. </w:t>
      </w:r>
    </w:p>
    <w:p w14:paraId="66E00267" w14:textId="77777777" w:rsidR="00C46F0F" w:rsidRPr="00BF481B" w:rsidRDefault="00C46F0F" w:rsidP="00184C46">
      <w:pPr>
        <w:rPr>
          <w:b/>
          <w:color w:val="000000" w:themeColor="text1"/>
          <w:u w:val="single"/>
        </w:rPr>
      </w:pPr>
    </w:p>
    <w:p w14:paraId="3AC90C83" w14:textId="77777777" w:rsidR="007219BF" w:rsidRPr="00BF481B" w:rsidRDefault="007219BF" w:rsidP="00184C46">
      <w:pPr>
        <w:rPr>
          <w:color w:val="000000" w:themeColor="text1"/>
        </w:rPr>
      </w:pPr>
    </w:p>
    <w:p w14:paraId="4DF1CCB7" w14:textId="77777777" w:rsidR="00E821CD" w:rsidRPr="00BF481B" w:rsidRDefault="00E821CD" w:rsidP="00E821CD">
      <w:pPr>
        <w:rPr>
          <w:color w:val="000000" w:themeColor="text1"/>
        </w:rPr>
      </w:pPr>
      <w:r w:rsidRPr="00BF481B">
        <w:rPr>
          <w:color w:val="000000" w:themeColor="text1"/>
        </w:rPr>
        <w:t>No other collections ask the specific types of questions or filter employment data by technology, subtechnology, or value chain type. Further, these economic data or other proxies do not yet exist or are not currently collected to allow for modification, analysis, or extrapolation.</w:t>
      </w:r>
    </w:p>
    <w:p w14:paraId="50475B20" w14:textId="77777777" w:rsidR="00E821CD" w:rsidRPr="00BF481B" w:rsidRDefault="00E821CD" w:rsidP="00184C46">
      <w:pPr>
        <w:rPr>
          <w:color w:val="000000" w:themeColor="text1"/>
        </w:rPr>
      </w:pPr>
    </w:p>
    <w:p w14:paraId="5C7FC1E0" w14:textId="77777777" w:rsidR="008D2075" w:rsidRPr="00BF481B" w:rsidRDefault="008D2075" w:rsidP="00184C46">
      <w:pPr>
        <w:rPr>
          <w:color w:val="000000" w:themeColor="text1"/>
        </w:rPr>
      </w:pPr>
      <w:r w:rsidRPr="00BF481B">
        <w:rPr>
          <w:color w:val="000000" w:themeColor="text1"/>
        </w:rPr>
        <w:t xml:space="preserve">The Bureau of Labor Statistics (BLS) collects data on establishments and jobs.  Establishments are classified according to type of economic activity, or process of production, by the North American Industry Classification </w:t>
      </w:r>
      <w:r w:rsidR="002779D0" w:rsidRPr="00BF481B">
        <w:rPr>
          <w:color w:val="000000" w:themeColor="text1"/>
        </w:rPr>
        <w:t>System</w:t>
      </w:r>
      <w:r w:rsidRPr="00BF481B">
        <w:rPr>
          <w:color w:val="000000" w:themeColor="text1"/>
        </w:rPr>
        <w:t xml:space="preserve"> (NAICS)</w:t>
      </w:r>
      <w:r w:rsidR="00B45452" w:rsidRPr="00BF481B">
        <w:rPr>
          <w:rStyle w:val="FootnoteReference"/>
          <w:color w:val="000000" w:themeColor="text1"/>
        </w:rPr>
        <w:footnoteReference w:id="7"/>
      </w:r>
      <w:r w:rsidRPr="00BF481B">
        <w:rPr>
          <w:color w:val="000000" w:themeColor="text1"/>
        </w:rPr>
        <w:t>, and jobs are classified into occupations categories using the Standard Occupational Classification (SOC) system</w:t>
      </w:r>
      <w:r w:rsidR="004F0428" w:rsidRPr="00BF481B">
        <w:rPr>
          <w:rStyle w:val="FootnoteReference"/>
          <w:color w:val="000000" w:themeColor="text1"/>
        </w:rPr>
        <w:footnoteReference w:id="8"/>
      </w:r>
      <w:r w:rsidRPr="00BF481B">
        <w:rPr>
          <w:color w:val="000000" w:themeColor="text1"/>
        </w:rPr>
        <w:t xml:space="preserve">.  BLS data in many cases adequately attributes employment in more traditional sectors of the energy sectors of the energy sector, such as fossil fuel exploration, extraction, storage and transportation.  However, </w:t>
      </w:r>
      <w:r w:rsidR="002779D0" w:rsidRPr="00BF481B">
        <w:rPr>
          <w:color w:val="000000" w:themeColor="text1"/>
        </w:rPr>
        <w:t>the distribution of employment among different technologies within these sectors such as nontraditional extraction of oil and gas, electric generation by specific fuel type (i.e., coal, gas, wind, etc.), and research and development of energy related technologies, cannot be determined.</w:t>
      </w:r>
    </w:p>
    <w:p w14:paraId="2C3D93C1" w14:textId="77777777" w:rsidR="00C46F0F" w:rsidRPr="00BF481B" w:rsidRDefault="00C46F0F" w:rsidP="00184C46">
      <w:pPr>
        <w:rPr>
          <w:color w:val="000000" w:themeColor="text1"/>
        </w:rPr>
      </w:pPr>
    </w:p>
    <w:p w14:paraId="515A23BC" w14:textId="77777777" w:rsidR="002779D0" w:rsidRPr="00BF481B" w:rsidRDefault="002779D0" w:rsidP="00184C46">
      <w:pPr>
        <w:rPr>
          <w:color w:val="000000" w:themeColor="text1"/>
        </w:rPr>
      </w:pPr>
      <w:r w:rsidRPr="00BF481B">
        <w:rPr>
          <w:color w:val="000000" w:themeColor="text1"/>
        </w:rPr>
        <w:t xml:space="preserve">Moreover, newer energy sources, such as solar, wind, and hydropower, and the technologies they employ, are largely included in NAICS and SOC codes for other industries and cannot be separated into their respective production processes or occupations.  In 2010, the BLS was tasked by the Congress with reporting and tracking “Green Jobs”.  In order to accomplish this task, BLS </w:t>
      </w:r>
      <w:r w:rsidR="007219BF" w:rsidRPr="00BF481B">
        <w:rPr>
          <w:color w:val="000000" w:themeColor="text1"/>
        </w:rPr>
        <w:t>initiated</w:t>
      </w:r>
      <w:r w:rsidRPr="00BF481B">
        <w:rPr>
          <w:color w:val="000000" w:themeColor="text1"/>
        </w:rPr>
        <w:t xml:space="preserve"> two new data collections – the Green Goods and Services and the Green Technologies and Practices data collections</w:t>
      </w:r>
      <w:r w:rsidR="004F0428" w:rsidRPr="00BF481B">
        <w:rPr>
          <w:rStyle w:val="FootnoteReference"/>
          <w:color w:val="000000" w:themeColor="text1"/>
        </w:rPr>
        <w:footnoteReference w:id="9"/>
      </w:r>
      <w:r w:rsidRPr="00BF481B">
        <w:rPr>
          <w:color w:val="000000" w:themeColor="text1"/>
        </w:rPr>
        <w:t>.  However, those collections were discontinued due to sequestration</w:t>
      </w:r>
      <w:r w:rsidR="004F0428" w:rsidRPr="00BF481B">
        <w:rPr>
          <w:rStyle w:val="FootnoteReference"/>
          <w:color w:val="000000" w:themeColor="text1"/>
        </w:rPr>
        <w:footnoteReference w:id="10"/>
      </w:r>
      <w:r w:rsidRPr="00BF481B">
        <w:rPr>
          <w:color w:val="000000" w:themeColor="text1"/>
        </w:rPr>
        <w:t>.</w:t>
      </w:r>
    </w:p>
    <w:p w14:paraId="0A19CE39" w14:textId="77777777" w:rsidR="002779D0" w:rsidRPr="00BF481B" w:rsidRDefault="002779D0" w:rsidP="00184C46">
      <w:pPr>
        <w:rPr>
          <w:color w:val="000000" w:themeColor="text1"/>
        </w:rPr>
      </w:pPr>
    </w:p>
    <w:p w14:paraId="1B091BE7" w14:textId="77777777" w:rsidR="002779D0" w:rsidRPr="00BF481B" w:rsidRDefault="002779D0" w:rsidP="00184C46">
      <w:pPr>
        <w:rPr>
          <w:color w:val="000000" w:themeColor="text1"/>
        </w:rPr>
      </w:pPr>
      <w:r w:rsidRPr="00BF481B">
        <w:rPr>
          <w:color w:val="000000" w:themeColor="text1"/>
        </w:rPr>
        <w:t xml:space="preserve">It is important to note that this data collection is additive, rather than duplicative, of the current BLS data collections.  Rather than creating new, exclusive categories of employment, the proposed data collection would </w:t>
      </w:r>
      <w:r w:rsidR="007219BF" w:rsidRPr="00BF481B">
        <w:rPr>
          <w:color w:val="000000" w:themeColor="text1"/>
        </w:rPr>
        <w:t>ascertain</w:t>
      </w:r>
      <w:r w:rsidRPr="00BF481B">
        <w:rPr>
          <w:color w:val="000000" w:themeColor="text1"/>
        </w:rPr>
        <w:t xml:space="preserve"> specific activities and technologies within the BLS structure, so allocation of employment by activity and technology uses </w:t>
      </w:r>
      <w:r w:rsidR="007219BF" w:rsidRPr="00BF481B">
        <w:rPr>
          <w:color w:val="000000" w:themeColor="text1"/>
        </w:rPr>
        <w:t>existing BLS data as a baseline.  In this way, the proposed data collection reduces the burden on businesses because it relies on existing baseline employment totals by NAICS code that are already collected and released by BLS, therefore allowing statistical estimation procedures to be used (requiring fewer total responses) rather than replicating a census of businesses.</w:t>
      </w:r>
    </w:p>
    <w:p w14:paraId="4780336D" w14:textId="77777777" w:rsidR="007219BF" w:rsidRPr="00BF481B" w:rsidRDefault="007219BF" w:rsidP="00184C46">
      <w:pPr>
        <w:rPr>
          <w:color w:val="000000" w:themeColor="text1"/>
        </w:rPr>
      </w:pPr>
    </w:p>
    <w:p w14:paraId="1C41B384" w14:textId="77777777" w:rsidR="00123C4A" w:rsidRPr="00BF481B" w:rsidRDefault="00123C4A" w:rsidP="00184C46">
      <w:pPr>
        <w:numPr>
          <w:ilvl w:val="0"/>
          <w:numId w:val="7"/>
        </w:numPr>
        <w:rPr>
          <w:b/>
          <w:color w:val="000000" w:themeColor="text1"/>
          <w:u w:val="single"/>
        </w:rPr>
      </w:pPr>
      <w:r w:rsidRPr="00BF481B">
        <w:rPr>
          <w:b/>
          <w:color w:val="000000" w:themeColor="text1"/>
          <w:u w:val="single"/>
        </w:rPr>
        <w:t xml:space="preserve">If the collection of information impacts small businesses or other small entities, describe any methods used to minimize burden. </w:t>
      </w:r>
    </w:p>
    <w:p w14:paraId="1F909D68" w14:textId="77777777" w:rsidR="00C46F0F" w:rsidRPr="00BF481B" w:rsidRDefault="00C46F0F" w:rsidP="00184C46">
      <w:pPr>
        <w:rPr>
          <w:b/>
          <w:color w:val="000000" w:themeColor="text1"/>
          <w:u w:val="single"/>
        </w:rPr>
      </w:pPr>
    </w:p>
    <w:p w14:paraId="09F35914" w14:textId="77777777" w:rsidR="00E821CD" w:rsidRPr="00BF481B" w:rsidRDefault="00E821CD" w:rsidP="00E821CD">
      <w:pPr>
        <w:rPr>
          <w:color w:val="000000" w:themeColor="text1"/>
        </w:rPr>
      </w:pPr>
    </w:p>
    <w:p w14:paraId="57AD13E1" w14:textId="77777777" w:rsidR="00E821CD" w:rsidRPr="00BF481B" w:rsidRDefault="00E821CD" w:rsidP="00E821CD">
      <w:pPr>
        <w:rPr>
          <w:color w:val="000000" w:themeColor="text1"/>
        </w:rPr>
      </w:pPr>
      <w:r w:rsidRPr="00BF481B">
        <w:rPr>
          <w:color w:val="000000" w:themeColor="text1"/>
        </w:rPr>
        <w:t xml:space="preserve">Small businesses are important respondents, </w:t>
      </w:r>
      <w:r w:rsidR="000A7BA3" w:rsidRPr="00BF481B">
        <w:rPr>
          <w:color w:val="000000" w:themeColor="text1"/>
        </w:rPr>
        <w:t xml:space="preserve">and it is critical </w:t>
      </w:r>
      <w:r w:rsidRPr="00BF481B">
        <w:rPr>
          <w:color w:val="000000" w:themeColor="text1"/>
        </w:rPr>
        <w:t xml:space="preserve">to ensure that their needs </w:t>
      </w:r>
      <w:r w:rsidR="004F0428" w:rsidRPr="00BF481B">
        <w:rPr>
          <w:color w:val="000000" w:themeColor="text1"/>
        </w:rPr>
        <w:t xml:space="preserve">and impact on the US energy economy </w:t>
      </w:r>
      <w:r w:rsidRPr="00BF481B">
        <w:rPr>
          <w:color w:val="000000" w:themeColor="text1"/>
        </w:rPr>
        <w:t>are captured in the collection. In addition to electronic submission availability, the phone bank uses flexible hours and allows callbacks to be scheduled 24 hours per day. In addition, respondents are not required to keep any data, only to report on their current needs and workforce, minimizing burden.</w:t>
      </w:r>
    </w:p>
    <w:p w14:paraId="25E080BF" w14:textId="77777777" w:rsidR="003A7733" w:rsidRPr="00BF481B" w:rsidRDefault="003A7733" w:rsidP="00184C46">
      <w:pPr>
        <w:rPr>
          <w:color w:val="000000" w:themeColor="text1"/>
        </w:rPr>
      </w:pPr>
    </w:p>
    <w:p w14:paraId="30B7E958" w14:textId="77777777" w:rsidR="00123C4A" w:rsidRPr="00BF481B" w:rsidRDefault="00123C4A" w:rsidP="00184C46">
      <w:pPr>
        <w:numPr>
          <w:ilvl w:val="0"/>
          <w:numId w:val="7"/>
        </w:numPr>
        <w:rPr>
          <w:b/>
          <w:color w:val="000000" w:themeColor="text1"/>
          <w:u w:val="single"/>
        </w:rPr>
      </w:pPr>
      <w:r w:rsidRPr="00BF481B">
        <w:rPr>
          <w:b/>
          <w:color w:val="000000" w:themeColor="text1"/>
          <w:u w:val="single"/>
        </w:rPr>
        <w:t xml:space="preserve">Describe the consequence to Federal program or policy activities if the collection is not conducted or is conducted less frequently, as well as any technical or legal obstacles to reducing burden. </w:t>
      </w:r>
    </w:p>
    <w:p w14:paraId="1A7F9329" w14:textId="77777777" w:rsidR="00D76D7C" w:rsidRPr="00BF481B" w:rsidRDefault="00D76D7C" w:rsidP="00184C46">
      <w:pPr>
        <w:rPr>
          <w:b/>
          <w:color w:val="000000" w:themeColor="text1"/>
          <w:u w:val="single"/>
        </w:rPr>
      </w:pPr>
    </w:p>
    <w:p w14:paraId="2B3D5C98" w14:textId="77777777" w:rsidR="007209F1" w:rsidRPr="00BF481B" w:rsidRDefault="007209F1" w:rsidP="007209F1">
      <w:pPr>
        <w:rPr>
          <w:color w:val="000000" w:themeColor="text1"/>
        </w:rPr>
      </w:pPr>
      <w:r w:rsidRPr="00BF481B">
        <w:rPr>
          <w:color w:val="000000" w:themeColor="text1"/>
        </w:rPr>
        <w:t xml:space="preserve">  </w:t>
      </w:r>
    </w:p>
    <w:p w14:paraId="6C15FEBE" w14:textId="77777777" w:rsidR="007209F1" w:rsidRPr="00BF481B" w:rsidRDefault="007209F1" w:rsidP="007209F1">
      <w:pPr>
        <w:rPr>
          <w:color w:val="000000" w:themeColor="text1"/>
          <w:lang w:val="en"/>
        </w:rPr>
      </w:pPr>
      <w:r w:rsidRPr="00BF481B">
        <w:rPr>
          <w:color w:val="000000" w:themeColor="text1"/>
          <w:lang w:val="en"/>
        </w:rPr>
        <w:t xml:space="preserve">The Department of Energy has as one of its core missions to ensure America’s security and economic prosperity.  </w:t>
      </w:r>
      <w:r w:rsidRPr="00BF481B">
        <w:rPr>
          <w:color w:val="000000" w:themeColor="text1"/>
        </w:rPr>
        <w:t xml:space="preserve">Through innovation, technology transfer, commercialization and deployment activities, the Department of Energy has made significant contributions to economic growth in the United States.  Supported in part by investment in innovation, DOE spends more than $10 billion in research and development each year, conducted primarily at universities and Federal laboratories.  DOE’s role as a creator of direct and indirect jobs is more pronounced as the energy sector continues to transform and the Nation embraces clean energy.  The transformation is driven in large part by the changing nature of energy production, distribution and consumption throughout the United States which is having a dramatic impact on both job creation and economic competitiveness. </w:t>
      </w:r>
    </w:p>
    <w:p w14:paraId="22DAC2D3" w14:textId="77777777" w:rsidR="007209F1" w:rsidRPr="00BF481B" w:rsidRDefault="007209F1" w:rsidP="007209F1">
      <w:pPr>
        <w:rPr>
          <w:color w:val="000000" w:themeColor="text1"/>
          <w:lang w:val="en"/>
        </w:rPr>
      </w:pPr>
    </w:p>
    <w:p w14:paraId="3D70DF9C" w14:textId="77777777" w:rsidR="007209F1" w:rsidRPr="00BF481B" w:rsidRDefault="007209F1" w:rsidP="007209F1">
      <w:pPr>
        <w:rPr>
          <w:strike/>
          <w:color w:val="000000" w:themeColor="text1"/>
        </w:rPr>
      </w:pPr>
      <w:r w:rsidRPr="00BF481B">
        <w:rPr>
          <w:color w:val="000000" w:themeColor="text1"/>
        </w:rPr>
        <w:t xml:space="preserve">However, the inadequacy of current energy jobs data has been widely noted. </w:t>
      </w:r>
      <w:r w:rsidRPr="00BF481B">
        <w:rPr>
          <w:rStyle w:val="FootnoteReference"/>
          <w:color w:val="000000" w:themeColor="text1"/>
        </w:rPr>
        <w:footnoteReference w:id="11"/>
      </w:r>
      <w:r w:rsidRPr="00BF481B">
        <w:rPr>
          <w:color w:val="000000" w:themeColor="text1"/>
        </w:rPr>
        <w:t>,</w:t>
      </w:r>
      <w:r w:rsidRPr="00BF481B">
        <w:rPr>
          <w:rStyle w:val="FootnoteReference"/>
          <w:color w:val="000000" w:themeColor="text1"/>
        </w:rPr>
        <w:footnoteReference w:id="12"/>
      </w:r>
      <w:r w:rsidRPr="00BF481B">
        <w:rPr>
          <w:color w:val="000000" w:themeColor="text1"/>
        </w:rPr>
        <w:t>,</w:t>
      </w:r>
      <w:r w:rsidRPr="00BF481B">
        <w:rPr>
          <w:rStyle w:val="FootnoteReference"/>
          <w:color w:val="000000" w:themeColor="text1"/>
        </w:rPr>
        <w:footnoteReference w:id="13"/>
      </w:r>
      <w:r w:rsidRPr="00BF481B">
        <w:rPr>
          <w:color w:val="000000" w:themeColor="text1"/>
        </w:rPr>
        <w:t xml:space="preserve">  The fundamental problem is that energy generation, distribution and consumption have become embedded in so many different sectors of the economy and in so many ways that jobs that are primarily energy focused are attributed to the sector where they are housed.  As a result, energy jobs are classified with traditional job skills’ identifiers but should have a discrete identity and a separate job classification standard.  For example, under our current job classification system, a welder remains a welder regardless of whether he/she is welding an oil pipeline, a water main, a LEED-certified office building, a piece of construction equipment, or an electric vehicle.  Thus, the leading role that energy is playing in revitalizing the American economy since the Great Recession is poorly measured and poorly understood. </w:t>
      </w:r>
      <w:r w:rsidRPr="00BF481B">
        <w:rPr>
          <w:strike/>
          <w:color w:val="000000" w:themeColor="text1"/>
        </w:rPr>
        <w:t xml:space="preserve"> </w:t>
      </w:r>
    </w:p>
    <w:p w14:paraId="2E3F3E09" w14:textId="77777777" w:rsidR="007209F1" w:rsidRPr="00BF481B" w:rsidRDefault="007209F1" w:rsidP="007209F1">
      <w:pPr>
        <w:rPr>
          <w:strike/>
          <w:color w:val="000000" w:themeColor="text1"/>
        </w:rPr>
      </w:pPr>
    </w:p>
    <w:p w14:paraId="4B3BBB5B" w14:textId="77777777" w:rsidR="00D76D7C" w:rsidRPr="00BF481B" w:rsidRDefault="00CC5801" w:rsidP="007209F1">
      <w:pPr>
        <w:rPr>
          <w:color w:val="000000" w:themeColor="text1"/>
        </w:rPr>
      </w:pPr>
      <w:r w:rsidRPr="00BF481B">
        <w:rPr>
          <w:color w:val="000000" w:themeColor="text1"/>
        </w:rPr>
        <w:t>If the collection is not conducted</w:t>
      </w:r>
      <w:r w:rsidR="00392727" w:rsidRPr="00BF481B">
        <w:rPr>
          <w:color w:val="000000" w:themeColor="text1"/>
        </w:rPr>
        <w:t>,</w:t>
      </w:r>
      <w:r w:rsidRPr="00BF481B">
        <w:rPr>
          <w:color w:val="000000" w:themeColor="text1"/>
        </w:rPr>
        <w:t xml:space="preserve"> federal agencies will not have accurate data on labor market trends in key energy sectors during a time of rapid technological change.  Already in</w:t>
      </w:r>
      <w:r w:rsidR="00392727" w:rsidRPr="00BF481B">
        <w:rPr>
          <w:color w:val="000000" w:themeColor="text1"/>
        </w:rPr>
        <w:t xml:space="preserve"> 2016 natural gas is anticipated to displace coal as the major fuel source for electric power generation, while renewable energy has emerged as the largest single source of new generation.  Without the data collection, both federal and state policy makers will not be able to plan for new workforce </w:t>
      </w:r>
      <w:r w:rsidR="00510397" w:rsidRPr="00BF481B">
        <w:rPr>
          <w:color w:val="000000" w:themeColor="text1"/>
        </w:rPr>
        <w:t xml:space="preserve">skills’ </w:t>
      </w:r>
      <w:r w:rsidR="00392727" w:rsidRPr="00BF481B">
        <w:rPr>
          <w:color w:val="000000" w:themeColor="text1"/>
        </w:rPr>
        <w:t>demands or prepare for retraining displaced workers.</w:t>
      </w:r>
    </w:p>
    <w:p w14:paraId="4D8F74F7" w14:textId="77777777" w:rsidR="00392727" w:rsidRPr="00BF481B" w:rsidRDefault="00392727" w:rsidP="00184C46">
      <w:pPr>
        <w:rPr>
          <w:color w:val="000000" w:themeColor="text1"/>
        </w:rPr>
      </w:pPr>
    </w:p>
    <w:p w14:paraId="1386F895" w14:textId="77777777" w:rsidR="00392727" w:rsidRPr="00BF481B" w:rsidRDefault="00392727" w:rsidP="00184C46">
      <w:pPr>
        <w:rPr>
          <w:color w:val="000000" w:themeColor="text1"/>
        </w:rPr>
      </w:pPr>
      <w:r w:rsidRPr="00BF481B">
        <w:rPr>
          <w:color w:val="000000" w:themeColor="text1"/>
        </w:rPr>
        <w:t>Since changes in energy technologies are affecting different regions of the country in different ways, state and regional data is also necessary for both economic and workforce development purposes.  Hiring difficulty data is essential to provide guidance to the community college and workforce development system</w:t>
      </w:r>
      <w:r w:rsidR="009003A9" w:rsidRPr="00BF481B">
        <w:rPr>
          <w:color w:val="000000" w:themeColor="text1"/>
        </w:rPr>
        <w:t>s</w:t>
      </w:r>
      <w:r w:rsidRPr="00BF481B">
        <w:rPr>
          <w:color w:val="000000" w:themeColor="text1"/>
        </w:rPr>
        <w:t xml:space="preserve"> to prepare course offerings and curricula that are aligned with changing energy technology</w:t>
      </w:r>
      <w:r w:rsidR="00510397" w:rsidRPr="00BF481B">
        <w:rPr>
          <w:color w:val="000000" w:themeColor="text1"/>
        </w:rPr>
        <w:t xml:space="preserve"> and employer</w:t>
      </w:r>
      <w:r w:rsidRPr="00BF481B">
        <w:rPr>
          <w:color w:val="000000" w:themeColor="text1"/>
        </w:rPr>
        <w:t xml:space="preserve"> needs.</w:t>
      </w:r>
    </w:p>
    <w:p w14:paraId="3BFB1F3B" w14:textId="77777777" w:rsidR="00510397" w:rsidRPr="00BF481B" w:rsidRDefault="00510397" w:rsidP="00184C46">
      <w:pPr>
        <w:rPr>
          <w:color w:val="000000" w:themeColor="text1"/>
        </w:rPr>
      </w:pPr>
    </w:p>
    <w:p w14:paraId="2BE9EFA1" w14:textId="77777777" w:rsidR="00510397" w:rsidRPr="00BF481B" w:rsidRDefault="00510397" w:rsidP="00184C46">
      <w:pPr>
        <w:rPr>
          <w:color w:val="000000" w:themeColor="text1"/>
        </w:rPr>
      </w:pPr>
      <w:r w:rsidRPr="00BF481B">
        <w:rPr>
          <w:color w:val="000000" w:themeColor="text1"/>
        </w:rPr>
        <w:t xml:space="preserve">Demographic profiles of the energy workforce </w:t>
      </w:r>
      <w:r w:rsidR="009003A9" w:rsidRPr="00BF481B">
        <w:rPr>
          <w:color w:val="000000" w:themeColor="text1"/>
        </w:rPr>
        <w:t>are</w:t>
      </w:r>
      <w:r w:rsidRPr="00BF481B">
        <w:rPr>
          <w:color w:val="000000" w:themeColor="text1"/>
        </w:rPr>
        <w:t xml:space="preserve"> necessary to inform policy makers on identifying barriers to entry for energy-related employment in underserved or disadvantaged communities</w:t>
      </w:r>
      <w:r w:rsidR="009003A9" w:rsidRPr="00BF481B">
        <w:rPr>
          <w:color w:val="000000" w:themeColor="text1"/>
        </w:rPr>
        <w:t xml:space="preserve"> and developing response programs</w:t>
      </w:r>
      <w:r w:rsidRPr="00BF481B">
        <w:rPr>
          <w:color w:val="000000" w:themeColor="text1"/>
        </w:rPr>
        <w:t xml:space="preserve">.  </w:t>
      </w:r>
    </w:p>
    <w:p w14:paraId="489ABB1F" w14:textId="77777777" w:rsidR="00510397" w:rsidRPr="00BF481B" w:rsidRDefault="00510397" w:rsidP="00184C46">
      <w:pPr>
        <w:rPr>
          <w:color w:val="000000" w:themeColor="text1"/>
        </w:rPr>
      </w:pPr>
    </w:p>
    <w:p w14:paraId="7309609C" w14:textId="77777777" w:rsidR="00510397" w:rsidRPr="00BF481B" w:rsidRDefault="00510397" w:rsidP="00184C46">
      <w:pPr>
        <w:rPr>
          <w:color w:val="000000" w:themeColor="text1"/>
        </w:rPr>
      </w:pPr>
      <w:r w:rsidRPr="00BF481B">
        <w:rPr>
          <w:color w:val="000000" w:themeColor="text1"/>
        </w:rPr>
        <w:t>Without this data collection no accurate data will exist at either the federal or state level on employment in energy efficiency technologies, one of the fastest and largest growing, employment sectors in the country.  Planning the workforce needs for energy efficiency is a key challenge for both energy and climate policy in the U.S.</w:t>
      </w:r>
    </w:p>
    <w:p w14:paraId="49CC4465" w14:textId="77777777" w:rsidR="00510397" w:rsidRPr="00BF481B" w:rsidRDefault="00510397" w:rsidP="00184C46">
      <w:pPr>
        <w:rPr>
          <w:color w:val="000000" w:themeColor="text1"/>
        </w:rPr>
      </w:pPr>
    </w:p>
    <w:p w14:paraId="3C68BD1E" w14:textId="37B6C1BF" w:rsidR="00EA0DE3" w:rsidRPr="00BF481B" w:rsidRDefault="00510397" w:rsidP="00184C46">
      <w:pPr>
        <w:rPr>
          <w:color w:val="000000" w:themeColor="text1"/>
        </w:rPr>
      </w:pPr>
      <w:r w:rsidRPr="00BF481B">
        <w:rPr>
          <w:color w:val="000000" w:themeColor="text1"/>
        </w:rPr>
        <w:t>Finally, the collection of this data is essential to the energy jobs work agreed to by the G-7/EU Ministerial which contemplates standardization and comparison of energy-related jobs data between these nations.</w:t>
      </w:r>
      <w:r w:rsidR="00EC5FCB" w:rsidRPr="00BF481B">
        <w:rPr>
          <w:color w:val="000000" w:themeColor="text1"/>
        </w:rPr>
        <w:t xml:space="preserve">  </w:t>
      </w:r>
    </w:p>
    <w:p w14:paraId="192C0D5B" w14:textId="77777777" w:rsidR="00EA0DE3" w:rsidRPr="00BF481B" w:rsidRDefault="00EA0DE3" w:rsidP="00184C46">
      <w:pPr>
        <w:rPr>
          <w:color w:val="000000" w:themeColor="text1"/>
        </w:rPr>
      </w:pPr>
    </w:p>
    <w:p w14:paraId="4A090D49" w14:textId="77777777" w:rsidR="007219BF" w:rsidRPr="00BF481B" w:rsidRDefault="00D76D7C" w:rsidP="007219BF">
      <w:pPr>
        <w:numPr>
          <w:ilvl w:val="0"/>
          <w:numId w:val="7"/>
        </w:numPr>
        <w:rPr>
          <w:b/>
          <w:color w:val="000000" w:themeColor="text1"/>
          <w:u w:val="single"/>
        </w:rPr>
      </w:pPr>
      <w:r w:rsidRPr="00BF481B">
        <w:rPr>
          <w:b/>
          <w:color w:val="000000" w:themeColor="text1"/>
          <w:u w:val="single"/>
        </w:rPr>
        <w:t xml:space="preserve">Explain any special circumstances that require the collection to be conducted in a manner inconsistent with OMB guidelines. </w:t>
      </w:r>
      <w:r w:rsidR="005377BE" w:rsidRPr="00BF481B">
        <w:rPr>
          <w:b/>
          <w:color w:val="000000" w:themeColor="text1"/>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w:t>
      </w:r>
      <w:r w:rsidR="00573E65" w:rsidRPr="00BF481B">
        <w:rPr>
          <w:b/>
          <w:color w:val="000000" w:themeColor="text1"/>
          <w:u w:val="single"/>
        </w:rPr>
        <w:t>q</w:t>
      </w:r>
      <w:r w:rsidR="005377BE" w:rsidRPr="00BF481B">
        <w:rPr>
          <w:b/>
          <w:color w:val="000000" w:themeColor="text1"/>
          <w:u w:val="single"/>
        </w:rPr>
        <w:t xml:space="preserve">(e)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BF481B">
        <w:rPr>
          <w:b/>
          <w:color w:val="000000" w:themeColor="text1"/>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84F9052" w14:textId="77777777" w:rsidR="00D76D7C" w:rsidRPr="00BF481B" w:rsidRDefault="00D76D7C" w:rsidP="00184C46">
      <w:pPr>
        <w:rPr>
          <w:b/>
          <w:color w:val="000000" w:themeColor="text1"/>
          <w:u w:val="single"/>
        </w:rPr>
      </w:pPr>
    </w:p>
    <w:p w14:paraId="7F607BB7" w14:textId="77777777" w:rsidR="00F85DA5" w:rsidRPr="00BF481B" w:rsidRDefault="00F85DA5" w:rsidP="00184C46">
      <w:pPr>
        <w:rPr>
          <w:color w:val="000000" w:themeColor="text1"/>
        </w:rPr>
      </w:pPr>
    </w:p>
    <w:p w14:paraId="33772B32" w14:textId="77777777" w:rsidR="008C0162" w:rsidRPr="00BF481B" w:rsidRDefault="00F85DA5" w:rsidP="00543939">
      <w:pPr>
        <w:rPr>
          <w:color w:val="000000" w:themeColor="text1"/>
        </w:rPr>
      </w:pPr>
      <w:r w:rsidRPr="00BF481B">
        <w:rPr>
          <w:color w:val="000000" w:themeColor="text1"/>
        </w:rPr>
        <w:t>This data will be collected in a manner c</w:t>
      </w:r>
      <w:r w:rsidR="00172A65" w:rsidRPr="00BF481B">
        <w:rPr>
          <w:color w:val="000000" w:themeColor="text1"/>
        </w:rPr>
        <w:t>onsistent with OMB guidelines and the collection</w:t>
      </w:r>
      <w:r w:rsidRPr="00BF481B">
        <w:rPr>
          <w:color w:val="000000" w:themeColor="text1"/>
        </w:rPr>
        <w:t xml:space="preserve"> instrument has been submitted to OMB for approval. </w:t>
      </w:r>
      <w:r w:rsidR="00172A65" w:rsidRPr="00BF481B">
        <w:rPr>
          <w:color w:val="000000" w:themeColor="text1"/>
        </w:rPr>
        <w:t xml:space="preserve"> </w:t>
      </w:r>
      <w:r w:rsidRPr="00BF481B">
        <w:rPr>
          <w:color w:val="000000" w:themeColor="text1"/>
        </w:rPr>
        <w:t>Data will be collected annually</w:t>
      </w:r>
      <w:r w:rsidR="00543939" w:rsidRPr="00BF481B">
        <w:rPr>
          <w:color w:val="000000" w:themeColor="text1"/>
        </w:rPr>
        <w:t xml:space="preserve"> and no exception to the OMB data collection process is being requested.</w:t>
      </w:r>
    </w:p>
    <w:p w14:paraId="7DC0DF9F" w14:textId="77777777" w:rsidR="008C0162" w:rsidRPr="00BF481B" w:rsidRDefault="008C0162" w:rsidP="00184C46"/>
    <w:p w14:paraId="6B4FDB62" w14:textId="77777777" w:rsidR="00123C4A" w:rsidRPr="00BF481B" w:rsidRDefault="00123C4A" w:rsidP="00184C46">
      <w:pPr>
        <w:numPr>
          <w:ilvl w:val="0"/>
          <w:numId w:val="7"/>
        </w:numPr>
        <w:rPr>
          <w:b/>
          <w:u w:val="single"/>
        </w:rPr>
      </w:pPr>
      <w:r w:rsidRPr="00BF481B">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BF481B">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BF481B">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BF481B">
        <w:rPr>
          <w:b/>
          <w:u w:val="single"/>
        </w:rPr>
        <w:t xml:space="preserve">   </w:t>
      </w:r>
    </w:p>
    <w:p w14:paraId="71A02BEB" w14:textId="77777777" w:rsidR="008C0162" w:rsidRPr="00BF481B" w:rsidRDefault="008C0162" w:rsidP="00184C46"/>
    <w:p w14:paraId="28C1D72D" w14:textId="77777777" w:rsidR="00EC5FCB" w:rsidRPr="00BF481B" w:rsidRDefault="00EC5FCB" w:rsidP="00184C46">
      <w:pPr>
        <w:rPr>
          <w:color w:val="FF0000"/>
        </w:rPr>
      </w:pPr>
    </w:p>
    <w:p w14:paraId="2F68961E" w14:textId="79339061" w:rsidR="00EC5FCB" w:rsidRPr="00BF481B" w:rsidRDefault="00EC5FCB" w:rsidP="00EC5FCB">
      <w:pPr>
        <w:rPr>
          <w:color w:val="000000" w:themeColor="text1"/>
        </w:rPr>
      </w:pPr>
      <w:r w:rsidRPr="00BF481B">
        <w:rPr>
          <w:color w:val="000000" w:themeColor="text1"/>
        </w:rPr>
        <w:t xml:space="preserve">The Department published a 60-day Federal Register Notice and Request for Comments concerning this collection in the Federal Register on </w:t>
      </w:r>
      <w:r w:rsidR="00C25A0B" w:rsidRPr="00BF481B">
        <w:rPr>
          <w:color w:val="000000" w:themeColor="text1"/>
        </w:rPr>
        <w:t>January 26, 2016</w:t>
      </w:r>
      <w:r w:rsidRPr="00BF481B">
        <w:rPr>
          <w:color w:val="000000" w:themeColor="text1"/>
        </w:rPr>
        <w:t xml:space="preserve">, volume </w:t>
      </w:r>
      <w:r w:rsidR="00EF11D6" w:rsidRPr="00BF481B">
        <w:rPr>
          <w:color w:val="000000" w:themeColor="text1"/>
        </w:rPr>
        <w:t>81</w:t>
      </w:r>
      <w:r w:rsidRPr="00BF481B">
        <w:rPr>
          <w:color w:val="000000" w:themeColor="text1"/>
        </w:rPr>
        <w:t xml:space="preserve">, number </w:t>
      </w:r>
      <w:r w:rsidR="00EF11D6" w:rsidRPr="00BF481B">
        <w:rPr>
          <w:color w:val="000000" w:themeColor="text1"/>
        </w:rPr>
        <w:t>16</w:t>
      </w:r>
      <w:r w:rsidRPr="00BF481B">
        <w:rPr>
          <w:color w:val="000000" w:themeColor="text1"/>
        </w:rPr>
        <w:t xml:space="preserve">, and page number </w:t>
      </w:r>
      <w:r w:rsidR="00C25A0B" w:rsidRPr="00BF481B">
        <w:rPr>
          <w:color w:val="000000" w:themeColor="text1"/>
        </w:rPr>
        <w:t>4269</w:t>
      </w:r>
      <w:r w:rsidRPr="00BF481B">
        <w:rPr>
          <w:color w:val="000000" w:themeColor="text1"/>
        </w:rPr>
        <w:t>.  The notice described the collection and invited interested parties to submit comments or recommendations regarding the collection.  Comments were received and responses were provided to commenters.  The comments and responses are included as supplementary documents.</w:t>
      </w:r>
      <w:r w:rsidR="00623B14" w:rsidRPr="00BF481B">
        <w:rPr>
          <w:color w:val="000000" w:themeColor="text1"/>
        </w:rPr>
        <w:t xml:space="preserve">   </w:t>
      </w:r>
    </w:p>
    <w:p w14:paraId="5A53BC49" w14:textId="77777777" w:rsidR="00F72E38" w:rsidRPr="00BF481B" w:rsidRDefault="00F72E38" w:rsidP="00184C46">
      <w:pPr>
        <w:rPr>
          <w:color w:val="000000" w:themeColor="text1"/>
        </w:rPr>
      </w:pPr>
    </w:p>
    <w:p w14:paraId="596B2FFC" w14:textId="77777777" w:rsidR="00123C4A" w:rsidRPr="00BF481B" w:rsidRDefault="00123C4A" w:rsidP="00184C46">
      <w:pPr>
        <w:numPr>
          <w:ilvl w:val="0"/>
          <w:numId w:val="7"/>
        </w:numPr>
        <w:rPr>
          <w:b/>
          <w:u w:val="single"/>
        </w:rPr>
      </w:pPr>
      <w:r w:rsidRPr="00BF481B">
        <w:rPr>
          <w:b/>
          <w:u w:val="single"/>
        </w:rPr>
        <w:t xml:space="preserve">Explain any decision to provide any payment or gift to respondents, other than </w:t>
      </w:r>
      <w:r w:rsidR="00BC58CD" w:rsidRPr="00BF481B">
        <w:rPr>
          <w:b/>
          <w:u w:val="single"/>
        </w:rPr>
        <w:t>remuneration</w:t>
      </w:r>
      <w:r w:rsidRPr="00BF481B">
        <w:rPr>
          <w:b/>
          <w:u w:val="single"/>
        </w:rPr>
        <w:t xml:space="preserve"> of contractors or grantees. </w:t>
      </w:r>
    </w:p>
    <w:p w14:paraId="001CACDE" w14:textId="77777777" w:rsidR="00573E65" w:rsidRPr="00BF481B" w:rsidRDefault="00573E65" w:rsidP="00184C46">
      <w:pPr>
        <w:rPr>
          <w:b/>
          <w:u w:val="single"/>
        </w:rPr>
      </w:pPr>
    </w:p>
    <w:p w14:paraId="67207DB7" w14:textId="77777777" w:rsidR="00573E65" w:rsidRPr="00BF481B" w:rsidRDefault="00573E65" w:rsidP="0009794A">
      <w:pPr>
        <w:outlineLvl w:val="0"/>
        <w:rPr>
          <w:color w:val="000000" w:themeColor="text1"/>
        </w:rPr>
      </w:pPr>
      <w:r w:rsidRPr="00BF481B">
        <w:rPr>
          <w:color w:val="000000" w:themeColor="text1"/>
        </w:rPr>
        <w:t xml:space="preserve">No payment, gift or </w:t>
      </w:r>
      <w:r w:rsidR="00BC58CD" w:rsidRPr="00BF481B">
        <w:rPr>
          <w:color w:val="000000" w:themeColor="text1"/>
        </w:rPr>
        <w:t>remuneration</w:t>
      </w:r>
      <w:r w:rsidRPr="00BF481B">
        <w:rPr>
          <w:color w:val="000000" w:themeColor="text1"/>
        </w:rPr>
        <w:t xml:space="preserve"> will be provided to respondents.</w:t>
      </w:r>
    </w:p>
    <w:p w14:paraId="6483B0BE" w14:textId="77777777" w:rsidR="002D3C67" w:rsidRPr="00BF481B" w:rsidRDefault="002D3C67" w:rsidP="00184C46"/>
    <w:p w14:paraId="2B205A64" w14:textId="77777777" w:rsidR="00123C4A" w:rsidRPr="00BF481B" w:rsidRDefault="00123C4A" w:rsidP="00184C46">
      <w:pPr>
        <w:numPr>
          <w:ilvl w:val="0"/>
          <w:numId w:val="7"/>
        </w:numPr>
        <w:rPr>
          <w:b/>
          <w:color w:val="000000" w:themeColor="text1"/>
          <w:u w:val="single"/>
        </w:rPr>
      </w:pPr>
      <w:r w:rsidRPr="00BF481B">
        <w:rPr>
          <w:b/>
          <w:u w:val="single"/>
        </w:rPr>
        <w:t xml:space="preserve">Describe any assurance of confidentiality provided to respondents and the basis for the </w:t>
      </w:r>
      <w:r w:rsidRPr="00BF481B">
        <w:rPr>
          <w:b/>
          <w:color w:val="000000" w:themeColor="text1"/>
          <w:u w:val="single"/>
        </w:rPr>
        <w:t xml:space="preserve">assurance in statute, regulation, or agency policy. </w:t>
      </w:r>
    </w:p>
    <w:p w14:paraId="1338815A" w14:textId="77777777" w:rsidR="002D3C67" w:rsidRPr="00BF481B" w:rsidRDefault="002D3C67" w:rsidP="00184C46">
      <w:pPr>
        <w:rPr>
          <w:b/>
          <w:color w:val="000000" w:themeColor="text1"/>
          <w:u w:val="single"/>
        </w:rPr>
      </w:pPr>
    </w:p>
    <w:p w14:paraId="79C7170F" w14:textId="77777777" w:rsidR="00573E65" w:rsidRPr="00BF481B" w:rsidRDefault="00573E65" w:rsidP="00184C46">
      <w:pPr>
        <w:rPr>
          <w:color w:val="000000" w:themeColor="text1"/>
        </w:rPr>
      </w:pPr>
      <w:r w:rsidRPr="00BF481B">
        <w:rPr>
          <w:color w:val="000000" w:themeColor="text1"/>
        </w:rPr>
        <w:t>Data collected</w:t>
      </w:r>
      <w:r w:rsidR="00D631F0" w:rsidRPr="00BF481B">
        <w:rPr>
          <w:color w:val="000000" w:themeColor="text1"/>
        </w:rPr>
        <w:t xml:space="preserve"> will be protected</w:t>
      </w:r>
      <w:r w:rsidRPr="00BF481B">
        <w:rPr>
          <w:color w:val="000000" w:themeColor="text1"/>
        </w:rPr>
        <w:t xml:space="preserve"> under the Confidential Information Protection and Statistical Efficiency Act (CIPSEA) of 2002, which </w:t>
      </w:r>
      <w:r w:rsidR="009E2EC7" w:rsidRPr="00BF481B">
        <w:rPr>
          <w:color w:val="000000" w:themeColor="text1"/>
        </w:rPr>
        <w:t>allows</w:t>
      </w:r>
      <w:r w:rsidRPr="00BF481B">
        <w:rPr>
          <w:color w:val="000000" w:themeColor="text1"/>
        </w:rPr>
        <w:t xml:space="preserve"> and requires the U.S. Department of Energy and its agents to protect </w:t>
      </w:r>
      <w:r w:rsidR="009E2EC7" w:rsidRPr="00BF481B">
        <w:rPr>
          <w:color w:val="000000" w:themeColor="text1"/>
        </w:rPr>
        <w:t>identifiable</w:t>
      </w:r>
      <w:r w:rsidRPr="00BF481B">
        <w:rPr>
          <w:color w:val="000000" w:themeColor="text1"/>
        </w:rPr>
        <w:t xml:space="preserve"> data from disclosure or release to unauthori</w:t>
      </w:r>
      <w:r w:rsidR="009E2EC7" w:rsidRPr="00BF481B">
        <w:rPr>
          <w:color w:val="000000" w:themeColor="text1"/>
        </w:rPr>
        <w:t>zed parties for non-statis</w:t>
      </w:r>
      <w:r w:rsidR="00DD4DBC" w:rsidRPr="00BF481B">
        <w:rPr>
          <w:color w:val="000000" w:themeColor="text1"/>
        </w:rPr>
        <w:t>ti</w:t>
      </w:r>
      <w:r w:rsidR="009E2EC7" w:rsidRPr="00BF481B">
        <w:rPr>
          <w:color w:val="000000" w:themeColor="text1"/>
        </w:rPr>
        <w:t xml:space="preserve">cal purposes. Therefore, as an integral part of the task, the </w:t>
      </w:r>
      <w:r w:rsidR="00B864D3">
        <w:rPr>
          <w:color w:val="000000" w:themeColor="text1"/>
        </w:rPr>
        <w:t>Department of Energy</w:t>
      </w:r>
      <w:r w:rsidR="009E2EC7" w:rsidRPr="00BF481B">
        <w:rPr>
          <w:color w:val="000000" w:themeColor="text1"/>
        </w:rPr>
        <w:t xml:space="preserve"> shall </w:t>
      </w:r>
      <w:r w:rsidR="00386CD3" w:rsidRPr="00BF481B">
        <w:rPr>
          <w:color w:val="000000" w:themeColor="text1"/>
        </w:rPr>
        <w:t xml:space="preserve">maintain </w:t>
      </w:r>
      <w:r w:rsidR="009E2EC7" w:rsidRPr="00BF481B">
        <w:rPr>
          <w:color w:val="000000" w:themeColor="text1"/>
        </w:rPr>
        <w:t xml:space="preserve">confidentiality of the data at all times and provide CIPSEA training and certification for all </w:t>
      </w:r>
      <w:r w:rsidR="00B864D3">
        <w:rPr>
          <w:color w:val="000000" w:themeColor="text1"/>
        </w:rPr>
        <w:t>DOE</w:t>
      </w:r>
      <w:r w:rsidR="009E2EC7" w:rsidRPr="00BF481B">
        <w:rPr>
          <w:color w:val="000000" w:themeColor="text1"/>
        </w:rPr>
        <w:t xml:space="preserve"> staff.</w:t>
      </w:r>
    </w:p>
    <w:p w14:paraId="65CC9195" w14:textId="77777777" w:rsidR="00914380" w:rsidRPr="00BF481B" w:rsidRDefault="00914380" w:rsidP="00184C46">
      <w:pPr>
        <w:rPr>
          <w:color w:val="000000" w:themeColor="text1"/>
        </w:rPr>
      </w:pPr>
    </w:p>
    <w:p w14:paraId="73F9FA23" w14:textId="77777777" w:rsidR="00914380" w:rsidRPr="00BF481B" w:rsidRDefault="00914380" w:rsidP="00184C46">
      <w:pPr>
        <w:rPr>
          <w:color w:val="000000" w:themeColor="text1"/>
        </w:rPr>
      </w:pPr>
      <w:r w:rsidRPr="00BF481B">
        <w:rPr>
          <w:color w:val="000000" w:themeColor="text1"/>
        </w:rPr>
        <w:t xml:space="preserve">The </w:t>
      </w:r>
      <w:r w:rsidR="00B864D3">
        <w:rPr>
          <w:color w:val="000000" w:themeColor="text1"/>
        </w:rPr>
        <w:t xml:space="preserve">Department of Energy in </w:t>
      </w:r>
      <w:r w:rsidRPr="00BF481B">
        <w:rPr>
          <w:color w:val="000000" w:themeColor="text1"/>
        </w:rPr>
        <w:t xml:space="preserve">collecting data </w:t>
      </w:r>
      <w:r w:rsidR="00BC58CD" w:rsidRPr="00BF481B">
        <w:rPr>
          <w:color w:val="000000" w:themeColor="text1"/>
        </w:rPr>
        <w:t xml:space="preserve">is expected to </w:t>
      </w:r>
      <w:r w:rsidRPr="00BF481B">
        <w:rPr>
          <w:color w:val="000000" w:themeColor="text1"/>
        </w:rPr>
        <w:t>conduct all activities in a manner consistent with Federal and agency data confidentiality provisions and will ensure safeguards and appropriate measures to protect data confidentiality are implemented at each stage of the data collection and processing life cycle.</w:t>
      </w:r>
    </w:p>
    <w:p w14:paraId="57FDF7F7" w14:textId="77777777" w:rsidR="009E2EC7" w:rsidRPr="00BF481B" w:rsidRDefault="009E2EC7" w:rsidP="00184C46">
      <w:pPr>
        <w:rPr>
          <w:color w:val="FF0000"/>
        </w:rPr>
      </w:pPr>
    </w:p>
    <w:p w14:paraId="451EA442" w14:textId="77777777" w:rsidR="002D3C67" w:rsidRPr="00BF481B" w:rsidRDefault="002D3C67" w:rsidP="00184C46"/>
    <w:p w14:paraId="43905689" w14:textId="77777777" w:rsidR="00123C4A" w:rsidRPr="00BF481B" w:rsidRDefault="00123C4A" w:rsidP="00184C46">
      <w:pPr>
        <w:numPr>
          <w:ilvl w:val="0"/>
          <w:numId w:val="7"/>
        </w:numPr>
        <w:rPr>
          <w:b/>
          <w:u w:val="single"/>
        </w:rPr>
      </w:pPr>
      <w:r w:rsidRPr="00BF481B">
        <w:rPr>
          <w:b/>
          <w:u w:val="single"/>
        </w:rPr>
        <w:t>Provide additional justification for any questions of a sensitive nature, such as sexual behavior and attitudes, religious beliefs, and other matters that are commonly considered private.</w:t>
      </w:r>
      <w:r w:rsidR="00007B0C" w:rsidRPr="00BF481B">
        <w:rPr>
          <w:b/>
          <w:u w:val="single"/>
        </w:rPr>
        <w:t xml:space="preserve">  This justification should include the reasons why DOE considers the questions necessary, the specific uses</w:t>
      </w:r>
      <w:r w:rsidR="00914380" w:rsidRPr="00BF481B">
        <w:rPr>
          <w:b/>
          <w:u w:val="single"/>
        </w:rPr>
        <w:t xml:space="preserve"> to be made of the information,</w:t>
      </w:r>
      <w:r w:rsidR="00007B0C" w:rsidRPr="00BF481B">
        <w:rPr>
          <w:b/>
          <w:u w:val="single"/>
        </w:rPr>
        <w:t xml:space="preserve"> the explanation to be given to persons from whom the information is requested, and any steps to be taken to obtain their consent.</w:t>
      </w:r>
    </w:p>
    <w:p w14:paraId="1354A874" w14:textId="77777777" w:rsidR="002D3C67" w:rsidRPr="00BF481B" w:rsidRDefault="002D3C67" w:rsidP="00184C46"/>
    <w:p w14:paraId="31CF2616" w14:textId="77777777" w:rsidR="002D3C67" w:rsidRPr="00BF481B" w:rsidRDefault="002D3C67" w:rsidP="00184C46">
      <w:pPr>
        <w:rPr>
          <w:color w:val="FF0000"/>
        </w:rPr>
      </w:pPr>
    </w:p>
    <w:p w14:paraId="76422249" w14:textId="30677C6B" w:rsidR="00B82CF9" w:rsidRDefault="00D631F0" w:rsidP="008548EB">
      <w:r w:rsidRPr="008548EB">
        <w:rPr>
          <w:color w:val="000000" w:themeColor="text1"/>
        </w:rPr>
        <w:t>A focus</w:t>
      </w:r>
      <w:r w:rsidR="00382E88" w:rsidRPr="008548EB">
        <w:rPr>
          <w:color w:val="000000" w:themeColor="text1"/>
        </w:rPr>
        <w:t xml:space="preserve"> of the Energy Jobs Strategy Council is to create a more inclusive energy workforce and </w:t>
      </w:r>
      <w:r w:rsidRPr="008548EB">
        <w:rPr>
          <w:color w:val="000000" w:themeColor="text1"/>
        </w:rPr>
        <w:t>take steps</w:t>
      </w:r>
      <w:r w:rsidR="00382E88" w:rsidRPr="008548EB">
        <w:rPr>
          <w:rFonts w:eastAsia="MS PGothic"/>
          <w:bCs/>
          <w:color w:val="000000" w:themeColor="text1"/>
          <w:kern w:val="24"/>
        </w:rPr>
        <w:t xml:space="preserve"> to overcome barriers faced by disadvantaged individuals in </w:t>
      </w:r>
      <w:r w:rsidR="00382E88" w:rsidRPr="00DC7DA5">
        <w:rPr>
          <w:rFonts w:eastAsia="MS PGothic"/>
          <w:bCs/>
          <w:kern w:val="24"/>
        </w:rPr>
        <w:t>accessing opportunities in energy industries.</w:t>
      </w:r>
      <w:r w:rsidR="00382E88" w:rsidRPr="00B82CF9">
        <w:t xml:space="preserve">  </w:t>
      </w:r>
      <w:r w:rsidR="00613550" w:rsidRPr="00B82CF9">
        <w:t xml:space="preserve">The survey instrument seeks to </w:t>
      </w:r>
      <w:r w:rsidR="00CA0704" w:rsidRPr="00B82CF9">
        <w:t>gather</w:t>
      </w:r>
      <w:r w:rsidR="00613550" w:rsidRPr="00B82CF9">
        <w:t xml:space="preserve"> demographic information </w:t>
      </w:r>
      <w:r w:rsidR="00CA0704" w:rsidRPr="00B82CF9">
        <w:t>including</w:t>
      </w:r>
      <w:r w:rsidR="00613550" w:rsidRPr="00B82CF9">
        <w:t xml:space="preserve"> gender</w:t>
      </w:r>
      <w:r w:rsidR="00382E88" w:rsidRPr="00B82CF9">
        <w:t>, race</w:t>
      </w:r>
      <w:r w:rsidR="009A2575" w:rsidRPr="00B82CF9">
        <w:t xml:space="preserve"> </w:t>
      </w:r>
      <w:r w:rsidR="00465385" w:rsidRPr="00B82CF9">
        <w:t>and ethnicity</w:t>
      </w:r>
      <w:r w:rsidR="00CA0704" w:rsidRPr="00B82CF9">
        <w:t xml:space="preserve">, veteran’s status and union membership.  </w:t>
      </w:r>
    </w:p>
    <w:p w14:paraId="61982CED" w14:textId="77777777" w:rsidR="003300C3" w:rsidRDefault="003300C3" w:rsidP="003300C3"/>
    <w:p w14:paraId="32F0F949" w14:textId="77777777" w:rsidR="003300C3" w:rsidRPr="00B82CF9" w:rsidRDefault="003300C3" w:rsidP="003300C3">
      <w:r w:rsidRPr="00B82CF9">
        <w:t>After the data on race and ethnicity are collected, any DOE reporting of this information will include the number of respondents in each racial category who are Hispanic and Latino.  In addition, when the data is reported in aggregate form, DOE will present the number of respondents who selected only one category, separately for each of the five racial categories.  DOE will provide the detailed distributions, including all possible combinations, of multiple responses to the race question.  If the collected data on multiple responses are collapsed when reported, at a minimum the total number of respondents reporting “more than one race” shall be made available.</w:t>
      </w:r>
    </w:p>
    <w:p w14:paraId="6CFCA273" w14:textId="77777777" w:rsidR="003300C3" w:rsidRPr="00DC7DA5" w:rsidRDefault="003300C3" w:rsidP="008548EB">
      <w:pPr>
        <w:rPr>
          <w:sz w:val="22"/>
          <w:szCs w:val="22"/>
        </w:rPr>
      </w:pPr>
    </w:p>
    <w:p w14:paraId="6445A6BF" w14:textId="77777777" w:rsidR="00465385" w:rsidRPr="00BF481B" w:rsidRDefault="00895EAA" w:rsidP="00382E88">
      <w:pPr>
        <w:textAlignment w:val="baseline"/>
        <w:rPr>
          <w:color w:val="000000" w:themeColor="text1"/>
        </w:rPr>
      </w:pPr>
      <w:r w:rsidRPr="00BF481B">
        <w:rPr>
          <w:color w:val="000000" w:themeColor="text1"/>
        </w:rPr>
        <w:t xml:space="preserve">The reasons for exploring these areas is to better understand the </w:t>
      </w:r>
      <w:r w:rsidR="009A2575" w:rsidRPr="00BF481B">
        <w:rPr>
          <w:color w:val="000000" w:themeColor="text1"/>
        </w:rPr>
        <w:t>demographics</w:t>
      </w:r>
      <w:r w:rsidRPr="00BF481B">
        <w:rPr>
          <w:color w:val="000000" w:themeColor="text1"/>
        </w:rPr>
        <w:t xml:space="preserve"> of the workforce supporting energy industries compared to</w:t>
      </w:r>
      <w:r w:rsidR="00CA0704" w:rsidRPr="00BF481B">
        <w:rPr>
          <w:color w:val="000000" w:themeColor="text1"/>
        </w:rPr>
        <w:t xml:space="preserve"> the overall national workforce.  Collected data will also </w:t>
      </w:r>
      <w:r w:rsidR="009A2575" w:rsidRPr="00BF481B">
        <w:rPr>
          <w:color w:val="000000" w:themeColor="text1"/>
        </w:rPr>
        <w:t>i</w:t>
      </w:r>
      <w:r w:rsidR="00CA0704" w:rsidRPr="00BF481B">
        <w:rPr>
          <w:color w:val="000000" w:themeColor="text1"/>
        </w:rPr>
        <w:t xml:space="preserve">nform strategies around </w:t>
      </w:r>
      <w:r w:rsidR="00465385" w:rsidRPr="00BF481B">
        <w:rPr>
          <w:color w:val="000000" w:themeColor="text1"/>
        </w:rPr>
        <w:t xml:space="preserve">identifying barriers </w:t>
      </w:r>
      <w:r w:rsidR="009A2575" w:rsidRPr="00BF481B">
        <w:rPr>
          <w:color w:val="000000" w:themeColor="text1"/>
        </w:rPr>
        <w:t>that have prevented individuals, including</w:t>
      </w:r>
      <w:r w:rsidR="00202E47" w:rsidRPr="00BF481B">
        <w:rPr>
          <w:color w:val="000000" w:themeColor="text1"/>
        </w:rPr>
        <w:t xml:space="preserve"> individuals from</w:t>
      </w:r>
      <w:r w:rsidR="009A2575" w:rsidRPr="00BF481B">
        <w:rPr>
          <w:color w:val="000000" w:themeColor="text1"/>
        </w:rPr>
        <w:t xml:space="preserve"> historically disadvantaged and tribal communities</w:t>
      </w:r>
      <w:r w:rsidR="00202E47" w:rsidRPr="00BF481B">
        <w:rPr>
          <w:color w:val="000000" w:themeColor="text1"/>
        </w:rPr>
        <w:t xml:space="preserve">, from participating in current and future </w:t>
      </w:r>
      <w:r w:rsidR="009A2575" w:rsidRPr="00BF481B">
        <w:rPr>
          <w:color w:val="000000" w:themeColor="text1"/>
        </w:rPr>
        <w:t xml:space="preserve">energy industry </w:t>
      </w:r>
      <w:r w:rsidR="00202E47" w:rsidRPr="00BF481B">
        <w:rPr>
          <w:color w:val="000000" w:themeColor="text1"/>
        </w:rPr>
        <w:t xml:space="preserve">jobs </w:t>
      </w:r>
      <w:r w:rsidR="009A2575" w:rsidRPr="00BF481B">
        <w:rPr>
          <w:color w:val="000000" w:themeColor="text1"/>
        </w:rPr>
        <w:t>and to develop</w:t>
      </w:r>
      <w:r w:rsidR="00465385" w:rsidRPr="00BF481B">
        <w:rPr>
          <w:color w:val="000000" w:themeColor="text1"/>
        </w:rPr>
        <w:t xml:space="preserve"> potential strategies to eliminate or minimize these barriers.  </w:t>
      </w:r>
    </w:p>
    <w:p w14:paraId="5F1ADF20" w14:textId="77777777" w:rsidR="00465385" w:rsidRPr="00BF481B" w:rsidRDefault="00465385" w:rsidP="00382E88">
      <w:pPr>
        <w:textAlignment w:val="baseline"/>
        <w:rPr>
          <w:color w:val="FF0000"/>
        </w:rPr>
      </w:pPr>
    </w:p>
    <w:p w14:paraId="24EEC47D" w14:textId="77777777" w:rsidR="00123C4A" w:rsidRPr="00BF481B" w:rsidRDefault="00123C4A" w:rsidP="00184C46">
      <w:pPr>
        <w:numPr>
          <w:ilvl w:val="0"/>
          <w:numId w:val="7"/>
        </w:numPr>
        <w:rPr>
          <w:b/>
          <w:u w:val="single"/>
        </w:rPr>
      </w:pPr>
      <w:r w:rsidRPr="00BF481B">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BF481B">
        <w:rPr>
          <w:b/>
          <w:u w:val="single"/>
        </w:rPr>
        <w:t xml:space="preserve">  Unless directed to do so, DOE should not conduct special surveys to obtain information on which to base hour burden estimates</w:t>
      </w:r>
      <w:r w:rsidR="00A75A64" w:rsidRPr="00BF481B">
        <w:rPr>
          <w:b/>
          <w:u w:val="single"/>
        </w:rPr>
        <w:t>.  Consultation with a sample</w:t>
      </w:r>
      <w:r w:rsidR="00C91A2A" w:rsidRPr="00BF481B">
        <w:rPr>
          <w:b/>
          <w:u w:val="single"/>
        </w:rPr>
        <w:t xml:space="preserve"> fewer than 10 potential respondents is desirable. </w:t>
      </w:r>
    </w:p>
    <w:p w14:paraId="76F4BE88" w14:textId="77777777" w:rsidR="00EF11D6" w:rsidRPr="00BF481B" w:rsidRDefault="00EF11D6" w:rsidP="00BF481B">
      <w:pPr>
        <w:ind w:left="360"/>
        <w:rPr>
          <w:b/>
          <w:u w:val="single"/>
        </w:rPr>
      </w:pPr>
    </w:p>
    <w:p w14:paraId="263E606B" w14:textId="77777777" w:rsidR="00E821CD" w:rsidRPr="00BF481B" w:rsidRDefault="00E821CD" w:rsidP="0009794A">
      <w:pPr>
        <w:outlineLvl w:val="0"/>
        <w:rPr>
          <w:color w:val="000000" w:themeColor="text1"/>
        </w:rPr>
      </w:pPr>
      <w:r w:rsidRPr="00BF481B">
        <w:rPr>
          <w:color w:val="000000" w:themeColor="text1"/>
        </w:rPr>
        <w:t>Total number of unduplicated respondents: 30,000</w:t>
      </w:r>
    </w:p>
    <w:p w14:paraId="4205A9D6" w14:textId="77777777" w:rsidR="00E821CD" w:rsidRPr="00BF481B" w:rsidRDefault="00E821CD" w:rsidP="00E821CD">
      <w:pPr>
        <w:rPr>
          <w:color w:val="000000" w:themeColor="text1"/>
        </w:rPr>
      </w:pPr>
      <w:r w:rsidRPr="00BF481B">
        <w:rPr>
          <w:color w:val="000000" w:themeColor="text1"/>
        </w:rPr>
        <w:t>Reports filed per person: 1</w:t>
      </w:r>
    </w:p>
    <w:p w14:paraId="6E513CB9" w14:textId="77777777" w:rsidR="00E821CD" w:rsidRPr="00BF481B" w:rsidRDefault="00E821CD" w:rsidP="00E821CD">
      <w:pPr>
        <w:rPr>
          <w:color w:val="000000" w:themeColor="text1"/>
        </w:rPr>
      </w:pPr>
      <w:r w:rsidRPr="00BF481B">
        <w:rPr>
          <w:color w:val="000000" w:themeColor="text1"/>
        </w:rPr>
        <w:t xml:space="preserve">Total annual responses: 30,000 </w:t>
      </w:r>
    </w:p>
    <w:p w14:paraId="3D937813" w14:textId="77777777" w:rsidR="00E821CD" w:rsidRPr="00BF481B" w:rsidRDefault="00E821CD" w:rsidP="00E821CD">
      <w:pPr>
        <w:rPr>
          <w:color w:val="000000" w:themeColor="text1"/>
        </w:rPr>
      </w:pPr>
      <w:r w:rsidRPr="00BF481B">
        <w:rPr>
          <w:color w:val="000000" w:themeColor="text1"/>
        </w:rPr>
        <w:t xml:space="preserve">Total annual burden hours: </w:t>
      </w:r>
      <w:r w:rsidR="002329CE">
        <w:rPr>
          <w:color w:val="000000" w:themeColor="text1"/>
        </w:rPr>
        <w:t>3,2</w:t>
      </w:r>
      <w:r w:rsidR="001A1097">
        <w:rPr>
          <w:color w:val="000000" w:themeColor="text1"/>
        </w:rPr>
        <w:t>10</w:t>
      </w:r>
    </w:p>
    <w:p w14:paraId="5D7235E9" w14:textId="77777777" w:rsidR="00E821CD" w:rsidRPr="00BF481B" w:rsidRDefault="00E821CD" w:rsidP="00E821CD">
      <w:pPr>
        <w:rPr>
          <w:color w:val="000000" w:themeColor="text1"/>
        </w:rPr>
      </w:pPr>
    </w:p>
    <w:p w14:paraId="018B10A7" w14:textId="77777777" w:rsidR="0048041E" w:rsidRPr="00BF481B" w:rsidRDefault="00E821CD" w:rsidP="00E821CD">
      <w:pPr>
        <w:rPr>
          <w:color w:val="000000" w:themeColor="text1"/>
        </w:rPr>
      </w:pPr>
      <w:r w:rsidRPr="00BF481B">
        <w:rPr>
          <w:color w:val="000000" w:themeColor="text1"/>
        </w:rPr>
        <w:t xml:space="preserve">Average Burden </w:t>
      </w:r>
      <w:r w:rsidRPr="00BF481B">
        <w:rPr>
          <w:color w:val="000000" w:themeColor="text1"/>
        </w:rPr>
        <w:tab/>
        <w:t>Per Collection</w:t>
      </w:r>
      <w:r w:rsidR="00BF481B" w:rsidRPr="00BF481B">
        <w:rPr>
          <w:color w:val="000000" w:themeColor="text1"/>
        </w:rPr>
        <w:t xml:space="preserve">: </w:t>
      </w:r>
      <w:r w:rsidR="002329CE">
        <w:rPr>
          <w:color w:val="000000" w:themeColor="text1"/>
        </w:rPr>
        <w:t>6.4</w:t>
      </w:r>
      <w:r w:rsidR="003F6BD5" w:rsidRPr="00BF481B">
        <w:rPr>
          <w:color w:val="000000" w:themeColor="text1"/>
        </w:rPr>
        <w:t>2 minutes</w:t>
      </w:r>
    </w:p>
    <w:p w14:paraId="4F0A8473" w14:textId="77777777" w:rsidR="00E821CD" w:rsidRPr="00BF481B" w:rsidRDefault="00E821CD" w:rsidP="0009794A">
      <w:pPr>
        <w:ind w:left="1440" w:firstLine="720"/>
        <w:outlineLvl w:val="0"/>
        <w:rPr>
          <w:color w:val="000000" w:themeColor="text1"/>
        </w:rPr>
      </w:pPr>
      <w:r w:rsidRPr="00BF481B">
        <w:rPr>
          <w:color w:val="000000" w:themeColor="text1"/>
        </w:rPr>
        <w:t xml:space="preserve">Per Applicants: </w:t>
      </w:r>
      <w:r w:rsidR="002329CE">
        <w:rPr>
          <w:color w:val="000000" w:themeColor="text1"/>
        </w:rPr>
        <w:t>6.4</w:t>
      </w:r>
      <w:r w:rsidR="00BF481B">
        <w:rPr>
          <w:color w:val="000000" w:themeColor="text1"/>
        </w:rPr>
        <w:t>2 minutes</w:t>
      </w:r>
    </w:p>
    <w:p w14:paraId="618808F1" w14:textId="77777777" w:rsidR="00BF481B" w:rsidRDefault="00BF481B" w:rsidP="00E821CD">
      <w:pPr>
        <w:rPr>
          <w:color w:val="000000" w:themeColor="text1"/>
        </w:rPr>
      </w:pPr>
    </w:p>
    <w:p w14:paraId="3ACBF0B3" w14:textId="77777777" w:rsidR="00E821CD" w:rsidRDefault="00E821CD" w:rsidP="00E821CD">
      <w:pPr>
        <w:rPr>
          <w:color w:val="000000" w:themeColor="text1"/>
        </w:rPr>
      </w:pPr>
      <w:r w:rsidRPr="00BF481B">
        <w:rPr>
          <w:color w:val="000000" w:themeColor="text1"/>
        </w:rPr>
        <w:t>Burden calculation is based on 19 previous similar surveys conducted for states or the private sector with substantially similar instruments and sampling plans.</w:t>
      </w:r>
    </w:p>
    <w:p w14:paraId="3CDDD320" w14:textId="77777777" w:rsidR="00607F7F" w:rsidRDefault="00607F7F" w:rsidP="00E821CD">
      <w:pPr>
        <w:rPr>
          <w:color w:val="000000" w:themeColor="text1"/>
        </w:rPr>
      </w:pPr>
    </w:p>
    <w:p w14:paraId="24F95322" w14:textId="77777777" w:rsidR="00F62461" w:rsidRDefault="000C13A9" w:rsidP="000C13A9">
      <w:pPr>
        <w:spacing w:after="240"/>
      </w:pPr>
      <w:r>
        <w:t xml:space="preserve">Here are the assumptions made regarding the 6.42 minute per response burden for this information collection.  </w:t>
      </w:r>
    </w:p>
    <w:p w14:paraId="0BF71765" w14:textId="77777777" w:rsidR="00F62461" w:rsidRDefault="000C13A9" w:rsidP="000C5175">
      <w:pPr>
        <w:pStyle w:val="ListParagraph"/>
        <w:numPr>
          <w:ilvl w:val="0"/>
          <w:numId w:val="26"/>
        </w:numPr>
        <w:spacing w:after="240"/>
      </w:pPr>
      <w:r>
        <w:t xml:space="preserve">20,000 </w:t>
      </w:r>
      <w:r w:rsidR="00F62461">
        <w:t xml:space="preserve">responses </w:t>
      </w:r>
      <w:r>
        <w:t xml:space="preserve">are </w:t>
      </w:r>
      <w:r w:rsidR="00F62461">
        <w:t xml:space="preserve">expected from </w:t>
      </w:r>
      <w:r>
        <w:t xml:space="preserve">companies that </w:t>
      </w:r>
      <w:r w:rsidR="00F62461">
        <w:t xml:space="preserve">are not expected to </w:t>
      </w:r>
      <w:r>
        <w:t xml:space="preserve">qualify for the survey or otherwise </w:t>
      </w:r>
      <w:r w:rsidR="00F62461">
        <w:t xml:space="preserve">will be </w:t>
      </w:r>
      <w:r>
        <w:t>screen</w:t>
      </w:r>
      <w:r w:rsidR="00F62461">
        <w:t>ed</w:t>
      </w:r>
      <w:r>
        <w:t xml:space="preserve"> out </w:t>
      </w:r>
      <w:r w:rsidR="00F62461">
        <w:t>due to not working on any energy technologies surveyed.  The average burden for filling out the survey based on p</w:t>
      </w:r>
      <w:r>
        <w:t>rior non-federal data collection average</w:t>
      </w:r>
      <w:r w:rsidR="00F62461">
        <w:t xml:space="preserve">s is </w:t>
      </w:r>
      <w:r>
        <w:t>1.23 minutes</w:t>
      </w:r>
      <w:r w:rsidR="00F62461">
        <w:t xml:space="preserve"> for both phone interviews and online surveys.  This equates to </w:t>
      </w:r>
      <w:r>
        <w:t xml:space="preserve">10 hours </w:t>
      </w:r>
      <w:r w:rsidR="00F62461">
        <w:t>of total burden across 20,000 respondents</w:t>
      </w:r>
      <w:r>
        <w:t>.</w:t>
      </w:r>
    </w:p>
    <w:p w14:paraId="21494194" w14:textId="77777777" w:rsidR="000C13A9" w:rsidRDefault="000C13A9" w:rsidP="000C5175">
      <w:pPr>
        <w:pStyle w:val="ListParagraph"/>
        <w:numPr>
          <w:ilvl w:val="0"/>
          <w:numId w:val="26"/>
        </w:numPr>
        <w:spacing w:after="240"/>
      </w:pPr>
      <w:r>
        <w:t xml:space="preserve">10,000 </w:t>
      </w:r>
      <w:r w:rsidR="00F62461">
        <w:t xml:space="preserve">responses </w:t>
      </w:r>
      <w:r>
        <w:t xml:space="preserve">are </w:t>
      </w:r>
      <w:r w:rsidR="00F62461">
        <w:t>expected from compa</w:t>
      </w:r>
      <w:r>
        <w:t>nies that qualify for and agree to take the survey.</w:t>
      </w:r>
      <w:r w:rsidR="00F62461">
        <w:t xml:space="preserve">  Of these companies, 88 percent (8,800) are expected to be from</w:t>
      </w:r>
      <w:r>
        <w:t xml:space="preserve"> businesses with under 100 employees with an average response</w:t>
      </w:r>
      <w:r w:rsidR="00F62461">
        <w:t xml:space="preserve"> of 15 minutes per response, which equates to</w:t>
      </w:r>
      <w:r>
        <w:t xml:space="preserve"> 2,200 hours.</w:t>
      </w:r>
      <w:r w:rsidR="00F62461">
        <w:t xml:space="preserve">  Twelve percent of these companies (</w:t>
      </w:r>
      <w:r>
        <w:t>1,200</w:t>
      </w:r>
      <w:r w:rsidR="00F62461">
        <w:t xml:space="preserve">) are in 100+ employee company size and are expected to have </w:t>
      </w:r>
      <w:r>
        <w:t>an average response time of 30 min</w:t>
      </w:r>
      <w:r w:rsidR="00F62461">
        <w:t xml:space="preserve">utes for total burden of </w:t>
      </w:r>
      <w:r>
        <w:t>600 hours.</w:t>
      </w:r>
    </w:p>
    <w:p w14:paraId="126593F9" w14:textId="77777777" w:rsidR="000C13A9" w:rsidRDefault="000C13A9" w:rsidP="000C13A9">
      <w:pPr>
        <w:spacing w:after="240"/>
      </w:pPr>
      <w:r>
        <w:t>Therefore, the calculation is Short Completions (410h) + Long SME Completion (2,200h) + Long LE</w:t>
      </w:r>
      <w:r w:rsidR="00D70D34">
        <w:t xml:space="preserve"> Completion (600) = 3,210 hours for 30,000 respondents.  </w:t>
      </w:r>
    </w:p>
    <w:p w14:paraId="07BE65D9" w14:textId="77777777" w:rsidR="00607F7F" w:rsidRDefault="00607F7F" w:rsidP="000C5175">
      <w:pPr>
        <w:spacing w:after="240"/>
      </w:pPr>
    </w:p>
    <w:p w14:paraId="2E55FD9D" w14:textId="77777777" w:rsidR="00607F7F" w:rsidRPr="00BF481B" w:rsidRDefault="00607F7F" w:rsidP="00E821CD">
      <w:pPr>
        <w:rPr>
          <w:color w:val="000000" w:themeColor="text1"/>
        </w:rPr>
      </w:pPr>
    </w:p>
    <w:p w14:paraId="33EF4A53" w14:textId="77777777" w:rsidR="00822F33" w:rsidRPr="00BF481B" w:rsidRDefault="00822F33" w:rsidP="00184C46"/>
    <w:p w14:paraId="7E032744" w14:textId="77777777" w:rsidR="00950881" w:rsidRPr="00BF481B" w:rsidRDefault="00950881" w:rsidP="00184C46"/>
    <w:p w14:paraId="5A066917" w14:textId="77777777" w:rsidR="00123C4A" w:rsidRPr="00BF481B" w:rsidRDefault="00123C4A" w:rsidP="00184C46">
      <w:pPr>
        <w:numPr>
          <w:ilvl w:val="0"/>
          <w:numId w:val="7"/>
        </w:numPr>
        <w:rPr>
          <w:b/>
          <w:u w:val="single"/>
        </w:rPr>
      </w:pPr>
      <w:r w:rsidRPr="00BF481B">
        <w:rPr>
          <w:b/>
          <w:u w:val="single"/>
        </w:rPr>
        <w:t>Provide an estimate for the total annual cost burden to respondents or recordkeepers resulting from the</w:t>
      </w:r>
      <w:r w:rsidR="00950881" w:rsidRPr="00BF481B">
        <w:rPr>
          <w:b/>
          <w:u w:val="single"/>
        </w:rPr>
        <w:t xml:space="preserve"> </w:t>
      </w:r>
      <w:r w:rsidRPr="00BF481B">
        <w:rPr>
          <w:b/>
          <w:u w:val="single"/>
        </w:rPr>
        <w:t xml:space="preserve">collection of information.  </w:t>
      </w:r>
    </w:p>
    <w:p w14:paraId="42FA8E44" w14:textId="77777777" w:rsidR="007800A2" w:rsidRPr="00BF481B" w:rsidRDefault="007800A2" w:rsidP="00184C46">
      <w:pPr>
        <w:rPr>
          <w:color w:val="FF0000"/>
        </w:rPr>
      </w:pPr>
    </w:p>
    <w:p w14:paraId="08E9AFED" w14:textId="66E36195" w:rsidR="00CB4894" w:rsidRDefault="007800A2" w:rsidP="00184C46">
      <w:pPr>
        <w:rPr>
          <w:color w:val="000000" w:themeColor="text1"/>
        </w:rPr>
      </w:pPr>
      <w:r w:rsidRPr="00BF481B">
        <w:rPr>
          <w:color w:val="000000" w:themeColor="text1"/>
        </w:rPr>
        <w:t xml:space="preserve">We estimate that </w:t>
      </w:r>
      <w:r w:rsidR="00355FBF">
        <w:rPr>
          <w:color w:val="000000" w:themeColor="text1"/>
        </w:rPr>
        <w:t xml:space="preserve">it </w:t>
      </w:r>
      <w:r w:rsidRPr="00BF481B">
        <w:rPr>
          <w:color w:val="000000" w:themeColor="text1"/>
        </w:rPr>
        <w:t xml:space="preserve">should take approximately </w:t>
      </w:r>
      <w:r w:rsidR="00AA254A">
        <w:rPr>
          <w:color w:val="000000" w:themeColor="text1"/>
        </w:rPr>
        <w:t>6.42 minutes</w:t>
      </w:r>
      <w:r w:rsidR="00CB4894">
        <w:rPr>
          <w:color w:val="000000" w:themeColor="text1"/>
        </w:rPr>
        <w:t xml:space="preserve"> on average for each respondent to complete the survey. We assume that the survey will be </w:t>
      </w:r>
      <w:r w:rsidR="000C5175">
        <w:rPr>
          <w:color w:val="000000" w:themeColor="text1"/>
        </w:rPr>
        <w:t>completed</w:t>
      </w:r>
      <w:r w:rsidR="00CB4894">
        <w:rPr>
          <w:color w:val="000000" w:themeColor="text1"/>
        </w:rPr>
        <w:t xml:space="preserve"> by human resource</w:t>
      </w:r>
      <w:r w:rsidR="00355FBF">
        <w:rPr>
          <w:color w:val="000000" w:themeColor="text1"/>
        </w:rPr>
        <w:t>s</w:t>
      </w:r>
      <w:r w:rsidR="00CB4894">
        <w:rPr>
          <w:color w:val="000000" w:themeColor="text1"/>
        </w:rPr>
        <w:t xml:space="preserve"> managers </w:t>
      </w:r>
      <w:r w:rsidR="00355FBF">
        <w:rPr>
          <w:color w:val="000000" w:themeColor="text1"/>
        </w:rPr>
        <w:t>with a per mean wage of $69.56 per hour; chief execut</w:t>
      </w:r>
      <w:r w:rsidR="000C5175">
        <w:rPr>
          <w:color w:val="000000" w:themeColor="text1"/>
        </w:rPr>
        <w:t>ives with a per mean wage</w:t>
      </w:r>
      <w:r w:rsidR="00355FBF">
        <w:rPr>
          <w:color w:val="000000" w:themeColor="text1"/>
        </w:rPr>
        <w:t xml:space="preserve"> of $99.56 per hour or front line managers with</w:t>
      </w:r>
      <w:r w:rsidR="000C5175">
        <w:rPr>
          <w:color w:val="000000" w:themeColor="text1"/>
        </w:rPr>
        <w:t xml:space="preserve"> an average per mean wage of </w:t>
      </w:r>
      <w:r w:rsidR="00355FBF">
        <w:rPr>
          <w:color w:val="000000" w:themeColor="text1"/>
        </w:rPr>
        <w:t>$32.46 per hour for an average mean wage for the three occupations of $67.19 per hour.</w:t>
      </w:r>
    </w:p>
    <w:p w14:paraId="5F20F7B2" w14:textId="77777777" w:rsidR="00355FBF" w:rsidRDefault="00355FBF" w:rsidP="00184C46">
      <w:pPr>
        <w:rPr>
          <w:color w:val="000000" w:themeColor="text1"/>
        </w:rPr>
      </w:pPr>
    </w:p>
    <w:p w14:paraId="294EA480" w14:textId="54115B9C" w:rsidR="00355FBF" w:rsidRDefault="00355FBF" w:rsidP="00184C46">
      <w:pPr>
        <w:rPr>
          <w:color w:val="000000" w:themeColor="text1"/>
        </w:rPr>
      </w:pPr>
      <w:r>
        <w:rPr>
          <w:color w:val="000000" w:themeColor="text1"/>
        </w:rPr>
        <w:t>The formula for determining burden is:</w:t>
      </w:r>
    </w:p>
    <w:p w14:paraId="7A5E62E9" w14:textId="77777777" w:rsidR="00355FBF" w:rsidRDefault="00355FBF" w:rsidP="00184C46">
      <w:pPr>
        <w:rPr>
          <w:color w:val="000000" w:themeColor="text1"/>
        </w:rPr>
      </w:pPr>
    </w:p>
    <w:p w14:paraId="77171DFA" w14:textId="09AD8312" w:rsidR="00355FBF" w:rsidRDefault="00355FBF" w:rsidP="00184C46">
      <w:pPr>
        <w:rPr>
          <w:color w:val="000000" w:themeColor="text1"/>
        </w:rPr>
      </w:pPr>
      <w:r>
        <w:rPr>
          <w:color w:val="000000" w:themeColor="text1"/>
        </w:rPr>
        <w:t xml:space="preserve">Average wage ($67.19) * Total Hours </w:t>
      </w:r>
      <w:r w:rsidR="000C5175">
        <w:rPr>
          <w:color w:val="000000" w:themeColor="text1"/>
        </w:rPr>
        <w:t xml:space="preserve">(3210) = </w:t>
      </w:r>
      <w:r>
        <w:rPr>
          <w:color w:val="000000" w:themeColor="text1"/>
        </w:rPr>
        <w:t>$215,690.60</w:t>
      </w:r>
    </w:p>
    <w:p w14:paraId="193AF14E" w14:textId="3D17C522" w:rsidR="00355FBF" w:rsidRDefault="00355FBF" w:rsidP="00184C46">
      <w:pPr>
        <w:rPr>
          <w:color w:val="000000" w:themeColor="text1"/>
        </w:rPr>
      </w:pPr>
      <w:r>
        <w:rPr>
          <w:color w:val="000000" w:themeColor="text1"/>
        </w:rPr>
        <w:br/>
        <w:t>To calculate cost per respondent, total cost ($215,690.60)/total respondents (30,000) + $7.19 per respondent.</w:t>
      </w:r>
    </w:p>
    <w:p w14:paraId="630FD4B5" w14:textId="77777777" w:rsidR="000B6E83" w:rsidRPr="00BF481B" w:rsidRDefault="000B6E83" w:rsidP="00184C46">
      <w:pPr>
        <w:rPr>
          <w:b/>
          <w:color w:val="FF0000"/>
          <w:u w:val="single"/>
        </w:rPr>
      </w:pPr>
    </w:p>
    <w:p w14:paraId="7160103F" w14:textId="77777777" w:rsidR="006765C5" w:rsidRPr="00BF481B" w:rsidRDefault="00236386" w:rsidP="00184C46">
      <w:pPr>
        <w:numPr>
          <w:ilvl w:val="0"/>
          <w:numId w:val="7"/>
        </w:numPr>
        <w:rPr>
          <w:b/>
          <w:u w:val="single"/>
        </w:rPr>
      </w:pPr>
      <w:r w:rsidRPr="00BF481B">
        <w:rPr>
          <w:b/>
          <w:u w:val="single"/>
        </w:rPr>
        <w:t>Provide estimates of annualized cost to the Federal government.</w:t>
      </w:r>
    </w:p>
    <w:p w14:paraId="0D5C41B1" w14:textId="77777777" w:rsidR="00E821CD" w:rsidRPr="00BF481B" w:rsidRDefault="00E821CD" w:rsidP="00E821CD">
      <w:pPr>
        <w:ind w:left="360"/>
        <w:rPr>
          <w:b/>
          <w:u w:val="single"/>
        </w:rPr>
      </w:pPr>
    </w:p>
    <w:p w14:paraId="2750E012" w14:textId="77777777" w:rsidR="00236386" w:rsidRPr="00BF481B" w:rsidRDefault="00202E47" w:rsidP="007863B2">
      <w:pPr>
        <w:pStyle w:val="PlainText"/>
        <w:rPr>
          <w:rFonts w:ascii="Times New Roman" w:hAnsi="Times New Roman" w:cs="Times New Roman"/>
          <w:color w:val="000000" w:themeColor="text1"/>
          <w:sz w:val="24"/>
          <w:szCs w:val="24"/>
        </w:rPr>
      </w:pPr>
      <w:r w:rsidRPr="00BF481B">
        <w:rPr>
          <w:rFonts w:ascii="Times New Roman" w:hAnsi="Times New Roman" w:cs="Times New Roman"/>
          <w:color w:val="000000" w:themeColor="text1"/>
          <w:sz w:val="24"/>
          <w:szCs w:val="24"/>
        </w:rPr>
        <w:t>A</w:t>
      </w:r>
      <w:r w:rsidR="007863B2" w:rsidRPr="00BF481B">
        <w:rPr>
          <w:rFonts w:ascii="Times New Roman" w:hAnsi="Times New Roman" w:cs="Times New Roman"/>
          <w:color w:val="000000" w:themeColor="text1"/>
          <w:sz w:val="24"/>
          <w:szCs w:val="24"/>
        </w:rPr>
        <w:t xml:space="preserve"> p</w:t>
      </w:r>
      <w:r w:rsidRPr="00BF481B">
        <w:rPr>
          <w:rFonts w:ascii="Times New Roman" w:hAnsi="Times New Roman" w:cs="Times New Roman"/>
          <w:color w:val="000000" w:themeColor="text1"/>
          <w:sz w:val="24"/>
          <w:szCs w:val="24"/>
        </w:rPr>
        <w:t>rocurement of this type was not previously done by the Department</w:t>
      </w:r>
      <w:r w:rsidR="007863B2" w:rsidRPr="00BF481B">
        <w:rPr>
          <w:rFonts w:ascii="Times New Roman" w:hAnsi="Times New Roman" w:cs="Times New Roman"/>
          <w:color w:val="000000" w:themeColor="text1"/>
          <w:sz w:val="24"/>
          <w:szCs w:val="24"/>
        </w:rPr>
        <w:t>.  As a result, cost estimate was based on cost to prepare the 2015 USEER an</w:t>
      </w:r>
      <w:r w:rsidRPr="00BF481B">
        <w:rPr>
          <w:rFonts w:ascii="Times New Roman" w:hAnsi="Times New Roman" w:cs="Times New Roman"/>
          <w:color w:val="000000" w:themeColor="text1"/>
          <w:sz w:val="24"/>
          <w:szCs w:val="24"/>
        </w:rPr>
        <w:t xml:space="preserve">d supplemental information </w:t>
      </w:r>
      <w:r w:rsidR="007863B2" w:rsidRPr="00BF481B">
        <w:rPr>
          <w:rFonts w:ascii="Times New Roman" w:hAnsi="Times New Roman" w:cs="Times New Roman"/>
          <w:color w:val="000000" w:themeColor="text1"/>
          <w:sz w:val="24"/>
          <w:szCs w:val="24"/>
        </w:rPr>
        <w:t xml:space="preserve">pulled from other </w:t>
      </w:r>
      <w:r w:rsidRPr="00BF481B">
        <w:rPr>
          <w:rFonts w:ascii="Times New Roman" w:hAnsi="Times New Roman" w:cs="Times New Roman"/>
          <w:color w:val="000000" w:themeColor="text1"/>
          <w:sz w:val="24"/>
          <w:szCs w:val="24"/>
        </w:rPr>
        <w:t>efforts</w:t>
      </w:r>
      <w:r w:rsidR="007863B2" w:rsidRPr="00BF481B">
        <w:rPr>
          <w:rFonts w:ascii="Times New Roman" w:hAnsi="Times New Roman" w:cs="Times New Roman"/>
          <w:color w:val="000000" w:themeColor="text1"/>
          <w:sz w:val="24"/>
          <w:szCs w:val="24"/>
        </w:rPr>
        <w:t>, includin</w:t>
      </w:r>
      <w:r w:rsidR="00984ACA" w:rsidRPr="00BF481B">
        <w:rPr>
          <w:rFonts w:ascii="Times New Roman" w:hAnsi="Times New Roman" w:cs="Times New Roman"/>
          <w:color w:val="000000" w:themeColor="text1"/>
          <w:sz w:val="24"/>
          <w:szCs w:val="24"/>
        </w:rPr>
        <w:t xml:space="preserve">g the Energy Information Agency. </w:t>
      </w:r>
    </w:p>
    <w:p w14:paraId="64B0D1ED" w14:textId="77777777" w:rsidR="000B6E83" w:rsidRPr="00BF481B" w:rsidRDefault="000B6E83" w:rsidP="000B6E83">
      <w:pPr>
        <w:rPr>
          <w:color w:val="000000" w:themeColor="text1"/>
        </w:rPr>
      </w:pPr>
    </w:p>
    <w:p w14:paraId="6E72648F" w14:textId="77777777" w:rsidR="00984ACA" w:rsidRPr="00BF481B" w:rsidRDefault="00984ACA" w:rsidP="000B6E83">
      <w:pPr>
        <w:rPr>
          <w:color w:val="000000" w:themeColor="text1"/>
        </w:rPr>
      </w:pPr>
      <w:r w:rsidRPr="00BF481B">
        <w:rPr>
          <w:color w:val="000000" w:themeColor="text1"/>
        </w:rPr>
        <w:t xml:space="preserve">A public procurement will be issued to solicit bids to perform the services required for this data collection.  Actual costs will be based on budget justification from bidders and budget evaluation factors.  </w:t>
      </w:r>
    </w:p>
    <w:p w14:paraId="3588BEA1" w14:textId="77777777" w:rsidR="00984ACA" w:rsidRPr="00BF481B" w:rsidRDefault="00984ACA" w:rsidP="000B6E83">
      <w:pPr>
        <w:rPr>
          <w:color w:val="000000" w:themeColor="text1"/>
        </w:rPr>
      </w:pPr>
    </w:p>
    <w:p w14:paraId="5A0609EB" w14:textId="77777777" w:rsidR="000B6E83" w:rsidRPr="00BF481B" w:rsidRDefault="000B6E83" w:rsidP="000B6E83">
      <w:pPr>
        <w:rPr>
          <w:color w:val="000000" w:themeColor="text1"/>
        </w:rPr>
      </w:pPr>
      <w:r w:rsidRPr="00BF481B">
        <w:rPr>
          <w:color w:val="000000" w:themeColor="text1"/>
        </w:rPr>
        <w:t>Direct subcontractor costs are expected to be between $1.2 million. This estimate herein is</w:t>
      </w:r>
      <w:r w:rsidR="00984ACA" w:rsidRPr="00BF481B">
        <w:rPr>
          <w:color w:val="000000" w:themeColor="text1"/>
        </w:rPr>
        <w:t xml:space="preserve"> based </w:t>
      </w:r>
      <w:r w:rsidRPr="00BF481B">
        <w:rPr>
          <w:color w:val="000000" w:themeColor="text1"/>
        </w:rPr>
        <w:t xml:space="preserve">on a similar private sector-led survey effort of energy businesses with a similar scope and breadth.  This includes programming the survey for web and phone, developing the database of respondents, conducting data collection and analysis, and preparing the report. Subcontractor costs will be finalized during the procurement process, and the proposed budget will be a factor in the evaluation of responses to the funding opportunity announcement (FOA). </w:t>
      </w:r>
    </w:p>
    <w:p w14:paraId="34B757A3" w14:textId="77777777" w:rsidR="00196771" w:rsidRDefault="00196771" w:rsidP="000B6E83">
      <w:pPr>
        <w:rPr>
          <w:color w:val="FF0000"/>
        </w:rPr>
      </w:pPr>
    </w:p>
    <w:tbl>
      <w:tblPr>
        <w:tblStyle w:val="TableGrid"/>
        <w:tblW w:w="0" w:type="auto"/>
        <w:tblLook w:val="04A0" w:firstRow="1" w:lastRow="0" w:firstColumn="1" w:lastColumn="0" w:noHBand="0" w:noVBand="1"/>
      </w:tblPr>
      <w:tblGrid>
        <w:gridCol w:w="4675"/>
        <w:gridCol w:w="4675"/>
      </w:tblGrid>
      <w:tr w:rsidR="006A72B3" w:rsidRPr="000C5175" w14:paraId="23F0F732" w14:textId="77777777" w:rsidTr="009031AD">
        <w:tc>
          <w:tcPr>
            <w:tcW w:w="9350" w:type="dxa"/>
            <w:gridSpan w:val="2"/>
          </w:tcPr>
          <w:p w14:paraId="78A9C4D4" w14:textId="77777777" w:rsidR="00D14DF2" w:rsidRPr="000C5175" w:rsidRDefault="00D14DF2" w:rsidP="00D14DF2">
            <w:pPr>
              <w:jc w:val="center"/>
              <w:rPr>
                <w:b/>
                <w:color w:val="000000" w:themeColor="text1"/>
              </w:rPr>
            </w:pPr>
            <w:r w:rsidRPr="000C5175">
              <w:rPr>
                <w:b/>
                <w:color w:val="000000" w:themeColor="text1"/>
              </w:rPr>
              <w:t>Direct Labor</w:t>
            </w:r>
          </w:p>
        </w:tc>
      </w:tr>
      <w:tr w:rsidR="006A72B3" w:rsidRPr="000C5175" w14:paraId="7CB1645E" w14:textId="77777777" w:rsidTr="003A2B54">
        <w:tc>
          <w:tcPr>
            <w:tcW w:w="4675" w:type="dxa"/>
          </w:tcPr>
          <w:p w14:paraId="6E480E81" w14:textId="77777777" w:rsidR="003A2B54" w:rsidRPr="000C5175" w:rsidRDefault="00D14DF2" w:rsidP="000B6E83">
            <w:pPr>
              <w:rPr>
                <w:color w:val="000000" w:themeColor="text1"/>
              </w:rPr>
            </w:pPr>
            <w:r w:rsidRPr="000C5175">
              <w:rPr>
                <w:color w:val="000000" w:themeColor="text1"/>
              </w:rPr>
              <w:t>Tasks to be Performed</w:t>
            </w:r>
          </w:p>
        </w:tc>
        <w:tc>
          <w:tcPr>
            <w:tcW w:w="4675" w:type="dxa"/>
          </w:tcPr>
          <w:p w14:paraId="5D6166CB" w14:textId="77777777" w:rsidR="003A2B54" w:rsidRPr="000C5175" w:rsidRDefault="003A2B54" w:rsidP="000B6E83">
            <w:pPr>
              <w:rPr>
                <w:color w:val="000000" w:themeColor="text1"/>
              </w:rPr>
            </w:pPr>
            <w:r w:rsidRPr="000C5175">
              <w:rPr>
                <w:color w:val="000000" w:themeColor="text1"/>
              </w:rPr>
              <w:t>Hours</w:t>
            </w:r>
          </w:p>
        </w:tc>
      </w:tr>
      <w:tr w:rsidR="006A72B3" w:rsidRPr="000C5175" w14:paraId="1E5EFAB1" w14:textId="77777777" w:rsidTr="003A2B54">
        <w:tc>
          <w:tcPr>
            <w:tcW w:w="4675" w:type="dxa"/>
          </w:tcPr>
          <w:p w14:paraId="3C645632" w14:textId="77777777" w:rsidR="003A2B54" w:rsidRPr="000C5175" w:rsidRDefault="003A2B54" w:rsidP="000B6E83">
            <w:pPr>
              <w:rPr>
                <w:color w:val="000000" w:themeColor="text1"/>
              </w:rPr>
            </w:pPr>
            <w:r w:rsidRPr="000C5175">
              <w:rPr>
                <w:color w:val="000000" w:themeColor="text1"/>
              </w:rPr>
              <w:t>Project Management</w:t>
            </w:r>
          </w:p>
        </w:tc>
        <w:tc>
          <w:tcPr>
            <w:tcW w:w="4675" w:type="dxa"/>
          </w:tcPr>
          <w:p w14:paraId="704B934E" w14:textId="77777777" w:rsidR="003A2B54" w:rsidRPr="000C5175" w:rsidRDefault="00CA1A57" w:rsidP="000B6E83">
            <w:pPr>
              <w:rPr>
                <w:color w:val="000000" w:themeColor="text1"/>
              </w:rPr>
            </w:pPr>
            <w:r w:rsidRPr="000C5175">
              <w:rPr>
                <w:color w:val="000000" w:themeColor="text1"/>
              </w:rPr>
              <w:t>5,000</w:t>
            </w:r>
          </w:p>
        </w:tc>
      </w:tr>
      <w:tr w:rsidR="006A72B3" w:rsidRPr="000C5175" w14:paraId="7DF2B702" w14:textId="77777777" w:rsidTr="003A2B54">
        <w:tc>
          <w:tcPr>
            <w:tcW w:w="4675" w:type="dxa"/>
          </w:tcPr>
          <w:p w14:paraId="3CC42CBF" w14:textId="77777777" w:rsidR="003A2B54" w:rsidRPr="000C5175" w:rsidRDefault="00CA1A57" w:rsidP="000B6E83">
            <w:pPr>
              <w:rPr>
                <w:color w:val="000000" w:themeColor="text1"/>
              </w:rPr>
            </w:pPr>
            <w:r w:rsidRPr="000C5175">
              <w:rPr>
                <w:color w:val="000000" w:themeColor="text1"/>
              </w:rPr>
              <w:t>Database Development</w:t>
            </w:r>
          </w:p>
        </w:tc>
        <w:tc>
          <w:tcPr>
            <w:tcW w:w="4675" w:type="dxa"/>
          </w:tcPr>
          <w:p w14:paraId="4CF56A10" w14:textId="77777777" w:rsidR="003A2B54" w:rsidRPr="000C5175" w:rsidRDefault="00CA1A57" w:rsidP="000B6E83">
            <w:pPr>
              <w:rPr>
                <w:color w:val="000000" w:themeColor="text1"/>
              </w:rPr>
            </w:pPr>
            <w:r w:rsidRPr="000C5175">
              <w:rPr>
                <w:color w:val="000000" w:themeColor="text1"/>
              </w:rPr>
              <w:t>1,000</w:t>
            </w:r>
          </w:p>
        </w:tc>
      </w:tr>
      <w:tr w:rsidR="006A72B3" w:rsidRPr="000C5175" w14:paraId="0F85FF13" w14:textId="77777777" w:rsidTr="003A2B54">
        <w:tc>
          <w:tcPr>
            <w:tcW w:w="4675" w:type="dxa"/>
          </w:tcPr>
          <w:p w14:paraId="6363C7B4" w14:textId="77777777" w:rsidR="003A2B54" w:rsidRPr="000C5175" w:rsidRDefault="00CA1A57" w:rsidP="000B6E83">
            <w:pPr>
              <w:rPr>
                <w:color w:val="000000" w:themeColor="text1"/>
              </w:rPr>
            </w:pPr>
            <w:r w:rsidRPr="000C5175">
              <w:rPr>
                <w:color w:val="000000" w:themeColor="text1"/>
              </w:rPr>
              <w:t>Building Architecture</w:t>
            </w:r>
          </w:p>
        </w:tc>
        <w:tc>
          <w:tcPr>
            <w:tcW w:w="4675" w:type="dxa"/>
          </w:tcPr>
          <w:p w14:paraId="05F12786" w14:textId="77777777" w:rsidR="003A2B54" w:rsidRPr="000C5175" w:rsidRDefault="00CA1A57" w:rsidP="000B6E83">
            <w:pPr>
              <w:rPr>
                <w:color w:val="000000" w:themeColor="text1"/>
              </w:rPr>
            </w:pPr>
            <w:r w:rsidRPr="000C5175">
              <w:rPr>
                <w:color w:val="000000" w:themeColor="text1"/>
              </w:rPr>
              <w:t>10</w:t>
            </w:r>
          </w:p>
        </w:tc>
      </w:tr>
      <w:tr w:rsidR="006A72B3" w:rsidRPr="000C5175" w14:paraId="20200BA0" w14:textId="77777777" w:rsidTr="003A2B54">
        <w:tc>
          <w:tcPr>
            <w:tcW w:w="4675" w:type="dxa"/>
          </w:tcPr>
          <w:p w14:paraId="229722A4" w14:textId="77777777" w:rsidR="003A2B54" w:rsidRPr="000C5175" w:rsidRDefault="00CA1A57" w:rsidP="000B6E83">
            <w:pPr>
              <w:rPr>
                <w:color w:val="000000" w:themeColor="text1"/>
              </w:rPr>
            </w:pPr>
            <w:r w:rsidRPr="000C5175">
              <w:rPr>
                <w:color w:val="000000" w:themeColor="text1"/>
              </w:rPr>
              <w:t>Data Cleaning</w:t>
            </w:r>
          </w:p>
        </w:tc>
        <w:tc>
          <w:tcPr>
            <w:tcW w:w="4675" w:type="dxa"/>
          </w:tcPr>
          <w:p w14:paraId="1B18C3E6" w14:textId="77777777" w:rsidR="003A2B54" w:rsidRPr="000C5175" w:rsidRDefault="00CA1A57" w:rsidP="000B6E83">
            <w:pPr>
              <w:rPr>
                <w:color w:val="000000" w:themeColor="text1"/>
              </w:rPr>
            </w:pPr>
            <w:r w:rsidRPr="000C5175">
              <w:rPr>
                <w:color w:val="000000" w:themeColor="text1"/>
              </w:rPr>
              <w:t>30</w:t>
            </w:r>
          </w:p>
        </w:tc>
      </w:tr>
      <w:tr w:rsidR="006A72B3" w:rsidRPr="000C5175" w14:paraId="2B239FB6" w14:textId="77777777" w:rsidTr="003A2B54">
        <w:tc>
          <w:tcPr>
            <w:tcW w:w="4675" w:type="dxa"/>
          </w:tcPr>
          <w:p w14:paraId="086AAE07" w14:textId="77777777" w:rsidR="003A2B54" w:rsidRPr="000C5175" w:rsidRDefault="00CA1A57" w:rsidP="000B6E83">
            <w:pPr>
              <w:rPr>
                <w:color w:val="000000" w:themeColor="text1"/>
              </w:rPr>
            </w:pPr>
            <w:r w:rsidRPr="000C5175">
              <w:rPr>
                <w:color w:val="000000" w:themeColor="text1"/>
              </w:rPr>
              <w:t>Data analysis, including BLS</w:t>
            </w:r>
            <w:r w:rsidR="008936A8" w:rsidRPr="000C5175">
              <w:rPr>
                <w:color w:val="000000" w:themeColor="text1"/>
              </w:rPr>
              <w:t xml:space="preserve"> Data</w:t>
            </w:r>
          </w:p>
        </w:tc>
        <w:tc>
          <w:tcPr>
            <w:tcW w:w="4675" w:type="dxa"/>
          </w:tcPr>
          <w:p w14:paraId="7FA2FF28" w14:textId="77777777" w:rsidR="003A2B54" w:rsidRPr="000C5175" w:rsidRDefault="00CA1A57" w:rsidP="000B6E83">
            <w:pPr>
              <w:rPr>
                <w:color w:val="000000" w:themeColor="text1"/>
              </w:rPr>
            </w:pPr>
            <w:r w:rsidRPr="000C5175">
              <w:rPr>
                <w:color w:val="000000" w:themeColor="text1"/>
              </w:rPr>
              <w:t>240</w:t>
            </w:r>
          </w:p>
        </w:tc>
      </w:tr>
      <w:tr w:rsidR="006A72B3" w:rsidRPr="000C5175" w14:paraId="4921CECC" w14:textId="77777777" w:rsidTr="003A2B54">
        <w:tc>
          <w:tcPr>
            <w:tcW w:w="4675" w:type="dxa"/>
          </w:tcPr>
          <w:p w14:paraId="10B2DE77" w14:textId="77777777" w:rsidR="003A2B54" w:rsidRPr="000C5175" w:rsidRDefault="00CA1A57" w:rsidP="000B6E83">
            <w:pPr>
              <w:rPr>
                <w:color w:val="000000" w:themeColor="text1"/>
              </w:rPr>
            </w:pPr>
            <w:r w:rsidRPr="000C5175">
              <w:rPr>
                <w:color w:val="000000" w:themeColor="text1"/>
              </w:rPr>
              <w:t>Regional Analysis</w:t>
            </w:r>
          </w:p>
        </w:tc>
        <w:tc>
          <w:tcPr>
            <w:tcW w:w="4675" w:type="dxa"/>
          </w:tcPr>
          <w:p w14:paraId="390D2A70" w14:textId="77777777" w:rsidR="003A2B54" w:rsidRPr="000C5175" w:rsidRDefault="00CA1A57" w:rsidP="000B6E83">
            <w:pPr>
              <w:rPr>
                <w:color w:val="000000" w:themeColor="text1"/>
              </w:rPr>
            </w:pPr>
            <w:r w:rsidRPr="000C5175">
              <w:rPr>
                <w:color w:val="000000" w:themeColor="text1"/>
              </w:rPr>
              <w:t>60</w:t>
            </w:r>
          </w:p>
        </w:tc>
      </w:tr>
      <w:tr w:rsidR="006A72B3" w:rsidRPr="000C5175" w14:paraId="31324F70" w14:textId="77777777" w:rsidTr="003A2B54">
        <w:tc>
          <w:tcPr>
            <w:tcW w:w="4675" w:type="dxa"/>
          </w:tcPr>
          <w:p w14:paraId="31074638" w14:textId="77777777" w:rsidR="00CA1A57" w:rsidRPr="000C5175" w:rsidRDefault="00CA1A57" w:rsidP="000B6E83">
            <w:pPr>
              <w:rPr>
                <w:color w:val="000000" w:themeColor="text1"/>
              </w:rPr>
            </w:pPr>
            <w:r w:rsidRPr="000C5175">
              <w:rPr>
                <w:color w:val="000000" w:themeColor="text1"/>
              </w:rPr>
              <w:t>State Analysis</w:t>
            </w:r>
          </w:p>
        </w:tc>
        <w:tc>
          <w:tcPr>
            <w:tcW w:w="4675" w:type="dxa"/>
          </w:tcPr>
          <w:p w14:paraId="7F1DB193" w14:textId="77777777" w:rsidR="00CA1A57" w:rsidRPr="000C5175" w:rsidRDefault="00CA1A57" w:rsidP="000B6E83">
            <w:pPr>
              <w:rPr>
                <w:color w:val="000000" w:themeColor="text1"/>
              </w:rPr>
            </w:pPr>
            <w:r w:rsidRPr="000C5175">
              <w:rPr>
                <w:color w:val="000000" w:themeColor="text1"/>
              </w:rPr>
              <w:t>100</w:t>
            </w:r>
          </w:p>
        </w:tc>
      </w:tr>
      <w:tr w:rsidR="006A72B3" w:rsidRPr="000C5175" w14:paraId="16FE3092" w14:textId="77777777" w:rsidTr="003A2B54">
        <w:tc>
          <w:tcPr>
            <w:tcW w:w="4675" w:type="dxa"/>
          </w:tcPr>
          <w:p w14:paraId="721E390D" w14:textId="77777777" w:rsidR="00CA1A57" w:rsidRPr="000C5175" w:rsidRDefault="00CA1A57" w:rsidP="000B6E83">
            <w:pPr>
              <w:rPr>
                <w:color w:val="000000" w:themeColor="text1"/>
              </w:rPr>
            </w:pPr>
            <w:r w:rsidRPr="000C5175">
              <w:rPr>
                <w:color w:val="000000" w:themeColor="text1"/>
              </w:rPr>
              <w:t>Report Writing</w:t>
            </w:r>
          </w:p>
        </w:tc>
        <w:tc>
          <w:tcPr>
            <w:tcW w:w="4675" w:type="dxa"/>
          </w:tcPr>
          <w:p w14:paraId="0C7F9EDD" w14:textId="77777777" w:rsidR="00CA1A57" w:rsidRPr="000C5175" w:rsidRDefault="00CA1A57" w:rsidP="000B6E83">
            <w:pPr>
              <w:rPr>
                <w:color w:val="000000" w:themeColor="text1"/>
              </w:rPr>
            </w:pPr>
            <w:r w:rsidRPr="000C5175">
              <w:rPr>
                <w:color w:val="000000" w:themeColor="text1"/>
              </w:rPr>
              <w:t>60</w:t>
            </w:r>
          </w:p>
        </w:tc>
      </w:tr>
      <w:tr w:rsidR="006A72B3" w:rsidRPr="000C5175" w14:paraId="41CF96F2" w14:textId="77777777" w:rsidTr="003A2B54">
        <w:tc>
          <w:tcPr>
            <w:tcW w:w="4675" w:type="dxa"/>
          </w:tcPr>
          <w:p w14:paraId="309A11EE" w14:textId="77777777" w:rsidR="00CA1A57" w:rsidRPr="000C5175" w:rsidRDefault="00CA1A57" w:rsidP="000B6E83">
            <w:pPr>
              <w:rPr>
                <w:color w:val="000000" w:themeColor="text1"/>
              </w:rPr>
            </w:pPr>
            <w:r w:rsidRPr="000C5175">
              <w:rPr>
                <w:color w:val="000000" w:themeColor="text1"/>
              </w:rPr>
              <w:t>Charts and Graph Development</w:t>
            </w:r>
          </w:p>
        </w:tc>
        <w:tc>
          <w:tcPr>
            <w:tcW w:w="4675" w:type="dxa"/>
          </w:tcPr>
          <w:p w14:paraId="21AE967A" w14:textId="77777777" w:rsidR="00CA1A57" w:rsidRPr="000C5175" w:rsidRDefault="00CA1A57" w:rsidP="000B6E83">
            <w:pPr>
              <w:rPr>
                <w:color w:val="000000" w:themeColor="text1"/>
              </w:rPr>
            </w:pPr>
            <w:r w:rsidRPr="000C5175">
              <w:rPr>
                <w:color w:val="000000" w:themeColor="text1"/>
              </w:rPr>
              <w:t>40</w:t>
            </w:r>
          </w:p>
        </w:tc>
      </w:tr>
      <w:tr w:rsidR="00CA1A57" w:rsidRPr="000C5175" w14:paraId="2C7BDB76" w14:textId="77777777" w:rsidTr="003A2B54">
        <w:tc>
          <w:tcPr>
            <w:tcW w:w="4675" w:type="dxa"/>
          </w:tcPr>
          <w:p w14:paraId="53DE8679" w14:textId="77777777" w:rsidR="00CA1A57" w:rsidRPr="000C5175" w:rsidRDefault="00CA1A57" w:rsidP="000B6E83">
            <w:pPr>
              <w:rPr>
                <w:b/>
                <w:color w:val="000000" w:themeColor="text1"/>
              </w:rPr>
            </w:pPr>
            <w:r w:rsidRPr="000C5175">
              <w:rPr>
                <w:b/>
                <w:color w:val="000000" w:themeColor="text1"/>
              </w:rPr>
              <w:t>Total Hours</w:t>
            </w:r>
          </w:p>
        </w:tc>
        <w:tc>
          <w:tcPr>
            <w:tcW w:w="4675" w:type="dxa"/>
          </w:tcPr>
          <w:p w14:paraId="1AD9B184" w14:textId="77777777" w:rsidR="00CA1A57" w:rsidRPr="000C5175" w:rsidRDefault="00CA1A57" w:rsidP="000B6E83">
            <w:pPr>
              <w:rPr>
                <w:b/>
                <w:color w:val="000000" w:themeColor="text1"/>
              </w:rPr>
            </w:pPr>
            <w:r w:rsidRPr="000C5175">
              <w:rPr>
                <w:b/>
                <w:color w:val="000000" w:themeColor="text1"/>
              </w:rPr>
              <w:t>6,540</w:t>
            </w:r>
          </w:p>
        </w:tc>
      </w:tr>
    </w:tbl>
    <w:p w14:paraId="269F14C9" w14:textId="77777777" w:rsidR="003A2B54" w:rsidRPr="000C5175" w:rsidRDefault="003A2B54" w:rsidP="000B6E83">
      <w:pPr>
        <w:rPr>
          <w:color w:val="000000" w:themeColor="text1"/>
        </w:rPr>
      </w:pPr>
    </w:p>
    <w:p w14:paraId="3FED3178" w14:textId="77777777" w:rsidR="00CA1A57" w:rsidRPr="000C5175" w:rsidRDefault="00CA1A57" w:rsidP="000B6E83">
      <w:pPr>
        <w:rPr>
          <w:color w:val="000000" w:themeColor="text1"/>
        </w:rPr>
      </w:pPr>
    </w:p>
    <w:tbl>
      <w:tblPr>
        <w:tblStyle w:val="TableGrid"/>
        <w:tblW w:w="0" w:type="auto"/>
        <w:tblLook w:val="04A0" w:firstRow="1" w:lastRow="0" w:firstColumn="1" w:lastColumn="0" w:noHBand="0" w:noVBand="1"/>
      </w:tblPr>
      <w:tblGrid>
        <w:gridCol w:w="2337"/>
        <w:gridCol w:w="2337"/>
        <w:gridCol w:w="2338"/>
        <w:gridCol w:w="2338"/>
      </w:tblGrid>
      <w:tr w:rsidR="006A72B3" w:rsidRPr="000C5175" w14:paraId="017F22FA" w14:textId="77777777" w:rsidTr="00CA1A57">
        <w:tc>
          <w:tcPr>
            <w:tcW w:w="2337" w:type="dxa"/>
          </w:tcPr>
          <w:p w14:paraId="098FA941" w14:textId="77777777" w:rsidR="00CA1A57" w:rsidRPr="000C5175" w:rsidRDefault="00CA1A57" w:rsidP="000B6E83">
            <w:pPr>
              <w:rPr>
                <w:b/>
                <w:color w:val="000000" w:themeColor="text1"/>
              </w:rPr>
            </w:pPr>
            <w:r w:rsidRPr="000C5175">
              <w:rPr>
                <w:b/>
                <w:color w:val="000000" w:themeColor="text1"/>
              </w:rPr>
              <w:t>Labor Categories</w:t>
            </w:r>
          </w:p>
        </w:tc>
        <w:tc>
          <w:tcPr>
            <w:tcW w:w="2337" w:type="dxa"/>
          </w:tcPr>
          <w:p w14:paraId="675CE23A" w14:textId="77777777" w:rsidR="00CA1A57" w:rsidRPr="000C5175" w:rsidRDefault="00CA1A57" w:rsidP="000B6E83">
            <w:pPr>
              <w:rPr>
                <w:b/>
                <w:color w:val="000000" w:themeColor="text1"/>
              </w:rPr>
            </w:pPr>
            <w:r w:rsidRPr="000C5175">
              <w:rPr>
                <w:b/>
                <w:color w:val="000000" w:themeColor="text1"/>
              </w:rPr>
              <w:t>Hours</w:t>
            </w:r>
          </w:p>
        </w:tc>
        <w:tc>
          <w:tcPr>
            <w:tcW w:w="2338" w:type="dxa"/>
          </w:tcPr>
          <w:p w14:paraId="715FAD13" w14:textId="77777777" w:rsidR="00CA1A57" w:rsidRPr="000C5175" w:rsidRDefault="00CA1A57" w:rsidP="000B6E83">
            <w:pPr>
              <w:rPr>
                <w:b/>
                <w:color w:val="000000" w:themeColor="text1"/>
              </w:rPr>
            </w:pPr>
            <w:r w:rsidRPr="000C5175">
              <w:rPr>
                <w:b/>
                <w:color w:val="000000" w:themeColor="text1"/>
              </w:rPr>
              <w:t>Rate Amount</w:t>
            </w:r>
          </w:p>
        </w:tc>
        <w:tc>
          <w:tcPr>
            <w:tcW w:w="2338" w:type="dxa"/>
          </w:tcPr>
          <w:p w14:paraId="7E7FA237" w14:textId="77777777" w:rsidR="00CA1A57" w:rsidRPr="000C5175" w:rsidRDefault="00CA1A57" w:rsidP="000B6E83">
            <w:pPr>
              <w:rPr>
                <w:b/>
                <w:color w:val="000000" w:themeColor="text1"/>
              </w:rPr>
            </w:pPr>
          </w:p>
        </w:tc>
      </w:tr>
      <w:tr w:rsidR="006A72B3" w:rsidRPr="000C5175" w14:paraId="4D3553F8" w14:textId="77777777" w:rsidTr="00CA1A57">
        <w:tc>
          <w:tcPr>
            <w:tcW w:w="2337" w:type="dxa"/>
          </w:tcPr>
          <w:p w14:paraId="056D8234" w14:textId="77777777" w:rsidR="00CA1A57" w:rsidRPr="000C5175" w:rsidRDefault="00CA1A57" w:rsidP="000B6E83">
            <w:pPr>
              <w:rPr>
                <w:color w:val="000000" w:themeColor="text1"/>
              </w:rPr>
            </w:pPr>
            <w:r w:rsidRPr="000C5175">
              <w:rPr>
                <w:color w:val="000000" w:themeColor="text1"/>
              </w:rPr>
              <w:t>Principal</w:t>
            </w:r>
          </w:p>
        </w:tc>
        <w:tc>
          <w:tcPr>
            <w:tcW w:w="2337" w:type="dxa"/>
          </w:tcPr>
          <w:p w14:paraId="5528ACE7" w14:textId="77777777" w:rsidR="00CA1A57" w:rsidRPr="000C5175" w:rsidRDefault="00FA4030" w:rsidP="000B6E83">
            <w:pPr>
              <w:rPr>
                <w:color w:val="000000" w:themeColor="text1"/>
              </w:rPr>
            </w:pPr>
            <w:r w:rsidRPr="000C5175">
              <w:rPr>
                <w:color w:val="000000" w:themeColor="text1"/>
              </w:rPr>
              <w:t>1,400</w:t>
            </w:r>
          </w:p>
        </w:tc>
        <w:tc>
          <w:tcPr>
            <w:tcW w:w="2338" w:type="dxa"/>
          </w:tcPr>
          <w:p w14:paraId="147DFF1B" w14:textId="77777777" w:rsidR="00CA1A57" w:rsidRPr="000C5175" w:rsidRDefault="00FA4030" w:rsidP="000B6E83">
            <w:pPr>
              <w:rPr>
                <w:color w:val="000000" w:themeColor="text1"/>
              </w:rPr>
            </w:pPr>
            <w:r w:rsidRPr="000C5175">
              <w:rPr>
                <w:color w:val="000000" w:themeColor="text1"/>
              </w:rPr>
              <w:t>$236</w:t>
            </w:r>
          </w:p>
        </w:tc>
        <w:tc>
          <w:tcPr>
            <w:tcW w:w="2338" w:type="dxa"/>
          </w:tcPr>
          <w:p w14:paraId="40B07996" w14:textId="77777777" w:rsidR="00CA1A57" w:rsidRPr="000C5175" w:rsidRDefault="00FA4030" w:rsidP="000B6E83">
            <w:pPr>
              <w:rPr>
                <w:color w:val="000000" w:themeColor="text1"/>
              </w:rPr>
            </w:pPr>
            <w:r w:rsidRPr="000C5175">
              <w:rPr>
                <w:color w:val="000000" w:themeColor="text1"/>
              </w:rPr>
              <w:t>$330,400</w:t>
            </w:r>
          </w:p>
        </w:tc>
      </w:tr>
      <w:tr w:rsidR="006A72B3" w:rsidRPr="000C5175" w14:paraId="0F0A616A" w14:textId="77777777" w:rsidTr="00CA1A57">
        <w:tc>
          <w:tcPr>
            <w:tcW w:w="2337" w:type="dxa"/>
          </w:tcPr>
          <w:p w14:paraId="11E34131" w14:textId="77777777" w:rsidR="00CA1A57" w:rsidRPr="000C5175" w:rsidRDefault="00FA4030" w:rsidP="000B6E83">
            <w:pPr>
              <w:rPr>
                <w:color w:val="000000" w:themeColor="text1"/>
              </w:rPr>
            </w:pPr>
            <w:r w:rsidRPr="000C5175">
              <w:rPr>
                <w:color w:val="000000" w:themeColor="text1"/>
              </w:rPr>
              <w:t>Project Manager</w:t>
            </w:r>
          </w:p>
        </w:tc>
        <w:tc>
          <w:tcPr>
            <w:tcW w:w="2337" w:type="dxa"/>
          </w:tcPr>
          <w:p w14:paraId="56489E16" w14:textId="77777777" w:rsidR="00CA1A57" w:rsidRPr="000C5175" w:rsidRDefault="00FA4030" w:rsidP="000B6E83">
            <w:pPr>
              <w:rPr>
                <w:color w:val="000000" w:themeColor="text1"/>
              </w:rPr>
            </w:pPr>
            <w:r w:rsidRPr="000C5175">
              <w:rPr>
                <w:color w:val="000000" w:themeColor="text1"/>
              </w:rPr>
              <w:t>2,000</w:t>
            </w:r>
          </w:p>
        </w:tc>
        <w:tc>
          <w:tcPr>
            <w:tcW w:w="2338" w:type="dxa"/>
          </w:tcPr>
          <w:p w14:paraId="3AE58F0E" w14:textId="77777777" w:rsidR="00CA1A57" w:rsidRPr="000C5175" w:rsidRDefault="00FA4030" w:rsidP="000B6E83">
            <w:pPr>
              <w:rPr>
                <w:color w:val="000000" w:themeColor="text1"/>
              </w:rPr>
            </w:pPr>
            <w:r w:rsidRPr="000C5175">
              <w:rPr>
                <w:color w:val="000000" w:themeColor="text1"/>
              </w:rPr>
              <w:t>$197</w:t>
            </w:r>
          </w:p>
        </w:tc>
        <w:tc>
          <w:tcPr>
            <w:tcW w:w="2338" w:type="dxa"/>
          </w:tcPr>
          <w:p w14:paraId="13ADD67E" w14:textId="77777777" w:rsidR="00CA1A57" w:rsidRPr="000C5175" w:rsidRDefault="00FA4030" w:rsidP="000B6E83">
            <w:pPr>
              <w:rPr>
                <w:color w:val="000000" w:themeColor="text1"/>
              </w:rPr>
            </w:pPr>
            <w:r w:rsidRPr="000C5175">
              <w:rPr>
                <w:color w:val="000000" w:themeColor="text1"/>
              </w:rPr>
              <w:t>$394,000</w:t>
            </w:r>
          </w:p>
        </w:tc>
      </w:tr>
      <w:tr w:rsidR="006A72B3" w:rsidRPr="000C5175" w14:paraId="280D6C93" w14:textId="77777777" w:rsidTr="00CA1A57">
        <w:tc>
          <w:tcPr>
            <w:tcW w:w="2337" w:type="dxa"/>
          </w:tcPr>
          <w:p w14:paraId="1C47D77B" w14:textId="77777777" w:rsidR="00CA1A57" w:rsidRPr="000C5175" w:rsidRDefault="00FA4030" w:rsidP="000B6E83">
            <w:pPr>
              <w:rPr>
                <w:color w:val="000000" w:themeColor="text1"/>
              </w:rPr>
            </w:pPr>
            <w:r w:rsidRPr="000C5175">
              <w:rPr>
                <w:color w:val="000000" w:themeColor="text1"/>
              </w:rPr>
              <w:t>Research Analyst</w:t>
            </w:r>
          </w:p>
        </w:tc>
        <w:tc>
          <w:tcPr>
            <w:tcW w:w="2337" w:type="dxa"/>
          </w:tcPr>
          <w:p w14:paraId="0B225776" w14:textId="77777777" w:rsidR="00CA1A57" w:rsidRPr="000C5175" w:rsidRDefault="00FA4030" w:rsidP="000B6E83">
            <w:pPr>
              <w:rPr>
                <w:color w:val="000000" w:themeColor="text1"/>
              </w:rPr>
            </w:pPr>
            <w:r w:rsidRPr="000C5175">
              <w:rPr>
                <w:color w:val="000000" w:themeColor="text1"/>
              </w:rPr>
              <w:t>1,740</w:t>
            </w:r>
          </w:p>
        </w:tc>
        <w:tc>
          <w:tcPr>
            <w:tcW w:w="2338" w:type="dxa"/>
          </w:tcPr>
          <w:p w14:paraId="3F82122C" w14:textId="77777777" w:rsidR="00CA1A57" w:rsidRPr="000C5175" w:rsidRDefault="00FA4030" w:rsidP="000B6E83">
            <w:pPr>
              <w:rPr>
                <w:color w:val="000000" w:themeColor="text1"/>
              </w:rPr>
            </w:pPr>
            <w:r w:rsidRPr="000C5175">
              <w:rPr>
                <w:color w:val="000000" w:themeColor="text1"/>
              </w:rPr>
              <w:t>$116</w:t>
            </w:r>
          </w:p>
        </w:tc>
        <w:tc>
          <w:tcPr>
            <w:tcW w:w="2338" w:type="dxa"/>
          </w:tcPr>
          <w:p w14:paraId="7C0006AF" w14:textId="77777777" w:rsidR="00CA1A57" w:rsidRPr="000C5175" w:rsidRDefault="00FA4030" w:rsidP="000B6E83">
            <w:pPr>
              <w:rPr>
                <w:color w:val="000000" w:themeColor="text1"/>
              </w:rPr>
            </w:pPr>
            <w:r w:rsidRPr="000C5175">
              <w:rPr>
                <w:color w:val="000000" w:themeColor="text1"/>
              </w:rPr>
              <w:t>$201,840</w:t>
            </w:r>
          </w:p>
        </w:tc>
      </w:tr>
      <w:tr w:rsidR="006A72B3" w:rsidRPr="000C5175" w14:paraId="7A6EBD9D" w14:textId="77777777" w:rsidTr="00CA1A57">
        <w:tc>
          <w:tcPr>
            <w:tcW w:w="2337" w:type="dxa"/>
          </w:tcPr>
          <w:p w14:paraId="260B06C4" w14:textId="77777777" w:rsidR="00CA1A57" w:rsidRPr="000C5175" w:rsidRDefault="00FA4030" w:rsidP="000B6E83">
            <w:pPr>
              <w:rPr>
                <w:color w:val="000000" w:themeColor="text1"/>
              </w:rPr>
            </w:pPr>
            <w:r w:rsidRPr="000C5175">
              <w:rPr>
                <w:color w:val="000000" w:themeColor="text1"/>
              </w:rPr>
              <w:t>Junior Analyst</w:t>
            </w:r>
          </w:p>
        </w:tc>
        <w:tc>
          <w:tcPr>
            <w:tcW w:w="2337" w:type="dxa"/>
          </w:tcPr>
          <w:p w14:paraId="100F4BFF" w14:textId="77777777" w:rsidR="00CA1A57" w:rsidRPr="000C5175" w:rsidRDefault="00FA4030" w:rsidP="000B6E83">
            <w:pPr>
              <w:rPr>
                <w:color w:val="000000" w:themeColor="text1"/>
              </w:rPr>
            </w:pPr>
            <w:r w:rsidRPr="000C5175">
              <w:rPr>
                <w:color w:val="000000" w:themeColor="text1"/>
              </w:rPr>
              <w:t>1,400</w:t>
            </w:r>
          </w:p>
        </w:tc>
        <w:tc>
          <w:tcPr>
            <w:tcW w:w="2338" w:type="dxa"/>
          </w:tcPr>
          <w:p w14:paraId="35E3315B" w14:textId="77777777" w:rsidR="00CA1A57" w:rsidRPr="000C5175" w:rsidRDefault="00FA4030" w:rsidP="000B6E83">
            <w:pPr>
              <w:rPr>
                <w:color w:val="000000" w:themeColor="text1"/>
              </w:rPr>
            </w:pPr>
            <w:r w:rsidRPr="000C5175">
              <w:rPr>
                <w:color w:val="000000" w:themeColor="text1"/>
              </w:rPr>
              <w:t>$88</w:t>
            </w:r>
          </w:p>
        </w:tc>
        <w:tc>
          <w:tcPr>
            <w:tcW w:w="2338" w:type="dxa"/>
          </w:tcPr>
          <w:p w14:paraId="67E940FB" w14:textId="77777777" w:rsidR="00CA1A57" w:rsidRPr="000C5175" w:rsidRDefault="00FA4030" w:rsidP="000B6E83">
            <w:pPr>
              <w:rPr>
                <w:color w:val="000000" w:themeColor="text1"/>
              </w:rPr>
            </w:pPr>
            <w:r w:rsidRPr="000C5175">
              <w:rPr>
                <w:color w:val="000000" w:themeColor="text1"/>
              </w:rPr>
              <w:t>$123,200</w:t>
            </w:r>
          </w:p>
        </w:tc>
      </w:tr>
      <w:tr w:rsidR="00CA1A57" w:rsidRPr="000C5175" w14:paraId="5A176DCE" w14:textId="77777777" w:rsidTr="00CA1A57">
        <w:tc>
          <w:tcPr>
            <w:tcW w:w="2337" w:type="dxa"/>
          </w:tcPr>
          <w:p w14:paraId="056D277A" w14:textId="77777777" w:rsidR="00CA1A57" w:rsidRPr="000C5175" w:rsidRDefault="00FA4030" w:rsidP="000B6E83">
            <w:pPr>
              <w:rPr>
                <w:b/>
                <w:color w:val="000000" w:themeColor="text1"/>
              </w:rPr>
            </w:pPr>
            <w:r w:rsidRPr="000C5175">
              <w:rPr>
                <w:b/>
                <w:color w:val="000000" w:themeColor="text1"/>
              </w:rPr>
              <w:t>Total Hours</w:t>
            </w:r>
          </w:p>
        </w:tc>
        <w:tc>
          <w:tcPr>
            <w:tcW w:w="2337" w:type="dxa"/>
          </w:tcPr>
          <w:p w14:paraId="4790151D" w14:textId="77777777" w:rsidR="00CA1A57" w:rsidRPr="000C5175" w:rsidRDefault="00FA4030" w:rsidP="000B6E83">
            <w:pPr>
              <w:rPr>
                <w:b/>
                <w:color w:val="000000" w:themeColor="text1"/>
              </w:rPr>
            </w:pPr>
            <w:r w:rsidRPr="000C5175">
              <w:rPr>
                <w:b/>
                <w:color w:val="000000" w:themeColor="text1"/>
              </w:rPr>
              <w:t>6,540</w:t>
            </w:r>
          </w:p>
        </w:tc>
        <w:tc>
          <w:tcPr>
            <w:tcW w:w="2338" w:type="dxa"/>
          </w:tcPr>
          <w:p w14:paraId="7D86D04C" w14:textId="77777777" w:rsidR="00CA1A57" w:rsidRPr="000C5175" w:rsidRDefault="00CA1A57" w:rsidP="000B6E83">
            <w:pPr>
              <w:rPr>
                <w:b/>
                <w:color w:val="000000" w:themeColor="text1"/>
              </w:rPr>
            </w:pPr>
          </w:p>
        </w:tc>
        <w:tc>
          <w:tcPr>
            <w:tcW w:w="2338" w:type="dxa"/>
          </w:tcPr>
          <w:p w14:paraId="37F200DA" w14:textId="77777777" w:rsidR="00CA1A57" w:rsidRPr="000C5175" w:rsidRDefault="00FA4030" w:rsidP="000B6E83">
            <w:pPr>
              <w:rPr>
                <w:b/>
                <w:color w:val="000000" w:themeColor="text1"/>
              </w:rPr>
            </w:pPr>
            <w:r w:rsidRPr="000C5175">
              <w:rPr>
                <w:b/>
                <w:color w:val="000000" w:themeColor="text1"/>
              </w:rPr>
              <w:t>$1,049,440</w:t>
            </w:r>
          </w:p>
        </w:tc>
      </w:tr>
    </w:tbl>
    <w:p w14:paraId="4FDC6408" w14:textId="77777777" w:rsidR="00FA4030" w:rsidRPr="000C5175" w:rsidRDefault="00FA4030" w:rsidP="000B6E83">
      <w:pPr>
        <w:rPr>
          <w:color w:val="000000" w:themeColor="text1"/>
        </w:rPr>
      </w:pPr>
    </w:p>
    <w:p w14:paraId="54F66BD5" w14:textId="77777777" w:rsidR="00FA4030" w:rsidRPr="000C5175" w:rsidRDefault="00FA4030" w:rsidP="000B6E83">
      <w:pPr>
        <w:rPr>
          <w:color w:val="000000" w:themeColor="text1"/>
        </w:rPr>
      </w:pPr>
    </w:p>
    <w:tbl>
      <w:tblPr>
        <w:tblStyle w:val="TableGrid"/>
        <w:tblW w:w="9445" w:type="dxa"/>
        <w:tblLook w:val="04A0" w:firstRow="1" w:lastRow="0" w:firstColumn="1" w:lastColumn="0" w:noHBand="0" w:noVBand="1"/>
      </w:tblPr>
      <w:tblGrid>
        <w:gridCol w:w="3116"/>
        <w:gridCol w:w="6329"/>
      </w:tblGrid>
      <w:tr w:rsidR="006A72B3" w:rsidRPr="000C5175" w14:paraId="141DB558" w14:textId="77777777" w:rsidTr="008936A8">
        <w:tc>
          <w:tcPr>
            <w:tcW w:w="3116" w:type="dxa"/>
          </w:tcPr>
          <w:p w14:paraId="0C93BDEC" w14:textId="77777777" w:rsidR="00D14DF2" w:rsidRPr="000C5175" w:rsidRDefault="00D14DF2" w:rsidP="000B6E83">
            <w:pPr>
              <w:rPr>
                <w:b/>
                <w:color w:val="000000" w:themeColor="text1"/>
              </w:rPr>
            </w:pPr>
            <w:r w:rsidRPr="000C5175">
              <w:rPr>
                <w:b/>
                <w:color w:val="000000" w:themeColor="text1"/>
              </w:rPr>
              <w:t>Activity</w:t>
            </w:r>
          </w:p>
        </w:tc>
        <w:tc>
          <w:tcPr>
            <w:tcW w:w="6329" w:type="dxa"/>
          </w:tcPr>
          <w:p w14:paraId="1AE9BDA9" w14:textId="77777777" w:rsidR="00D14DF2" w:rsidRPr="000C5175" w:rsidRDefault="00D14DF2" w:rsidP="000B6E83">
            <w:pPr>
              <w:rPr>
                <w:b/>
                <w:color w:val="000000" w:themeColor="text1"/>
              </w:rPr>
            </w:pPr>
            <w:r w:rsidRPr="000C5175">
              <w:rPr>
                <w:b/>
                <w:color w:val="000000" w:themeColor="text1"/>
              </w:rPr>
              <w:t>Cost</w:t>
            </w:r>
          </w:p>
        </w:tc>
      </w:tr>
      <w:tr w:rsidR="006A72B3" w:rsidRPr="000C5175" w14:paraId="45B7C1C2" w14:textId="77777777" w:rsidTr="008936A8">
        <w:tc>
          <w:tcPr>
            <w:tcW w:w="3116" w:type="dxa"/>
          </w:tcPr>
          <w:p w14:paraId="52C2A63E" w14:textId="77777777" w:rsidR="00D14DF2" w:rsidRPr="000C5175" w:rsidRDefault="00D14DF2" w:rsidP="000B6E83">
            <w:pPr>
              <w:rPr>
                <w:color w:val="000000" w:themeColor="text1"/>
              </w:rPr>
            </w:pPr>
            <w:r w:rsidRPr="000C5175">
              <w:rPr>
                <w:color w:val="000000" w:themeColor="text1"/>
              </w:rPr>
              <w:t>Direct Labor</w:t>
            </w:r>
          </w:p>
        </w:tc>
        <w:tc>
          <w:tcPr>
            <w:tcW w:w="6329" w:type="dxa"/>
          </w:tcPr>
          <w:p w14:paraId="107077FC" w14:textId="77777777" w:rsidR="00D14DF2" w:rsidRPr="000C5175" w:rsidRDefault="00D14DF2" w:rsidP="00D14DF2">
            <w:pPr>
              <w:rPr>
                <w:color w:val="000000" w:themeColor="text1"/>
              </w:rPr>
            </w:pPr>
            <w:r w:rsidRPr="000C5175">
              <w:rPr>
                <w:color w:val="000000" w:themeColor="text1"/>
              </w:rPr>
              <w:t>$1,049,440</w:t>
            </w:r>
          </w:p>
        </w:tc>
      </w:tr>
      <w:tr w:rsidR="006A72B3" w:rsidRPr="000C5175" w14:paraId="6D64304C" w14:textId="77777777" w:rsidTr="008936A8">
        <w:tc>
          <w:tcPr>
            <w:tcW w:w="3116" w:type="dxa"/>
          </w:tcPr>
          <w:p w14:paraId="359106B2" w14:textId="77777777" w:rsidR="00D14DF2" w:rsidRPr="000C5175" w:rsidRDefault="00D14DF2" w:rsidP="000B6E83">
            <w:pPr>
              <w:rPr>
                <w:color w:val="000000" w:themeColor="text1"/>
              </w:rPr>
            </w:pPr>
            <w:r w:rsidRPr="000C5175">
              <w:rPr>
                <w:color w:val="000000" w:themeColor="text1"/>
              </w:rPr>
              <w:t>Related Travel</w:t>
            </w:r>
          </w:p>
        </w:tc>
        <w:tc>
          <w:tcPr>
            <w:tcW w:w="6329" w:type="dxa"/>
          </w:tcPr>
          <w:p w14:paraId="17BA9EA0" w14:textId="77777777" w:rsidR="00D14DF2" w:rsidRPr="000C5175" w:rsidRDefault="00D14DF2" w:rsidP="000B6E83">
            <w:pPr>
              <w:rPr>
                <w:color w:val="000000" w:themeColor="text1"/>
              </w:rPr>
            </w:pPr>
            <w:r w:rsidRPr="000C5175">
              <w:rPr>
                <w:color w:val="000000" w:themeColor="text1"/>
              </w:rPr>
              <w:t>$9,626</w:t>
            </w:r>
          </w:p>
        </w:tc>
      </w:tr>
      <w:tr w:rsidR="00D14DF2" w:rsidRPr="000C5175" w14:paraId="778ECB23" w14:textId="77777777" w:rsidTr="008936A8">
        <w:tc>
          <w:tcPr>
            <w:tcW w:w="3116" w:type="dxa"/>
          </w:tcPr>
          <w:p w14:paraId="379DBB16" w14:textId="77777777" w:rsidR="00D14DF2" w:rsidRPr="000C5175" w:rsidRDefault="00D14DF2" w:rsidP="000B6E83">
            <w:pPr>
              <w:rPr>
                <w:b/>
                <w:color w:val="000000" w:themeColor="text1"/>
              </w:rPr>
            </w:pPr>
            <w:r w:rsidRPr="000C5175">
              <w:rPr>
                <w:b/>
                <w:color w:val="000000" w:themeColor="text1"/>
              </w:rPr>
              <w:t>Total Cost of Direct Labor, Plus Travel</w:t>
            </w:r>
          </w:p>
        </w:tc>
        <w:tc>
          <w:tcPr>
            <w:tcW w:w="6329" w:type="dxa"/>
          </w:tcPr>
          <w:p w14:paraId="391F0EFD" w14:textId="77777777" w:rsidR="00D14DF2" w:rsidRPr="000C5175" w:rsidRDefault="00D14DF2" w:rsidP="000B6E83">
            <w:pPr>
              <w:rPr>
                <w:b/>
                <w:color w:val="000000" w:themeColor="text1"/>
              </w:rPr>
            </w:pPr>
            <w:r w:rsidRPr="000C5175">
              <w:rPr>
                <w:b/>
                <w:color w:val="000000" w:themeColor="text1"/>
              </w:rPr>
              <w:t>$1,059,066</w:t>
            </w:r>
          </w:p>
        </w:tc>
      </w:tr>
    </w:tbl>
    <w:p w14:paraId="3C13E5A4" w14:textId="77777777" w:rsidR="00FA4030" w:rsidRPr="000C5175" w:rsidRDefault="00FA4030" w:rsidP="000B6E83">
      <w:pPr>
        <w:rPr>
          <w:color w:val="000000" w:themeColor="text1"/>
        </w:rPr>
      </w:pPr>
    </w:p>
    <w:p w14:paraId="625D9C05" w14:textId="77777777" w:rsidR="00FA4030" w:rsidRPr="00BF481B" w:rsidRDefault="00FA4030" w:rsidP="000B6E83">
      <w:pPr>
        <w:rPr>
          <w:color w:val="FF0000"/>
        </w:rPr>
      </w:pPr>
    </w:p>
    <w:p w14:paraId="3C3744AF" w14:textId="77777777" w:rsidR="000B6E83" w:rsidRPr="00BF481B" w:rsidRDefault="000B6E83" w:rsidP="000B6E83">
      <w:pPr>
        <w:rPr>
          <w:color w:val="FF0000"/>
        </w:rPr>
      </w:pPr>
    </w:p>
    <w:p w14:paraId="2F52B163" w14:textId="77777777" w:rsidR="000B6E83" w:rsidRPr="00BF481B" w:rsidRDefault="000B6E83" w:rsidP="000B6E83">
      <w:pPr>
        <w:rPr>
          <w:color w:val="FF0000"/>
        </w:rPr>
      </w:pPr>
      <w:r w:rsidRPr="00BF481B">
        <w:rPr>
          <w:color w:val="000000" w:themeColor="text1"/>
        </w:rPr>
        <w:t>In addition to</w:t>
      </w:r>
      <w:r w:rsidR="00196771" w:rsidRPr="00BF481B">
        <w:rPr>
          <w:color w:val="000000" w:themeColor="text1"/>
        </w:rPr>
        <w:t xml:space="preserve"> </w:t>
      </w:r>
      <w:r w:rsidRPr="00BF481B">
        <w:rPr>
          <w:color w:val="000000" w:themeColor="text1"/>
        </w:rPr>
        <w:t xml:space="preserve">contractor costs, the Department of Energy expects </w:t>
      </w:r>
      <w:r w:rsidR="00BD30BF" w:rsidRPr="00BF481B">
        <w:rPr>
          <w:color w:val="000000" w:themeColor="text1"/>
        </w:rPr>
        <w:t xml:space="preserve">negligible </w:t>
      </w:r>
      <w:r w:rsidRPr="00BF481B">
        <w:rPr>
          <w:color w:val="000000" w:themeColor="text1"/>
        </w:rPr>
        <w:t xml:space="preserve">internal </w:t>
      </w:r>
      <w:r w:rsidR="00B864D3">
        <w:rPr>
          <w:color w:val="000000" w:themeColor="text1"/>
        </w:rPr>
        <w:t xml:space="preserve">personnel </w:t>
      </w:r>
      <w:r w:rsidRPr="00BF481B">
        <w:rPr>
          <w:color w:val="000000" w:themeColor="text1"/>
        </w:rPr>
        <w:t>costs</w:t>
      </w:r>
      <w:r w:rsidR="00DF0063" w:rsidRPr="00BF481B">
        <w:rPr>
          <w:color w:val="000000" w:themeColor="text1"/>
        </w:rPr>
        <w:t>.</w:t>
      </w:r>
    </w:p>
    <w:p w14:paraId="126BE534" w14:textId="77777777" w:rsidR="00236386" w:rsidRPr="00BF481B" w:rsidRDefault="00236386" w:rsidP="00184C46"/>
    <w:p w14:paraId="5044C53F" w14:textId="77777777" w:rsidR="00236386" w:rsidRPr="00BF481B" w:rsidRDefault="007D112C" w:rsidP="00184C46">
      <w:pPr>
        <w:numPr>
          <w:ilvl w:val="0"/>
          <w:numId w:val="7"/>
        </w:numPr>
        <w:rPr>
          <w:b/>
          <w:u w:val="single"/>
        </w:rPr>
      </w:pPr>
      <w:r w:rsidRPr="00BF481B">
        <w:rPr>
          <w:b/>
          <w:u w:val="single"/>
        </w:rPr>
        <w:t xml:space="preserve">Explain the reasons for any program changes or adjustments reported in Items 13 (or 14) of OMB Form 83-I. </w:t>
      </w:r>
    </w:p>
    <w:p w14:paraId="794FD50E" w14:textId="77777777" w:rsidR="00E10FC0" w:rsidRPr="00BF481B" w:rsidRDefault="00E10FC0" w:rsidP="00184C46"/>
    <w:p w14:paraId="06AD6BC2" w14:textId="77777777" w:rsidR="007D112C" w:rsidRPr="00BF481B" w:rsidRDefault="007D112C" w:rsidP="00184C46"/>
    <w:p w14:paraId="460B93B8" w14:textId="77777777" w:rsidR="000D7FE9" w:rsidRPr="00BF481B" w:rsidRDefault="000D7FE9" w:rsidP="0009794A">
      <w:pPr>
        <w:outlineLvl w:val="0"/>
        <w:rPr>
          <w:color w:val="000000" w:themeColor="text1"/>
        </w:rPr>
      </w:pPr>
      <w:r w:rsidRPr="00BF481B">
        <w:rPr>
          <w:color w:val="000000" w:themeColor="text1"/>
        </w:rPr>
        <w:t xml:space="preserve">This is </w:t>
      </w:r>
      <w:r w:rsidR="00623B14" w:rsidRPr="00BF481B">
        <w:rPr>
          <w:color w:val="000000" w:themeColor="text1"/>
        </w:rPr>
        <w:t>a new collection, therefore, there are no program changes or adjustments to report.</w:t>
      </w:r>
    </w:p>
    <w:p w14:paraId="452ED40F" w14:textId="77777777" w:rsidR="00EB54D2" w:rsidRPr="00BF481B" w:rsidRDefault="00EB54D2" w:rsidP="00184C46">
      <w:pPr>
        <w:rPr>
          <w:color w:val="FF0000"/>
        </w:rPr>
      </w:pPr>
    </w:p>
    <w:p w14:paraId="308A119A" w14:textId="77777777" w:rsidR="00236386" w:rsidRPr="00BF481B" w:rsidRDefault="007D112C" w:rsidP="00184C46">
      <w:pPr>
        <w:numPr>
          <w:ilvl w:val="0"/>
          <w:numId w:val="7"/>
        </w:numPr>
        <w:rPr>
          <w:b/>
          <w:u w:val="single"/>
        </w:rPr>
      </w:pPr>
      <w:r w:rsidRPr="00BF481B">
        <w:rPr>
          <w:b/>
          <w:u w:val="single"/>
        </w:rPr>
        <w:t xml:space="preserve">For collections whose results will be published, outline the plans for tabulation and publication. </w:t>
      </w:r>
    </w:p>
    <w:p w14:paraId="3BD205BB" w14:textId="77777777" w:rsidR="007D112C" w:rsidRPr="00BF481B" w:rsidRDefault="007D112C" w:rsidP="00184C46">
      <w:pPr>
        <w:rPr>
          <w:b/>
          <w:u w:val="single"/>
        </w:rPr>
      </w:pPr>
    </w:p>
    <w:p w14:paraId="0332A709" w14:textId="77777777" w:rsidR="00EB54D2" w:rsidRPr="00BF481B" w:rsidRDefault="00EB54D2" w:rsidP="00184C46"/>
    <w:p w14:paraId="433B868D" w14:textId="77777777" w:rsidR="00B92198" w:rsidRDefault="00EB54D2" w:rsidP="0009794A">
      <w:pPr>
        <w:outlineLvl w:val="0"/>
        <w:rPr>
          <w:color w:val="000000" w:themeColor="text1"/>
        </w:rPr>
      </w:pPr>
      <w:r w:rsidRPr="00BF481B">
        <w:rPr>
          <w:color w:val="000000" w:themeColor="text1"/>
        </w:rPr>
        <w:t>Collected d</w:t>
      </w:r>
      <w:r w:rsidR="000D7FE9" w:rsidRPr="00BF481B">
        <w:rPr>
          <w:color w:val="000000" w:themeColor="text1"/>
        </w:rPr>
        <w:t>ata will be published on the Department of Energy website</w:t>
      </w:r>
      <w:r w:rsidR="006A72B3">
        <w:rPr>
          <w:color w:val="000000" w:themeColor="text1"/>
        </w:rPr>
        <w:t>.  Information will be aggregated when presented so that no individual company data will be revealed.  The goal is to maintain</w:t>
      </w:r>
      <w:r w:rsidR="00B92198">
        <w:rPr>
          <w:color w:val="000000" w:themeColor="text1"/>
        </w:rPr>
        <w:t xml:space="preserve"> confidentiality of information received from respondents.</w:t>
      </w:r>
    </w:p>
    <w:p w14:paraId="37CC570E" w14:textId="77777777" w:rsidR="00B92198" w:rsidRDefault="00B92198" w:rsidP="0009794A">
      <w:pPr>
        <w:outlineLvl w:val="0"/>
        <w:rPr>
          <w:color w:val="000000" w:themeColor="text1"/>
        </w:rPr>
      </w:pPr>
    </w:p>
    <w:p w14:paraId="493EBE6A" w14:textId="763B7C29" w:rsidR="000D7FE9" w:rsidRPr="00BF481B" w:rsidRDefault="00B92198" w:rsidP="0009794A">
      <w:pPr>
        <w:outlineLvl w:val="0"/>
        <w:rPr>
          <w:color w:val="000000" w:themeColor="text1"/>
        </w:rPr>
      </w:pPr>
      <w:r>
        <w:rPr>
          <w:color w:val="000000" w:themeColor="text1"/>
        </w:rPr>
        <w:t>Information will be reported by industry, national level, state level and by NAICS code level.  However, consistent with Bureau of Labor Statistics guidelines data will be suppressed if it could be substantially attributed to a single employer.  For example, in cases where there are fewer</w:t>
      </w:r>
      <w:r w:rsidR="00217235">
        <w:rPr>
          <w:color w:val="000000" w:themeColor="text1"/>
        </w:rPr>
        <w:t xml:space="preserve"> than three respondents in </w:t>
      </w:r>
      <w:r>
        <w:rPr>
          <w:color w:val="000000" w:themeColor="text1"/>
        </w:rPr>
        <w:t>a geographic region that information is reported in</w:t>
      </w:r>
      <w:r w:rsidR="00217235">
        <w:rPr>
          <w:color w:val="000000" w:themeColor="text1"/>
        </w:rPr>
        <w:t xml:space="preserve"> </w:t>
      </w:r>
      <w:r>
        <w:rPr>
          <w:color w:val="000000" w:themeColor="text1"/>
        </w:rPr>
        <w:t xml:space="preserve">national figures but suppressed otherwise and a secondary </w:t>
      </w:r>
      <w:r w:rsidR="00217235">
        <w:rPr>
          <w:color w:val="000000" w:themeColor="text1"/>
        </w:rPr>
        <w:t>analysis, on a case by case basis, is applied to determine if data can be revealed without breaching confidentiality.</w:t>
      </w:r>
    </w:p>
    <w:p w14:paraId="071BC08E" w14:textId="77777777" w:rsidR="007D112C" w:rsidRPr="00BF481B" w:rsidRDefault="007D112C" w:rsidP="00184C46"/>
    <w:p w14:paraId="4EB6BC1C" w14:textId="77777777" w:rsidR="00236386" w:rsidRPr="00BF481B" w:rsidRDefault="007D112C" w:rsidP="00184C46">
      <w:pPr>
        <w:numPr>
          <w:ilvl w:val="0"/>
          <w:numId w:val="7"/>
        </w:numPr>
        <w:rPr>
          <w:b/>
          <w:u w:val="single"/>
        </w:rPr>
      </w:pPr>
      <w:r w:rsidRPr="00BF481B">
        <w:rPr>
          <w:b/>
          <w:u w:val="single"/>
        </w:rPr>
        <w:t xml:space="preserve">If seeking approval to not display the expiration date for OMB approval of the information collection, explain the reasons why display would be inappropriate. </w:t>
      </w:r>
    </w:p>
    <w:p w14:paraId="535B64AC" w14:textId="77777777" w:rsidR="007D112C" w:rsidRPr="00BF481B" w:rsidRDefault="007D112C" w:rsidP="00184C46">
      <w:pPr>
        <w:rPr>
          <w:b/>
          <w:u w:val="single"/>
        </w:rPr>
      </w:pPr>
    </w:p>
    <w:p w14:paraId="743206E7" w14:textId="77777777" w:rsidR="00EB54D2" w:rsidRPr="00BF481B" w:rsidRDefault="00EB54D2" w:rsidP="00184C46">
      <w:pPr>
        <w:rPr>
          <w:color w:val="FF0000"/>
        </w:rPr>
      </w:pPr>
    </w:p>
    <w:p w14:paraId="3E3FC5C0" w14:textId="77777777" w:rsidR="000D7FE9" w:rsidRPr="00BF481B" w:rsidRDefault="000D7FE9" w:rsidP="0009794A">
      <w:pPr>
        <w:outlineLvl w:val="0"/>
        <w:rPr>
          <w:color w:val="000000" w:themeColor="text1"/>
        </w:rPr>
      </w:pPr>
      <w:r w:rsidRPr="00BF481B">
        <w:rPr>
          <w:color w:val="000000" w:themeColor="text1"/>
        </w:rPr>
        <w:t>We have no objection to displaying the date for OMB approval.</w:t>
      </w:r>
    </w:p>
    <w:p w14:paraId="2F923E14" w14:textId="77777777" w:rsidR="007D112C" w:rsidRPr="00BF481B" w:rsidRDefault="007D112C" w:rsidP="00184C46"/>
    <w:p w14:paraId="18644B40" w14:textId="77777777" w:rsidR="00236386" w:rsidRPr="00BF481B" w:rsidRDefault="007D112C" w:rsidP="00184C46">
      <w:pPr>
        <w:numPr>
          <w:ilvl w:val="0"/>
          <w:numId w:val="7"/>
        </w:numPr>
        <w:rPr>
          <w:b/>
          <w:u w:val="single"/>
        </w:rPr>
      </w:pPr>
      <w:r w:rsidRPr="00BF481B">
        <w:rPr>
          <w:b/>
          <w:u w:val="single"/>
        </w:rPr>
        <w:t>Explain each exception to the certification statement identified in Item 19 of OMB Form 83-I.</w:t>
      </w:r>
    </w:p>
    <w:p w14:paraId="5AA7A2C0" w14:textId="77777777" w:rsidR="007D112C" w:rsidRPr="00BF481B" w:rsidRDefault="007D112C" w:rsidP="00184C46">
      <w:pPr>
        <w:rPr>
          <w:b/>
          <w:u w:val="single"/>
        </w:rPr>
      </w:pPr>
    </w:p>
    <w:p w14:paraId="6C1B8B0C" w14:textId="77777777" w:rsidR="00236386" w:rsidRPr="00BF481B" w:rsidRDefault="000D7FE9" w:rsidP="0009794A">
      <w:pPr>
        <w:outlineLvl w:val="0"/>
        <w:rPr>
          <w:color w:val="000000" w:themeColor="text1"/>
        </w:rPr>
      </w:pPr>
      <w:r w:rsidRPr="00BF481B">
        <w:rPr>
          <w:color w:val="000000" w:themeColor="text1"/>
        </w:rPr>
        <w:t>We are not requesting an exception to the certification statement.</w:t>
      </w:r>
    </w:p>
    <w:p w14:paraId="77B22964" w14:textId="77777777" w:rsidR="00184C46" w:rsidRPr="00BF481B" w:rsidRDefault="00184C46" w:rsidP="007D112C">
      <w:pPr>
        <w:ind w:left="360"/>
        <w:rPr>
          <w:b/>
          <w:u w:val="single"/>
        </w:rPr>
      </w:pPr>
    </w:p>
    <w:p w14:paraId="08EAE009" w14:textId="77777777" w:rsidR="008C0162" w:rsidRPr="00BF481B" w:rsidRDefault="008C0162" w:rsidP="007D112C">
      <w:pPr>
        <w:ind w:left="360"/>
        <w:rPr>
          <w:b/>
          <w:u w:val="single"/>
        </w:rPr>
      </w:pPr>
    </w:p>
    <w:p w14:paraId="35A172BE" w14:textId="77777777" w:rsidR="001A2BFC" w:rsidRPr="001A2BFC" w:rsidRDefault="007C128A" w:rsidP="007B1937">
      <w:r>
        <w:rPr>
          <w:b/>
          <w:u w:val="single"/>
        </w:rPr>
        <w:br w:type="page"/>
      </w:r>
    </w:p>
    <w:sectPr w:rsidR="001A2BFC" w:rsidRPr="001A2BFC" w:rsidSect="00000957">
      <w:footerReference w:type="default" r:id="rId8"/>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4F022" w14:textId="77777777" w:rsidR="00F75AE7" w:rsidRDefault="00F75AE7">
      <w:r>
        <w:separator/>
      </w:r>
    </w:p>
  </w:endnote>
  <w:endnote w:type="continuationSeparator" w:id="0">
    <w:p w14:paraId="12F6B225" w14:textId="77777777" w:rsidR="00F75AE7" w:rsidRDefault="00F7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29B9" w14:textId="77777777" w:rsidR="00DF2D40" w:rsidRDefault="00DF2D40" w:rsidP="00C9228B">
    <w:pPr>
      <w:pStyle w:val="Footer"/>
      <w:framePr w:wrap="around" w:vAnchor="text" w:hAnchor="margin" w:xAlign="right" w:y="1"/>
      <w:rPr>
        <w:rStyle w:val="PageNumber"/>
      </w:rPr>
    </w:pPr>
  </w:p>
  <w:p w14:paraId="5B6FAB25" w14:textId="77777777" w:rsidR="00DF2D40" w:rsidRDefault="00DF2D40" w:rsidP="004F61BB">
    <w:pPr>
      <w:pStyle w:val="Footer"/>
      <w:ind w:right="360"/>
      <w:rPr>
        <w:sz w:val="16"/>
        <w:szCs w:val="16"/>
      </w:rPr>
    </w:pPr>
  </w:p>
  <w:p w14:paraId="66059DE7" w14:textId="77777777" w:rsidR="00DF2D40" w:rsidRDefault="00DF2D40" w:rsidP="004F61BB">
    <w:pPr>
      <w:pStyle w:val="Footer"/>
      <w:ind w:right="360"/>
      <w:rPr>
        <w:sz w:val="16"/>
        <w:szCs w:val="16"/>
      </w:rPr>
    </w:pPr>
  </w:p>
  <w:p w14:paraId="0087A39A" w14:textId="77777777" w:rsidR="00DF2D40" w:rsidRPr="004F61BB" w:rsidRDefault="00DF2D4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9724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E08DF" w14:textId="77777777" w:rsidR="00F75AE7" w:rsidRDefault="00F75AE7">
      <w:r>
        <w:separator/>
      </w:r>
    </w:p>
  </w:footnote>
  <w:footnote w:type="continuationSeparator" w:id="0">
    <w:p w14:paraId="2F5674AC" w14:textId="77777777" w:rsidR="00F75AE7" w:rsidRDefault="00F75AE7">
      <w:r>
        <w:continuationSeparator/>
      </w:r>
    </w:p>
  </w:footnote>
  <w:footnote w:id="1">
    <w:p w14:paraId="6AEE0936" w14:textId="77777777" w:rsidR="00545AF1" w:rsidRDefault="00545AF1">
      <w:pPr>
        <w:pStyle w:val="FootnoteText"/>
      </w:pPr>
      <w:r>
        <w:rPr>
          <w:rStyle w:val="FootnoteReference"/>
        </w:rPr>
        <w:footnoteRef/>
      </w:r>
      <w:r>
        <w:t xml:space="preserve"> DOE Jobs Strategy Council- </w:t>
      </w:r>
      <w:r w:rsidRPr="00AF1E95">
        <w:t>http://www.energy.gov/articles/energy-department-creates-jobs-strategy-council-focus-job-growth-energy-economy</w:t>
      </w:r>
    </w:p>
  </w:footnote>
  <w:footnote w:id="2">
    <w:p w14:paraId="48E459D2" w14:textId="77777777" w:rsidR="00545AF1" w:rsidRDefault="00545AF1">
      <w:pPr>
        <w:pStyle w:val="FootnoteText"/>
      </w:pPr>
      <w:r>
        <w:rPr>
          <w:rStyle w:val="FootnoteReference"/>
        </w:rPr>
        <w:footnoteRef/>
      </w:r>
      <w:r>
        <w:t xml:space="preserve"> Climate Action Plan- </w:t>
      </w:r>
      <w:r w:rsidRPr="00AF1E95">
        <w:t>https://www.whitehouse.gov/share/climate-action-plan</w:t>
      </w:r>
    </w:p>
  </w:footnote>
  <w:footnote w:id="3">
    <w:p w14:paraId="7B56BB35" w14:textId="77777777" w:rsidR="00545AF1" w:rsidRDefault="00545AF1">
      <w:pPr>
        <w:pStyle w:val="FootnoteText"/>
      </w:pPr>
      <w:r>
        <w:rPr>
          <w:rStyle w:val="FootnoteReference"/>
        </w:rPr>
        <w:footnoteRef/>
      </w:r>
      <w:r>
        <w:t xml:space="preserve"> Presidential Memorandum Establishing a Quadrennial Energy Review-  </w:t>
      </w:r>
      <w:r w:rsidRPr="00645956">
        <w:t>https://www.whitehouse.gov/the-press-office/2014/01/09/presidential-memorandum-establishing-quadrennial-energy-review</w:t>
      </w:r>
    </w:p>
  </w:footnote>
  <w:footnote w:id="4">
    <w:p w14:paraId="4958CC00" w14:textId="77777777" w:rsidR="00545AF1" w:rsidRDefault="00545AF1">
      <w:pPr>
        <w:pStyle w:val="FootnoteText"/>
      </w:pPr>
      <w:r>
        <w:rPr>
          <w:rStyle w:val="FootnoteReference"/>
        </w:rPr>
        <w:footnoteRef/>
      </w:r>
      <w:r>
        <w:t xml:space="preserve"> DOE Quadrennial Energy Review First Installment-  </w:t>
      </w:r>
      <w:r w:rsidRPr="00700A1A">
        <w:t>http://energy.gov/epsa/downloads/quadrennial-energy-review-first-installment</w:t>
      </w:r>
    </w:p>
  </w:footnote>
  <w:footnote w:id="5">
    <w:p w14:paraId="6E96FDA1" w14:textId="77777777" w:rsidR="005933BF" w:rsidRDefault="005933BF">
      <w:pPr>
        <w:pStyle w:val="FootnoteText"/>
      </w:pPr>
      <w:r>
        <w:rPr>
          <w:rStyle w:val="FootnoteReference"/>
        </w:rPr>
        <w:footnoteRef/>
      </w:r>
      <w:r>
        <w:t xml:space="preserve"> </w:t>
      </w:r>
      <w:r w:rsidRPr="000B6E83">
        <w:t xml:space="preserve">U.S. Energy and Employment Report </w:t>
      </w:r>
      <w:hyperlink r:id="rId1" w:history="1">
        <w:r w:rsidRPr="000B6E83">
          <w:rPr>
            <w:rStyle w:val="Hyperlink"/>
          </w:rPr>
          <w:t>http://www.energy.gov/downloads/us-energy-and-employment-report</w:t>
        </w:r>
      </w:hyperlink>
    </w:p>
  </w:footnote>
  <w:footnote w:id="6">
    <w:p w14:paraId="318CFD54" w14:textId="77777777" w:rsidR="00014E1F" w:rsidRDefault="00014E1F">
      <w:pPr>
        <w:pStyle w:val="FootnoteText"/>
      </w:pPr>
      <w:r>
        <w:rPr>
          <w:rStyle w:val="FootnoteReference"/>
        </w:rPr>
        <w:footnoteRef/>
      </w:r>
      <w:r>
        <w:t xml:space="preserve"> </w:t>
      </w:r>
      <w:r w:rsidR="00B45452">
        <w:t xml:space="preserve">Presidential Memorandum Job Driven Training- </w:t>
      </w:r>
      <w:r w:rsidR="00B45452" w:rsidRPr="00700A1A">
        <w:t>https://www.whitehouse.gov/the-press-office/2014/01/30/presidential-memorandum-job-driven-training-workers</w:t>
      </w:r>
    </w:p>
  </w:footnote>
  <w:footnote w:id="7">
    <w:p w14:paraId="08DF5277" w14:textId="77777777" w:rsidR="00B45452" w:rsidRPr="004F0428" w:rsidRDefault="00B45452" w:rsidP="00B45452">
      <w:pPr>
        <w:autoSpaceDE w:val="0"/>
        <w:autoSpaceDN w:val="0"/>
        <w:adjustRightInd w:val="0"/>
        <w:rPr>
          <w:sz w:val="20"/>
          <w:szCs w:val="20"/>
        </w:rPr>
      </w:pPr>
      <w:r w:rsidRPr="004F0428">
        <w:rPr>
          <w:rStyle w:val="FootnoteReference"/>
        </w:rPr>
        <w:footnoteRef/>
      </w:r>
      <w:r w:rsidRPr="004F0428">
        <w:t xml:space="preserve"> </w:t>
      </w:r>
      <w:r w:rsidRPr="004F0428">
        <w:rPr>
          <w:sz w:val="20"/>
          <w:szCs w:val="20"/>
        </w:rPr>
        <w:t>NAICS, or North American Industrial Classification System, is the official way to categorize industries in the United</w:t>
      </w:r>
    </w:p>
    <w:p w14:paraId="7A6B55A0" w14:textId="77777777" w:rsidR="00B45452" w:rsidRPr="004F0428" w:rsidRDefault="00B45452" w:rsidP="00B45452">
      <w:pPr>
        <w:pStyle w:val="FootnoteText"/>
      </w:pPr>
      <w:r w:rsidRPr="004F0428">
        <w:t>States, Canada, and Mexico.</w:t>
      </w:r>
      <w:r w:rsidR="004F0428" w:rsidRPr="004F0428">
        <w:t xml:space="preserve"> </w:t>
      </w:r>
      <w:hyperlink r:id="rId2" w:history="1">
        <w:r w:rsidR="004F0428" w:rsidRPr="004F0428">
          <w:rPr>
            <w:rStyle w:val="Hyperlink"/>
          </w:rPr>
          <w:t>http://www.census.gov/eos/www/naics/</w:t>
        </w:r>
      </w:hyperlink>
      <w:r w:rsidR="004F0428" w:rsidRPr="004F0428">
        <w:t xml:space="preserve"> </w:t>
      </w:r>
    </w:p>
  </w:footnote>
  <w:footnote w:id="8">
    <w:p w14:paraId="02C0D663" w14:textId="77777777" w:rsidR="004F0428" w:rsidRDefault="004F0428">
      <w:pPr>
        <w:pStyle w:val="FootnoteText"/>
      </w:pPr>
      <w:r w:rsidRPr="004F0428">
        <w:rPr>
          <w:rStyle w:val="FootnoteReference"/>
        </w:rPr>
        <w:footnoteRef/>
      </w:r>
      <w:r w:rsidRPr="004F0428">
        <w:t xml:space="preserve"> Standard Occupational Classification 2010 </w:t>
      </w:r>
      <w:hyperlink r:id="rId3" w:history="1">
        <w:r w:rsidRPr="004F0428">
          <w:rPr>
            <w:rStyle w:val="Hyperlink"/>
          </w:rPr>
          <w:t>http://www.bls.gov/ggs/</w:t>
        </w:r>
      </w:hyperlink>
      <w:r>
        <w:t xml:space="preserve"> </w:t>
      </w:r>
    </w:p>
  </w:footnote>
  <w:footnote w:id="9">
    <w:p w14:paraId="3AED3FCC" w14:textId="77777777" w:rsidR="004F0428" w:rsidRDefault="004F0428">
      <w:pPr>
        <w:pStyle w:val="FootnoteText"/>
      </w:pPr>
      <w:r>
        <w:rPr>
          <w:rStyle w:val="FootnoteReference"/>
        </w:rPr>
        <w:footnoteRef/>
      </w:r>
      <w:r>
        <w:t xml:space="preserve"> BLS Green Goods and Services Survey </w:t>
      </w:r>
      <w:hyperlink r:id="rId4" w:history="1">
        <w:r w:rsidRPr="00AE0B4C">
          <w:rPr>
            <w:rStyle w:val="Hyperlink"/>
          </w:rPr>
          <w:t>http://www.bls.gov/ggs/</w:t>
        </w:r>
      </w:hyperlink>
      <w:r>
        <w:t xml:space="preserve"> </w:t>
      </w:r>
    </w:p>
  </w:footnote>
  <w:footnote w:id="10">
    <w:p w14:paraId="3AB558EB" w14:textId="77777777" w:rsidR="004F0428" w:rsidRDefault="004F0428">
      <w:pPr>
        <w:pStyle w:val="FootnoteText"/>
      </w:pPr>
      <w:r>
        <w:rPr>
          <w:rStyle w:val="FootnoteReference"/>
        </w:rPr>
        <w:footnoteRef/>
      </w:r>
      <w:r>
        <w:t xml:space="preserve"> BLS 2013 Sequestration Information </w:t>
      </w:r>
      <w:hyperlink r:id="rId5" w:history="1">
        <w:r w:rsidRPr="00AE0B4C">
          <w:rPr>
            <w:rStyle w:val="Hyperlink"/>
          </w:rPr>
          <w:t>http://www.bls.gov/bls/sequester_info.htm</w:t>
        </w:r>
      </w:hyperlink>
      <w:r>
        <w:t xml:space="preserve"> </w:t>
      </w:r>
    </w:p>
  </w:footnote>
  <w:footnote w:id="11">
    <w:p w14:paraId="5A20F7C0" w14:textId="77777777" w:rsidR="007209F1" w:rsidRDefault="007209F1" w:rsidP="007209F1">
      <w:pPr>
        <w:pStyle w:val="FootnoteText"/>
      </w:pPr>
      <w:r>
        <w:rPr>
          <w:rStyle w:val="FootnoteReference"/>
        </w:rPr>
        <w:footnoteRef/>
      </w:r>
      <w:r>
        <w:t xml:space="preserve"> DOE Quadrennial Energy Review First Installment-  </w:t>
      </w:r>
      <w:hyperlink r:id="rId6" w:history="1">
        <w:r w:rsidRPr="00AE0B4C">
          <w:rPr>
            <w:rStyle w:val="Hyperlink"/>
          </w:rPr>
          <w:t>http://energy.gov/epsa/downloads/quadrennial-energy-review-first-installment</w:t>
        </w:r>
      </w:hyperlink>
      <w:r>
        <w:t xml:space="preserve">   Section 8- Enhancing Employment and Workforce Training</w:t>
      </w:r>
    </w:p>
  </w:footnote>
  <w:footnote w:id="12">
    <w:p w14:paraId="3DCD6C6C" w14:textId="77777777" w:rsidR="007209F1" w:rsidRPr="00B45452" w:rsidRDefault="007209F1" w:rsidP="007209F1">
      <w:pPr>
        <w:autoSpaceDE w:val="0"/>
        <w:autoSpaceDN w:val="0"/>
        <w:adjustRightInd w:val="0"/>
        <w:rPr>
          <w:sz w:val="20"/>
          <w:szCs w:val="20"/>
        </w:rPr>
      </w:pPr>
      <w:r w:rsidRPr="00B45452">
        <w:rPr>
          <w:rStyle w:val="FootnoteReference"/>
        </w:rPr>
        <w:footnoteRef/>
      </w:r>
      <w:r w:rsidRPr="00B45452">
        <w:t xml:space="preserve"> </w:t>
      </w:r>
      <w:r w:rsidRPr="00B45452">
        <w:rPr>
          <w:sz w:val="20"/>
          <w:szCs w:val="20"/>
        </w:rPr>
        <w:t>Robert Bacon and Masami Kojima, Issues in Estimating the Employment Generated by Energy</w:t>
      </w:r>
    </w:p>
    <w:p w14:paraId="0CC545C0" w14:textId="77777777" w:rsidR="007209F1" w:rsidRDefault="007209F1" w:rsidP="007209F1">
      <w:pPr>
        <w:pStyle w:val="FootnoteText"/>
      </w:pPr>
      <w:r w:rsidRPr="00B45452">
        <w:t>Sector Activities, The World Bank Sustainable Energy Department, 2011</w:t>
      </w:r>
    </w:p>
  </w:footnote>
  <w:footnote w:id="13">
    <w:p w14:paraId="07119A6A" w14:textId="77777777" w:rsidR="007209F1" w:rsidRDefault="007209F1" w:rsidP="007209F1">
      <w:pPr>
        <w:pStyle w:val="FootnoteText"/>
      </w:pPr>
      <w:r>
        <w:rPr>
          <w:rStyle w:val="FootnoteReference"/>
        </w:rPr>
        <w:footnoteRef/>
      </w:r>
      <w:r>
        <w:t xml:space="preserve"> </w:t>
      </w:r>
      <w:r w:rsidRPr="000B6E83">
        <w:t xml:space="preserve">U.S. Energy and Employment Report </w:t>
      </w:r>
      <w:hyperlink r:id="rId7" w:history="1">
        <w:r w:rsidRPr="000B6E83">
          <w:rPr>
            <w:rStyle w:val="Hyperlink"/>
          </w:rPr>
          <w:t>http://www.energy.gov/downloads/us-energy-and-employment-report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4AA2"/>
    <w:multiLevelType w:val="hybridMultilevel"/>
    <w:tmpl w:val="74BC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A36F2"/>
    <w:multiLevelType w:val="hybridMultilevel"/>
    <w:tmpl w:val="629C7B48"/>
    <w:lvl w:ilvl="0" w:tplc="04090001">
      <w:start w:val="1"/>
      <w:numFmt w:val="bullet"/>
      <w:lvlText w:val=""/>
      <w:lvlJc w:val="left"/>
      <w:pPr>
        <w:ind w:left="720" w:hanging="360"/>
      </w:pPr>
      <w:rPr>
        <w:rFonts w:ascii="Symbol" w:hAnsi="Symbol" w:hint="default"/>
      </w:rPr>
    </w:lvl>
    <w:lvl w:ilvl="1" w:tplc="ECE4AF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4940"/>
    <w:multiLevelType w:val="multilevel"/>
    <w:tmpl w:val="C7EEB3A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2252CFB"/>
    <w:multiLevelType w:val="hybridMultilevel"/>
    <w:tmpl w:val="67D83B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227724"/>
    <w:multiLevelType w:val="hybridMultilevel"/>
    <w:tmpl w:val="66A096BA"/>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C809D4"/>
    <w:multiLevelType w:val="hybridMultilevel"/>
    <w:tmpl w:val="7B0E6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D4E6756"/>
    <w:multiLevelType w:val="hybridMultilevel"/>
    <w:tmpl w:val="1E90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C39AB"/>
    <w:multiLevelType w:val="hybridMultilevel"/>
    <w:tmpl w:val="397E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A874188"/>
    <w:multiLevelType w:val="hybridMultilevel"/>
    <w:tmpl w:val="619621CE"/>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4FDC0BB6">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6B505EF"/>
    <w:multiLevelType w:val="hybridMultilevel"/>
    <w:tmpl w:val="544EA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30E0D"/>
    <w:multiLevelType w:val="hybridMultilevel"/>
    <w:tmpl w:val="FC363726"/>
    <w:lvl w:ilvl="0" w:tplc="95A2D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D8019E0"/>
    <w:multiLevelType w:val="hybridMultilevel"/>
    <w:tmpl w:val="D34A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510F2"/>
    <w:multiLevelType w:val="hybridMultilevel"/>
    <w:tmpl w:val="AB3E14CA"/>
    <w:lvl w:ilvl="0" w:tplc="0E50597C">
      <w:start w:val="1"/>
      <w:numFmt w:val="bullet"/>
      <w:lvlText w:val="•"/>
      <w:lvlJc w:val="left"/>
      <w:pPr>
        <w:tabs>
          <w:tab w:val="num" w:pos="720"/>
        </w:tabs>
        <w:ind w:left="720" w:hanging="360"/>
      </w:pPr>
      <w:rPr>
        <w:rFonts w:ascii="Arial" w:hAnsi="Arial" w:hint="default"/>
      </w:rPr>
    </w:lvl>
    <w:lvl w:ilvl="1" w:tplc="7C6EFC04" w:tentative="1">
      <w:start w:val="1"/>
      <w:numFmt w:val="bullet"/>
      <w:lvlText w:val="•"/>
      <w:lvlJc w:val="left"/>
      <w:pPr>
        <w:tabs>
          <w:tab w:val="num" w:pos="1440"/>
        </w:tabs>
        <w:ind w:left="1440" w:hanging="360"/>
      </w:pPr>
      <w:rPr>
        <w:rFonts w:ascii="Arial" w:hAnsi="Arial" w:hint="default"/>
      </w:rPr>
    </w:lvl>
    <w:lvl w:ilvl="2" w:tplc="E2C2B364" w:tentative="1">
      <w:start w:val="1"/>
      <w:numFmt w:val="bullet"/>
      <w:lvlText w:val="•"/>
      <w:lvlJc w:val="left"/>
      <w:pPr>
        <w:tabs>
          <w:tab w:val="num" w:pos="2160"/>
        </w:tabs>
        <w:ind w:left="2160" w:hanging="360"/>
      </w:pPr>
      <w:rPr>
        <w:rFonts w:ascii="Arial" w:hAnsi="Arial" w:hint="default"/>
      </w:rPr>
    </w:lvl>
    <w:lvl w:ilvl="3" w:tplc="AA368CCC" w:tentative="1">
      <w:start w:val="1"/>
      <w:numFmt w:val="bullet"/>
      <w:lvlText w:val="•"/>
      <w:lvlJc w:val="left"/>
      <w:pPr>
        <w:tabs>
          <w:tab w:val="num" w:pos="2880"/>
        </w:tabs>
        <w:ind w:left="2880" w:hanging="360"/>
      </w:pPr>
      <w:rPr>
        <w:rFonts w:ascii="Arial" w:hAnsi="Arial" w:hint="default"/>
      </w:rPr>
    </w:lvl>
    <w:lvl w:ilvl="4" w:tplc="F71CB7F0" w:tentative="1">
      <w:start w:val="1"/>
      <w:numFmt w:val="bullet"/>
      <w:lvlText w:val="•"/>
      <w:lvlJc w:val="left"/>
      <w:pPr>
        <w:tabs>
          <w:tab w:val="num" w:pos="3600"/>
        </w:tabs>
        <w:ind w:left="3600" w:hanging="360"/>
      </w:pPr>
      <w:rPr>
        <w:rFonts w:ascii="Arial" w:hAnsi="Arial" w:hint="default"/>
      </w:rPr>
    </w:lvl>
    <w:lvl w:ilvl="5" w:tplc="06D20E06" w:tentative="1">
      <w:start w:val="1"/>
      <w:numFmt w:val="bullet"/>
      <w:lvlText w:val="•"/>
      <w:lvlJc w:val="left"/>
      <w:pPr>
        <w:tabs>
          <w:tab w:val="num" w:pos="4320"/>
        </w:tabs>
        <w:ind w:left="4320" w:hanging="360"/>
      </w:pPr>
      <w:rPr>
        <w:rFonts w:ascii="Arial" w:hAnsi="Arial" w:hint="default"/>
      </w:rPr>
    </w:lvl>
    <w:lvl w:ilvl="6" w:tplc="7B62FBE2" w:tentative="1">
      <w:start w:val="1"/>
      <w:numFmt w:val="bullet"/>
      <w:lvlText w:val="•"/>
      <w:lvlJc w:val="left"/>
      <w:pPr>
        <w:tabs>
          <w:tab w:val="num" w:pos="5040"/>
        </w:tabs>
        <w:ind w:left="5040" w:hanging="360"/>
      </w:pPr>
      <w:rPr>
        <w:rFonts w:ascii="Arial" w:hAnsi="Arial" w:hint="default"/>
      </w:rPr>
    </w:lvl>
    <w:lvl w:ilvl="7" w:tplc="D53AB9EC" w:tentative="1">
      <w:start w:val="1"/>
      <w:numFmt w:val="bullet"/>
      <w:lvlText w:val="•"/>
      <w:lvlJc w:val="left"/>
      <w:pPr>
        <w:tabs>
          <w:tab w:val="num" w:pos="5760"/>
        </w:tabs>
        <w:ind w:left="5760" w:hanging="360"/>
      </w:pPr>
      <w:rPr>
        <w:rFonts w:ascii="Arial" w:hAnsi="Arial" w:hint="default"/>
      </w:rPr>
    </w:lvl>
    <w:lvl w:ilvl="8" w:tplc="13B2EB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7"/>
  </w:num>
  <w:num w:numId="3">
    <w:abstractNumId w:val="27"/>
  </w:num>
  <w:num w:numId="4">
    <w:abstractNumId w:val="9"/>
  </w:num>
  <w:num w:numId="5">
    <w:abstractNumId w:val="12"/>
  </w:num>
  <w:num w:numId="6">
    <w:abstractNumId w:val="2"/>
  </w:num>
  <w:num w:numId="7">
    <w:abstractNumId w:val="1"/>
  </w:num>
  <w:num w:numId="8">
    <w:abstractNumId w:val="8"/>
  </w:num>
  <w:num w:numId="9">
    <w:abstractNumId w:val="7"/>
  </w:num>
  <w:num w:numId="10">
    <w:abstractNumId w:val="11"/>
  </w:num>
  <w:num w:numId="11">
    <w:abstractNumId w:val="24"/>
  </w:num>
  <w:num w:numId="12">
    <w:abstractNumId w:val="16"/>
  </w:num>
  <w:num w:numId="13">
    <w:abstractNumId w:val="18"/>
  </w:num>
  <w:num w:numId="14">
    <w:abstractNumId w:val="26"/>
  </w:num>
  <w:num w:numId="15">
    <w:abstractNumId w:val="25"/>
  </w:num>
  <w:num w:numId="16">
    <w:abstractNumId w:val="21"/>
  </w:num>
  <w:num w:numId="17">
    <w:abstractNumId w:val="14"/>
  </w:num>
  <w:num w:numId="18">
    <w:abstractNumId w:val="3"/>
  </w:num>
  <w:num w:numId="19">
    <w:abstractNumId w:val="5"/>
  </w:num>
  <w:num w:numId="20">
    <w:abstractNumId w:val="20"/>
  </w:num>
  <w:num w:numId="21">
    <w:abstractNumId w:val="19"/>
  </w:num>
  <w:num w:numId="22">
    <w:abstractNumId w:val="23"/>
  </w:num>
  <w:num w:numId="23">
    <w:abstractNumId w:val="0"/>
  </w:num>
  <w:num w:numId="24">
    <w:abstractNumId w:val="22"/>
  </w:num>
  <w:num w:numId="25">
    <w:abstractNumId w:val="13"/>
  </w:num>
  <w:num w:numId="26">
    <w:abstractNumId w:val="15"/>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QUERY_LIST_4F35BF76-6C0D-4D9B-82B2-816C12CF3733" w:val="empty_477D106A-C0D6-4607-AEBD-E2C9D60EA279"/>
  </w:docVars>
  <w:rsids>
    <w:rsidRoot w:val="00C14666"/>
    <w:rsid w:val="00000957"/>
    <w:rsid w:val="00007B0C"/>
    <w:rsid w:val="00014E1F"/>
    <w:rsid w:val="000214E2"/>
    <w:rsid w:val="00041B71"/>
    <w:rsid w:val="00050FBE"/>
    <w:rsid w:val="00063D49"/>
    <w:rsid w:val="00073763"/>
    <w:rsid w:val="00076B47"/>
    <w:rsid w:val="00096CA8"/>
    <w:rsid w:val="0009794A"/>
    <w:rsid w:val="000A1BDB"/>
    <w:rsid w:val="000A7BA3"/>
    <w:rsid w:val="000B3741"/>
    <w:rsid w:val="000B6E83"/>
    <w:rsid w:val="000C0EEC"/>
    <w:rsid w:val="000C13A9"/>
    <w:rsid w:val="000C4FDF"/>
    <w:rsid w:val="000C5175"/>
    <w:rsid w:val="000D57C5"/>
    <w:rsid w:val="000D72D1"/>
    <w:rsid w:val="000D7FE9"/>
    <w:rsid w:val="000E5203"/>
    <w:rsid w:val="000E6EC8"/>
    <w:rsid w:val="001021B5"/>
    <w:rsid w:val="0010435B"/>
    <w:rsid w:val="00111300"/>
    <w:rsid w:val="00123C4A"/>
    <w:rsid w:val="00125397"/>
    <w:rsid w:val="0015599A"/>
    <w:rsid w:val="001573E9"/>
    <w:rsid w:val="00172A65"/>
    <w:rsid w:val="0017459D"/>
    <w:rsid w:val="00184C46"/>
    <w:rsid w:val="001959D4"/>
    <w:rsid w:val="00196771"/>
    <w:rsid w:val="001A1097"/>
    <w:rsid w:val="001A2BFC"/>
    <w:rsid w:val="001B0AD0"/>
    <w:rsid w:val="001B5F7D"/>
    <w:rsid w:val="001D0618"/>
    <w:rsid w:val="001D2D6A"/>
    <w:rsid w:val="001D5040"/>
    <w:rsid w:val="00202E47"/>
    <w:rsid w:val="00217235"/>
    <w:rsid w:val="0022381C"/>
    <w:rsid w:val="00223DA6"/>
    <w:rsid w:val="00226C1D"/>
    <w:rsid w:val="002329CE"/>
    <w:rsid w:val="00235A34"/>
    <w:rsid w:val="00235ACB"/>
    <w:rsid w:val="00236386"/>
    <w:rsid w:val="00244F4F"/>
    <w:rsid w:val="00253DB1"/>
    <w:rsid w:val="00255DC0"/>
    <w:rsid w:val="002779D0"/>
    <w:rsid w:val="00282782"/>
    <w:rsid w:val="002D3C67"/>
    <w:rsid w:val="002E20AF"/>
    <w:rsid w:val="003140FF"/>
    <w:rsid w:val="003205CE"/>
    <w:rsid w:val="003300C3"/>
    <w:rsid w:val="00353F1C"/>
    <w:rsid w:val="00355FBF"/>
    <w:rsid w:val="00382E88"/>
    <w:rsid w:val="00384427"/>
    <w:rsid w:val="00386CD3"/>
    <w:rsid w:val="00392727"/>
    <w:rsid w:val="003A2B54"/>
    <w:rsid w:val="003A7733"/>
    <w:rsid w:val="003F6BD5"/>
    <w:rsid w:val="004168C5"/>
    <w:rsid w:val="004171C5"/>
    <w:rsid w:val="0043045B"/>
    <w:rsid w:val="00432A74"/>
    <w:rsid w:val="00457350"/>
    <w:rsid w:val="00465385"/>
    <w:rsid w:val="00466543"/>
    <w:rsid w:val="0048041E"/>
    <w:rsid w:val="00486E8E"/>
    <w:rsid w:val="004A253D"/>
    <w:rsid w:val="004A436A"/>
    <w:rsid w:val="004E0971"/>
    <w:rsid w:val="004F0428"/>
    <w:rsid w:val="004F61BB"/>
    <w:rsid w:val="00506B07"/>
    <w:rsid w:val="00510397"/>
    <w:rsid w:val="0051177A"/>
    <w:rsid w:val="00524271"/>
    <w:rsid w:val="005377BE"/>
    <w:rsid w:val="00543939"/>
    <w:rsid w:val="00545AF1"/>
    <w:rsid w:val="00560D34"/>
    <w:rsid w:val="00573E65"/>
    <w:rsid w:val="005933BF"/>
    <w:rsid w:val="005953C9"/>
    <w:rsid w:val="005A6C3D"/>
    <w:rsid w:val="005B54F5"/>
    <w:rsid w:val="005F110C"/>
    <w:rsid w:val="00607F7F"/>
    <w:rsid w:val="00613550"/>
    <w:rsid w:val="00621141"/>
    <w:rsid w:val="00623B14"/>
    <w:rsid w:val="00633EEE"/>
    <w:rsid w:val="00641518"/>
    <w:rsid w:val="00651CC8"/>
    <w:rsid w:val="00652F9E"/>
    <w:rsid w:val="006765C5"/>
    <w:rsid w:val="0069150A"/>
    <w:rsid w:val="00694304"/>
    <w:rsid w:val="006947DB"/>
    <w:rsid w:val="006A72B3"/>
    <w:rsid w:val="006A78D4"/>
    <w:rsid w:val="006B6EEF"/>
    <w:rsid w:val="006D3DD7"/>
    <w:rsid w:val="006E1A81"/>
    <w:rsid w:val="006E1C0C"/>
    <w:rsid w:val="006E23A7"/>
    <w:rsid w:val="006E65EA"/>
    <w:rsid w:val="006F5C6F"/>
    <w:rsid w:val="007209F1"/>
    <w:rsid w:val="00720F5A"/>
    <w:rsid w:val="007219BF"/>
    <w:rsid w:val="00731AFD"/>
    <w:rsid w:val="00746AA4"/>
    <w:rsid w:val="00747932"/>
    <w:rsid w:val="00770B92"/>
    <w:rsid w:val="007800A2"/>
    <w:rsid w:val="00780EAC"/>
    <w:rsid w:val="00783356"/>
    <w:rsid w:val="007863B2"/>
    <w:rsid w:val="007A14AA"/>
    <w:rsid w:val="007B1937"/>
    <w:rsid w:val="007B3506"/>
    <w:rsid w:val="007C128A"/>
    <w:rsid w:val="007D0804"/>
    <w:rsid w:val="007D112C"/>
    <w:rsid w:val="007D1EC9"/>
    <w:rsid w:val="007E028E"/>
    <w:rsid w:val="00822F33"/>
    <w:rsid w:val="00825035"/>
    <w:rsid w:val="008548EB"/>
    <w:rsid w:val="00872120"/>
    <w:rsid w:val="008936A8"/>
    <w:rsid w:val="00895EAA"/>
    <w:rsid w:val="008A52B4"/>
    <w:rsid w:val="008B2467"/>
    <w:rsid w:val="008C0162"/>
    <w:rsid w:val="008D2075"/>
    <w:rsid w:val="009003A9"/>
    <w:rsid w:val="00905A25"/>
    <w:rsid w:val="00914380"/>
    <w:rsid w:val="00942E58"/>
    <w:rsid w:val="00950060"/>
    <w:rsid w:val="00950881"/>
    <w:rsid w:val="00984ACA"/>
    <w:rsid w:val="009A2575"/>
    <w:rsid w:val="009C7AEB"/>
    <w:rsid w:val="009E2CD4"/>
    <w:rsid w:val="009E2EC7"/>
    <w:rsid w:val="009F006F"/>
    <w:rsid w:val="00A17FEB"/>
    <w:rsid w:val="00A75A64"/>
    <w:rsid w:val="00AA254A"/>
    <w:rsid w:val="00AE2D97"/>
    <w:rsid w:val="00AF779F"/>
    <w:rsid w:val="00B14845"/>
    <w:rsid w:val="00B2215D"/>
    <w:rsid w:val="00B328AA"/>
    <w:rsid w:val="00B3624B"/>
    <w:rsid w:val="00B4459C"/>
    <w:rsid w:val="00B45452"/>
    <w:rsid w:val="00B82CF9"/>
    <w:rsid w:val="00B864D3"/>
    <w:rsid w:val="00B92198"/>
    <w:rsid w:val="00B96C60"/>
    <w:rsid w:val="00B9724B"/>
    <w:rsid w:val="00BA5387"/>
    <w:rsid w:val="00BC58CD"/>
    <w:rsid w:val="00BC7A4D"/>
    <w:rsid w:val="00BD30BF"/>
    <w:rsid w:val="00BD4715"/>
    <w:rsid w:val="00BD6E05"/>
    <w:rsid w:val="00BE32E2"/>
    <w:rsid w:val="00BE66B3"/>
    <w:rsid w:val="00BF187F"/>
    <w:rsid w:val="00BF481B"/>
    <w:rsid w:val="00C02F24"/>
    <w:rsid w:val="00C045BE"/>
    <w:rsid w:val="00C14666"/>
    <w:rsid w:val="00C16EAF"/>
    <w:rsid w:val="00C25A0B"/>
    <w:rsid w:val="00C4561D"/>
    <w:rsid w:val="00C45B44"/>
    <w:rsid w:val="00C46F0F"/>
    <w:rsid w:val="00C54019"/>
    <w:rsid w:val="00C573B3"/>
    <w:rsid w:val="00C64449"/>
    <w:rsid w:val="00C82919"/>
    <w:rsid w:val="00C91A2A"/>
    <w:rsid w:val="00C9228B"/>
    <w:rsid w:val="00CA0704"/>
    <w:rsid w:val="00CA1A57"/>
    <w:rsid w:val="00CB4894"/>
    <w:rsid w:val="00CC5801"/>
    <w:rsid w:val="00CD2346"/>
    <w:rsid w:val="00CE6578"/>
    <w:rsid w:val="00CF5DA9"/>
    <w:rsid w:val="00D021C0"/>
    <w:rsid w:val="00D069C9"/>
    <w:rsid w:val="00D06D29"/>
    <w:rsid w:val="00D06D44"/>
    <w:rsid w:val="00D14DF2"/>
    <w:rsid w:val="00D17B00"/>
    <w:rsid w:val="00D3700A"/>
    <w:rsid w:val="00D631F0"/>
    <w:rsid w:val="00D70D34"/>
    <w:rsid w:val="00D76D7C"/>
    <w:rsid w:val="00DA0A35"/>
    <w:rsid w:val="00DC7DA5"/>
    <w:rsid w:val="00DD2D24"/>
    <w:rsid w:val="00DD41EB"/>
    <w:rsid w:val="00DD4DBC"/>
    <w:rsid w:val="00DF0063"/>
    <w:rsid w:val="00DF2D40"/>
    <w:rsid w:val="00E01177"/>
    <w:rsid w:val="00E10FC0"/>
    <w:rsid w:val="00E30180"/>
    <w:rsid w:val="00E448F5"/>
    <w:rsid w:val="00E47860"/>
    <w:rsid w:val="00E65FC8"/>
    <w:rsid w:val="00E7003D"/>
    <w:rsid w:val="00E707EC"/>
    <w:rsid w:val="00E821CD"/>
    <w:rsid w:val="00EA0DE3"/>
    <w:rsid w:val="00EA1AFA"/>
    <w:rsid w:val="00EA6633"/>
    <w:rsid w:val="00EB54D2"/>
    <w:rsid w:val="00EC1409"/>
    <w:rsid w:val="00EC5FCB"/>
    <w:rsid w:val="00EE34D6"/>
    <w:rsid w:val="00EE507C"/>
    <w:rsid w:val="00EF11D6"/>
    <w:rsid w:val="00F02117"/>
    <w:rsid w:val="00F048EB"/>
    <w:rsid w:val="00F13724"/>
    <w:rsid w:val="00F428BF"/>
    <w:rsid w:val="00F4687A"/>
    <w:rsid w:val="00F52E16"/>
    <w:rsid w:val="00F62461"/>
    <w:rsid w:val="00F72E38"/>
    <w:rsid w:val="00F75AE7"/>
    <w:rsid w:val="00F7673F"/>
    <w:rsid w:val="00F85DA5"/>
    <w:rsid w:val="00FA4030"/>
    <w:rsid w:val="00FC55B7"/>
    <w:rsid w:val="00FE43CD"/>
    <w:rsid w:val="00FE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7CC945"/>
  <w15:docId w15:val="{5C6A4B93-C645-41FD-B659-0B8E7DFB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NormalWeb">
    <w:name w:val="Normal (Web)"/>
    <w:basedOn w:val="Normal"/>
    <w:uiPriority w:val="99"/>
    <w:semiHidden/>
    <w:unhideWhenUsed/>
    <w:rsid w:val="0051177A"/>
    <w:pPr>
      <w:spacing w:before="100" w:beforeAutospacing="1" w:after="100" w:afterAutospacing="1"/>
    </w:pPr>
  </w:style>
  <w:style w:type="paragraph" w:styleId="ListParagraph">
    <w:name w:val="List Paragraph"/>
    <w:basedOn w:val="Normal"/>
    <w:uiPriority w:val="34"/>
    <w:qFormat/>
    <w:rsid w:val="00F7673F"/>
    <w:pPr>
      <w:ind w:left="720"/>
      <w:contextualSpacing/>
    </w:pPr>
  </w:style>
  <w:style w:type="character" w:styleId="CommentReference">
    <w:name w:val="annotation reference"/>
    <w:basedOn w:val="DefaultParagraphFont"/>
    <w:uiPriority w:val="99"/>
    <w:semiHidden/>
    <w:unhideWhenUsed/>
    <w:rsid w:val="00F7673F"/>
    <w:rPr>
      <w:sz w:val="16"/>
      <w:szCs w:val="16"/>
    </w:rPr>
  </w:style>
  <w:style w:type="paragraph" w:styleId="CommentText">
    <w:name w:val="annotation text"/>
    <w:basedOn w:val="Normal"/>
    <w:link w:val="CommentTextChar"/>
    <w:uiPriority w:val="99"/>
    <w:semiHidden/>
    <w:unhideWhenUsed/>
    <w:rsid w:val="00F7673F"/>
    <w:rPr>
      <w:sz w:val="20"/>
      <w:szCs w:val="20"/>
    </w:rPr>
  </w:style>
  <w:style w:type="character" w:customStyle="1" w:styleId="CommentTextChar">
    <w:name w:val="Comment Text Char"/>
    <w:basedOn w:val="DefaultParagraphFont"/>
    <w:link w:val="CommentText"/>
    <w:uiPriority w:val="99"/>
    <w:semiHidden/>
    <w:rsid w:val="00F7673F"/>
  </w:style>
  <w:style w:type="paragraph" w:styleId="PlainText">
    <w:name w:val="Plain Text"/>
    <w:basedOn w:val="Normal"/>
    <w:link w:val="PlainTextChar"/>
    <w:uiPriority w:val="99"/>
    <w:unhideWhenUsed/>
    <w:rsid w:val="00202E4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2E47"/>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545AF1"/>
    <w:rPr>
      <w:sz w:val="20"/>
      <w:szCs w:val="20"/>
    </w:rPr>
  </w:style>
  <w:style w:type="character" w:customStyle="1" w:styleId="FootnoteTextChar">
    <w:name w:val="Footnote Text Char"/>
    <w:basedOn w:val="DefaultParagraphFont"/>
    <w:link w:val="FootnoteText"/>
    <w:uiPriority w:val="99"/>
    <w:semiHidden/>
    <w:rsid w:val="00545AF1"/>
  </w:style>
  <w:style w:type="character" w:styleId="FootnoteReference">
    <w:name w:val="footnote reference"/>
    <w:basedOn w:val="DefaultParagraphFont"/>
    <w:uiPriority w:val="99"/>
    <w:semiHidden/>
    <w:unhideWhenUsed/>
    <w:rsid w:val="00545AF1"/>
    <w:rPr>
      <w:vertAlign w:val="superscript"/>
    </w:rPr>
  </w:style>
  <w:style w:type="character" w:styleId="Hyperlink">
    <w:name w:val="Hyperlink"/>
    <w:basedOn w:val="DefaultParagraphFont"/>
    <w:unhideWhenUsed/>
    <w:rsid w:val="00014E1F"/>
    <w:rPr>
      <w:color w:val="0000FF" w:themeColor="hyperlink"/>
      <w:u w:val="single"/>
    </w:rPr>
  </w:style>
  <w:style w:type="paragraph" w:styleId="CommentSubject">
    <w:name w:val="annotation subject"/>
    <w:basedOn w:val="CommentText"/>
    <w:next w:val="CommentText"/>
    <w:link w:val="CommentSubjectChar"/>
    <w:semiHidden/>
    <w:unhideWhenUsed/>
    <w:rsid w:val="00B45452"/>
    <w:rPr>
      <w:b/>
      <w:bCs/>
    </w:rPr>
  </w:style>
  <w:style w:type="character" w:customStyle="1" w:styleId="CommentSubjectChar">
    <w:name w:val="Comment Subject Char"/>
    <w:basedOn w:val="CommentTextChar"/>
    <w:link w:val="CommentSubject"/>
    <w:semiHidden/>
    <w:rsid w:val="00B45452"/>
    <w:rPr>
      <w:b/>
      <w:bCs/>
    </w:rPr>
  </w:style>
  <w:style w:type="paragraph" w:styleId="NoSpacing">
    <w:name w:val="No Spacing"/>
    <w:link w:val="NoSpacingChar"/>
    <w:uiPriority w:val="1"/>
    <w:qFormat/>
    <w:rsid w:val="00CD2346"/>
    <w:rPr>
      <w:rFonts w:ascii="Calibri" w:hAnsi="Calibri"/>
      <w:sz w:val="22"/>
      <w:szCs w:val="22"/>
    </w:rPr>
  </w:style>
  <w:style w:type="character" w:customStyle="1" w:styleId="NoSpacingChar">
    <w:name w:val="No Spacing Char"/>
    <w:basedOn w:val="DefaultParagraphFont"/>
    <w:link w:val="NoSpacing"/>
    <w:uiPriority w:val="1"/>
    <w:rsid w:val="00CD2346"/>
    <w:rPr>
      <w:rFonts w:ascii="Calibri" w:hAnsi="Calibri"/>
      <w:sz w:val="22"/>
      <w:szCs w:val="22"/>
    </w:rPr>
  </w:style>
  <w:style w:type="table" w:styleId="TableGrid">
    <w:name w:val="Table Grid"/>
    <w:basedOn w:val="TableNormal"/>
    <w:uiPriority w:val="39"/>
    <w:rsid w:val="001967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94A"/>
    <w:rPr>
      <w:sz w:val="24"/>
      <w:szCs w:val="24"/>
    </w:rPr>
  </w:style>
  <w:style w:type="paragraph" w:customStyle="1" w:styleId="QuestionResponse">
    <w:name w:val="Question Response"/>
    <w:basedOn w:val="Normal"/>
    <w:next w:val="Normal"/>
    <w:rsid w:val="000214E2"/>
    <w:pPr>
      <w:tabs>
        <w:tab w:val="left" w:pos="576"/>
        <w:tab w:val="left" w:pos="1440"/>
      </w:tab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5690">
      <w:bodyDiv w:val="1"/>
      <w:marLeft w:val="0"/>
      <w:marRight w:val="0"/>
      <w:marTop w:val="0"/>
      <w:marBottom w:val="0"/>
      <w:divBdr>
        <w:top w:val="none" w:sz="0" w:space="0" w:color="auto"/>
        <w:left w:val="none" w:sz="0" w:space="0" w:color="auto"/>
        <w:bottom w:val="none" w:sz="0" w:space="0" w:color="auto"/>
        <w:right w:val="none" w:sz="0" w:space="0" w:color="auto"/>
      </w:divBdr>
    </w:div>
    <w:div w:id="1139616590">
      <w:bodyDiv w:val="1"/>
      <w:marLeft w:val="0"/>
      <w:marRight w:val="0"/>
      <w:marTop w:val="0"/>
      <w:marBottom w:val="0"/>
      <w:divBdr>
        <w:top w:val="none" w:sz="0" w:space="0" w:color="auto"/>
        <w:left w:val="none" w:sz="0" w:space="0" w:color="auto"/>
        <w:bottom w:val="none" w:sz="0" w:space="0" w:color="auto"/>
        <w:right w:val="none" w:sz="0" w:space="0" w:color="auto"/>
      </w:divBdr>
    </w:div>
    <w:div w:id="1503593060">
      <w:bodyDiv w:val="1"/>
      <w:marLeft w:val="0"/>
      <w:marRight w:val="0"/>
      <w:marTop w:val="0"/>
      <w:marBottom w:val="0"/>
      <w:divBdr>
        <w:top w:val="none" w:sz="0" w:space="0" w:color="auto"/>
        <w:left w:val="none" w:sz="0" w:space="0" w:color="auto"/>
        <w:bottom w:val="none" w:sz="0" w:space="0" w:color="auto"/>
        <w:right w:val="none" w:sz="0" w:space="0" w:color="auto"/>
      </w:divBdr>
      <w:divsChild>
        <w:div w:id="1386682389">
          <w:marLeft w:val="547"/>
          <w:marRight w:val="0"/>
          <w:marTop w:val="67"/>
          <w:marBottom w:val="0"/>
          <w:divBdr>
            <w:top w:val="none" w:sz="0" w:space="0" w:color="auto"/>
            <w:left w:val="none" w:sz="0" w:space="0" w:color="auto"/>
            <w:bottom w:val="none" w:sz="0" w:space="0" w:color="auto"/>
            <w:right w:val="none" w:sz="0" w:space="0" w:color="auto"/>
          </w:divBdr>
        </w:div>
      </w:divsChild>
    </w:div>
    <w:div w:id="2072994798">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 w:id="21436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ggs/" TargetMode="External"/><Relationship Id="rId7" Type="http://schemas.openxmlformats.org/officeDocument/2006/relationships/hyperlink" Target="http://www.energy.gov/downloads/us-energy-and-employment-report" TargetMode="External"/><Relationship Id="rId2" Type="http://schemas.openxmlformats.org/officeDocument/2006/relationships/hyperlink" Target="http://www.census.gov/eos/www/naics/" TargetMode="External"/><Relationship Id="rId1" Type="http://schemas.openxmlformats.org/officeDocument/2006/relationships/hyperlink" Target="http://www.energy.gov/downloads/us-energy-and-employment-report" TargetMode="External"/><Relationship Id="rId6" Type="http://schemas.openxmlformats.org/officeDocument/2006/relationships/hyperlink" Target="http://energy.gov/epsa/downloads/quadrennial-energy-review-first-installment" TargetMode="External"/><Relationship Id="rId5" Type="http://schemas.openxmlformats.org/officeDocument/2006/relationships/hyperlink" Target="http://www.bls.gov/bls/sequester_info.htm" TargetMode="External"/><Relationship Id="rId4" Type="http://schemas.openxmlformats.org/officeDocument/2006/relationships/hyperlink" Target="http://www.bls.gov/g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6C69-B336-4384-A18B-AD8E9425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3687</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Rouleau, Christina</cp:lastModifiedBy>
  <cp:revision>2</cp:revision>
  <cp:lastPrinted>2016-08-25T12:39:00Z</cp:lastPrinted>
  <dcterms:created xsi:type="dcterms:W3CDTF">2016-09-20T18:56:00Z</dcterms:created>
  <dcterms:modified xsi:type="dcterms:W3CDTF">2016-09-20T18:56:00Z</dcterms:modified>
</cp:coreProperties>
</file>