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A1B48" w14:textId="77777777"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r w:rsidR="00A12B0C">
        <w:rPr>
          <w:rFonts w:ascii="Times New Roman" w:hAnsi="Times New Roman" w:cs="Times New Roman"/>
          <w:sz w:val="24"/>
          <w:szCs w:val="24"/>
        </w:rPr>
        <w:t xml:space="preserve"> for</w:t>
      </w:r>
    </w:p>
    <w:p w14:paraId="1255837C" w14:textId="77777777" w:rsidR="00FD66F1" w:rsidRDefault="00D415EC" w:rsidP="00D415EC">
      <w:pPr>
        <w:spacing w:after="0"/>
        <w:jc w:val="center"/>
        <w:rPr>
          <w:rFonts w:ascii="Times New Roman" w:hAnsi="Times New Roman" w:cs="Times New Roman"/>
          <w:b/>
          <w:sz w:val="24"/>
          <w:szCs w:val="24"/>
        </w:rPr>
      </w:pPr>
      <w:r>
        <w:rPr>
          <w:rFonts w:ascii="Times New Roman" w:hAnsi="Times New Roman" w:cs="Times New Roman"/>
          <w:b/>
          <w:sz w:val="24"/>
          <w:szCs w:val="24"/>
        </w:rPr>
        <w:t>FERC-516</w:t>
      </w:r>
      <w:r w:rsidR="00CF5F7C">
        <w:rPr>
          <w:rFonts w:ascii="Times New Roman" w:hAnsi="Times New Roman" w:cs="Times New Roman"/>
          <w:b/>
          <w:sz w:val="24"/>
          <w:szCs w:val="24"/>
        </w:rPr>
        <w:t>B</w:t>
      </w:r>
      <w:r>
        <w:rPr>
          <w:rFonts w:ascii="Times New Roman" w:hAnsi="Times New Roman" w:cs="Times New Roman"/>
          <w:b/>
          <w:sz w:val="24"/>
          <w:szCs w:val="24"/>
        </w:rPr>
        <w:t>, Electric Rates Schedules and Tariff Filings</w:t>
      </w:r>
      <w:r w:rsidR="00A85D1D">
        <w:rPr>
          <w:rFonts w:ascii="Times New Roman" w:hAnsi="Times New Roman" w:cs="Times New Roman"/>
          <w:b/>
          <w:sz w:val="24"/>
          <w:szCs w:val="24"/>
        </w:rPr>
        <w:t>,</w:t>
      </w:r>
    </w:p>
    <w:p w14:paraId="75A1D5DB" w14:textId="1E582833" w:rsidR="00A85D1D" w:rsidRDefault="00A85D1D" w:rsidP="00D415EC">
      <w:pPr>
        <w:spacing w:after="0"/>
        <w:jc w:val="center"/>
        <w:rPr>
          <w:rFonts w:ascii="Times New Roman" w:hAnsi="Times New Roman" w:cs="Times New Roman"/>
          <w:b/>
          <w:sz w:val="24"/>
          <w:szCs w:val="24"/>
        </w:rPr>
      </w:pPr>
      <w:r>
        <w:rPr>
          <w:rFonts w:ascii="Times New Roman" w:hAnsi="Times New Roman" w:cs="Times New Roman"/>
          <w:b/>
          <w:sz w:val="24"/>
          <w:szCs w:val="24"/>
        </w:rPr>
        <w:t>in the</w:t>
      </w:r>
      <w:r w:rsidR="00B14FDB">
        <w:rPr>
          <w:rFonts w:ascii="Times New Roman" w:hAnsi="Times New Roman" w:cs="Times New Roman"/>
          <w:b/>
          <w:sz w:val="24"/>
          <w:szCs w:val="24"/>
        </w:rPr>
        <w:t xml:space="preserve"> Final Rule</w:t>
      </w:r>
      <w:r>
        <w:rPr>
          <w:rFonts w:ascii="Times New Roman" w:hAnsi="Times New Roman" w:cs="Times New Roman"/>
          <w:b/>
          <w:sz w:val="24"/>
          <w:szCs w:val="24"/>
        </w:rPr>
        <w:t xml:space="preserve"> in RM16-1</w:t>
      </w:r>
    </w:p>
    <w:p w14:paraId="5C961A08" w14:textId="77777777" w:rsidR="00FD66F1" w:rsidRDefault="00FD66F1" w:rsidP="00FD66F1">
      <w:pPr>
        <w:spacing w:after="0"/>
        <w:jc w:val="center"/>
        <w:rPr>
          <w:rFonts w:ascii="Times New Roman" w:hAnsi="Times New Roman" w:cs="Times New Roman"/>
          <w:sz w:val="24"/>
          <w:szCs w:val="24"/>
        </w:rPr>
      </w:pPr>
    </w:p>
    <w:p w14:paraId="05719F45" w14:textId="6D8C241D" w:rsidR="00773AEB" w:rsidRDefault="00FE2317" w:rsidP="007C3586">
      <w:pPr>
        <w:spacing w:after="0"/>
        <w:ind w:firstLine="360"/>
        <w:rPr>
          <w:rFonts w:ascii="Times New Roman" w:hAnsi="Times New Roman" w:cs="Times New Roman"/>
          <w:sz w:val="24"/>
          <w:szCs w:val="24"/>
        </w:rPr>
      </w:pPr>
      <w:r>
        <w:rPr>
          <w:rFonts w:ascii="Times New Roman" w:hAnsi="Times New Roman" w:cs="Times New Roman"/>
          <w:sz w:val="24"/>
          <w:szCs w:val="24"/>
        </w:rPr>
        <w:t>The Federal Energy Regulatory Commission (FERC or Commission) request</w:t>
      </w:r>
      <w:r w:rsidR="00EC19DF">
        <w:rPr>
          <w:rFonts w:ascii="Times New Roman" w:hAnsi="Times New Roman" w:cs="Times New Roman"/>
          <w:sz w:val="24"/>
          <w:szCs w:val="24"/>
        </w:rPr>
        <w:t>s</w:t>
      </w:r>
      <w:r>
        <w:rPr>
          <w:rFonts w:ascii="Times New Roman" w:hAnsi="Times New Roman" w:cs="Times New Roman"/>
          <w:sz w:val="24"/>
          <w:szCs w:val="24"/>
        </w:rPr>
        <w:t xml:space="preserve"> that the Office of Management and Budget (OMB) review </w:t>
      </w:r>
      <w:r w:rsidR="006A0DFC">
        <w:rPr>
          <w:rFonts w:ascii="Times New Roman" w:hAnsi="Times New Roman" w:cs="Times New Roman"/>
          <w:sz w:val="24"/>
          <w:szCs w:val="24"/>
        </w:rPr>
        <w:t xml:space="preserve">the information collection requirements in </w:t>
      </w:r>
      <w:r>
        <w:rPr>
          <w:rFonts w:ascii="Times New Roman" w:hAnsi="Times New Roman" w:cs="Times New Roman"/>
          <w:sz w:val="24"/>
          <w:szCs w:val="24"/>
        </w:rPr>
        <w:t>the</w:t>
      </w:r>
      <w:r w:rsidR="00662264">
        <w:rPr>
          <w:rFonts w:ascii="Times New Roman" w:hAnsi="Times New Roman" w:cs="Times New Roman"/>
          <w:sz w:val="24"/>
          <w:szCs w:val="24"/>
        </w:rPr>
        <w:t xml:space="preserve"> </w:t>
      </w:r>
      <w:r w:rsidR="00B14FDB">
        <w:rPr>
          <w:rFonts w:ascii="Times New Roman" w:hAnsi="Times New Roman" w:cs="Times New Roman"/>
          <w:sz w:val="24"/>
          <w:szCs w:val="24"/>
        </w:rPr>
        <w:t>Final Rule</w:t>
      </w:r>
      <w:r w:rsidR="006E22EF">
        <w:rPr>
          <w:rFonts w:ascii="Times New Roman" w:hAnsi="Times New Roman" w:cs="Times New Roman"/>
          <w:sz w:val="24"/>
          <w:szCs w:val="24"/>
        </w:rPr>
        <w:t xml:space="preserve"> </w:t>
      </w:r>
      <w:r w:rsidR="00D415EC">
        <w:rPr>
          <w:rFonts w:ascii="Times New Roman" w:hAnsi="Times New Roman" w:cs="Times New Roman"/>
          <w:sz w:val="24"/>
          <w:szCs w:val="24"/>
        </w:rPr>
        <w:t>of information collection</w:t>
      </w:r>
      <w:r w:rsidR="00A12B0C">
        <w:rPr>
          <w:rFonts w:ascii="Times New Roman" w:hAnsi="Times New Roman" w:cs="Times New Roman"/>
          <w:sz w:val="24"/>
          <w:szCs w:val="24"/>
        </w:rPr>
        <w:t xml:space="preserve"> under </w:t>
      </w:r>
      <w:r w:rsidR="00FD100F">
        <w:rPr>
          <w:rFonts w:ascii="Times New Roman" w:hAnsi="Times New Roman" w:cs="Times New Roman"/>
          <w:sz w:val="24"/>
          <w:szCs w:val="24"/>
        </w:rPr>
        <w:t>D</w:t>
      </w:r>
      <w:r w:rsidR="00A12B0C">
        <w:rPr>
          <w:rFonts w:ascii="Times New Roman" w:hAnsi="Times New Roman" w:cs="Times New Roman"/>
          <w:sz w:val="24"/>
          <w:szCs w:val="24"/>
        </w:rPr>
        <w:t xml:space="preserve">ocket </w:t>
      </w:r>
      <w:r w:rsidR="00D415EC">
        <w:rPr>
          <w:rFonts w:ascii="Times New Roman" w:hAnsi="Times New Roman" w:cs="Times New Roman"/>
          <w:sz w:val="24"/>
          <w:szCs w:val="24"/>
        </w:rPr>
        <w:t>RM16-1-000</w:t>
      </w:r>
      <w:r w:rsidR="0003005B">
        <w:rPr>
          <w:rFonts w:ascii="Times New Roman" w:hAnsi="Times New Roman" w:cs="Times New Roman"/>
          <w:sz w:val="24"/>
          <w:szCs w:val="24"/>
        </w:rPr>
        <w:t xml:space="preserve"> and contained within the </w:t>
      </w:r>
      <w:r w:rsidR="00D415EC">
        <w:rPr>
          <w:rFonts w:ascii="Times New Roman" w:hAnsi="Times New Roman" w:cs="Times New Roman"/>
          <w:sz w:val="24"/>
          <w:szCs w:val="24"/>
        </w:rPr>
        <w:t>FERC-516</w:t>
      </w:r>
      <w:r w:rsidR="0003005B">
        <w:rPr>
          <w:rFonts w:ascii="Times New Roman" w:hAnsi="Times New Roman" w:cs="Times New Roman"/>
          <w:sz w:val="24"/>
          <w:szCs w:val="24"/>
        </w:rPr>
        <w:t>B information collection.</w:t>
      </w:r>
    </w:p>
    <w:p w14:paraId="72F7BEEE" w14:textId="77777777" w:rsidR="0003005B" w:rsidRDefault="0003005B" w:rsidP="007C3586">
      <w:pPr>
        <w:spacing w:after="0"/>
        <w:ind w:firstLine="360"/>
        <w:rPr>
          <w:rFonts w:ascii="Times New Roman" w:hAnsi="Times New Roman" w:cs="Times New Roman"/>
          <w:sz w:val="24"/>
          <w:szCs w:val="24"/>
        </w:rPr>
      </w:pPr>
    </w:p>
    <w:p w14:paraId="25649863" w14:textId="0E03701A" w:rsidR="0003005B" w:rsidRPr="00A85D1D" w:rsidRDefault="0003005B" w:rsidP="007C3586">
      <w:pPr>
        <w:spacing w:after="0"/>
        <w:ind w:firstLine="360"/>
        <w:rPr>
          <w:rFonts w:ascii="Times New Roman" w:hAnsi="Times New Roman" w:cs="Times New Roman"/>
          <w:sz w:val="24"/>
          <w:szCs w:val="24"/>
        </w:rPr>
      </w:pPr>
      <w:r w:rsidRPr="00A85D1D">
        <w:rPr>
          <w:rFonts w:ascii="Times New Roman" w:hAnsi="Times New Roman" w:cs="Times New Roman"/>
          <w:sz w:val="24"/>
          <w:szCs w:val="24"/>
        </w:rPr>
        <w:t>NOTE: The FERC-516B is a temporary information collection</w:t>
      </w:r>
      <w:r w:rsidR="00A85D1D">
        <w:rPr>
          <w:rFonts w:ascii="Times New Roman" w:hAnsi="Times New Roman" w:cs="Times New Roman"/>
          <w:sz w:val="24"/>
          <w:szCs w:val="24"/>
        </w:rPr>
        <w:t xml:space="preserve"> number</w:t>
      </w:r>
      <w:r w:rsidR="006A5D19">
        <w:rPr>
          <w:rFonts w:ascii="Times New Roman" w:hAnsi="Times New Roman" w:cs="Times New Roman"/>
          <w:sz w:val="24"/>
          <w:szCs w:val="24"/>
        </w:rPr>
        <w:t>,</w:t>
      </w:r>
      <w:r w:rsidRPr="00A85D1D">
        <w:rPr>
          <w:rFonts w:ascii="Times New Roman" w:hAnsi="Times New Roman" w:cs="Times New Roman"/>
          <w:sz w:val="24"/>
          <w:szCs w:val="24"/>
        </w:rPr>
        <w:t xml:space="preserve"> to facilitate a </w:t>
      </w:r>
      <w:r w:rsidR="00AE450C">
        <w:rPr>
          <w:rFonts w:ascii="Times New Roman" w:hAnsi="Times New Roman" w:cs="Times New Roman"/>
          <w:sz w:val="24"/>
          <w:szCs w:val="24"/>
        </w:rPr>
        <w:t>timely</w:t>
      </w:r>
      <w:r w:rsidR="00AE450C" w:rsidRPr="00A85D1D">
        <w:rPr>
          <w:rFonts w:ascii="Times New Roman" w:hAnsi="Times New Roman" w:cs="Times New Roman"/>
          <w:sz w:val="24"/>
          <w:szCs w:val="24"/>
        </w:rPr>
        <w:t xml:space="preserve"> </w:t>
      </w:r>
      <w:bookmarkStart w:id="0" w:name="_GoBack"/>
      <w:r w:rsidRPr="00A85D1D">
        <w:rPr>
          <w:rFonts w:ascii="Times New Roman" w:hAnsi="Times New Roman" w:cs="Times New Roman"/>
          <w:sz w:val="24"/>
          <w:szCs w:val="24"/>
        </w:rPr>
        <w:t>submission to OMB</w:t>
      </w:r>
      <w:r w:rsidR="00A85D1D">
        <w:rPr>
          <w:rFonts w:ascii="Times New Roman" w:hAnsi="Times New Roman" w:cs="Times New Roman"/>
          <w:sz w:val="24"/>
          <w:szCs w:val="24"/>
        </w:rPr>
        <w:t xml:space="preserve"> of </w:t>
      </w:r>
      <w:r w:rsidR="006E22EF">
        <w:rPr>
          <w:rFonts w:ascii="Times New Roman" w:hAnsi="Times New Roman" w:cs="Times New Roman"/>
          <w:sz w:val="24"/>
          <w:szCs w:val="24"/>
        </w:rPr>
        <w:t>the proposed revisions</w:t>
      </w:r>
      <w:r w:rsidR="00A85D1D">
        <w:rPr>
          <w:rFonts w:ascii="Times New Roman" w:hAnsi="Times New Roman" w:cs="Times New Roman"/>
          <w:sz w:val="24"/>
          <w:szCs w:val="24"/>
        </w:rPr>
        <w:t xml:space="preserve"> in RM16-1</w:t>
      </w:r>
      <w:r w:rsidR="00A16E5C" w:rsidRPr="00A85D1D">
        <w:rPr>
          <w:rFonts w:ascii="Times New Roman" w:hAnsi="Times New Roman" w:cs="Times New Roman"/>
          <w:sz w:val="24"/>
          <w:szCs w:val="24"/>
        </w:rPr>
        <w:t xml:space="preserve">. </w:t>
      </w:r>
      <w:r w:rsidR="00AE450C">
        <w:rPr>
          <w:rFonts w:ascii="Times New Roman" w:hAnsi="Times New Roman" w:cs="Times New Roman"/>
          <w:sz w:val="24"/>
          <w:szCs w:val="24"/>
        </w:rPr>
        <w:t xml:space="preserve"> These changes related to Docket </w:t>
      </w:r>
      <w:bookmarkEnd w:id="0"/>
      <w:r w:rsidR="00AE450C">
        <w:rPr>
          <w:rFonts w:ascii="Times New Roman" w:hAnsi="Times New Roman" w:cs="Times New Roman"/>
          <w:sz w:val="24"/>
          <w:szCs w:val="24"/>
        </w:rPr>
        <w:t xml:space="preserve">RM16-1 (described here) would normally be included in FERC-516 (OMB Control No. 1902-0096), however an </w:t>
      </w:r>
      <w:r w:rsidR="00912D5F">
        <w:rPr>
          <w:rFonts w:ascii="Times New Roman" w:hAnsi="Times New Roman" w:cs="Times New Roman"/>
          <w:sz w:val="24"/>
          <w:szCs w:val="24"/>
        </w:rPr>
        <w:t>unrelated Final Policy Statement</w:t>
      </w:r>
      <w:r w:rsidR="00A85D1D" w:rsidRPr="00A85D1D">
        <w:rPr>
          <w:rFonts w:ascii="Times New Roman" w:hAnsi="Times New Roman" w:cs="Times New Roman"/>
          <w:sz w:val="24"/>
          <w:szCs w:val="24"/>
        </w:rPr>
        <w:t xml:space="preserve"> (in Docket </w:t>
      </w:r>
      <w:r w:rsidR="00AE450C">
        <w:rPr>
          <w:rFonts w:ascii="Times New Roman" w:hAnsi="Times New Roman" w:cs="Times New Roman"/>
          <w:sz w:val="24"/>
          <w:szCs w:val="24"/>
        </w:rPr>
        <w:t xml:space="preserve">No. </w:t>
      </w:r>
      <w:r w:rsidR="00912D5F">
        <w:rPr>
          <w:rFonts w:ascii="Times New Roman" w:hAnsi="Times New Roman" w:cs="Times New Roman"/>
          <w:sz w:val="24"/>
          <w:szCs w:val="24"/>
        </w:rPr>
        <w:t>PL15-3</w:t>
      </w:r>
      <w:r w:rsidR="00AE450C">
        <w:rPr>
          <w:rFonts w:ascii="Times New Roman" w:hAnsi="Times New Roman" w:cs="Times New Roman"/>
          <w:sz w:val="24"/>
          <w:szCs w:val="24"/>
        </w:rPr>
        <w:t>;</w:t>
      </w:r>
      <w:r w:rsidR="00D3758B" w:rsidRPr="00A85D1D">
        <w:rPr>
          <w:rFonts w:ascii="Times New Roman" w:hAnsi="Times New Roman" w:cs="Times New Roman"/>
          <w:sz w:val="24"/>
          <w:szCs w:val="24"/>
        </w:rPr>
        <w:t xml:space="preserve"> </w:t>
      </w:r>
      <w:r w:rsidR="00554389" w:rsidRPr="00A85D1D">
        <w:rPr>
          <w:rFonts w:ascii="Times New Roman" w:hAnsi="Times New Roman" w:cs="Times New Roman"/>
          <w:sz w:val="24"/>
          <w:szCs w:val="24"/>
        </w:rPr>
        <w:t>ICR N</w:t>
      </w:r>
      <w:r w:rsidR="00AE450C">
        <w:rPr>
          <w:rFonts w:ascii="Times New Roman" w:hAnsi="Times New Roman" w:cs="Times New Roman"/>
          <w:sz w:val="24"/>
          <w:szCs w:val="24"/>
        </w:rPr>
        <w:t>o.</w:t>
      </w:r>
      <w:r w:rsidR="00912D5F">
        <w:rPr>
          <w:rFonts w:ascii="Times New Roman" w:hAnsi="Times New Roman" w:cs="Times New Roman"/>
          <w:sz w:val="24"/>
          <w:szCs w:val="24"/>
        </w:rPr>
        <w:t xml:space="preserve"> 201604-1902-003</w:t>
      </w:r>
      <w:r w:rsidR="00AE450C" w:rsidRPr="00105850">
        <w:rPr>
          <w:rStyle w:val="FootnoteReference"/>
          <w:rFonts w:ascii="Times New Roman" w:hAnsi="Times New Roman" w:cs="Times New Roman"/>
          <w:sz w:val="24"/>
          <w:szCs w:val="24"/>
          <w:vertAlign w:val="superscript"/>
        </w:rPr>
        <w:footnoteReference w:id="1"/>
      </w:r>
      <w:r w:rsidR="00AE450C">
        <w:rPr>
          <w:rFonts w:ascii="Times New Roman" w:hAnsi="Times New Roman" w:cs="Times New Roman"/>
          <w:sz w:val="24"/>
          <w:szCs w:val="24"/>
        </w:rPr>
        <w:t>) was</w:t>
      </w:r>
      <w:r w:rsidR="00554389" w:rsidRPr="00A85D1D">
        <w:rPr>
          <w:rFonts w:ascii="Times New Roman" w:hAnsi="Times New Roman" w:cs="Times New Roman"/>
          <w:sz w:val="24"/>
          <w:szCs w:val="24"/>
        </w:rPr>
        <w:t xml:space="preserve"> </w:t>
      </w:r>
      <w:r w:rsidR="00AE450C">
        <w:rPr>
          <w:rFonts w:ascii="Times New Roman" w:hAnsi="Times New Roman" w:cs="Times New Roman"/>
          <w:sz w:val="24"/>
          <w:szCs w:val="24"/>
        </w:rPr>
        <w:t>pending OMB review when th</w:t>
      </w:r>
      <w:r w:rsidR="00355CED">
        <w:rPr>
          <w:rFonts w:ascii="Times New Roman" w:hAnsi="Times New Roman" w:cs="Times New Roman"/>
          <w:sz w:val="24"/>
          <w:szCs w:val="24"/>
        </w:rPr>
        <w:t>is</w:t>
      </w:r>
      <w:r w:rsidR="00AE450C">
        <w:rPr>
          <w:rFonts w:ascii="Times New Roman" w:hAnsi="Times New Roman" w:cs="Times New Roman"/>
          <w:sz w:val="24"/>
          <w:szCs w:val="24"/>
        </w:rPr>
        <w:t xml:space="preserve"> ICR </w:t>
      </w:r>
      <w:r w:rsidR="00355CED">
        <w:rPr>
          <w:rFonts w:ascii="Times New Roman" w:hAnsi="Times New Roman" w:cs="Times New Roman"/>
          <w:sz w:val="24"/>
          <w:szCs w:val="24"/>
        </w:rPr>
        <w:t>(</w:t>
      </w:r>
      <w:r w:rsidR="00C1452E">
        <w:rPr>
          <w:rFonts w:ascii="Times New Roman" w:hAnsi="Times New Roman" w:cs="Times New Roman"/>
          <w:sz w:val="24"/>
          <w:szCs w:val="24"/>
        </w:rPr>
        <w:t>201606-1902-004</w:t>
      </w:r>
      <w:r w:rsidR="00355CED">
        <w:rPr>
          <w:rFonts w:ascii="Times New Roman" w:hAnsi="Times New Roman" w:cs="Times New Roman"/>
          <w:sz w:val="24"/>
          <w:szCs w:val="24"/>
        </w:rPr>
        <w:t>)</w:t>
      </w:r>
      <w:r w:rsidR="00C1452E">
        <w:rPr>
          <w:rFonts w:ascii="Times New Roman" w:hAnsi="Times New Roman" w:cs="Times New Roman"/>
          <w:sz w:val="24"/>
          <w:szCs w:val="24"/>
        </w:rPr>
        <w:t xml:space="preserve"> in RM16-1</w:t>
      </w:r>
      <w:r w:rsidR="002F73D0">
        <w:rPr>
          <w:rFonts w:ascii="Times New Roman" w:hAnsi="Times New Roman" w:cs="Times New Roman"/>
          <w:sz w:val="24"/>
          <w:szCs w:val="24"/>
        </w:rPr>
        <w:t xml:space="preserve"> </w:t>
      </w:r>
      <w:r w:rsidR="00C1452E">
        <w:rPr>
          <w:rFonts w:ascii="Times New Roman" w:hAnsi="Times New Roman" w:cs="Times New Roman"/>
          <w:sz w:val="24"/>
          <w:szCs w:val="24"/>
        </w:rPr>
        <w:t>was submitted to OMB on 6/23</w:t>
      </w:r>
      <w:r w:rsidR="00AE450C">
        <w:rPr>
          <w:rFonts w:ascii="Times New Roman" w:hAnsi="Times New Roman" w:cs="Times New Roman"/>
          <w:sz w:val="24"/>
          <w:szCs w:val="24"/>
        </w:rPr>
        <w:t>/2016</w:t>
      </w:r>
      <w:r w:rsidR="00554389" w:rsidRPr="00A85D1D">
        <w:rPr>
          <w:rFonts w:ascii="Times New Roman" w:hAnsi="Times New Roman" w:cs="Times New Roman"/>
          <w:sz w:val="24"/>
          <w:szCs w:val="24"/>
        </w:rPr>
        <w:t>.</w:t>
      </w:r>
      <w:r w:rsidR="006A5D19">
        <w:rPr>
          <w:rFonts w:ascii="Times New Roman" w:hAnsi="Times New Roman" w:cs="Times New Roman"/>
          <w:sz w:val="24"/>
          <w:szCs w:val="24"/>
        </w:rPr>
        <w:t xml:space="preserve">  </w:t>
      </w:r>
      <w:r w:rsidR="00AE450C">
        <w:rPr>
          <w:rFonts w:ascii="Times New Roman" w:hAnsi="Times New Roman" w:cs="Times New Roman"/>
          <w:sz w:val="24"/>
          <w:szCs w:val="24"/>
        </w:rPr>
        <w:t>(</w:t>
      </w:r>
      <w:r w:rsidR="006A5D19">
        <w:rPr>
          <w:rFonts w:ascii="Times New Roman" w:hAnsi="Times New Roman" w:cs="Times New Roman"/>
          <w:sz w:val="24"/>
          <w:szCs w:val="24"/>
        </w:rPr>
        <w:t>Only one item per OMB Control No. may be pending OMB review at a time.</w:t>
      </w:r>
      <w:r w:rsidR="00AE450C">
        <w:rPr>
          <w:rFonts w:ascii="Times New Roman" w:hAnsi="Times New Roman" w:cs="Times New Roman"/>
          <w:sz w:val="24"/>
          <w:szCs w:val="24"/>
        </w:rPr>
        <w:t xml:space="preserve">)  </w:t>
      </w:r>
      <w:r w:rsidR="008A4502">
        <w:rPr>
          <w:rFonts w:ascii="Times New Roman" w:hAnsi="Times New Roman" w:cs="Times New Roman"/>
          <w:sz w:val="24"/>
          <w:szCs w:val="24"/>
        </w:rPr>
        <w:t>W</w:t>
      </w:r>
      <w:r w:rsidR="00AE450C">
        <w:rPr>
          <w:rFonts w:ascii="Times New Roman" w:hAnsi="Times New Roman" w:cs="Times New Roman"/>
          <w:sz w:val="24"/>
          <w:szCs w:val="24"/>
        </w:rPr>
        <w:t>e plan to move the requirements</w:t>
      </w:r>
      <w:r w:rsidR="002F73D0">
        <w:rPr>
          <w:rFonts w:ascii="Times New Roman" w:hAnsi="Times New Roman" w:cs="Times New Roman"/>
          <w:sz w:val="24"/>
          <w:szCs w:val="24"/>
        </w:rPr>
        <w:t xml:space="preserve"> and related burden in Docket RM16-1 to FERC-516</w:t>
      </w:r>
      <w:r w:rsidR="00B07A81">
        <w:rPr>
          <w:rFonts w:ascii="Times New Roman" w:hAnsi="Times New Roman" w:cs="Times New Roman"/>
          <w:sz w:val="24"/>
          <w:szCs w:val="24"/>
        </w:rPr>
        <w:t xml:space="preserve"> </w:t>
      </w:r>
      <w:r w:rsidR="00E11143">
        <w:rPr>
          <w:rFonts w:ascii="Times New Roman" w:hAnsi="Times New Roman" w:cs="Times New Roman"/>
          <w:sz w:val="24"/>
          <w:szCs w:val="24"/>
        </w:rPr>
        <w:t>within three years</w:t>
      </w:r>
      <w:r w:rsidR="002F73D0">
        <w:rPr>
          <w:rFonts w:ascii="Times New Roman" w:hAnsi="Times New Roman" w:cs="Times New Roman"/>
          <w:sz w:val="24"/>
          <w:szCs w:val="24"/>
        </w:rPr>
        <w:t>.</w:t>
      </w:r>
    </w:p>
    <w:p w14:paraId="1F36E569" w14:textId="77777777" w:rsidR="0002242D" w:rsidRDefault="0002242D" w:rsidP="00FD66F1">
      <w:pPr>
        <w:spacing w:after="0"/>
        <w:rPr>
          <w:rFonts w:ascii="Times New Roman" w:hAnsi="Times New Roman" w:cs="Times New Roman"/>
          <w:sz w:val="24"/>
          <w:szCs w:val="24"/>
        </w:rPr>
      </w:pPr>
    </w:p>
    <w:p w14:paraId="180B9FA6"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10F8671E" w14:textId="77777777" w:rsidR="00A72E7B" w:rsidRDefault="00A72E7B" w:rsidP="00EB3E6F">
      <w:pPr>
        <w:spacing w:after="0"/>
        <w:rPr>
          <w:rFonts w:ascii="Times New Roman" w:hAnsi="Times New Roman" w:cs="Times New Roman"/>
          <w:sz w:val="24"/>
          <w:szCs w:val="24"/>
        </w:rPr>
      </w:pPr>
    </w:p>
    <w:p w14:paraId="2498AC23" w14:textId="77777777" w:rsidR="00163BD2" w:rsidRPr="00163BD2" w:rsidRDefault="00163BD2" w:rsidP="00163BD2">
      <w:pPr>
        <w:spacing w:after="0"/>
        <w:ind w:firstLine="360"/>
        <w:rPr>
          <w:rFonts w:ascii="Times New Roman" w:hAnsi="Times New Roman" w:cs="Times New Roman"/>
          <w:sz w:val="24"/>
          <w:szCs w:val="24"/>
        </w:rPr>
      </w:pPr>
      <w:r w:rsidRPr="00163BD2">
        <w:rPr>
          <w:rFonts w:ascii="Times New Roman" w:hAnsi="Times New Roman" w:cs="Times New Roman"/>
          <w:sz w:val="24"/>
          <w:szCs w:val="24"/>
        </w:rPr>
        <w:lastRenderedPageBreak/>
        <w:t>Transmission providers require reactive power to control system voltage for efficient and reliable operation of an alternating current transmission system.  At times, transmission providers need generators to either supply or consume reactive power.  St</w:t>
      </w:r>
      <w:r>
        <w:rPr>
          <w:rFonts w:ascii="Times New Roman" w:hAnsi="Times New Roman" w:cs="Times New Roman"/>
          <w:sz w:val="24"/>
          <w:szCs w:val="24"/>
        </w:rPr>
        <w:t xml:space="preserve">arting with Order No. 888, </w:t>
      </w:r>
      <w:r w:rsidRPr="00163BD2">
        <w:rPr>
          <w:rFonts w:ascii="Times New Roman" w:hAnsi="Times New Roman" w:cs="Times New Roman"/>
          <w:sz w:val="24"/>
          <w:szCs w:val="24"/>
        </w:rPr>
        <w:t xml:space="preserve">which included provisions regarding reactive power from generators as an ancillary service in Schedule 2 of the </w:t>
      </w:r>
      <w:r w:rsidRPr="000620A5">
        <w:rPr>
          <w:rFonts w:ascii="Times New Roman" w:hAnsi="Times New Roman" w:cs="Times New Roman"/>
          <w:i/>
          <w:sz w:val="24"/>
          <w:szCs w:val="24"/>
        </w:rPr>
        <w:t>pro forma</w:t>
      </w:r>
      <w:r w:rsidRPr="00163BD2">
        <w:rPr>
          <w:rFonts w:ascii="Times New Roman" w:hAnsi="Times New Roman" w:cs="Times New Roman"/>
          <w:sz w:val="24"/>
          <w:szCs w:val="24"/>
        </w:rPr>
        <w:t xml:space="preserve"> Open Access Transmission Tariff (OATT), the Commission issued a series of orders intended to ensure that sufficient reactive power is available to maintain the reliability of the electric grid.</w:t>
      </w:r>
    </w:p>
    <w:p w14:paraId="10108413" w14:textId="77777777" w:rsidR="00163BD2" w:rsidRPr="00163BD2" w:rsidRDefault="00163BD2" w:rsidP="00163BD2">
      <w:pPr>
        <w:spacing w:after="0"/>
        <w:ind w:firstLine="360"/>
        <w:rPr>
          <w:rFonts w:ascii="Times New Roman" w:hAnsi="Times New Roman" w:cs="Times New Roman"/>
          <w:sz w:val="24"/>
          <w:szCs w:val="24"/>
        </w:rPr>
      </w:pPr>
      <w:r w:rsidRPr="00163BD2">
        <w:rPr>
          <w:rFonts w:ascii="Times New Roman" w:hAnsi="Times New Roman" w:cs="Times New Roman"/>
          <w:sz w:val="24"/>
          <w:szCs w:val="24"/>
        </w:rPr>
        <w:t>Starting with Order No. 2003, the Commission adopted standard procedures and a standard agreement for the interconnection of large generation facilities</w:t>
      </w:r>
      <w:r w:rsidR="00340E76">
        <w:rPr>
          <w:rFonts w:ascii="Times New Roman" w:hAnsi="Times New Roman" w:cs="Times New Roman"/>
          <w:sz w:val="24"/>
          <w:szCs w:val="24"/>
        </w:rPr>
        <w:t xml:space="preserve">, the </w:t>
      </w:r>
      <w:r w:rsidR="00340E76" w:rsidRPr="004744CC">
        <w:rPr>
          <w:rFonts w:ascii="Times New Roman" w:hAnsi="Times New Roman" w:cs="Times New Roman"/>
          <w:i/>
          <w:sz w:val="24"/>
          <w:szCs w:val="24"/>
        </w:rPr>
        <w:t>pro forma</w:t>
      </w:r>
      <w:r w:rsidR="00340E76">
        <w:rPr>
          <w:rFonts w:ascii="Times New Roman" w:hAnsi="Times New Roman" w:cs="Times New Roman"/>
          <w:sz w:val="24"/>
          <w:szCs w:val="24"/>
        </w:rPr>
        <w:t xml:space="preserve"> Large Generator Interconnection Agreement (LGIA)</w:t>
      </w:r>
      <w:r w:rsidRPr="00163BD2">
        <w:rPr>
          <w:rFonts w:ascii="Times New Roman" w:hAnsi="Times New Roman" w:cs="Times New Roman"/>
          <w:sz w:val="24"/>
          <w:szCs w:val="24"/>
        </w:rPr>
        <w:t xml:space="preserve">, which included the reactive power requirement.   The Commission recognized in Order No. 2003-A that the </w:t>
      </w:r>
      <w:r w:rsidRPr="000620A5">
        <w:rPr>
          <w:rFonts w:ascii="Times New Roman" w:hAnsi="Times New Roman" w:cs="Times New Roman"/>
          <w:i/>
          <w:sz w:val="24"/>
          <w:szCs w:val="24"/>
        </w:rPr>
        <w:t>pro forma</w:t>
      </w:r>
      <w:r w:rsidRPr="00163BD2">
        <w:rPr>
          <w:rFonts w:ascii="Times New Roman" w:hAnsi="Times New Roman" w:cs="Times New Roman"/>
          <w:sz w:val="24"/>
          <w:szCs w:val="24"/>
        </w:rPr>
        <w:t xml:space="preserve"> LGIA was “designed around the needs of large synchronous generators and that generators relying on newer technologies may find that either a specific requirement is inapplicable or that it calls for a slightly different approach” because such generators “may have unique electrical characteristics.”   Therefore, the Commission exempted wind generators from the reactive power requirement and added a blank Appendix G to the </w:t>
      </w:r>
      <w:r w:rsidRPr="000620A5">
        <w:rPr>
          <w:rFonts w:ascii="Times New Roman" w:hAnsi="Times New Roman" w:cs="Times New Roman"/>
          <w:i/>
          <w:sz w:val="24"/>
          <w:szCs w:val="24"/>
        </w:rPr>
        <w:t>pro forma</w:t>
      </w:r>
      <w:r w:rsidRPr="00163BD2">
        <w:rPr>
          <w:rFonts w:ascii="Times New Roman" w:hAnsi="Times New Roman" w:cs="Times New Roman"/>
          <w:sz w:val="24"/>
          <w:szCs w:val="24"/>
        </w:rPr>
        <w:t xml:space="preserve"> LGIA as a placeholder for future interconnection requirements for newer technologies. </w:t>
      </w:r>
    </w:p>
    <w:p w14:paraId="64A779B5" w14:textId="77777777" w:rsidR="00163BD2" w:rsidRPr="00163BD2" w:rsidRDefault="00163BD2" w:rsidP="00163BD2">
      <w:pPr>
        <w:spacing w:after="0"/>
        <w:ind w:firstLine="360"/>
        <w:rPr>
          <w:rFonts w:ascii="Times New Roman" w:hAnsi="Times New Roman" w:cs="Times New Roman"/>
          <w:sz w:val="24"/>
          <w:szCs w:val="24"/>
        </w:rPr>
      </w:pPr>
      <w:r w:rsidRPr="00163BD2">
        <w:rPr>
          <w:rFonts w:ascii="Times New Roman" w:hAnsi="Times New Roman" w:cs="Times New Roman"/>
          <w:sz w:val="24"/>
          <w:szCs w:val="24"/>
        </w:rPr>
        <w:t>In June 2005, the Co</w:t>
      </w:r>
      <w:r>
        <w:rPr>
          <w:rFonts w:ascii="Times New Roman" w:hAnsi="Times New Roman" w:cs="Times New Roman"/>
          <w:sz w:val="24"/>
          <w:szCs w:val="24"/>
        </w:rPr>
        <w:t xml:space="preserve">mmission issued Order No. 661, </w:t>
      </w:r>
      <w:r w:rsidRPr="00163BD2">
        <w:rPr>
          <w:rFonts w:ascii="Times New Roman" w:hAnsi="Times New Roman" w:cs="Times New Roman"/>
          <w:sz w:val="24"/>
          <w:szCs w:val="24"/>
        </w:rPr>
        <w:t xml:space="preserve">establishing interconnection requirements in Appendix G to the </w:t>
      </w:r>
      <w:r w:rsidRPr="000620A5">
        <w:rPr>
          <w:rFonts w:ascii="Times New Roman" w:hAnsi="Times New Roman" w:cs="Times New Roman"/>
          <w:i/>
          <w:sz w:val="24"/>
          <w:szCs w:val="24"/>
        </w:rPr>
        <w:t>pro forma</w:t>
      </w:r>
      <w:r w:rsidRPr="00163BD2">
        <w:rPr>
          <w:rFonts w:ascii="Times New Roman" w:hAnsi="Times New Roman" w:cs="Times New Roman"/>
          <w:sz w:val="24"/>
          <w:szCs w:val="24"/>
        </w:rPr>
        <w:t xml:space="preserve"> LGIA for large wind generators.   Recognizing that, unlike traditional synchronous generators, wind generators had to “install costly equipment” in order to maintain reactive power capability, the Commission in Order No. 661 preserved the exemption for large wind generators from the reactive power requirement unless the transmission provider shows, through a System Impact Study, that reactive power capability is required </w:t>
      </w:r>
      <w:r w:rsidRPr="00163BD2">
        <w:rPr>
          <w:rFonts w:ascii="Times New Roman" w:hAnsi="Times New Roman" w:cs="Times New Roman"/>
          <w:sz w:val="24"/>
          <w:szCs w:val="24"/>
        </w:rPr>
        <w:lastRenderedPageBreak/>
        <w:t xml:space="preserve">to ensure safety or reliability.   The Commission explained that this qualified exemption from the reactive power requirement for large wind generators would provide certainty to the industry and “remove unnecessary obstacles to the increased growth of wind generation.” </w:t>
      </w:r>
    </w:p>
    <w:p w14:paraId="07F5066D" w14:textId="77777777" w:rsidR="00FC78A0" w:rsidRDefault="00163BD2" w:rsidP="00163BD2">
      <w:pPr>
        <w:spacing w:after="0"/>
        <w:ind w:firstLine="360"/>
        <w:rPr>
          <w:rFonts w:ascii="Times New Roman" w:hAnsi="Times New Roman" w:cs="Times New Roman"/>
          <w:sz w:val="24"/>
          <w:szCs w:val="24"/>
        </w:rPr>
      </w:pPr>
      <w:r w:rsidRPr="00163BD2">
        <w:rPr>
          <w:rFonts w:ascii="Times New Roman" w:hAnsi="Times New Roman" w:cs="Times New Roman"/>
          <w:sz w:val="24"/>
          <w:szCs w:val="24"/>
        </w:rPr>
        <w:t>In May 2005, the Co</w:t>
      </w:r>
      <w:r>
        <w:rPr>
          <w:rFonts w:ascii="Times New Roman" w:hAnsi="Times New Roman" w:cs="Times New Roman"/>
          <w:sz w:val="24"/>
          <w:szCs w:val="24"/>
        </w:rPr>
        <w:t>mmission issued Order No. 2006,</w:t>
      </w:r>
      <w:r w:rsidRPr="00163BD2">
        <w:rPr>
          <w:rFonts w:ascii="Times New Roman" w:hAnsi="Times New Roman" w:cs="Times New Roman"/>
          <w:sz w:val="24"/>
          <w:szCs w:val="24"/>
        </w:rPr>
        <w:t xml:space="preserve"> in which it adopted standard procedures and a standard agreement for the interconnection of small generation facilities</w:t>
      </w:r>
      <w:r w:rsidR="004744CC">
        <w:rPr>
          <w:rFonts w:ascii="Times New Roman" w:hAnsi="Times New Roman" w:cs="Times New Roman"/>
          <w:sz w:val="24"/>
          <w:szCs w:val="24"/>
        </w:rPr>
        <w:t xml:space="preserve">, the </w:t>
      </w:r>
      <w:r w:rsidR="004744CC" w:rsidRPr="004744CC">
        <w:rPr>
          <w:rFonts w:ascii="Times New Roman" w:hAnsi="Times New Roman" w:cs="Times New Roman"/>
          <w:i/>
          <w:sz w:val="24"/>
          <w:szCs w:val="24"/>
        </w:rPr>
        <w:t>pro forma</w:t>
      </w:r>
      <w:r w:rsidR="004744CC">
        <w:rPr>
          <w:rFonts w:ascii="Times New Roman" w:hAnsi="Times New Roman" w:cs="Times New Roman"/>
          <w:sz w:val="24"/>
          <w:szCs w:val="24"/>
        </w:rPr>
        <w:t xml:space="preserve"> Small Generator Interconnection Agreement (SGIA)</w:t>
      </w:r>
      <w:r w:rsidRPr="00163BD2">
        <w:rPr>
          <w:rFonts w:ascii="Times New Roman" w:hAnsi="Times New Roman" w:cs="Times New Roman"/>
          <w:sz w:val="24"/>
          <w:szCs w:val="24"/>
        </w:rPr>
        <w:t>.   In Order No. 2006, the Commission completely exempted small wind generators from th</w:t>
      </w:r>
      <w:r>
        <w:rPr>
          <w:rFonts w:ascii="Times New Roman" w:hAnsi="Times New Roman" w:cs="Times New Roman"/>
          <w:sz w:val="24"/>
          <w:szCs w:val="24"/>
        </w:rPr>
        <w:t xml:space="preserve">e reactive power requirement. </w:t>
      </w:r>
      <w:r w:rsidRPr="00163BD2">
        <w:rPr>
          <w:rFonts w:ascii="Times New Roman" w:hAnsi="Times New Roman" w:cs="Times New Roman"/>
          <w:sz w:val="24"/>
          <w:szCs w:val="24"/>
        </w:rPr>
        <w:t>The Commission reasoned that, similar to large wind generators, small wind generators would face increased costs to provide reactive power that could create an obstacle to the development of small wind generators.  Additionally, the Commission reasoned that small wind generators would “have minimal impact on the Transmission Provider’s electric system” and therefore the reliability requirements for large wind generators that were eventually imposed in Order No. 661 were not n</w:t>
      </w:r>
      <w:r>
        <w:rPr>
          <w:rFonts w:ascii="Times New Roman" w:hAnsi="Times New Roman" w:cs="Times New Roman"/>
          <w:sz w:val="24"/>
          <w:szCs w:val="24"/>
        </w:rPr>
        <w:t>eeded for small wind generators</w:t>
      </w:r>
      <w:r w:rsidR="00FC78A0" w:rsidRPr="00FC78A0">
        <w:rPr>
          <w:rFonts w:ascii="Times New Roman" w:hAnsi="Times New Roman" w:cs="Times New Roman"/>
          <w:sz w:val="24"/>
          <w:szCs w:val="24"/>
        </w:rPr>
        <w:t>.</w:t>
      </w:r>
    </w:p>
    <w:p w14:paraId="5E0425C3" w14:textId="77777777" w:rsidR="00FC78A0" w:rsidRDefault="00FC78A0" w:rsidP="00FC78A0">
      <w:pPr>
        <w:spacing w:after="0"/>
        <w:rPr>
          <w:rFonts w:ascii="Times New Roman" w:hAnsi="Times New Roman" w:cs="Times New Roman"/>
          <w:sz w:val="24"/>
          <w:szCs w:val="24"/>
        </w:rPr>
      </w:pPr>
    </w:p>
    <w:p w14:paraId="6029A372"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3870450D" w14:textId="77777777" w:rsidR="00EB3E6F" w:rsidRDefault="00EB3E6F" w:rsidP="00EB3E6F">
      <w:pPr>
        <w:spacing w:after="0"/>
        <w:rPr>
          <w:rFonts w:ascii="Times New Roman" w:hAnsi="Times New Roman" w:cs="Times New Roman"/>
          <w:sz w:val="24"/>
          <w:szCs w:val="24"/>
        </w:rPr>
      </w:pPr>
    </w:p>
    <w:p w14:paraId="4615C822" w14:textId="5771F535" w:rsidR="006C7A01" w:rsidRPr="00FC78A0" w:rsidRDefault="005D0ABA" w:rsidP="00163BD2">
      <w:pPr>
        <w:spacing w:after="0"/>
        <w:ind w:firstLine="360"/>
        <w:rPr>
          <w:rFonts w:ascii="Times New Roman" w:hAnsi="Times New Roman" w:cs="Times New Roman"/>
          <w:sz w:val="24"/>
          <w:szCs w:val="24"/>
        </w:rPr>
      </w:pPr>
      <w:r>
        <w:rPr>
          <w:rFonts w:ascii="Times New Roman" w:hAnsi="Times New Roman" w:cs="Times New Roman"/>
          <w:sz w:val="24"/>
          <w:szCs w:val="24"/>
        </w:rPr>
        <w:t>The reforms approved in this Final Rule</w:t>
      </w:r>
      <w:r w:rsidR="00163BD2" w:rsidRPr="00163BD2">
        <w:rPr>
          <w:rFonts w:ascii="Times New Roman" w:hAnsi="Times New Roman" w:cs="Times New Roman"/>
          <w:sz w:val="24"/>
          <w:szCs w:val="24"/>
        </w:rPr>
        <w:t xml:space="preserve"> would amend the Commission’s standard generator interconnection agreements in accordance with section 35.28(f)(1) of the Commission’s regulations</w:t>
      </w:r>
      <w:r w:rsidR="00163BD2" w:rsidRPr="00163BD2">
        <w:rPr>
          <w:rFonts w:ascii="Times New Roman" w:hAnsi="Times New Roman" w:cs="Times New Roman"/>
          <w:b/>
          <w:sz w:val="24"/>
          <w:szCs w:val="24"/>
          <w:vertAlign w:val="superscript"/>
        </w:rPr>
        <w:footnoteReference w:id="2"/>
      </w:r>
      <w:r w:rsidR="00163BD2" w:rsidRPr="00163BD2">
        <w:rPr>
          <w:rFonts w:ascii="Times New Roman" w:hAnsi="Times New Roman" w:cs="Times New Roman"/>
          <w:sz w:val="24"/>
          <w:szCs w:val="24"/>
        </w:rPr>
        <w:t xml:space="preserve"> to require that each public utility transmission provider amend its </w:t>
      </w:r>
      <w:r w:rsidR="00163BD2" w:rsidRPr="00163BD2">
        <w:rPr>
          <w:rFonts w:ascii="Times New Roman" w:hAnsi="Times New Roman" w:cs="Times New Roman"/>
          <w:i/>
          <w:sz w:val="24"/>
          <w:szCs w:val="24"/>
        </w:rPr>
        <w:t>pro forma</w:t>
      </w:r>
      <w:r w:rsidR="00163BD2" w:rsidRPr="00163BD2">
        <w:rPr>
          <w:rFonts w:ascii="Times New Roman" w:hAnsi="Times New Roman" w:cs="Times New Roman"/>
          <w:sz w:val="24"/>
          <w:szCs w:val="24"/>
        </w:rPr>
        <w:t xml:space="preserve"> LGIA and </w:t>
      </w:r>
      <w:r w:rsidR="00163BD2" w:rsidRPr="00163BD2">
        <w:rPr>
          <w:rFonts w:ascii="Times New Roman" w:hAnsi="Times New Roman" w:cs="Times New Roman"/>
          <w:i/>
          <w:sz w:val="24"/>
          <w:szCs w:val="24"/>
        </w:rPr>
        <w:t>pro forma</w:t>
      </w:r>
      <w:r w:rsidR="00163BD2" w:rsidRPr="00163BD2">
        <w:rPr>
          <w:rFonts w:ascii="Times New Roman" w:hAnsi="Times New Roman" w:cs="Times New Roman"/>
          <w:sz w:val="24"/>
          <w:szCs w:val="24"/>
        </w:rPr>
        <w:t xml:space="preserve"> SGIA to:  (1) </w:t>
      </w:r>
      <w:r w:rsidR="00163BD2" w:rsidRPr="00163BD2">
        <w:rPr>
          <w:rFonts w:ascii="Times New Roman" w:hAnsi="Times New Roman" w:cs="Times New Roman"/>
          <w:sz w:val="24"/>
          <w:szCs w:val="24"/>
        </w:rPr>
        <w:lastRenderedPageBreak/>
        <w:t xml:space="preserve">eliminate the exemptions for wind generators from the requirement to provide reactive power; and (2) require that all newly interconnecting non-synchronous generators, as well as all existing non-synchronous generators making upgrades to their generation facilities that require new interconnection requests, provide reactive power as a condition of interconnection, as of the effective date of the final </w:t>
      </w:r>
      <w:r w:rsidR="000018C4">
        <w:rPr>
          <w:rFonts w:ascii="Times New Roman" w:hAnsi="Times New Roman" w:cs="Times New Roman"/>
          <w:sz w:val="24"/>
          <w:szCs w:val="24"/>
        </w:rPr>
        <w:t>rule</w:t>
      </w:r>
      <w:r w:rsidR="00163BD2" w:rsidRPr="00163BD2">
        <w:rPr>
          <w:rFonts w:ascii="Times New Roman" w:hAnsi="Times New Roman" w:cs="Times New Roman"/>
          <w:sz w:val="24"/>
          <w:szCs w:val="24"/>
        </w:rPr>
        <w:t xml:space="preserve">.  </w:t>
      </w:r>
      <w:r>
        <w:rPr>
          <w:rFonts w:ascii="Times New Roman" w:hAnsi="Times New Roman" w:cs="Times New Roman"/>
          <w:sz w:val="24"/>
          <w:szCs w:val="24"/>
        </w:rPr>
        <w:t>The reforms approved</w:t>
      </w:r>
      <w:r w:rsidR="004744CC">
        <w:rPr>
          <w:rFonts w:ascii="Times New Roman" w:hAnsi="Times New Roman" w:cs="Times New Roman"/>
          <w:sz w:val="24"/>
          <w:szCs w:val="24"/>
        </w:rPr>
        <w:t xml:space="preserve"> are necessary to ensure that rates are just and reasonable and not unduly discriminatory or preferential.  The</w:t>
      </w:r>
      <w:r>
        <w:rPr>
          <w:rFonts w:ascii="Times New Roman" w:hAnsi="Times New Roman" w:cs="Times New Roman"/>
          <w:sz w:val="24"/>
          <w:szCs w:val="24"/>
        </w:rPr>
        <w:t xml:space="preserve"> Final Rule</w:t>
      </w:r>
      <w:r w:rsidR="00163BD2" w:rsidRPr="00163BD2">
        <w:rPr>
          <w:rFonts w:ascii="Times New Roman" w:hAnsi="Times New Roman" w:cs="Times New Roman"/>
          <w:sz w:val="24"/>
          <w:szCs w:val="24"/>
        </w:rPr>
        <w:t xml:space="preserve"> would require filings of </w:t>
      </w:r>
      <w:r w:rsidR="00163BD2" w:rsidRPr="00163BD2">
        <w:rPr>
          <w:rFonts w:ascii="Times New Roman" w:hAnsi="Times New Roman" w:cs="Times New Roman"/>
          <w:i/>
          <w:sz w:val="24"/>
          <w:szCs w:val="24"/>
        </w:rPr>
        <w:t>pro forma</w:t>
      </w:r>
      <w:r w:rsidR="00163BD2" w:rsidRPr="00163BD2">
        <w:rPr>
          <w:rFonts w:ascii="Times New Roman" w:hAnsi="Times New Roman" w:cs="Times New Roman"/>
          <w:sz w:val="24"/>
          <w:szCs w:val="24"/>
        </w:rPr>
        <w:t xml:space="preserve"> LGIAs and </w:t>
      </w:r>
      <w:r w:rsidR="00163BD2" w:rsidRPr="00163BD2">
        <w:rPr>
          <w:rFonts w:ascii="Times New Roman" w:hAnsi="Times New Roman" w:cs="Times New Roman"/>
          <w:i/>
          <w:sz w:val="24"/>
          <w:szCs w:val="24"/>
        </w:rPr>
        <w:t>pro forma</w:t>
      </w:r>
      <w:r w:rsidR="00163BD2" w:rsidRPr="00163BD2">
        <w:rPr>
          <w:rFonts w:ascii="Times New Roman" w:hAnsi="Times New Roman" w:cs="Times New Roman"/>
          <w:sz w:val="24"/>
          <w:szCs w:val="24"/>
        </w:rPr>
        <w:t xml:space="preserve"> SGIAs with the Commission.  The Commission </w:t>
      </w:r>
      <w:r>
        <w:rPr>
          <w:rFonts w:ascii="Times New Roman" w:hAnsi="Times New Roman" w:cs="Times New Roman"/>
          <w:sz w:val="24"/>
          <w:szCs w:val="24"/>
        </w:rPr>
        <w:t>anticipates the reforms approved in this Final Rule</w:t>
      </w:r>
      <w:r w:rsidR="00163BD2" w:rsidRPr="00163BD2">
        <w:rPr>
          <w:rFonts w:ascii="Times New Roman" w:hAnsi="Times New Roman" w:cs="Times New Roman"/>
          <w:sz w:val="24"/>
          <w:szCs w:val="24"/>
        </w:rPr>
        <w:t xml:space="preserve">, once implemented, would not significantly change currently existing burdens on an ongoing basis.  With regard to those public utility transmission providers that believe that they already </w:t>
      </w:r>
      <w:r>
        <w:rPr>
          <w:rFonts w:ascii="Times New Roman" w:hAnsi="Times New Roman" w:cs="Times New Roman"/>
          <w:sz w:val="24"/>
          <w:szCs w:val="24"/>
        </w:rPr>
        <w:t>comply with the reforms approved in this Final Rule</w:t>
      </w:r>
      <w:r w:rsidR="00163BD2" w:rsidRPr="00163BD2">
        <w:rPr>
          <w:rFonts w:ascii="Times New Roman" w:hAnsi="Times New Roman" w:cs="Times New Roman"/>
          <w:sz w:val="24"/>
          <w:szCs w:val="24"/>
        </w:rPr>
        <w:t xml:space="preserve">, they could demonstrate their compliance in the filing required 90 days after the effective date of the final </w:t>
      </w:r>
      <w:r w:rsidR="00D731E6">
        <w:rPr>
          <w:rFonts w:ascii="Times New Roman" w:hAnsi="Times New Roman" w:cs="Times New Roman"/>
          <w:sz w:val="24"/>
          <w:szCs w:val="24"/>
        </w:rPr>
        <w:t>rule</w:t>
      </w:r>
      <w:r w:rsidR="00D731E6" w:rsidRPr="00163BD2">
        <w:rPr>
          <w:rFonts w:ascii="Times New Roman" w:hAnsi="Times New Roman" w:cs="Times New Roman"/>
          <w:sz w:val="24"/>
          <w:szCs w:val="24"/>
        </w:rPr>
        <w:t xml:space="preserve"> </w:t>
      </w:r>
      <w:r w:rsidR="00163BD2">
        <w:rPr>
          <w:rFonts w:ascii="Times New Roman" w:hAnsi="Times New Roman" w:cs="Times New Roman"/>
          <w:sz w:val="24"/>
          <w:szCs w:val="24"/>
        </w:rPr>
        <w:t>in this proceed</w:t>
      </w:r>
      <w:r w:rsidR="00596FD0">
        <w:rPr>
          <w:rFonts w:ascii="Times New Roman" w:hAnsi="Times New Roman" w:cs="Times New Roman"/>
          <w:sz w:val="24"/>
          <w:szCs w:val="24"/>
        </w:rPr>
        <w:t>ing</w:t>
      </w:r>
      <w:r w:rsidR="00163BD2">
        <w:rPr>
          <w:rFonts w:ascii="Times New Roman" w:hAnsi="Times New Roman" w:cs="Times New Roman"/>
          <w:sz w:val="24"/>
          <w:szCs w:val="24"/>
        </w:rPr>
        <w:t>.</w:t>
      </w:r>
      <w:r w:rsidR="006C7A01" w:rsidRPr="006C7A01">
        <w:rPr>
          <w:rFonts w:ascii="Times New Roman" w:hAnsi="Times New Roman" w:cs="Times New Roman"/>
          <w:sz w:val="24"/>
          <w:szCs w:val="24"/>
        </w:rPr>
        <w:t xml:space="preserve">  </w:t>
      </w:r>
    </w:p>
    <w:p w14:paraId="4CAB93F9" w14:textId="77777777" w:rsidR="00785CD2" w:rsidRPr="00EB3E6F" w:rsidRDefault="00785CD2" w:rsidP="00F63DF4">
      <w:pPr>
        <w:spacing w:after="0"/>
        <w:rPr>
          <w:rFonts w:ascii="Times New Roman" w:hAnsi="Times New Roman" w:cs="Times New Roman"/>
          <w:sz w:val="24"/>
          <w:szCs w:val="24"/>
        </w:rPr>
      </w:pPr>
    </w:p>
    <w:p w14:paraId="6D588634"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7821756B" w14:textId="77777777" w:rsidR="00EB3E6F" w:rsidRDefault="00EB3E6F" w:rsidP="00EB3E6F">
      <w:pPr>
        <w:spacing w:after="0"/>
        <w:rPr>
          <w:rFonts w:ascii="Times New Roman" w:hAnsi="Times New Roman" w:cs="Times New Roman"/>
          <w:sz w:val="24"/>
          <w:szCs w:val="24"/>
        </w:rPr>
      </w:pPr>
    </w:p>
    <w:p w14:paraId="36A285E1" w14:textId="77777777" w:rsidR="006C7A01" w:rsidRDefault="009B2C56" w:rsidP="00E97801">
      <w:pPr>
        <w:spacing w:after="0"/>
        <w:ind w:firstLine="360"/>
        <w:rPr>
          <w:rFonts w:ascii="Times New Roman" w:hAnsi="Times New Roman" w:cs="Times New Roman"/>
          <w:sz w:val="24"/>
          <w:szCs w:val="24"/>
        </w:rPr>
      </w:pPr>
      <w:r w:rsidRPr="001F7B41">
        <w:rPr>
          <w:rFonts w:ascii="Times New Roman" w:hAnsi="Times New Roman" w:cs="Times New Roman"/>
          <w:sz w:val="24"/>
          <w:szCs w:val="24"/>
        </w:rPr>
        <w:t>There is no specific use of information technology associated with these revisions.  Commission staff expects to receive all</w:t>
      </w:r>
      <w:r w:rsidR="00DA0B78" w:rsidRPr="001F7B41">
        <w:rPr>
          <w:rFonts w:ascii="Times New Roman" w:hAnsi="Times New Roman" w:cs="Times New Roman"/>
          <w:sz w:val="24"/>
          <w:szCs w:val="24"/>
        </w:rPr>
        <w:t xml:space="preserve"> filings via </w:t>
      </w:r>
      <w:r w:rsidRPr="001F7B41">
        <w:rPr>
          <w:rFonts w:ascii="Times New Roman" w:hAnsi="Times New Roman" w:cs="Times New Roman"/>
          <w:sz w:val="24"/>
          <w:szCs w:val="24"/>
        </w:rPr>
        <w:t>eTariff.</w:t>
      </w:r>
      <w:r w:rsidR="00DA0B78" w:rsidRPr="001F7B41">
        <w:rPr>
          <w:rFonts w:ascii="Times New Roman" w:hAnsi="Times New Roman" w:cs="Times New Roman"/>
          <w:sz w:val="24"/>
          <w:szCs w:val="24"/>
        </w:rPr>
        <w:t xml:space="preserve">  FERC implemented its eTariff system (fully implemented in 2010) for the electronic filing of tariffs.</w:t>
      </w:r>
    </w:p>
    <w:p w14:paraId="13F6D3E5" w14:textId="77777777" w:rsidR="00A0495C" w:rsidRPr="00EB3E6F" w:rsidRDefault="00A0495C" w:rsidP="00EB3E6F">
      <w:pPr>
        <w:spacing w:after="0"/>
        <w:rPr>
          <w:rFonts w:ascii="Times New Roman" w:hAnsi="Times New Roman" w:cs="Times New Roman"/>
          <w:sz w:val="24"/>
          <w:szCs w:val="24"/>
        </w:rPr>
      </w:pPr>
    </w:p>
    <w:p w14:paraId="7F2BB2C8"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w:t>
      </w:r>
      <w:r w:rsidRPr="00EB3E6F">
        <w:rPr>
          <w:rFonts w:ascii="Times New Roman" w:hAnsi="Times New Roman" w:cs="Times New Roman"/>
          <w:b/>
          <w:sz w:val="24"/>
          <w:szCs w:val="24"/>
        </w:rPr>
        <w:lastRenderedPageBreak/>
        <w:t>AVAILABLE CANNOT BE USED OR MODIFIED FOR USE FOR THE PURPOSE(S) DESCRIBED IN INSTRUCTION NO. 2</w:t>
      </w:r>
    </w:p>
    <w:p w14:paraId="4A76A482" w14:textId="77777777" w:rsidR="00EB3E6F" w:rsidRDefault="00EB3E6F" w:rsidP="00EB3E6F">
      <w:pPr>
        <w:spacing w:after="0"/>
        <w:rPr>
          <w:rFonts w:ascii="Times New Roman" w:hAnsi="Times New Roman" w:cs="Times New Roman"/>
          <w:sz w:val="24"/>
          <w:szCs w:val="24"/>
        </w:rPr>
      </w:pPr>
    </w:p>
    <w:p w14:paraId="4491E0D3" w14:textId="0AB337AA" w:rsidR="00A0495C" w:rsidRDefault="00A0495C" w:rsidP="007C3586">
      <w:pPr>
        <w:spacing w:after="0"/>
        <w:ind w:firstLine="360"/>
        <w:rPr>
          <w:rFonts w:ascii="Times New Roman" w:hAnsi="Times New Roman" w:cs="Times New Roman"/>
          <w:sz w:val="24"/>
          <w:szCs w:val="24"/>
        </w:rPr>
      </w:pPr>
      <w:r>
        <w:rPr>
          <w:rFonts w:ascii="Times New Roman" w:hAnsi="Times New Roman" w:cs="Times New Roman"/>
          <w:sz w:val="24"/>
          <w:szCs w:val="24"/>
        </w:rPr>
        <w:t xml:space="preserve">The Commission periodically reviews filing requirements concurrent with OMB review or as the Commission deems necessary to eliminate duplicative filing and to minimize the filing burden. </w:t>
      </w:r>
      <w:r w:rsidR="00ED32B9">
        <w:rPr>
          <w:rFonts w:ascii="Times New Roman" w:hAnsi="Times New Roman" w:cs="Times New Roman"/>
          <w:sz w:val="24"/>
          <w:szCs w:val="24"/>
        </w:rPr>
        <w:t xml:space="preserve"> </w:t>
      </w:r>
      <w:r w:rsidR="00F132B4">
        <w:rPr>
          <w:rFonts w:ascii="Times New Roman" w:hAnsi="Times New Roman" w:cs="Times New Roman"/>
          <w:sz w:val="24"/>
          <w:szCs w:val="24"/>
        </w:rPr>
        <w:t>This</w:t>
      </w:r>
      <w:r w:rsidR="006E22EF">
        <w:rPr>
          <w:rFonts w:ascii="Times New Roman" w:hAnsi="Times New Roman" w:cs="Times New Roman"/>
          <w:sz w:val="24"/>
          <w:szCs w:val="24"/>
        </w:rPr>
        <w:t xml:space="preserve"> revision</w:t>
      </w:r>
      <w:r w:rsidR="00DA0B78">
        <w:rPr>
          <w:rFonts w:ascii="Times New Roman" w:hAnsi="Times New Roman" w:cs="Times New Roman"/>
          <w:sz w:val="24"/>
          <w:szCs w:val="24"/>
        </w:rPr>
        <w:t xml:space="preserve"> </w:t>
      </w:r>
      <w:r w:rsidR="006E22EF">
        <w:rPr>
          <w:rFonts w:ascii="Times New Roman" w:hAnsi="Times New Roman" w:cs="Times New Roman"/>
          <w:sz w:val="24"/>
          <w:szCs w:val="24"/>
        </w:rPr>
        <w:t xml:space="preserve">is related to </w:t>
      </w:r>
      <w:r w:rsidR="00DA0B78">
        <w:rPr>
          <w:rFonts w:ascii="Times New Roman" w:hAnsi="Times New Roman" w:cs="Times New Roman"/>
          <w:sz w:val="24"/>
          <w:szCs w:val="24"/>
        </w:rPr>
        <w:t>a Commission jurisdictional tariff.  Therefore, the Commission would be the only entity requiring and collecting this information.</w:t>
      </w:r>
    </w:p>
    <w:p w14:paraId="2B6AD113" w14:textId="77777777" w:rsidR="00ED32B9" w:rsidRPr="00EB3E6F" w:rsidRDefault="00ED32B9" w:rsidP="00EB3E6F">
      <w:pPr>
        <w:spacing w:after="0"/>
        <w:rPr>
          <w:rFonts w:ascii="Times New Roman" w:hAnsi="Times New Roman" w:cs="Times New Roman"/>
          <w:sz w:val="24"/>
          <w:szCs w:val="24"/>
        </w:rPr>
      </w:pPr>
    </w:p>
    <w:p w14:paraId="3BE39840"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25549AA1" w14:textId="77777777" w:rsidR="00A0495C" w:rsidRDefault="00A0495C" w:rsidP="00EB3E6F">
      <w:pPr>
        <w:spacing w:after="0"/>
        <w:rPr>
          <w:rFonts w:ascii="Times New Roman" w:hAnsi="Times New Roman" w:cs="Times New Roman"/>
          <w:sz w:val="24"/>
          <w:szCs w:val="24"/>
        </w:rPr>
      </w:pPr>
    </w:p>
    <w:p w14:paraId="39BCE1FD" w14:textId="77777777" w:rsidR="00C626FC" w:rsidRDefault="00C626FC" w:rsidP="007C3586">
      <w:pPr>
        <w:spacing w:after="0"/>
        <w:ind w:firstLine="360"/>
        <w:rPr>
          <w:rFonts w:ascii="Times New Roman" w:hAnsi="Times New Roman" w:cs="Times New Roman"/>
          <w:sz w:val="24"/>
          <w:szCs w:val="24"/>
        </w:rPr>
      </w:pPr>
      <w:r w:rsidRPr="001348AC">
        <w:rPr>
          <w:rFonts w:ascii="Times New Roman" w:hAnsi="Times New Roman" w:cs="Times New Roman"/>
          <w:sz w:val="24"/>
          <w:szCs w:val="24"/>
        </w:rPr>
        <w:t>FE</w:t>
      </w:r>
      <w:r w:rsidR="00C2558A">
        <w:rPr>
          <w:rFonts w:ascii="Times New Roman" w:hAnsi="Times New Roman" w:cs="Times New Roman"/>
          <w:sz w:val="24"/>
          <w:szCs w:val="24"/>
        </w:rPr>
        <w:t>RC estimates that there are 11</w:t>
      </w:r>
      <w:r w:rsidRPr="00CF759C">
        <w:rPr>
          <w:rStyle w:val="FootnoteReference"/>
          <w:rFonts w:ascii="Times New Roman" w:hAnsi="Times New Roman" w:cs="Times New Roman"/>
          <w:sz w:val="24"/>
          <w:szCs w:val="24"/>
          <w:vertAlign w:val="superscript"/>
        </w:rPr>
        <w:footnoteReference w:id="3"/>
      </w:r>
      <w:r>
        <w:rPr>
          <w:rFonts w:ascii="Times New Roman" w:hAnsi="Times New Roman" w:cs="Times New Roman"/>
          <w:sz w:val="24"/>
          <w:szCs w:val="24"/>
        </w:rPr>
        <w:t xml:space="preserve"> small entities applicable to this rule.   </w:t>
      </w:r>
      <w:r w:rsidRPr="001348AC">
        <w:rPr>
          <w:rFonts w:ascii="Times New Roman" w:hAnsi="Times New Roman" w:cs="Times New Roman"/>
          <w:sz w:val="24"/>
          <w:szCs w:val="24"/>
        </w:rPr>
        <w:t>FERC considers the impact o</w:t>
      </w:r>
      <w:r w:rsidR="00D947A2">
        <w:rPr>
          <w:rFonts w:ascii="Times New Roman" w:hAnsi="Times New Roman" w:cs="Times New Roman"/>
          <w:sz w:val="24"/>
          <w:szCs w:val="24"/>
        </w:rPr>
        <w:t xml:space="preserve">f the rule to be very </w:t>
      </w:r>
      <w:r w:rsidR="00A95FD8">
        <w:rPr>
          <w:rFonts w:ascii="Times New Roman" w:hAnsi="Times New Roman" w:cs="Times New Roman"/>
          <w:sz w:val="24"/>
          <w:szCs w:val="24"/>
        </w:rPr>
        <w:t>minimal, since the burden associated with this rule is only 7.5 hours per response.  Commission staff has found no apparent way to minimize this burden for respondents.</w:t>
      </w:r>
    </w:p>
    <w:p w14:paraId="1E367609" w14:textId="77777777" w:rsidR="003C0C1E" w:rsidRPr="00EB3E6F" w:rsidRDefault="003C0C1E" w:rsidP="000620A5">
      <w:pPr>
        <w:spacing w:after="0"/>
        <w:ind w:firstLine="360"/>
        <w:rPr>
          <w:rFonts w:ascii="Times New Roman" w:hAnsi="Times New Roman" w:cs="Times New Roman"/>
          <w:sz w:val="24"/>
          <w:szCs w:val="24"/>
        </w:rPr>
      </w:pPr>
    </w:p>
    <w:p w14:paraId="2A5B09EB"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01983D43" w14:textId="77777777" w:rsidR="00EB3E6F" w:rsidRDefault="00EB3E6F" w:rsidP="00EB3E6F">
      <w:pPr>
        <w:spacing w:after="0"/>
        <w:rPr>
          <w:rFonts w:ascii="Times New Roman" w:hAnsi="Times New Roman" w:cs="Times New Roman"/>
          <w:sz w:val="24"/>
          <w:szCs w:val="24"/>
        </w:rPr>
      </w:pPr>
    </w:p>
    <w:p w14:paraId="4872F25B" w14:textId="77777777" w:rsidR="00A0495C" w:rsidRDefault="00A95FD8" w:rsidP="007C3586">
      <w:pPr>
        <w:spacing w:after="0"/>
        <w:ind w:firstLine="360"/>
        <w:rPr>
          <w:rFonts w:ascii="Times New Roman" w:hAnsi="Times New Roman" w:cs="Times New Roman"/>
          <w:sz w:val="24"/>
          <w:szCs w:val="24"/>
        </w:rPr>
      </w:pPr>
      <w:r w:rsidRPr="001F7B41">
        <w:rPr>
          <w:rFonts w:ascii="Times New Roman" w:hAnsi="Times New Roman" w:cs="Times New Roman"/>
          <w:sz w:val="24"/>
          <w:szCs w:val="24"/>
        </w:rPr>
        <w:t>This collection cannot occur less frequently since it is a one-time filing to implement tariff cha</w:t>
      </w:r>
      <w:r w:rsidR="00801FA8">
        <w:rPr>
          <w:rFonts w:ascii="Times New Roman" w:hAnsi="Times New Roman" w:cs="Times New Roman"/>
          <w:sz w:val="24"/>
          <w:szCs w:val="24"/>
        </w:rPr>
        <w:t>n</w:t>
      </w:r>
      <w:r w:rsidRPr="001F7B41">
        <w:rPr>
          <w:rFonts w:ascii="Times New Roman" w:hAnsi="Times New Roman" w:cs="Times New Roman"/>
          <w:sz w:val="24"/>
          <w:szCs w:val="24"/>
        </w:rPr>
        <w:t>ges.</w:t>
      </w:r>
      <w:r w:rsidR="00D22ED9" w:rsidRPr="001F7B41">
        <w:rPr>
          <w:rFonts w:ascii="Times New Roman" w:hAnsi="Times New Roman" w:cs="Times New Roman"/>
          <w:sz w:val="24"/>
          <w:szCs w:val="24"/>
        </w:rPr>
        <w:t xml:space="preserve"> </w:t>
      </w:r>
      <w:r w:rsidR="001F7B41">
        <w:rPr>
          <w:rFonts w:ascii="Times New Roman" w:hAnsi="Times New Roman" w:cs="Times New Roman"/>
          <w:sz w:val="24"/>
          <w:szCs w:val="24"/>
        </w:rPr>
        <w:t xml:space="preserve"> In a sense, to conduct these filings less frequently (i.e. not conducting them at all), the Commission would be unable to ensure that rates are just and reasonable and not unduly discriminatory or preferential.</w:t>
      </w:r>
    </w:p>
    <w:p w14:paraId="7CC85DAE" w14:textId="77777777" w:rsidR="003C0C1E" w:rsidRPr="00EB3E6F" w:rsidRDefault="003C0C1E" w:rsidP="00EB3E6F">
      <w:pPr>
        <w:spacing w:after="0"/>
        <w:rPr>
          <w:rFonts w:ascii="Times New Roman" w:hAnsi="Times New Roman" w:cs="Times New Roman"/>
          <w:sz w:val="24"/>
          <w:szCs w:val="24"/>
        </w:rPr>
      </w:pPr>
    </w:p>
    <w:p w14:paraId="2DBED299"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lastRenderedPageBreak/>
        <w:t>EXPLAIN ANY SPECIAL CIRCUMSTANCES RELATING TO THE INFORMATION COLLECTION</w:t>
      </w:r>
    </w:p>
    <w:p w14:paraId="0CA21120" w14:textId="77777777" w:rsidR="00EB3E6F" w:rsidRDefault="00EB3E6F" w:rsidP="00EB3E6F">
      <w:pPr>
        <w:spacing w:after="0"/>
        <w:rPr>
          <w:rFonts w:ascii="Times New Roman" w:hAnsi="Times New Roman" w:cs="Times New Roman"/>
          <w:sz w:val="24"/>
          <w:szCs w:val="24"/>
        </w:rPr>
      </w:pPr>
    </w:p>
    <w:p w14:paraId="4077AE6C" w14:textId="26616FE9" w:rsidR="00491207" w:rsidRDefault="00D22ED9" w:rsidP="00D22ED9">
      <w:pPr>
        <w:spacing w:after="0"/>
        <w:ind w:firstLine="360"/>
        <w:rPr>
          <w:rFonts w:ascii="Times New Roman" w:hAnsi="Times New Roman" w:cs="Times New Roman"/>
          <w:sz w:val="24"/>
          <w:szCs w:val="24"/>
        </w:rPr>
      </w:pPr>
      <w:r>
        <w:rPr>
          <w:rFonts w:ascii="Times New Roman" w:hAnsi="Times New Roman"/>
          <w:sz w:val="24"/>
          <w:szCs w:val="24"/>
        </w:rPr>
        <w:t>The FERC-516</w:t>
      </w:r>
      <w:r w:rsidR="00C1452E">
        <w:rPr>
          <w:rFonts w:ascii="Times New Roman" w:hAnsi="Times New Roman"/>
          <w:sz w:val="24"/>
          <w:szCs w:val="24"/>
        </w:rPr>
        <w:t>B</w:t>
      </w:r>
      <w:r>
        <w:rPr>
          <w:rFonts w:ascii="Times New Roman" w:hAnsi="Times New Roman"/>
          <w:sz w:val="24"/>
          <w:szCs w:val="24"/>
        </w:rPr>
        <w:t xml:space="preserve"> presents no special circumstances. </w:t>
      </w:r>
    </w:p>
    <w:p w14:paraId="4A6B4F1C" w14:textId="77777777" w:rsidR="00616930" w:rsidRDefault="00616930" w:rsidP="00616930">
      <w:pPr>
        <w:pStyle w:val="ListParagraph"/>
        <w:spacing w:after="0"/>
        <w:ind w:left="1440"/>
        <w:rPr>
          <w:rFonts w:ascii="Times New Roman" w:hAnsi="Times New Roman" w:cs="Times New Roman"/>
          <w:sz w:val="24"/>
          <w:szCs w:val="24"/>
        </w:rPr>
      </w:pPr>
    </w:p>
    <w:p w14:paraId="11C6B1E7"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0EA39E66" w14:textId="77777777" w:rsidR="00216CE8" w:rsidRDefault="00216CE8" w:rsidP="00D22ED9">
      <w:pPr>
        <w:spacing w:after="0"/>
        <w:rPr>
          <w:rFonts w:ascii="Times New Roman" w:hAnsi="Times New Roman" w:cs="Times New Roman"/>
          <w:sz w:val="24"/>
          <w:szCs w:val="24"/>
        </w:rPr>
      </w:pPr>
    </w:p>
    <w:p w14:paraId="5A8A9A58" w14:textId="77777777" w:rsidR="009D1F21" w:rsidRDefault="00D22ED9" w:rsidP="007C3586">
      <w:pPr>
        <w:spacing w:after="0"/>
        <w:ind w:firstLine="360"/>
        <w:rPr>
          <w:rFonts w:ascii="Times New Roman" w:hAnsi="Times New Roman" w:cs="Times New Roman"/>
          <w:sz w:val="24"/>
          <w:szCs w:val="24"/>
          <w:highlight w:val="yellow"/>
        </w:rPr>
      </w:pPr>
      <w:r w:rsidRPr="002670D0">
        <w:rPr>
          <w:rFonts w:ascii="Times New Roman" w:hAnsi="Times New Roman" w:cs="Times New Roman"/>
          <w:sz w:val="24"/>
          <w:szCs w:val="24"/>
        </w:rPr>
        <w:t>Each FERC activity that results in the revision of an information collection</w:t>
      </w:r>
      <w:r w:rsidR="00491207" w:rsidRPr="002670D0">
        <w:rPr>
          <w:rFonts w:ascii="Times New Roman" w:hAnsi="Times New Roman" w:cs="Times New Roman"/>
          <w:sz w:val="24"/>
          <w:szCs w:val="24"/>
        </w:rPr>
        <w:t xml:space="preserve"> is published in the Federal Register thereby providing public utilities and licensees, state commissions, Federal agencies, and other interested parties an opportunity to submit data, views, comments or suggestions concerning the </w:t>
      </w:r>
      <w:r w:rsidR="00C36924" w:rsidRPr="002670D0">
        <w:rPr>
          <w:rFonts w:ascii="Times New Roman" w:hAnsi="Times New Roman" w:cs="Times New Roman"/>
          <w:sz w:val="24"/>
          <w:szCs w:val="24"/>
        </w:rPr>
        <w:t>approved</w:t>
      </w:r>
      <w:r w:rsidR="00491207" w:rsidRPr="002670D0">
        <w:rPr>
          <w:rFonts w:ascii="Times New Roman" w:hAnsi="Times New Roman" w:cs="Times New Roman"/>
          <w:sz w:val="24"/>
          <w:szCs w:val="24"/>
        </w:rPr>
        <w:t xml:space="preserve"> collection</w:t>
      </w:r>
      <w:r w:rsidR="00D84ED8" w:rsidRPr="002670D0">
        <w:rPr>
          <w:rFonts w:ascii="Times New Roman" w:hAnsi="Times New Roman" w:cs="Times New Roman"/>
          <w:sz w:val="24"/>
          <w:szCs w:val="24"/>
        </w:rPr>
        <w:t>s</w:t>
      </w:r>
      <w:r w:rsidR="006969DA" w:rsidRPr="002670D0">
        <w:rPr>
          <w:rFonts w:ascii="Times New Roman" w:hAnsi="Times New Roman" w:cs="Times New Roman"/>
          <w:sz w:val="24"/>
          <w:szCs w:val="24"/>
        </w:rPr>
        <w:t xml:space="preserve"> of data.  </w:t>
      </w:r>
    </w:p>
    <w:p w14:paraId="3F910A7A" w14:textId="77777777" w:rsidR="009D1F21" w:rsidRDefault="009D1F21" w:rsidP="007C3586">
      <w:pPr>
        <w:spacing w:after="0"/>
        <w:ind w:firstLine="360"/>
        <w:rPr>
          <w:rFonts w:ascii="Times New Roman" w:hAnsi="Times New Roman" w:cs="Times New Roman"/>
          <w:sz w:val="24"/>
          <w:szCs w:val="24"/>
          <w:highlight w:val="yellow"/>
        </w:rPr>
      </w:pPr>
    </w:p>
    <w:p w14:paraId="096BD6A7" w14:textId="1D9E16DD" w:rsidR="009D1F21" w:rsidRPr="002670D0" w:rsidRDefault="009D1F21" w:rsidP="007C3586">
      <w:pPr>
        <w:spacing w:after="0"/>
        <w:ind w:firstLine="360"/>
        <w:rPr>
          <w:rFonts w:ascii="Times New Roman" w:hAnsi="Times New Roman" w:cs="Times New Roman"/>
          <w:sz w:val="24"/>
          <w:szCs w:val="24"/>
        </w:rPr>
      </w:pPr>
      <w:r w:rsidRPr="002670D0">
        <w:rPr>
          <w:rFonts w:ascii="Times New Roman" w:hAnsi="Times New Roman" w:cs="Times New Roman"/>
          <w:sz w:val="24"/>
          <w:szCs w:val="24"/>
        </w:rPr>
        <w:t xml:space="preserve">The NOPR was issued on 11/19/2015 and published in the Federal Register on 11/25/2016 (80 FR 73683).  The Commission received ~25 comments and reply comments.  The comments are available in FERC’s eLibrary General and Advanced searches under the Docket No. RM16-1.  The comments are summarized and addressed </w:t>
      </w:r>
      <w:r w:rsidR="002670D0" w:rsidRPr="002670D0">
        <w:rPr>
          <w:rFonts w:ascii="Times New Roman" w:hAnsi="Times New Roman" w:cs="Times New Roman"/>
          <w:sz w:val="24"/>
          <w:szCs w:val="24"/>
        </w:rPr>
        <w:t>in the Final Rule in paragraphs 15-73.  No comments were submitted on Paperwork Reduction Act-related issues including the burden and/or cost related to information collection requirements.</w:t>
      </w:r>
    </w:p>
    <w:p w14:paraId="3A4BCFB3" w14:textId="77777777" w:rsidR="009D1F21" w:rsidRDefault="009D1F21" w:rsidP="007C3586">
      <w:pPr>
        <w:spacing w:after="0"/>
        <w:ind w:firstLine="360"/>
        <w:rPr>
          <w:rFonts w:ascii="Times New Roman" w:hAnsi="Times New Roman" w:cs="Times New Roman"/>
          <w:sz w:val="24"/>
          <w:szCs w:val="24"/>
          <w:highlight w:val="yellow"/>
        </w:rPr>
      </w:pPr>
    </w:p>
    <w:p w14:paraId="36005A5D" w14:textId="1744E2F1" w:rsidR="00491207" w:rsidRDefault="006969DA" w:rsidP="007C3586">
      <w:pPr>
        <w:spacing w:after="0"/>
        <w:ind w:firstLine="360"/>
        <w:rPr>
          <w:rFonts w:ascii="Times New Roman" w:hAnsi="Times New Roman" w:cs="Times New Roman"/>
          <w:sz w:val="24"/>
          <w:szCs w:val="24"/>
        </w:rPr>
      </w:pPr>
      <w:r w:rsidRPr="002670D0">
        <w:rPr>
          <w:rFonts w:ascii="Times New Roman" w:hAnsi="Times New Roman" w:cs="Times New Roman"/>
          <w:sz w:val="24"/>
          <w:szCs w:val="24"/>
        </w:rPr>
        <w:t xml:space="preserve">The </w:t>
      </w:r>
      <w:r w:rsidR="00F132B4" w:rsidRPr="002670D0">
        <w:rPr>
          <w:rFonts w:ascii="Times New Roman" w:hAnsi="Times New Roman" w:cs="Times New Roman"/>
          <w:sz w:val="24"/>
          <w:szCs w:val="24"/>
        </w:rPr>
        <w:t>Final</w:t>
      </w:r>
      <w:r w:rsidR="0021079B" w:rsidRPr="002670D0">
        <w:rPr>
          <w:rFonts w:ascii="Times New Roman" w:hAnsi="Times New Roman" w:cs="Times New Roman"/>
          <w:sz w:val="24"/>
          <w:szCs w:val="24"/>
        </w:rPr>
        <w:t xml:space="preserve"> </w:t>
      </w:r>
      <w:r w:rsidR="00F132B4" w:rsidRPr="002670D0">
        <w:rPr>
          <w:rFonts w:ascii="Times New Roman" w:hAnsi="Times New Roman" w:cs="Times New Roman"/>
          <w:sz w:val="24"/>
          <w:szCs w:val="24"/>
        </w:rPr>
        <w:t>R</w:t>
      </w:r>
      <w:r w:rsidR="00491207" w:rsidRPr="002670D0">
        <w:rPr>
          <w:rFonts w:ascii="Times New Roman" w:hAnsi="Times New Roman" w:cs="Times New Roman"/>
          <w:sz w:val="24"/>
          <w:szCs w:val="24"/>
        </w:rPr>
        <w:t xml:space="preserve">ule was published in the Federal Register on </w:t>
      </w:r>
      <w:r w:rsidR="00F132B4" w:rsidRPr="002670D0">
        <w:rPr>
          <w:rFonts w:ascii="Times New Roman" w:hAnsi="Times New Roman" w:cs="Times New Roman"/>
          <w:sz w:val="24"/>
          <w:szCs w:val="24"/>
        </w:rPr>
        <w:t>6/23/2015 (81</w:t>
      </w:r>
      <w:r w:rsidR="00491207" w:rsidRPr="002670D0">
        <w:rPr>
          <w:rFonts w:ascii="Times New Roman" w:hAnsi="Times New Roman" w:cs="Times New Roman"/>
          <w:sz w:val="24"/>
          <w:szCs w:val="24"/>
        </w:rPr>
        <w:t xml:space="preserve"> FR </w:t>
      </w:r>
      <w:r w:rsidR="00A40174" w:rsidRPr="002670D0">
        <w:rPr>
          <w:rFonts w:ascii="Times New Roman" w:hAnsi="Times New Roman" w:cs="Times New Roman"/>
          <w:sz w:val="24"/>
          <w:szCs w:val="24"/>
        </w:rPr>
        <w:t>40793</w:t>
      </w:r>
      <w:r w:rsidR="00491207" w:rsidRPr="002670D0">
        <w:rPr>
          <w:rFonts w:ascii="Times New Roman" w:hAnsi="Times New Roman" w:cs="Times New Roman"/>
          <w:sz w:val="24"/>
          <w:szCs w:val="24"/>
        </w:rPr>
        <w:t>).</w:t>
      </w:r>
    </w:p>
    <w:p w14:paraId="46977B2D" w14:textId="77777777" w:rsidR="00EB3E6F" w:rsidRPr="00EB3E6F" w:rsidRDefault="00EB3E6F" w:rsidP="00EB3E6F">
      <w:pPr>
        <w:spacing w:after="0"/>
        <w:rPr>
          <w:rFonts w:ascii="Times New Roman" w:hAnsi="Times New Roman" w:cs="Times New Roman"/>
          <w:sz w:val="24"/>
          <w:szCs w:val="24"/>
        </w:rPr>
      </w:pPr>
    </w:p>
    <w:p w14:paraId="3C5D3B93"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5FC34227" w14:textId="77777777" w:rsidR="00D80FBD" w:rsidRDefault="00D80FBD" w:rsidP="00D80FBD">
      <w:pPr>
        <w:spacing w:after="0"/>
        <w:rPr>
          <w:rFonts w:ascii="Times New Roman" w:hAnsi="Times New Roman" w:cs="Times New Roman"/>
          <w:sz w:val="24"/>
          <w:szCs w:val="24"/>
        </w:rPr>
      </w:pPr>
    </w:p>
    <w:p w14:paraId="60CDC482" w14:textId="77777777" w:rsidR="00D80FBD" w:rsidRDefault="00867AF1" w:rsidP="007C3586">
      <w:pPr>
        <w:spacing w:after="0"/>
        <w:ind w:firstLine="360"/>
        <w:rPr>
          <w:rFonts w:ascii="Times New Roman" w:hAnsi="Times New Roman" w:cs="Times New Roman"/>
          <w:sz w:val="24"/>
          <w:szCs w:val="24"/>
        </w:rPr>
      </w:pPr>
      <w:r>
        <w:rPr>
          <w:rFonts w:ascii="Times New Roman" w:hAnsi="Times New Roman" w:cs="Times New Roman"/>
          <w:sz w:val="24"/>
          <w:szCs w:val="24"/>
        </w:rPr>
        <w:t>There are no gifts or payments given to the respondents.</w:t>
      </w:r>
    </w:p>
    <w:p w14:paraId="50F8901C" w14:textId="77777777" w:rsidR="00867AF1" w:rsidRPr="00D80FBD" w:rsidRDefault="00867AF1" w:rsidP="00D80FBD">
      <w:pPr>
        <w:spacing w:after="0"/>
        <w:rPr>
          <w:rFonts w:ascii="Times New Roman" w:hAnsi="Times New Roman" w:cs="Times New Roman"/>
          <w:sz w:val="24"/>
          <w:szCs w:val="24"/>
        </w:rPr>
      </w:pPr>
    </w:p>
    <w:p w14:paraId="6ABD56B0"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7CB399F1" w14:textId="77777777" w:rsidR="00D80FBD" w:rsidRDefault="00D80FBD" w:rsidP="00D80FBD">
      <w:pPr>
        <w:spacing w:after="0"/>
        <w:rPr>
          <w:rFonts w:ascii="Times New Roman" w:hAnsi="Times New Roman" w:cs="Times New Roman"/>
          <w:sz w:val="24"/>
          <w:szCs w:val="24"/>
        </w:rPr>
      </w:pPr>
    </w:p>
    <w:p w14:paraId="1125A3FF" w14:textId="546B4970" w:rsidR="00867AF1" w:rsidRDefault="00D22ED9" w:rsidP="00D22ED9">
      <w:pPr>
        <w:spacing w:after="0"/>
        <w:ind w:firstLine="360"/>
        <w:rPr>
          <w:rFonts w:ascii="Times New Roman" w:hAnsi="Times New Roman" w:cs="Times New Roman"/>
          <w:sz w:val="24"/>
          <w:szCs w:val="24"/>
        </w:rPr>
      </w:pPr>
      <w:r>
        <w:rPr>
          <w:rFonts w:ascii="Times New Roman" w:hAnsi="Times New Roman" w:cs="Times New Roman"/>
          <w:sz w:val="24"/>
          <w:szCs w:val="24"/>
        </w:rPr>
        <w:t>T</w:t>
      </w:r>
      <w:r w:rsidR="001B5B15">
        <w:rPr>
          <w:rFonts w:ascii="Times New Roman" w:hAnsi="Times New Roman" w:cs="Times New Roman"/>
          <w:sz w:val="24"/>
          <w:szCs w:val="24"/>
        </w:rPr>
        <w:t>he</w:t>
      </w:r>
      <w:r w:rsidRPr="00D22ED9">
        <w:rPr>
          <w:rFonts w:ascii="Times New Roman" w:hAnsi="Times New Roman" w:cs="Times New Roman"/>
          <w:sz w:val="24"/>
          <w:szCs w:val="24"/>
        </w:rPr>
        <w:t xml:space="preserve"> data</w:t>
      </w:r>
      <w:r w:rsidR="001B5B15">
        <w:rPr>
          <w:rFonts w:ascii="Times New Roman" w:hAnsi="Times New Roman" w:cs="Times New Roman"/>
          <w:sz w:val="24"/>
          <w:szCs w:val="24"/>
        </w:rPr>
        <w:t xml:space="preserve"> involved</w:t>
      </w:r>
      <w:r w:rsidR="00F132B4">
        <w:rPr>
          <w:rFonts w:ascii="Times New Roman" w:hAnsi="Times New Roman" w:cs="Times New Roman"/>
          <w:sz w:val="24"/>
          <w:szCs w:val="24"/>
        </w:rPr>
        <w:t xml:space="preserve"> and affected by the RM16-1-000</w:t>
      </w:r>
      <w:r w:rsidR="009D65D0">
        <w:rPr>
          <w:rFonts w:ascii="Times New Roman" w:hAnsi="Times New Roman" w:cs="Times New Roman"/>
          <w:sz w:val="24"/>
          <w:szCs w:val="24"/>
        </w:rPr>
        <w:t xml:space="preserve"> revisions</w:t>
      </w:r>
      <w:r w:rsidRPr="00D22ED9">
        <w:rPr>
          <w:rFonts w:ascii="Times New Roman" w:hAnsi="Times New Roman" w:cs="Times New Roman"/>
          <w:sz w:val="24"/>
          <w:szCs w:val="24"/>
        </w:rPr>
        <w:t xml:space="preserve"> is public.  In general, for all submittals to the Commission, filers may submit specific requests for confidential treatment to the extent permitted by law; details are available in 18 C.F.R. Section 388.112.</w:t>
      </w:r>
    </w:p>
    <w:p w14:paraId="6C112169" w14:textId="77777777" w:rsidR="00D80FBD" w:rsidRPr="00D80FBD" w:rsidRDefault="00D80FBD" w:rsidP="00D80FBD">
      <w:pPr>
        <w:spacing w:after="0"/>
        <w:rPr>
          <w:rFonts w:ascii="Times New Roman" w:hAnsi="Times New Roman" w:cs="Times New Roman"/>
          <w:sz w:val="24"/>
          <w:szCs w:val="24"/>
        </w:rPr>
      </w:pPr>
    </w:p>
    <w:p w14:paraId="683BA6B0" w14:textId="77777777" w:rsidR="005406D1" w:rsidRDefault="005406D1" w:rsidP="007C3586">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w:t>
      </w:r>
    </w:p>
    <w:p w14:paraId="53769D5B" w14:textId="77777777" w:rsidR="00D80FBD" w:rsidRDefault="00D80FBD" w:rsidP="00D80FBD">
      <w:pPr>
        <w:spacing w:after="0"/>
        <w:rPr>
          <w:rFonts w:ascii="Times New Roman" w:hAnsi="Times New Roman" w:cs="Times New Roman"/>
          <w:sz w:val="24"/>
          <w:szCs w:val="24"/>
        </w:rPr>
      </w:pPr>
    </w:p>
    <w:p w14:paraId="087F89B9" w14:textId="77777777" w:rsidR="00D80FBD" w:rsidRDefault="00867AF1" w:rsidP="007C3586">
      <w:pPr>
        <w:spacing w:after="0"/>
        <w:ind w:firstLine="360"/>
        <w:rPr>
          <w:rFonts w:ascii="Times New Roman" w:hAnsi="Times New Roman" w:cs="Times New Roman"/>
          <w:sz w:val="24"/>
          <w:szCs w:val="24"/>
        </w:rPr>
      </w:pPr>
      <w:r>
        <w:rPr>
          <w:rFonts w:ascii="Times New Roman" w:hAnsi="Times New Roman" w:cs="Times New Roman"/>
          <w:sz w:val="24"/>
          <w:szCs w:val="24"/>
        </w:rPr>
        <w:t>This collection does not include any questions of a sensitive nature.</w:t>
      </w:r>
    </w:p>
    <w:p w14:paraId="1FD333A2" w14:textId="77777777" w:rsidR="00867AF1" w:rsidRPr="00D80FBD" w:rsidRDefault="00867AF1" w:rsidP="00D80FBD">
      <w:pPr>
        <w:spacing w:after="0"/>
        <w:rPr>
          <w:rFonts w:ascii="Times New Roman" w:hAnsi="Times New Roman" w:cs="Times New Roman"/>
          <w:sz w:val="24"/>
          <w:szCs w:val="24"/>
        </w:rPr>
      </w:pPr>
    </w:p>
    <w:p w14:paraId="047094E3"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6E0C836E" w14:textId="77777777" w:rsidR="00D80FBD" w:rsidRDefault="00D80FBD" w:rsidP="00D80FBD">
      <w:pPr>
        <w:spacing w:after="0"/>
        <w:rPr>
          <w:rFonts w:ascii="Times New Roman" w:hAnsi="Times New Roman" w:cs="Times New Roman"/>
          <w:sz w:val="24"/>
          <w:szCs w:val="24"/>
        </w:rPr>
      </w:pPr>
    </w:p>
    <w:p w14:paraId="711B114A" w14:textId="31D37937" w:rsidR="00216CE8" w:rsidRDefault="00806297" w:rsidP="007C3586">
      <w:pPr>
        <w:spacing w:after="0"/>
        <w:ind w:firstLine="360"/>
        <w:rPr>
          <w:rFonts w:ascii="Times New Roman" w:hAnsi="Times New Roman" w:cs="Times New Roman"/>
          <w:sz w:val="24"/>
          <w:szCs w:val="24"/>
        </w:rPr>
      </w:pPr>
      <w:r>
        <w:rPr>
          <w:rFonts w:ascii="Times New Roman" w:hAnsi="Times New Roman" w:cs="Times New Roman"/>
          <w:sz w:val="24"/>
          <w:szCs w:val="24"/>
        </w:rPr>
        <w:t>The estimated</w:t>
      </w:r>
      <w:r w:rsidR="00C63540">
        <w:rPr>
          <w:rFonts w:ascii="Times New Roman" w:hAnsi="Times New Roman" w:cs="Times New Roman"/>
          <w:sz w:val="24"/>
          <w:szCs w:val="24"/>
        </w:rPr>
        <w:t xml:space="preserve"> </w:t>
      </w:r>
      <w:r w:rsidR="009E7228">
        <w:rPr>
          <w:rFonts w:ascii="Times New Roman" w:hAnsi="Times New Roman" w:cs="Times New Roman"/>
          <w:sz w:val="24"/>
          <w:szCs w:val="24"/>
        </w:rPr>
        <w:t>one-time</w:t>
      </w:r>
      <w:r>
        <w:rPr>
          <w:rFonts w:ascii="Times New Roman" w:hAnsi="Times New Roman" w:cs="Times New Roman"/>
          <w:sz w:val="24"/>
          <w:szCs w:val="24"/>
        </w:rPr>
        <w:t xml:space="preserve"> public r</w:t>
      </w:r>
      <w:r w:rsidR="006969DA">
        <w:rPr>
          <w:rFonts w:ascii="Times New Roman" w:hAnsi="Times New Roman" w:cs="Times New Roman"/>
          <w:sz w:val="24"/>
          <w:szCs w:val="24"/>
        </w:rPr>
        <w:t>eporti</w:t>
      </w:r>
      <w:r w:rsidR="00860E36">
        <w:rPr>
          <w:rFonts w:ascii="Times New Roman" w:hAnsi="Times New Roman" w:cs="Times New Roman"/>
          <w:sz w:val="24"/>
          <w:szCs w:val="24"/>
        </w:rPr>
        <w:t>ng burd</w:t>
      </w:r>
      <w:r w:rsidR="009B7FD3">
        <w:rPr>
          <w:rFonts w:ascii="Times New Roman" w:hAnsi="Times New Roman" w:cs="Times New Roman"/>
          <w:sz w:val="24"/>
          <w:szCs w:val="24"/>
        </w:rPr>
        <w:t>en due to th</w:t>
      </w:r>
      <w:r w:rsidR="00F132B4">
        <w:rPr>
          <w:rFonts w:ascii="Times New Roman" w:hAnsi="Times New Roman" w:cs="Times New Roman"/>
          <w:sz w:val="24"/>
          <w:szCs w:val="24"/>
        </w:rPr>
        <w:t>ese</w:t>
      </w:r>
      <w:r w:rsidR="007A4977">
        <w:rPr>
          <w:rFonts w:ascii="Times New Roman" w:hAnsi="Times New Roman" w:cs="Times New Roman"/>
          <w:sz w:val="24"/>
          <w:szCs w:val="24"/>
        </w:rPr>
        <w:t xml:space="preserve"> revisions</w:t>
      </w:r>
      <w:r w:rsidR="00860E36">
        <w:rPr>
          <w:rFonts w:ascii="Times New Roman" w:hAnsi="Times New Roman" w:cs="Times New Roman"/>
          <w:sz w:val="24"/>
          <w:szCs w:val="24"/>
        </w:rPr>
        <w:t xml:space="preserve"> in Docket RM16-1-000</w:t>
      </w:r>
      <w:r>
        <w:rPr>
          <w:rFonts w:ascii="Times New Roman" w:hAnsi="Times New Roman" w:cs="Times New Roman"/>
          <w:sz w:val="24"/>
          <w:szCs w:val="24"/>
        </w:rPr>
        <w:t xml:space="preserve"> follows</w:t>
      </w:r>
      <w:r w:rsidR="009E7228">
        <w:rPr>
          <w:rFonts w:ascii="Times New Roman" w:hAnsi="Times New Roman" w:cs="Times New Roman"/>
          <w:sz w:val="24"/>
          <w:szCs w:val="24"/>
        </w:rPr>
        <w:t>:</w:t>
      </w:r>
    </w:p>
    <w:p w14:paraId="36732750" w14:textId="77777777" w:rsidR="00806297" w:rsidRDefault="00806297" w:rsidP="00E97801">
      <w:pPr>
        <w:rPr>
          <w:rFonts w:ascii="Times New Roman" w:hAnsi="Times New Roman" w:cs="Times New Roman"/>
          <w:sz w:val="24"/>
          <w:szCs w:val="24"/>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9"/>
        <w:gridCol w:w="1232"/>
        <w:gridCol w:w="1406"/>
        <w:gridCol w:w="1407"/>
        <w:gridCol w:w="1493"/>
        <w:gridCol w:w="1756"/>
      </w:tblGrid>
      <w:tr w:rsidR="00806297" w:rsidRPr="00F15EDB" w14:paraId="00674A02" w14:textId="77777777" w:rsidTr="00860E36">
        <w:trPr>
          <w:cantSplit/>
        </w:trPr>
        <w:tc>
          <w:tcPr>
            <w:tcW w:w="5000" w:type="pct"/>
            <w:gridSpan w:val="6"/>
            <w:tcBorders>
              <w:bottom w:val="single" w:sz="4" w:space="0" w:color="auto"/>
            </w:tcBorders>
            <w:shd w:val="clear" w:color="auto" w:fill="D9D9D9"/>
          </w:tcPr>
          <w:p w14:paraId="7AB80366" w14:textId="55A7D1B5" w:rsidR="00806297" w:rsidRPr="00F15EDB" w:rsidRDefault="00F132B4" w:rsidP="00860E36">
            <w:pPr>
              <w:tabs>
                <w:tab w:val="num" w:pos="720"/>
              </w:tabs>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Final Rule in </w:t>
            </w:r>
            <w:r w:rsidR="00945E69">
              <w:rPr>
                <w:rFonts w:ascii="Times New Roman" w:eastAsia="Calibri" w:hAnsi="Times New Roman" w:cs="Times New Roman"/>
                <w:b/>
                <w:sz w:val="20"/>
                <w:szCs w:val="20"/>
              </w:rPr>
              <w:t>Docket RM16-1-000 (FERC-516</w:t>
            </w:r>
            <w:r w:rsidR="00E75286">
              <w:rPr>
                <w:rFonts w:ascii="Times New Roman" w:eastAsia="Calibri" w:hAnsi="Times New Roman" w:cs="Times New Roman"/>
                <w:b/>
                <w:sz w:val="20"/>
                <w:szCs w:val="20"/>
              </w:rPr>
              <w:t>B</w:t>
            </w:r>
            <w:r w:rsidR="00E75286" w:rsidRPr="00E75286">
              <w:rPr>
                <w:rStyle w:val="FootnoteReference"/>
                <w:rFonts w:ascii="Times New Roman" w:eastAsia="Calibri" w:hAnsi="Times New Roman" w:cs="Times New Roman"/>
                <w:b/>
                <w:sz w:val="20"/>
                <w:szCs w:val="20"/>
                <w:vertAlign w:val="superscript"/>
              </w:rPr>
              <w:footnoteReference w:id="4"/>
            </w:r>
            <w:r w:rsidR="00945E69">
              <w:rPr>
                <w:rFonts w:ascii="Times New Roman" w:eastAsia="Calibri" w:hAnsi="Times New Roman" w:cs="Times New Roman"/>
                <w:b/>
                <w:sz w:val="20"/>
                <w:szCs w:val="20"/>
              </w:rPr>
              <w:t>)</w:t>
            </w:r>
          </w:p>
        </w:tc>
      </w:tr>
      <w:tr w:rsidR="00860E36" w:rsidRPr="00F15EDB" w14:paraId="08C65FE2" w14:textId="77777777" w:rsidTr="00860E36">
        <w:trPr>
          <w:cantSplit/>
        </w:trPr>
        <w:tc>
          <w:tcPr>
            <w:tcW w:w="1092" w:type="pct"/>
            <w:shd w:val="clear" w:color="auto" w:fill="D9D9D9"/>
          </w:tcPr>
          <w:p w14:paraId="158EDC36" w14:textId="77777777" w:rsidR="00860E36" w:rsidRPr="00F15EDB" w:rsidRDefault="00860E36" w:rsidP="009E4570">
            <w:pPr>
              <w:tabs>
                <w:tab w:val="num" w:pos="720"/>
              </w:tabs>
              <w:spacing w:after="0" w:line="240" w:lineRule="auto"/>
              <w:jc w:val="center"/>
              <w:rPr>
                <w:rFonts w:ascii="Times New Roman" w:eastAsia="Calibri" w:hAnsi="Times New Roman" w:cs="Times New Roman"/>
                <w:b/>
                <w:sz w:val="20"/>
                <w:szCs w:val="20"/>
              </w:rPr>
            </w:pPr>
          </w:p>
        </w:tc>
        <w:tc>
          <w:tcPr>
            <w:tcW w:w="660" w:type="pct"/>
            <w:shd w:val="clear" w:color="auto" w:fill="D9D9D9"/>
            <w:vAlign w:val="bottom"/>
          </w:tcPr>
          <w:p w14:paraId="24A2C0E9" w14:textId="77777777" w:rsidR="00860E36" w:rsidRDefault="00860E36" w:rsidP="00BF30E3">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Number of Applicable Registered Entities</w:t>
            </w:r>
          </w:p>
          <w:p w14:paraId="12CF82D2" w14:textId="77777777" w:rsidR="00860E36" w:rsidRPr="00F15EDB" w:rsidRDefault="00860E36" w:rsidP="00BF30E3">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(1)</w:t>
            </w:r>
          </w:p>
        </w:tc>
        <w:tc>
          <w:tcPr>
            <w:tcW w:w="753" w:type="pct"/>
            <w:shd w:val="clear" w:color="auto" w:fill="D9D9D9"/>
            <w:vAlign w:val="bottom"/>
          </w:tcPr>
          <w:p w14:paraId="3DDA659E" w14:textId="77777777" w:rsidR="00860E36" w:rsidRPr="00F15EDB" w:rsidRDefault="00860E36" w:rsidP="009E4570">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 xml:space="preserve"> Number of Responses per Respondent</w:t>
            </w:r>
          </w:p>
          <w:p w14:paraId="7E792221" w14:textId="77777777" w:rsidR="00860E36" w:rsidRPr="00F15EDB" w:rsidRDefault="00860E36" w:rsidP="009E4570">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(2)</w:t>
            </w:r>
          </w:p>
        </w:tc>
        <w:tc>
          <w:tcPr>
            <w:tcW w:w="754" w:type="pct"/>
            <w:shd w:val="clear" w:color="auto" w:fill="D9D9D9"/>
            <w:vAlign w:val="bottom"/>
          </w:tcPr>
          <w:p w14:paraId="081F53FD" w14:textId="77777777" w:rsidR="00860E36" w:rsidRPr="00F15EDB" w:rsidRDefault="00860E36" w:rsidP="009E4570">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Total Number of Responses (1)*(2)=(3)</w:t>
            </w:r>
          </w:p>
        </w:tc>
        <w:tc>
          <w:tcPr>
            <w:tcW w:w="800" w:type="pct"/>
            <w:shd w:val="clear" w:color="auto" w:fill="D9D9D9"/>
            <w:vAlign w:val="bottom"/>
          </w:tcPr>
          <w:p w14:paraId="34E5B819" w14:textId="409A84B5" w:rsidR="00860E36" w:rsidRPr="00F15EDB" w:rsidRDefault="00860E36" w:rsidP="009E4570">
            <w:pPr>
              <w:tabs>
                <w:tab w:val="num" w:pos="720"/>
              </w:tabs>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Average Burden Hours</w:t>
            </w:r>
            <w:r w:rsidRPr="00F15EDB">
              <w:rPr>
                <w:rFonts w:ascii="Times New Roman" w:eastAsia="Calibri" w:hAnsi="Times New Roman" w:cs="Times New Roman"/>
                <w:b/>
                <w:sz w:val="20"/>
                <w:szCs w:val="20"/>
              </w:rPr>
              <w:t xml:space="preserve"> &amp; Cost Per Response</w:t>
            </w:r>
            <w:r w:rsidR="00F879BD" w:rsidRPr="00F879BD">
              <w:rPr>
                <w:rFonts w:ascii="Times New Roman" w:eastAsia="Calibri" w:hAnsi="Times New Roman" w:cs="Times New Roman"/>
                <w:b/>
                <w:sz w:val="20"/>
                <w:szCs w:val="20"/>
                <w:vertAlign w:val="superscript"/>
              </w:rPr>
              <w:footnoteReference w:id="5"/>
            </w:r>
          </w:p>
          <w:p w14:paraId="6BD470D8" w14:textId="77777777" w:rsidR="00860E36" w:rsidRPr="00F15EDB" w:rsidRDefault="00860E36" w:rsidP="009E4570">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(4)</w:t>
            </w:r>
          </w:p>
        </w:tc>
        <w:tc>
          <w:tcPr>
            <w:tcW w:w="941" w:type="pct"/>
            <w:shd w:val="clear" w:color="auto" w:fill="D9D9D9"/>
            <w:vAlign w:val="bottom"/>
          </w:tcPr>
          <w:p w14:paraId="4FF9FF89" w14:textId="7A5FED31" w:rsidR="00860E36" w:rsidRPr="00F15EDB" w:rsidRDefault="00860E36" w:rsidP="009E4570">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T</w:t>
            </w:r>
            <w:r w:rsidR="009E7228">
              <w:rPr>
                <w:rFonts w:ascii="Times New Roman" w:eastAsia="Calibri" w:hAnsi="Times New Roman" w:cs="Times New Roman"/>
                <w:b/>
                <w:sz w:val="20"/>
                <w:szCs w:val="20"/>
              </w:rPr>
              <w:t>otal Burden Hours &amp; Total One-time</w:t>
            </w:r>
            <w:r w:rsidRPr="00F15EDB">
              <w:rPr>
                <w:rFonts w:ascii="Times New Roman" w:eastAsia="Calibri" w:hAnsi="Times New Roman" w:cs="Times New Roman"/>
                <w:b/>
                <w:sz w:val="20"/>
                <w:szCs w:val="20"/>
              </w:rPr>
              <w:t xml:space="preserve"> Cost</w:t>
            </w:r>
          </w:p>
          <w:p w14:paraId="44CD085B" w14:textId="77777777" w:rsidR="00860E36" w:rsidRPr="00F15EDB" w:rsidRDefault="00860E36" w:rsidP="009E4570">
            <w:pPr>
              <w:tabs>
                <w:tab w:val="num" w:pos="720"/>
              </w:tabs>
              <w:spacing w:after="0" w:line="240" w:lineRule="auto"/>
              <w:jc w:val="center"/>
              <w:rPr>
                <w:rFonts w:ascii="Times New Roman" w:eastAsia="Calibri" w:hAnsi="Times New Roman" w:cs="Times New Roman"/>
                <w:b/>
                <w:sz w:val="20"/>
                <w:szCs w:val="20"/>
              </w:rPr>
            </w:pPr>
            <w:r w:rsidRPr="00F15EDB">
              <w:rPr>
                <w:rFonts w:ascii="Times New Roman" w:eastAsia="Calibri" w:hAnsi="Times New Roman" w:cs="Times New Roman"/>
                <w:b/>
                <w:sz w:val="20"/>
                <w:szCs w:val="20"/>
              </w:rPr>
              <w:t>(3)*(4)=(5)</w:t>
            </w:r>
          </w:p>
        </w:tc>
      </w:tr>
      <w:tr w:rsidR="00860E36" w:rsidRPr="00F15EDB" w14:paraId="00D6EE7B" w14:textId="77777777" w:rsidTr="00860E36">
        <w:trPr>
          <w:cantSplit/>
          <w:trHeight w:val="872"/>
        </w:trPr>
        <w:tc>
          <w:tcPr>
            <w:tcW w:w="1092" w:type="pct"/>
          </w:tcPr>
          <w:p w14:paraId="3D5905E4" w14:textId="77777777" w:rsidR="00860E36" w:rsidRPr="00F15EDB" w:rsidRDefault="00860E36" w:rsidP="009E4570">
            <w:pPr>
              <w:tabs>
                <w:tab w:val="num" w:pos="720"/>
              </w:tabs>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Conforming LGIA changes to incorporate proposed revisions</w:t>
            </w:r>
          </w:p>
        </w:tc>
        <w:tc>
          <w:tcPr>
            <w:tcW w:w="660" w:type="pct"/>
            <w:vAlign w:val="bottom"/>
          </w:tcPr>
          <w:p w14:paraId="1B43DCCA" w14:textId="77777777" w:rsidR="00860E36" w:rsidRPr="00F15EDB" w:rsidRDefault="00860E36" w:rsidP="00605E3A">
            <w:pPr>
              <w:tabs>
                <w:tab w:val="num" w:pos="720"/>
              </w:tabs>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132</w:t>
            </w:r>
          </w:p>
        </w:tc>
        <w:tc>
          <w:tcPr>
            <w:tcW w:w="753" w:type="pct"/>
            <w:vAlign w:val="bottom"/>
          </w:tcPr>
          <w:p w14:paraId="1579E683" w14:textId="77777777" w:rsidR="00860E36" w:rsidRPr="00F15EDB" w:rsidRDefault="00860E36" w:rsidP="007744DD">
            <w:pPr>
              <w:tabs>
                <w:tab w:val="num" w:pos="720"/>
              </w:tabs>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754" w:type="pct"/>
            <w:vAlign w:val="bottom"/>
          </w:tcPr>
          <w:p w14:paraId="008CDAC1" w14:textId="77777777" w:rsidR="00860E36" w:rsidRPr="00F15EDB" w:rsidRDefault="00860E36">
            <w:pPr>
              <w:tabs>
                <w:tab w:val="num" w:pos="720"/>
              </w:tabs>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132</w:t>
            </w:r>
          </w:p>
        </w:tc>
        <w:tc>
          <w:tcPr>
            <w:tcW w:w="800" w:type="pct"/>
            <w:vAlign w:val="bottom"/>
          </w:tcPr>
          <w:p w14:paraId="36B0C334" w14:textId="77777777" w:rsidR="00860E36" w:rsidRPr="00F15EDB" w:rsidRDefault="00860E36">
            <w:pPr>
              <w:tabs>
                <w:tab w:val="num" w:pos="720"/>
              </w:tabs>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7.5</w:t>
            </w:r>
            <w:r w:rsidR="00185601">
              <w:rPr>
                <w:rFonts w:ascii="Times New Roman" w:eastAsia="Calibri" w:hAnsi="Times New Roman" w:cs="Times New Roman"/>
                <w:sz w:val="20"/>
                <w:szCs w:val="20"/>
              </w:rPr>
              <w:t xml:space="preserve"> hours</w:t>
            </w:r>
            <w:r>
              <w:rPr>
                <w:rFonts w:ascii="Times New Roman" w:eastAsia="Calibri" w:hAnsi="Times New Roman" w:cs="Times New Roman"/>
                <w:sz w:val="20"/>
                <w:szCs w:val="20"/>
              </w:rPr>
              <w:t xml:space="preserve"> </w:t>
            </w:r>
          </w:p>
          <w:p w14:paraId="363D785C" w14:textId="77777777" w:rsidR="00860E36" w:rsidRPr="00F15EDB" w:rsidRDefault="00860E36" w:rsidP="00860E36">
            <w:pPr>
              <w:tabs>
                <w:tab w:val="num" w:pos="720"/>
              </w:tabs>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$540</w:t>
            </w:r>
          </w:p>
        </w:tc>
        <w:tc>
          <w:tcPr>
            <w:tcW w:w="941" w:type="pct"/>
            <w:vAlign w:val="bottom"/>
          </w:tcPr>
          <w:p w14:paraId="6F3F37E3" w14:textId="77777777" w:rsidR="00860E36" w:rsidRPr="00F15EDB" w:rsidRDefault="00860E36">
            <w:pPr>
              <w:keepNext/>
              <w:keepLines/>
              <w:tabs>
                <w:tab w:val="num" w:pos="720"/>
              </w:tabs>
              <w:spacing w:after="0" w:line="240" w:lineRule="auto"/>
              <w:jc w:val="right"/>
              <w:outlineLvl w:val="3"/>
              <w:rPr>
                <w:rFonts w:ascii="Times New Roman" w:eastAsia="Calibri" w:hAnsi="Times New Roman" w:cs="Times New Roman"/>
                <w:sz w:val="20"/>
                <w:szCs w:val="20"/>
              </w:rPr>
            </w:pPr>
            <w:r>
              <w:rPr>
                <w:rFonts w:ascii="Times New Roman" w:eastAsia="Calibri" w:hAnsi="Times New Roman" w:cs="Times New Roman"/>
                <w:sz w:val="20"/>
                <w:szCs w:val="20"/>
              </w:rPr>
              <w:t>990</w:t>
            </w:r>
            <w:r w:rsidR="00185601">
              <w:rPr>
                <w:rFonts w:ascii="Times New Roman" w:eastAsia="Calibri" w:hAnsi="Times New Roman" w:cs="Times New Roman"/>
                <w:sz w:val="20"/>
                <w:szCs w:val="20"/>
              </w:rPr>
              <w:t xml:space="preserve"> hours</w:t>
            </w:r>
            <w:r>
              <w:rPr>
                <w:rFonts w:ascii="Times New Roman" w:eastAsia="Calibri" w:hAnsi="Times New Roman" w:cs="Times New Roman"/>
                <w:sz w:val="20"/>
                <w:szCs w:val="20"/>
              </w:rPr>
              <w:t xml:space="preserve"> </w:t>
            </w:r>
          </w:p>
          <w:p w14:paraId="674FF0D4" w14:textId="77777777" w:rsidR="00860E36" w:rsidRPr="00F15EDB" w:rsidRDefault="00860E36">
            <w:pPr>
              <w:keepNext/>
              <w:keepLines/>
              <w:tabs>
                <w:tab w:val="num" w:pos="720"/>
              </w:tabs>
              <w:spacing w:after="0" w:line="240" w:lineRule="auto"/>
              <w:jc w:val="right"/>
              <w:outlineLvl w:val="3"/>
              <w:rPr>
                <w:rFonts w:ascii="Times New Roman" w:eastAsia="Calibri" w:hAnsi="Times New Roman" w:cs="Times New Roman"/>
                <w:sz w:val="20"/>
                <w:szCs w:val="20"/>
              </w:rPr>
            </w:pPr>
            <w:r>
              <w:rPr>
                <w:rFonts w:ascii="Times New Roman" w:eastAsia="Calibri" w:hAnsi="Times New Roman" w:cs="Times New Roman"/>
                <w:sz w:val="20"/>
                <w:szCs w:val="20"/>
              </w:rPr>
              <w:t>$71,280</w:t>
            </w:r>
          </w:p>
        </w:tc>
      </w:tr>
      <w:tr w:rsidR="00860E36" w:rsidRPr="00F15EDB" w14:paraId="67352940" w14:textId="77777777" w:rsidTr="00860E36">
        <w:trPr>
          <w:cantSplit/>
          <w:trHeight w:val="872"/>
        </w:trPr>
        <w:tc>
          <w:tcPr>
            <w:tcW w:w="1092" w:type="pct"/>
          </w:tcPr>
          <w:p w14:paraId="508782A7" w14:textId="77777777" w:rsidR="00860E36" w:rsidRPr="00F15EDB" w:rsidRDefault="00860E36" w:rsidP="009E4570">
            <w:pPr>
              <w:tabs>
                <w:tab w:val="num" w:pos="720"/>
              </w:tabs>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Conforming SGIA changes to incorporate proposed revisions</w:t>
            </w:r>
          </w:p>
        </w:tc>
        <w:tc>
          <w:tcPr>
            <w:tcW w:w="660" w:type="pct"/>
            <w:vAlign w:val="bottom"/>
          </w:tcPr>
          <w:p w14:paraId="79AC33AE" w14:textId="2259A0F4" w:rsidR="00860E36" w:rsidRPr="00F15EDB" w:rsidRDefault="00F132B4" w:rsidP="00605E3A">
            <w:pPr>
              <w:tabs>
                <w:tab w:val="num" w:pos="720"/>
              </w:tabs>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118</w:t>
            </w:r>
          </w:p>
        </w:tc>
        <w:tc>
          <w:tcPr>
            <w:tcW w:w="753" w:type="pct"/>
            <w:vAlign w:val="bottom"/>
          </w:tcPr>
          <w:p w14:paraId="5E479EE8" w14:textId="77777777" w:rsidR="00860E36" w:rsidRPr="00F15EDB" w:rsidRDefault="00860E36" w:rsidP="007744DD">
            <w:pPr>
              <w:tabs>
                <w:tab w:val="num" w:pos="720"/>
              </w:tabs>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754" w:type="pct"/>
            <w:vAlign w:val="bottom"/>
          </w:tcPr>
          <w:p w14:paraId="7CA81E7E" w14:textId="5011DE9F" w:rsidR="00860E36" w:rsidRPr="00F15EDB" w:rsidRDefault="00F132B4">
            <w:pPr>
              <w:tabs>
                <w:tab w:val="num" w:pos="720"/>
              </w:tabs>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118</w:t>
            </w:r>
          </w:p>
        </w:tc>
        <w:tc>
          <w:tcPr>
            <w:tcW w:w="800" w:type="pct"/>
            <w:vAlign w:val="bottom"/>
          </w:tcPr>
          <w:p w14:paraId="58A6BD69" w14:textId="77777777" w:rsidR="00860E36" w:rsidRPr="00F15EDB" w:rsidRDefault="00860E36" w:rsidP="00860E36">
            <w:pPr>
              <w:tabs>
                <w:tab w:val="num" w:pos="720"/>
              </w:tabs>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7.5</w:t>
            </w:r>
            <w:r w:rsidR="00185601">
              <w:rPr>
                <w:rFonts w:ascii="Times New Roman" w:eastAsia="Calibri" w:hAnsi="Times New Roman" w:cs="Times New Roman"/>
                <w:sz w:val="20"/>
                <w:szCs w:val="20"/>
              </w:rPr>
              <w:t xml:space="preserve"> hours</w:t>
            </w:r>
            <w:r>
              <w:rPr>
                <w:rFonts w:ascii="Times New Roman" w:eastAsia="Calibri" w:hAnsi="Times New Roman" w:cs="Times New Roman"/>
                <w:sz w:val="20"/>
                <w:szCs w:val="20"/>
              </w:rPr>
              <w:t xml:space="preserve"> </w:t>
            </w:r>
          </w:p>
          <w:p w14:paraId="0FBD45E1" w14:textId="77777777" w:rsidR="00860E36" w:rsidRPr="00F15EDB" w:rsidRDefault="00860E36" w:rsidP="00860E36">
            <w:pPr>
              <w:tabs>
                <w:tab w:val="num" w:pos="720"/>
              </w:tabs>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$540</w:t>
            </w:r>
          </w:p>
        </w:tc>
        <w:tc>
          <w:tcPr>
            <w:tcW w:w="941" w:type="pct"/>
            <w:vAlign w:val="bottom"/>
          </w:tcPr>
          <w:p w14:paraId="6B2E8F52" w14:textId="20CED3EA" w:rsidR="00860E36" w:rsidRPr="00F15EDB" w:rsidRDefault="00FD7BF9" w:rsidP="00860E36">
            <w:pPr>
              <w:keepNext/>
              <w:keepLines/>
              <w:tabs>
                <w:tab w:val="num" w:pos="720"/>
              </w:tabs>
              <w:spacing w:after="0" w:line="240" w:lineRule="auto"/>
              <w:jc w:val="right"/>
              <w:outlineLvl w:val="3"/>
              <w:rPr>
                <w:rFonts w:ascii="Times New Roman" w:eastAsia="Calibri" w:hAnsi="Times New Roman" w:cs="Times New Roman"/>
                <w:sz w:val="20"/>
                <w:szCs w:val="20"/>
              </w:rPr>
            </w:pPr>
            <w:r>
              <w:rPr>
                <w:rFonts w:ascii="Times New Roman" w:eastAsia="Calibri" w:hAnsi="Times New Roman" w:cs="Times New Roman"/>
                <w:sz w:val="20"/>
                <w:szCs w:val="20"/>
              </w:rPr>
              <w:t>885</w:t>
            </w:r>
            <w:r w:rsidR="00185601">
              <w:rPr>
                <w:rFonts w:ascii="Times New Roman" w:eastAsia="Calibri" w:hAnsi="Times New Roman" w:cs="Times New Roman"/>
                <w:sz w:val="20"/>
                <w:szCs w:val="20"/>
              </w:rPr>
              <w:t xml:space="preserve"> hours</w:t>
            </w:r>
            <w:r w:rsidR="00860E36">
              <w:rPr>
                <w:rFonts w:ascii="Times New Roman" w:eastAsia="Calibri" w:hAnsi="Times New Roman" w:cs="Times New Roman"/>
                <w:sz w:val="20"/>
                <w:szCs w:val="20"/>
              </w:rPr>
              <w:t xml:space="preserve"> </w:t>
            </w:r>
          </w:p>
          <w:p w14:paraId="743D1AAC" w14:textId="77C9F707" w:rsidR="00860E36" w:rsidRPr="00F15EDB" w:rsidRDefault="00FD7BF9" w:rsidP="00860E36">
            <w:pPr>
              <w:keepNext/>
              <w:keepLines/>
              <w:tabs>
                <w:tab w:val="num" w:pos="720"/>
              </w:tabs>
              <w:spacing w:after="0" w:line="240" w:lineRule="auto"/>
              <w:jc w:val="right"/>
              <w:outlineLvl w:val="3"/>
              <w:rPr>
                <w:rFonts w:ascii="Times New Roman" w:eastAsia="Calibri" w:hAnsi="Times New Roman" w:cs="Times New Roman"/>
                <w:sz w:val="20"/>
                <w:szCs w:val="20"/>
              </w:rPr>
            </w:pPr>
            <w:r>
              <w:rPr>
                <w:rFonts w:ascii="Times New Roman" w:eastAsia="Calibri" w:hAnsi="Times New Roman" w:cs="Times New Roman"/>
                <w:sz w:val="20"/>
                <w:szCs w:val="20"/>
              </w:rPr>
              <w:t>$63,720</w:t>
            </w:r>
          </w:p>
        </w:tc>
      </w:tr>
      <w:tr w:rsidR="00860E36" w:rsidRPr="00F15EDB" w14:paraId="73D6ADC1" w14:textId="77777777" w:rsidTr="00860E36">
        <w:trPr>
          <w:cantSplit/>
          <w:trHeight w:val="70"/>
        </w:trPr>
        <w:tc>
          <w:tcPr>
            <w:tcW w:w="1092" w:type="pct"/>
          </w:tcPr>
          <w:p w14:paraId="7D7C6452" w14:textId="77777777" w:rsidR="00860E36" w:rsidRPr="00185601" w:rsidRDefault="00860E36" w:rsidP="00185601">
            <w:pPr>
              <w:tabs>
                <w:tab w:val="num" w:pos="720"/>
              </w:tabs>
              <w:spacing w:after="0" w:line="240" w:lineRule="auto"/>
              <w:rPr>
                <w:rFonts w:ascii="Times New Roman" w:eastAsia="Calibri" w:hAnsi="Times New Roman" w:cs="Times New Roman"/>
                <w:b/>
                <w:sz w:val="20"/>
                <w:szCs w:val="20"/>
              </w:rPr>
            </w:pPr>
            <w:r w:rsidRPr="00185601">
              <w:rPr>
                <w:rFonts w:ascii="Times New Roman" w:eastAsia="Calibri" w:hAnsi="Times New Roman" w:cs="Times New Roman"/>
                <w:b/>
                <w:sz w:val="20"/>
                <w:szCs w:val="20"/>
              </w:rPr>
              <w:t>T</w:t>
            </w:r>
            <w:r w:rsidR="00185601">
              <w:rPr>
                <w:rFonts w:ascii="Times New Roman" w:eastAsia="Calibri" w:hAnsi="Times New Roman" w:cs="Times New Roman"/>
                <w:b/>
                <w:sz w:val="20"/>
                <w:szCs w:val="20"/>
              </w:rPr>
              <w:t>OTAL</w:t>
            </w:r>
          </w:p>
        </w:tc>
        <w:tc>
          <w:tcPr>
            <w:tcW w:w="1413" w:type="pct"/>
            <w:gridSpan w:val="2"/>
            <w:shd w:val="clear" w:color="auto" w:fill="D9D9D9" w:themeFill="background1" w:themeFillShade="D9"/>
            <w:vAlign w:val="bottom"/>
          </w:tcPr>
          <w:p w14:paraId="2821A975" w14:textId="77777777" w:rsidR="00860E36" w:rsidRDefault="00860E36" w:rsidP="007744DD">
            <w:pPr>
              <w:tabs>
                <w:tab w:val="num" w:pos="720"/>
              </w:tabs>
              <w:spacing w:after="0" w:line="240" w:lineRule="auto"/>
              <w:jc w:val="right"/>
              <w:rPr>
                <w:rFonts w:ascii="Times New Roman" w:eastAsia="Calibri" w:hAnsi="Times New Roman" w:cs="Times New Roman"/>
                <w:sz w:val="20"/>
                <w:szCs w:val="20"/>
              </w:rPr>
            </w:pPr>
          </w:p>
        </w:tc>
        <w:tc>
          <w:tcPr>
            <w:tcW w:w="754" w:type="pct"/>
            <w:vAlign w:val="bottom"/>
          </w:tcPr>
          <w:p w14:paraId="2E6EB729" w14:textId="58996C7C" w:rsidR="00860E36" w:rsidRDefault="00FD7BF9">
            <w:pPr>
              <w:tabs>
                <w:tab w:val="num" w:pos="720"/>
              </w:tabs>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250</w:t>
            </w:r>
          </w:p>
        </w:tc>
        <w:tc>
          <w:tcPr>
            <w:tcW w:w="800" w:type="pct"/>
            <w:vAlign w:val="bottom"/>
          </w:tcPr>
          <w:p w14:paraId="68756893" w14:textId="492C9429" w:rsidR="00860E36" w:rsidRDefault="00B07A81" w:rsidP="00860E36">
            <w:pPr>
              <w:tabs>
                <w:tab w:val="num" w:pos="720"/>
              </w:tabs>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7.5</w:t>
            </w:r>
            <w:r w:rsidR="00185601">
              <w:rPr>
                <w:rFonts w:ascii="Times New Roman" w:eastAsia="Calibri" w:hAnsi="Times New Roman" w:cs="Times New Roman"/>
                <w:sz w:val="20"/>
                <w:szCs w:val="20"/>
              </w:rPr>
              <w:t xml:space="preserve"> hours</w:t>
            </w:r>
          </w:p>
          <w:p w14:paraId="7B39B095" w14:textId="4E3CBF96" w:rsidR="00860E36" w:rsidRDefault="00860E36" w:rsidP="00860E36">
            <w:pPr>
              <w:tabs>
                <w:tab w:val="num" w:pos="720"/>
              </w:tabs>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w:t>
            </w:r>
            <w:r w:rsidR="00B07A81">
              <w:rPr>
                <w:rFonts w:ascii="Times New Roman" w:eastAsia="Calibri" w:hAnsi="Times New Roman" w:cs="Times New Roman"/>
                <w:sz w:val="20"/>
                <w:szCs w:val="20"/>
              </w:rPr>
              <w:t>540</w:t>
            </w:r>
          </w:p>
        </w:tc>
        <w:tc>
          <w:tcPr>
            <w:tcW w:w="941" w:type="pct"/>
            <w:vAlign w:val="bottom"/>
          </w:tcPr>
          <w:p w14:paraId="6F383485" w14:textId="0B501EEC" w:rsidR="00860E36" w:rsidRDefault="00FD7BF9" w:rsidP="00860E36">
            <w:pPr>
              <w:keepNext/>
              <w:keepLines/>
              <w:tabs>
                <w:tab w:val="num" w:pos="720"/>
              </w:tabs>
              <w:spacing w:after="0" w:line="240" w:lineRule="auto"/>
              <w:jc w:val="right"/>
              <w:outlineLvl w:val="3"/>
              <w:rPr>
                <w:rFonts w:ascii="Times New Roman" w:eastAsia="Calibri" w:hAnsi="Times New Roman" w:cs="Times New Roman"/>
                <w:sz w:val="20"/>
                <w:szCs w:val="20"/>
              </w:rPr>
            </w:pPr>
            <w:r>
              <w:rPr>
                <w:rFonts w:ascii="Times New Roman" w:eastAsia="Calibri" w:hAnsi="Times New Roman" w:cs="Times New Roman"/>
                <w:sz w:val="20"/>
                <w:szCs w:val="20"/>
              </w:rPr>
              <w:t>1,875</w:t>
            </w:r>
            <w:r w:rsidR="00185601">
              <w:rPr>
                <w:rFonts w:ascii="Times New Roman" w:eastAsia="Calibri" w:hAnsi="Times New Roman" w:cs="Times New Roman"/>
                <w:sz w:val="20"/>
                <w:szCs w:val="20"/>
              </w:rPr>
              <w:t xml:space="preserve"> hours</w:t>
            </w:r>
          </w:p>
          <w:p w14:paraId="5A43BDD6" w14:textId="085B0194" w:rsidR="00860E36" w:rsidRDefault="00FD7BF9" w:rsidP="00860E36">
            <w:pPr>
              <w:keepNext/>
              <w:keepLines/>
              <w:tabs>
                <w:tab w:val="num" w:pos="720"/>
              </w:tabs>
              <w:spacing w:after="0" w:line="240" w:lineRule="auto"/>
              <w:jc w:val="right"/>
              <w:outlineLvl w:val="3"/>
              <w:rPr>
                <w:rFonts w:ascii="Times New Roman" w:eastAsia="Calibri" w:hAnsi="Times New Roman" w:cs="Times New Roman"/>
                <w:sz w:val="20"/>
                <w:szCs w:val="20"/>
              </w:rPr>
            </w:pPr>
            <w:r>
              <w:rPr>
                <w:rFonts w:ascii="Times New Roman" w:eastAsia="Calibri" w:hAnsi="Times New Roman" w:cs="Times New Roman"/>
                <w:sz w:val="20"/>
                <w:szCs w:val="20"/>
              </w:rPr>
              <w:t>$135,000</w:t>
            </w:r>
          </w:p>
        </w:tc>
      </w:tr>
    </w:tbl>
    <w:p w14:paraId="0DD4BE5A" w14:textId="77777777" w:rsidR="00806297" w:rsidRDefault="00806297" w:rsidP="00806297">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2E2A9F" w:rsidRPr="00D80FBD" w14:paraId="7886163C" w14:textId="77777777" w:rsidTr="00C56572">
        <w:trPr>
          <w:trHeight w:val="870"/>
        </w:trPr>
        <w:tc>
          <w:tcPr>
            <w:tcW w:w="2679" w:type="dxa"/>
            <w:shd w:val="clear" w:color="auto" w:fill="D9D9D9"/>
            <w:vAlign w:val="bottom"/>
          </w:tcPr>
          <w:p w14:paraId="7426F053" w14:textId="77777777" w:rsidR="002E2A9F" w:rsidRPr="00D80FBD" w:rsidRDefault="002E2A9F" w:rsidP="00C5657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Pr>
                <w:rFonts w:ascii="Times New Roman" w:hAnsi="Times New Roman" w:cs="Times New Roman"/>
                <w:b/>
                <w:sz w:val="24"/>
                <w:szCs w:val="24"/>
              </w:rPr>
              <w:t>516B</w:t>
            </w:r>
          </w:p>
        </w:tc>
        <w:tc>
          <w:tcPr>
            <w:tcW w:w="1461" w:type="dxa"/>
            <w:shd w:val="clear" w:color="auto" w:fill="D9D9D9"/>
            <w:vAlign w:val="bottom"/>
          </w:tcPr>
          <w:p w14:paraId="14DEA60D" w14:textId="77777777" w:rsidR="002E2A9F" w:rsidRPr="00D80FBD" w:rsidRDefault="002E2A9F" w:rsidP="00C5657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14:paraId="3C950AFA" w14:textId="77777777" w:rsidR="002E2A9F" w:rsidRPr="00D80FBD" w:rsidRDefault="002E2A9F" w:rsidP="00C5657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14:paraId="3CD2F2E2" w14:textId="77777777" w:rsidR="002E2A9F" w:rsidRPr="00D80FBD" w:rsidRDefault="002E2A9F" w:rsidP="00C5657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14:paraId="03BCAEAF" w14:textId="77777777" w:rsidR="002E2A9F" w:rsidRPr="00D80FBD" w:rsidRDefault="002E2A9F" w:rsidP="00C56572">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2E2A9F" w:rsidRPr="00D80FBD" w14:paraId="4EEC8179" w14:textId="77777777" w:rsidTr="00C56572">
        <w:trPr>
          <w:trHeight w:val="591"/>
        </w:trPr>
        <w:tc>
          <w:tcPr>
            <w:tcW w:w="2679" w:type="dxa"/>
            <w:shd w:val="clear" w:color="auto" w:fill="auto"/>
          </w:tcPr>
          <w:p w14:paraId="4B0FF182" w14:textId="77777777" w:rsidR="002E2A9F" w:rsidRPr="00D80FBD" w:rsidRDefault="002E2A9F" w:rsidP="00C56572">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14:paraId="3DB0EFDA" w14:textId="77777777" w:rsidR="002E2A9F" w:rsidRPr="00FC440E" w:rsidRDefault="002E2A9F" w:rsidP="00C5657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250</w:t>
            </w:r>
          </w:p>
        </w:tc>
        <w:tc>
          <w:tcPr>
            <w:tcW w:w="1620" w:type="dxa"/>
            <w:shd w:val="clear" w:color="auto" w:fill="auto"/>
            <w:vAlign w:val="center"/>
          </w:tcPr>
          <w:p w14:paraId="47EE600D" w14:textId="77777777" w:rsidR="002E2A9F" w:rsidRPr="00D80FBD" w:rsidRDefault="002E2A9F" w:rsidP="00C5657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1EE7B51B" w14:textId="77777777" w:rsidR="002E2A9F" w:rsidRPr="00D80FBD" w:rsidRDefault="002E2A9F" w:rsidP="00C5657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3A1B933E" w14:textId="77777777" w:rsidR="002E2A9F" w:rsidRPr="00D80FBD" w:rsidRDefault="002E2A9F" w:rsidP="00C5657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250</w:t>
            </w:r>
          </w:p>
        </w:tc>
      </w:tr>
      <w:tr w:rsidR="002E2A9F" w:rsidRPr="00D80FBD" w14:paraId="1EC61FF1" w14:textId="77777777" w:rsidTr="00C56572">
        <w:trPr>
          <w:trHeight w:val="575"/>
        </w:trPr>
        <w:tc>
          <w:tcPr>
            <w:tcW w:w="2679" w:type="dxa"/>
            <w:shd w:val="clear" w:color="auto" w:fill="auto"/>
          </w:tcPr>
          <w:p w14:paraId="622FD187" w14:textId="77777777" w:rsidR="002E2A9F" w:rsidRPr="00D80FBD" w:rsidRDefault="002E2A9F" w:rsidP="00C56572">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(Hr)</w:t>
            </w:r>
          </w:p>
        </w:tc>
        <w:tc>
          <w:tcPr>
            <w:tcW w:w="1461" w:type="dxa"/>
            <w:shd w:val="clear" w:color="auto" w:fill="auto"/>
            <w:vAlign w:val="center"/>
          </w:tcPr>
          <w:p w14:paraId="5F860853" w14:textId="77777777" w:rsidR="002E2A9F" w:rsidRPr="00FC440E" w:rsidRDefault="002E2A9F" w:rsidP="00C5657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1,875</w:t>
            </w:r>
          </w:p>
        </w:tc>
        <w:tc>
          <w:tcPr>
            <w:tcW w:w="1620" w:type="dxa"/>
            <w:shd w:val="clear" w:color="auto" w:fill="auto"/>
            <w:vAlign w:val="center"/>
          </w:tcPr>
          <w:p w14:paraId="33FA41A7" w14:textId="77777777" w:rsidR="002E2A9F" w:rsidRPr="00D80FBD" w:rsidRDefault="002E2A9F" w:rsidP="00C5657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22B573EB" w14:textId="77777777" w:rsidR="002E2A9F" w:rsidRPr="00D80FBD" w:rsidRDefault="002E2A9F" w:rsidP="00C5657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262CC674" w14:textId="77777777" w:rsidR="002E2A9F" w:rsidRPr="00D80FBD" w:rsidRDefault="002E2A9F" w:rsidP="00C5657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1,875</w:t>
            </w:r>
          </w:p>
        </w:tc>
      </w:tr>
      <w:tr w:rsidR="002E2A9F" w:rsidRPr="00D80FBD" w14:paraId="15D37D10" w14:textId="77777777" w:rsidTr="00C56572">
        <w:trPr>
          <w:trHeight w:val="295"/>
        </w:trPr>
        <w:tc>
          <w:tcPr>
            <w:tcW w:w="2679" w:type="dxa"/>
            <w:tcBorders>
              <w:bottom w:val="single" w:sz="4" w:space="0" w:color="auto"/>
            </w:tcBorders>
            <w:shd w:val="clear" w:color="auto" w:fill="auto"/>
          </w:tcPr>
          <w:p w14:paraId="31C42530" w14:textId="77777777" w:rsidR="002E2A9F" w:rsidRPr="00D80FBD" w:rsidRDefault="002E2A9F" w:rsidP="00C56572">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4CD36499" w14:textId="77777777" w:rsidR="002E2A9F" w:rsidRPr="00427D79" w:rsidRDefault="002E2A9F" w:rsidP="00C5657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14:paraId="64C72A54" w14:textId="77777777" w:rsidR="002E2A9F" w:rsidRPr="00427D79" w:rsidRDefault="002E2A9F" w:rsidP="00C5657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47AFD62C" w14:textId="77777777" w:rsidR="002E2A9F" w:rsidRPr="00427D79" w:rsidRDefault="002E2A9F" w:rsidP="00C56572">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3FB820EA" w14:textId="77777777" w:rsidR="002E2A9F" w:rsidRPr="00D80FBD" w:rsidRDefault="002E2A9F" w:rsidP="00C5657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bl>
    <w:p w14:paraId="7F8D8B53" w14:textId="77777777" w:rsidR="002E2A9F" w:rsidRDefault="002E2A9F" w:rsidP="00806297">
      <w:pPr>
        <w:spacing w:after="0"/>
        <w:rPr>
          <w:rFonts w:ascii="Times New Roman" w:hAnsi="Times New Roman" w:cs="Times New Roman"/>
          <w:sz w:val="24"/>
          <w:szCs w:val="24"/>
        </w:rPr>
      </w:pPr>
    </w:p>
    <w:p w14:paraId="35973247" w14:textId="77777777" w:rsidR="00806297" w:rsidRDefault="00806297" w:rsidP="00806297">
      <w:pPr>
        <w:spacing w:after="0"/>
        <w:rPr>
          <w:rFonts w:ascii="Times New Roman" w:hAnsi="Times New Roman" w:cs="Times New Roman"/>
          <w:sz w:val="24"/>
          <w:szCs w:val="24"/>
        </w:rPr>
      </w:pPr>
    </w:p>
    <w:p w14:paraId="04708E63"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6D130F1B" w14:textId="77777777" w:rsidR="00E636D7" w:rsidRDefault="00E636D7" w:rsidP="00E636D7">
      <w:pPr>
        <w:spacing w:after="0"/>
        <w:rPr>
          <w:rFonts w:ascii="Times New Roman" w:hAnsi="Times New Roman" w:cs="Times New Roman"/>
          <w:sz w:val="24"/>
          <w:szCs w:val="24"/>
        </w:rPr>
      </w:pPr>
    </w:p>
    <w:p w14:paraId="0F375FEB" w14:textId="77777777" w:rsidR="00E636D7" w:rsidRDefault="00C62B86" w:rsidP="007C3586">
      <w:pPr>
        <w:spacing w:after="0"/>
        <w:ind w:firstLine="360"/>
        <w:rPr>
          <w:rFonts w:ascii="Times New Roman" w:hAnsi="Times New Roman" w:cs="Times New Roman"/>
          <w:sz w:val="24"/>
          <w:szCs w:val="24"/>
        </w:rPr>
      </w:pPr>
      <w:r>
        <w:rPr>
          <w:rFonts w:ascii="Times New Roman" w:hAnsi="Times New Roman" w:cs="Times New Roman"/>
          <w:sz w:val="24"/>
          <w:szCs w:val="24"/>
        </w:rPr>
        <w:t>There are no start-up or</w:t>
      </w:r>
      <w:r w:rsidR="006039B3">
        <w:rPr>
          <w:rFonts w:ascii="Times New Roman" w:hAnsi="Times New Roman" w:cs="Times New Roman"/>
          <w:sz w:val="24"/>
          <w:szCs w:val="24"/>
        </w:rPr>
        <w:t xml:space="preserve"> other non</w:t>
      </w:r>
      <w:r w:rsidR="00FD486A">
        <w:rPr>
          <w:rFonts w:ascii="Times New Roman" w:hAnsi="Times New Roman" w:cs="Times New Roman"/>
          <w:sz w:val="24"/>
          <w:szCs w:val="24"/>
        </w:rPr>
        <w:t>-labor costs</w:t>
      </w:r>
      <w:r w:rsidR="006039B3">
        <w:rPr>
          <w:rFonts w:ascii="Times New Roman" w:hAnsi="Times New Roman" w:cs="Times New Roman"/>
          <w:sz w:val="24"/>
          <w:szCs w:val="24"/>
        </w:rPr>
        <w:t>.</w:t>
      </w:r>
    </w:p>
    <w:p w14:paraId="5A677D6E" w14:textId="77777777" w:rsidR="006039B3" w:rsidRDefault="006039B3" w:rsidP="00E636D7">
      <w:pPr>
        <w:spacing w:after="0"/>
        <w:rPr>
          <w:rFonts w:ascii="Times New Roman" w:hAnsi="Times New Roman" w:cs="Times New Roman"/>
          <w:sz w:val="24"/>
          <w:szCs w:val="24"/>
        </w:rPr>
      </w:pPr>
    </w:p>
    <w:p w14:paraId="4F43D49A" w14:textId="77777777" w:rsidR="006039B3" w:rsidRDefault="006039B3" w:rsidP="007C3586">
      <w:pPr>
        <w:spacing w:after="0"/>
        <w:ind w:left="720"/>
        <w:rPr>
          <w:rFonts w:ascii="Times New Roman" w:hAnsi="Times New Roman" w:cs="Times New Roman"/>
          <w:sz w:val="24"/>
          <w:szCs w:val="24"/>
        </w:rPr>
      </w:pPr>
      <w:r>
        <w:rPr>
          <w:rFonts w:ascii="Times New Roman" w:hAnsi="Times New Roman" w:cs="Times New Roman"/>
          <w:sz w:val="24"/>
          <w:szCs w:val="24"/>
        </w:rPr>
        <w:lastRenderedPageBreak/>
        <w:t>Total Capital and Start-up cost: $0</w:t>
      </w:r>
    </w:p>
    <w:p w14:paraId="78400A82" w14:textId="77777777" w:rsidR="00AC3997" w:rsidRDefault="006039B3" w:rsidP="007C3586">
      <w:pPr>
        <w:spacing w:after="0"/>
        <w:ind w:left="720"/>
        <w:rPr>
          <w:rFonts w:ascii="Times New Roman" w:hAnsi="Times New Roman" w:cs="Times New Roman"/>
          <w:sz w:val="24"/>
          <w:szCs w:val="24"/>
        </w:rPr>
      </w:pPr>
      <w:r>
        <w:rPr>
          <w:rFonts w:ascii="Times New Roman" w:hAnsi="Times New Roman" w:cs="Times New Roman"/>
          <w:sz w:val="24"/>
          <w:szCs w:val="24"/>
        </w:rPr>
        <w:t>Total Operation, Maintenan</w:t>
      </w:r>
      <w:r w:rsidR="00F15EDB">
        <w:rPr>
          <w:rFonts w:ascii="Times New Roman" w:hAnsi="Times New Roman" w:cs="Times New Roman"/>
          <w:sz w:val="24"/>
          <w:szCs w:val="24"/>
        </w:rPr>
        <w:t>ce, and Purchase of Services</w:t>
      </w:r>
      <w:r w:rsidR="004C7EEA">
        <w:rPr>
          <w:rFonts w:ascii="Times New Roman" w:hAnsi="Times New Roman" w:cs="Times New Roman"/>
          <w:sz w:val="24"/>
          <w:szCs w:val="24"/>
        </w:rPr>
        <w:t>: $0</w:t>
      </w:r>
    </w:p>
    <w:p w14:paraId="4BE01303" w14:textId="77777777" w:rsidR="00F15EDB" w:rsidRDefault="00F15EDB" w:rsidP="00AC3997">
      <w:pPr>
        <w:spacing w:after="0"/>
        <w:rPr>
          <w:rFonts w:ascii="Times New Roman" w:hAnsi="Times New Roman" w:cs="Times New Roman"/>
          <w:sz w:val="24"/>
          <w:szCs w:val="24"/>
        </w:rPr>
      </w:pPr>
    </w:p>
    <w:p w14:paraId="6E46489B" w14:textId="77777777" w:rsidR="00F15EDB" w:rsidRDefault="00AC7F5B" w:rsidP="007C3586">
      <w:pPr>
        <w:spacing w:after="0"/>
        <w:ind w:firstLine="360"/>
        <w:rPr>
          <w:rFonts w:ascii="Times New Roman" w:hAnsi="Times New Roman" w:cs="Times New Roman"/>
          <w:sz w:val="24"/>
          <w:szCs w:val="24"/>
        </w:rPr>
      </w:pPr>
      <w:r>
        <w:rPr>
          <w:rFonts w:ascii="Times New Roman" w:hAnsi="Times New Roman" w:cs="Times New Roman"/>
          <w:sz w:val="24"/>
          <w:szCs w:val="24"/>
        </w:rPr>
        <w:t>All of the costs in the proposed</w:t>
      </w:r>
      <w:r w:rsidR="00F15EDB">
        <w:rPr>
          <w:rFonts w:ascii="Times New Roman" w:hAnsi="Times New Roman" w:cs="Times New Roman"/>
          <w:sz w:val="24"/>
          <w:szCs w:val="24"/>
        </w:rPr>
        <w:t xml:space="preserve"> rule are associated with burden hours (labor) and described in Questions #12 and #15 in this supportin</w:t>
      </w:r>
      <w:r w:rsidR="006969DA">
        <w:rPr>
          <w:rFonts w:ascii="Times New Roman" w:hAnsi="Times New Roman" w:cs="Times New Roman"/>
          <w:sz w:val="24"/>
          <w:szCs w:val="24"/>
        </w:rPr>
        <w:t>g statement.</w:t>
      </w:r>
    </w:p>
    <w:p w14:paraId="195C5F71" w14:textId="77777777" w:rsidR="00AC3997" w:rsidRDefault="00AC3997" w:rsidP="00AC3997">
      <w:pPr>
        <w:spacing w:after="0"/>
        <w:rPr>
          <w:rFonts w:ascii="Times New Roman" w:hAnsi="Times New Roman" w:cs="Times New Roman"/>
          <w:sz w:val="24"/>
          <w:szCs w:val="24"/>
        </w:rPr>
      </w:pPr>
    </w:p>
    <w:p w14:paraId="07C632B8" w14:textId="77777777" w:rsidR="00E636D7" w:rsidRPr="00A72FBE" w:rsidRDefault="00A276F5" w:rsidP="00A72FBE">
      <w:pPr>
        <w:pStyle w:val="ListParagraph"/>
        <w:numPr>
          <w:ilvl w:val="0"/>
          <w:numId w:val="1"/>
        </w:numPr>
        <w:spacing w:after="0"/>
        <w:ind w:left="360"/>
        <w:rPr>
          <w:rFonts w:ascii="Times New Roman" w:hAnsi="Times New Roman" w:cs="Times New Roman"/>
          <w:b/>
          <w:sz w:val="24"/>
          <w:szCs w:val="24"/>
        </w:rPr>
      </w:pPr>
      <w:r w:rsidRPr="00A72FBE">
        <w:rPr>
          <w:rFonts w:ascii="Times New Roman" w:hAnsi="Times New Roman" w:cs="Times New Roman"/>
          <w:b/>
          <w:sz w:val="24"/>
          <w:szCs w:val="24"/>
        </w:rPr>
        <w:t>ESTIMATED ANNUALIZED COST TO FEDERAL GOVERNMENT</w:t>
      </w:r>
    </w:p>
    <w:p w14:paraId="599466F4" w14:textId="77777777" w:rsidR="00225876" w:rsidRDefault="00225876" w:rsidP="009B1BB4">
      <w:pPr>
        <w:spacing w:after="0"/>
        <w:rPr>
          <w:rFonts w:ascii="Times New Roman" w:hAnsi="Times New Roman" w:cs="Times New Roman"/>
          <w:sz w:val="24"/>
          <w:szCs w:val="24"/>
        </w:rPr>
      </w:pPr>
    </w:p>
    <w:p w14:paraId="2D3E7BA1" w14:textId="0F7137F6" w:rsidR="00106E70" w:rsidRDefault="00F15EDB" w:rsidP="007C3586">
      <w:pPr>
        <w:spacing w:after="0"/>
        <w:ind w:firstLine="36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Pr>
          <w:rFonts w:ascii="Times New Roman" w:hAnsi="Times New Roman" w:cs="Times New Roman"/>
          <w:sz w:val="24"/>
          <w:szCs w:val="24"/>
        </w:rPr>
        <w:t>ment for FERC-</w:t>
      </w:r>
      <w:r w:rsidR="009B1BB4">
        <w:rPr>
          <w:rFonts w:ascii="Times New Roman" w:hAnsi="Times New Roman" w:cs="Times New Roman"/>
          <w:sz w:val="24"/>
          <w:szCs w:val="24"/>
        </w:rPr>
        <w:t>516</w:t>
      </w:r>
      <w:r w:rsidR="004C7D7E">
        <w:rPr>
          <w:rFonts w:ascii="Times New Roman" w:hAnsi="Times New Roman" w:cs="Times New Roman"/>
          <w:sz w:val="24"/>
          <w:szCs w:val="24"/>
        </w:rPr>
        <w:t>B</w:t>
      </w:r>
      <w:r w:rsidRPr="00630A34">
        <w:rPr>
          <w:rFonts w:ascii="Times New Roman" w:hAnsi="Times New Roman" w:cs="Times New Roman"/>
          <w:sz w:val="24"/>
          <w:szCs w:val="24"/>
        </w:rPr>
        <w:t xml:space="preserve"> as related</w:t>
      </w:r>
      <w:r w:rsidR="006969DA">
        <w:rPr>
          <w:rFonts w:ascii="Times New Roman" w:hAnsi="Times New Roman" w:cs="Times New Roman"/>
          <w:sz w:val="24"/>
          <w:szCs w:val="24"/>
        </w:rPr>
        <w:t xml:space="preserve"> to the requirements in the</w:t>
      </w:r>
      <w:r w:rsidR="00E94F67">
        <w:rPr>
          <w:rFonts w:ascii="Times New Roman" w:hAnsi="Times New Roman" w:cs="Times New Roman"/>
          <w:sz w:val="24"/>
          <w:szCs w:val="24"/>
        </w:rPr>
        <w:t xml:space="preserve"> revisions</w:t>
      </w:r>
      <w:r w:rsidRPr="00630A34">
        <w:rPr>
          <w:rFonts w:ascii="Times New Roman" w:hAnsi="Times New Roman" w:cs="Times New Roman"/>
          <w:sz w:val="24"/>
          <w:szCs w:val="24"/>
        </w:rPr>
        <w:t xml:space="preserve"> in </w:t>
      </w:r>
      <w:r w:rsidR="009B1BB4">
        <w:rPr>
          <w:rFonts w:ascii="Times New Roman" w:hAnsi="Times New Roman" w:cs="Times New Roman"/>
          <w:sz w:val="24"/>
          <w:szCs w:val="24"/>
        </w:rPr>
        <w:t>RM16-1</w:t>
      </w:r>
      <w:r>
        <w:rPr>
          <w:rFonts w:ascii="Times New Roman" w:hAnsi="Times New Roman" w:cs="Times New Roman"/>
          <w:sz w:val="24"/>
          <w:szCs w:val="24"/>
        </w:rPr>
        <w:t>-000</w:t>
      </w:r>
      <w:r w:rsidR="009B1BB4">
        <w:rPr>
          <w:rFonts w:ascii="Times New Roman" w:hAnsi="Times New Roman" w:cs="Times New Roman"/>
          <w:sz w:val="24"/>
          <w:szCs w:val="24"/>
        </w:rPr>
        <w:t>.</w:t>
      </w:r>
    </w:p>
    <w:p w14:paraId="511992EC" w14:textId="77777777" w:rsidR="00106E70" w:rsidRDefault="00106E70"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039B3" w:rsidRPr="00A276F5" w14:paraId="200CCCF3" w14:textId="77777777" w:rsidTr="007C150D">
        <w:tc>
          <w:tcPr>
            <w:tcW w:w="3182" w:type="dxa"/>
            <w:shd w:val="clear" w:color="auto" w:fill="CCCCCC"/>
          </w:tcPr>
          <w:p w14:paraId="5D2653DB" w14:textId="77777777" w:rsidR="006039B3" w:rsidRPr="00355D34" w:rsidRDefault="009B1BB4" w:rsidP="007C150D">
            <w:pPr>
              <w:spacing w:after="0" w:line="240" w:lineRule="auto"/>
              <w:rPr>
                <w:rFonts w:ascii="Times New Roman" w:hAnsi="Times New Roman" w:cs="Times New Roman"/>
                <w:b/>
                <w:sz w:val="24"/>
                <w:szCs w:val="24"/>
              </w:rPr>
            </w:pPr>
            <w:r>
              <w:rPr>
                <w:rFonts w:ascii="Times New Roman" w:hAnsi="Times New Roman" w:cs="Times New Roman"/>
                <w:b/>
                <w:sz w:val="24"/>
                <w:szCs w:val="24"/>
              </w:rPr>
              <w:t>FERC-516</w:t>
            </w:r>
            <w:r w:rsidR="004C7D7E">
              <w:rPr>
                <w:rFonts w:ascii="Times New Roman" w:hAnsi="Times New Roman" w:cs="Times New Roman"/>
                <w:b/>
                <w:sz w:val="24"/>
                <w:szCs w:val="24"/>
              </w:rPr>
              <w:t>B</w:t>
            </w:r>
          </w:p>
        </w:tc>
        <w:tc>
          <w:tcPr>
            <w:tcW w:w="3201" w:type="dxa"/>
            <w:shd w:val="clear" w:color="auto" w:fill="CCCCCC"/>
          </w:tcPr>
          <w:p w14:paraId="226BD685" w14:textId="77777777" w:rsidR="006039B3" w:rsidRPr="00A276F5" w:rsidRDefault="006039B3" w:rsidP="007C150D">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Number of Employees (FTEs)</w:t>
            </w:r>
          </w:p>
        </w:tc>
        <w:tc>
          <w:tcPr>
            <w:tcW w:w="2995" w:type="dxa"/>
            <w:shd w:val="clear" w:color="auto" w:fill="CCCCCC"/>
          </w:tcPr>
          <w:p w14:paraId="1E117D9E" w14:textId="77777777" w:rsidR="006039B3" w:rsidRPr="00A276F5" w:rsidRDefault="006039B3" w:rsidP="007C150D">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6039B3" w:rsidRPr="00A276F5" w14:paraId="2BC0BCB4" w14:textId="77777777" w:rsidTr="007C150D">
        <w:tc>
          <w:tcPr>
            <w:tcW w:w="3182" w:type="dxa"/>
            <w:shd w:val="clear" w:color="auto" w:fill="auto"/>
          </w:tcPr>
          <w:p w14:paraId="261F42BF" w14:textId="39DB4C06" w:rsidR="006039B3" w:rsidRPr="00A276F5" w:rsidRDefault="009B1BB4" w:rsidP="007C150D">
            <w:pPr>
              <w:spacing w:after="0" w:line="240" w:lineRule="auto"/>
              <w:rPr>
                <w:rFonts w:ascii="Times New Roman" w:hAnsi="Times New Roman" w:cs="Times New Roman"/>
                <w:sz w:val="24"/>
                <w:szCs w:val="24"/>
              </w:rPr>
            </w:pPr>
            <w:r>
              <w:rPr>
                <w:rFonts w:ascii="Times New Roman" w:hAnsi="Times New Roman" w:cs="Times New Roman"/>
                <w:sz w:val="24"/>
                <w:szCs w:val="24"/>
              </w:rPr>
              <w:t>FERC-516</w:t>
            </w:r>
            <w:r w:rsidR="004C7D7E">
              <w:rPr>
                <w:rFonts w:ascii="Times New Roman" w:hAnsi="Times New Roman" w:cs="Times New Roman"/>
                <w:sz w:val="24"/>
                <w:szCs w:val="24"/>
              </w:rPr>
              <w:t>B</w:t>
            </w:r>
            <w:r w:rsidR="00F15EDB">
              <w:rPr>
                <w:rFonts w:ascii="Times New Roman" w:hAnsi="Times New Roman" w:cs="Times New Roman"/>
                <w:sz w:val="24"/>
                <w:szCs w:val="24"/>
              </w:rPr>
              <w:t xml:space="preserve"> </w:t>
            </w:r>
            <w:r w:rsidR="006039B3" w:rsidRPr="00A276F5">
              <w:rPr>
                <w:rFonts w:ascii="Times New Roman" w:hAnsi="Times New Roman" w:cs="Times New Roman"/>
                <w:sz w:val="24"/>
                <w:szCs w:val="24"/>
              </w:rPr>
              <w:t>Analysis and Processing of filings</w:t>
            </w:r>
            <w:r w:rsidR="00C1452E">
              <w:rPr>
                <w:rStyle w:val="FootnoteReference"/>
                <w:rFonts w:ascii="Times New Roman" w:hAnsi="Times New Roman"/>
                <w:sz w:val="24"/>
                <w:szCs w:val="24"/>
                <w:vertAlign w:val="superscript"/>
              </w:rPr>
              <w:footnoteReference w:id="6"/>
            </w:r>
          </w:p>
        </w:tc>
        <w:tc>
          <w:tcPr>
            <w:tcW w:w="3201" w:type="dxa"/>
            <w:tcBorders>
              <w:bottom w:val="single" w:sz="4" w:space="0" w:color="auto"/>
            </w:tcBorders>
            <w:shd w:val="clear" w:color="auto" w:fill="auto"/>
            <w:vAlign w:val="center"/>
          </w:tcPr>
          <w:p w14:paraId="18506345" w14:textId="77777777" w:rsidR="006039B3" w:rsidRPr="00A276F5" w:rsidRDefault="000C7505"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r w:rsidR="0021079B">
              <w:rPr>
                <w:rFonts w:ascii="Times New Roman" w:hAnsi="Times New Roman" w:cs="Times New Roman"/>
                <w:sz w:val="24"/>
                <w:szCs w:val="24"/>
              </w:rPr>
              <w:t>.5</w:t>
            </w:r>
          </w:p>
        </w:tc>
        <w:tc>
          <w:tcPr>
            <w:tcW w:w="2995" w:type="dxa"/>
            <w:shd w:val="clear" w:color="auto" w:fill="auto"/>
            <w:vAlign w:val="center"/>
          </w:tcPr>
          <w:p w14:paraId="5EFD0549" w14:textId="77777777" w:rsidR="006039B3" w:rsidRPr="00A276F5" w:rsidRDefault="00183963" w:rsidP="000C750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$74,745</w:t>
            </w:r>
          </w:p>
        </w:tc>
      </w:tr>
      <w:tr w:rsidR="006039B3" w:rsidRPr="00A276F5" w14:paraId="162B8803" w14:textId="77777777" w:rsidTr="007C150D">
        <w:tc>
          <w:tcPr>
            <w:tcW w:w="3182" w:type="dxa"/>
            <w:shd w:val="clear" w:color="auto" w:fill="auto"/>
          </w:tcPr>
          <w:p w14:paraId="1C14108C" w14:textId="77777777" w:rsidR="006039B3" w:rsidRPr="00A276F5" w:rsidRDefault="006039B3" w:rsidP="007C150D">
            <w:pPr>
              <w:spacing w:after="0" w:line="240" w:lineRule="auto"/>
              <w:rPr>
                <w:rFonts w:ascii="Times New Roman" w:hAnsi="Times New Roman" w:cs="Times New Roman"/>
                <w:sz w:val="24"/>
                <w:szCs w:val="24"/>
              </w:rPr>
            </w:pPr>
            <w:r>
              <w:rPr>
                <w:rFonts w:ascii="Times New Roman" w:hAnsi="Times New Roman" w:cs="Times New Roman"/>
                <w:sz w:val="24"/>
                <w:szCs w:val="24"/>
              </w:rPr>
              <w:t>Paperwork Reduction Act Administrative Cost</w:t>
            </w:r>
            <w:bookmarkStart w:id="1" w:name="_Ref389748397"/>
            <w:r w:rsidRPr="00AE5B29">
              <w:rPr>
                <w:rFonts w:ascii="Times New Roman" w:eastAsia="Times New Roman" w:hAnsi="Times New Roman" w:cs="Times New Roman"/>
                <w:sz w:val="24"/>
                <w:szCs w:val="24"/>
                <w:vertAlign w:val="superscript"/>
              </w:rPr>
              <w:footnoteReference w:id="7"/>
            </w:r>
            <w:bookmarkEnd w:id="1"/>
          </w:p>
        </w:tc>
        <w:tc>
          <w:tcPr>
            <w:tcW w:w="3201" w:type="dxa"/>
            <w:shd w:val="clear" w:color="auto" w:fill="D9D9D9" w:themeFill="background1" w:themeFillShade="D9"/>
            <w:vAlign w:val="center"/>
          </w:tcPr>
          <w:p w14:paraId="48CB8574" w14:textId="77777777" w:rsidR="006039B3" w:rsidRPr="00A276F5" w:rsidRDefault="006039B3" w:rsidP="007C150D">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42CB8EA1" w14:textId="77777777" w:rsidR="006039B3" w:rsidRPr="00A276F5" w:rsidRDefault="006039B3" w:rsidP="007C15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F15EDB">
              <w:rPr>
                <w:rFonts w:ascii="Times New Roman" w:hAnsi="Times New Roman" w:cs="Times New Roman"/>
                <w:sz w:val="24"/>
                <w:szCs w:val="24"/>
              </w:rPr>
              <w:t>5,193</w:t>
            </w:r>
          </w:p>
        </w:tc>
      </w:tr>
      <w:tr w:rsidR="00F03087" w:rsidRPr="00A276F5" w14:paraId="75B98D51" w14:textId="77777777" w:rsidTr="007C150D">
        <w:tc>
          <w:tcPr>
            <w:tcW w:w="3182" w:type="dxa"/>
            <w:shd w:val="clear" w:color="auto" w:fill="auto"/>
          </w:tcPr>
          <w:p w14:paraId="1F0DA68C" w14:textId="77777777" w:rsidR="00F03087" w:rsidRDefault="00F03087" w:rsidP="007C150D">
            <w:pPr>
              <w:spacing w:after="0" w:line="240" w:lineRule="auto"/>
              <w:rPr>
                <w:rFonts w:ascii="Times New Roman" w:hAnsi="Times New Roman" w:cs="Times New Roman"/>
                <w:sz w:val="24"/>
                <w:szCs w:val="24"/>
              </w:rPr>
            </w:pPr>
            <w:r>
              <w:rPr>
                <w:rFonts w:ascii="Times New Roman" w:hAnsi="Times New Roman" w:cs="Times New Roman"/>
                <w:sz w:val="24"/>
                <w:szCs w:val="24"/>
              </w:rPr>
              <w:t>TOTAL</w:t>
            </w:r>
          </w:p>
        </w:tc>
        <w:tc>
          <w:tcPr>
            <w:tcW w:w="3201" w:type="dxa"/>
            <w:shd w:val="clear" w:color="auto" w:fill="D9D9D9" w:themeFill="background1" w:themeFillShade="D9"/>
            <w:vAlign w:val="center"/>
          </w:tcPr>
          <w:p w14:paraId="69BAF8F6" w14:textId="77777777" w:rsidR="00F03087" w:rsidRPr="00A276F5" w:rsidRDefault="00F03087" w:rsidP="007C150D">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44EDE6BC" w14:textId="77777777" w:rsidR="00F03087" w:rsidRDefault="00183963" w:rsidP="000C750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$79,938</w:t>
            </w:r>
          </w:p>
        </w:tc>
      </w:tr>
    </w:tbl>
    <w:p w14:paraId="6A6F4027" w14:textId="77777777" w:rsidR="00A276F5" w:rsidRDefault="00A276F5" w:rsidP="00A276F5">
      <w:pPr>
        <w:spacing w:after="0"/>
        <w:rPr>
          <w:rFonts w:ascii="Times New Roman" w:hAnsi="Times New Roman" w:cs="Times New Roman"/>
          <w:sz w:val="24"/>
          <w:szCs w:val="24"/>
        </w:rPr>
      </w:pPr>
    </w:p>
    <w:p w14:paraId="48FD0F61" w14:textId="77777777" w:rsidR="00426496" w:rsidRDefault="00426496" w:rsidP="00A276F5">
      <w:pPr>
        <w:spacing w:after="0"/>
        <w:rPr>
          <w:rFonts w:ascii="Times New Roman" w:hAnsi="Times New Roman" w:cs="Times New Roman"/>
          <w:sz w:val="24"/>
          <w:szCs w:val="24"/>
        </w:rPr>
      </w:pPr>
    </w:p>
    <w:p w14:paraId="2F43D5B4"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586A2F95" w14:textId="77777777" w:rsidR="008D36D0" w:rsidRDefault="008D36D0" w:rsidP="00B06C05">
      <w:pPr>
        <w:spacing w:after="0"/>
        <w:rPr>
          <w:rFonts w:ascii="Times New Roman" w:hAnsi="Times New Roman" w:cs="Times New Roman"/>
          <w:b/>
          <w:sz w:val="24"/>
          <w:szCs w:val="24"/>
        </w:rPr>
      </w:pPr>
    </w:p>
    <w:p w14:paraId="7CB0551F" w14:textId="0CA1BCE5" w:rsidR="008D36D0" w:rsidRPr="008D36D0" w:rsidRDefault="00F879BD" w:rsidP="00E94F67">
      <w:pPr>
        <w:spacing w:after="0"/>
        <w:ind w:firstLine="360"/>
        <w:rPr>
          <w:rFonts w:ascii="Times New Roman" w:hAnsi="Times New Roman" w:cs="Times New Roman"/>
          <w:sz w:val="24"/>
          <w:szCs w:val="24"/>
        </w:rPr>
      </w:pPr>
      <w:r>
        <w:rPr>
          <w:rFonts w:ascii="Times New Roman" w:hAnsi="Times New Roman" w:cs="Times New Roman"/>
          <w:sz w:val="24"/>
          <w:szCs w:val="24"/>
        </w:rPr>
        <w:lastRenderedPageBreak/>
        <w:t>The</w:t>
      </w:r>
      <w:r w:rsidR="00E94F67">
        <w:rPr>
          <w:rFonts w:ascii="Times New Roman" w:hAnsi="Times New Roman" w:cs="Times New Roman"/>
          <w:sz w:val="24"/>
          <w:szCs w:val="24"/>
        </w:rPr>
        <w:t xml:space="preserve"> revisions</w:t>
      </w:r>
      <w:r w:rsidR="005B3AC8">
        <w:rPr>
          <w:rFonts w:ascii="Times New Roman" w:hAnsi="Times New Roman" w:cs="Times New Roman"/>
          <w:sz w:val="24"/>
          <w:szCs w:val="24"/>
        </w:rPr>
        <w:t xml:space="preserve"> i</w:t>
      </w:r>
      <w:r w:rsidR="00E94F67">
        <w:rPr>
          <w:rFonts w:ascii="Times New Roman" w:hAnsi="Times New Roman" w:cs="Times New Roman"/>
          <w:sz w:val="24"/>
          <w:szCs w:val="24"/>
        </w:rPr>
        <w:t>n</w:t>
      </w:r>
      <w:r w:rsidR="005B3AC8">
        <w:rPr>
          <w:rFonts w:ascii="Times New Roman" w:hAnsi="Times New Roman" w:cs="Times New Roman"/>
          <w:sz w:val="24"/>
          <w:szCs w:val="24"/>
        </w:rPr>
        <w:t xml:space="preserve"> RM16-1-000</w:t>
      </w:r>
      <w:r w:rsidR="005B3AC8" w:rsidRPr="00163BD2">
        <w:rPr>
          <w:rFonts w:ascii="Times New Roman" w:hAnsi="Times New Roman" w:cs="Times New Roman"/>
          <w:sz w:val="24"/>
          <w:szCs w:val="24"/>
        </w:rPr>
        <w:t xml:space="preserve"> would require filings of </w:t>
      </w:r>
      <w:r w:rsidR="005B3AC8" w:rsidRPr="00163BD2">
        <w:rPr>
          <w:rFonts w:ascii="Times New Roman" w:hAnsi="Times New Roman" w:cs="Times New Roman"/>
          <w:i/>
          <w:sz w:val="24"/>
          <w:szCs w:val="24"/>
        </w:rPr>
        <w:t>pro forma</w:t>
      </w:r>
      <w:r w:rsidR="005B3AC8" w:rsidRPr="00163BD2">
        <w:rPr>
          <w:rFonts w:ascii="Times New Roman" w:hAnsi="Times New Roman" w:cs="Times New Roman"/>
          <w:sz w:val="24"/>
          <w:szCs w:val="24"/>
        </w:rPr>
        <w:t xml:space="preserve"> LGIAs and </w:t>
      </w:r>
      <w:r w:rsidR="005B3AC8" w:rsidRPr="00163BD2">
        <w:rPr>
          <w:rFonts w:ascii="Times New Roman" w:hAnsi="Times New Roman" w:cs="Times New Roman"/>
          <w:i/>
          <w:sz w:val="24"/>
          <w:szCs w:val="24"/>
        </w:rPr>
        <w:t>pro forma</w:t>
      </w:r>
      <w:r w:rsidR="005B3AC8" w:rsidRPr="00163BD2">
        <w:rPr>
          <w:rFonts w:ascii="Times New Roman" w:hAnsi="Times New Roman" w:cs="Times New Roman"/>
          <w:sz w:val="24"/>
          <w:szCs w:val="24"/>
        </w:rPr>
        <w:t xml:space="preserve"> </w:t>
      </w:r>
      <w:r w:rsidR="005B3AC8">
        <w:rPr>
          <w:rFonts w:ascii="Times New Roman" w:hAnsi="Times New Roman" w:cs="Times New Roman"/>
          <w:sz w:val="24"/>
          <w:szCs w:val="24"/>
        </w:rPr>
        <w:t xml:space="preserve">SGIAs with the Commission.  </w:t>
      </w:r>
      <w:r w:rsidR="005B3AC8" w:rsidRPr="00163BD2">
        <w:rPr>
          <w:rFonts w:ascii="Times New Roman" w:hAnsi="Times New Roman" w:cs="Times New Roman"/>
          <w:sz w:val="24"/>
          <w:szCs w:val="24"/>
        </w:rPr>
        <w:t>Commission</w:t>
      </w:r>
      <w:r w:rsidR="005B3AC8">
        <w:rPr>
          <w:rFonts w:ascii="Times New Roman" w:hAnsi="Times New Roman" w:cs="Times New Roman"/>
          <w:sz w:val="24"/>
          <w:szCs w:val="24"/>
        </w:rPr>
        <w:t xml:space="preserve"> staff</w:t>
      </w:r>
      <w:r>
        <w:rPr>
          <w:rFonts w:ascii="Times New Roman" w:hAnsi="Times New Roman" w:cs="Times New Roman"/>
          <w:sz w:val="24"/>
          <w:szCs w:val="24"/>
        </w:rPr>
        <w:t xml:space="preserve"> anticipates the reforms approved</w:t>
      </w:r>
      <w:r w:rsidR="001C0782">
        <w:rPr>
          <w:rFonts w:ascii="Times New Roman" w:hAnsi="Times New Roman" w:cs="Times New Roman"/>
          <w:sz w:val="24"/>
          <w:szCs w:val="24"/>
        </w:rPr>
        <w:t xml:space="preserve"> </w:t>
      </w:r>
      <w:r w:rsidR="00E94F67">
        <w:rPr>
          <w:rFonts w:ascii="Times New Roman" w:hAnsi="Times New Roman" w:cs="Times New Roman"/>
          <w:sz w:val="24"/>
          <w:szCs w:val="24"/>
        </w:rPr>
        <w:t>here</w:t>
      </w:r>
      <w:r w:rsidR="005B3AC8" w:rsidRPr="00163BD2">
        <w:rPr>
          <w:rFonts w:ascii="Times New Roman" w:hAnsi="Times New Roman" w:cs="Times New Roman"/>
          <w:sz w:val="24"/>
          <w:szCs w:val="24"/>
        </w:rPr>
        <w:t>, once implemented, would not significantly change currently existing burdens on an ongoing basis</w:t>
      </w:r>
      <w:r w:rsidR="001C0782">
        <w:rPr>
          <w:rFonts w:ascii="Times New Roman" w:hAnsi="Times New Roman" w:cs="Times New Roman"/>
          <w:sz w:val="24"/>
          <w:szCs w:val="24"/>
        </w:rPr>
        <w:t xml:space="preserve">.  </w:t>
      </w:r>
    </w:p>
    <w:p w14:paraId="13BE78FB" w14:textId="77777777" w:rsidR="003C7A26" w:rsidRDefault="003C7A26" w:rsidP="003C7A26">
      <w:pPr>
        <w:spacing w:after="0"/>
        <w:rPr>
          <w:rFonts w:ascii="Times New Roman" w:hAnsi="Times New Roman" w:cs="Times New Roman"/>
          <w:sz w:val="24"/>
          <w:szCs w:val="24"/>
        </w:rPr>
      </w:pPr>
    </w:p>
    <w:p w14:paraId="0D33EC42" w14:textId="67A4BBA4" w:rsidR="003C7A26" w:rsidRDefault="003C7A26" w:rsidP="003C7A26">
      <w:pPr>
        <w:spacing w:after="0"/>
        <w:ind w:firstLine="360"/>
        <w:rPr>
          <w:rFonts w:ascii="Times New Roman" w:hAnsi="Times New Roman" w:cs="Times New Roman"/>
          <w:sz w:val="24"/>
          <w:szCs w:val="24"/>
        </w:rPr>
      </w:pPr>
      <w:r>
        <w:rPr>
          <w:rFonts w:ascii="Times New Roman" w:hAnsi="Times New Roman" w:cs="Times New Roman"/>
          <w:sz w:val="24"/>
          <w:szCs w:val="24"/>
        </w:rPr>
        <w:t xml:space="preserve">As mentioned before, </w:t>
      </w:r>
      <w:r w:rsidR="00E75286">
        <w:rPr>
          <w:rFonts w:ascii="Times New Roman" w:hAnsi="Times New Roman" w:cs="Times New Roman"/>
          <w:sz w:val="24"/>
          <w:szCs w:val="24"/>
        </w:rPr>
        <w:t>t</w:t>
      </w:r>
      <w:r>
        <w:rPr>
          <w:rFonts w:ascii="Times New Roman" w:hAnsi="Times New Roman" w:cs="Times New Roman"/>
          <w:sz w:val="24"/>
          <w:szCs w:val="24"/>
        </w:rPr>
        <w:t>he FERC-516B is a temporary information collection</w:t>
      </w:r>
      <w:r w:rsidR="0027214A">
        <w:rPr>
          <w:rFonts w:ascii="Times New Roman" w:hAnsi="Times New Roman" w:cs="Times New Roman"/>
          <w:sz w:val="24"/>
          <w:szCs w:val="24"/>
        </w:rPr>
        <w:t xml:space="preserve"> number</w:t>
      </w:r>
      <w:r>
        <w:rPr>
          <w:rFonts w:ascii="Times New Roman" w:hAnsi="Times New Roman" w:cs="Times New Roman"/>
          <w:sz w:val="24"/>
          <w:szCs w:val="24"/>
        </w:rPr>
        <w:t xml:space="preserve">.  It was created to facilitate a </w:t>
      </w:r>
      <w:r w:rsidR="00195A98">
        <w:rPr>
          <w:rFonts w:ascii="Times New Roman" w:hAnsi="Times New Roman" w:cs="Times New Roman"/>
          <w:sz w:val="24"/>
          <w:szCs w:val="24"/>
        </w:rPr>
        <w:t xml:space="preserve">timely </w:t>
      </w:r>
      <w:r>
        <w:rPr>
          <w:rFonts w:ascii="Times New Roman" w:hAnsi="Times New Roman" w:cs="Times New Roman"/>
          <w:sz w:val="24"/>
          <w:szCs w:val="24"/>
        </w:rPr>
        <w:t>submission to OMB</w:t>
      </w:r>
    </w:p>
    <w:p w14:paraId="1BFB66DC" w14:textId="77777777" w:rsidR="008D36D0" w:rsidRDefault="008D36D0" w:rsidP="003C7A26">
      <w:pPr>
        <w:spacing w:after="0"/>
        <w:rPr>
          <w:rFonts w:ascii="Times New Roman" w:hAnsi="Times New Roman" w:cs="Times New Roman"/>
          <w:sz w:val="24"/>
          <w:szCs w:val="24"/>
        </w:rPr>
      </w:pPr>
    </w:p>
    <w:p w14:paraId="738ED8A2" w14:textId="77777777" w:rsidR="00AE13B7" w:rsidRDefault="00AE13B7" w:rsidP="00AE13B7">
      <w:pPr>
        <w:spacing w:after="0"/>
        <w:rPr>
          <w:rFonts w:ascii="Times New Roman" w:hAnsi="Times New Roman" w:cs="Times New Roman"/>
          <w:sz w:val="24"/>
          <w:szCs w:val="24"/>
        </w:rPr>
      </w:pPr>
    </w:p>
    <w:p w14:paraId="66126D69" w14:textId="77777777" w:rsidR="00AE13B7" w:rsidRDefault="00AE13B7" w:rsidP="00AE13B7">
      <w:pPr>
        <w:spacing w:after="0"/>
        <w:rPr>
          <w:rFonts w:ascii="Times New Roman" w:hAnsi="Times New Roman" w:cs="Times New Roman"/>
          <w:sz w:val="24"/>
          <w:szCs w:val="24"/>
        </w:rPr>
      </w:pPr>
    </w:p>
    <w:p w14:paraId="6BFC3427" w14:textId="77777777" w:rsidR="00AE13B7" w:rsidRDefault="00AE13B7" w:rsidP="0038492E">
      <w:pPr>
        <w:spacing w:after="0"/>
        <w:rPr>
          <w:rFonts w:ascii="Times New Roman" w:hAnsi="Times New Roman" w:cs="Times New Roman"/>
          <w:sz w:val="24"/>
          <w:szCs w:val="24"/>
        </w:rPr>
      </w:pPr>
    </w:p>
    <w:p w14:paraId="4569A24C"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00840745" w14:textId="77777777" w:rsidR="00414F32" w:rsidRDefault="00414F32" w:rsidP="00414F32">
      <w:pPr>
        <w:spacing w:after="0"/>
        <w:rPr>
          <w:rFonts w:ascii="Times New Roman" w:hAnsi="Times New Roman" w:cs="Times New Roman"/>
          <w:sz w:val="24"/>
          <w:szCs w:val="24"/>
        </w:rPr>
      </w:pPr>
    </w:p>
    <w:p w14:paraId="64178462" w14:textId="77777777" w:rsidR="006039B3" w:rsidRPr="005F6467" w:rsidRDefault="006039B3" w:rsidP="00225876">
      <w:pPr>
        <w:spacing w:after="0"/>
        <w:ind w:firstLine="360"/>
        <w:rPr>
          <w:rFonts w:ascii="Times New Roman" w:hAnsi="Times New Roman" w:cs="Times New Roman"/>
          <w:sz w:val="24"/>
          <w:szCs w:val="24"/>
        </w:rPr>
      </w:pPr>
      <w:r w:rsidRPr="005F6467">
        <w:rPr>
          <w:rFonts w:ascii="Times New Roman" w:hAnsi="Times New Roman" w:cs="Times New Roman"/>
          <w:sz w:val="24"/>
          <w:szCs w:val="24"/>
        </w:rPr>
        <w:t xml:space="preserve">There are no tabulating, statistical or tabulating analysis or publication plans for the collection of information.  </w:t>
      </w:r>
    </w:p>
    <w:p w14:paraId="753E84C8" w14:textId="77777777" w:rsidR="00414F32" w:rsidRPr="00414F32" w:rsidRDefault="00414F32" w:rsidP="00414F32">
      <w:pPr>
        <w:spacing w:after="0"/>
        <w:rPr>
          <w:rFonts w:ascii="Times New Roman" w:hAnsi="Times New Roman" w:cs="Times New Roman"/>
          <w:sz w:val="24"/>
          <w:szCs w:val="24"/>
        </w:rPr>
      </w:pPr>
    </w:p>
    <w:p w14:paraId="7A78E882"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0B7CCD2C" w14:textId="77777777" w:rsidR="0051258E" w:rsidRDefault="0051258E" w:rsidP="009C0BA0">
      <w:pPr>
        <w:spacing w:after="0"/>
        <w:rPr>
          <w:rFonts w:ascii="Times New Roman" w:hAnsi="Times New Roman" w:cs="Times New Roman"/>
          <w:sz w:val="24"/>
          <w:szCs w:val="24"/>
        </w:rPr>
      </w:pPr>
    </w:p>
    <w:p w14:paraId="4DD7D3E5" w14:textId="77777777" w:rsidR="009C0BA0" w:rsidRDefault="009C0BA0" w:rsidP="00225876">
      <w:pPr>
        <w:spacing w:after="0"/>
        <w:ind w:firstLine="360"/>
        <w:rPr>
          <w:rFonts w:ascii="Times New Roman" w:hAnsi="Times New Roman" w:cs="Times New Roman"/>
          <w:sz w:val="24"/>
          <w:szCs w:val="24"/>
        </w:rPr>
      </w:pPr>
      <w:r>
        <w:rPr>
          <w:rFonts w:ascii="Times New Roman" w:hAnsi="Times New Roman" w:cs="Times New Roman"/>
          <w:sz w:val="24"/>
          <w:szCs w:val="24"/>
        </w:rPr>
        <w:t>The expiration date</w:t>
      </w:r>
      <w:r w:rsidR="00A57031">
        <w:rPr>
          <w:rFonts w:ascii="Times New Roman" w:hAnsi="Times New Roman" w:cs="Times New Roman"/>
          <w:sz w:val="24"/>
          <w:szCs w:val="24"/>
        </w:rPr>
        <w:t>s</w:t>
      </w:r>
      <w:r w:rsidRPr="00E84A39">
        <w:rPr>
          <w:rFonts w:ascii="Times New Roman" w:hAnsi="Times New Roman" w:cs="Times New Roman"/>
          <w:sz w:val="24"/>
          <w:szCs w:val="24"/>
        </w:rPr>
        <w:t xml:space="preserve"> </w:t>
      </w:r>
      <w:r w:rsidR="00A57031">
        <w:rPr>
          <w:rFonts w:ascii="Times New Roman" w:hAnsi="Times New Roman" w:cs="Times New Roman"/>
          <w:sz w:val="24"/>
          <w:szCs w:val="24"/>
        </w:rPr>
        <w:t>are</w:t>
      </w:r>
      <w:r w:rsidRPr="00E84A39">
        <w:rPr>
          <w:rFonts w:ascii="Times New Roman" w:hAnsi="Times New Roman" w:cs="Times New Roman"/>
          <w:sz w:val="24"/>
          <w:szCs w:val="24"/>
        </w:rPr>
        <w:t xml:space="preserve"> displayed </w:t>
      </w:r>
      <w:r>
        <w:rPr>
          <w:rFonts w:ascii="Times New Roman" w:hAnsi="Times New Roman" w:cs="Times New Roman"/>
          <w:sz w:val="24"/>
          <w:szCs w:val="24"/>
        </w:rPr>
        <w:t xml:space="preserve">in a table posted </w:t>
      </w:r>
      <w:r w:rsidRPr="00E84A39">
        <w:rPr>
          <w:rFonts w:ascii="Times New Roman" w:hAnsi="Times New Roman" w:cs="Times New Roman"/>
          <w:sz w:val="24"/>
          <w:szCs w:val="24"/>
        </w:rPr>
        <w:t xml:space="preserve">on ferc.gov </w:t>
      </w:r>
      <w:r>
        <w:rPr>
          <w:rFonts w:ascii="Times New Roman" w:hAnsi="Times New Roman" w:cs="Times New Roman"/>
          <w:sz w:val="24"/>
          <w:szCs w:val="24"/>
        </w:rPr>
        <w:t>at</w:t>
      </w:r>
      <w:r w:rsidRPr="00E84A39">
        <w:rPr>
          <w:rFonts w:ascii="Times New Roman" w:hAnsi="Times New Roman" w:cs="Times New Roman"/>
          <w:sz w:val="24"/>
          <w:szCs w:val="24"/>
        </w:rPr>
        <w:t xml:space="preserve"> </w:t>
      </w:r>
      <w:hyperlink r:id="rId12" w:history="1">
        <w:r w:rsidRPr="00E84A39">
          <w:rPr>
            <w:rStyle w:val="Hyperlink"/>
            <w:rFonts w:ascii="Times New Roman" w:hAnsi="Times New Roman" w:cs="Times New Roman"/>
            <w:sz w:val="24"/>
            <w:szCs w:val="24"/>
          </w:rPr>
          <w:t>http://www.ferc.gov/docs-filing/info-collections.asp</w:t>
        </w:r>
      </w:hyperlink>
      <w:r w:rsidRPr="00E84A39">
        <w:rPr>
          <w:rFonts w:ascii="Times New Roman" w:hAnsi="Times New Roman" w:cs="Times New Roman"/>
          <w:sz w:val="24"/>
          <w:szCs w:val="24"/>
        </w:rPr>
        <w:t>.</w:t>
      </w:r>
    </w:p>
    <w:p w14:paraId="6BE8D9E5" w14:textId="77777777" w:rsidR="009C0BA0" w:rsidRPr="00414F32" w:rsidRDefault="009C0BA0" w:rsidP="00414F32">
      <w:pPr>
        <w:spacing w:after="0"/>
        <w:rPr>
          <w:rFonts w:ascii="Times New Roman" w:hAnsi="Times New Roman" w:cs="Times New Roman"/>
          <w:sz w:val="24"/>
          <w:szCs w:val="24"/>
        </w:rPr>
      </w:pPr>
    </w:p>
    <w:p w14:paraId="5EFC20FF"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098ACBC1" w14:textId="77777777" w:rsidR="0057700F" w:rsidRDefault="0057700F" w:rsidP="0057700F">
      <w:pPr>
        <w:spacing w:after="0"/>
        <w:rPr>
          <w:rFonts w:ascii="Times New Roman" w:hAnsi="Times New Roman" w:cs="Times New Roman"/>
          <w:b/>
          <w:sz w:val="24"/>
          <w:szCs w:val="24"/>
        </w:rPr>
      </w:pPr>
    </w:p>
    <w:p w14:paraId="2CB75AEB" w14:textId="36679BE3" w:rsidR="006039B3" w:rsidRPr="005F6467" w:rsidRDefault="006039B3" w:rsidP="00225876">
      <w:pPr>
        <w:spacing w:after="0"/>
        <w:ind w:firstLine="360"/>
        <w:rPr>
          <w:rFonts w:ascii="Times New Roman" w:hAnsi="Times New Roman" w:cs="Times New Roman"/>
          <w:sz w:val="24"/>
          <w:szCs w:val="24"/>
        </w:rPr>
      </w:pPr>
      <w:r w:rsidRPr="005F6467">
        <w:rPr>
          <w:rFonts w:ascii="Times New Roman" w:hAnsi="Times New Roman" w:cs="Times New Roman"/>
          <w:sz w:val="24"/>
          <w:szCs w:val="24"/>
        </w:rPr>
        <w:t>The</w:t>
      </w:r>
      <w:r w:rsidR="00195A98">
        <w:rPr>
          <w:rFonts w:ascii="Times New Roman" w:hAnsi="Times New Roman" w:cs="Times New Roman"/>
          <w:sz w:val="24"/>
          <w:szCs w:val="24"/>
        </w:rPr>
        <w:t>re are no exceptions</w:t>
      </w:r>
      <w:r w:rsidR="0051258E">
        <w:rPr>
          <w:rFonts w:ascii="Times New Roman" w:hAnsi="Times New Roman" w:cs="Times New Roman"/>
          <w:sz w:val="24"/>
          <w:szCs w:val="24"/>
        </w:rPr>
        <w:t>.</w:t>
      </w:r>
    </w:p>
    <w:p w14:paraId="1127BEDE" w14:textId="77777777" w:rsidR="00414F32" w:rsidRPr="007A2F92" w:rsidRDefault="00414F32" w:rsidP="006039B3">
      <w:pPr>
        <w:tabs>
          <w:tab w:val="left" w:pos="915"/>
        </w:tabs>
        <w:spacing w:after="0"/>
        <w:rPr>
          <w:rFonts w:ascii="Times New Roman" w:hAnsi="Times New Roman" w:cs="Times New Roman"/>
          <w:sz w:val="24"/>
          <w:szCs w:val="24"/>
        </w:rPr>
      </w:pPr>
    </w:p>
    <w:sectPr w:rsidR="00414F32" w:rsidRPr="007A2F92" w:rsidSect="0078771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80742" w14:textId="77777777" w:rsidR="00A650D2" w:rsidRDefault="00A650D2" w:rsidP="00FD66F1">
      <w:pPr>
        <w:spacing w:after="0" w:line="240" w:lineRule="auto"/>
      </w:pPr>
      <w:r>
        <w:separator/>
      </w:r>
    </w:p>
  </w:endnote>
  <w:endnote w:type="continuationSeparator" w:id="0">
    <w:p w14:paraId="18071381" w14:textId="77777777" w:rsidR="00A650D2" w:rsidRDefault="00A650D2"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11206"/>
      <w:docPartObj>
        <w:docPartGallery w:val="Page Numbers (Bottom of Page)"/>
        <w:docPartUnique/>
      </w:docPartObj>
    </w:sdtPr>
    <w:sdtEndPr>
      <w:rPr>
        <w:rFonts w:ascii="Times New Roman" w:hAnsi="Times New Roman" w:cs="Times New Roman"/>
        <w:noProof/>
      </w:rPr>
    </w:sdtEndPr>
    <w:sdtContent>
      <w:p w14:paraId="4F3997DF" w14:textId="77777777" w:rsidR="000079E2" w:rsidRPr="001C6553" w:rsidRDefault="000079E2">
        <w:pPr>
          <w:pStyle w:val="Footer"/>
          <w:jc w:val="right"/>
          <w:rPr>
            <w:rFonts w:ascii="Times New Roman" w:hAnsi="Times New Roman" w:cs="Times New Roman"/>
          </w:rPr>
        </w:pPr>
        <w:r w:rsidRPr="001C6553">
          <w:rPr>
            <w:rFonts w:ascii="Times New Roman" w:hAnsi="Times New Roman" w:cs="Times New Roman"/>
          </w:rPr>
          <w:fldChar w:fldCharType="begin"/>
        </w:r>
        <w:r w:rsidRPr="001C6553">
          <w:rPr>
            <w:rFonts w:ascii="Times New Roman" w:hAnsi="Times New Roman" w:cs="Times New Roman"/>
          </w:rPr>
          <w:instrText xml:space="preserve"> PAGE   \* MERGEFORMAT </w:instrText>
        </w:r>
        <w:r w:rsidRPr="001C6553">
          <w:rPr>
            <w:rFonts w:ascii="Times New Roman" w:hAnsi="Times New Roman" w:cs="Times New Roman"/>
          </w:rPr>
          <w:fldChar w:fldCharType="separate"/>
        </w:r>
        <w:r w:rsidR="000C05CC">
          <w:rPr>
            <w:rFonts w:ascii="Times New Roman" w:hAnsi="Times New Roman" w:cs="Times New Roman"/>
            <w:noProof/>
          </w:rPr>
          <w:t>7</w:t>
        </w:r>
        <w:r w:rsidRPr="001C6553">
          <w:rPr>
            <w:rFonts w:ascii="Times New Roman" w:hAnsi="Times New Roman" w:cs="Times New Roman"/>
            <w:noProof/>
          </w:rPr>
          <w:fldChar w:fldCharType="end"/>
        </w:r>
      </w:p>
    </w:sdtContent>
  </w:sdt>
  <w:p w14:paraId="6F8431AE" w14:textId="77777777" w:rsidR="000079E2" w:rsidRDefault="000079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91D93" w14:textId="77777777" w:rsidR="00A650D2" w:rsidRDefault="00A650D2" w:rsidP="00FD66F1">
      <w:pPr>
        <w:spacing w:after="0" w:line="240" w:lineRule="auto"/>
      </w:pPr>
      <w:r>
        <w:separator/>
      </w:r>
    </w:p>
  </w:footnote>
  <w:footnote w:type="continuationSeparator" w:id="0">
    <w:p w14:paraId="1D7A9A1E" w14:textId="77777777" w:rsidR="00A650D2" w:rsidRDefault="00A650D2" w:rsidP="00FD66F1">
      <w:pPr>
        <w:spacing w:after="0" w:line="240" w:lineRule="auto"/>
      </w:pPr>
      <w:r>
        <w:continuationSeparator/>
      </w:r>
    </w:p>
  </w:footnote>
  <w:footnote w:id="1">
    <w:p w14:paraId="4644BB1E" w14:textId="72851613" w:rsidR="00AE450C" w:rsidRDefault="00AE450C">
      <w:pPr>
        <w:pStyle w:val="FootnoteText"/>
      </w:pPr>
      <w:r>
        <w:rPr>
          <w:rStyle w:val="FootnoteReference"/>
        </w:rPr>
        <w:footnoteRef/>
      </w:r>
      <w:r w:rsidR="008B72A0">
        <w:t xml:space="preserve"> ICR 201604-1902-003 (related to Docket PL15-3</w:t>
      </w:r>
      <w:r w:rsidR="00626413">
        <w:t>) was submitted to OMB on 5/26/2016</w:t>
      </w:r>
      <w:r>
        <w:t xml:space="preserve"> and </w:t>
      </w:r>
      <w:r w:rsidR="00626413">
        <w:t>is currently under OMB’s review.</w:t>
      </w:r>
      <w:r w:rsidR="00E11143">
        <w:t xml:space="preserve">  Please note that </w:t>
      </w:r>
      <w:r w:rsidR="00E11143" w:rsidRPr="00E11143">
        <w:t>ICR 201604-1902-003</w:t>
      </w:r>
      <w:r w:rsidR="00E11143">
        <w:t xml:space="preserve"> (for FERC-516 was approved by OMB on 8/16/2016</w:t>
      </w:r>
      <w:r w:rsidR="008D6735">
        <w:t>;</w:t>
      </w:r>
      <w:r w:rsidR="00E11143">
        <w:t xml:space="preserve"> this instant ICR </w:t>
      </w:r>
      <w:r w:rsidR="008D6735">
        <w:t xml:space="preserve">for FERC-516B in RM16-1 </w:t>
      </w:r>
      <w:r w:rsidR="00E11143">
        <w:t>was submitted for review</w:t>
      </w:r>
      <w:r w:rsidR="008D6735">
        <w:t xml:space="preserve"> on 6/29/2016</w:t>
      </w:r>
      <w:r w:rsidR="00E11143">
        <w:t>.</w:t>
      </w:r>
    </w:p>
  </w:footnote>
  <w:footnote w:id="2">
    <w:p w14:paraId="55CB3FA5" w14:textId="77777777" w:rsidR="00163BD2" w:rsidRDefault="00163BD2" w:rsidP="00163BD2">
      <w:pPr>
        <w:pStyle w:val="FootnoteText"/>
      </w:pPr>
      <w:r>
        <w:rPr>
          <w:rStyle w:val="FootnoteReference"/>
        </w:rPr>
        <w:footnoteRef/>
      </w:r>
      <w:r w:rsidR="001F7B41">
        <w:t xml:space="preserve"> 18 CFR 35.28(f)(1)</w:t>
      </w:r>
      <w:r>
        <w:t>.</w:t>
      </w:r>
    </w:p>
  </w:footnote>
  <w:footnote w:id="3">
    <w:p w14:paraId="71557D4C" w14:textId="77777777" w:rsidR="000079E2" w:rsidRPr="006B6D60" w:rsidRDefault="000079E2" w:rsidP="00C626FC">
      <w:pPr>
        <w:pStyle w:val="FootnoteText"/>
      </w:pPr>
      <w:r w:rsidRPr="006B6D60">
        <w:rPr>
          <w:rStyle w:val="FootnoteReference"/>
        </w:rPr>
        <w:footnoteRef/>
      </w:r>
      <w:r w:rsidRPr="006B6D60">
        <w:t xml:space="preserve"> </w:t>
      </w:r>
      <w:r w:rsidR="00D22ED9">
        <w:t>8.33</w:t>
      </w:r>
      <w:r w:rsidRPr="006B6D60">
        <w:t>% of affected entities</w:t>
      </w:r>
    </w:p>
  </w:footnote>
  <w:footnote w:id="4">
    <w:p w14:paraId="6BC67477" w14:textId="582E4512" w:rsidR="00E75286" w:rsidRDefault="00E75286">
      <w:pPr>
        <w:pStyle w:val="FootnoteText"/>
      </w:pPr>
      <w:r>
        <w:rPr>
          <w:rStyle w:val="FootnoteReference"/>
        </w:rPr>
        <w:footnoteRef/>
      </w:r>
      <w:r>
        <w:t xml:space="preserve"> </w:t>
      </w:r>
      <w:r w:rsidR="00BC4B77">
        <w:t>Currently, there was an unrelated package (in Docket PL15-3) pending OMB review under FERC-516.  Because only one item per OMB Control No. can be pending OMB review at a time, the reporting requirements in the NOPR in RM16-1 are being submitted to OMB for review under FERC-516B (a temporary ‘placeholder’ collection number, OMB Control No. to be determined).</w:t>
      </w:r>
      <w:r w:rsidRPr="00E75286">
        <w:t>.</w:t>
      </w:r>
    </w:p>
  </w:footnote>
  <w:footnote w:id="5">
    <w:p w14:paraId="02E1FD68" w14:textId="77777777" w:rsidR="00F879BD" w:rsidRDefault="00F879BD" w:rsidP="00F879BD">
      <w:pPr>
        <w:pStyle w:val="FootnoteText"/>
      </w:pPr>
      <w:r>
        <w:rPr>
          <w:rStyle w:val="FootnoteReference"/>
        </w:rPr>
        <w:footnoteRef/>
      </w:r>
      <w:r>
        <w:t xml:space="preserve"> Commission staff estimates that industry is similarly situated in terms of hourly cost (wages plus benefits).  Based on the Commission’s average cost (wages plus benefits) for 2015, $72/hour is used.</w:t>
      </w:r>
    </w:p>
  </w:footnote>
  <w:footnote w:id="6">
    <w:p w14:paraId="6A660798" w14:textId="5AE0C38F" w:rsidR="00C1452E" w:rsidRDefault="00C1452E" w:rsidP="00C1452E">
      <w:pPr>
        <w:spacing w:after="0" w:line="240" w:lineRule="auto"/>
        <w:rPr>
          <w:rFonts w:ascii="Times New Roman" w:hAnsi="Times New Roman" w:cs="Times New Roman"/>
          <w:sz w:val="20"/>
          <w:szCs w:val="20"/>
        </w:rPr>
      </w:pPr>
      <w:r w:rsidRPr="00C1452E">
        <w:rPr>
          <w:rStyle w:val="FootnoteReference"/>
          <w:rFonts w:ascii="Times New Roman" w:hAnsi="Times New Roman" w:cs="Times New Roman"/>
          <w:sz w:val="20"/>
          <w:szCs w:val="20"/>
        </w:rPr>
        <w:footnoteRef/>
      </w:r>
      <w:r w:rsidRPr="00C1452E">
        <w:rPr>
          <w:rFonts w:ascii="Times New Roman" w:hAnsi="Times New Roman" w:cs="Times New Roman"/>
          <w:sz w:val="20"/>
          <w:szCs w:val="20"/>
        </w:rPr>
        <w:t xml:space="preserve"> </w:t>
      </w:r>
      <w:r>
        <w:rPr>
          <w:rFonts w:ascii="Times New Roman" w:hAnsi="Times New Roman" w:cs="Times New Roman"/>
          <w:sz w:val="20"/>
          <w:szCs w:val="20"/>
        </w:rPr>
        <w:t>Based upon 2015 FTE average salary plus benefits ($149,489.00).</w:t>
      </w:r>
    </w:p>
  </w:footnote>
  <w:footnote w:id="7">
    <w:p w14:paraId="376EEF18" w14:textId="77777777" w:rsidR="000079E2" w:rsidRPr="00BD4A05" w:rsidRDefault="000079E2" w:rsidP="00CE0ACF">
      <w:pPr>
        <w:pStyle w:val="FootnoteText"/>
      </w:pPr>
      <w:r w:rsidRPr="00BD4A05">
        <w:rPr>
          <w:rStyle w:val="FootnoteReference"/>
        </w:rPr>
        <w:footnoteRef/>
      </w:r>
      <w:r>
        <w:t xml:space="preserve"> </w:t>
      </w:r>
      <w:r w:rsidRPr="00A72FBE">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w:t>
      </w:r>
      <w:r>
        <w:t>iated</w:t>
      </w:r>
      <w:r w:rsidR="006969DA">
        <w:t xml:space="preserve"> </w:t>
      </w:r>
      <w:r w:rsidR="00AC7F5B">
        <w:t>rulemakings (not just th</w:t>
      </w:r>
      <w:r w:rsidR="00E94F67">
        <w:t>ese proposed revisions</w:t>
      </w:r>
      <w:r w:rsidRPr="00A72FBE">
        <w:t>), and other changes to the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F16F7" w14:textId="096B645F" w:rsidR="000079E2" w:rsidRPr="00BD68B2" w:rsidRDefault="000079E2" w:rsidP="00D415EC">
    <w:pPr>
      <w:pStyle w:val="Header"/>
      <w:rPr>
        <w:rFonts w:ascii="Times New Roman" w:hAnsi="Times New Roman" w:cs="Times New Roman"/>
        <w:sz w:val="24"/>
        <w:szCs w:val="24"/>
      </w:rPr>
    </w:pPr>
    <w:r w:rsidRPr="00BD68B2">
      <w:rPr>
        <w:rFonts w:ascii="Times New Roman" w:hAnsi="Times New Roman" w:cs="Times New Roman"/>
        <w:sz w:val="24"/>
        <w:szCs w:val="24"/>
      </w:rPr>
      <w:t>FERC-</w:t>
    </w:r>
    <w:r w:rsidR="00664D96">
      <w:rPr>
        <w:rFonts w:ascii="Times New Roman" w:hAnsi="Times New Roman" w:cs="Times New Roman"/>
        <w:sz w:val="24"/>
        <w:szCs w:val="24"/>
      </w:rPr>
      <w:t>516</w:t>
    </w:r>
    <w:r w:rsidR="00B14FDB">
      <w:rPr>
        <w:rFonts w:ascii="Times New Roman" w:hAnsi="Times New Roman" w:cs="Times New Roman"/>
        <w:sz w:val="24"/>
        <w:szCs w:val="24"/>
      </w:rPr>
      <w:t>B (OMB Control No. 1902-0286</w:t>
    </w:r>
    <w:r w:rsidR="00D415EC">
      <w:rPr>
        <w:rFonts w:ascii="Times New Roman" w:hAnsi="Times New Roman" w:cs="Times New Roman"/>
        <w:sz w:val="24"/>
        <w:szCs w:val="24"/>
      </w:rPr>
      <w:t>)</w:t>
    </w:r>
    <w:r w:rsidRPr="00BD68B2">
      <w:rPr>
        <w:rFonts w:ascii="Times New Roman" w:hAnsi="Times New Roman" w:cs="Times New Roman"/>
        <w:sz w:val="24"/>
        <w:szCs w:val="24"/>
      </w:rPr>
      <w:t xml:space="preserve"> </w:t>
    </w:r>
  </w:p>
  <w:p w14:paraId="01310D2D" w14:textId="57614DA6" w:rsidR="000079E2" w:rsidRPr="00BD68B2" w:rsidRDefault="00432A89">
    <w:pPr>
      <w:pStyle w:val="Header"/>
      <w:rPr>
        <w:rFonts w:ascii="Times New Roman" w:hAnsi="Times New Roman" w:cs="Times New Roman"/>
        <w:sz w:val="24"/>
        <w:szCs w:val="24"/>
      </w:rPr>
    </w:pPr>
    <w:r>
      <w:rPr>
        <w:rFonts w:ascii="Times New Roman" w:hAnsi="Times New Roman" w:cs="Times New Roman"/>
        <w:sz w:val="24"/>
        <w:szCs w:val="24"/>
      </w:rPr>
      <w:t xml:space="preserve">as implemented by the </w:t>
    </w:r>
    <w:r w:rsidR="00B14FDB">
      <w:rPr>
        <w:rFonts w:ascii="Times New Roman" w:hAnsi="Times New Roman" w:cs="Times New Roman"/>
        <w:sz w:val="24"/>
        <w:szCs w:val="24"/>
      </w:rPr>
      <w:t>Final Rule</w:t>
    </w:r>
    <w:r w:rsidR="00D415EC">
      <w:rPr>
        <w:rFonts w:ascii="Times New Roman" w:hAnsi="Times New Roman" w:cs="Times New Roman"/>
        <w:sz w:val="24"/>
        <w:szCs w:val="24"/>
      </w:rPr>
      <w:t xml:space="preserve"> in Docket No. RM16-1-000</w:t>
    </w:r>
  </w:p>
  <w:p w14:paraId="2D527000" w14:textId="39EF754C" w:rsidR="000079E2" w:rsidRDefault="00B14FDB">
    <w:pPr>
      <w:pStyle w:val="Header"/>
      <w:rPr>
        <w:rFonts w:ascii="Times New Roman" w:hAnsi="Times New Roman" w:cs="Times New Roman"/>
        <w:sz w:val="24"/>
        <w:szCs w:val="24"/>
      </w:rPr>
    </w:pPr>
    <w:r>
      <w:rPr>
        <w:rFonts w:ascii="Times New Roman" w:hAnsi="Times New Roman" w:cs="Times New Roman"/>
        <w:sz w:val="24"/>
        <w:szCs w:val="24"/>
      </w:rPr>
      <w:t>RIN: 1902-AF15</w:t>
    </w:r>
  </w:p>
  <w:p w14:paraId="52AB2BB4" w14:textId="392B0268" w:rsidR="00E11143" w:rsidRDefault="000C05CC">
    <w:pPr>
      <w:pStyle w:val="Header"/>
      <w:rPr>
        <w:rFonts w:ascii="Times New Roman" w:hAnsi="Times New Roman" w:cs="Times New Roman"/>
        <w:sz w:val="24"/>
        <w:szCs w:val="24"/>
      </w:rPr>
    </w:pPr>
    <w:r>
      <w:rPr>
        <w:rFonts w:ascii="Times New Roman" w:hAnsi="Times New Roman" w:cs="Times New Roman"/>
        <w:sz w:val="24"/>
        <w:szCs w:val="24"/>
      </w:rPr>
      <w:t>(updated 9/21</w:t>
    </w:r>
    <w:r w:rsidR="00E11143">
      <w:rPr>
        <w:rFonts w:ascii="Times New Roman" w:hAnsi="Times New Roman" w:cs="Times New Roman"/>
        <w:sz w:val="24"/>
        <w:szCs w:val="24"/>
      </w:rPr>
      <w:t>/2016)</w:t>
    </w:r>
  </w:p>
  <w:p w14:paraId="4E9F710A" w14:textId="77777777" w:rsidR="000079E2" w:rsidRPr="00CB1A09" w:rsidRDefault="000079E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5025E"/>
    <w:multiLevelType w:val="hybridMultilevel"/>
    <w:tmpl w:val="FFFC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461C73"/>
    <w:multiLevelType w:val="hybridMultilevel"/>
    <w:tmpl w:val="22628C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F20194A"/>
    <w:multiLevelType w:val="hybridMultilevel"/>
    <w:tmpl w:val="9E92B7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 w15:restartNumberingAfterBreak="0">
    <w:nsid w:val="33440187"/>
    <w:multiLevelType w:val="hybridMultilevel"/>
    <w:tmpl w:val="675A58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7173D36"/>
    <w:multiLevelType w:val="hybridMultilevel"/>
    <w:tmpl w:val="07A48F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8F842BA"/>
    <w:multiLevelType w:val="hybridMultilevel"/>
    <w:tmpl w:val="31AE2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1410E28"/>
    <w:multiLevelType w:val="hybridMultilevel"/>
    <w:tmpl w:val="9692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3C6417"/>
    <w:multiLevelType w:val="hybridMultilevel"/>
    <w:tmpl w:val="B8B21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CC1895"/>
    <w:multiLevelType w:val="hybridMultilevel"/>
    <w:tmpl w:val="B602E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0E2BFA"/>
    <w:multiLevelType w:val="hybridMultilevel"/>
    <w:tmpl w:val="BF12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E04CE2"/>
    <w:multiLevelType w:val="hybridMultilevel"/>
    <w:tmpl w:val="375C2302"/>
    <w:lvl w:ilvl="0" w:tplc="845424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FC2BDD"/>
    <w:multiLevelType w:val="hybridMultilevel"/>
    <w:tmpl w:val="08D4E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E4E4DD3"/>
    <w:multiLevelType w:val="hybridMultilevel"/>
    <w:tmpl w:val="7A5A3B30"/>
    <w:lvl w:ilvl="0" w:tplc="FFFFFFFF">
      <w:start w:val="1"/>
      <w:numFmt w:val="decimal"/>
      <w:pStyle w:val="FERCparanumber"/>
      <w:lvlText w:val="%1."/>
      <w:lvlJc w:val="left"/>
      <w:pPr>
        <w:tabs>
          <w:tab w:val="num" w:pos="1440"/>
        </w:tabs>
        <w:ind w:left="720" w:firstLine="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11"/>
  </w:num>
  <w:num w:numId="4">
    <w:abstractNumId w:val="13"/>
  </w:num>
  <w:num w:numId="5">
    <w:abstractNumId w:val="0"/>
  </w:num>
  <w:num w:numId="6">
    <w:abstractNumId w:val="12"/>
  </w:num>
  <w:num w:numId="7">
    <w:abstractNumId w:val="8"/>
  </w:num>
  <w:num w:numId="8">
    <w:abstractNumId w:val="7"/>
  </w:num>
  <w:num w:numId="9">
    <w:abstractNumId w:val="15"/>
  </w:num>
  <w:num w:numId="10">
    <w:abstractNumId w:val="14"/>
  </w:num>
  <w:num w:numId="11">
    <w:abstractNumId w:val="6"/>
  </w:num>
  <w:num w:numId="12">
    <w:abstractNumId w:val="2"/>
  </w:num>
  <w:num w:numId="13">
    <w:abstractNumId w:val="4"/>
  </w:num>
  <w:num w:numId="14">
    <w:abstractNumId w:val="5"/>
  </w:num>
  <w:num w:numId="15">
    <w:abstractNumId w:val="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F1"/>
    <w:rsid w:val="000018C4"/>
    <w:rsid w:val="000079E2"/>
    <w:rsid w:val="00011B32"/>
    <w:rsid w:val="000132AA"/>
    <w:rsid w:val="00017B48"/>
    <w:rsid w:val="00021DFC"/>
    <w:rsid w:val="0002242D"/>
    <w:rsid w:val="0002379E"/>
    <w:rsid w:val="0003005B"/>
    <w:rsid w:val="00032BCA"/>
    <w:rsid w:val="00035845"/>
    <w:rsid w:val="000465DF"/>
    <w:rsid w:val="000620A5"/>
    <w:rsid w:val="00067DBD"/>
    <w:rsid w:val="00073B4C"/>
    <w:rsid w:val="00074DC8"/>
    <w:rsid w:val="00083529"/>
    <w:rsid w:val="00085FB6"/>
    <w:rsid w:val="00090444"/>
    <w:rsid w:val="000974F6"/>
    <w:rsid w:val="000A727B"/>
    <w:rsid w:val="000B0C37"/>
    <w:rsid w:val="000B509C"/>
    <w:rsid w:val="000C05CC"/>
    <w:rsid w:val="000C3658"/>
    <w:rsid w:val="000C7505"/>
    <w:rsid w:val="000E4568"/>
    <w:rsid w:val="000F287D"/>
    <w:rsid w:val="000F2C1E"/>
    <w:rsid w:val="000F32F6"/>
    <w:rsid w:val="00105850"/>
    <w:rsid w:val="00106E70"/>
    <w:rsid w:val="00111FB8"/>
    <w:rsid w:val="00120AA4"/>
    <w:rsid w:val="00137FA4"/>
    <w:rsid w:val="00140877"/>
    <w:rsid w:val="00143103"/>
    <w:rsid w:val="0014557B"/>
    <w:rsid w:val="00152AAB"/>
    <w:rsid w:val="00154BF9"/>
    <w:rsid w:val="00156AFC"/>
    <w:rsid w:val="00160151"/>
    <w:rsid w:val="00163BD2"/>
    <w:rsid w:val="00166C01"/>
    <w:rsid w:val="00171755"/>
    <w:rsid w:val="00171EC1"/>
    <w:rsid w:val="00174598"/>
    <w:rsid w:val="00181727"/>
    <w:rsid w:val="00183963"/>
    <w:rsid w:val="00183F28"/>
    <w:rsid w:val="00185601"/>
    <w:rsid w:val="00185730"/>
    <w:rsid w:val="00187CCB"/>
    <w:rsid w:val="00195A98"/>
    <w:rsid w:val="001A2BDD"/>
    <w:rsid w:val="001B5B15"/>
    <w:rsid w:val="001C0782"/>
    <w:rsid w:val="001C6553"/>
    <w:rsid w:val="001C7724"/>
    <w:rsid w:val="001D34AB"/>
    <w:rsid w:val="001D5C01"/>
    <w:rsid w:val="001E06E8"/>
    <w:rsid w:val="001E3D20"/>
    <w:rsid w:val="001E6342"/>
    <w:rsid w:val="001F7B41"/>
    <w:rsid w:val="0021079B"/>
    <w:rsid w:val="00216CE8"/>
    <w:rsid w:val="00225876"/>
    <w:rsid w:val="0023529D"/>
    <w:rsid w:val="0023645D"/>
    <w:rsid w:val="002428B3"/>
    <w:rsid w:val="00242C12"/>
    <w:rsid w:val="00247D5A"/>
    <w:rsid w:val="00265562"/>
    <w:rsid w:val="0026674D"/>
    <w:rsid w:val="002670D0"/>
    <w:rsid w:val="0027214A"/>
    <w:rsid w:val="00284FF9"/>
    <w:rsid w:val="00291382"/>
    <w:rsid w:val="00294751"/>
    <w:rsid w:val="002B13E2"/>
    <w:rsid w:val="002C400E"/>
    <w:rsid w:val="002C4D0A"/>
    <w:rsid w:val="002D0BE1"/>
    <w:rsid w:val="002D3DE4"/>
    <w:rsid w:val="002D47D9"/>
    <w:rsid w:val="002D6225"/>
    <w:rsid w:val="002E0267"/>
    <w:rsid w:val="002E2A9F"/>
    <w:rsid w:val="002F138F"/>
    <w:rsid w:val="002F4DF8"/>
    <w:rsid w:val="002F7253"/>
    <w:rsid w:val="002F73D0"/>
    <w:rsid w:val="00300BAD"/>
    <w:rsid w:val="00306A6F"/>
    <w:rsid w:val="003072E2"/>
    <w:rsid w:val="0031325C"/>
    <w:rsid w:val="00327DFF"/>
    <w:rsid w:val="00331598"/>
    <w:rsid w:val="003374C1"/>
    <w:rsid w:val="00340E76"/>
    <w:rsid w:val="003538E4"/>
    <w:rsid w:val="003559FE"/>
    <w:rsid w:val="00355CED"/>
    <w:rsid w:val="003573A1"/>
    <w:rsid w:val="00363551"/>
    <w:rsid w:val="00366CB8"/>
    <w:rsid w:val="0038492E"/>
    <w:rsid w:val="00393D67"/>
    <w:rsid w:val="003A0FC2"/>
    <w:rsid w:val="003A6877"/>
    <w:rsid w:val="003A6DBE"/>
    <w:rsid w:val="003B24BA"/>
    <w:rsid w:val="003B5D69"/>
    <w:rsid w:val="003C031A"/>
    <w:rsid w:val="003C0C1E"/>
    <w:rsid w:val="003C7A26"/>
    <w:rsid w:val="0041251C"/>
    <w:rsid w:val="00414F32"/>
    <w:rsid w:val="00415D76"/>
    <w:rsid w:val="004237AB"/>
    <w:rsid w:val="00426496"/>
    <w:rsid w:val="00427D79"/>
    <w:rsid w:val="00430925"/>
    <w:rsid w:val="00432A89"/>
    <w:rsid w:val="00437F37"/>
    <w:rsid w:val="004611BD"/>
    <w:rsid w:val="00466BC1"/>
    <w:rsid w:val="00467326"/>
    <w:rsid w:val="0047331E"/>
    <w:rsid w:val="004744CC"/>
    <w:rsid w:val="00475B1A"/>
    <w:rsid w:val="00476526"/>
    <w:rsid w:val="004817EC"/>
    <w:rsid w:val="00484838"/>
    <w:rsid w:val="004866C0"/>
    <w:rsid w:val="00487D59"/>
    <w:rsid w:val="00491207"/>
    <w:rsid w:val="00491966"/>
    <w:rsid w:val="004A0357"/>
    <w:rsid w:val="004A7DE8"/>
    <w:rsid w:val="004B0AD7"/>
    <w:rsid w:val="004B2BD2"/>
    <w:rsid w:val="004C4C89"/>
    <w:rsid w:val="004C6C34"/>
    <w:rsid w:val="004C7D7E"/>
    <w:rsid w:val="004C7EEA"/>
    <w:rsid w:val="004D3526"/>
    <w:rsid w:val="004D6849"/>
    <w:rsid w:val="004E3B1B"/>
    <w:rsid w:val="004F2F9A"/>
    <w:rsid w:val="004F6977"/>
    <w:rsid w:val="0051258E"/>
    <w:rsid w:val="00513C86"/>
    <w:rsid w:val="00522F69"/>
    <w:rsid w:val="00524FE0"/>
    <w:rsid w:val="005269E0"/>
    <w:rsid w:val="0053150C"/>
    <w:rsid w:val="0053235A"/>
    <w:rsid w:val="0053287C"/>
    <w:rsid w:val="005406D1"/>
    <w:rsid w:val="00554389"/>
    <w:rsid w:val="00557B7A"/>
    <w:rsid w:val="00562F1B"/>
    <w:rsid w:val="005656AF"/>
    <w:rsid w:val="00571C5E"/>
    <w:rsid w:val="00576390"/>
    <w:rsid w:val="00576C6E"/>
    <w:rsid w:val="0057700F"/>
    <w:rsid w:val="00584DD5"/>
    <w:rsid w:val="00590498"/>
    <w:rsid w:val="00596FD0"/>
    <w:rsid w:val="005A219A"/>
    <w:rsid w:val="005A2792"/>
    <w:rsid w:val="005A2C6F"/>
    <w:rsid w:val="005B3AC8"/>
    <w:rsid w:val="005B6C12"/>
    <w:rsid w:val="005B77CE"/>
    <w:rsid w:val="005D0ABA"/>
    <w:rsid w:val="005D5ACE"/>
    <w:rsid w:val="005F1C3C"/>
    <w:rsid w:val="00602AD1"/>
    <w:rsid w:val="006039B3"/>
    <w:rsid w:val="00605E3A"/>
    <w:rsid w:val="00607E32"/>
    <w:rsid w:val="00615BC7"/>
    <w:rsid w:val="00616084"/>
    <w:rsid w:val="006166FA"/>
    <w:rsid w:val="00616930"/>
    <w:rsid w:val="00620BA9"/>
    <w:rsid w:val="00626413"/>
    <w:rsid w:val="0063302E"/>
    <w:rsid w:val="006434EE"/>
    <w:rsid w:val="00650BED"/>
    <w:rsid w:val="00652B0E"/>
    <w:rsid w:val="00660945"/>
    <w:rsid w:val="00662264"/>
    <w:rsid w:val="00664BC0"/>
    <w:rsid w:val="00664D96"/>
    <w:rsid w:val="006653E6"/>
    <w:rsid w:val="0067247B"/>
    <w:rsid w:val="00677629"/>
    <w:rsid w:val="00684C69"/>
    <w:rsid w:val="00685D44"/>
    <w:rsid w:val="00690047"/>
    <w:rsid w:val="00690136"/>
    <w:rsid w:val="006969DA"/>
    <w:rsid w:val="006A0DFC"/>
    <w:rsid w:val="006A5D19"/>
    <w:rsid w:val="006C454E"/>
    <w:rsid w:val="006C5490"/>
    <w:rsid w:val="006C7A01"/>
    <w:rsid w:val="006D36BD"/>
    <w:rsid w:val="006E22EF"/>
    <w:rsid w:val="00702D51"/>
    <w:rsid w:val="007034A7"/>
    <w:rsid w:val="00707FD5"/>
    <w:rsid w:val="00713351"/>
    <w:rsid w:val="00720524"/>
    <w:rsid w:val="00724F61"/>
    <w:rsid w:val="0072606E"/>
    <w:rsid w:val="00752956"/>
    <w:rsid w:val="0075784D"/>
    <w:rsid w:val="0076593E"/>
    <w:rsid w:val="00767AC7"/>
    <w:rsid w:val="00773AEB"/>
    <w:rsid w:val="007744DD"/>
    <w:rsid w:val="007801DB"/>
    <w:rsid w:val="00785CD2"/>
    <w:rsid w:val="00787670"/>
    <w:rsid w:val="00787716"/>
    <w:rsid w:val="007929E3"/>
    <w:rsid w:val="007A2F92"/>
    <w:rsid w:val="007A4977"/>
    <w:rsid w:val="007B701A"/>
    <w:rsid w:val="007C150D"/>
    <w:rsid w:val="007C3586"/>
    <w:rsid w:val="007C73AA"/>
    <w:rsid w:val="007E1621"/>
    <w:rsid w:val="007E7C0F"/>
    <w:rsid w:val="007F1015"/>
    <w:rsid w:val="007F1DE4"/>
    <w:rsid w:val="007F1F0F"/>
    <w:rsid w:val="007F261A"/>
    <w:rsid w:val="007F57C9"/>
    <w:rsid w:val="00801FA8"/>
    <w:rsid w:val="008038EF"/>
    <w:rsid w:val="00806297"/>
    <w:rsid w:val="00816F15"/>
    <w:rsid w:val="0082369C"/>
    <w:rsid w:val="008443F3"/>
    <w:rsid w:val="0085568F"/>
    <w:rsid w:val="00855942"/>
    <w:rsid w:val="00860A8C"/>
    <w:rsid w:val="00860E36"/>
    <w:rsid w:val="008619E1"/>
    <w:rsid w:val="00867AF1"/>
    <w:rsid w:val="0087357E"/>
    <w:rsid w:val="008737C7"/>
    <w:rsid w:val="00876F75"/>
    <w:rsid w:val="00884874"/>
    <w:rsid w:val="008936AE"/>
    <w:rsid w:val="00894644"/>
    <w:rsid w:val="008A21A4"/>
    <w:rsid w:val="008A4502"/>
    <w:rsid w:val="008B1F00"/>
    <w:rsid w:val="008B59AF"/>
    <w:rsid w:val="008B703B"/>
    <w:rsid w:val="008B72A0"/>
    <w:rsid w:val="008C0B89"/>
    <w:rsid w:val="008C17EA"/>
    <w:rsid w:val="008C288D"/>
    <w:rsid w:val="008C2B52"/>
    <w:rsid w:val="008C2D58"/>
    <w:rsid w:val="008C5283"/>
    <w:rsid w:val="008D04D3"/>
    <w:rsid w:val="008D2B5E"/>
    <w:rsid w:val="008D36D0"/>
    <w:rsid w:val="008D6735"/>
    <w:rsid w:val="008E70CD"/>
    <w:rsid w:val="008F4A0D"/>
    <w:rsid w:val="00900526"/>
    <w:rsid w:val="0090438A"/>
    <w:rsid w:val="00905C9A"/>
    <w:rsid w:val="00912D5F"/>
    <w:rsid w:val="00913A8B"/>
    <w:rsid w:val="00921394"/>
    <w:rsid w:val="00922B34"/>
    <w:rsid w:val="0092617B"/>
    <w:rsid w:val="0093427F"/>
    <w:rsid w:val="00934B37"/>
    <w:rsid w:val="00945E69"/>
    <w:rsid w:val="009513E9"/>
    <w:rsid w:val="00955E4E"/>
    <w:rsid w:val="009647B1"/>
    <w:rsid w:val="00970FE4"/>
    <w:rsid w:val="00976FC9"/>
    <w:rsid w:val="00985B16"/>
    <w:rsid w:val="00991A27"/>
    <w:rsid w:val="00996108"/>
    <w:rsid w:val="009A0A26"/>
    <w:rsid w:val="009B0EBE"/>
    <w:rsid w:val="009B1BB4"/>
    <w:rsid w:val="009B2C56"/>
    <w:rsid w:val="009B4D01"/>
    <w:rsid w:val="009B7FD3"/>
    <w:rsid w:val="009C0BA0"/>
    <w:rsid w:val="009D0FB7"/>
    <w:rsid w:val="009D11D9"/>
    <w:rsid w:val="009D1F21"/>
    <w:rsid w:val="009D20E5"/>
    <w:rsid w:val="009D4FE9"/>
    <w:rsid w:val="009D60DF"/>
    <w:rsid w:val="009D65D0"/>
    <w:rsid w:val="009E1190"/>
    <w:rsid w:val="009E4570"/>
    <w:rsid w:val="009E7228"/>
    <w:rsid w:val="009F18A7"/>
    <w:rsid w:val="009F2946"/>
    <w:rsid w:val="00A0495C"/>
    <w:rsid w:val="00A12B0C"/>
    <w:rsid w:val="00A14830"/>
    <w:rsid w:val="00A16E5C"/>
    <w:rsid w:val="00A26F9A"/>
    <w:rsid w:val="00A276F5"/>
    <w:rsid w:val="00A32B81"/>
    <w:rsid w:val="00A40174"/>
    <w:rsid w:val="00A414C8"/>
    <w:rsid w:val="00A47294"/>
    <w:rsid w:val="00A52089"/>
    <w:rsid w:val="00A57031"/>
    <w:rsid w:val="00A628FB"/>
    <w:rsid w:val="00A650D2"/>
    <w:rsid w:val="00A65F32"/>
    <w:rsid w:val="00A72E7B"/>
    <w:rsid w:val="00A72FBE"/>
    <w:rsid w:val="00A85D1D"/>
    <w:rsid w:val="00A94D22"/>
    <w:rsid w:val="00A95FD8"/>
    <w:rsid w:val="00A96B65"/>
    <w:rsid w:val="00A9704D"/>
    <w:rsid w:val="00AC17C5"/>
    <w:rsid w:val="00AC3997"/>
    <w:rsid w:val="00AC4B6A"/>
    <w:rsid w:val="00AC7F5B"/>
    <w:rsid w:val="00AD3DE5"/>
    <w:rsid w:val="00AE13B7"/>
    <w:rsid w:val="00AE450C"/>
    <w:rsid w:val="00AE5CB7"/>
    <w:rsid w:val="00AE78F5"/>
    <w:rsid w:val="00AF496D"/>
    <w:rsid w:val="00AF6C31"/>
    <w:rsid w:val="00B001D0"/>
    <w:rsid w:val="00B03585"/>
    <w:rsid w:val="00B0473A"/>
    <w:rsid w:val="00B06C05"/>
    <w:rsid w:val="00B07A81"/>
    <w:rsid w:val="00B13770"/>
    <w:rsid w:val="00B14FDB"/>
    <w:rsid w:val="00B222CC"/>
    <w:rsid w:val="00B22B6B"/>
    <w:rsid w:val="00B4148B"/>
    <w:rsid w:val="00B453B8"/>
    <w:rsid w:val="00B50450"/>
    <w:rsid w:val="00B659DD"/>
    <w:rsid w:val="00B66309"/>
    <w:rsid w:val="00B74D1B"/>
    <w:rsid w:val="00B81C6C"/>
    <w:rsid w:val="00B96C02"/>
    <w:rsid w:val="00B97CFB"/>
    <w:rsid w:val="00BA1C7D"/>
    <w:rsid w:val="00BA3D2F"/>
    <w:rsid w:val="00BA70F6"/>
    <w:rsid w:val="00BA7C56"/>
    <w:rsid w:val="00BB7B75"/>
    <w:rsid w:val="00BC2D53"/>
    <w:rsid w:val="00BC4B77"/>
    <w:rsid w:val="00BC5914"/>
    <w:rsid w:val="00BD3FCB"/>
    <w:rsid w:val="00BD49E7"/>
    <w:rsid w:val="00BD4A05"/>
    <w:rsid w:val="00BD55A6"/>
    <w:rsid w:val="00BD68B2"/>
    <w:rsid w:val="00BD73E2"/>
    <w:rsid w:val="00BE5048"/>
    <w:rsid w:val="00BF12D7"/>
    <w:rsid w:val="00BF30E3"/>
    <w:rsid w:val="00C01698"/>
    <w:rsid w:val="00C106E2"/>
    <w:rsid w:val="00C1452E"/>
    <w:rsid w:val="00C20553"/>
    <w:rsid w:val="00C2558A"/>
    <w:rsid w:val="00C303E3"/>
    <w:rsid w:val="00C32B18"/>
    <w:rsid w:val="00C3607B"/>
    <w:rsid w:val="00C36187"/>
    <w:rsid w:val="00C36924"/>
    <w:rsid w:val="00C403CE"/>
    <w:rsid w:val="00C510DD"/>
    <w:rsid w:val="00C53ADC"/>
    <w:rsid w:val="00C626FC"/>
    <w:rsid w:val="00C62B86"/>
    <w:rsid w:val="00C63540"/>
    <w:rsid w:val="00C70921"/>
    <w:rsid w:val="00C8575E"/>
    <w:rsid w:val="00C85AF9"/>
    <w:rsid w:val="00C909D1"/>
    <w:rsid w:val="00CA1F17"/>
    <w:rsid w:val="00CA2DC1"/>
    <w:rsid w:val="00CA495F"/>
    <w:rsid w:val="00CA5452"/>
    <w:rsid w:val="00CA59C3"/>
    <w:rsid w:val="00CB1A09"/>
    <w:rsid w:val="00CB7F1C"/>
    <w:rsid w:val="00CD3816"/>
    <w:rsid w:val="00CD7608"/>
    <w:rsid w:val="00CE0ACF"/>
    <w:rsid w:val="00CF1EFD"/>
    <w:rsid w:val="00CF5F7C"/>
    <w:rsid w:val="00CF7005"/>
    <w:rsid w:val="00D044B3"/>
    <w:rsid w:val="00D04F85"/>
    <w:rsid w:val="00D200A9"/>
    <w:rsid w:val="00D22039"/>
    <w:rsid w:val="00D22ED9"/>
    <w:rsid w:val="00D3758B"/>
    <w:rsid w:val="00D415EC"/>
    <w:rsid w:val="00D45440"/>
    <w:rsid w:val="00D45637"/>
    <w:rsid w:val="00D567C1"/>
    <w:rsid w:val="00D731E6"/>
    <w:rsid w:val="00D80FBD"/>
    <w:rsid w:val="00D84ED8"/>
    <w:rsid w:val="00D922BD"/>
    <w:rsid w:val="00D947A2"/>
    <w:rsid w:val="00DA0B78"/>
    <w:rsid w:val="00DA14A7"/>
    <w:rsid w:val="00DA408C"/>
    <w:rsid w:val="00DA6552"/>
    <w:rsid w:val="00DB2F90"/>
    <w:rsid w:val="00DB596C"/>
    <w:rsid w:val="00DC4E36"/>
    <w:rsid w:val="00DD0231"/>
    <w:rsid w:val="00DF5061"/>
    <w:rsid w:val="00E11143"/>
    <w:rsid w:val="00E11CA6"/>
    <w:rsid w:val="00E14565"/>
    <w:rsid w:val="00E14C03"/>
    <w:rsid w:val="00E15721"/>
    <w:rsid w:val="00E20612"/>
    <w:rsid w:val="00E35735"/>
    <w:rsid w:val="00E441A0"/>
    <w:rsid w:val="00E46CD9"/>
    <w:rsid w:val="00E531F6"/>
    <w:rsid w:val="00E608B6"/>
    <w:rsid w:val="00E636D7"/>
    <w:rsid w:val="00E75286"/>
    <w:rsid w:val="00E86C7F"/>
    <w:rsid w:val="00E87A4F"/>
    <w:rsid w:val="00E94F67"/>
    <w:rsid w:val="00E9687A"/>
    <w:rsid w:val="00E97801"/>
    <w:rsid w:val="00E97EA9"/>
    <w:rsid w:val="00EA53E8"/>
    <w:rsid w:val="00EA7DFD"/>
    <w:rsid w:val="00EB3E6F"/>
    <w:rsid w:val="00EB55CF"/>
    <w:rsid w:val="00EC19DF"/>
    <w:rsid w:val="00ED07CE"/>
    <w:rsid w:val="00ED32B9"/>
    <w:rsid w:val="00ED5560"/>
    <w:rsid w:val="00ED6759"/>
    <w:rsid w:val="00ED6E78"/>
    <w:rsid w:val="00EE4533"/>
    <w:rsid w:val="00EF0629"/>
    <w:rsid w:val="00F002FB"/>
    <w:rsid w:val="00F03087"/>
    <w:rsid w:val="00F12DC2"/>
    <w:rsid w:val="00F132B4"/>
    <w:rsid w:val="00F152DF"/>
    <w:rsid w:val="00F15EDB"/>
    <w:rsid w:val="00F21998"/>
    <w:rsid w:val="00F30071"/>
    <w:rsid w:val="00F438A9"/>
    <w:rsid w:val="00F551A8"/>
    <w:rsid w:val="00F571E6"/>
    <w:rsid w:val="00F63DF4"/>
    <w:rsid w:val="00F642AE"/>
    <w:rsid w:val="00F66736"/>
    <w:rsid w:val="00F779ED"/>
    <w:rsid w:val="00F8245D"/>
    <w:rsid w:val="00F879BD"/>
    <w:rsid w:val="00FA0395"/>
    <w:rsid w:val="00FB1166"/>
    <w:rsid w:val="00FB2D1C"/>
    <w:rsid w:val="00FB3CCC"/>
    <w:rsid w:val="00FC78A0"/>
    <w:rsid w:val="00FD100F"/>
    <w:rsid w:val="00FD486A"/>
    <w:rsid w:val="00FD66F1"/>
    <w:rsid w:val="00FD779B"/>
    <w:rsid w:val="00FD7BF9"/>
    <w:rsid w:val="00FE2317"/>
    <w:rsid w:val="00FE2C96"/>
    <w:rsid w:val="00FE6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9B2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rsid w:val="00C62B86"/>
    <w:rPr>
      <w:color w:val="0000FF"/>
      <w:u w:val="single"/>
    </w:rPr>
  </w:style>
  <w:style w:type="character" w:styleId="FollowedHyperlink">
    <w:name w:val="FollowedHyperlink"/>
    <w:basedOn w:val="DefaultParagraphFont"/>
    <w:uiPriority w:val="99"/>
    <w:semiHidden/>
    <w:unhideWhenUsed/>
    <w:rsid w:val="00BE5048"/>
    <w:rPr>
      <w:color w:val="800080" w:themeColor="followedHyperlink"/>
      <w:u w:val="single"/>
    </w:rPr>
  </w:style>
  <w:style w:type="paragraph" w:customStyle="1" w:styleId="FERCparanumber">
    <w:name w:val="FERC paranumber"/>
    <w:basedOn w:val="Normal"/>
    <w:link w:val="FERCparanumberChar"/>
    <w:rsid w:val="0053150C"/>
    <w:pPr>
      <w:numPr>
        <w:numId w:val="9"/>
      </w:numPr>
      <w:autoSpaceDE w:val="0"/>
      <w:autoSpaceDN w:val="0"/>
      <w:adjustRightInd w:val="0"/>
      <w:spacing w:after="0" w:line="480" w:lineRule="auto"/>
    </w:pPr>
    <w:rPr>
      <w:rFonts w:ascii="Times New Roman" w:eastAsia="Times New Roman" w:hAnsi="Times New Roman" w:cs="Times New Roman"/>
      <w:sz w:val="26"/>
      <w:szCs w:val="24"/>
      <w:lang w:val="x-none" w:eastAsia="x-none"/>
    </w:rPr>
  </w:style>
  <w:style w:type="character" w:customStyle="1" w:styleId="FERCparanumberChar">
    <w:name w:val="FERC paranumber Char"/>
    <w:link w:val="FERCparanumber"/>
    <w:rsid w:val="0053150C"/>
    <w:rPr>
      <w:rFonts w:ascii="Times New Roman" w:eastAsia="Times New Roman"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86229">
      <w:bodyDiv w:val="1"/>
      <w:marLeft w:val="0"/>
      <w:marRight w:val="0"/>
      <w:marTop w:val="0"/>
      <w:marBottom w:val="0"/>
      <w:divBdr>
        <w:top w:val="none" w:sz="0" w:space="0" w:color="auto"/>
        <w:left w:val="none" w:sz="0" w:space="0" w:color="auto"/>
        <w:bottom w:val="none" w:sz="0" w:space="0" w:color="auto"/>
        <w:right w:val="none" w:sz="0" w:space="0" w:color="auto"/>
      </w:divBdr>
    </w:div>
    <w:div w:id="107979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516B</_x0031__x002e__x0020_Collection_x0020_Number>
    <Date xmlns="d6eefc7d-9817-4fa6-84d5-3bc009be21b8">2016-09-20T00:00:00-04:00</Date>
    <Status xmlns="d6eefc7d-9817-4fa6-84d5-3bc009be21b8">Final</Status>
    <_x0032__x002e__x0020_Docket_x0020_Number xmlns="d6eefc7d-9817-4fa6-84d5-3bc009be21b8" xsi:nil="true"/>
    <_x0032__x002e__x0020_Collection_x0020_Number xmlns="d6eefc7d-9817-4fa6-84d5-3bc009be21b8">516</_x0032__x002e__x0020_Collection_x0020_Number>
    <_x0031__x002e__x0020_Docket_x0020_Number xmlns="d6eefc7d-9817-4fa6-84d5-3bc009be21b8">RM16-1</_x0031__x002e__x0020_Docket_x0020_Number>
    <_x0033__x002e__x0020_Collection_x0020_Number xmlns="d6eefc7d-9817-4fa6-84d5-3bc009be21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A80DD-A3A0-4F72-8BDD-D7F048DCFA86}">
  <ds:schemaRefs>
    <ds:schemaRef ds:uri="http://purl.org/dc/elements/1.1/"/>
    <ds:schemaRef ds:uri="http://www.w3.org/XML/1998/namespace"/>
    <ds:schemaRef ds:uri="d6eefc7d-9817-4fa6-84d5-3bc009be21b8"/>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A410ADB-B19D-4653-8121-9DD5C0BED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0F4667-41E7-44DE-9178-C4A7FD7FB68F}">
  <ds:schemaRefs>
    <ds:schemaRef ds:uri="http://schemas.microsoft.com/office/2006/metadata/customXsn"/>
  </ds:schemaRefs>
</ds:datastoreItem>
</file>

<file path=customXml/itemProps4.xml><?xml version="1.0" encoding="utf-8"?>
<ds:datastoreItem xmlns:ds="http://schemas.openxmlformats.org/officeDocument/2006/customXml" ds:itemID="{8B54609A-8797-42D3-A1EB-A8509FC15516}">
  <ds:schemaRefs>
    <ds:schemaRef ds:uri="http://schemas.microsoft.com/sharepoint/v3/contenttype/forms"/>
  </ds:schemaRefs>
</ds:datastoreItem>
</file>

<file path=customXml/itemProps5.xml><?xml version="1.0" encoding="utf-8"?>
<ds:datastoreItem xmlns:ds="http://schemas.openxmlformats.org/officeDocument/2006/customXml" ds:itemID="{6DA48C96-D80C-4772-ACC1-9C6C66499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1772</Words>
  <Characters>10104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2016-09-21T15:38:00Z</dcterms:created>
  <dcterms:modified xsi:type="dcterms:W3CDTF">2016-09-21T15:40:00Z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0x0101003837EBEE62F2E248B8AD112B0E89FEBA</vt:lpwstr>
  </property>
</Properties>
</file>