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59ADF" w14:textId="77777777" w:rsidR="009D6B6D" w:rsidRPr="001D2EC1" w:rsidRDefault="001D2EC1" w:rsidP="001D2EC1">
      <w:pPr>
        <w:widowControl/>
        <w:tabs>
          <w:tab w:val="center" w:pos="5040"/>
        </w:tabs>
        <w:jc w:val="center"/>
      </w:pPr>
      <w:r w:rsidRPr="001D2EC1">
        <w:t>Supporting Statement for</w:t>
      </w:r>
    </w:p>
    <w:p w14:paraId="3443459D" w14:textId="70FF17D5" w:rsidR="009D6B6D" w:rsidRPr="001D2EC1" w:rsidRDefault="00694EA4" w:rsidP="001D2EC1">
      <w:pPr>
        <w:widowControl/>
        <w:tabs>
          <w:tab w:val="center" w:pos="5040"/>
        </w:tabs>
        <w:jc w:val="center"/>
        <w:rPr>
          <w:b/>
        </w:rPr>
      </w:pPr>
      <w:r>
        <w:rPr>
          <w:b/>
          <w:bCs/>
        </w:rPr>
        <w:t>FERC-539</w:t>
      </w:r>
      <w:r w:rsidR="009D6B6D" w:rsidRPr="001D2EC1">
        <w:rPr>
          <w:b/>
          <w:bCs/>
        </w:rPr>
        <w:t xml:space="preserve">, </w:t>
      </w:r>
      <w:r>
        <w:rPr>
          <w:b/>
        </w:rPr>
        <w:t>Gas Pipeline Certificates: Import &amp; Export Related Applications</w:t>
      </w:r>
    </w:p>
    <w:p w14:paraId="13D26165" w14:textId="77777777" w:rsidR="009D6B6D" w:rsidRPr="001D2EC1" w:rsidRDefault="009D6B6D" w:rsidP="001D2EC1">
      <w:pPr>
        <w:widowControl/>
        <w:tabs>
          <w:tab w:val="center" w:pos="5040"/>
        </w:tabs>
        <w:jc w:val="center"/>
      </w:pPr>
    </w:p>
    <w:p w14:paraId="08EF0C81" w14:textId="7EAE21E4" w:rsidR="009D6B6D" w:rsidRPr="00CC615D" w:rsidRDefault="009D6B6D" w:rsidP="001F3ADE">
      <w:pPr>
        <w:widowControl/>
        <w:tabs>
          <w:tab w:val="center" w:pos="5040"/>
        </w:tabs>
        <w:rPr>
          <w:b/>
        </w:rPr>
      </w:pPr>
      <w:r w:rsidRPr="001D2EC1">
        <w:rPr>
          <w:bCs/>
        </w:rPr>
        <w:t xml:space="preserve">The Federal Energy Regulatory Commission (Commission or FERC) requests that the Office of Management and Budget (OMB) review and approve </w:t>
      </w:r>
      <w:r w:rsidR="00694EA4">
        <w:rPr>
          <w:b/>
          <w:bCs/>
        </w:rPr>
        <w:t>FERC-539</w:t>
      </w:r>
      <w:r w:rsidR="00694EA4" w:rsidRPr="001D2EC1">
        <w:rPr>
          <w:b/>
          <w:bCs/>
        </w:rPr>
        <w:t xml:space="preserve">, </w:t>
      </w:r>
      <w:r w:rsidR="00694EA4">
        <w:rPr>
          <w:b/>
        </w:rPr>
        <w:t>Gas Pipeline Certificates: Import &amp; Export Related Applications</w:t>
      </w:r>
      <w:r w:rsidR="0035481D" w:rsidRPr="001D2EC1">
        <w:rPr>
          <w:bCs/>
        </w:rPr>
        <w:t xml:space="preserve"> (</w:t>
      </w:r>
      <w:r w:rsidR="00694EA4">
        <w:rPr>
          <w:bCs/>
        </w:rPr>
        <w:t>OMB Control No. 1902-0062</w:t>
      </w:r>
      <w:r w:rsidR="00E32773" w:rsidRPr="001D2EC1">
        <w:rPr>
          <w:bCs/>
        </w:rPr>
        <w:t>)</w:t>
      </w:r>
      <w:r w:rsidR="005D6791" w:rsidRPr="001D2EC1">
        <w:rPr>
          <w:bCs/>
        </w:rPr>
        <w:t>,</w:t>
      </w:r>
      <w:r w:rsidR="00E32773" w:rsidRPr="001D2EC1">
        <w:rPr>
          <w:bCs/>
        </w:rPr>
        <w:t xml:space="preserve"> for a three-</w:t>
      </w:r>
      <w:r w:rsidRPr="001D2EC1">
        <w:rPr>
          <w:bCs/>
        </w:rPr>
        <w:t xml:space="preserve">year period.  </w:t>
      </w:r>
      <w:r w:rsidR="00694EA4">
        <w:rPr>
          <w:bCs/>
        </w:rPr>
        <w:t>FERC-539</w:t>
      </w:r>
      <w:r w:rsidR="00CC615D">
        <w:t xml:space="preserve"> is an existing data collection with </w:t>
      </w:r>
      <w:r w:rsidRPr="001D2EC1">
        <w:t xml:space="preserve">reporting requirement in 18 Code of Federal Regulations (CFR) </w:t>
      </w:r>
      <w:r w:rsidR="00694EA4">
        <w:t>Section 153</w:t>
      </w:r>
      <w:r w:rsidRPr="001D2EC1">
        <w:t>.</w:t>
      </w:r>
    </w:p>
    <w:p w14:paraId="55BF55CD" w14:textId="77777777" w:rsidR="009D6B6D" w:rsidRPr="001D2EC1" w:rsidRDefault="009D6B6D" w:rsidP="001D2EC1">
      <w:pPr>
        <w:widowControl/>
      </w:pPr>
    </w:p>
    <w:p w14:paraId="284B885E" w14:textId="77777777" w:rsidR="009D6B6D" w:rsidRPr="001D2EC1" w:rsidRDefault="009D6B6D" w:rsidP="001D2EC1">
      <w:pPr>
        <w:widowControl/>
        <w:rPr>
          <w:b/>
        </w:rPr>
      </w:pPr>
      <w:r w:rsidRPr="001D2EC1">
        <w:rPr>
          <w:b/>
        </w:rPr>
        <w:t>1.</w:t>
      </w:r>
      <w:r w:rsidRPr="001D2EC1">
        <w:rPr>
          <w:b/>
        </w:rPr>
        <w:tab/>
        <w:t xml:space="preserve">CIRCUMSTANCES THAT MAKE THE COLLECTION OF INFORMATION </w:t>
      </w:r>
      <w:r w:rsidR="001D2EC1">
        <w:rPr>
          <w:b/>
        </w:rPr>
        <w:tab/>
      </w:r>
      <w:r w:rsidRPr="001D2EC1">
        <w:rPr>
          <w:b/>
        </w:rPr>
        <w:t>NECESSARY</w:t>
      </w:r>
    </w:p>
    <w:p w14:paraId="74BB5164" w14:textId="77777777" w:rsidR="009D6B6D" w:rsidRPr="001D2EC1" w:rsidRDefault="009D6B6D" w:rsidP="001D2EC1">
      <w:pPr>
        <w:widowControl/>
        <w:ind w:left="1440"/>
        <w:rPr>
          <w:b/>
        </w:rPr>
      </w:pPr>
    </w:p>
    <w:p w14:paraId="2D18EE2A" w14:textId="77777777" w:rsidR="00694EA4" w:rsidRPr="00727B08" w:rsidRDefault="00694EA4" w:rsidP="00694EA4">
      <w:pPr>
        <w:rPr>
          <w:bCs/>
        </w:rPr>
      </w:pPr>
      <w:r w:rsidRPr="00727B08">
        <w:rPr>
          <w:bCs/>
        </w:rPr>
        <w:t>Section 3 of the Natural Gas Act (NGA)</w:t>
      </w:r>
      <w:r w:rsidRPr="00727B08">
        <w:rPr>
          <w:b/>
          <w:bCs/>
          <w:vertAlign w:val="superscript"/>
        </w:rPr>
        <w:footnoteReference w:id="1"/>
      </w:r>
      <w:r w:rsidRPr="00727B08">
        <w:rPr>
          <w:bCs/>
        </w:rPr>
        <w:t xml:space="preserve"> provides, in part, that “.…no person shall export any natural gas from the United States to a foreign country or import any natural gas from a foreign country without first having secured an order from the Commission authorizing it to do so.”  </w:t>
      </w:r>
    </w:p>
    <w:p w14:paraId="30757F60" w14:textId="77777777" w:rsidR="00694EA4" w:rsidRPr="00727B08" w:rsidRDefault="00694EA4" w:rsidP="00694EA4">
      <w:pPr>
        <w:rPr>
          <w:bCs/>
        </w:rPr>
      </w:pPr>
    </w:p>
    <w:p w14:paraId="26A44F9B" w14:textId="77777777" w:rsidR="00694EA4" w:rsidRPr="00727B08" w:rsidRDefault="00694EA4" w:rsidP="00694EA4">
      <w:r w:rsidRPr="00727B08">
        <w:t xml:space="preserve">The 1992 amendments to Section 3 of the NGA concern importation or exportation from/to a nation which has a free trade agreement with the United States and requires that such importation or exportation:  </w:t>
      </w:r>
    </w:p>
    <w:p w14:paraId="088EBCF6" w14:textId="77777777" w:rsidR="00694EA4" w:rsidRPr="00727B08" w:rsidRDefault="00694EA4" w:rsidP="00694EA4"/>
    <w:p w14:paraId="66F3E010" w14:textId="77777777" w:rsidR="00694EA4" w:rsidRPr="00727B08" w:rsidRDefault="00694EA4" w:rsidP="00694EA4">
      <w:pPr>
        <w:pStyle w:val="ListParagraph"/>
        <w:numPr>
          <w:ilvl w:val="0"/>
          <w:numId w:val="11"/>
        </w:numPr>
        <w:spacing w:after="0"/>
        <w:rPr>
          <w:rFonts w:ascii="Times New Roman" w:hAnsi="Times New Roman"/>
          <w:sz w:val="24"/>
          <w:szCs w:val="24"/>
        </w:rPr>
      </w:pPr>
      <w:r w:rsidRPr="00727B08">
        <w:rPr>
          <w:rFonts w:ascii="Times New Roman" w:hAnsi="Times New Roman"/>
          <w:sz w:val="24"/>
          <w:szCs w:val="24"/>
        </w:rPr>
        <w:t xml:space="preserve">shall be deemed to be a “first sale” (i.e. not a sale for a resale) </w:t>
      </w:r>
    </w:p>
    <w:p w14:paraId="34E7B695" w14:textId="77777777" w:rsidR="00694EA4" w:rsidRPr="00727B08" w:rsidRDefault="00694EA4" w:rsidP="00694EA4">
      <w:pPr>
        <w:pStyle w:val="ListParagraph"/>
        <w:numPr>
          <w:ilvl w:val="0"/>
          <w:numId w:val="11"/>
        </w:numPr>
        <w:spacing w:after="0"/>
        <w:rPr>
          <w:rFonts w:ascii="Times New Roman" w:hAnsi="Times New Roman"/>
          <w:sz w:val="24"/>
          <w:szCs w:val="24"/>
        </w:rPr>
      </w:pPr>
      <w:r w:rsidRPr="00727B08">
        <w:rPr>
          <w:rFonts w:ascii="Times New Roman" w:hAnsi="Times New Roman"/>
          <w:sz w:val="24"/>
          <w:szCs w:val="24"/>
        </w:rPr>
        <w:t xml:space="preserve">shall be deemed to be consistent with the public interest, and applications for such importation or exportation shall be granted without modification or delay  </w:t>
      </w:r>
    </w:p>
    <w:p w14:paraId="385433C4" w14:textId="77777777" w:rsidR="00694EA4" w:rsidRPr="00727B08" w:rsidRDefault="00694EA4" w:rsidP="00694EA4"/>
    <w:p w14:paraId="1152C48B" w14:textId="77777777" w:rsidR="00694EA4" w:rsidRPr="00727B08" w:rsidRDefault="00694EA4" w:rsidP="00694EA4">
      <w:pPr>
        <w:tabs>
          <w:tab w:val="left" w:pos="720"/>
        </w:tabs>
      </w:pPr>
      <w:r w:rsidRPr="00727B08">
        <w:t xml:space="preserve">The regulatory functions of Section 3 are shared by the Commission and the Secretary of Energy, Department of Energy (DOE). The Commission has the authority to approve or disapprove the construction and operation of particular facilities, the site at which such facilities will be located, and, with respect to natural gas that involves the construction of new domestic facilities, the place of entry for imports or exit for exports.  The DOE approves the importation or exportation of the natural gas commodity. </w:t>
      </w:r>
      <w:r w:rsidRPr="00727B08">
        <w:rPr>
          <w:b/>
          <w:vertAlign w:val="superscript"/>
        </w:rPr>
        <w:footnoteReference w:id="2"/>
      </w:r>
      <w:r w:rsidRPr="00727B08">
        <w:t xml:space="preserve">  </w:t>
      </w:r>
    </w:p>
    <w:p w14:paraId="2F4AAFE9" w14:textId="77777777" w:rsidR="00694EA4" w:rsidRPr="00727B08" w:rsidRDefault="00694EA4" w:rsidP="00694EA4">
      <w:pPr>
        <w:tabs>
          <w:tab w:val="left" w:pos="720"/>
        </w:tabs>
      </w:pPr>
    </w:p>
    <w:p w14:paraId="5F4B45F3" w14:textId="77777777" w:rsidR="00694EA4" w:rsidRPr="00727B08" w:rsidRDefault="00694EA4" w:rsidP="00694EA4">
      <w:pPr>
        <w:tabs>
          <w:tab w:val="left" w:pos="720"/>
        </w:tabs>
      </w:pPr>
      <w:r w:rsidRPr="00727B08">
        <w:t>Additionally, pursuant to the DOE Delegation Order and Executive Order Nos. 10485 and 12038, the Commission has the authority to issue Presidential Permits for natural gas facilities which cross an international border of the United States.  Persons seeking Section 3 authorizations or Presidential Permits from the Commission file applications for such requests pursuant to Part 153 of the Commission’s Regulations; Part 153, Subpart B</w:t>
      </w:r>
      <w:r>
        <w:t xml:space="preserve"> </w:t>
      </w:r>
      <w:r w:rsidRPr="00727B08">
        <w:t>Application Under Section 3 and Part 153 Subpart C</w:t>
      </w:r>
      <w:r>
        <w:t xml:space="preserve"> </w:t>
      </w:r>
      <w:r w:rsidRPr="00727B08">
        <w:t>Application for a Presidential Permit.</w:t>
      </w:r>
    </w:p>
    <w:p w14:paraId="65C75FFB" w14:textId="77777777" w:rsidR="00694EA4" w:rsidRPr="00727B08" w:rsidRDefault="00694EA4" w:rsidP="00694EA4"/>
    <w:p w14:paraId="1910BAB6" w14:textId="2CB9FED2" w:rsidR="00980E8E" w:rsidRDefault="00694EA4" w:rsidP="00694EA4">
      <w:pPr>
        <w:pStyle w:val="FERCparanumber"/>
        <w:numPr>
          <w:ilvl w:val="0"/>
          <w:numId w:val="0"/>
        </w:numPr>
        <w:tabs>
          <w:tab w:val="left" w:pos="720"/>
          <w:tab w:val="left" w:pos="4860"/>
        </w:tabs>
        <w:rPr>
          <w:sz w:val="24"/>
        </w:rPr>
      </w:pPr>
      <w:r w:rsidRPr="00727B08">
        <w:rPr>
          <w:sz w:val="24"/>
        </w:rPr>
        <w:t>FERC-539 addresses FERC’s implementing regulations in 18 CFR Part 153</w:t>
      </w:r>
      <w:r w:rsidR="001F3ADE" w:rsidRPr="004C1C7D">
        <w:rPr>
          <w:sz w:val="24"/>
        </w:rPr>
        <w:t>.</w:t>
      </w:r>
    </w:p>
    <w:p w14:paraId="095CE0E8" w14:textId="77777777" w:rsidR="001F3ADE" w:rsidRDefault="001F3ADE" w:rsidP="001F3ADE">
      <w:pPr>
        <w:pStyle w:val="FERCparanumber"/>
        <w:numPr>
          <w:ilvl w:val="0"/>
          <w:numId w:val="0"/>
        </w:numPr>
        <w:tabs>
          <w:tab w:val="left" w:pos="720"/>
          <w:tab w:val="left" w:pos="4860"/>
        </w:tabs>
        <w:rPr>
          <w:sz w:val="24"/>
        </w:rPr>
      </w:pPr>
    </w:p>
    <w:p w14:paraId="31D7969C" w14:textId="77777777" w:rsidR="009D6B6D" w:rsidRPr="00980E8E" w:rsidRDefault="009D6B6D" w:rsidP="001D2EC1">
      <w:pPr>
        <w:pStyle w:val="FERCparanumber"/>
        <w:numPr>
          <w:ilvl w:val="0"/>
          <w:numId w:val="7"/>
        </w:numPr>
        <w:tabs>
          <w:tab w:val="left" w:pos="720"/>
          <w:tab w:val="left" w:pos="4860"/>
        </w:tabs>
        <w:rPr>
          <w:sz w:val="24"/>
        </w:rPr>
      </w:pPr>
      <w:r w:rsidRPr="001D2EC1">
        <w:rPr>
          <w:b/>
          <w:sz w:val="24"/>
        </w:rPr>
        <w:lastRenderedPageBreak/>
        <w:t>HOW, BY WHOM AND FOR WHAT P</w:t>
      </w:r>
      <w:r w:rsidR="00980E8E">
        <w:rPr>
          <w:b/>
          <w:sz w:val="24"/>
        </w:rPr>
        <w:t xml:space="preserve">URPOSE IS THE INFORMATION </w:t>
      </w:r>
      <w:r w:rsidR="00980E8E" w:rsidRPr="00980E8E">
        <w:rPr>
          <w:b/>
          <w:sz w:val="24"/>
        </w:rPr>
        <w:t>USED AND THE CONSEQUENCES OF NOT COLLECTING THE INFORMATION</w:t>
      </w:r>
    </w:p>
    <w:p w14:paraId="36B9A4E1" w14:textId="77777777" w:rsidR="00980E8E" w:rsidRDefault="00980E8E" w:rsidP="00980E8E">
      <w:pPr>
        <w:pStyle w:val="FERCparanumber"/>
        <w:numPr>
          <w:ilvl w:val="0"/>
          <w:numId w:val="0"/>
        </w:numPr>
        <w:tabs>
          <w:tab w:val="left" w:pos="720"/>
          <w:tab w:val="left" w:pos="4860"/>
        </w:tabs>
        <w:rPr>
          <w:b/>
          <w:sz w:val="24"/>
        </w:rPr>
      </w:pPr>
    </w:p>
    <w:p w14:paraId="629DB664" w14:textId="77777777" w:rsidR="00694EA4" w:rsidRPr="00727B08" w:rsidRDefault="00694EA4" w:rsidP="00694EA4">
      <w:r w:rsidRPr="00727B08">
        <w:t>The natural gas companies file the necessary information required in FERC’s implementing regulations in 18</w:t>
      </w:r>
      <w:r>
        <w:t xml:space="preserve"> </w:t>
      </w:r>
      <w:r w:rsidRPr="00727B08">
        <w:t>CFR Part 153.  This application must include:</w:t>
      </w:r>
    </w:p>
    <w:p w14:paraId="576AFF2E" w14:textId="77777777" w:rsidR="00694EA4" w:rsidRPr="00727B08" w:rsidRDefault="00694EA4" w:rsidP="00694EA4"/>
    <w:p w14:paraId="3ECC7448" w14:textId="77777777" w:rsidR="00694EA4" w:rsidRPr="00727B08" w:rsidRDefault="00694EA4" w:rsidP="00694EA4">
      <w:pPr>
        <w:pStyle w:val="ListParagraph"/>
        <w:numPr>
          <w:ilvl w:val="0"/>
          <w:numId w:val="12"/>
        </w:numPr>
        <w:spacing w:after="0"/>
        <w:rPr>
          <w:rFonts w:ascii="Times New Roman" w:hAnsi="Times New Roman"/>
          <w:sz w:val="24"/>
          <w:szCs w:val="24"/>
        </w:rPr>
      </w:pPr>
      <w:r w:rsidRPr="00727B08">
        <w:rPr>
          <w:rFonts w:ascii="Times New Roman" w:hAnsi="Times New Roman"/>
          <w:sz w:val="24"/>
          <w:szCs w:val="24"/>
        </w:rPr>
        <w:t>Applicant information;</w:t>
      </w:r>
    </w:p>
    <w:p w14:paraId="4495CF90" w14:textId="77777777" w:rsidR="00694EA4" w:rsidRPr="00727B08" w:rsidRDefault="00694EA4" w:rsidP="00694EA4">
      <w:pPr>
        <w:pStyle w:val="ListParagraph"/>
        <w:numPr>
          <w:ilvl w:val="0"/>
          <w:numId w:val="12"/>
        </w:numPr>
        <w:spacing w:after="0"/>
        <w:rPr>
          <w:rFonts w:ascii="Times New Roman" w:hAnsi="Times New Roman"/>
          <w:sz w:val="24"/>
          <w:szCs w:val="24"/>
        </w:rPr>
      </w:pPr>
      <w:r w:rsidRPr="00727B08">
        <w:rPr>
          <w:rFonts w:ascii="Times New Roman" w:hAnsi="Times New Roman"/>
          <w:sz w:val="24"/>
          <w:szCs w:val="24"/>
        </w:rPr>
        <w:t>Proposal summary;</w:t>
      </w:r>
    </w:p>
    <w:p w14:paraId="4248A63F" w14:textId="77777777" w:rsidR="00694EA4" w:rsidRPr="00727B08" w:rsidRDefault="00694EA4" w:rsidP="00694EA4">
      <w:pPr>
        <w:pStyle w:val="ListParagraph"/>
        <w:numPr>
          <w:ilvl w:val="0"/>
          <w:numId w:val="12"/>
        </w:numPr>
        <w:spacing w:after="0"/>
        <w:rPr>
          <w:rFonts w:ascii="Times New Roman" w:hAnsi="Times New Roman"/>
          <w:sz w:val="24"/>
          <w:szCs w:val="24"/>
        </w:rPr>
      </w:pPr>
      <w:r w:rsidRPr="00727B08">
        <w:rPr>
          <w:rFonts w:ascii="Times New Roman" w:hAnsi="Times New Roman"/>
          <w:sz w:val="24"/>
          <w:szCs w:val="24"/>
        </w:rPr>
        <w:t>Statements demonstrating that the proposal is in the public interest and that the services rendered will be in accordance with existing Commission regulations;</w:t>
      </w:r>
    </w:p>
    <w:p w14:paraId="781E9E0B" w14:textId="77777777" w:rsidR="00694EA4" w:rsidRPr="00727B08" w:rsidRDefault="00694EA4" w:rsidP="00694EA4">
      <w:pPr>
        <w:pStyle w:val="ListParagraph"/>
        <w:numPr>
          <w:ilvl w:val="0"/>
          <w:numId w:val="12"/>
        </w:numPr>
        <w:spacing w:after="0"/>
        <w:rPr>
          <w:rFonts w:ascii="Times New Roman" w:hAnsi="Times New Roman"/>
          <w:sz w:val="24"/>
          <w:szCs w:val="24"/>
        </w:rPr>
      </w:pPr>
      <w:r w:rsidRPr="00727B08">
        <w:rPr>
          <w:rFonts w:ascii="Times New Roman" w:hAnsi="Times New Roman"/>
          <w:sz w:val="24"/>
          <w:szCs w:val="24"/>
        </w:rPr>
        <w:t>Nine required exhibits:</w:t>
      </w:r>
    </w:p>
    <w:p w14:paraId="49A2000F" w14:textId="77777777" w:rsidR="00694EA4" w:rsidRPr="00727B08" w:rsidRDefault="00694EA4" w:rsidP="00694EA4">
      <w:pPr>
        <w:pStyle w:val="ListParagraph"/>
        <w:numPr>
          <w:ilvl w:val="1"/>
          <w:numId w:val="12"/>
        </w:numPr>
        <w:spacing w:after="0"/>
        <w:rPr>
          <w:rFonts w:ascii="Times New Roman" w:hAnsi="Times New Roman"/>
          <w:sz w:val="24"/>
          <w:szCs w:val="24"/>
        </w:rPr>
      </w:pPr>
      <w:r w:rsidRPr="00727B08">
        <w:rPr>
          <w:rFonts w:ascii="Times New Roman" w:hAnsi="Times New Roman"/>
          <w:sz w:val="24"/>
          <w:szCs w:val="24"/>
        </w:rPr>
        <w:t>Exhibit A – articles of incorporation;</w:t>
      </w:r>
    </w:p>
    <w:p w14:paraId="66E92739" w14:textId="77777777" w:rsidR="00694EA4" w:rsidRPr="00727B08" w:rsidRDefault="00694EA4" w:rsidP="00694EA4">
      <w:pPr>
        <w:pStyle w:val="ListParagraph"/>
        <w:numPr>
          <w:ilvl w:val="1"/>
          <w:numId w:val="12"/>
        </w:numPr>
        <w:spacing w:after="0"/>
        <w:rPr>
          <w:rFonts w:ascii="Times New Roman" w:hAnsi="Times New Roman"/>
          <w:sz w:val="24"/>
          <w:szCs w:val="24"/>
        </w:rPr>
      </w:pPr>
      <w:r w:rsidRPr="00727B08">
        <w:rPr>
          <w:rFonts w:ascii="Times New Roman" w:hAnsi="Times New Roman"/>
          <w:sz w:val="24"/>
          <w:szCs w:val="24"/>
        </w:rPr>
        <w:t>Exhibit B – statement of the relationship between the applicant and any other corporation or person;</w:t>
      </w:r>
    </w:p>
    <w:p w14:paraId="1992A581" w14:textId="77777777" w:rsidR="00694EA4" w:rsidRPr="00727B08" w:rsidRDefault="00694EA4" w:rsidP="00694EA4">
      <w:pPr>
        <w:pStyle w:val="ListParagraph"/>
        <w:numPr>
          <w:ilvl w:val="1"/>
          <w:numId w:val="12"/>
        </w:numPr>
        <w:spacing w:after="0"/>
        <w:rPr>
          <w:rFonts w:ascii="Times New Roman" w:hAnsi="Times New Roman"/>
          <w:sz w:val="24"/>
          <w:szCs w:val="24"/>
        </w:rPr>
      </w:pPr>
      <w:r w:rsidRPr="00727B08">
        <w:rPr>
          <w:rFonts w:ascii="Times New Roman" w:hAnsi="Times New Roman"/>
          <w:sz w:val="24"/>
          <w:szCs w:val="24"/>
        </w:rPr>
        <w:t>Exhibit C – affidavit stating that the project will be constructed and operated in accordance with the laws of the state within which they are located;</w:t>
      </w:r>
    </w:p>
    <w:p w14:paraId="29E3F9A4" w14:textId="77777777" w:rsidR="00694EA4" w:rsidRPr="00727B08" w:rsidRDefault="00694EA4" w:rsidP="00694EA4">
      <w:pPr>
        <w:pStyle w:val="ListParagraph"/>
        <w:numPr>
          <w:ilvl w:val="1"/>
          <w:numId w:val="12"/>
        </w:numPr>
        <w:spacing w:after="0"/>
        <w:rPr>
          <w:rFonts w:ascii="Times New Roman" w:hAnsi="Times New Roman"/>
          <w:sz w:val="24"/>
          <w:szCs w:val="24"/>
        </w:rPr>
      </w:pPr>
      <w:r w:rsidRPr="00727B08">
        <w:rPr>
          <w:rFonts w:ascii="Times New Roman" w:hAnsi="Times New Roman"/>
          <w:sz w:val="24"/>
          <w:szCs w:val="24"/>
        </w:rPr>
        <w:t xml:space="preserve">Exhibit D – copy of any construction or operation agreement between the applicant and the operator of the border facilities; </w:t>
      </w:r>
    </w:p>
    <w:p w14:paraId="29ECCFC3" w14:textId="65A73E37" w:rsidR="00694EA4" w:rsidRPr="00727B08" w:rsidRDefault="00694EA4" w:rsidP="00694EA4">
      <w:pPr>
        <w:pStyle w:val="ListParagraph"/>
        <w:numPr>
          <w:ilvl w:val="1"/>
          <w:numId w:val="12"/>
        </w:numPr>
        <w:spacing w:after="0"/>
        <w:rPr>
          <w:rFonts w:ascii="Times New Roman" w:hAnsi="Times New Roman"/>
          <w:sz w:val="24"/>
          <w:szCs w:val="24"/>
        </w:rPr>
      </w:pPr>
      <w:r w:rsidRPr="00727B08">
        <w:rPr>
          <w:rFonts w:ascii="Times New Roman" w:hAnsi="Times New Roman"/>
          <w:sz w:val="24"/>
          <w:szCs w:val="24"/>
        </w:rPr>
        <w:t xml:space="preserve">Exhibit E – statement affirming that a qualified entity will receive or deliver </w:t>
      </w:r>
      <w:r w:rsidR="00C46B04">
        <w:rPr>
          <w:rFonts w:ascii="Times New Roman" w:hAnsi="Times New Roman"/>
          <w:sz w:val="24"/>
          <w:szCs w:val="24"/>
        </w:rPr>
        <w:t>liquefied natural gas (</w:t>
      </w:r>
      <w:r w:rsidRPr="00727B08">
        <w:rPr>
          <w:rFonts w:ascii="Times New Roman" w:hAnsi="Times New Roman"/>
          <w:sz w:val="24"/>
          <w:szCs w:val="24"/>
        </w:rPr>
        <w:t>LNG</w:t>
      </w:r>
      <w:r w:rsidR="00C46B04">
        <w:rPr>
          <w:rFonts w:ascii="Times New Roman" w:hAnsi="Times New Roman"/>
          <w:sz w:val="24"/>
          <w:szCs w:val="24"/>
        </w:rPr>
        <w:t>)</w:t>
      </w:r>
      <w:r w:rsidRPr="00727B08">
        <w:rPr>
          <w:rFonts w:ascii="Times New Roman" w:hAnsi="Times New Roman"/>
          <w:sz w:val="24"/>
          <w:szCs w:val="24"/>
        </w:rPr>
        <w:t xml:space="preserve"> and engineering and design information (if a LNG import or export facility is proposed);</w:t>
      </w:r>
    </w:p>
    <w:p w14:paraId="7CEB34BE" w14:textId="77777777" w:rsidR="00694EA4" w:rsidRPr="00727B08" w:rsidRDefault="00694EA4" w:rsidP="00694EA4">
      <w:pPr>
        <w:pStyle w:val="ListParagraph"/>
        <w:numPr>
          <w:ilvl w:val="1"/>
          <w:numId w:val="12"/>
        </w:numPr>
        <w:spacing w:after="0"/>
        <w:rPr>
          <w:rFonts w:ascii="Times New Roman" w:hAnsi="Times New Roman"/>
          <w:sz w:val="24"/>
          <w:szCs w:val="24"/>
        </w:rPr>
      </w:pPr>
      <w:r w:rsidRPr="00727B08">
        <w:rPr>
          <w:rFonts w:ascii="Times New Roman" w:hAnsi="Times New Roman"/>
          <w:sz w:val="24"/>
          <w:szCs w:val="24"/>
        </w:rPr>
        <w:t>Exhibit E-1- report on earthquake hazards and engineering, as appropriate;</w:t>
      </w:r>
    </w:p>
    <w:p w14:paraId="6653531C" w14:textId="77777777" w:rsidR="00694EA4" w:rsidRPr="00727B08" w:rsidRDefault="00694EA4" w:rsidP="00694EA4">
      <w:pPr>
        <w:pStyle w:val="ListParagraph"/>
        <w:numPr>
          <w:ilvl w:val="1"/>
          <w:numId w:val="12"/>
        </w:numPr>
        <w:spacing w:after="0"/>
        <w:rPr>
          <w:rFonts w:ascii="Times New Roman" w:hAnsi="Times New Roman"/>
          <w:sz w:val="24"/>
          <w:szCs w:val="24"/>
        </w:rPr>
      </w:pPr>
      <w:r w:rsidRPr="00727B08">
        <w:rPr>
          <w:rFonts w:ascii="Times New Roman" w:hAnsi="Times New Roman"/>
          <w:sz w:val="24"/>
          <w:szCs w:val="24"/>
        </w:rPr>
        <w:t>Exhibit F – environmental report;</w:t>
      </w:r>
    </w:p>
    <w:p w14:paraId="25A83D34" w14:textId="77777777" w:rsidR="00694EA4" w:rsidRPr="00727B08" w:rsidRDefault="00694EA4" w:rsidP="00694EA4">
      <w:pPr>
        <w:pStyle w:val="ListParagraph"/>
        <w:numPr>
          <w:ilvl w:val="1"/>
          <w:numId w:val="12"/>
        </w:numPr>
        <w:spacing w:after="0"/>
        <w:rPr>
          <w:rFonts w:ascii="Times New Roman" w:hAnsi="Times New Roman"/>
          <w:sz w:val="24"/>
          <w:szCs w:val="24"/>
        </w:rPr>
      </w:pPr>
      <w:r w:rsidRPr="00727B08">
        <w:rPr>
          <w:rFonts w:ascii="Times New Roman" w:hAnsi="Times New Roman"/>
          <w:sz w:val="24"/>
          <w:szCs w:val="24"/>
        </w:rPr>
        <w:t xml:space="preserve">Exhibit G – map of appropriate scale and detail; and </w:t>
      </w:r>
    </w:p>
    <w:p w14:paraId="4240BA2C" w14:textId="77777777" w:rsidR="00694EA4" w:rsidRPr="00727B08" w:rsidRDefault="00694EA4" w:rsidP="00694EA4">
      <w:pPr>
        <w:pStyle w:val="ListParagraph"/>
        <w:numPr>
          <w:ilvl w:val="1"/>
          <w:numId w:val="12"/>
        </w:numPr>
        <w:spacing w:after="0"/>
        <w:rPr>
          <w:rFonts w:ascii="Times New Roman" w:hAnsi="Times New Roman"/>
          <w:sz w:val="24"/>
          <w:szCs w:val="24"/>
        </w:rPr>
      </w:pPr>
      <w:r w:rsidRPr="00727B08">
        <w:rPr>
          <w:rFonts w:ascii="Times New Roman" w:hAnsi="Times New Roman"/>
          <w:sz w:val="24"/>
          <w:szCs w:val="24"/>
        </w:rPr>
        <w:t>Exhibit H – statement identifying each Federal authorization that the proposal will require.</w:t>
      </w:r>
    </w:p>
    <w:p w14:paraId="4833125C" w14:textId="77777777" w:rsidR="00694EA4" w:rsidRPr="00727B08" w:rsidRDefault="00694EA4" w:rsidP="00694EA4">
      <w:pPr>
        <w:ind w:left="1143"/>
      </w:pPr>
    </w:p>
    <w:p w14:paraId="6A542E3C" w14:textId="77777777" w:rsidR="00694EA4" w:rsidRPr="00727B08" w:rsidRDefault="00694EA4" w:rsidP="00694EA4">
      <w:r w:rsidRPr="00727B08">
        <w:t>For applicants proposing to construct, operate, maintain or connect facilities at the borders of the United States and Canada or Mexico for importing or exporting natural gas</w:t>
      </w:r>
      <w:r>
        <w:t>,</w:t>
      </w:r>
      <w:r w:rsidRPr="00727B08">
        <w:t xml:space="preserve"> a request for issuance of a Presidential Permit is also required.  Once issued by the Commission, an acceptance of the Presidential Permit must be filed.</w:t>
      </w:r>
    </w:p>
    <w:p w14:paraId="3A7E9355" w14:textId="77777777" w:rsidR="00694EA4" w:rsidRPr="00727B08" w:rsidRDefault="00694EA4" w:rsidP="00694EA4"/>
    <w:p w14:paraId="7E2D80CB" w14:textId="24E6EE0F" w:rsidR="00980E8E" w:rsidRDefault="00694EA4" w:rsidP="00694EA4">
      <w:r w:rsidRPr="00727B08">
        <w:t>If the Commission did not collect the FERC-539 information it would not be able to meet its statutory responsibilities</w:t>
      </w:r>
      <w:r w:rsidR="001F3ADE">
        <w:t>.</w:t>
      </w:r>
    </w:p>
    <w:p w14:paraId="32B2D492" w14:textId="77777777" w:rsidR="00980E8E" w:rsidRPr="00980E8E" w:rsidRDefault="00980E8E" w:rsidP="00980E8E">
      <w:pPr>
        <w:pStyle w:val="FERCparanumber"/>
        <w:numPr>
          <w:ilvl w:val="0"/>
          <w:numId w:val="0"/>
        </w:numPr>
        <w:tabs>
          <w:tab w:val="left" w:pos="720"/>
          <w:tab w:val="left" w:pos="4860"/>
        </w:tabs>
        <w:rPr>
          <w:sz w:val="24"/>
        </w:rPr>
      </w:pPr>
    </w:p>
    <w:p w14:paraId="1191C360" w14:textId="77777777" w:rsidR="00980E8E" w:rsidRPr="00980E8E" w:rsidRDefault="00980E8E" w:rsidP="005240A1">
      <w:pPr>
        <w:widowControl/>
        <w:numPr>
          <w:ilvl w:val="0"/>
          <w:numId w:val="7"/>
        </w:numPr>
      </w:pPr>
      <w:r w:rsidRPr="001D2EC1">
        <w:rPr>
          <w:b/>
        </w:rPr>
        <w:t>DESCRIBE ANY CONSIDERATION OF THE USE OF IMPROVED INFORMATION TECHNOLOGY TO REDUCE BURDEN AND THE TECHNICAL OR LE</w:t>
      </w:r>
      <w:r>
        <w:rPr>
          <w:b/>
        </w:rPr>
        <w:t>GAL OBSTACLES TO REDUCING BURDEN</w:t>
      </w:r>
    </w:p>
    <w:p w14:paraId="200107A7" w14:textId="77777777" w:rsidR="00980E8E" w:rsidRPr="00980E8E" w:rsidRDefault="00980E8E" w:rsidP="00980E8E"/>
    <w:p w14:paraId="19DB27D7" w14:textId="59A7ED21" w:rsidR="001F3ADE" w:rsidRDefault="00694EA4" w:rsidP="001F3ADE">
      <w:r w:rsidRPr="00727B08">
        <w:t xml:space="preserve">FERC encourages companies to use its eFiling system.  Natural gas companies can submit the FERC-539 using FERC’s eFiling system (see </w:t>
      </w:r>
      <w:hyperlink r:id="rId12" w:history="1">
        <w:r w:rsidRPr="00727B08">
          <w:rPr>
            <w:rStyle w:val="Hyperlink"/>
          </w:rPr>
          <w:t>http://www.ferc.gov/docs-filing/efiling.asp</w:t>
        </w:r>
      </w:hyperlink>
      <w:r w:rsidRPr="00727B08">
        <w:t>)</w:t>
      </w:r>
      <w:r w:rsidR="001F3ADE" w:rsidRPr="005A6CEF">
        <w:t>.</w:t>
      </w:r>
    </w:p>
    <w:p w14:paraId="307B8A29" w14:textId="77777777" w:rsidR="005240A1" w:rsidRDefault="005240A1" w:rsidP="005240A1">
      <w:pPr>
        <w:pStyle w:val="FERCparanumber"/>
        <w:numPr>
          <w:ilvl w:val="0"/>
          <w:numId w:val="0"/>
        </w:numPr>
        <w:rPr>
          <w:sz w:val="24"/>
        </w:rPr>
      </w:pPr>
    </w:p>
    <w:p w14:paraId="0E702588" w14:textId="77777777" w:rsidR="009D6B6D" w:rsidRPr="00BD4039" w:rsidRDefault="009D6B6D" w:rsidP="005240A1">
      <w:pPr>
        <w:pStyle w:val="FERCparanumber"/>
        <w:numPr>
          <w:ilvl w:val="0"/>
          <w:numId w:val="7"/>
        </w:numPr>
        <w:rPr>
          <w:sz w:val="24"/>
        </w:rPr>
      </w:pPr>
      <w:r w:rsidRPr="001D2EC1">
        <w:rPr>
          <w:b/>
          <w:sz w:val="24"/>
        </w:rPr>
        <w:lastRenderedPageBreak/>
        <w:t>DESCRIBE EFFORTS TO IDENTIFY DUPLICATON AND SHOW SPECIFICALLY WHY ANY SIMILAR INFORMATION ALREADY AVAILABLE CANNOT BE USED OR MODIFIED FOR USE FOR THE PURPOSE(S) DESCRIBED IN INSTRUCTION NO. 2.</w:t>
      </w:r>
    </w:p>
    <w:p w14:paraId="7F5C95B0" w14:textId="77777777" w:rsidR="00BD4039" w:rsidRDefault="00BD4039" w:rsidP="00BD4039">
      <w:pPr>
        <w:pStyle w:val="FERCparanumber"/>
        <w:numPr>
          <w:ilvl w:val="0"/>
          <w:numId w:val="0"/>
        </w:numPr>
        <w:rPr>
          <w:b/>
          <w:sz w:val="24"/>
        </w:rPr>
      </w:pPr>
    </w:p>
    <w:p w14:paraId="2743522D" w14:textId="77777777" w:rsidR="00694EA4" w:rsidRPr="00727B08" w:rsidRDefault="00694EA4" w:rsidP="00694EA4">
      <w:r w:rsidRPr="00727B08">
        <w:t>FERC periodically reviews filing requirements as OMB review dates arise or as it may deem necessary in carrying out its regulatory responsibilities under the NGA.  All Commission information collections are subject to analysis by Commission staff and are examined for redundancy.  FERC has found no other source of this information.</w:t>
      </w:r>
    </w:p>
    <w:p w14:paraId="5CB44C4E" w14:textId="77777777" w:rsidR="00694EA4" w:rsidRDefault="00694EA4" w:rsidP="00694EA4"/>
    <w:p w14:paraId="0BE042E0" w14:textId="46D89528" w:rsidR="00694EA4" w:rsidRDefault="00694EA4" w:rsidP="00694EA4">
      <w:r>
        <w:t xml:space="preserve">DOE and FERC share the regulatory functions described in the NGA Section 3.  As stated in response to </w:t>
      </w:r>
      <w:r w:rsidR="00C46B04">
        <w:t>Q</w:t>
      </w:r>
      <w:r>
        <w:t>uestion</w:t>
      </w:r>
      <w:r w:rsidR="00C46B04">
        <w:t xml:space="preserve"> #</w:t>
      </w:r>
      <w:r>
        <w:t xml:space="preserve">1 above, the Commission has the authority to approve or disapprove the construction and operation of facilities related to the importation or exportation of natural gas.  DOE approves the importation or exportation of the natural gas commodity.  Any number of importers and exporters can use any of the facilities or points of import/export the Commission approves.  Also, the applicants to FERC and DOE tend to be completely different corporate segments of the industry.  FERC deals with pipeline and LNG terminal builders while DOE works with gas marketers and producers. </w:t>
      </w:r>
    </w:p>
    <w:p w14:paraId="35724C7D" w14:textId="77777777" w:rsidR="00694EA4" w:rsidRDefault="00694EA4" w:rsidP="00694EA4"/>
    <w:p w14:paraId="55F8CC53" w14:textId="7CED2B54" w:rsidR="00BD4039" w:rsidRPr="001F3ADE" w:rsidRDefault="00694EA4" w:rsidP="00694EA4">
      <w:r>
        <w:t>In summary, FERC collects information about a particular facility used for import/export in order to approve/disapprove construction and operation.  DOE collects information about the imported/exported natural gas.  The information collected by each agency is distinct and necessary to meet the purposes of the NGA</w:t>
      </w:r>
      <w:r w:rsidR="001F3ADE" w:rsidRPr="000B2C9D">
        <w:t>.</w:t>
      </w:r>
      <w:r w:rsidR="001F3ADE" w:rsidRPr="000B2C9D">
        <w:softHyphen/>
      </w:r>
    </w:p>
    <w:p w14:paraId="44C363AB" w14:textId="77777777" w:rsidR="00BD4039" w:rsidRPr="00BD4039" w:rsidRDefault="00BD4039" w:rsidP="00BD4039">
      <w:pPr>
        <w:pStyle w:val="FERCparanumber"/>
        <w:numPr>
          <w:ilvl w:val="0"/>
          <w:numId w:val="0"/>
        </w:numPr>
        <w:rPr>
          <w:sz w:val="24"/>
        </w:rPr>
      </w:pPr>
    </w:p>
    <w:p w14:paraId="16D376F5" w14:textId="77777777" w:rsidR="009D6B6D" w:rsidRPr="001D2EC1" w:rsidRDefault="009D6B6D" w:rsidP="005240A1">
      <w:pPr>
        <w:pStyle w:val="FERCparanumber"/>
        <w:numPr>
          <w:ilvl w:val="0"/>
          <w:numId w:val="7"/>
        </w:numPr>
        <w:rPr>
          <w:sz w:val="24"/>
        </w:rPr>
      </w:pPr>
      <w:r w:rsidRPr="00BD4039">
        <w:rPr>
          <w:b/>
          <w:sz w:val="24"/>
        </w:rPr>
        <w:t>METHODS USED TO MINIMIZE BURDEN IN COLLECTION OF INFORMATION INVOLVING SMALL ENTITIES</w:t>
      </w:r>
      <w:r w:rsidRPr="001D2EC1">
        <w:rPr>
          <w:sz w:val="24"/>
        </w:rPr>
        <w:t xml:space="preserve"> </w:t>
      </w:r>
    </w:p>
    <w:p w14:paraId="498754B1" w14:textId="77777777" w:rsidR="009D6B6D" w:rsidRPr="001D2EC1" w:rsidRDefault="009D6B6D" w:rsidP="001D2EC1">
      <w:pPr>
        <w:widowControl/>
        <w:ind w:left="1440"/>
      </w:pPr>
    </w:p>
    <w:p w14:paraId="67C8F346" w14:textId="376E37B1" w:rsidR="005240A1" w:rsidRDefault="00694EA4" w:rsidP="001F3ADE">
      <w:pPr>
        <w:pStyle w:val="FERCparanumber"/>
        <w:numPr>
          <w:ilvl w:val="0"/>
          <w:numId w:val="0"/>
        </w:numPr>
        <w:tabs>
          <w:tab w:val="num" w:pos="0"/>
        </w:tabs>
        <w:rPr>
          <w:sz w:val="24"/>
        </w:rPr>
      </w:pPr>
      <w:r w:rsidRPr="00727B08">
        <w:rPr>
          <w:sz w:val="24"/>
        </w:rPr>
        <w:t>The information requirements under FERC-539 apply to jurisdictional pipelines or companies.  Many of these pipelines do not fall within the Regulatory Flexibility Act’s (RFA) definition of a small entity</w:t>
      </w:r>
      <w:r w:rsidR="001F3ADE">
        <w:rPr>
          <w:sz w:val="24"/>
        </w:rPr>
        <w:t>.</w:t>
      </w:r>
    </w:p>
    <w:p w14:paraId="2329B0A1" w14:textId="77777777" w:rsidR="005240A1" w:rsidRDefault="005240A1" w:rsidP="005240A1">
      <w:pPr>
        <w:pStyle w:val="FERCparanumber"/>
        <w:numPr>
          <w:ilvl w:val="0"/>
          <w:numId w:val="0"/>
        </w:numPr>
        <w:tabs>
          <w:tab w:val="num" w:pos="0"/>
        </w:tabs>
        <w:rPr>
          <w:sz w:val="24"/>
        </w:rPr>
      </w:pPr>
    </w:p>
    <w:p w14:paraId="1169CF0E" w14:textId="77777777" w:rsidR="009D6B6D" w:rsidRPr="00BB6095" w:rsidRDefault="009D6B6D" w:rsidP="005240A1">
      <w:pPr>
        <w:pStyle w:val="FERCparanumber"/>
        <w:numPr>
          <w:ilvl w:val="0"/>
          <w:numId w:val="7"/>
        </w:numPr>
        <w:rPr>
          <w:sz w:val="24"/>
        </w:rPr>
      </w:pPr>
      <w:r w:rsidRPr="001D2EC1">
        <w:rPr>
          <w:b/>
          <w:sz w:val="24"/>
        </w:rPr>
        <w:t>CONSEQUENCE TO FEDERAL PROGRAM IF COLLECTION WERE CONDUCTED LESS FREQUENTLY</w:t>
      </w:r>
    </w:p>
    <w:p w14:paraId="23391944" w14:textId="77777777" w:rsidR="00BB6095" w:rsidRDefault="00BB6095" w:rsidP="00BB6095">
      <w:pPr>
        <w:pStyle w:val="FERCparanumber"/>
        <w:numPr>
          <w:ilvl w:val="0"/>
          <w:numId w:val="0"/>
        </w:numPr>
        <w:rPr>
          <w:b/>
          <w:sz w:val="24"/>
        </w:rPr>
      </w:pPr>
    </w:p>
    <w:p w14:paraId="608AFCA0" w14:textId="798D75FA" w:rsidR="00BB6095" w:rsidRPr="001D2EC1" w:rsidRDefault="00694EA4" w:rsidP="00BB6095">
      <w:pPr>
        <w:widowControl/>
      </w:pPr>
      <w:r w:rsidRPr="00727B08">
        <w:t xml:space="preserve">The Commission requires the FERC-539 information for statutory purposes as described in </w:t>
      </w:r>
      <w:r>
        <w:t>Question</w:t>
      </w:r>
      <w:r w:rsidRPr="00727B08">
        <w:t xml:space="preserve"> #1 above and the collection cannot be discontinued nor collected less frequently.  The information that must be submitted to the Commission is event driven.  Without such information, the Commission would be unable to fulfill its statutory responsibilities</w:t>
      </w:r>
      <w:r w:rsidR="001F3ADE" w:rsidRPr="00A54CDD">
        <w:t>.</w:t>
      </w:r>
    </w:p>
    <w:p w14:paraId="4F0A656F" w14:textId="77777777" w:rsidR="00BB6095" w:rsidRPr="00BB6095" w:rsidRDefault="00BB6095" w:rsidP="00BB6095">
      <w:pPr>
        <w:pStyle w:val="FERCparanumber"/>
        <w:numPr>
          <w:ilvl w:val="0"/>
          <w:numId w:val="0"/>
        </w:numPr>
        <w:rPr>
          <w:sz w:val="24"/>
        </w:rPr>
      </w:pPr>
    </w:p>
    <w:p w14:paraId="5CE22EF6" w14:textId="77777777" w:rsidR="00BB6095" w:rsidRPr="00BB6095" w:rsidRDefault="00BB6095" w:rsidP="005240A1">
      <w:pPr>
        <w:pStyle w:val="FERCparanumber"/>
        <w:numPr>
          <w:ilvl w:val="0"/>
          <w:numId w:val="7"/>
        </w:numPr>
        <w:rPr>
          <w:sz w:val="24"/>
        </w:rPr>
      </w:pPr>
      <w:r w:rsidRPr="001D2EC1">
        <w:rPr>
          <w:b/>
          <w:sz w:val="24"/>
        </w:rPr>
        <w:t>EXPLAIN ANY SPECIAL CIRCUMSTANCES RELATING TO THE INFORMATION</w:t>
      </w:r>
    </w:p>
    <w:p w14:paraId="6C3072D3" w14:textId="77777777" w:rsidR="00BB6095" w:rsidRDefault="00BB6095" w:rsidP="00BB6095">
      <w:pPr>
        <w:pStyle w:val="FERCparanumber"/>
        <w:numPr>
          <w:ilvl w:val="0"/>
          <w:numId w:val="0"/>
        </w:numPr>
        <w:rPr>
          <w:b/>
          <w:sz w:val="24"/>
        </w:rPr>
      </w:pPr>
    </w:p>
    <w:p w14:paraId="19B1F23B" w14:textId="6359D616" w:rsidR="00BB6095" w:rsidRPr="001D2EC1" w:rsidRDefault="00694EA4" w:rsidP="00BB6095">
      <w:r w:rsidRPr="00727B08">
        <w:t xml:space="preserve">FERC-539 meets all of OMB's </w:t>
      </w:r>
      <w:r>
        <w:t>S</w:t>
      </w:r>
      <w:r w:rsidRPr="00727B08">
        <w:t>ection 1320.5 requirements, except 1320.5(d) (2) (iii).  The application may be eFiled through FERC’s eFiling system.  For applications that are eFiled</w:t>
      </w:r>
      <w:r>
        <w:t>,</w:t>
      </w:r>
      <w:r w:rsidRPr="00727B08">
        <w:t xml:space="preserve"> </w:t>
      </w:r>
      <w:r>
        <w:t>two</w:t>
      </w:r>
      <w:r w:rsidRPr="00727B08">
        <w:t xml:space="preserve"> additional paper copies are required for use by the Office of Energy Projects.  The copies are distributed to FERC staff involved in the review process and are necessary to ensure a timely </w:t>
      </w:r>
      <w:r w:rsidRPr="00727B08">
        <w:lastRenderedPageBreak/>
        <w:t>review of the submitted materials</w:t>
      </w:r>
      <w:r w:rsidR="00CB3EA0" w:rsidRPr="000B2C9D">
        <w:t>.</w:t>
      </w:r>
      <w:r w:rsidR="00BB6095" w:rsidRPr="001D2EC1">
        <w:t xml:space="preserve"> </w:t>
      </w:r>
    </w:p>
    <w:p w14:paraId="5AA6725C" w14:textId="77777777" w:rsidR="00BB6095" w:rsidRPr="00BB6095" w:rsidRDefault="00BB6095" w:rsidP="00BB6095">
      <w:pPr>
        <w:pStyle w:val="FERCparanumber"/>
        <w:numPr>
          <w:ilvl w:val="0"/>
          <w:numId w:val="0"/>
        </w:numPr>
        <w:rPr>
          <w:sz w:val="24"/>
        </w:rPr>
      </w:pPr>
    </w:p>
    <w:p w14:paraId="3E7E24B7" w14:textId="77777777" w:rsidR="009D6B6D" w:rsidRPr="00BB6095" w:rsidRDefault="00BB6095" w:rsidP="001D2EC1">
      <w:pPr>
        <w:pStyle w:val="FERCparanumber"/>
        <w:numPr>
          <w:ilvl w:val="0"/>
          <w:numId w:val="7"/>
        </w:numPr>
        <w:rPr>
          <w:sz w:val="24"/>
        </w:rPr>
      </w:pPr>
      <w:r w:rsidRPr="001D2EC1">
        <w:rPr>
          <w:b/>
          <w:sz w:val="24"/>
        </w:rPr>
        <w:t>DESCRIBE EFFORTS TO CONSULT OUTSIDE THE AGENCY: SUMMARIZE PUBLIC COMMENTS AND THE AGENCY’S RESPONSE TO THESE COMMENTS</w:t>
      </w:r>
    </w:p>
    <w:p w14:paraId="08534C89" w14:textId="77777777" w:rsidR="00BB6095" w:rsidRDefault="00BB6095" w:rsidP="00BB6095">
      <w:pPr>
        <w:pStyle w:val="FERCparanumber"/>
        <w:numPr>
          <w:ilvl w:val="0"/>
          <w:numId w:val="0"/>
        </w:numPr>
        <w:rPr>
          <w:b/>
          <w:sz w:val="24"/>
        </w:rPr>
      </w:pPr>
    </w:p>
    <w:p w14:paraId="7EABE541" w14:textId="4EC49F32" w:rsidR="00BB6095" w:rsidRPr="001D2EC1" w:rsidRDefault="00BB6095" w:rsidP="00BB6095">
      <w:r w:rsidRPr="00E138E1">
        <w:t>In accordance with OMB requirements, the Commission published a 60-day notice</w:t>
      </w:r>
      <w:bookmarkStart w:id="0" w:name="_Ref332712251"/>
      <w:r w:rsidRPr="00E138E1">
        <w:rPr>
          <w:rStyle w:val="FootnoteReference"/>
          <w:vertAlign w:val="superscript"/>
        </w:rPr>
        <w:footnoteReference w:id="3"/>
      </w:r>
      <w:bookmarkEnd w:id="0"/>
      <w:r w:rsidRPr="00E138E1">
        <w:t xml:space="preserve"> and a 30-day notice</w:t>
      </w:r>
      <w:r w:rsidRPr="00E138E1">
        <w:rPr>
          <w:rStyle w:val="FootnoteReference"/>
          <w:vertAlign w:val="superscript"/>
        </w:rPr>
        <w:footnoteReference w:id="4"/>
      </w:r>
      <w:r w:rsidRPr="00E138E1">
        <w:t xml:space="preserve"> to the public regarding this information collection on </w:t>
      </w:r>
      <w:r w:rsidR="00CB3EA0">
        <w:t>4/</w:t>
      </w:r>
      <w:r w:rsidR="00694EA4">
        <w:t>13</w:t>
      </w:r>
      <w:r w:rsidR="00CB3EA0">
        <w:t>/</w:t>
      </w:r>
      <w:r w:rsidR="00CB3EA0" w:rsidRPr="001718FA">
        <w:t>2016</w:t>
      </w:r>
      <w:r w:rsidRPr="001718FA">
        <w:t xml:space="preserve"> and </w:t>
      </w:r>
      <w:r w:rsidR="001718FA" w:rsidRPr="001718FA">
        <w:t>7/29</w:t>
      </w:r>
      <w:r w:rsidR="006C1E96" w:rsidRPr="001718FA">
        <w:t>/2016</w:t>
      </w:r>
      <w:r w:rsidRPr="001718FA">
        <w:t>,</w:t>
      </w:r>
      <w:r w:rsidRPr="00E138E1">
        <w:t xml:space="preserve"> respectively. Within the public notice, the Commission noted that it would be requesting a three-year extension of the public reporting burden with no change to the existing requirements concerning the collection of data.  The Commission received no comments.</w:t>
      </w:r>
      <w:r w:rsidRPr="001D2EC1">
        <w:t xml:space="preserve">  </w:t>
      </w:r>
    </w:p>
    <w:p w14:paraId="2386E560" w14:textId="77777777" w:rsidR="00BB6095" w:rsidRPr="00BB6095" w:rsidRDefault="00BB6095" w:rsidP="00BB6095">
      <w:pPr>
        <w:pStyle w:val="FERCparanumber"/>
        <w:numPr>
          <w:ilvl w:val="0"/>
          <w:numId w:val="0"/>
        </w:numPr>
        <w:rPr>
          <w:sz w:val="24"/>
        </w:rPr>
      </w:pPr>
    </w:p>
    <w:p w14:paraId="091A69F9" w14:textId="77777777" w:rsidR="009D6B6D" w:rsidRPr="00BB6095" w:rsidRDefault="00BB6095" w:rsidP="001D2EC1">
      <w:pPr>
        <w:pStyle w:val="FERCparanumber"/>
        <w:numPr>
          <w:ilvl w:val="0"/>
          <w:numId w:val="7"/>
        </w:numPr>
        <w:rPr>
          <w:sz w:val="24"/>
        </w:rPr>
      </w:pPr>
      <w:r w:rsidRPr="001D2EC1">
        <w:rPr>
          <w:b/>
          <w:sz w:val="24"/>
        </w:rPr>
        <w:t>EXPLAIN ANY PAYMENT OR GIFTS TO RESPONDENTS</w:t>
      </w:r>
    </w:p>
    <w:p w14:paraId="55601D9E" w14:textId="77777777" w:rsidR="00BB6095" w:rsidRDefault="00BB6095" w:rsidP="00BB6095">
      <w:pPr>
        <w:pStyle w:val="FERCparanumber"/>
        <w:numPr>
          <w:ilvl w:val="0"/>
          <w:numId w:val="0"/>
        </w:numPr>
        <w:rPr>
          <w:b/>
          <w:sz w:val="24"/>
        </w:rPr>
      </w:pPr>
    </w:p>
    <w:p w14:paraId="635D1E06" w14:textId="0F3F30A8" w:rsidR="00BB6095" w:rsidRPr="001D2EC1" w:rsidRDefault="00BB6095" w:rsidP="00BB6095">
      <w:pPr>
        <w:widowControl/>
      </w:pPr>
      <w:r w:rsidRPr="001D2EC1">
        <w:t xml:space="preserve">There are no payments or gifts to respondents </w:t>
      </w:r>
      <w:r w:rsidR="00FF6950">
        <w:t xml:space="preserve">of </w:t>
      </w:r>
      <w:r w:rsidRPr="001D2EC1">
        <w:t>this collection.</w:t>
      </w:r>
    </w:p>
    <w:p w14:paraId="0655AE0A" w14:textId="77777777" w:rsidR="00BB6095" w:rsidRDefault="00BB6095" w:rsidP="00BB6095">
      <w:pPr>
        <w:pStyle w:val="FERCparanumber"/>
        <w:numPr>
          <w:ilvl w:val="0"/>
          <w:numId w:val="0"/>
        </w:numPr>
        <w:rPr>
          <w:b/>
          <w:sz w:val="24"/>
        </w:rPr>
      </w:pPr>
    </w:p>
    <w:p w14:paraId="200271A7" w14:textId="77777777" w:rsidR="00BB6095" w:rsidRPr="00BB6095" w:rsidRDefault="00BB6095" w:rsidP="00BB6095">
      <w:pPr>
        <w:pStyle w:val="FERCparanumber"/>
        <w:numPr>
          <w:ilvl w:val="0"/>
          <w:numId w:val="0"/>
        </w:numPr>
        <w:rPr>
          <w:sz w:val="24"/>
        </w:rPr>
      </w:pPr>
    </w:p>
    <w:p w14:paraId="18CEDA1A" w14:textId="77777777" w:rsidR="009D6B6D" w:rsidRPr="00BB6095" w:rsidRDefault="00BB6095" w:rsidP="001D2EC1">
      <w:pPr>
        <w:pStyle w:val="FERCparanumber"/>
        <w:numPr>
          <w:ilvl w:val="0"/>
          <w:numId w:val="7"/>
        </w:numPr>
        <w:rPr>
          <w:sz w:val="24"/>
        </w:rPr>
      </w:pPr>
      <w:r w:rsidRPr="001D2EC1">
        <w:rPr>
          <w:b/>
          <w:sz w:val="24"/>
        </w:rPr>
        <w:t>DESCRIBE ANY ASSURANCE OF CONFIDENTIALITY PROVIDED TO RESPONDENTS</w:t>
      </w:r>
    </w:p>
    <w:p w14:paraId="5291E765" w14:textId="77777777" w:rsidR="00BB6095" w:rsidRDefault="00BB6095" w:rsidP="00BB6095">
      <w:pPr>
        <w:pStyle w:val="FERCparanumber"/>
        <w:numPr>
          <w:ilvl w:val="0"/>
          <w:numId w:val="0"/>
        </w:numPr>
        <w:rPr>
          <w:b/>
          <w:sz w:val="24"/>
        </w:rPr>
      </w:pPr>
    </w:p>
    <w:p w14:paraId="4266E043" w14:textId="063A68A3" w:rsidR="001F60CC" w:rsidRDefault="00694EA4" w:rsidP="001F60CC">
      <w:r w:rsidRPr="00727B08">
        <w:t>The Commission does not consider the information to be confidential.   However, the Commission has encouraged prospective applicants to submit preliminary corridor or route information maps which may contain Critical Energy Infrastructure Information (CEII).  CEII</w:t>
      </w:r>
      <w:r>
        <w:t>,</w:t>
      </w:r>
      <w:r w:rsidRPr="00727B08">
        <w:t xml:space="preserve"> as defined in </w:t>
      </w:r>
      <w:r>
        <w:t>S</w:t>
      </w:r>
      <w:r w:rsidRPr="00727B08">
        <w:t>ection 388.113 of the Commission’s regulations</w:t>
      </w:r>
      <w:r>
        <w:t>,</w:t>
      </w:r>
      <w:r w:rsidRPr="00727B08">
        <w:t xml:space="preserve"> includes information about proposed or existing natural gas facilities that could </w:t>
      </w:r>
      <w:r>
        <w:t>compromise</w:t>
      </w:r>
      <w:r w:rsidRPr="00727B08">
        <w:t xml:space="preserve"> critical energy infrastructure.  The Commission’s procedures in </w:t>
      </w:r>
      <w:r w:rsidR="009F026D">
        <w:t xml:space="preserve">18 CFR </w:t>
      </w:r>
      <w:r>
        <w:t>S</w:t>
      </w:r>
      <w:r w:rsidRPr="00727B08">
        <w:t xml:space="preserve">ection 388.112 </w:t>
      </w:r>
      <w:r w:rsidR="009F026D">
        <w:t xml:space="preserve">for requesting privileged and CEII treatment of submittals </w:t>
      </w:r>
      <w:r w:rsidRPr="00727B08">
        <w:t>are desiged to ensure that CEII is not placed in the Commission’s public records</w:t>
      </w:r>
      <w:r>
        <w:t>.</w:t>
      </w:r>
      <w:r w:rsidR="001F60CC" w:rsidRPr="000B2C9D">
        <w:t xml:space="preserve"> </w:t>
      </w:r>
    </w:p>
    <w:p w14:paraId="7FB64A9E" w14:textId="77777777" w:rsidR="00BB6095" w:rsidRPr="00BB6095" w:rsidRDefault="00BB6095" w:rsidP="00BB6095">
      <w:pPr>
        <w:pStyle w:val="FERCparanumber"/>
        <w:numPr>
          <w:ilvl w:val="0"/>
          <w:numId w:val="0"/>
        </w:numPr>
        <w:rPr>
          <w:sz w:val="24"/>
        </w:rPr>
      </w:pPr>
    </w:p>
    <w:p w14:paraId="0F599F44" w14:textId="6387DEE9" w:rsidR="009D6B6D" w:rsidRPr="00BB6095" w:rsidRDefault="00BB6095" w:rsidP="001D2EC1">
      <w:pPr>
        <w:pStyle w:val="FERCparanumber"/>
        <w:numPr>
          <w:ilvl w:val="0"/>
          <w:numId w:val="7"/>
        </w:numPr>
        <w:rPr>
          <w:sz w:val="24"/>
        </w:rPr>
      </w:pPr>
      <w:r w:rsidRPr="001D2EC1">
        <w:rPr>
          <w:b/>
          <w:sz w:val="24"/>
        </w:rPr>
        <w:t>PROVIDE ADDITIONAL JUSTIFICATION FOR ANY QUESTIONS OF A SENSITIVE NATURE</w:t>
      </w:r>
      <w:r w:rsidR="00860C58">
        <w:rPr>
          <w:b/>
          <w:sz w:val="24"/>
        </w:rPr>
        <w:t xml:space="preserve">, </w:t>
      </w:r>
      <w:r w:rsidR="00860C58" w:rsidRPr="00C62F55">
        <w:rPr>
          <w:b/>
          <w:sz w:val="24"/>
        </w:rPr>
        <w:t>SUCH AS SEXUAL BEHAVIOR AND ATTITUDES, RELIGIOUS BELIEFS, AND OTHER MATTERS THAT ARE COMMONLY CONSIDERED PRIVATE</w:t>
      </w:r>
    </w:p>
    <w:p w14:paraId="7C3F9D96" w14:textId="77777777" w:rsidR="00BB6095" w:rsidRDefault="00BB6095" w:rsidP="00BB6095">
      <w:pPr>
        <w:pStyle w:val="FERCparanumber"/>
        <w:numPr>
          <w:ilvl w:val="0"/>
          <w:numId w:val="0"/>
        </w:numPr>
        <w:rPr>
          <w:b/>
          <w:sz w:val="24"/>
        </w:rPr>
      </w:pPr>
    </w:p>
    <w:p w14:paraId="2F8D71F0" w14:textId="77777777" w:rsidR="00BB6095" w:rsidRPr="001D2EC1" w:rsidRDefault="00BB6095" w:rsidP="00BB6095">
      <w:pPr>
        <w:widowControl/>
        <w:rPr>
          <w:b/>
        </w:rPr>
      </w:pPr>
      <w:r w:rsidRPr="001D2EC1">
        <w:t xml:space="preserve">There are no questions of a sensitive nature associated with the reporting requirements.  </w:t>
      </w:r>
    </w:p>
    <w:p w14:paraId="6058D422" w14:textId="77777777" w:rsidR="00BB6095" w:rsidRPr="00BB6095" w:rsidRDefault="00BB6095" w:rsidP="00BB6095">
      <w:pPr>
        <w:pStyle w:val="FERCparanumber"/>
        <w:numPr>
          <w:ilvl w:val="0"/>
          <w:numId w:val="0"/>
        </w:numPr>
        <w:rPr>
          <w:sz w:val="24"/>
        </w:rPr>
      </w:pPr>
    </w:p>
    <w:p w14:paraId="4ACF1549" w14:textId="77777777" w:rsidR="00BB6095" w:rsidRPr="00BB6095" w:rsidRDefault="00BB6095" w:rsidP="001D2EC1">
      <w:pPr>
        <w:pStyle w:val="FERCparanumber"/>
        <w:numPr>
          <w:ilvl w:val="0"/>
          <w:numId w:val="7"/>
        </w:numPr>
        <w:rPr>
          <w:sz w:val="24"/>
        </w:rPr>
      </w:pPr>
      <w:r w:rsidRPr="001D2EC1">
        <w:rPr>
          <w:b/>
          <w:sz w:val="24"/>
        </w:rPr>
        <w:t>ESTIMATED BURDEN COLLECTION OF INFORMATION</w:t>
      </w:r>
    </w:p>
    <w:p w14:paraId="057071CE" w14:textId="77777777" w:rsidR="00BB6095" w:rsidRDefault="00BB6095" w:rsidP="00BB6095">
      <w:pPr>
        <w:pStyle w:val="FERCparanumber"/>
        <w:numPr>
          <w:ilvl w:val="0"/>
          <w:numId w:val="0"/>
        </w:numPr>
        <w:rPr>
          <w:b/>
          <w:sz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5"/>
        <w:gridCol w:w="1495"/>
        <w:gridCol w:w="1409"/>
        <w:gridCol w:w="2104"/>
        <w:gridCol w:w="1757"/>
        <w:gridCol w:w="1759"/>
      </w:tblGrid>
      <w:tr w:rsidR="00694EA4" w:rsidRPr="009C54E7" w14:paraId="582C5EBA" w14:textId="77777777" w:rsidTr="00425B68">
        <w:trPr>
          <w:cantSplit/>
        </w:trPr>
        <w:tc>
          <w:tcPr>
            <w:tcW w:w="5000" w:type="pct"/>
            <w:gridSpan w:val="6"/>
            <w:tcBorders>
              <w:bottom w:val="single" w:sz="4" w:space="0" w:color="auto"/>
            </w:tcBorders>
            <w:shd w:val="clear" w:color="auto" w:fill="D9D9D9"/>
          </w:tcPr>
          <w:p w14:paraId="17ACB870" w14:textId="77777777" w:rsidR="00694EA4" w:rsidRPr="009C54E7" w:rsidRDefault="00694EA4" w:rsidP="00425B68">
            <w:pPr>
              <w:jc w:val="center"/>
              <w:rPr>
                <w:rFonts w:eastAsia="Calibri"/>
                <w:b/>
                <w:sz w:val="20"/>
                <w:szCs w:val="20"/>
              </w:rPr>
            </w:pPr>
            <w:r w:rsidRPr="009C54E7">
              <w:rPr>
                <w:rFonts w:eastAsia="Calibri"/>
                <w:b/>
                <w:sz w:val="20"/>
                <w:szCs w:val="20"/>
              </w:rPr>
              <w:t xml:space="preserve">FERC-539: </w:t>
            </w:r>
            <w:r w:rsidRPr="009C54E7">
              <w:rPr>
                <w:rFonts w:eastAsia="Calibri"/>
                <w:b/>
                <w:bCs/>
                <w:sz w:val="20"/>
                <w:szCs w:val="20"/>
              </w:rPr>
              <w:t>Gas Pipeline Certificates: Import &amp; Export Related Applications</w:t>
            </w:r>
          </w:p>
        </w:tc>
      </w:tr>
      <w:tr w:rsidR="00694EA4" w:rsidRPr="009C54E7" w14:paraId="232D2540" w14:textId="77777777" w:rsidTr="00425B68">
        <w:trPr>
          <w:cantSplit/>
        </w:trPr>
        <w:tc>
          <w:tcPr>
            <w:tcW w:w="746" w:type="pct"/>
            <w:shd w:val="clear" w:color="auto" w:fill="D9D9D9"/>
            <w:vAlign w:val="bottom"/>
          </w:tcPr>
          <w:p w14:paraId="393AEEB2" w14:textId="77777777" w:rsidR="00694EA4" w:rsidRPr="009C54E7" w:rsidRDefault="00694EA4" w:rsidP="00425B68">
            <w:pPr>
              <w:jc w:val="center"/>
              <w:rPr>
                <w:rFonts w:eastAsia="Calibri"/>
                <w:b/>
                <w:sz w:val="20"/>
                <w:szCs w:val="20"/>
              </w:rPr>
            </w:pPr>
            <w:r w:rsidRPr="009C54E7">
              <w:rPr>
                <w:rFonts w:eastAsia="Calibri"/>
                <w:b/>
                <w:sz w:val="20"/>
                <w:szCs w:val="20"/>
              </w:rPr>
              <w:t>Number of Respondents</w:t>
            </w:r>
            <w:r w:rsidRPr="009C54E7">
              <w:rPr>
                <w:rFonts w:eastAsia="Calibri"/>
                <w:b/>
                <w:sz w:val="20"/>
                <w:szCs w:val="20"/>
              </w:rPr>
              <w:br/>
              <w:t>(1)</w:t>
            </w:r>
          </w:p>
        </w:tc>
        <w:tc>
          <w:tcPr>
            <w:tcW w:w="746" w:type="pct"/>
            <w:shd w:val="clear" w:color="auto" w:fill="D9D9D9"/>
            <w:vAlign w:val="bottom"/>
          </w:tcPr>
          <w:p w14:paraId="24E3F670" w14:textId="77777777" w:rsidR="00694EA4" w:rsidRPr="009C54E7" w:rsidRDefault="00694EA4" w:rsidP="00425B68">
            <w:pPr>
              <w:jc w:val="center"/>
              <w:rPr>
                <w:rFonts w:eastAsia="Calibri"/>
                <w:b/>
                <w:sz w:val="20"/>
                <w:szCs w:val="20"/>
              </w:rPr>
            </w:pPr>
            <w:r w:rsidRPr="009C54E7">
              <w:rPr>
                <w:rFonts w:eastAsia="Calibri"/>
                <w:b/>
                <w:sz w:val="20"/>
                <w:szCs w:val="20"/>
              </w:rPr>
              <w:t>Annual Number of Responses per Respondent</w:t>
            </w:r>
          </w:p>
          <w:p w14:paraId="5871DD02" w14:textId="77777777" w:rsidR="00694EA4" w:rsidRPr="009C54E7" w:rsidRDefault="00694EA4" w:rsidP="00425B68">
            <w:pPr>
              <w:jc w:val="center"/>
              <w:rPr>
                <w:rFonts w:eastAsia="Calibri"/>
                <w:b/>
                <w:sz w:val="20"/>
                <w:szCs w:val="20"/>
              </w:rPr>
            </w:pPr>
            <w:r w:rsidRPr="009C54E7">
              <w:rPr>
                <w:rFonts w:eastAsia="Calibri"/>
                <w:b/>
                <w:sz w:val="20"/>
                <w:szCs w:val="20"/>
              </w:rPr>
              <w:t>(2)</w:t>
            </w:r>
          </w:p>
        </w:tc>
        <w:tc>
          <w:tcPr>
            <w:tcW w:w="703" w:type="pct"/>
            <w:shd w:val="clear" w:color="auto" w:fill="D9D9D9"/>
            <w:vAlign w:val="bottom"/>
          </w:tcPr>
          <w:p w14:paraId="23388A04" w14:textId="77777777" w:rsidR="00694EA4" w:rsidRPr="009C54E7" w:rsidRDefault="00694EA4" w:rsidP="00425B68">
            <w:pPr>
              <w:jc w:val="center"/>
              <w:rPr>
                <w:rFonts w:eastAsia="Calibri"/>
                <w:b/>
                <w:sz w:val="20"/>
                <w:szCs w:val="20"/>
              </w:rPr>
            </w:pPr>
            <w:r w:rsidRPr="009C54E7">
              <w:rPr>
                <w:rFonts w:eastAsia="Calibri"/>
                <w:b/>
                <w:sz w:val="20"/>
                <w:szCs w:val="20"/>
              </w:rPr>
              <w:t>Total Number of Responses (1)*(2)=(3)</w:t>
            </w:r>
          </w:p>
        </w:tc>
        <w:tc>
          <w:tcPr>
            <w:tcW w:w="1050" w:type="pct"/>
            <w:shd w:val="clear" w:color="auto" w:fill="D9D9D9"/>
            <w:vAlign w:val="bottom"/>
          </w:tcPr>
          <w:p w14:paraId="4B1391B2" w14:textId="77777777" w:rsidR="00694EA4" w:rsidRPr="009C54E7" w:rsidRDefault="00694EA4" w:rsidP="00425B68">
            <w:pPr>
              <w:jc w:val="center"/>
              <w:rPr>
                <w:rFonts w:eastAsia="Calibri"/>
                <w:b/>
                <w:sz w:val="20"/>
                <w:szCs w:val="20"/>
              </w:rPr>
            </w:pPr>
            <w:r w:rsidRPr="009C54E7">
              <w:rPr>
                <w:rFonts w:eastAsia="Calibri"/>
                <w:b/>
                <w:sz w:val="20"/>
                <w:szCs w:val="20"/>
              </w:rPr>
              <w:t>Average Burden &amp; Cost Per Response</w:t>
            </w:r>
            <w:r w:rsidRPr="006A60CF">
              <w:rPr>
                <w:rFonts w:eastAsia="Calibri"/>
                <w:b/>
                <w:sz w:val="20"/>
                <w:szCs w:val="20"/>
                <w:vertAlign w:val="superscript"/>
              </w:rPr>
              <w:footnoteReference w:id="5"/>
            </w:r>
          </w:p>
          <w:p w14:paraId="48C93620" w14:textId="77777777" w:rsidR="00694EA4" w:rsidRPr="009C54E7" w:rsidRDefault="00694EA4" w:rsidP="00425B68">
            <w:pPr>
              <w:jc w:val="center"/>
              <w:rPr>
                <w:rFonts w:eastAsia="Calibri"/>
                <w:b/>
                <w:sz w:val="20"/>
                <w:szCs w:val="20"/>
              </w:rPr>
            </w:pPr>
            <w:r w:rsidRPr="009C54E7">
              <w:rPr>
                <w:rFonts w:eastAsia="Calibri"/>
                <w:b/>
                <w:sz w:val="20"/>
                <w:szCs w:val="20"/>
              </w:rPr>
              <w:t>(4)</w:t>
            </w:r>
          </w:p>
        </w:tc>
        <w:tc>
          <w:tcPr>
            <w:tcW w:w="877" w:type="pct"/>
            <w:shd w:val="clear" w:color="auto" w:fill="D9D9D9"/>
            <w:vAlign w:val="bottom"/>
          </w:tcPr>
          <w:p w14:paraId="6A2E4902" w14:textId="77777777" w:rsidR="00694EA4" w:rsidRPr="009C54E7" w:rsidRDefault="00694EA4" w:rsidP="00425B68">
            <w:pPr>
              <w:jc w:val="center"/>
              <w:rPr>
                <w:rFonts w:eastAsia="Calibri"/>
                <w:b/>
                <w:sz w:val="20"/>
                <w:szCs w:val="20"/>
              </w:rPr>
            </w:pPr>
            <w:r w:rsidRPr="009C54E7">
              <w:rPr>
                <w:rFonts w:eastAsia="Calibri"/>
                <w:b/>
                <w:sz w:val="20"/>
                <w:szCs w:val="20"/>
              </w:rPr>
              <w:t>Total Annual Burden Hours &amp; Total Annual Cost</w:t>
            </w:r>
          </w:p>
          <w:p w14:paraId="0CB3B456" w14:textId="77777777" w:rsidR="00694EA4" w:rsidRPr="009C54E7" w:rsidRDefault="00694EA4" w:rsidP="00425B68">
            <w:pPr>
              <w:jc w:val="center"/>
              <w:rPr>
                <w:rFonts w:eastAsia="Calibri"/>
                <w:b/>
                <w:sz w:val="20"/>
                <w:szCs w:val="20"/>
              </w:rPr>
            </w:pPr>
            <w:r w:rsidRPr="009C54E7">
              <w:rPr>
                <w:rFonts w:eastAsia="Calibri"/>
                <w:b/>
                <w:sz w:val="20"/>
                <w:szCs w:val="20"/>
              </w:rPr>
              <w:t>(3)*(4)=(5)</w:t>
            </w:r>
          </w:p>
        </w:tc>
        <w:tc>
          <w:tcPr>
            <w:tcW w:w="878" w:type="pct"/>
            <w:shd w:val="clear" w:color="auto" w:fill="D9D9D9"/>
            <w:vAlign w:val="bottom"/>
          </w:tcPr>
          <w:p w14:paraId="6519FC37" w14:textId="77777777" w:rsidR="00694EA4" w:rsidRPr="009C54E7" w:rsidRDefault="00694EA4" w:rsidP="00425B68">
            <w:pPr>
              <w:jc w:val="center"/>
              <w:rPr>
                <w:rFonts w:eastAsia="Calibri"/>
                <w:b/>
                <w:sz w:val="20"/>
                <w:szCs w:val="20"/>
              </w:rPr>
            </w:pPr>
            <w:r w:rsidRPr="009C54E7">
              <w:rPr>
                <w:rFonts w:eastAsia="Calibri"/>
                <w:b/>
                <w:sz w:val="20"/>
                <w:szCs w:val="20"/>
              </w:rPr>
              <w:t>Cost per Respondent</w:t>
            </w:r>
          </w:p>
          <w:p w14:paraId="30EDB3EE" w14:textId="77777777" w:rsidR="00694EA4" w:rsidRPr="009C54E7" w:rsidRDefault="00694EA4" w:rsidP="00425B68">
            <w:pPr>
              <w:jc w:val="center"/>
              <w:rPr>
                <w:rFonts w:eastAsia="Calibri"/>
                <w:b/>
                <w:sz w:val="20"/>
                <w:szCs w:val="20"/>
              </w:rPr>
            </w:pPr>
            <w:r w:rsidRPr="009C54E7">
              <w:rPr>
                <w:rFonts w:eastAsia="Calibri"/>
                <w:b/>
                <w:sz w:val="20"/>
                <w:szCs w:val="20"/>
              </w:rPr>
              <w:t xml:space="preserve"> ($)</w:t>
            </w:r>
          </w:p>
          <w:p w14:paraId="2A1C8528" w14:textId="77777777" w:rsidR="00694EA4" w:rsidRPr="009C54E7" w:rsidRDefault="00694EA4" w:rsidP="00425B68">
            <w:pPr>
              <w:jc w:val="center"/>
              <w:rPr>
                <w:rFonts w:eastAsia="Calibri"/>
                <w:b/>
                <w:sz w:val="20"/>
                <w:szCs w:val="20"/>
              </w:rPr>
            </w:pPr>
            <w:r w:rsidRPr="009C54E7">
              <w:rPr>
                <w:rFonts w:eastAsia="Calibri"/>
                <w:b/>
                <w:sz w:val="20"/>
                <w:szCs w:val="20"/>
              </w:rPr>
              <w:t>(5)÷(1)</w:t>
            </w:r>
          </w:p>
        </w:tc>
      </w:tr>
      <w:tr w:rsidR="00694EA4" w:rsidRPr="009C54E7" w14:paraId="46F1B2C8" w14:textId="77777777" w:rsidTr="00425B68">
        <w:trPr>
          <w:cantSplit/>
        </w:trPr>
        <w:tc>
          <w:tcPr>
            <w:tcW w:w="746" w:type="pct"/>
          </w:tcPr>
          <w:p w14:paraId="15FADA4D" w14:textId="77777777" w:rsidR="00694EA4" w:rsidRPr="009C54E7" w:rsidRDefault="00694EA4" w:rsidP="00425B68">
            <w:pPr>
              <w:jc w:val="right"/>
              <w:rPr>
                <w:rFonts w:eastAsia="Calibri"/>
                <w:sz w:val="20"/>
                <w:szCs w:val="20"/>
              </w:rPr>
            </w:pPr>
            <w:r>
              <w:rPr>
                <w:rFonts w:eastAsia="Calibri"/>
                <w:sz w:val="20"/>
                <w:szCs w:val="20"/>
              </w:rPr>
              <w:t>12</w:t>
            </w:r>
          </w:p>
          <w:p w14:paraId="53956B7A" w14:textId="77777777" w:rsidR="00694EA4" w:rsidRPr="009C54E7" w:rsidRDefault="00694EA4" w:rsidP="00425B68">
            <w:pPr>
              <w:jc w:val="right"/>
              <w:rPr>
                <w:rFonts w:eastAsia="Calibri"/>
                <w:sz w:val="20"/>
                <w:szCs w:val="20"/>
              </w:rPr>
            </w:pPr>
          </w:p>
        </w:tc>
        <w:tc>
          <w:tcPr>
            <w:tcW w:w="746" w:type="pct"/>
          </w:tcPr>
          <w:p w14:paraId="2649074E" w14:textId="77777777" w:rsidR="00694EA4" w:rsidRPr="009C54E7" w:rsidRDefault="00694EA4" w:rsidP="00425B68">
            <w:pPr>
              <w:jc w:val="right"/>
              <w:rPr>
                <w:rFonts w:eastAsia="Calibri"/>
                <w:sz w:val="20"/>
                <w:szCs w:val="20"/>
              </w:rPr>
            </w:pPr>
            <w:r w:rsidRPr="009C54E7">
              <w:rPr>
                <w:rFonts w:eastAsia="Calibri"/>
                <w:sz w:val="20"/>
                <w:szCs w:val="20"/>
              </w:rPr>
              <w:t>2</w:t>
            </w:r>
          </w:p>
        </w:tc>
        <w:tc>
          <w:tcPr>
            <w:tcW w:w="703" w:type="pct"/>
          </w:tcPr>
          <w:p w14:paraId="5AAA08F6" w14:textId="77777777" w:rsidR="00694EA4" w:rsidRPr="009C54E7" w:rsidRDefault="00694EA4" w:rsidP="00425B68">
            <w:pPr>
              <w:jc w:val="right"/>
              <w:rPr>
                <w:rFonts w:eastAsia="Calibri"/>
                <w:sz w:val="20"/>
                <w:szCs w:val="20"/>
              </w:rPr>
            </w:pPr>
            <w:r>
              <w:rPr>
                <w:rFonts w:eastAsia="Calibri"/>
                <w:sz w:val="20"/>
                <w:szCs w:val="20"/>
              </w:rPr>
              <w:t>24</w:t>
            </w:r>
          </w:p>
        </w:tc>
        <w:tc>
          <w:tcPr>
            <w:tcW w:w="1050" w:type="pct"/>
          </w:tcPr>
          <w:p w14:paraId="4826A619" w14:textId="77777777" w:rsidR="00694EA4" w:rsidRPr="0040639E" w:rsidRDefault="00694EA4" w:rsidP="00425B68">
            <w:pPr>
              <w:jc w:val="right"/>
              <w:rPr>
                <w:rFonts w:eastAsia="Calibri"/>
                <w:sz w:val="20"/>
                <w:szCs w:val="20"/>
              </w:rPr>
            </w:pPr>
            <w:r w:rsidRPr="0040639E">
              <w:rPr>
                <w:rFonts w:eastAsia="Calibri"/>
                <w:sz w:val="20"/>
                <w:szCs w:val="20"/>
              </w:rPr>
              <w:t>12</w:t>
            </w:r>
            <w:r>
              <w:rPr>
                <w:rFonts w:eastAsia="Calibri"/>
                <w:sz w:val="20"/>
                <w:szCs w:val="20"/>
              </w:rPr>
              <w:t xml:space="preserve"> hrs.;</w:t>
            </w:r>
          </w:p>
          <w:p w14:paraId="0DBEFA08" w14:textId="77777777" w:rsidR="00694EA4" w:rsidRPr="0040639E" w:rsidRDefault="00694EA4" w:rsidP="00425B68">
            <w:pPr>
              <w:jc w:val="right"/>
              <w:rPr>
                <w:rFonts w:eastAsia="Calibri"/>
                <w:sz w:val="20"/>
                <w:szCs w:val="20"/>
              </w:rPr>
            </w:pPr>
            <w:r w:rsidRPr="0040639E">
              <w:rPr>
                <w:rFonts w:eastAsia="Calibri"/>
                <w:sz w:val="20"/>
                <w:szCs w:val="20"/>
              </w:rPr>
              <w:t>$864</w:t>
            </w:r>
          </w:p>
        </w:tc>
        <w:tc>
          <w:tcPr>
            <w:tcW w:w="877" w:type="pct"/>
          </w:tcPr>
          <w:p w14:paraId="728ABC6D" w14:textId="77777777" w:rsidR="00694EA4" w:rsidRPr="0040639E" w:rsidRDefault="00694EA4" w:rsidP="00425B68">
            <w:pPr>
              <w:jc w:val="right"/>
              <w:rPr>
                <w:rFonts w:eastAsia="Calibri"/>
                <w:sz w:val="20"/>
                <w:szCs w:val="20"/>
              </w:rPr>
            </w:pPr>
            <w:r w:rsidRPr="0040639E">
              <w:rPr>
                <w:rFonts w:eastAsia="Calibri"/>
                <w:sz w:val="20"/>
                <w:szCs w:val="20"/>
              </w:rPr>
              <w:t xml:space="preserve"> 288</w:t>
            </w:r>
            <w:r>
              <w:rPr>
                <w:rFonts w:eastAsia="Calibri"/>
                <w:sz w:val="20"/>
                <w:szCs w:val="20"/>
              </w:rPr>
              <w:t xml:space="preserve"> hrs.;</w:t>
            </w:r>
          </w:p>
          <w:p w14:paraId="4F6B924A" w14:textId="77777777" w:rsidR="00694EA4" w:rsidRPr="0040639E" w:rsidRDefault="00694EA4" w:rsidP="00425B68">
            <w:pPr>
              <w:jc w:val="right"/>
              <w:rPr>
                <w:rFonts w:eastAsia="Calibri"/>
                <w:sz w:val="20"/>
                <w:szCs w:val="20"/>
              </w:rPr>
            </w:pPr>
            <w:r w:rsidRPr="0040639E">
              <w:rPr>
                <w:rFonts w:eastAsia="Calibri"/>
                <w:sz w:val="20"/>
                <w:szCs w:val="20"/>
              </w:rPr>
              <w:t>$20,736</w:t>
            </w:r>
          </w:p>
        </w:tc>
        <w:tc>
          <w:tcPr>
            <w:tcW w:w="878" w:type="pct"/>
          </w:tcPr>
          <w:p w14:paraId="6CD801EA" w14:textId="77777777" w:rsidR="00694EA4" w:rsidRPr="0040639E" w:rsidRDefault="00694EA4" w:rsidP="00425B68">
            <w:pPr>
              <w:jc w:val="right"/>
              <w:rPr>
                <w:rFonts w:eastAsia="Calibri"/>
                <w:sz w:val="20"/>
                <w:szCs w:val="20"/>
              </w:rPr>
            </w:pPr>
            <w:r w:rsidRPr="0040639E">
              <w:rPr>
                <w:rFonts w:eastAsia="Calibri"/>
                <w:sz w:val="20"/>
                <w:szCs w:val="20"/>
              </w:rPr>
              <w:t xml:space="preserve">$1,728 </w:t>
            </w:r>
          </w:p>
          <w:p w14:paraId="35CE5077" w14:textId="77777777" w:rsidR="00694EA4" w:rsidRPr="0040639E" w:rsidRDefault="00694EA4" w:rsidP="00425B68">
            <w:pPr>
              <w:jc w:val="right"/>
              <w:rPr>
                <w:rFonts w:eastAsia="Calibri"/>
                <w:sz w:val="20"/>
                <w:szCs w:val="20"/>
              </w:rPr>
            </w:pPr>
          </w:p>
        </w:tc>
      </w:tr>
    </w:tbl>
    <w:p w14:paraId="0BCEEBDA" w14:textId="77777777" w:rsidR="00BB6095" w:rsidRPr="001D2EC1" w:rsidRDefault="00BB6095" w:rsidP="00BB6095">
      <w:pPr>
        <w:widowControl/>
      </w:pPr>
    </w:p>
    <w:p w14:paraId="1C3AB85B" w14:textId="77777777" w:rsidR="00BB6095" w:rsidRPr="00BB6095" w:rsidRDefault="00BB6095" w:rsidP="00BB6095">
      <w:pPr>
        <w:pStyle w:val="FERCparanumber"/>
        <w:numPr>
          <w:ilvl w:val="0"/>
          <w:numId w:val="0"/>
        </w:numPr>
        <w:rPr>
          <w:sz w:val="24"/>
        </w:rPr>
      </w:pPr>
    </w:p>
    <w:p w14:paraId="13BF2A57" w14:textId="77777777" w:rsidR="009D6B6D" w:rsidRPr="00EF40FF" w:rsidRDefault="00BB6095" w:rsidP="001D2EC1">
      <w:pPr>
        <w:pStyle w:val="FERCparanumber"/>
        <w:numPr>
          <w:ilvl w:val="0"/>
          <w:numId w:val="7"/>
        </w:numPr>
        <w:rPr>
          <w:sz w:val="24"/>
        </w:rPr>
      </w:pPr>
      <w:r w:rsidRPr="001D2EC1">
        <w:rPr>
          <w:b/>
          <w:sz w:val="24"/>
        </w:rPr>
        <w:t>ESTIMATE OF THE TOTAL ANNUAL COST BURDEN TO RESPONDENTS</w:t>
      </w:r>
    </w:p>
    <w:p w14:paraId="27C816AF" w14:textId="77777777" w:rsidR="00EF40FF" w:rsidRDefault="00EF40FF" w:rsidP="00EF40FF">
      <w:pPr>
        <w:pStyle w:val="FERCparanumber"/>
        <w:numPr>
          <w:ilvl w:val="0"/>
          <w:numId w:val="0"/>
        </w:numPr>
        <w:rPr>
          <w:b/>
          <w:sz w:val="24"/>
        </w:rPr>
      </w:pPr>
    </w:p>
    <w:p w14:paraId="421B1190" w14:textId="77777777" w:rsidR="00432DA3" w:rsidRDefault="00432DA3" w:rsidP="00432DA3">
      <w:pPr>
        <w:widowControl/>
      </w:pPr>
      <w:r>
        <w:t>There are no non-labor start-up costs. All costs are related to burden hours and are addressed in Questions #12 and #15.</w:t>
      </w:r>
    </w:p>
    <w:p w14:paraId="237DA0EC" w14:textId="77777777" w:rsidR="00EF40FF" w:rsidRPr="00EF40FF" w:rsidRDefault="00EF40FF" w:rsidP="00EF40FF">
      <w:pPr>
        <w:pStyle w:val="FERCparanumber"/>
        <w:numPr>
          <w:ilvl w:val="0"/>
          <w:numId w:val="0"/>
        </w:numPr>
        <w:rPr>
          <w:sz w:val="24"/>
        </w:rPr>
      </w:pPr>
    </w:p>
    <w:p w14:paraId="25934EE2" w14:textId="77777777" w:rsidR="00EF40FF" w:rsidRDefault="00EF40FF" w:rsidP="001D2EC1">
      <w:pPr>
        <w:pStyle w:val="FERCparanumber"/>
        <w:numPr>
          <w:ilvl w:val="0"/>
          <w:numId w:val="7"/>
        </w:numPr>
        <w:rPr>
          <w:b/>
          <w:sz w:val="24"/>
        </w:rPr>
      </w:pPr>
      <w:r w:rsidRPr="00EF40FF">
        <w:rPr>
          <w:b/>
          <w:sz w:val="24"/>
        </w:rPr>
        <w:t>ESTIMATED ANNUALIZED COST TO FEDERAL GOVERNMENT</w:t>
      </w:r>
    </w:p>
    <w:p w14:paraId="1F460314" w14:textId="77777777" w:rsidR="00EF40FF" w:rsidRDefault="00EF40FF" w:rsidP="00EF40FF">
      <w:pPr>
        <w:pStyle w:val="FERCparanumber"/>
        <w:numPr>
          <w:ilvl w:val="0"/>
          <w:numId w:val="0"/>
        </w:numPr>
        <w:rPr>
          <w:b/>
          <w:sz w:val="24"/>
        </w:rPr>
      </w:pPr>
    </w:p>
    <w:p w14:paraId="5BF0DAF9" w14:textId="77777777" w:rsidR="00EF40FF" w:rsidRPr="001D2EC1" w:rsidRDefault="00EF40FF" w:rsidP="00EF40FF">
      <w:pPr>
        <w:pStyle w:val="ListParagraph"/>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042"/>
        <w:gridCol w:w="3024"/>
      </w:tblGrid>
      <w:tr w:rsidR="00EF40FF" w:rsidRPr="001D2EC1" w14:paraId="6C55F3AE" w14:textId="77777777" w:rsidTr="00D97B44">
        <w:tc>
          <w:tcPr>
            <w:tcW w:w="1756" w:type="pct"/>
            <w:shd w:val="clear" w:color="auto" w:fill="D9D9D9"/>
            <w:vAlign w:val="center"/>
          </w:tcPr>
          <w:p w14:paraId="420D71F3" w14:textId="77777777" w:rsidR="00EF40FF" w:rsidRPr="001D2EC1" w:rsidRDefault="00EF40FF" w:rsidP="00D97B44">
            <w:pPr>
              <w:pStyle w:val="ListParagraph"/>
              <w:spacing w:after="0" w:line="240" w:lineRule="auto"/>
              <w:ind w:left="0"/>
              <w:rPr>
                <w:rFonts w:ascii="Times New Roman" w:hAnsi="Times New Roman"/>
                <w:b/>
                <w:sz w:val="24"/>
                <w:szCs w:val="24"/>
              </w:rPr>
            </w:pPr>
          </w:p>
        </w:tc>
        <w:tc>
          <w:tcPr>
            <w:tcW w:w="1627" w:type="pct"/>
            <w:shd w:val="clear" w:color="auto" w:fill="D9D9D9"/>
            <w:vAlign w:val="center"/>
          </w:tcPr>
          <w:p w14:paraId="18D95BE9"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Number of Employees (FTE)</w:t>
            </w:r>
          </w:p>
        </w:tc>
        <w:tc>
          <w:tcPr>
            <w:tcW w:w="1617" w:type="pct"/>
            <w:shd w:val="clear" w:color="auto" w:fill="D9D9D9"/>
            <w:vAlign w:val="center"/>
          </w:tcPr>
          <w:p w14:paraId="65A7AAF2"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Estimated Annual Federal Cost</w:t>
            </w:r>
          </w:p>
        </w:tc>
      </w:tr>
      <w:tr w:rsidR="00EF40FF" w:rsidRPr="001D2EC1" w14:paraId="73366A6A" w14:textId="77777777" w:rsidTr="00D97B44">
        <w:tc>
          <w:tcPr>
            <w:tcW w:w="1756" w:type="pct"/>
            <w:shd w:val="clear" w:color="auto" w:fill="auto"/>
            <w:vAlign w:val="center"/>
          </w:tcPr>
          <w:p w14:paraId="38725E63"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Analysis and Processing of Filings</w:t>
            </w:r>
            <w:r w:rsidRPr="001D2EC1">
              <w:rPr>
                <w:rStyle w:val="FootnoteReference"/>
                <w:rFonts w:ascii="Times New Roman" w:hAnsi="Times New Roman"/>
                <w:sz w:val="24"/>
                <w:szCs w:val="24"/>
                <w:vertAlign w:val="superscript"/>
              </w:rPr>
              <w:footnoteReference w:id="6"/>
            </w:r>
          </w:p>
        </w:tc>
        <w:tc>
          <w:tcPr>
            <w:tcW w:w="1627" w:type="pct"/>
            <w:shd w:val="clear" w:color="auto" w:fill="auto"/>
            <w:vAlign w:val="center"/>
          </w:tcPr>
          <w:p w14:paraId="169BBF54" w14:textId="4D1EA5B3" w:rsidR="00EF40FF" w:rsidRPr="001D2EC1" w:rsidRDefault="00694EA4"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3</w:t>
            </w:r>
            <w:r w:rsidR="00B13159">
              <w:rPr>
                <w:rFonts w:ascii="Times New Roman" w:hAnsi="Times New Roman"/>
                <w:sz w:val="24"/>
                <w:szCs w:val="24"/>
              </w:rPr>
              <w:t>.5</w:t>
            </w:r>
          </w:p>
        </w:tc>
        <w:tc>
          <w:tcPr>
            <w:tcW w:w="1617" w:type="pct"/>
            <w:shd w:val="clear" w:color="auto" w:fill="auto"/>
            <w:vAlign w:val="center"/>
          </w:tcPr>
          <w:p w14:paraId="7007B84E" w14:textId="47BC37AC" w:rsidR="00EF40FF" w:rsidRPr="001D2EC1" w:rsidRDefault="00694EA4"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$523,211.50</w:t>
            </w:r>
          </w:p>
        </w:tc>
      </w:tr>
      <w:tr w:rsidR="00EF40FF" w:rsidRPr="001D2EC1" w14:paraId="7009D51E" w14:textId="77777777" w:rsidTr="00D97B44">
        <w:tc>
          <w:tcPr>
            <w:tcW w:w="1756" w:type="pct"/>
            <w:shd w:val="clear" w:color="auto" w:fill="auto"/>
            <w:vAlign w:val="center"/>
          </w:tcPr>
          <w:p w14:paraId="099D5BDF"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PRA</w:t>
            </w:r>
            <w:r w:rsidRPr="001D2EC1">
              <w:rPr>
                <w:rStyle w:val="FootnoteReference"/>
                <w:rFonts w:ascii="Times New Roman" w:hAnsi="Times New Roman"/>
                <w:sz w:val="24"/>
                <w:szCs w:val="24"/>
                <w:vertAlign w:val="superscript"/>
              </w:rPr>
              <w:footnoteReference w:id="7"/>
            </w:r>
            <w:r w:rsidRPr="001D2EC1">
              <w:rPr>
                <w:rFonts w:ascii="Times New Roman" w:hAnsi="Times New Roman"/>
                <w:sz w:val="24"/>
                <w:szCs w:val="24"/>
              </w:rPr>
              <w:t xml:space="preserve"> Administrative Cost</w:t>
            </w:r>
            <w:r w:rsidRPr="001D2EC1">
              <w:rPr>
                <w:rStyle w:val="FootnoteReference"/>
                <w:rFonts w:ascii="Times New Roman" w:hAnsi="Times New Roman"/>
                <w:sz w:val="24"/>
                <w:szCs w:val="24"/>
                <w:vertAlign w:val="superscript"/>
              </w:rPr>
              <w:footnoteReference w:id="8"/>
            </w:r>
          </w:p>
        </w:tc>
        <w:tc>
          <w:tcPr>
            <w:tcW w:w="1627" w:type="pct"/>
            <w:shd w:val="clear" w:color="auto" w:fill="D9D9D9"/>
            <w:vAlign w:val="center"/>
          </w:tcPr>
          <w:p w14:paraId="74DA3B1F"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731B0E8B" w14:textId="77777777" w:rsidR="00EF40FF" w:rsidRPr="001D2EC1" w:rsidRDefault="00432DA3"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$5,193</w:t>
            </w:r>
          </w:p>
        </w:tc>
      </w:tr>
      <w:tr w:rsidR="00EF40FF" w:rsidRPr="001D2EC1" w14:paraId="0A5B5FA9" w14:textId="77777777" w:rsidTr="00D97B44">
        <w:tc>
          <w:tcPr>
            <w:tcW w:w="1756" w:type="pct"/>
            <w:shd w:val="clear" w:color="auto" w:fill="auto"/>
            <w:vAlign w:val="center"/>
          </w:tcPr>
          <w:p w14:paraId="4441CC05"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FERC Total</w:t>
            </w:r>
          </w:p>
        </w:tc>
        <w:tc>
          <w:tcPr>
            <w:tcW w:w="1627" w:type="pct"/>
            <w:shd w:val="clear" w:color="auto" w:fill="D9D9D9"/>
            <w:vAlign w:val="center"/>
          </w:tcPr>
          <w:p w14:paraId="2B3CB9DA"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53B2B876" w14:textId="7B82D4EC" w:rsidR="00EF40FF" w:rsidRPr="001D2EC1" w:rsidRDefault="001E053A"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$528,404.50</w:t>
            </w:r>
          </w:p>
        </w:tc>
      </w:tr>
    </w:tbl>
    <w:p w14:paraId="6E71933C" w14:textId="77777777" w:rsidR="00EF40FF" w:rsidRPr="001D2EC1" w:rsidRDefault="00EF40FF" w:rsidP="00EF40FF">
      <w:pPr>
        <w:pStyle w:val="ListParagraph"/>
        <w:spacing w:after="0" w:line="240" w:lineRule="auto"/>
        <w:rPr>
          <w:rFonts w:ascii="Times New Roman" w:hAnsi="Times New Roman"/>
          <w:b/>
          <w:sz w:val="24"/>
          <w:szCs w:val="24"/>
        </w:rPr>
      </w:pPr>
    </w:p>
    <w:p w14:paraId="162A5185" w14:textId="77777777" w:rsidR="00EF40FF" w:rsidRPr="00EF40FF" w:rsidRDefault="00EF40FF" w:rsidP="00EF40FF">
      <w:r w:rsidRPr="001D2EC1">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14:paraId="7086245E" w14:textId="77777777" w:rsidR="00EF40FF" w:rsidRDefault="00EF40FF" w:rsidP="00EF40FF">
      <w:pPr>
        <w:pStyle w:val="FERCparanumber"/>
        <w:numPr>
          <w:ilvl w:val="0"/>
          <w:numId w:val="0"/>
        </w:numPr>
        <w:rPr>
          <w:b/>
          <w:sz w:val="24"/>
        </w:rPr>
      </w:pPr>
    </w:p>
    <w:p w14:paraId="652E2E2C" w14:textId="77777777" w:rsidR="00EF40FF" w:rsidRDefault="00EF40FF" w:rsidP="001D2EC1">
      <w:pPr>
        <w:pStyle w:val="FERCparanumber"/>
        <w:numPr>
          <w:ilvl w:val="0"/>
          <w:numId w:val="7"/>
        </w:numPr>
        <w:rPr>
          <w:b/>
          <w:sz w:val="24"/>
        </w:rPr>
      </w:pPr>
      <w:r w:rsidRPr="001D2EC1">
        <w:rPr>
          <w:b/>
          <w:sz w:val="24"/>
        </w:rPr>
        <w:t>REASONS FOR CHANGES IN BURDEN INCLUDING THE NEED FOR ANY INCREASE</w:t>
      </w:r>
    </w:p>
    <w:p w14:paraId="37AE29EC" w14:textId="77777777" w:rsidR="00EF40FF" w:rsidRDefault="00EF40FF" w:rsidP="00EF40FF">
      <w:pPr>
        <w:pStyle w:val="FERCparanumber"/>
        <w:numPr>
          <w:ilvl w:val="0"/>
          <w:numId w:val="0"/>
        </w:numPr>
        <w:rPr>
          <w:b/>
          <w:sz w:val="24"/>
        </w:rPr>
      </w:pPr>
    </w:p>
    <w:p w14:paraId="10BF605C" w14:textId="62949375" w:rsidR="00B13159" w:rsidRDefault="001E053A" w:rsidP="00B13159">
      <w:r w:rsidRPr="00727B08">
        <w:t xml:space="preserve">The burden hours per filing are unchanged.  </w:t>
      </w:r>
      <w:r w:rsidR="001718FA">
        <w:t>Based on recent collection activity, Commission staff adjusted the number of respon</w:t>
      </w:r>
      <w:r w:rsidR="00EB414E">
        <w:t>dent</w:t>
      </w:r>
      <w:r w:rsidR="001718FA">
        <w:t xml:space="preserve"> </w:t>
      </w:r>
      <w:r w:rsidR="007A1A3D">
        <w:t>by an increase of 5</w:t>
      </w:r>
      <w:r w:rsidR="001718FA">
        <w:t xml:space="preserve"> annually</w:t>
      </w:r>
      <w:r w:rsidR="00C46B04">
        <w:t xml:space="preserve"> (from 7 respondents to 12 respondents annually)</w:t>
      </w:r>
      <w:r w:rsidR="001718FA">
        <w:t xml:space="preserve">. This results in an estimate that is representative of actual filings received over the last three years. </w:t>
      </w:r>
      <w:r w:rsidR="007A1A3D">
        <w:t xml:space="preserve">The increase </w:t>
      </w:r>
      <w:r w:rsidR="00EB414E">
        <w:t xml:space="preserve">is </w:t>
      </w:r>
      <w:r w:rsidR="007A1A3D">
        <w:t>due mostly to typical fluctuation in industry activity.</w:t>
      </w:r>
    </w:p>
    <w:p w14:paraId="06192D7C" w14:textId="77777777" w:rsidR="00545B62" w:rsidRDefault="00545B62" w:rsidP="00EF40FF">
      <w:pPr>
        <w:widowControl/>
      </w:pPr>
    </w:p>
    <w:p w14:paraId="0EF2A067" w14:textId="7B433D75" w:rsidR="00545B62" w:rsidRPr="00545B62" w:rsidRDefault="00545B62" w:rsidP="00545B62">
      <w:pPr>
        <w:rPr>
          <w:szCs w:val="26"/>
        </w:rPr>
      </w:pPr>
      <w:r>
        <w:rPr>
          <w:szCs w:val="26"/>
        </w:rPr>
        <w:t>The following table shows the total burden of the collection of information.  The format, labels, and definitions of the table follow the ROCIS submission system’s “Information Collection Request Summary of Burden” for the metadata.</w:t>
      </w:r>
    </w:p>
    <w:p w14:paraId="0D00454B" w14:textId="77777777" w:rsidR="00EF40FF" w:rsidRPr="001D2EC1" w:rsidRDefault="00EF40FF" w:rsidP="00EF40FF">
      <w:pPr>
        <w:widowControl/>
        <w:tabs>
          <w:tab w:val="left" w:pos="2394"/>
        </w:tabs>
      </w:pPr>
      <w:r w:rsidRPr="001D2EC1">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1550"/>
        <w:gridCol w:w="1597"/>
        <w:gridCol w:w="1889"/>
        <w:gridCol w:w="1618"/>
      </w:tblGrid>
      <w:tr w:rsidR="00EF40FF" w:rsidRPr="001D2EC1" w14:paraId="46C4A5B4" w14:textId="77777777" w:rsidTr="00D97B44">
        <w:trPr>
          <w:trHeight w:val="870"/>
        </w:trPr>
        <w:tc>
          <w:tcPr>
            <w:tcW w:w="1442" w:type="pct"/>
            <w:shd w:val="clear" w:color="auto" w:fill="D9D9D9"/>
            <w:vAlign w:val="bottom"/>
          </w:tcPr>
          <w:p w14:paraId="5E6F18B9" w14:textId="114BBAF7" w:rsidR="00EF40FF" w:rsidRPr="001D2EC1" w:rsidRDefault="001E053A" w:rsidP="00D97B44">
            <w:pPr>
              <w:jc w:val="center"/>
              <w:rPr>
                <w:b/>
              </w:rPr>
            </w:pPr>
            <w:r>
              <w:rPr>
                <w:b/>
              </w:rPr>
              <w:t>FERC-539</w:t>
            </w:r>
          </w:p>
        </w:tc>
        <w:tc>
          <w:tcPr>
            <w:tcW w:w="829" w:type="pct"/>
            <w:shd w:val="clear" w:color="auto" w:fill="D9D9D9"/>
            <w:vAlign w:val="bottom"/>
          </w:tcPr>
          <w:p w14:paraId="6714602C" w14:textId="77777777" w:rsidR="00EF40FF" w:rsidRPr="001D2EC1" w:rsidRDefault="00EF40FF" w:rsidP="00D97B44">
            <w:pPr>
              <w:jc w:val="center"/>
              <w:rPr>
                <w:b/>
              </w:rPr>
            </w:pPr>
            <w:r w:rsidRPr="001D2EC1">
              <w:rPr>
                <w:b/>
              </w:rPr>
              <w:t>Total Request</w:t>
            </w:r>
          </w:p>
        </w:tc>
        <w:tc>
          <w:tcPr>
            <w:tcW w:w="854" w:type="pct"/>
            <w:shd w:val="clear" w:color="auto" w:fill="D9D9D9"/>
            <w:vAlign w:val="bottom"/>
          </w:tcPr>
          <w:p w14:paraId="13BA7890" w14:textId="77777777" w:rsidR="00EF40FF" w:rsidRPr="001D2EC1" w:rsidRDefault="00EF40FF" w:rsidP="00D97B44">
            <w:pPr>
              <w:jc w:val="center"/>
              <w:rPr>
                <w:b/>
              </w:rPr>
            </w:pPr>
            <w:r w:rsidRPr="001D2EC1">
              <w:rPr>
                <w:b/>
              </w:rPr>
              <w:t>Previously Approved</w:t>
            </w:r>
          </w:p>
        </w:tc>
        <w:tc>
          <w:tcPr>
            <w:tcW w:w="1010" w:type="pct"/>
            <w:shd w:val="clear" w:color="auto" w:fill="D9D9D9"/>
            <w:vAlign w:val="bottom"/>
          </w:tcPr>
          <w:p w14:paraId="73AFFA76" w14:textId="77777777" w:rsidR="00EF40FF" w:rsidRPr="001D2EC1" w:rsidRDefault="00EF40FF" w:rsidP="00D97B44">
            <w:pPr>
              <w:jc w:val="center"/>
              <w:rPr>
                <w:b/>
              </w:rPr>
            </w:pPr>
            <w:r w:rsidRPr="001D2EC1">
              <w:rPr>
                <w:b/>
              </w:rPr>
              <w:t>Change due to Adjustment in Estimate</w:t>
            </w:r>
          </w:p>
        </w:tc>
        <w:tc>
          <w:tcPr>
            <w:tcW w:w="865" w:type="pct"/>
            <w:shd w:val="clear" w:color="auto" w:fill="D9D9D9"/>
            <w:vAlign w:val="bottom"/>
          </w:tcPr>
          <w:p w14:paraId="41286C04" w14:textId="77777777" w:rsidR="00EF40FF" w:rsidRPr="001D2EC1" w:rsidRDefault="00EF40FF" w:rsidP="00D97B44">
            <w:pPr>
              <w:jc w:val="center"/>
              <w:rPr>
                <w:b/>
              </w:rPr>
            </w:pPr>
            <w:r w:rsidRPr="001D2EC1">
              <w:rPr>
                <w:b/>
              </w:rPr>
              <w:t>Change Due to Agency Discretion</w:t>
            </w:r>
          </w:p>
        </w:tc>
      </w:tr>
      <w:tr w:rsidR="00EF40FF" w:rsidRPr="001D2EC1" w14:paraId="17214C13" w14:textId="77777777" w:rsidTr="00D97B44">
        <w:trPr>
          <w:trHeight w:val="591"/>
        </w:trPr>
        <w:tc>
          <w:tcPr>
            <w:tcW w:w="1442" w:type="pct"/>
            <w:shd w:val="clear" w:color="auto" w:fill="auto"/>
          </w:tcPr>
          <w:p w14:paraId="0115B27A" w14:textId="77777777" w:rsidR="00EF40FF" w:rsidRPr="001D2EC1" w:rsidRDefault="00EF40FF" w:rsidP="00D97B44">
            <w:pPr>
              <w:jc w:val="center"/>
            </w:pPr>
            <w:r w:rsidRPr="001D2EC1">
              <w:t>Annual Number of Responses</w:t>
            </w:r>
          </w:p>
        </w:tc>
        <w:tc>
          <w:tcPr>
            <w:tcW w:w="829" w:type="pct"/>
            <w:shd w:val="clear" w:color="auto" w:fill="auto"/>
            <w:vAlign w:val="center"/>
          </w:tcPr>
          <w:p w14:paraId="386C9BC2" w14:textId="1FA24D1A" w:rsidR="00EF40FF" w:rsidRPr="001D2EC1" w:rsidRDefault="001E053A" w:rsidP="00D97B44">
            <w:pPr>
              <w:jc w:val="right"/>
            </w:pPr>
            <w:r>
              <w:t>24</w:t>
            </w:r>
          </w:p>
        </w:tc>
        <w:tc>
          <w:tcPr>
            <w:tcW w:w="854" w:type="pct"/>
            <w:shd w:val="clear" w:color="auto" w:fill="auto"/>
            <w:vAlign w:val="center"/>
          </w:tcPr>
          <w:p w14:paraId="39A0261D" w14:textId="5052BF35" w:rsidR="00EF40FF" w:rsidRPr="001D2EC1" w:rsidRDefault="001E053A" w:rsidP="00D97B44">
            <w:pPr>
              <w:jc w:val="right"/>
            </w:pPr>
            <w:r>
              <w:t>14</w:t>
            </w:r>
          </w:p>
        </w:tc>
        <w:tc>
          <w:tcPr>
            <w:tcW w:w="1010" w:type="pct"/>
            <w:shd w:val="clear" w:color="auto" w:fill="auto"/>
            <w:vAlign w:val="center"/>
          </w:tcPr>
          <w:p w14:paraId="4FE2F429" w14:textId="392A84D5" w:rsidR="00EF40FF" w:rsidRPr="001D2EC1" w:rsidRDefault="001E053A" w:rsidP="00D97B44">
            <w:pPr>
              <w:jc w:val="right"/>
            </w:pPr>
            <w:r>
              <w:t>10</w:t>
            </w:r>
          </w:p>
        </w:tc>
        <w:tc>
          <w:tcPr>
            <w:tcW w:w="865" w:type="pct"/>
            <w:shd w:val="clear" w:color="auto" w:fill="auto"/>
            <w:vAlign w:val="center"/>
          </w:tcPr>
          <w:p w14:paraId="50BDA9A0" w14:textId="77777777" w:rsidR="00EF40FF" w:rsidRPr="001D2EC1" w:rsidRDefault="00EF40FF" w:rsidP="00D97B44">
            <w:pPr>
              <w:jc w:val="right"/>
            </w:pPr>
            <w:r w:rsidRPr="001D2EC1">
              <w:t>0</w:t>
            </w:r>
          </w:p>
        </w:tc>
      </w:tr>
      <w:tr w:rsidR="00EF40FF" w:rsidRPr="001D2EC1" w14:paraId="7258AFC0" w14:textId="77777777" w:rsidTr="00D97B44">
        <w:trPr>
          <w:trHeight w:val="575"/>
        </w:trPr>
        <w:tc>
          <w:tcPr>
            <w:tcW w:w="1442" w:type="pct"/>
            <w:shd w:val="clear" w:color="auto" w:fill="auto"/>
          </w:tcPr>
          <w:p w14:paraId="73702C6C" w14:textId="77777777" w:rsidR="00EF40FF" w:rsidRPr="001D2EC1" w:rsidRDefault="00EF40FF" w:rsidP="00D97B44">
            <w:pPr>
              <w:jc w:val="center"/>
            </w:pPr>
            <w:r w:rsidRPr="001D2EC1">
              <w:t>Annual Time Burden (Hours)</w:t>
            </w:r>
          </w:p>
        </w:tc>
        <w:tc>
          <w:tcPr>
            <w:tcW w:w="829" w:type="pct"/>
            <w:shd w:val="clear" w:color="auto" w:fill="auto"/>
            <w:vAlign w:val="center"/>
          </w:tcPr>
          <w:p w14:paraId="31651BEE" w14:textId="7680B853" w:rsidR="00EF40FF" w:rsidRPr="001D2EC1" w:rsidRDefault="001E053A" w:rsidP="00D97B44">
            <w:pPr>
              <w:jc w:val="right"/>
            </w:pPr>
            <w:r>
              <w:t>288</w:t>
            </w:r>
          </w:p>
        </w:tc>
        <w:tc>
          <w:tcPr>
            <w:tcW w:w="854" w:type="pct"/>
            <w:shd w:val="clear" w:color="auto" w:fill="auto"/>
            <w:vAlign w:val="center"/>
          </w:tcPr>
          <w:p w14:paraId="0EED3422" w14:textId="527E8EC8" w:rsidR="00EF40FF" w:rsidRPr="001D2EC1" w:rsidRDefault="001E053A" w:rsidP="00D97B44">
            <w:pPr>
              <w:jc w:val="right"/>
            </w:pPr>
            <w:r>
              <w:t>168</w:t>
            </w:r>
          </w:p>
        </w:tc>
        <w:tc>
          <w:tcPr>
            <w:tcW w:w="1010" w:type="pct"/>
            <w:shd w:val="clear" w:color="auto" w:fill="auto"/>
            <w:vAlign w:val="center"/>
          </w:tcPr>
          <w:p w14:paraId="3CF5B872" w14:textId="787887CE" w:rsidR="00EF40FF" w:rsidRPr="001D2EC1" w:rsidRDefault="001E053A" w:rsidP="00D97B44">
            <w:pPr>
              <w:jc w:val="right"/>
            </w:pPr>
            <w:r>
              <w:t>120</w:t>
            </w:r>
          </w:p>
        </w:tc>
        <w:tc>
          <w:tcPr>
            <w:tcW w:w="865" w:type="pct"/>
            <w:shd w:val="clear" w:color="auto" w:fill="auto"/>
            <w:vAlign w:val="center"/>
          </w:tcPr>
          <w:p w14:paraId="39B1BAD1" w14:textId="77777777" w:rsidR="00EF40FF" w:rsidRPr="001D2EC1" w:rsidRDefault="00EF40FF" w:rsidP="00D97B44">
            <w:pPr>
              <w:jc w:val="right"/>
            </w:pPr>
            <w:r w:rsidRPr="001D2EC1">
              <w:t>0</w:t>
            </w:r>
          </w:p>
        </w:tc>
      </w:tr>
      <w:tr w:rsidR="00EF40FF" w:rsidRPr="001D2EC1" w14:paraId="32861EA7" w14:textId="77777777" w:rsidTr="00D97B44">
        <w:trPr>
          <w:trHeight w:val="295"/>
        </w:trPr>
        <w:tc>
          <w:tcPr>
            <w:tcW w:w="1442" w:type="pct"/>
            <w:tcBorders>
              <w:bottom w:val="single" w:sz="4" w:space="0" w:color="auto"/>
            </w:tcBorders>
            <w:shd w:val="clear" w:color="auto" w:fill="auto"/>
          </w:tcPr>
          <w:p w14:paraId="4F5B520F" w14:textId="77777777" w:rsidR="00EF40FF" w:rsidRPr="001D2EC1" w:rsidRDefault="00EF40FF" w:rsidP="00D97B44">
            <w:pPr>
              <w:jc w:val="center"/>
            </w:pPr>
            <w:r w:rsidRPr="001D2EC1">
              <w:t>Annual Cost Burden ($)</w:t>
            </w:r>
          </w:p>
        </w:tc>
        <w:tc>
          <w:tcPr>
            <w:tcW w:w="829" w:type="pct"/>
            <w:tcBorders>
              <w:bottom w:val="single" w:sz="4" w:space="0" w:color="auto"/>
            </w:tcBorders>
            <w:shd w:val="clear" w:color="auto" w:fill="auto"/>
            <w:vAlign w:val="center"/>
          </w:tcPr>
          <w:p w14:paraId="7D67E648" w14:textId="77777777" w:rsidR="00EF40FF" w:rsidRPr="001D2EC1" w:rsidRDefault="00EF40FF" w:rsidP="00D97B44">
            <w:pPr>
              <w:jc w:val="right"/>
            </w:pPr>
            <w:r w:rsidRPr="001D2EC1">
              <w:t>$0</w:t>
            </w:r>
          </w:p>
        </w:tc>
        <w:tc>
          <w:tcPr>
            <w:tcW w:w="854" w:type="pct"/>
            <w:tcBorders>
              <w:bottom w:val="single" w:sz="4" w:space="0" w:color="auto"/>
            </w:tcBorders>
            <w:shd w:val="clear" w:color="auto" w:fill="auto"/>
            <w:vAlign w:val="center"/>
          </w:tcPr>
          <w:p w14:paraId="15FA5A62" w14:textId="77777777" w:rsidR="00EF40FF" w:rsidRPr="001D2EC1" w:rsidRDefault="00EF40FF" w:rsidP="00D97B44">
            <w:pPr>
              <w:jc w:val="right"/>
            </w:pPr>
            <w:r w:rsidRPr="001D2EC1">
              <w:t>$0</w:t>
            </w:r>
          </w:p>
        </w:tc>
        <w:tc>
          <w:tcPr>
            <w:tcW w:w="1010" w:type="pct"/>
            <w:tcBorders>
              <w:bottom w:val="single" w:sz="4" w:space="0" w:color="auto"/>
            </w:tcBorders>
            <w:shd w:val="clear" w:color="auto" w:fill="auto"/>
            <w:vAlign w:val="center"/>
          </w:tcPr>
          <w:p w14:paraId="406A2FC1" w14:textId="77777777" w:rsidR="00EF40FF" w:rsidRPr="001D2EC1" w:rsidRDefault="00EF40FF" w:rsidP="00D97B44">
            <w:pPr>
              <w:jc w:val="right"/>
            </w:pPr>
            <w:r w:rsidRPr="001D2EC1">
              <w:t>$0</w:t>
            </w:r>
          </w:p>
        </w:tc>
        <w:tc>
          <w:tcPr>
            <w:tcW w:w="865" w:type="pct"/>
            <w:tcBorders>
              <w:bottom w:val="single" w:sz="4" w:space="0" w:color="auto"/>
            </w:tcBorders>
            <w:shd w:val="clear" w:color="auto" w:fill="auto"/>
            <w:vAlign w:val="center"/>
          </w:tcPr>
          <w:p w14:paraId="44B6C3E6" w14:textId="77777777" w:rsidR="00EF40FF" w:rsidRPr="001D2EC1" w:rsidRDefault="00545B62" w:rsidP="00D97B44">
            <w:pPr>
              <w:jc w:val="right"/>
            </w:pPr>
            <w:r>
              <w:t>$</w:t>
            </w:r>
            <w:r w:rsidR="00EF40FF" w:rsidRPr="001D2EC1">
              <w:t>0</w:t>
            </w:r>
          </w:p>
        </w:tc>
      </w:tr>
    </w:tbl>
    <w:p w14:paraId="5E52CD2D" w14:textId="77777777" w:rsidR="00EF40FF" w:rsidRPr="001D2EC1" w:rsidRDefault="00EF40FF" w:rsidP="00EF40FF">
      <w:pPr>
        <w:widowControl/>
        <w:rPr>
          <w:b/>
        </w:rPr>
      </w:pPr>
    </w:p>
    <w:p w14:paraId="29960F64" w14:textId="77777777" w:rsidR="00EF40FF" w:rsidRDefault="00EF40FF" w:rsidP="00EF40FF">
      <w:pPr>
        <w:pStyle w:val="FERCparanumber"/>
        <w:numPr>
          <w:ilvl w:val="0"/>
          <w:numId w:val="0"/>
        </w:numPr>
        <w:rPr>
          <w:b/>
          <w:sz w:val="24"/>
        </w:rPr>
      </w:pPr>
    </w:p>
    <w:p w14:paraId="7CD93336" w14:textId="77777777" w:rsidR="009D6B6D" w:rsidRDefault="00EF40FF" w:rsidP="00EF40FF">
      <w:pPr>
        <w:pStyle w:val="FERCparanumber"/>
        <w:numPr>
          <w:ilvl w:val="0"/>
          <w:numId w:val="7"/>
        </w:numPr>
        <w:rPr>
          <w:b/>
          <w:sz w:val="24"/>
        </w:rPr>
      </w:pPr>
      <w:r w:rsidRPr="001D2EC1">
        <w:rPr>
          <w:b/>
          <w:sz w:val="24"/>
        </w:rPr>
        <w:t>TIME SCHEDULE FOR PUBLICATION OF DATA</w:t>
      </w:r>
    </w:p>
    <w:p w14:paraId="338E8E30" w14:textId="77777777" w:rsidR="00EF40FF" w:rsidRDefault="00EF40FF" w:rsidP="00EF40FF">
      <w:pPr>
        <w:pStyle w:val="FERCparanumber"/>
        <w:numPr>
          <w:ilvl w:val="0"/>
          <w:numId w:val="0"/>
        </w:numPr>
        <w:rPr>
          <w:b/>
          <w:sz w:val="24"/>
        </w:rPr>
      </w:pPr>
    </w:p>
    <w:p w14:paraId="7EF18CBE" w14:textId="77777777" w:rsidR="00545B62" w:rsidRPr="008449DF" w:rsidRDefault="00545B62" w:rsidP="00545B62">
      <w:pPr>
        <w:widowControl/>
      </w:pPr>
      <w:r w:rsidRPr="008449DF">
        <w:t>There are no tabulating, statistical or tabulating analysis or publication plans for the collection of information.  The data are used for regulatory purposes only.</w:t>
      </w:r>
    </w:p>
    <w:p w14:paraId="13B155E7" w14:textId="77777777" w:rsidR="00EF40FF" w:rsidRDefault="00EF40FF" w:rsidP="00EF40FF">
      <w:pPr>
        <w:pStyle w:val="FERCparanumber"/>
        <w:numPr>
          <w:ilvl w:val="0"/>
          <w:numId w:val="0"/>
        </w:numPr>
        <w:rPr>
          <w:b/>
          <w:sz w:val="24"/>
        </w:rPr>
      </w:pPr>
    </w:p>
    <w:p w14:paraId="15394295" w14:textId="77777777" w:rsidR="009D6B6D" w:rsidRDefault="00EF40FF" w:rsidP="001D2EC1">
      <w:pPr>
        <w:pStyle w:val="FERCparanumber"/>
        <w:numPr>
          <w:ilvl w:val="0"/>
          <w:numId w:val="7"/>
        </w:numPr>
        <w:rPr>
          <w:b/>
          <w:sz w:val="24"/>
        </w:rPr>
      </w:pPr>
      <w:r>
        <w:rPr>
          <w:b/>
          <w:sz w:val="24"/>
        </w:rPr>
        <w:t>DISPLAY OF EXPIRATION DATE</w:t>
      </w:r>
    </w:p>
    <w:p w14:paraId="50BC026E" w14:textId="77777777" w:rsidR="00EF40FF" w:rsidRDefault="00EF40FF" w:rsidP="00EF40FF">
      <w:pPr>
        <w:pStyle w:val="FERCparanumber"/>
        <w:numPr>
          <w:ilvl w:val="0"/>
          <w:numId w:val="0"/>
        </w:numPr>
        <w:rPr>
          <w:b/>
          <w:sz w:val="24"/>
        </w:rPr>
      </w:pPr>
    </w:p>
    <w:p w14:paraId="00403C61" w14:textId="6016E36C" w:rsidR="00EF40FF" w:rsidRDefault="00AD0D8A" w:rsidP="00EF40FF">
      <w:pPr>
        <w:pStyle w:val="FERCparanumber"/>
        <w:numPr>
          <w:ilvl w:val="0"/>
          <w:numId w:val="0"/>
        </w:numPr>
      </w:pPr>
      <w:r>
        <w:t xml:space="preserve">The expiration dates are posted at </w:t>
      </w:r>
      <w:hyperlink r:id="rId13" w:history="1">
        <w:r w:rsidRPr="005002D0">
          <w:rPr>
            <w:rStyle w:val="Hyperlink"/>
          </w:rPr>
          <w:t>http://www.ferc.gov/docs-filing/info-collections.asp</w:t>
        </w:r>
      </w:hyperlink>
      <w:r>
        <w:t xml:space="preserve"> .</w:t>
      </w:r>
    </w:p>
    <w:p w14:paraId="55D8252C" w14:textId="77777777" w:rsidR="00CF1510" w:rsidRDefault="00CF1510" w:rsidP="00EF40FF">
      <w:pPr>
        <w:pStyle w:val="FERCparanumber"/>
        <w:numPr>
          <w:ilvl w:val="0"/>
          <w:numId w:val="0"/>
        </w:numPr>
        <w:rPr>
          <w:b/>
          <w:sz w:val="24"/>
        </w:rPr>
      </w:pPr>
      <w:bookmarkStart w:id="1" w:name="_GoBack"/>
      <w:bookmarkEnd w:id="1"/>
    </w:p>
    <w:p w14:paraId="3B590558" w14:textId="77777777" w:rsidR="00EF40FF" w:rsidRPr="00EF40FF" w:rsidRDefault="00EF40FF" w:rsidP="00E138E1">
      <w:pPr>
        <w:widowControl/>
        <w:numPr>
          <w:ilvl w:val="0"/>
          <w:numId w:val="7"/>
        </w:numPr>
        <w:ind w:hanging="720"/>
        <w:rPr>
          <w:b/>
        </w:rPr>
      </w:pPr>
      <w:r w:rsidRPr="001D2EC1">
        <w:rPr>
          <w:b/>
        </w:rPr>
        <w:t>EXCEPTIONS TO THE CERTIFICATION STATEMENT</w:t>
      </w:r>
    </w:p>
    <w:p w14:paraId="612ECBF9" w14:textId="77777777" w:rsidR="009D6B6D" w:rsidRPr="001D2EC1" w:rsidRDefault="009D6B6D" w:rsidP="001D2EC1">
      <w:pPr>
        <w:widowControl/>
        <w:ind w:left="720"/>
        <w:rPr>
          <w:b/>
        </w:rPr>
      </w:pPr>
    </w:p>
    <w:p w14:paraId="5B53F0DD" w14:textId="77777777" w:rsidR="00000F54" w:rsidRPr="001D2EC1" w:rsidRDefault="00545B62" w:rsidP="001D2EC1">
      <w:pPr>
        <w:widowControl/>
      </w:pPr>
      <w:r>
        <w:t>There are no exceptions.</w:t>
      </w:r>
    </w:p>
    <w:sectPr w:rsidR="00000F54" w:rsidRPr="001D2EC1" w:rsidSect="00703122">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0CC05" w14:textId="77777777" w:rsidR="00DA07FD" w:rsidRDefault="00DA07FD" w:rsidP="009D6B6D">
      <w:r>
        <w:separator/>
      </w:r>
    </w:p>
  </w:endnote>
  <w:endnote w:type="continuationSeparator" w:id="0">
    <w:p w14:paraId="72D58EF6" w14:textId="77777777" w:rsidR="00DA07FD" w:rsidRDefault="00DA07FD" w:rsidP="009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90493" w14:textId="77777777" w:rsidR="00E32773" w:rsidRDefault="00E32773">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F1510">
          <w:rPr>
            <w:noProof/>
          </w:rPr>
          <w:t>6</w:t>
        </w:r>
        <w:r>
          <w:rPr>
            <w:noProof/>
          </w:rPr>
          <w:fldChar w:fldCharType="end"/>
        </w:r>
      </w:sdtContent>
    </w:sdt>
  </w:p>
  <w:p w14:paraId="7CE16875" w14:textId="77777777" w:rsidR="00E32773" w:rsidRDefault="00E32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2DDD2" w14:textId="77777777" w:rsidR="00DA07FD" w:rsidRDefault="00DA07FD" w:rsidP="009D6B6D">
      <w:r>
        <w:separator/>
      </w:r>
    </w:p>
  </w:footnote>
  <w:footnote w:type="continuationSeparator" w:id="0">
    <w:p w14:paraId="37656694" w14:textId="77777777" w:rsidR="00DA07FD" w:rsidRDefault="00DA07FD" w:rsidP="009D6B6D">
      <w:r>
        <w:continuationSeparator/>
      </w:r>
    </w:p>
  </w:footnote>
  <w:footnote w:id="1">
    <w:p w14:paraId="76718192" w14:textId="77777777" w:rsidR="00694EA4" w:rsidRPr="00FF6950" w:rsidRDefault="00694EA4" w:rsidP="00694EA4">
      <w:pPr>
        <w:pStyle w:val="FootnoteText"/>
      </w:pPr>
      <w:r w:rsidRPr="00FF6950">
        <w:rPr>
          <w:rStyle w:val="FootnoteReference"/>
        </w:rPr>
        <w:footnoteRef/>
      </w:r>
      <w:r w:rsidRPr="00FF6950">
        <w:t xml:space="preserve"> </w:t>
      </w:r>
      <w:r w:rsidRPr="00FF6950">
        <w:rPr>
          <w:bCs/>
          <w:szCs w:val="26"/>
        </w:rPr>
        <w:t>15 U.S.C. 717-717w</w:t>
      </w:r>
    </w:p>
  </w:footnote>
  <w:footnote w:id="2">
    <w:p w14:paraId="7B84C295" w14:textId="3CEE565B" w:rsidR="00694EA4" w:rsidRPr="004045EA" w:rsidRDefault="00694EA4" w:rsidP="00694EA4">
      <w:pPr>
        <w:tabs>
          <w:tab w:val="left" w:pos="1800"/>
        </w:tabs>
        <w:rPr>
          <w:szCs w:val="26"/>
        </w:rPr>
      </w:pPr>
      <w:r w:rsidRPr="004045EA">
        <w:rPr>
          <w:rStyle w:val="FootnoteReference"/>
        </w:rPr>
        <w:footnoteRef/>
      </w:r>
      <w:r w:rsidRPr="004045EA">
        <w:t xml:space="preserve"> SEE Secretary of DOE’s current delegation of authority to the Commission relating to import and export facilities was renewed by the Secretary’s Delegation Order No. 00-004.00A, effective May 16, 2006.   </w:t>
      </w:r>
    </w:p>
    <w:p w14:paraId="2F29DAC5" w14:textId="77777777" w:rsidR="00694EA4" w:rsidRDefault="00694EA4" w:rsidP="00694EA4">
      <w:pPr>
        <w:pStyle w:val="FootnoteText"/>
      </w:pPr>
    </w:p>
  </w:footnote>
  <w:footnote w:id="3">
    <w:p w14:paraId="18216F1D" w14:textId="1277C4FA" w:rsidR="00BB6095" w:rsidRPr="00E138E1" w:rsidRDefault="00BB6095" w:rsidP="00BB6095">
      <w:pPr>
        <w:pStyle w:val="FootnoteText"/>
      </w:pPr>
      <w:r w:rsidRPr="00E138E1">
        <w:rPr>
          <w:rStyle w:val="FootnoteReference"/>
          <w:vertAlign w:val="superscript"/>
        </w:rPr>
        <w:footnoteRef/>
      </w:r>
      <w:r w:rsidRPr="00E138E1">
        <w:rPr>
          <w:vertAlign w:val="superscript"/>
        </w:rPr>
        <w:t xml:space="preserve"> </w:t>
      </w:r>
      <w:r w:rsidR="00CB3EA0">
        <w:t>81</w:t>
      </w:r>
      <w:r w:rsidRPr="00E138E1">
        <w:t xml:space="preserve"> FR </w:t>
      </w:r>
      <w:r w:rsidR="00694EA4">
        <w:t>21859</w:t>
      </w:r>
    </w:p>
  </w:footnote>
  <w:footnote w:id="4">
    <w:p w14:paraId="55B071AB" w14:textId="1D04F401" w:rsidR="00BB6095" w:rsidRPr="00E138E1" w:rsidRDefault="00BB6095" w:rsidP="00BB6095">
      <w:pPr>
        <w:pStyle w:val="FootnoteText"/>
      </w:pPr>
      <w:r w:rsidRPr="00E138E1">
        <w:rPr>
          <w:rStyle w:val="FootnoteReference"/>
          <w:vertAlign w:val="superscript"/>
        </w:rPr>
        <w:footnoteRef/>
      </w:r>
      <w:r w:rsidRPr="00E138E1">
        <w:rPr>
          <w:vertAlign w:val="superscript"/>
        </w:rPr>
        <w:t xml:space="preserve"> </w:t>
      </w:r>
      <w:r w:rsidR="00CB3EA0">
        <w:t xml:space="preserve">81 </w:t>
      </w:r>
      <w:r w:rsidR="00CB3EA0" w:rsidRPr="001718FA">
        <w:t xml:space="preserve">FR </w:t>
      </w:r>
      <w:r w:rsidR="001718FA" w:rsidRPr="001718FA">
        <w:t>49970</w:t>
      </w:r>
    </w:p>
  </w:footnote>
  <w:footnote w:id="5">
    <w:p w14:paraId="41647C6C" w14:textId="77777777" w:rsidR="00694EA4" w:rsidRPr="00262664" w:rsidRDefault="00694EA4" w:rsidP="00694EA4">
      <w:pPr>
        <w:pStyle w:val="FootnoteText"/>
      </w:pPr>
      <w:r w:rsidRPr="00262664">
        <w:rPr>
          <w:rStyle w:val="FootnoteReference"/>
        </w:rPr>
        <w:footnoteRef/>
      </w:r>
      <w:r w:rsidRPr="00262664">
        <w:t xml:space="preserve"> The estimates for cost per response are derived using the 2015 FERC average salary plus benefits of $149,489/year (or $72.00/hour). Commission staff finds that the work done for this information collection is typically done by wage categories similar to those at FERC.</w:t>
      </w:r>
    </w:p>
  </w:footnote>
  <w:footnote w:id="6">
    <w:p w14:paraId="758C714B" w14:textId="59832724" w:rsidR="00EF40FF" w:rsidRPr="00E138E1" w:rsidRDefault="00EF40FF" w:rsidP="00EF40FF">
      <w:pPr>
        <w:rPr>
          <w:sz w:val="20"/>
          <w:szCs w:val="20"/>
        </w:rPr>
      </w:pPr>
      <w:r w:rsidRPr="00E138E1">
        <w:rPr>
          <w:rStyle w:val="FootnoteReference"/>
          <w:sz w:val="20"/>
          <w:szCs w:val="20"/>
          <w:vertAlign w:val="superscript"/>
        </w:rPr>
        <w:footnoteRef/>
      </w:r>
      <w:r w:rsidRPr="00E138E1">
        <w:rPr>
          <w:sz w:val="20"/>
          <w:szCs w:val="20"/>
        </w:rPr>
        <w:t xml:space="preserve"> Based upon 2015 </w:t>
      </w:r>
      <w:r w:rsidR="00EB414E">
        <w:rPr>
          <w:sz w:val="20"/>
          <w:szCs w:val="20"/>
        </w:rPr>
        <w:t xml:space="preserve">FERC </w:t>
      </w:r>
      <w:r w:rsidRPr="00E138E1">
        <w:rPr>
          <w:sz w:val="20"/>
          <w:szCs w:val="20"/>
        </w:rPr>
        <w:t xml:space="preserve">FTE average </w:t>
      </w:r>
      <w:r w:rsidR="00ED3A92">
        <w:rPr>
          <w:sz w:val="20"/>
          <w:szCs w:val="20"/>
        </w:rPr>
        <w:t xml:space="preserve">annual </w:t>
      </w:r>
      <w:r w:rsidRPr="00E138E1">
        <w:rPr>
          <w:sz w:val="20"/>
          <w:szCs w:val="20"/>
        </w:rPr>
        <w:t>salary plus benefits ($149,489.00).</w:t>
      </w:r>
    </w:p>
  </w:footnote>
  <w:footnote w:id="7">
    <w:p w14:paraId="27E34FC5" w14:textId="77777777" w:rsidR="00EF40FF" w:rsidRPr="00E138E1" w:rsidRDefault="00EF40FF" w:rsidP="00EF40FF">
      <w:pPr>
        <w:pStyle w:val="FootnoteText"/>
      </w:pPr>
      <w:r w:rsidRPr="00E138E1">
        <w:rPr>
          <w:rStyle w:val="FootnoteReference"/>
          <w:vertAlign w:val="superscript"/>
        </w:rPr>
        <w:footnoteRef/>
      </w:r>
      <w:r w:rsidRPr="00E138E1">
        <w:rPr>
          <w:vertAlign w:val="superscript"/>
        </w:rPr>
        <w:t xml:space="preserve"> </w:t>
      </w:r>
      <w:r w:rsidRPr="00E138E1">
        <w:t>Paperwork Reduction Act of 1995 (PRA).</w:t>
      </w:r>
    </w:p>
  </w:footnote>
  <w:footnote w:id="8">
    <w:p w14:paraId="5678066A" w14:textId="0C79C1DC" w:rsidR="00EF40FF" w:rsidRPr="00E138E1" w:rsidRDefault="00EF40FF" w:rsidP="00EF40FF">
      <w:pPr>
        <w:pStyle w:val="FootnoteText"/>
      </w:pPr>
      <w:r w:rsidRPr="00E138E1">
        <w:rPr>
          <w:rStyle w:val="FootnoteReference"/>
          <w:vertAlign w:val="superscript"/>
        </w:rPr>
        <w:footnoteRef/>
      </w:r>
      <w:r w:rsidRPr="00E138E1">
        <w:rPr>
          <w:vertAlign w:val="superscript"/>
        </w:rPr>
        <w:t xml:space="preserve"> </w:t>
      </w:r>
      <w:r w:rsidR="00860C58" w:rsidRPr="00CA20F9">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828C5" w14:textId="29C7817F" w:rsidR="003A5BA7" w:rsidRDefault="00694EA4">
    <w:pPr>
      <w:pStyle w:val="Header"/>
    </w:pPr>
    <w:r>
      <w:t>FERC-539</w:t>
    </w:r>
    <w:r w:rsidR="00703122">
      <w:t xml:space="preserve"> (OMB </w:t>
    </w:r>
    <w:r>
      <w:t>Control No. 1902-0062</w:t>
    </w:r>
    <w:r w:rsidR="00703122">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CE994" w14:textId="77777777" w:rsidR="001D2EC1" w:rsidRDefault="00891C89">
    <w:pPr>
      <w:pStyle w:val="Header"/>
    </w:pPr>
    <w:r>
      <w:t xml:space="preserve">FERC Form </w:t>
    </w:r>
    <w:r w:rsidR="00CC615D">
      <w:t>730 (OMB Control No. 1902-0239</w:t>
    </w:r>
    <w:r w:rsidR="001D2EC1">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90B3DDE"/>
    <w:multiLevelType w:val="hybridMultilevel"/>
    <w:tmpl w:val="3CD29E0A"/>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A86C93"/>
    <w:multiLevelType w:val="hybridMultilevel"/>
    <w:tmpl w:val="1B0AC2AC"/>
    <w:lvl w:ilvl="0" w:tplc="1C22A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2"/>
  </w:num>
  <w:num w:numId="5">
    <w:abstractNumId w:val="5"/>
  </w:num>
  <w:num w:numId="6">
    <w:abstractNumId w:val="8"/>
  </w:num>
  <w:num w:numId="7">
    <w:abstractNumId w:val="4"/>
  </w:num>
  <w:num w:numId="8">
    <w:abstractNumId w:val="1"/>
  </w:num>
  <w:num w:numId="9">
    <w:abstractNumId w:val="10"/>
  </w:num>
  <w:num w:numId="10">
    <w:abstractNumId w:val="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6D"/>
    <w:rsid w:val="000218B7"/>
    <w:rsid w:val="00036A31"/>
    <w:rsid w:val="000806CF"/>
    <w:rsid w:val="000969B5"/>
    <w:rsid w:val="000C5C56"/>
    <w:rsid w:val="000F53A6"/>
    <w:rsid w:val="001352B5"/>
    <w:rsid w:val="00147917"/>
    <w:rsid w:val="00157D33"/>
    <w:rsid w:val="001718FA"/>
    <w:rsid w:val="00181B4A"/>
    <w:rsid w:val="001922FC"/>
    <w:rsid w:val="00192A85"/>
    <w:rsid w:val="001A07E0"/>
    <w:rsid w:val="001B1350"/>
    <w:rsid w:val="001B6647"/>
    <w:rsid w:val="001C042A"/>
    <w:rsid w:val="001C68DA"/>
    <w:rsid w:val="001D2EC1"/>
    <w:rsid w:val="001E053A"/>
    <w:rsid w:val="001E6D2B"/>
    <w:rsid w:val="001F3ADE"/>
    <w:rsid w:val="001F42E7"/>
    <w:rsid w:val="001F60CC"/>
    <w:rsid w:val="001F703D"/>
    <w:rsid w:val="002000AA"/>
    <w:rsid w:val="002142A2"/>
    <w:rsid w:val="0024137A"/>
    <w:rsid w:val="002565F8"/>
    <w:rsid w:val="00267F92"/>
    <w:rsid w:val="002766FC"/>
    <w:rsid w:val="00295C38"/>
    <w:rsid w:val="002A2B8E"/>
    <w:rsid w:val="002D5138"/>
    <w:rsid w:val="00307F28"/>
    <w:rsid w:val="0032225E"/>
    <w:rsid w:val="003431A7"/>
    <w:rsid w:val="0035481D"/>
    <w:rsid w:val="003A4AD2"/>
    <w:rsid w:val="003B7DB9"/>
    <w:rsid w:val="003C429A"/>
    <w:rsid w:val="00426B6E"/>
    <w:rsid w:val="00432DA3"/>
    <w:rsid w:val="004445CE"/>
    <w:rsid w:val="004472EB"/>
    <w:rsid w:val="00454D32"/>
    <w:rsid w:val="004B0930"/>
    <w:rsid w:val="004D1983"/>
    <w:rsid w:val="004D6DEB"/>
    <w:rsid w:val="005240A1"/>
    <w:rsid w:val="00545B62"/>
    <w:rsid w:val="00560503"/>
    <w:rsid w:val="00592E82"/>
    <w:rsid w:val="00593CC7"/>
    <w:rsid w:val="005C5DE2"/>
    <w:rsid w:val="005C6866"/>
    <w:rsid w:val="005C6964"/>
    <w:rsid w:val="005D6791"/>
    <w:rsid w:val="005F62ED"/>
    <w:rsid w:val="00694EA4"/>
    <w:rsid w:val="006A1A2E"/>
    <w:rsid w:val="006A6928"/>
    <w:rsid w:val="006C0F70"/>
    <w:rsid w:val="006C1E96"/>
    <w:rsid w:val="00703122"/>
    <w:rsid w:val="0075420C"/>
    <w:rsid w:val="007605FE"/>
    <w:rsid w:val="007625CD"/>
    <w:rsid w:val="00790DB8"/>
    <w:rsid w:val="007A1A3D"/>
    <w:rsid w:val="00803D8D"/>
    <w:rsid w:val="00851D29"/>
    <w:rsid w:val="00860C58"/>
    <w:rsid w:val="00867774"/>
    <w:rsid w:val="008704D0"/>
    <w:rsid w:val="00870A54"/>
    <w:rsid w:val="00891C89"/>
    <w:rsid w:val="00893289"/>
    <w:rsid w:val="0089369D"/>
    <w:rsid w:val="008A38B5"/>
    <w:rsid w:val="008B1A17"/>
    <w:rsid w:val="008D1874"/>
    <w:rsid w:val="00907A71"/>
    <w:rsid w:val="0091154B"/>
    <w:rsid w:val="00933292"/>
    <w:rsid w:val="00957DA2"/>
    <w:rsid w:val="00980E8E"/>
    <w:rsid w:val="009B263A"/>
    <w:rsid w:val="009C3A34"/>
    <w:rsid w:val="009D6B6D"/>
    <w:rsid w:val="009F026D"/>
    <w:rsid w:val="00A75D13"/>
    <w:rsid w:val="00A94615"/>
    <w:rsid w:val="00AA3F59"/>
    <w:rsid w:val="00AC0958"/>
    <w:rsid w:val="00AD0D8A"/>
    <w:rsid w:val="00B13159"/>
    <w:rsid w:val="00B4017A"/>
    <w:rsid w:val="00B61F02"/>
    <w:rsid w:val="00BB6095"/>
    <w:rsid w:val="00BC5BC5"/>
    <w:rsid w:val="00BD4039"/>
    <w:rsid w:val="00BF493B"/>
    <w:rsid w:val="00C12DC0"/>
    <w:rsid w:val="00C3086A"/>
    <w:rsid w:val="00C33FDE"/>
    <w:rsid w:val="00C46B04"/>
    <w:rsid w:val="00C651D2"/>
    <w:rsid w:val="00C7666C"/>
    <w:rsid w:val="00C909A2"/>
    <w:rsid w:val="00C95C95"/>
    <w:rsid w:val="00C97FEE"/>
    <w:rsid w:val="00CA5AF7"/>
    <w:rsid w:val="00CB3EA0"/>
    <w:rsid w:val="00CC615D"/>
    <w:rsid w:val="00CF1510"/>
    <w:rsid w:val="00D00D07"/>
    <w:rsid w:val="00D05C1E"/>
    <w:rsid w:val="00D26BE1"/>
    <w:rsid w:val="00D9097D"/>
    <w:rsid w:val="00D93813"/>
    <w:rsid w:val="00DA07FD"/>
    <w:rsid w:val="00DA4553"/>
    <w:rsid w:val="00DE0C3A"/>
    <w:rsid w:val="00E138E1"/>
    <w:rsid w:val="00E32773"/>
    <w:rsid w:val="00E355FA"/>
    <w:rsid w:val="00E40D6E"/>
    <w:rsid w:val="00E46B67"/>
    <w:rsid w:val="00E76211"/>
    <w:rsid w:val="00E82BDC"/>
    <w:rsid w:val="00EA026E"/>
    <w:rsid w:val="00EB052D"/>
    <w:rsid w:val="00EB414E"/>
    <w:rsid w:val="00ED3A92"/>
    <w:rsid w:val="00EE60E1"/>
    <w:rsid w:val="00EF40FF"/>
    <w:rsid w:val="00F14D3D"/>
    <w:rsid w:val="00F205D2"/>
    <w:rsid w:val="00F3663C"/>
    <w:rsid w:val="00F528CE"/>
    <w:rsid w:val="00F620F6"/>
    <w:rsid w:val="00FA33AC"/>
    <w:rsid w:val="00FC7C5C"/>
    <w:rsid w:val="00FF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F0AE0"/>
  <w15:docId w15:val="{8E25631E-C822-4ED0-8F99-AEAA4C07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uiPriority w:val="99"/>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uiPriority w:val="99"/>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uiPriority w:val="34"/>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info-collections.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efiling.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539</_x0031__x002e__x0020_Collection_x0020_Number>
    <Date xmlns="d6eefc7d-9817-4fa6-84d5-3bc009be21b8">2016-07-29T00:00:00-04:00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IC16-8</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488CA-3FA6-4537-8C07-1F26DA1BA91C}">
  <ds:schemaRefs>
    <ds:schemaRef ds:uri="http://schemas.microsoft.com/office/2006/metadata/customXsn"/>
  </ds:schemaRefs>
</ds:datastoreItem>
</file>

<file path=customXml/itemProps2.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3.xml><?xml version="1.0" encoding="utf-8"?>
<ds:datastoreItem xmlns:ds="http://schemas.openxmlformats.org/officeDocument/2006/customXml" ds:itemID="{31AC678A-27A8-4A1F-8D0C-B3A31E55376D}">
  <ds:schemaRefs>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d6eefc7d-9817-4fa6-84d5-3bc009be21b8"/>
  </ds:schemaRefs>
</ds:datastoreItem>
</file>

<file path=customXml/itemProps4.xml><?xml version="1.0" encoding="utf-8"?>
<ds:datastoreItem xmlns:ds="http://schemas.openxmlformats.org/officeDocument/2006/customXml" ds:itemID="{968B28AE-6DAC-4876-9557-9B350D670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2F6FED-E9A7-4603-BDC0-C181C74B6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FERC-539 supporting statement FINAL</vt:lpstr>
    </vt:vector>
  </TitlesOfParts>
  <Company>Federal Energy Regulatory Commission</Company>
  <LinksUpToDate>false</LinksUpToDate>
  <CharactersWithSpaces>11513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FERC-539 supporting statement FINAL</dc:title>
  <dc:creator>Nishi Parekh</dc:creator>
  <cp:lastModifiedBy>Ellen Brown</cp:lastModifiedBy>
  <cp:revision>3</cp:revision>
  <cp:lastPrinted>2015-11-12T19:39:00Z</cp:lastPrinted>
  <dcterms:created xsi:type="dcterms:W3CDTF">2016-07-29T14:17:00Z</dcterms:created>
  <dcterms:modified xsi:type="dcterms:W3CDTF">2016-07-29T14:18:00Z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