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C90F1" w14:textId="057A078A" w:rsidR="00EB3E6F" w:rsidRPr="003D6545" w:rsidRDefault="00FD66F1" w:rsidP="003D6545">
      <w:pPr>
        <w:tabs>
          <w:tab w:val="left" w:pos="1800"/>
        </w:tabs>
        <w:spacing w:after="0" w:line="240" w:lineRule="auto"/>
        <w:jc w:val="center"/>
        <w:rPr>
          <w:rFonts w:ascii="Times New Roman" w:hAnsi="Times New Roman" w:cs="Times New Roman"/>
          <w:sz w:val="24"/>
          <w:szCs w:val="24"/>
        </w:rPr>
      </w:pPr>
      <w:r w:rsidRPr="003D6545">
        <w:rPr>
          <w:rFonts w:ascii="Times New Roman" w:hAnsi="Times New Roman" w:cs="Times New Roman"/>
          <w:sz w:val="24"/>
          <w:szCs w:val="24"/>
        </w:rPr>
        <w:t>Supporting Statement</w:t>
      </w:r>
      <w:r w:rsidR="00032244" w:rsidRPr="003D6545">
        <w:rPr>
          <w:rFonts w:ascii="Times New Roman" w:hAnsi="Times New Roman" w:cs="Times New Roman"/>
          <w:sz w:val="24"/>
          <w:szCs w:val="24"/>
        </w:rPr>
        <w:t xml:space="preserve"> for </w:t>
      </w:r>
    </w:p>
    <w:p w14:paraId="4A6A1091" w14:textId="5AE9EFE8" w:rsidR="00032244" w:rsidRPr="003D6545" w:rsidRDefault="003B3B61" w:rsidP="003D6545">
      <w:pPr>
        <w:spacing w:after="0" w:line="240" w:lineRule="auto"/>
        <w:jc w:val="center"/>
        <w:rPr>
          <w:rFonts w:ascii="Times New Roman" w:hAnsi="Times New Roman" w:cs="Times New Roman"/>
          <w:b/>
          <w:sz w:val="24"/>
          <w:szCs w:val="24"/>
        </w:rPr>
      </w:pPr>
      <w:r w:rsidRPr="003D6545">
        <w:rPr>
          <w:rFonts w:ascii="Times New Roman" w:hAnsi="Times New Roman" w:cs="Times New Roman"/>
          <w:b/>
          <w:sz w:val="24"/>
          <w:szCs w:val="24"/>
        </w:rPr>
        <w:t>FERC-516</w:t>
      </w:r>
      <w:r w:rsidR="005247A2">
        <w:rPr>
          <w:rFonts w:ascii="Times New Roman" w:hAnsi="Times New Roman" w:cs="Times New Roman"/>
          <w:b/>
          <w:sz w:val="24"/>
          <w:szCs w:val="24"/>
        </w:rPr>
        <w:t>D</w:t>
      </w:r>
      <w:r w:rsidRPr="003D6545">
        <w:rPr>
          <w:rFonts w:ascii="Times New Roman" w:hAnsi="Times New Roman" w:cs="Times New Roman"/>
          <w:b/>
          <w:sz w:val="24"/>
          <w:szCs w:val="24"/>
        </w:rPr>
        <w:t>, Electric Rate Schedules and Tariff Filings</w:t>
      </w:r>
      <w:r w:rsidR="003D6545" w:rsidRPr="003D6545">
        <w:rPr>
          <w:rFonts w:ascii="Times New Roman" w:hAnsi="Times New Roman" w:cs="Times New Roman"/>
          <w:b/>
          <w:sz w:val="24"/>
          <w:szCs w:val="24"/>
        </w:rPr>
        <w:t>,</w:t>
      </w:r>
    </w:p>
    <w:p w14:paraId="7E3B1A56" w14:textId="1FCE7602" w:rsidR="003B3B61" w:rsidRPr="003D6545" w:rsidRDefault="00032244" w:rsidP="003D6545">
      <w:pPr>
        <w:spacing w:after="0" w:line="240" w:lineRule="auto"/>
        <w:jc w:val="center"/>
        <w:rPr>
          <w:rFonts w:ascii="Times New Roman" w:hAnsi="Times New Roman" w:cs="Times New Roman"/>
          <w:sz w:val="24"/>
          <w:szCs w:val="24"/>
        </w:rPr>
      </w:pPr>
      <w:r w:rsidRPr="003D6545">
        <w:rPr>
          <w:rFonts w:ascii="Times New Roman" w:hAnsi="Times New Roman" w:cs="Times New Roman"/>
          <w:sz w:val="24"/>
          <w:szCs w:val="24"/>
        </w:rPr>
        <w:t xml:space="preserve">as </w:t>
      </w:r>
      <w:r w:rsidR="005247A2">
        <w:rPr>
          <w:rFonts w:ascii="Times New Roman" w:hAnsi="Times New Roman" w:cs="Times New Roman"/>
          <w:sz w:val="24"/>
          <w:szCs w:val="24"/>
        </w:rPr>
        <w:t>implemente</w:t>
      </w:r>
      <w:r w:rsidR="005247A2" w:rsidRPr="003D6545">
        <w:rPr>
          <w:rFonts w:ascii="Times New Roman" w:hAnsi="Times New Roman" w:cs="Times New Roman"/>
          <w:sz w:val="24"/>
          <w:szCs w:val="24"/>
        </w:rPr>
        <w:t xml:space="preserve">d </w:t>
      </w:r>
      <w:r w:rsidRPr="003D6545">
        <w:rPr>
          <w:rFonts w:ascii="Times New Roman" w:hAnsi="Times New Roman" w:cs="Times New Roman"/>
          <w:sz w:val="24"/>
          <w:szCs w:val="24"/>
        </w:rPr>
        <w:t xml:space="preserve">by </w:t>
      </w:r>
      <w:r w:rsidR="003B3B61" w:rsidRPr="003D6545">
        <w:rPr>
          <w:rFonts w:ascii="Times New Roman" w:hAnsi="Times New Roman" w:cs="Times New Roman"/>
          <w:sz w:val="24"/>
          <w:szCs w:val="24"/>
        </w:rPr>
        <w:t xml:space="preserve">the </w:t>
      </w:r>
      <w:r w:rsidR="007B5786">
        <w:rPr>
          <w:rFonts w:ascii="Times New Roman" w:hAnsi="Times New Roman" w:cs="Times New Roman"/>
          <w:sz w:val="24"/>
          <w:szCs w:val="24"/>
        </w:rPr>
        <w:t>Final</w:t>
      </w:r>
      <w:r w:rsidR="007B5786" w:rsidRPr="003D6545">
        <w:rPr>
          <w:rFonts w:ascii="Times New Roman" w:hAnsi="Times New Roman" w:cs="Times New Roman"/>
          <w:sz w:val="24"/>
          <w:szCs w:val="24"/>
        </w:rPr>
        <w:t xml:space="preserve"> </w:t>
      </w:r>
      <w:r w:rsidR="003B3B61" w:rsidRPr="003D6545">
        <w:rPr>
          <w:rFonts w:ascii="Times New Roman" w:hAnsi="Times New Roman" w:cs="Times New Roman"/>
          <w:sz w:val="24"/>
          <w:szCs w:val="24"/>
        </w:rPr>
        <w:t xml:space="preserve">Rule in Docket </w:t>
      </w:r>
      <w:r w:rsidRPr="003D6545">
        <w:rPr>
          <w:rFonts w:ascii="Times New Roman" w:hAnsi="Times New Roman" w:cs="Times New Roman"/>
          <w:sz w:val="24"/>
          <w:szCs w:val="24"/>
        </w:rPr>
        <w:t xml:space="preserve">No. </w:t>
      </w:r>
      <w:r w:rsidR="000036F6" w:rsidRPr="003D6545">
        <w:rPr>
          <w:rFonts w:ascii="Times New Roman" w:hAnsi="Times New Roman" w:cs="Times New Roman"/>
          <w:sz w:val="24"/>
          <w:szCs w:val="24"/>
        </w:rPr>
        <w:t>RM15-2</w:t>
      </w:r>
      <w:r w:rsidR="00243BFF" w:rsidRPr="003D6545">
        <w:rPr>
          <w:rFonts w:ascii="Times New Roman" w:hAnsi="Times New Roman" w:cs="Times New Roman"/>
          <w:sz w:val="24"/>
          <w:szCs w:val="24"/>
        </w:rPr>
        <w:t>4</w:t>
      </w:r>
      <w:r w:rsidR="008C1798">
        <w:rPr>
          <w:rFonts w:ascii="Times New Roman" w:hAnsi="Times New Roman" w:cs="Times New Roman"/>
          <w:sz w:val="24"/>
          <w:szCs w:val="24"/>
        </w:rPr>
        <w:t>-</w:t>
      </w:r>
      <w:r w:rsidR="008C1798" w:rsidRPr="002C75C1">
        <w:rPr>
          <w:rFonts w:ascii="Times New Roman" w:hAnsi="Times New Roman" w:cs="Times New Roman"/>
          <w:sz w:val="24"/>
          <w:szCs w:val="24"/>
        </w:rPr>
        <w:t>000</w:t>
      </w:r>
      <w:r w:rsidR="003B3B61" w:rsidRPr="002C75C1">
        <w:rPr>
          <w:rFonts w:ascii="Times New Roman" w:hAnsi="Times New Roman" w:cs="Times New Roman"/>
          <w:sz w:val="24"/>
          <w:szCs w:val="24"/>
        </w:rPr>
        <w:t xml:space="preserve"> (issued </w:t>
      </w:r>
      <w:r w:rsidR="003B3B61" w:rsidRPr="0029690C">
        <w:rPr>
          <w:rFonts w:ascii="Times New Roman" w:hAnsi="Times New Roman" w:cs="Times New Roman"/>
          <w:sz w:val="24"/>
          <w:szCs w:val="24"/>
        </w:rPr>
        <w:t xml:space="preserve">on </w:t>
      </w:r>
      <w:r w:rsidR="002C75C1" w:rsidRPr="0029690C">
        <w:rPr>
          <w:rFonts w:ascii="Times New Roman" w:hAnsi="Times New Roman" w:cs="Times New Roman"/>
          <w:sz w:val="24"/>
          <w:szCs w:val="24"/>
        </w:rPr>
        <w:t>6/16/2016)</w:t>
      </w:r>
    </w:p>
    <w:p w14:paraId="6FBC90F4" w14:textId="77777777" w:rsidR="00FD66F1" w:rsidRPr="003D6545" w:rsidRDefault="00FD66F1" w:rsidP="003D6545">
      <w:pPr>
        <w:spacing w:after="0" w:line="240" w:lineRule="auto"/>
        <w:rPr>
          <w:rFonts w:ascii="Times New Roman" w:hAnsi="Times New Roman" w:cs="Times New Roman"/>
          <w:sz w:val="24"/>
          <w:szCs w:val="24"/>
        </w:rPr>
      </w:pPr>
    </w:p>
    <w:p w14:paraId="0CDF8928" w14:textId="50AC7888" w:rsidR="008C46D9" w:rsidRDefault="00F8440A" w:rsidP="008C46D9">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 Federal Energy Regulatory Commission (Commission or FERC) requests that the Office of Management a</w:t>
      </w:r>
      <w:r w:rsidR="00B27783" w:rsidRPr="003D6545">
        <w:rPr>
          <w:rFonts w:ascii="Times New Roman" w:hAnsi="Times New Roman" w:cs="Times New Roman"/>
          <w:sz w:val="24"/>
          <w:szCs w:val="24"/>
        </w:rPr>
        <w:t xml:space="preserve">nd Budget (OMB) review </w:t>
      </w:r>
      <w:r w:rsidR="004374EA">
        <w:rPr>
          <w:rFonts w:ascii="Times New Roman" w:hAnsi="Times New Roman" w:cs="Times New Roman"/>
          <w:sz w:val="24"/>
          <w:szCs w:val="24"/>
        </w:rPr>
        <w:t xml:space="preserve">and approve </w:t>
      </w:r>
      <w:r w:rsidR="00A22D15">
        <w:rPr>
          <w:rFonts w:ascii="Times New Roman" w:hAnsi="Times New Roman" w:cs="Times New Roman"/>
          <w:sz w:val="24"/>
          <w:szCs w:val="24"/>
        </w:rPr>
        <w:t xml:space="preserve">for three years </w:t>
      </w:r>
      <w:r w:rsidR="008C46D9">
        <w:rPr>
          <w:rFonts w:ascii="Times New Roman" w:hAnsi="Times New Roman" w:cs="Times New Roman"/>
          <w:sz w:val="24"/>
          <w:szCs w:val="24"/>
        </w:rPr>
        <w:t xml:space="preserve">the reporting and recordkeeping requirements </w:t>
      </w:r>
      <w:r w:rsidR="008C46D9" w:rsidRPr="002C75C1">
        <w:rPr>
          <w:rFonts w:ascii="Times New Roman" w:hAnsi="Times New Roman" w:cs="Times New Roman"/>
          <w:sz w:val="24"/>
          <w:szCs w:val="24"/>
        </w:rPr>
        <w:t xml:space="preserve">associated with </w:t>
      </w:r>
      <w:r w:rsidR="00B27783" w:rsidRPr="002C75C1">
        <w:rPr>
          <w:rFonts w:ascii="Times New Roman" w:hAnsi="Times New Roman" w:cs="Times New Roman"/>
          <w:sz w:val="24"/>
          <w:szCs w:val="24"/>
        </w:rPr>
        <w:t>FERC-516</w:t>
      </w:r>
      <w:r w:rsidR="004374EA" w:rsidRPr="002C75C1">
        <w:rPr>
          <w:rFonts w:ascii="Times New Roman" w:hAnsi="Times New Roman" w:cs="Times New Roman"/>
          <w:sz w:val="24"/>
          <w:szCs w:val="24"/>
        </w:rPr>
        <w:t>D</w:t>
      </w:r>
      <w:r w:rsidR="00B27783" w:rsidRPr="002C75C1">
        <w:rPr>
          <w:rFonts w:ascii="Times New Roman" w:hAnsi="Times New Roman" w:cs="Times New Roman"/>
          <w:sz w:val="24"/>
          <w:szCs w:val="24"/>
        </w:rPr>
        <w:t xml:space="preserve"> (Electric Rate</w:t>
      </w:r>
      <w:r w:rsidR="00243BFF" w:rsidRPr="002C75C1">
        <w:rPr>
          <w:rFonts w:ascii="Times New Roman" w:hAnsi="Times New Roman" w:cs="Times New Roman"/>
          <w:sz w:val="24"/>
          <w:szCs w:val="24"/>
        </w:rPr>
        <w:t xml:space="preserve"> Schedule and Tariff Filings</w:t>
      </w:r>
      <w:r w:rsidR="007C28CF" w:rsidRPr="002C75C1">
        <w:rPr>
          <w:rFonts w:ascii="Times New Roman" w:hAnsi="Times New Roman" w:cs="Times New Roman"/>
          <w:sz w:val="24"/>
          <w:szCs w:val="24"/>
        </w:rPr>
        <w:t>)</w:t>
      </w:r>
      <w:r w:rsidR="008C46D9" w:rsidRPr="002C75C1">
        <w:rPr>
          <w:rFonts w:ascii="Times New Roman" w:hAnsi="Times New Roman" w:cs="Times New Roman"/>
          <w:sz w:val="24"/>
          <w:szCs w:val="24"/>
        </w:rPr>
        <w:t xml:space="preserve">, as  implemented in </w:t>
      </w:r>
      <w:r w:rsidR="00835A02" w:rsidRPr="002C75C1">
        <w:rPr>
          <w:rFonts w:ascii="Times New Roman" w:hAnsi="Times New Roman" w:cs="Times New Roman"/>
          <w:sz w:val="24"/>
          <w:szCs w:val="24"/>
        </w:rPr>
        <w:t xml:space="preserve">Order No. </w:t>
      </w:r>
      <w:r w:rsidR="002C75C1" w:rsidRPr="002C75C1">
        <w:rPr>
          <w:rFonts w:ascii="Times New Roman" w:hAnsi="Times New Roman" w:cs="Times New Roman"/>
          <w:sz w:val="24"/>
          <w:szCs w:val="24"/>
        </w:rPr>
        <w:t xml:space="preserve">825 </w:t>
      </w:r>
      <w:r w:rsidR="00835A02" w:rsidRPr="002C75C1">
        <w:rPr>
          <w:rFonts w:ascii="Times New Roman" w:hAnsi="Times New Roman" w:cs="Times New Roman"/>
          <w:sz w:val="24"/>
          <w:szCs w:val="24"/>
        </w:rPr>
        <w:t>(</w:t>
      </w:r>
      <w:r w:rsidR="008C46D9" w:rsidRPr="002C75C1">
        <w:rPr>
          <w:rFonts w:ascii="Times New Roman" w:hAnsi="Times New Roman" w:cs="Times New Roman"/>
          <w:sz w:val="24"/>
          <w:szCs w:val="24"/>
        </w:rPr>
        <w:t>Final</w:t>
      </w:r>
      <w:r w:rsidR="008C46D9">
        <w:rPr>
          <w:rFonts w:ascii="Times New Roman" w:hAnsi="Times New Roman" w:cs="Times New Roman"/>
          <w:sz w:val="24"/>
          <w:szCs w:val="24"/>
        </w:rPr>
        <w:t xml:space="preserve"> Rule in Docket No. RM15-24</w:t>
      </w:r>
      <w:r w:rsidR="00835A02">
        <w:rPr>
          <w:rFonts w:ascii="Times New Roman" w:hAnsi="Times New Roman" w:cs="Times New Roman"/>
          <w:sz w:val="24"/>
          <w:szCs w:val="24"/>
        </w:rPr>
        <w:t>,</w:t>
      </w:r>
      <w:r w:rsidR="004C3F35">
        <w:rPr>
          <w:rFonts w:ascii="Times New Roman" w:hAnsi="Times New Roman" w:cs="Times New Roman"/>
          <w:sz w:val="24"/>
          <w:szCs w:val="24"/>
        </w:rPr>
        <w:t xml:space="preserve"> </w:t>
      </w:r>
      <w:r w:rsidR="004C3F35" w:rsidRPr="004C3F35">
        <w:rPr>
          <w:rFonts w:ascii="Times New Roman" w:hAnsi="Times New Roman" w:cs="Times New Roman"/>
          <w:sz w:val="24"/>
          <w:szCs w:val="24"/>
        </w:rPr>
        <w:t>Settlement Intervals and Shortage Pricing in Markets Operated by Regional Transmission Organizations and Independent System Operators</w:t>
      </w:r>
      <w:r w:rsidR="004C3F35">
        <w:rPr>
          <w:rFonts w:ascii="Times New Roman" w:hAnsi="Times New Roman" w:cs="Times New Roman"/>
          <w:sz w:val="24"/>
          <w:szCs w:val="24"/>
        </w:rPr>
        <w:t>)</w:t>
      </w:r>
      <w:r w:rsidR="001D5696" w:rsidRPr="003D6545">
        <w:rPr>
          <w:rFonts w:ascii="Times New Roman" w:hAnsi="Times New Roman" w:cs="Times New Roman"/>
          <w:sz w:val="24"/>
          <w:szCs w:val="24"/>
        </w:rPr>
        <w:t xml:space="preserve">.  </w:t>
      </w:r>
    </w:p>
    <w:p w14:paraId="5253ECE9" w14:textId="77777777" w:rsidR="008C46D9" w:rsidRPr="00842B97" w:rsidRDefault="008C46D9" w:rsidP="008C46D9">
      <w:pPr>
        <w:spacing w:after="0" w:line="240" w:lineRule="auto"/>
        <w:rPr>
          <w:rFonts w:ascii="Times New Roman" w:hAnsi="Times New Roman" w:cs="Times New Roman"/>
          <w:i/>
          <w:sz w:val="24"/>
          <w:szCs w:val="24"/>
        </w:rPr>
      </w:pPr>
    </w:p>
    <w:p w14:paraId="769D7282" w14:textId="77B3A86D" w:rsidR="008C46D9" w:rsidRDefault="008C46D9" w:rsidP="008C46D9">
      <w:pPr>
        <w:spacing w:after="0" w:line="240" w:lineRule="auto"/>
        <w:ind w:left="720"/>
        <w:rPr>
          <w:rFonts w:ascii="Times New Roman" w:hAnsi="Times New Roman" w:cs="Times New Roman"/>
          <w:i/>
          <w:sz w:val="24"/>
          <w:szCs w:val="24"/>
        </w:rPr>
      </w:pPr>
      <w:r w:rsidRPr="008C46D9">
        <w:rPr>
          <w:rFonts w:ascii="Times New Roman" w:hAnsi="Times New Roman" w:cs="Times New Roman"/>
          <w:i/>
          <w:sz w:val="24"/>
          <w:szCs w:val="24"/>
        </w:rPr>
        <w:t>The requirements in the Notice of Proposed Rulemaking (NOPR) in Docket No. RM15-24 were submitted to OMB under FERC-516</w:t>
      </w:r>
      <w:r w:rsidR="00E36F12">
        <w:rPr>
          <w:rFonts w:ascii="Times New Roman" w:hAnsi="Times New Roman" w:cs="Times New Roman"/>
          <w:i/>
          <w:sz w:val="24"/>
          <w:szCs w:val="24"/>
        </w:rPr>
        <w:t xml:space="preserve"> </w:t>
      </w:r>
      <w:r w:rsidR="00E36F12" w:rsidRPr="00842B97">
        <w:rPr>
          <w:rFonts w:ascii="Times New Roman" w:hAnsi="Times New Roman" w:cs="Times New Roman"/>
          <w:i/>
          <w:sz w:val="24"/>
          <w:szCs w:val="24"/>
        </w:rPr>
        <w:t>(OMB Control N</w:t>
      </w:r>
      <w:r w:rsidR="00E36F12">
        <w:rPr>
          <w:rFonts w:ascii="Times New Roman" w:hAnsi="Times New Roman" w:cs="Times New Roman"/>
          <w:i/>
          <w:sz w:val="24"/>
          <w:szCs w:val="24"/>
        </w:rPr>
        <w:t>o</w:t>
      </w:r>
      <w:r w:rsidR="00E36F12" w:rsidRPr="00842B97">
        <w:rPr>
          <w:rFonts w:ascii="Times New Roman" w:hAnsi="Times New Roman" w:cs="Times New Roman"/>
          <w:i/>
          <w:sz w:val="24"/>
          <w:szCs w:val="24"/>
        </w:rPr>
        <w:t>. 1902-0096)</w:t>
      </w:r>
      <w:r w:rsidRPr="008C46D9">
        <w:rPr>
          <w:rFonts w:ascii="Times New Roman" w:hAnsi="Times New Roman" w:cs="Times New Roman"/>
          <w:i/>
          <w:sz w:val="24"/>
          <w:szCs w:val="24"/>
        </w:rPr>
        <w:t xml:space="preserve"> in ICR No. 201509-1902-002.</w:t>
      </w:r>
      <w:r>
        <w:rPr>
          <w:rFonts w:ascii="Times New Roman" w:hAnsi="Times New Roman" w:cs="Times New Roman"/>
          <w:i/>
          <w:sz w:val="24"/>
          <w:szCs w:val="24"/>
        </w:rPr>
        <w:t xml:space="preserve">  </w:t>
      </w:r>
      <w:r w:rsidRPr="00842B97">
        <w:rPr>
          <w:rFonts w:ascii="Times New Roman" w:hAnsi="Times New Roman" w:cs="Times New Roman"/>
          <w:i/>
          <w:sz w:val="24"/>
          <w:szCs w:val="24"/>
        </w:rPr>
        <w:t>The reporting and recordkeeping requirements in th</w:t>
      </w:r>
      <w:r>
        <w:rPr>
          <w:rFonts w:ascii="Times New Roman" w:hAnsi="Times New Roman" w:cs="Times New Roman"/>
          <w:i/>
          <w:sz w:val="24"/>
          <w:szCs w:val="24"/>
        </w:rPr>
        <w:t>is</w:t>
      </w:r>
      <w:r w:rsidRPr="00842B97">
        <w:rPr>
          <w:rFonts w:ascii="Times New Roman" w:hAnsi="Times New Roman" w:cs="Times New Roman"/>
          <w:i/>
          <w:sz w:val="24"/>
          <w:szCs w:val="24"/>
        </w:rPr>
        <w:t xml:space="preserve"> Final Rule in Docket No. RM15-24 should be part of FERC-516</w:t>
      </w:r>
      <w:r w:rsidR="00E36F12">
        <w:rPr>
          <w:rFonts w:ascii="Times New Roman" w:hAnsi="Times New Roman" w:cs="Times New Roman"/>
          <w:i/>
          <w:sz w:val="24"/>
          <w:szCs w:val="24"/>
        </w:rPr>
        <w:t xml:space="preserve">. </w:t>
      </w:r>
      <w:r w:rsidRPr="00842B97">
        <w:rPr>
          <w:rFonts w:ascii="Times New Roman" w:hAnsi="Times New Roman" w:cs="Times New Roman"/>
          <w:i/>
          <w:sz w:val="24"/>
          <w:szCs w:val="24"/>
        </w:rPr>
        <w:t xml:space="preserve"> However</w:t>
      </w:r>
      <w:r>
        <w:rPr>
          <w:rFonts w:ascii="Times New Roman" w:hAnsi="Times New Roman" w:cs="Times New Roman"/>
          <w:i/>
          <w:sz w:val="24"/>
          <w:szCs w:val="24"/>
        </w:rPr>
        <w:t>,</w:t>
      </w:r>
      <w:r w:rsidRPr="00842B97">
        <w:rPr>
          <w:rFonts w:ascii="Times New Roman" w:hAnsi="Times New Roman" w:cs="Times New Roman"/>
          <w:i/>
          <w:sz w:val="24"/>
          <w:szCs w:val="24"/>
        </w:rPr>
        <w:t xml:space="preserve"> there is another unrelated item</w:t>
      </w:r>
      <w:r w:rsidR="00B60795" w:rsidRPr="00376ECF">
        <w:rPr>
          <w:rStyle w:val="FootnoteReference"/>
          <w:rFonts w:ascii="Times New Roman" w:hAnsi="Times New Roman" w:cs="Times New Roman"/>
          <w:sz w:val="24"/>
          <w:szCs w:val="24"/>
          <w:vertAlign w:val="superscript"/>
        </w:rPr>
        <w:footnoteReference w:id="2"/>
      </w:r>
      <w:r w:rsidRPr="00842B97">
        <w:rPr>
          <w:rFonts w:ascii="Times New Roman" w:hAnsi="Times New Roman" w:cs="Times New Roman"/>
          <w:i/>
          <w:sz w:val="24"/>
          <w:szCs w:val="24"/>
        </w:rPr>
        <w:t xml:space="preserve"> which is </w:t>
      </w:r>
      <w:r>
        <w:rPr>
          <w:rFonts w:ascii="Times New Roman" w:hAnsi="Times New Roman" w:cs="Times New Roman"/>
          <w:i/>
          <w:sz w:val="24"/>
          <w:szCs w:val="24"/>
        </w:rPr>
        <w:t xml:space="preserve">currently </w:t>
      </w:r>
      <w:r w:rsidRPr="00842B97">
        <w:rPr>
          <w:rFonts w:ascii="Times New Roman" w:hAnsi="Times New Roman" w:cs="Times New Roman"/>
          <w:i/>
          <w:sz w:val="24"/>
          <w:szCs w:val="24"/>
        </w:rPr>
        <w:t>pending OMB review</w:t>
      </w:r>
      <w:r w:rsidR="00B60795">
        <w:rPr>
          <w:rFonts w:ascii="Times New Roman" w:hAnsi="Times New Roman" w:cs="Times New Roman"/>
          <w:i/>
          <w:sz w:val="24"/>
          <w:szCs w:val="24"/>
        </w:rPr>
        <w:t xml:space="preserve"> under FERC-516, and o</w:t>
      </w:r>
      <w:r w:rsidRPr="00842B97">
        <w:rPr>
          <w:rFonts w:ascii="Times New Roman" w:hAnsi="Times New Roman" w:cs="Times New Roman"/>
          <w:i/>
          <w:sz w:val="24"/>
          <w:szCs w:val="24"/>
        </w:rPr>
        <w:t xml:space="preserve">nly one item per OMB Control No. can be pending </w:t>
      </w:r>
      <w:r>
        <w:rPr>
          <w:rFonts w:ascii="Times New Roman" w:hAnsi="Times New Roman" w:cs="Times New Roman"/>
          <w:i/>
          <w:sz w:val="24"/>
          <w:szCs w:val="24"/>
        </w:rPr>
        <w:t xml:space="preserve">OMB </w:t>
      </w:r>
      <w:r w:rsidRPr="00842B97">
        <w:rPr>
          <w:rFonts w:ascii="Times New Roman" w:hAnsi="Times New Roman" w:cs="Times New Roman"/>
          <w:i/>
          <w:sz w:val="24"/>
          <w:szCs w:val="24"/>
        </w:rPr>
        <w:t>review at a time</w:t>
      </w:r>
      <w:r w:rsidR="00B60795">
        <w:rPr>
          <w:rFonts w:ascii="Times New Roman" w:hAnsi="Times New Roman" w:cs="Times New Roman"/>
          <w:i/>
          <w:sz w:val="24"/>
          <w:szCs w:val="24"/>
        </w:rPr>
        <w:t>.  Therefore</w:t>
      </w:r>
      <w:r w:rsidRPr="00842B97">
        <w:rPr>
          <w:rFonts w:ascii="Times New Roman" w:hAnsi="Times New Roman" w:cs="Times New Roman"/>
          <w:i/>
          <w:sz w:val="24"/>
          <w:szCs w:val="24"/>
        </w:rPr>
        <w:t>,</w:t>
      </w:r>
      <w:r w:rsidR="00B60795">
        <w:rPr>
          <w:rFonts w:ascii="Times New Roman" w:hAnsi="Times New Roman" w:cs="Times New Roman"/>
          <w:i/>
          <w:sz w:val="24"/>
          <w:szCs w:val="24"/>
        </w:rPr>
        <w:t xml:space="preserve"> </w:t>
      </w:r>
      <w:r w:rsidRPr="00842B97">
        <w:rPr>
          <w:rFonts w:ascii="Times New Roman" w:hAnsi="Times New Roman" w:cs="Times New Roman"/>
          <w:i/>
          <w:sz w:val="24"/>
          <w:szCs w:val="24"/>
        </w:rPr>
        <w:t>the requirements in th</w:t>
      </w:r>
      <w:r>
        <w:rPr>
          <w:rFonts w:ascii="Times New Roman" w:hAnsi="Times New Roman" w:cs="Times New Roman"/>
          <w:i/>
          <w:sz w:val="24"/>
          <w:szCs w:val="24"/>
        </w:rPr>
        <w:t>is</w:t>
      </w:r>
      <w:r w:rsidRPr="00842B97">
        <w:rPr>
          <w:rFonts w:ascii="Times New Roman" w:hAnsi="Times New Roman" w:cs="Times New Roman"/>
          <w:i/>
          <w:sz w:val="24"/>
          <w:szCs w:val="24"/>
        </w:rPr>
        <w:t xml:space="preserve"> Final Rule in RM15-24 are being </w:t>
      </w:r>
      <w:r w:rsidR="004A5128">
        <w:rPr>
          <w:rFonts w:ascii="Times New Roman" w:hAnsi="Times New Roman" w:cs="Times New Roman"/>
          <w:i/>
          <w:sz w:val="24"/>
          <w:szCs w:val="24"/>
        </w:rPr>
        <w:t>submitted under</w:t>
      </w:r>
      <w:r w:rsidRPr="00842B97">
        <w:rPr>
          <w:rFonts w:ascii="Times New Roman" w:hAnsi="Times New Roman" w:cs="Times New Roman"/>
          <w:i/>
          <w:sz w:val="24"/>
          <w:szCs w:val="24"/>
        </w:rPr>
        <w:t xml:space="preserve"> a new temporary</w:t>
      </w:r>
      <w:r w:rsidR="00AA3A0B">
        <w:rPr>
          <w:rFonts w:ascii="Times New Roman" w:hAnsi="Times New Roman" w:cs="Times New Roman"/>
          <w:i/>
          <w:sz w:val="24"/>
          <w:szCs w:val="24"/>
        </w:rPr>
        <w:t xml:space="preserve"> or interim </w:t>
      </w:r>
      <w:r w:rsidRPr="00842B97">
        <w:rPr>
          <w:rFonts w:ascii="Times New Roman" w:hAnsi="Times New Roman" w:cs="Times New Roman"/>
          <w:i/>
          <w:sz w:val="24"/>
          <w:szCs w:val="24"/>
        </w:rPr>
        <w:t xml:space="preserve">collection </w:t>
      </w:r>
      <w:r w:rsidR="007255CC">
        <w:rPr>
          <w:rFonts w:ascii="Times New Roman" w:hAnsi="Times New Roman" w:cs="Times New Roman"/>
          <w:i/>
          <w:sz w:val="24"/>
          <w:szCs w:val="24"/>
        </w:rPr>
        <w:t>number</w:t>
      </w:r>
      <w:r w:rsidRPr="00842B97">
        <w:rPr>
          <w:rFonts w:ascii="Times New Roman" w:hAnsi="Times New Roman" w:cs="Times New Roman"/>
          <w:i/>
          <w:sz w:val="24"/>
          <w:szCs w:val="24"/>
        </w:rPr>
        <w:t xml:space="preserve"> </w:t>
      </w:r>
      <w:r w:rsidR="004A5128">
        <w:rPr>
          <w:rFonts w:ascii="Times New Roman" w:hAnsi="Times New Roman" w:cs="Times New Roman"/>
          <w:i/>
          <w:sz w:val="24"/>
          <w:szCs w:val="24"/>
        </w:rPr>
        <w:t xml:space="preserve">(FERC-516D) </w:t>
      </w:r>
      <w:r w:rsidRPr="00842B97">
        <w:rPr>
          <w:rFonts w:ascii="Times New Roman" w:hAnsi="Times New Roman" w:cs="Times New Roman"/>
          <w:i/>
          <w:sz w:val="24"/>
          <w:szCs w:val="24"/>
        </w:rPr>
        <w:t xml:space="preserve">to ensure timely submittal to OMB.  Long-term, </w:t>
      </w:r>
      <w:r w:rsidR="000C2384">
        <w:rPr>
          <w:rFonts w:ascii="Times New Roman" w:hAnsi="Times New Roman" w:cs="Times New Roman"/>
          <w:i/>
          <w:sz w:val="24"/>
          <w:szCs w:val="24"/>
        </w:rPr>
        <w:t xml:space="preserve">the staff plans to </w:t>
      </w:r>
      <w:r w:rsidR="000C2384" w:rsidRPr="00842B97">
        <w:rPr>
          <w:rFonts w:ascii="Times New Roman" w:hAnsi="Times New Roman" w:cs="Times New Roman"/>
          <w:i/>
          <w:sz w:val="24"/>
          <w:szCs w:val="24"/>
        </w:rPr>
        <w:t xml:space="preserve">administratively move </w:t>
      </w:r>
      <w:r w:rsidRPr="00842B97">
        <w:rPr>
          <w:rFonts w:ascii="Times New Roman" w:hAnsi="Times New Roman" w:cs="Times New Roman"/>
          <w:i/>
          <w:sz w:val="24"/>
          <w:szCs w:val="24"/>
        </w:rPr>
        <w:t xml:space="preserve">the </w:t>
      </w:r>
      <w:r w:rsidR="00B60795">
        <w:rPr>
          <w:rFonts w:ascii="Times New Roman" w:hAnsi="Times New Roman" w:cs="Times New Roman"/>
          <w:i/>
          <w:sz w:val="24"/>
          <w:szCs w:val="24"/>
        </w:rPr>
        <w:t xml:space="preserve">requirements and associated </w:t>
      </w:r>
      <w:r w:rsidRPr="00842B97">
        <w:rPr>
          <w:rFonts w:ascii="Times New Roman" w:hAnsi="Times New Roman" w:cs="Times New Roman"/>
          <w:i/>
          <w:sz w:val="24"/>
          <w:szCs w:val="24"/>
        </w:rPr>
        <w:t xml:space="preserve">burden </w:t>
      </w:r>
      <w:r w:rsidR="000C2384">
        <w:rPr>
          <w:rFonts w:ascii="Times New Roman" w:hAnsi="Times New Roman" w:cs="Times New Roman"/>
          <w:i/>
          <w:sz w:val="24"/>
          <w:szCs w:val="24"/>
        </w:rPr>
        <w:t>of</w:t>
      </w:r>
      <w:r w:rsidRPr="00842B97">
        <w:rPr>
          <w:rFonts w:ascii="Times New Roman" w:hAnsi="Times New Roman" w:cs="Times New Roman"/>
          <w:i/>
          <w:sz w:val="24"/>
          <w:szCs w:val="24"/>
        </w:rPr>
        <w:t xml:space="preserve"> FERC-516D to FERC-516.</w:t>
      </w:r>
      <w:r>
        <w:rPr>
          <w:rFonts w:ascii="Times New Roman" w:hAnsi="Times New Roman" w:cs="Times New Roman"/>
          <w:i/>
          <w:sz w:val="24"/>
          <w:szCs w:val="24"/>
        </w:rPr>
        <w:t xml:space="preserve">  </w:t>
      </w:r>
    </w:p>
    <w:p w14:paraId="1313CFC2" w14:textId="77777777" w:rsidR="008C46D9" w:rsidRPr="00842B97" w:rsidRDefault="008C46D9" w:rsidP="008C46D9">
      <w:pPr>
        <w:spacing w:after="0" w:line="240" w:lineRule="auto"/>
        <w:ind w:left="720"/>
        <w:rPr>
          <w:rFonts w:ascii="Times New Roman" w:hAnsi="Times New Roman" w:cs="Times New Roman"/>
          <w:i/>
          <w:sz w:val="24"/>
          <w:szCs w:val="24"/>
        </w:rPr>
      </w:pPr>
    </w:p>
    <w:p w14:paraId="6232B100" w14:textId="425149DF" w:rsidR="00F8440A" w:rsidRPr="003D6545" w:rsidRDefault="008C46D9" w:rsidP="003D6545">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F8440A" w:rsidRPr="003D6545">
        <w:rPr>
          <w:rFonts w:ascii="Times New Roman" w:hAnsi="Times New Roman" w:cs="Times New Roman"/>
          <w:sz w:val="24"/>
          <w:szCs w:val="24"/>
        </w:rPr>
        <w:t xml:space="preserve"> </w:t>
      </w:r>
      <w:r w:rsidR="007C28CF" w:rsidRPr="003D6545">
        <w:rPr>
          <w:rFonts w:ascii="Times New Roman" w:hAnsi="Times New Roman" w:cs="Times New Roman"/>
          <w:sz w:val="24"/>
          <w:szCs w:val="24"/>
        </w:rPr>
        <w:t>FERC-516</w:t>
      </w:r>
      <w:r>
        <w:rPr>
          <w:rFonts w:ascii="Times New Roman" w:hAnsi="Times New Roman" w:cs="Times New Roman"/>
          <w:sz w:val="24"/>
          <w:szCs w:val="24"/>
        </w:rPr>
        <w:t>D</w:t>
      </w:r>
      <w:r w:rsidR="00F8440A" w:rsidRPr="003D6545">
        <w:rPr>
          <w:rFonts w:ascii="Times New Roman" w:hAnsi="Times New Roman" w:cs="Times New Roman"/>
          <w:sz w:val="24"/>
          <w:szCs w:val="24"/>
        </w:rPr>
        <w:t xml:space="preserve"> </w:t>
      </w:r>
      <w:r w:rsidR="007C28CF" w:rsidRPr="003D6545">
        <w:rPr>
          <w:rFonts w:ascii="Times New Roman" w:hAnsi="Times New Roman" w:cs="Times New Roman"/>
          <w:sz w:val="24"/>
          <w:szCs w:val="24"/>
        </w:rPr>
        <w:t>requirements</w:t>
      </w:r>
      <w:r w:rsidR="00F8440A" w:rsidRPr="003D6545">
        <w:rPr>
          <w:rFonts w:ascii="Times New Roman" w:hAnsi="Times New Roman" w:cs="Times New Roman"/>
          <w:sz w:val="24"/>
          <w:szCs w:val="24"/>
        </w:rPr>
        <w:t xml:space="preserve"> </w:t>
      </w:r>
      <w:r w:rsidR="007C28CF" w:rsidRPr="003D6545">
        <w:rPr>
          <w:rFonts w:ascii="Times New Roman" w:hAnsi="Times New Roman" w:cs="Times New Roman"/>
          <w:sz w:val="24"/>
          <w:szCs w:val="24"/>
        </w:rPr>
        <w:t xml:space="preserve">are </w:t>
      </w:r>
      <w:r w:rsidR="007B5786">
        <w:rPr>
          <w:rFonts w:ascii="Times New Roman" w:hAnsi="Times New Roman" w:cs="Times New Roman"/>
          <w:sz w:val="24"/>
          <w:szCs w:val="24"/>
        </w:rPr>
        <w:t>contained</w:t>
      </w:r>
      <w:r w:rsidR="007B5786" w:rsidRPr="003D6545">
        <w:rPr>
          <w:rFonts w:ascii="Times New Roman" w:hAnsi="Times New Roman" w:cs="Times New Roman"/>
          <w:sz w:val="24"/>
          <w:szCs w:val="24"/>
        </w:rPr>
        <w:t xml:space="preserve"> </w:t>
      </w:r>
      <w:r w:rsidR="007C28CF" w:rsidRPr="003D6545">
        <w:rPr>
          <w:rFonts w:ascii="Times New Roman" w:hAnsi="Times New Roman" w:cs="Times New Roman"/>
          <w:sz w:val="24"/>
          <w:szCs w:val="24"/>
        </w:rPr>
        <w:t xml:space="preserve">in </w:t>
      </w:r>
      <w:r w:rsidR="002E48FD" w:rsidRPr="003D6545">
        <w:rPr>
          <w:rFonts w:ascii="Times New Roman" w:hAnsi="Times New Roman" w:cs="Times New Roman"/>
          <w:sz w:val="24"/>
          <w:szCs w:val="24"/>
        </w:rPr>
        <w:t xml:space="preserve">the </w:t>
      </w:r>
      <w:r w:rsidR="007B5786">
        <w:rPr>
          <w:rFonts w:ascii="Times New Roman" w:hAnsi="Times New Roman" w:cs="Times New Roman"/>
          <w:sz w:val="24"/>
          <w:szCs w:val="24"/>
        </w:rPr>
        <w:t>Final Rule</w:t>
      </w:r>
      <w:r w:rsidR="00243BFF" w:rsidRPr="003D6545">
        <w:rPr>
          <w:rFonts w:ascii="Times New Roman" w:hAnsi="Times New Roman" w:cs="Times New Roman"/>
          <w:sz w:val="24"/>
          <w:szCs w:val="24"/>
        </w:rPr>
        <w:t>,</w:t>
      </w:r>
      <w:r w:rsidR="002E48FD" w:rsidRPr="003D6545">
        <w:rPr>
          <w:rFonts w:ascii="Times New Roman" w:hAnsi="Times New Roman" w:cs="Times New Roman"/>
          <w:sz w:val="24"/>
          <w:szCs w:val="24"/>
        </w:rPr>
        <w:t xml:space="preserve"> </w:t>
      </w:r>
      <w:r w:rsidR="00243BFF" w:rsidRPr="003D6545">
        <w:rPr>
          <w:rFonts w:ascii="Times New Roman" w:hAnsi="Times New Roman" w:cs="Times New Roman"/>
          <w:sz w:val="24"/>
          <w:szCs w:val="24"/>
        </w:rPr>
        <w:t xml:space="preserve">on </w:t>
      </w:r>
      <w:r w:rsidR="00E66E17" w:rsidRPr="003D6545">
        <w:rPr>
          <w:rFonts w:ascii="Times New Roman" w:hAnsi="Times New Roman" w:cs="Times New Roman"/>
          <w:sz w:val="24"/>
          <w:szCs w:val="24"/>
        </w:rPr>
        <w:t>“</w:t>
      </w:r>
      <w:r w:rsidR="00243BFF" w:rsidRPr="003D6545">
        <w:rPr>
          <w:rFonts w:ascii="Times New Roman" w:hAnsi="Times New Roman" w:cs="Times New Roman"/>
          <w:sz w:val="24"/>
          <w:szCs w:val="24"/>
        </w:rPr>
        <w:t xml:space="preserve">Settlement Intervals and Shortage Pricing in </w:t>
      </w:r>
      <w:r w:rsidR="00605400" w:rsidRPr="00605400">
        <w:rPr>
          <w:rFonts w:ascii="Times New Roman" w:hAnsi="Times New Roman" w:cs="Times New Roman"/>
          <w:sz w:val="24"/>
          <w:szCs w:val="24"/>
        </w:rPr>
        <w:t xml:space="preserve">Markets Operated by Regional Transmission Organizations and Independent System Operators </w:t>
      </w:r>
      <w:r w:rsidR="00243BFF" w:rsidRPr="003D6545">
        <w:rPr>
          <w:rFonts w:ascii="Times New Roman" w:hAnsi="Times New Roman" w:cs="Times New Roman"/>
          <w:sz w:val="24"/>
          <w:szCs w:val="24"/>
        </w:rPr>
        <w:t>,</w:t>
      </w:r>
      <w:r w:rsidR="00E66E17" w:rsidRPr="003D6545">
        <w:rPr>
          <w:rFonts w:ascii="Times New Roman" w:hAnsi="Times New Roman" w:cs="Times New Roman"/>
          <w:sz w:val="24"/>
          <w:szCs w:val="24"/>
        </w:rPr>
        <w:t>”</w:t>
      </w:r>
      <w:r w:rsidR="00243BFF" w:rsidRPr="003D6545">
        <w:rPr>
          <w:rFonts w:ascii="Times New Roman" w:hAnsi="Times New Roman" w:cs="Times New Roman"/>
          <w:sz w:val="24"/>
          <w:szCs w:val="24"/>
        </w:rPr>
        <w:t xml:space="preserve"> </w:t>
      </w:r>
      <w:r w:rsidR="002E48FD" w:rsidRPr="003D6545">
        <w:rPr>
          <w:rFonts w:ascii="Times New Roman" w:hAnsi="Times New Roman" w:cs="Times New Roman"/>
          <w:sz w:val="24"/>
          <w:szCs w:val="24"/>
        </w:rPr>
        <w:t>in Docket No. RM15-2</w:t>
      </w:r>
      <w:r w:rsidR="00243BFF" w:rsidRPr="003D6545">
        <w:rPr>
          <w:rFonts w:ascii="Times New Roman" w:hAnsi="Times New Roman" w:cs="Times New Roman"/>
          <w:sz w:val="24"/>
          <w:szCs w:val="24"/>
        </w:rPr>
        <w:t>4</w:t>
      </w:r>
      <w:r w:rsidR="008C1798">
        <w:rPr>
          <w:rFonts w:ascii="Times New Roman" w:hAnsi="Times New Roman" w:cs="Times New Roman"/>
          <w:sz w:val="24"/>
          <w:szCs w:val="24"/>
        </w:rPr>
        <w:t>-000</w:t>
      </w:r>
      <w:r w:rsidR="00F8440A" w:rsidRPr="003D6545">
        <w:rPr>
          <w:rFonts w:ascii="Times New Roman" w:hAnsi="Times New Roman" w:cs="Times New Roman"/>
          <w:sz w:val="24"/>
          <w:szCs w:val="24"/>
        </w:rPr>
        <w:t>.</w:t>
      </w:r>
      <w:r w:rsidR="00727199" w:rsidRPr="00727199">
        <w:rPr>
          <w:rStyle w:val="FootnoteReference"/>
          <w:rFonts w:ascii="Times New Roman" w:hAnsi="Times New Roman" w:cs="Times New Roman"/>
          <w:sz w:val="24"/>
          <w:szCs w:val="24"/>
          <w:vertAlign w:val="superscript"/>
        </w:rPr>
        <w:footnoteReference w:id="3"/>
      </w:r>
    </w:p>
    <w:p w14:paraId="4F48DDE7" w14:textId="77777777" w:rsidR="004374EA" w:rsidRPr="003D6545" w:rsidRDefault="004374EA" w:rsidP="003D6545">
      <w:pPr>
        <w:spacing w:after="0" w:line="240" w:lineRule="auto"/>
        <w:rPr>
          <w:rFonts w:ascii="Times New Roman" w:hAnsi="Times New Roman" w:cs="Times New Roman"/>
          <w:sz w:val="24"/>
          <w:szCs w:val="24"/>
        </w:rPr>
      </w:pPr>
    </w:p>
    <w:p w14:paraId="12E3DEBA" w14:textId="25060A5A" w:rsidR="001D5696" w:rsidRPr="003D6545" w:rsidRDefault="001D5696" w:rsidP="00AA38F1">
      <w:pPr>
        <w:autoSpaceDE w:val="0"/>
        <w:autoSpaceDN w:val="0"/>
        <w:adjustRightInd w:val="0"/>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In this </w:t>
      </w:r>
      <w:r w:rsidR="001C479E">
        <w:rPr>
          <w:rFonts w:ascii="Times New Roman" w:hAnsi="Times New Roman" w:cs="Times New Roman"/>
          <w:sz w:val="24"/>
          <w:szCs w:val="24"/>
        </w:rPr>
        <w:t xml:space="preserve">Final Rule </w:t>
      </w:r>
      <w:r w:rsidR="00032244" w:rsidRPr="003D6545">
        <w:rPr>
          <w:rFonts w:ascii="Times New Roman" w:hAnsi="Times New Roman" w:cs="Times New Roman"/>
          <w:sz w:val="24"/>
          <w:szCs w:val="24"/>
        </w:rPr>
        <w:t>in RM15-2</w:t>
      </w:r>
      <w:r w:rsidR="005B501F" w:rsidRPr="003D6545">
        <w:rPr>
          <w:rFonts w:ascii="Times New Roman" w:hAnsi="Times New Roman" w:cs="Times New Roman"/>
          <w:sz w:val="24"/>
          <w:szCs w:val="24"/>
        </w:rPr>
        <w:t>4</w:t>
      </w:r>
      <w:r w:rsidR="008C1798">
        <w:rPr>
          <w:rFonts w:ascii="Times New Roman" w:hAnsi="Times New Roman" w:cs="Times New Roman"/>
          <w:sz w:val="24"/>
          <w:szCs w:val="24"/>
        </w:rPr>
        <w:t>-000</w:t>
      </w:r>
      <w:r w:rsidRPr="003D6545">
        <w:rPr>
          <w:rFonts w:ascii="Times New Roman" w:hAnsi="Times New Roman" w:cs="Times New Roman"/>
          <w:sz w:val="24"/>
          <w:szCs w:val="24"/>
        </w:rPr>
        <w:t xml:space="preserve">, FERC is </w:t>
      </w:r>
      <w:r w:rsidR="003F71E1" w:rsidRPr="003D6545">
        <w:rPr>
          <w:rFonts w:ascii="Times New Roman" w:hAnsi="Times New Roman" w:cs="Times New Roman"/>
          <w:sz w:val="24"/>
          <w:szCs w:val="24"/>
        </w:rPr>
        <w:t>revis</w:t>
      </w:r>
      <w:r w:rsidR="001C479E">
        <w:rPr>
          <w:rFonts w:ascii="Times New Roman" w:hAnsi="Times New Roman" w:cs="Times New Roman"/>
          <w:sz w:val="24"/>
          <w:szCs w:val="24"/>
        </w:rPr>
        <w:t>ing</w:t>
      </w:r>
      <w:r w:rsidR="003F71E1" w:rsidRPr="003D6545">
        <w:rPr>
          <w:rFonts w:ascii="Times New Roman" w:hAnsi="Times New Roman" w:cs="Times New Roman"/>
          <w:sz w:val="24"/>
          <w:szCs w:val="24"/>
        </w:rPr>
        <w:t xml:space="preserve"> its regulations to require </w:t>
      </w:r>
      <w:r w:rsidR="00605400" w:rsidRPr="00605400">
        <w:rPr>
          <w:rFonts w:ascii="Times New Roman" w:hAnsi="Times New Roman" w:cs="Times New Roman"/>
          <w:sz w:val="24"/>
          <w:szCs w:val="24"/>
        </w:rPr>
        <w:t>that each regional transmission organization</w:t>
      </w:r>
      <w:r w:rsidR="00605400">
        <w:rPr>
          <w:rFonts w:ascii="Times New Roman" w:hAnsi="Times New Roman" w:cs="Times New Roman"/>
          <w:sz w:val="24"/>
          <w:szCs w:val="24"/>
        </w:rPr>
        <w:t xml:space="preserve"> (RTO)</w:t>
      </w:r>
      <w:r w:rsidR="00605400" w:rsidRPr="00605400">
        <w:rPr>
          <w:rFonts w:ascii="Times New Roman" w:hAnsi="Times New Roman" w:cs="Times New Roman"/>
          <w:sz w:val="24"/>
          <w:szCs w:val="24"/>
        </w:rPr>
        <w:t xml:space="preserve"> and independent system operator </w:t>
      </w:r>
      <w:r w:rsidR="00605400">
        <w:rPr>
          <w:rFonts w:ascii="Times New Roman" w:hAnsi="Times New Roman" w:cs="Times New Roman"/>
          <w:sz w:val="24"/>
          <w:szCs w:val="24"/>
        </w:rPr>
        <w:t xml:space="preserve">(ISO) </w:t>
      </w:r>
      <w:r w:rsidR="00605400" w:rsidRPr="00605400">
        <w:rPr>
          <w:rFonts w:ascii="Times New Roman" w:hAnsi="Times New Roman" w:cs="Times New Roman"/>
          <w:sz w:val="24"/>
          <w:szCs w:val="24"/>
        </w:rPr>
        <w:t xml:space="preserve">align settlement and dispatch intervals by: (1) settling energy transactions in its real-time markets at the same time interval it dispatches energy; (2) settling operating reserves transactions in its real-time markets at the same time interval it prices operating reserves; and (3) settling intertie transactions in the same time interval it schedules intertie transactions.  The Final Rule also requires that each </w:t>
      </w:r>
      <w:r w:rsidR="00605400" w:rsidRPr="00605400">
        <w:rPr>
          <w:rFonts w:ascii="Times New Roman" w:hAnsi="Times New Roman" w:cs="Times New Roman"/>
          <w:sz w:val="24"/>
          <w:szCs w:val="24"/>
        </w:rPr>
        <w:lastRenderedPageBreak/>
        <w:t>regional transmission organization and independent system operator trigger shortage pricing for any interval in which a shortage of energy or operating reserves is indicated during the pricing of resources for that interval.</w:t>
      </w:r>
      <w:r w:rsidR="003F71E1" w:rsidRPr="003D6545">
        <w:rPr>
          <w:rFonts w:ascii="Times New Roman" w:hAnsi="Times New Roman" w:cs="Times New Roman"/>
          <w:sz w:val="24"/>
          <w:szCs w:val="24"/>
        </w:rPr>
        <w:t xml:space="preserve">  Adopting these reforms would align prices with resource dispatch instructions and operating needs, providing accurate incentives for resource performance.</w:t>
      </w:r>
      <w:r w:rsidRPr="003D6545">
        <w:rPr>
          <w:rFonts w:ascii="Times New Roman" w:hAnsi="Times New Roman" w:cs="Times New Roman"/>
          <w:sz w:val="24"/>
          <w:szCs w:val="24"/>
        </w:rPr>
        <w:t xml:space="preserve">  </w:t>
      </w:r>
    </w:p>
    <w:p w14:paraId="6FBC90F8" w14:textId="77777777" w:rsidR="0002242D" w:rsidRPr="003D6545" w:rsidRDefault="0002242D" w:rsidP="003D6545">
      <w:pPr>
        <w:spacing w:after="0" w:line="240" w:lineRule="auto"/>
        <w:rPr>
          <w:rFonts w:ascii="Times New Roman" w:hAnsi="Times New Roman" w:cs="Times New Roman"/>
          <w:sz w:val="24"/>
          <w:szCs w:val="24"/>
        </w:rPr>
      </w:pPr>
    </w:p>
    <w:p w14:paraId="6FBC90F9" w14:textId="77777777" w:rsidR="00A72E7B" w:rsidRPr="003D6545" w:rsidRDefault="00A72E7B"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CIRCUMSTANCES THAT MAKE THE COLLECTION OF INFORMATION NECESSARY</w:t>
      </w:r>
    </w:p>
    <w:p w14:paraId="670C897F" w14:textId="3BDBECF2" w:rsidR="00F14038" w:rsidRPr="003D6545" w:rsidRDefault="0042731D" w:rsidP="003D65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w:t>
      </w:r>
      <w:r w:rsidR="00F81142" w:rsidRPr="003D6545">
        <w:rPr>
          <w:rFonts w:ascii="Times New Roman" w:hAnsi="Times New Roman" w:cs="Times New Roman"/>
          <w:sz w:val="24"/>
          <w:szCs w:val="24"/>
        </w:rPr>
        <w:t>205</w:t>
      </w:r>
      <w:r>
        <w:rPr>
          <w:rFonts w:ascii="Times New Roman" w:hAnsi="Times New Roman" w:cs="Times New Roman"/>
          <w:sz w:val="24"/>
          <w:szCs w:val="24"/>
        </w:rPr>
        <w:t xml:space="preserve"> of the Federal Power Act (FPA)</w:t>
      </w:r>
      <w:r w:rsidR="00F81142" w:rsidRPr="003D6545">
        <w:rPr>
          <w:rStyle w:val="FootnoteReference"/>
          <w:rFonts w:ascii="Times New Roman" w:hAnsi="Times New Roman" w:cs="Times New Roman"/>
          <w:sz w:val="24"/>
          <w:szCs w:val="24"/>
          <w:vertAlign w:val="superscript"/>
        </w:rPr>
        <w:footnoteReference w:id="4"/>
      </w:r>
      <w:r w:rsidR="00F14038" w:rsidRPr="003D6545">
        <w:rPr>
          <w:rFonts w:ascii="Times New Roman" w:hAnsi="Times New Roman" w:cs="Times New Roman"/>
          <w:sz w:val="24"/>
          <w:szCs w:val="24"/>
        </w:rPr>
        <w:t xml:space="preserve"> requires the Commission to ensure that the rates and charges for the wholesale</w:t>
      </w:r>
      <w:r w:rsidR="00B047E2" w:rsidRPr="003D6545">
        <w:rPr>
          <w:rFonts w:ascii="Times New Roman" w:hAnsi="Times New Roman" w:cs="Times New Roman"/>
          <w:sz w:val="24"/>
          <w:szCs w:val="24"/>
        </w:rPr>
        <w:t xml:space="preserve"> sale of electric energy are</w:t>
      </w:r>
      <w:r w:rsidR="00F14038" w:rsidRPr="003D6545">
        <w:rPr>
          <w:rFonts w:ascii="Times New Roman" w:hAnsi="Times New Roman" w:cs="Times New Roman"/>
          <w:sz w:val="24"/>
          <w:szCs w:val="24"/>
        </w:rPr>
        <w:t xml:space="preserve"> just and reasonable.  Section 205 </w:t>
      </w:r>
      <w:r>
        <w:rPr>
          <w:rFonts w:ascii="Times New Roman" w:hAnsi="Times New Roman" w:cs="Times New Roman"/>
          <w:sz w:val="24"/>
          <w:szCs w:val="24"/>
        </w:rPr>
        <w:t xml:space="preserve">of the FPA </w:t>
      </w:r>
      <w:r w:rsidR="00F14038" w:rsidRPr="003D6545">
        <w:rPr>
          <w:rFonts w:ascii="Times New Roman" w:hAnsi="Times New Roman" w:cs="Times New Roman"/>
          <w:sz w:val="24"/>
          <w:szCs w:val="24"/>
        </w:rPr>
        <w:t xml:space="preserve">also requires that the rules and regulations affecting or pertaining to the rates for the wholesale sale of electric energy be just and reasonable.  </w:t>
      </w:r>
    </w:p>
    <w:p w14:paraId="032A9ED4" w14:textId="2FD079F2" w:rsidR="00185ACA" w:rsidRPr="003D6545" w:rsidRDefault="00185ACA" w:rsidP="003D6545">
      <w:pPr>
        <w:spacing w:after="0" w:line="240" w:lineRule="auto"/>
        <w:rPr>
          <w:rFonts w:ascii="Times New Roman" w:hAnsi="Times New Roman" w:cs="Times New Roman"/>
          <w:sz w:val="24"/>
          <w:szCs w:val="24"/>
        </w:rPr>
      </w:pPr>
    </w:p>
    <w:p w14:paraId="3CE061CE" w14:textId="41191E3B" w:rsidR="00D96E80" w:rsidRDefault="00AA3A0B" w:rsidP="00D96E80">
      <w:pPr>
        <w:spacing w:after="0" w:line="240" w:lineRule="auto"/>
        <w:rPr>
          <w:rFonts w:ascii="Times New Roman" w:hAnsi="Times New Roman" w:cs="Times New Roman"/>
          <w:sz w:val="24"/>
          <w:szCs w:val="24"/>
        </w:rPr>
      </w:pPr>
      <w:r>
        <w:rPr>
          <w:rFonts w:ascii="Times New Roman" w:hAnsi="Times New Roman" w:cs="Times New Roman"/>
          <w:b/>
          <w:sz w:val="24"/>
          <w:szCs w:val="24"/>
        </w:rPr>
        <w:t>Final Rule</w:t>
      </w:r>
      <w:r w:rsidRPr="003D6545">
        <w:rPr>
          <w:rFonts w:ascii="Times New Roman" w:hAnsi="Times New Roman" w:cs="Times New Roman"/>
          <w:b/>
          <w:sz w:val="24"/>
          <w:szCs w:val="24"/>
        </w:rPr>
        <w:t xml:space="preserve"> </w:t>
      </w:r>
      <w:r w:rsidR="00EC7715" w:rsidRPr="003D6545">
        <w:rPr>
          <w:rFonts w:ascii="Times New Roman" w:hAnsi="Times New Roman" w:cs="Times New Roman"/>
          <w:b/>
          <w:sz w:val="24"/>
          <w:szCs w:val="24"/>
        </w:rPr>
        <w:t>in RM15-24</w:t>
      </w:r>
      <w:r w:rsidR="008C1798">
        <w:rPr>
          <w:rFonts w:ascii="Times New Roman" w:hAnsi="Times New Roman" w:cs="Times New Roman"/>
          <w:b/>
          <w:sz w:val="24"/>
          <w:szCs w:val="24"/>
        </w:rPr>
        <w:t>-000</w:t>
      </w:r>
      <w:r w:rsidR="00EC7715" w:rsidRPr="003D6545">
        <w:rPr>
          <w:rFonts w:ascii="Times New Roman" w:hAnsi="Times New Roman" w:cs="Times New Roman"/>
          <w:b/>
          <w:sz w:val="24"/>
          <w:szCs w:val="24"/>
        </w:rPr>
        <w:t>.</w:t>
      </w:r>
      <w:r w:rsidR="00EC7715" w:rsidRPr="003D6545">
        <w:rPr>
          <w:rFonts w:ascii="Times New Roman" w:hAnsi="Times New Roman" w:cs="Times New Roman"/>
          <w:sz w:val="24"/>
          <w:szCs w:val="24"/>
        </w:rPr>
        <w:t xml:space="preserve">  </w:t>
      </w:r>
      <w:r w:rsidR="00D96E80" w:rsidRPr="00D96E80">
        <w:rPr>
          <w:rFonts w:ascii="Times New Roman" w:hAnsi="Times New Roman" w:cs="Times New Roman"/>
          <w:sz w:val="24"/>
          <w:szCs w:val="24"/>
        </w:rPr>
        <w:t xml:space="preserve">In this Final Rule, </w:t>
      </w:r>
      <w:r w:rsidR="00B77616">
        <w:rPr>
          <w:rFonts w:ascii="Times New Roman" w:hAnsi="Times New Roman" w:cs="Times New Roman"/>
          <w:sz w:val="24"/>
          <w:szCs w:val="24"/>
        </w:rPr>
        <w:t>FERC</w:t>
      </w:r>
      <w:r w:rsidR="00D96E80" w:rsidRPr="00D96E80">
        <w:rPr>
          <w:rFonts w:ascii="Times New Roman" w:hAnsi="Times New Roman" w:cs="Times New Roman"/>
          <w:sz w:val="24"/>
          <w:szCs w:val="24"/>
        </w:rPr>
        <w:t xml:space="preserve"> address</w:t>
      </w:r>
      <w:r w:rsidR="00B77616">
        <w:rPr>
          <w:rFonts w:ascii="Times New Roman" w:hAnsi="Times New Roman" w:cs="Times New Roman"/>
          <w:sz w:val="24"/>
          <w:szCs w:val="24"/>
        </w:rPr>
        <w:t>es</w:t>
      </w:r>
      <w:r w:rsidR="00D96E80" w:rsidRPr="00D96E80">
        <w:rPr>
          <w:rFonts w:ascii="Times New Roman" w:hAnsi="Times New Roman" w:cs="Times New Roman"/>
          <w:sz w:val="24"/>
          <w:szCs w:val="24"/>
        </w:rPr>
        <w:t xml:space="preserve"> certain practices that fail to compensate resources at prices that reflect the value of the service resources provide to the system, thereby distorting price signals, and in certain instances, creating a disincentive for resources to respond to dispatch signals.  </w:t>
      </w:r>
      <w:r w:rsidR="00B77616">
        <w:rPr>
          <w:rFonts w:ascii="Times New Roman" w:hAnsi="Times New Roman" w:cs="Times New Roman"/>
          <w:sz w:val="24"/>
          <w:szCs w:val="24"/>
        </w:rPr>
        <w:t>FERC</w:t>
      </w:r>
      <w:r w:rsidR="00D96E80" w:rsidRPr="00D96E80">
        <w:rPr>
          <w:rFonts w:ascii="Times New Roman" w:hAnsi="Times New Roman" w:cs="Times New Roman"/>
          <w:sz w:val="24"/>
          <w:szCs w:val="24"/>
        </w:rPr>
        <w:t xml:space="preserve"> require</w:t>
      </w:r>
      <w:r w:rsidR="00B77616">
        <w:rPr>
          <w:rFonts w:ascii="Times New Roman" w:hAnsi="Times New Roman" w:cs="Times New Roman"/>
          <w:sz w:val="24"/>
          <w:szCs w:val="24"/>
        </w:rPr>
        <w:t>s</w:t>
      </w:r>
      <w:r w:rsidR="00D96E80" w:rsidRPr="00D96E80">
        <w:rPr>
          <w:rFonts w:ascii="Times New Roman" w:hAnsi="Times New Roman" w:cs="Times New Roman"/>
          <w:sz w:val="24"/>
          <w:szCs w:val="24"/>
        </w:rPr>
        <w:t>, pursuant to section 206 of the FPA,</w:t>
      </w:r>
      <w:r w:rsidR="00D96E80" w:rsidRPr="00D96E80">
        <w:rPr>
          <w:rFonts w:ascii="Times New Roman" w:hAnsi="Times New Roman" w:cs="Times New Roman"/>
          <w:b/>
          <w:sz w:val="24"/>
          <w:szCs w:val="24"/>
          <w:vertAlign w:val="superscript"/>
        </w:rPr>
        <w:footnoteReference w:id="5"/>
      </w:r>
      <w:r w:rsidR="00D96E80" w:rsidRPr="00D96E80">
        <w:rPr>
          <w:rFonts w:ascii="Times New Roman" w:hAnsi="Times New Roman" w:cs="Times New Roman"/>
          <w:sz w:val="24"/>
          <w:szCs w:val="24"/>
        </w:rPr>
        <w:t xml:space="preserve"> that each RTO</w:t>
      </w:r>
      <w:r w:rsidR="00605400">
        <w:rPr>
          <w:rFonts w:ascii="Times New Roman" w:hAnsi="Times New Roman" w:cs="Times New Roman"/>
          <w:sz w:val="24"/>
          <w:szCs w:val="24"/>
        </w:rPr>
        <w:t>/ISO</w:t>
      </w:r>
      <w:r w:rsidR="00D96E80" w:rsidRPr="00D96E80">
        <w:rPr>
          <w:rFonts w:ascii="Times New Roman" w:hAnsi="Times New Roman" w:cs="Times New Roman"/>
          <w:sz w:val="24"/>
          <w:szCs w:val="24"/>
        </w:rPr>
        <w:t xml:space="preserve"> align settlement and dispatch</w:t>
      </w:r>
      <w:r w:rsidR="00D96E80" w:rsidRPr="00D96E80">
        <w:rPr>
          <w:rFonts w:ascii="Times New Roman" w:hAnsi="Times New Roman" w:cs="Times New Roman"/>
          <w:b/>
          <w:sz w:val="24"/>
          <w:szCs w:val="24"/>
          <w:vertAlign w:val="superscript"/>
        </w:rPr>
        <w:footnoteReference w:id="6"/>
      </w:r>
      <w:r w:rsidR="00D96E80" w:rsidRPr="00D96E80">
        <w:rPr>
          <w:rFonts w:ascii="Times New Roman" w:hAnsi="Times New Roman" w:cs="Times New Roman"/>
          <w:sz w:val="24"/>
          <w:szCs w:val="24"/>
        </w:rPr>
        <w:t xml:space="preserve"> intervals by: (1) settling energy transactions in its real-time markets at the same time interval it dispatches energy; (2) settling operating reserves transactions in its real-time markets at the same time interval it prices operating reserves;</w:t>
      </w:r>
      <w:r w:rsidR="00D96E80" w:rsidRPr="00D96E80">
        <w:rPr>
          <w:rFonts w:ascii="Times New Roman" w:hAnsi="Times New Roman" w:cs="Times New Roman"/>
          <w:b/>
          <w:sz w:val="24"/>
          <w:szCs w:val="24"/>
          <w:vertAlign w:val="superscript"/>
        </w:rPr>
        <w:footnoteReference w:id="7"/>
      </w:r>
      <w:r w:rsidR="00D96E80" w:rsidRPr="00D96E80">
        <w:rPr>
          <w:rFonts w:ascii="Times New Roman" w:hAnsi="Times New Roman" w:cs="Times New Roman"/>
          <w:sz w:val="24"/>
          <w:szCs w:val="24"/>
        </w:rPr>
        <w:t xml:space="preserve"> and (3) settling intertie transactions</w:t>
      </w:r>
      <w:r w:rsidR="00D96E80" w:rsidRPr="00D96E80">
        <w:rPr>
          <w:rFonts w:ascii="Times New Roman" w:hAnsi="Times New Roman" w:cs="Times New Roman"/>
          <w:b/>
          <w:sz w:val="24"/>
          <w:szCs w:val="24"/>
          <w:vertAlign w:val="superscript"/>
        </w:rPr>
        <w:footnoteReference w:id="8"/>
      </w:r>
      <w:r w:rsidR="00D96E80" w:rsidRPr="00D96E80">
        <w:rPr>
          <w:rFonts w:ascii="Times New Roman" w:hAnsi="Times New Roman" w:cs="Times New Roman"/>
          <w:sz w:val="24"/>
          <w:szCs w:val="24"/>
        </w:rPr>
        <w:t xml:space="preserve"> in the same time interval it schedules intertie transactions (settlement interval requirements).  </w:t>
      </w:r>
      <w:r w:rsidR="00605400">
        <w:rPr>
          <w:rFonts w:ascii="Times New Roman" w:hAnsi="Times New Roman" w:cs="Times New Roman"/>
          <w:sz w:val="24"/>
          <w:szCs w:val="24"/>
        </w:rPr>
        <w:t>The Commiss</w:t>
      </w:r>
      <w:r w:rsidR="00236365">
        <w:rPr>
          <w:rFonts w:ascii="Times New Roman" w:hAnsi="Times New Roman" w:cs="Times New Roman"/>
          <w:sz w:val="24"/>
          <w:szCs w:val="24"/>
        </w:rPr>
        <w:t xml:space="preserve">ion </w:t>
      </w:r>
      <w:r w:rsidR="00D96E80" w:rsidRPr="00D96E80">
        <w:rPr>
          <w:rFonts w:ascii="Times New Roman" w:hAnsi="Times New Roman" w:cs="Times New Roman"/>
          <w:sz w:val="24"/>
          <w:szCs w:val="24"/>
        </w:rPr>
        <w:t>also require</w:t>
      </w:r>
      <w:r w:rsidR="00236365">
        <w:rPr>
          <w:rFonts w:ascii="Times New Roman" w:hAnsi="Times New Roman" w:cs="Times New Roman"/>
          <w:sz w:val="24"/>
          <w:szCs w:val="24"/>
        </w:rPr>
        <w:t>s</w:t>
      </w:r>
      <w:r w:rsidR="00D96E80" w:rsidRPr="00D96E80">
        <w:rPr>
          <w:rFonts w:ascii="Times New Roman" w:hAnsi="Times New Roman" w:cs="Times New Roman"/>
          <w:sz w:val="24"/>
          <w:szCs w:val="24"/>
        </w:rPr>
        <w:t xml:space="preserve">, pursuant to section 206 of the FPA, that each RTO/ISO establish a mechanism to trigger shortage pricing for any interval in </w:t>
      </w:r>
      <w:r w:rsidR="00D96E80" w:rsidRPr="00D96E80">
        <w:rPr>
          <w:rFonts w:ascii="Times New Roman" w:hAnsi="Times New Roman" w:cs="Times New Roman"/>
          <w:sz w:val="24"/>
          <w:szCs w:val="24"/>
        </w:rPr>
        <w:lastRenderedPageBreak/>
        <w:t xml:space="preserve">which a shortage of energy or operating reserves is indicated during the pricing of resources for that interval (shortage pricing requirement).  </w:t>
      </w:r>
    </w:p>
    <w:p w14:paraId="15539551" w14:textId="77777777" w:rsidR="00D96E80" w:rsidRPr="00D96E80" w:rsidRDefault="00D96E80" w:rsidP="00D96E80">
      <w:pPr>
        <w:spacing w:after="0" w:line="240" w:lineRule="auto"/>
        <w:rPr>
          <w:rFonts w:ascii="Times New Roman" w:hAnsi="Times New Roman" w:cs="Times New Roman"/>
          <w:sz w:val="24"/>
          <w:szCs w:val="24"/>
        </w:rPr>
      </w:pPr>
    </w:p>
    <w:p w14:paraId="0714E558" w14:textId="77777777" w:rsidR="00D96E80" w:rsidRDefault="00D96E80" w:rsidP="00D96E80">
      <w:pPr>
        <w:spacing w:after="0" w:line="240" w:lineRule="auto"/>
        <w:rPr>
          <w:rFonts w:ascii="Times New Roman" w:hAnsi="Times New Roman" w:cs="Times New Roman"/>
          <w:sz w:val="24"/>
          <w:szCs w:val="24"/>
        </w:rPr>
      </w:pPr>
      <w:r w:rsidRPr="00D96E80">
        <w:rPr>
          <w:rFonts w:ascii="Times New Roman" w:hAnsi="Times New Roman" w:cs="Times New Roman"/>
          <w:sz w:val="24"/>
          <w:szCs w:val="24"/>
        </w:rPr>
        <w:t xml:space="preserve">Some current RTO/ISO settlement practices fail to reflect the value of providing a given service, thereby distorting price signals and failing to provide appropriate signals for resources to respond to the actual operating needs of the market.  One such practice occurs when RTOs/ISOs dispatch resources every five minutes but perform settlements based on an hourly integrated price, or when RTOs/ISOs schedule intertie transactions every fifteen minutes, but perform settlements on an hourly integrated price.  This misalignment between dispatch and settlement intervals distorts the price signals sent to resources and fails to reflect the actual value of resources responding to operating needs because compensation will be based on average output and average prices across an hour, rather than output and prices during the periods of greatest need within a particular hour.  </w:t>
      </w:r>
    </w:p>
    <w:p w14:paraId="6FBBB0B2" w14:textId="77777777" w:rsidR="00B77616" w:rsidRPr="00D96E80" w:rsidRDefault="00B77616" w:rsidP="00D96E80">
      <w:pPr>
        <w:spacing w:after="0" w:line="240" w:lineRule="auto"/>
        <w:rPr>
          <w:rFonts w:ascii="Times New Roman" w:hAnsi="Times New Roman" w:cs="Times New Roman"/>
          <w:sz w:val="24"/>
          <w:szCs w:val="24"/>
        </w:rPr>
      </w:pPr>
    </w:p>
    <w:p w14:paraId="47AF1BB6" w14:textId="154413E3" w:rsidR="00D96E80" w:rsidRDefault="00B77616" w:rsidP="00D96E80">
      <w:pPr>
        <w:spacing w:after="0" w:line="240" w:lineRule="auto"/>
        <w:rPr>
          <w:rFonts w:ascii="Times New Roman" w:hAnsi="Times New Roman" w:cs="Times New Roman"/>
          <w:sz w:val="24"/>
          <w:szCs w:val="24"/>
        </w:rPr>
      </w:pPr>
      <w:r>
        <w:rPr>
          <w:rFonts w:ascii="Times New Roman" w:hAnsi="Times New Roman" w:cs="Times New Roman"/>
          <w:sz w:val="24"/>
          <w:szCs w:val="24"/>
        </w:rPr>
        <w:t>FERC</w:t>
      </w:r>
      <w:r w:rsidR="00D96E80" w:rsidRPr="00D96E80">
        <w:rPr>
          <w:rFonts w:ascii="Times New Roman" w:hAnsi="Times New Roman" w:cs="Times New Roman"/>
          <w:sz w:val="24"/>
          <w:szCs w:val="24"/>
        </w:rPr>
        <w:t xml:space="preserve"> also find</w:t>
      </w:r>
      <w:r>
        <w:rPr>
          <w:rFonts w:ascii="Times New Roman" w:hAnsi="Times New Roman" w:cs="Times New Roman"/>
          <w:sz w:val="24"/>
          <w:szCs w:val="24"/>
        </w:rPr>
        <w:t>s</w:t>
      </w:r>
      <w:r w:rsidR="00D96E80" w:rsidRPr="00D96E80">
        <w:rPr>
          <w:rFonts w:ascii="Times New Roman" w:hAnsi="Times New Roman" w:cs="Times New Roman"/>
          <w:sz w:val="24"/>
          <w:szCs w:val="24"/>
        </w:rPr>
        <w:t xml:space="preserve"> that a second problem occurs if there is a mismatch between the time when a system experiences a shortage of energy and operating reserves and the time when prices reflect the shortage condition.  This can be particularly problematic when, for example, an RTO/ISO’s market rules require a shortage to last a minimum time period before triggering shortage pricing.  In this instance, short-term prices fail to reflect system conditions and potential reliability costs, as well as the value of both internal and external market resources responding to a dispatch signal.  In addition, inaccurate price signals are provided to market participants if shortage pricing is still in effect after the shortage has been resolved.</w:t>
      </w:r>
    </w:p>
    <w:p w14:paraId="4294137A" w14:textId="77777777" w:rsidR="00D96E80" w:rsidRPr="00D96E80" w:rsidRDefault="00D96E80" w:rsidP="00D96E80">
      <w:pPr>
        <w:spacing w:after="0" w:line="240" w:lineRule="auto"/>
        <w:rPr>
          <w:rFonts w:ascii="Times New Roman" w:hAnsi="Times New Roman" w:cs="Times New Roman"/>
          <w:sz w:val="24"/>
          <w:szCs w:val="24"/>
        </w:rPr>
      </w:pPr>
    </w:p>
    <w:p w14:paraId="23C6FE8B" w14:textId="161A732B" w:rsidR="00D96E80" w:rsidRDefault="00D96E80" w:rsidP="00D96E80">
      <w:pPr>
        <w:spacing w:after="0" w:line="240" w:lineRule="auto"/>
        <w:rPr>
          <w:rFonts w:ascii="Times New Roman" w:hAnsi="Times New Roman" w:cs="Times New Roman"/>
          <w:sz w:val="24"/>
          <w:szCs w:val="24"/>
        </w:rPr>
      </w:pPr>
      <w:r w:rsidRPr="00D96E80">
        <w:rPr>
          <w:rFonts w:ascii="Times New Roman" w:hAnsi="Times New Roman" w:cs="Times New Roman"/>
          <w:sz w:val="24"/>
          <w:szCs w:val="24"/>
        </w:rPr>
        <w:t xml:space="preserve">To address these problems associated with differing dispatch intervals and settlement intervals, as well as with shortage pricing triggers, </w:t>
      </w:r>
      <w:r w:rsidR="00B77616">
        <w:rPr>
          <w:rFonts w:ascii="Times New Roman" w:hAnsi="Times New Roman" w:cs="Times New Roman"/>
          <w:sz w:val="24"/>
          <w:szCs w:val="24"/>
        </w:rPr>
        <w:t>FERC is</w:t>
      </w:r>
      <w:r w:rsidRPr="00D96E80">
        <w:rPr>
          <w:rFonts w:ascii="Times New Roman" w:hAnsi="Times New Roman" w:cs="Times New Roman"/>
          <w:sz w:val="24"/>
          <w:szCs w:val="24"/>
        </w:rPr>
        <w:t xml:space="preserve"> setting forth the settlement interval requirements and the shortage pricing requirement in this Final Rule.</w:t>
      </w:r>
      <w:r w:rsidR="00B77616">
        <w:rPr>
          <w:rFonts w:ascii="Times New Roman" w:hAnsi="Times New Roman" w:cs="Times New Roman"/>
          <w:sz w:val="24"/>
          <w:szCs w:val="24"/>
        </w:rPr>
        <w:t xml:space="preserve"> </w:t>
      </w:r>
      <w:r w:rsidRPr="00D96E80">
        <w:rPr>
          <w:rFonts w:ascii="Times New Roman" w:hAnsi="Times New Roman" w:cs="Times New Roman"/>
          <w:sz w:val="24"/>
          <w:szCs w:val="24"/>
        </w:rPr>
        <w:t xml:space="preserve"> These settlement interval and shortage pricing requirements will help ensure that resources have price signals that provide incentives to conform their output to dispatch instructions, and that prices reflect operating needs at each dispatch interval.  </w:t>
      </w:r>
    </w:p>
    <w:p w14:paraId="5D2F88CA" w14:textId="77777777" w:rsidR="00D96E80" w:rsidRDefault="00D96E80" w:rsidP="00D96E80">
      <w:pPr>
        <w:spacing w:after="0" w:line="240" w:lineRule="auto"/>
        <w:rPr>
          <w:rFonts w:ascii="Times New Roman" w:hAnsi="Times New Roman" w:cs="Times New Roman"/>
          <w:sz w:val="24"/>
          <w:szCs w:val="24"/>
        </w:rPr>
      </w:pPr>
    </w:p>
    <w:p w14:paraId="1AAEA066" w14:textId="6AE2A441" w:rsidR="00D96E80" w:rsidRPr="00D96E80" w:rsidRDefault="00D96E80" w:rsidP="00D96E80">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D96E80">
        <w:rPr>
          <w:rFonts w:ascii="Times New Roman" w:hAnsi="Times New Roman" w:cs="Times New Roman"/>
          <w:sz w:val="24"/>
          <w:szCs w:val="24"/>
        </w:rPr>
        <w:t>he goals of price formation are to: (1) maximize market surplus for consumer and suppliers; (2) provide correct incentives for market participants to follow commitment and dispatch instructions, make efficient investments in facilities and equipment, and maintain reliability; (3) provide transparency so that market participants understand how prices reflect the actual marginal cost of serving load and the operational constraints of reliably operating the system; and, (4) ensure that all suppliers have an opportunity to recover their costs.</w:t>
      </w:r>
      <w:r w:rsidRPr="00D96E80">
        <w:rPr>
          <w:rFonts w:ascii="Times New Roman" w:hAnsi="Times New Roman" w:cs="Times New Roman"/>
          <w:b/>
          <w:sz w:val="24"/>
          <w:szCs w:val="24"/>
          <w:vertAlign w:val="superscript"/>
        </w:rPr>
        <w:footnoteReference w:id="9"/>
      </w:r>
      <w:r w:rsidRPr="00D96E80">
        <w:rPr>
          <w:rFonts w:ascii="Times New Roman" w:hAnsi="Times New Roman" w:cs="Times New Roman"/>
          <w:sz w:val="24"/>
          <w:szCs w:val="24"/>
        </w:rPr>
        <w:t xml:space="preserve">  </w:t>
      </w:r>
    </w:p>
    <w:p w14:paraId="039F8B46" w14:textId="77777777" w:rsidR="00D96E80" w:rsidRDefault="00D96E80" w:rsidP="00D96E80">
      <w:pPr>
        <w:spacing w:after="0" w:line="240" w:lineRule="auto"/>
        <w:rPr>
          <w:rFonts w:ascii="Times New Roman" w:hAnsi="Times New Roman" w:cs="Times New Roman"/>
          <w:sz w:val="24"/>
          <w:szCs w:val="24"/>
        </w:rPr>
      </w:pPr>
    </w:p>
    <w:p w14:paraId="5798F402" w14:textId="6368476E" w:rsidR="00D96E80" w:rsidRPr="00D96E80" w:rsidRDefault="00D96E80" w:rsidP="00D96E80">
      <w:pPr>
        <w:spacing w:after="0" w:line="240" w:lineRule="auto"/>
        <w:rPr>
          <w:rFonts w:ascii="Times New Roman" w:hAnsi="Times New Roman" w:cs="Times New Roman"/>
          <w:sz w:val="24"/>
          <w:szCs w:val="24"/>
        </w:rPr>
      </w:pPr>
      <w:r>
        <w:rPr>
          <w:rFonts w:ascii="Times New Roman" w:hAnsi="Times New Roman" w:cs="Times New Roman"/>
          <w:sz w:val="24"/>
          <w:szCs w:val="24"/>
        </w:rPr>
        <w:t>As part of this Final Rule, the RTOs/ISOs will be required to make a compliance filing.</w:t>
      </w:r>
    </w:p>
    <w:p w14:paraId="78A2940A" w14:textId="77777777" w:rsidR="00307830" w:rsidRPr="003D6545" w:rsidRDefault="00307830" w:rsidP="003D6545">
      <w:pPr>
        <w:spacing w:after="0" w:line="240" w:lineRule="auto"/>
        <w:rPr>
          <w:rFonts w:ascii="Times New Roman" w:hAnsi="Times New Roman" w:cs="Times New Roman"/>
          <w:sz w:val="24"/>
          <w:szCs w:val="24"/>
        </w:rPr>
      </w:pPr>
    </w:p>
    <w:p w14:paraId="6FBC90FC" w14:textId="77777777" w:rsidR="00A72E7B"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HOW, BY WHOM, AND FOR WHAT PURPOSE THE INFORMATION IS TO BE USED AND THE CONSEQUENCES OF NOT COLLECTING THE INFORMATION</w:t>
      </w:r>
    </w:p>
    <w:p w14:paraId="6FBC90FD" w14:textId="77777777" w:rsidR="00EB3E6F" w:rsidRPr="003D6545" w:rsidRDefault="00EB3E6F" w:rsidP="003D6545">
      <w:pPr>
        <w:spacing w:after="0" w:line="240" w:lineRule="auto"/>
        <w:rPr>
          <w:rFonts w:ascii="Times New Roman" w:hAnsi="Times New Roman" w:cs="Times New Roman"/>
          <w:sz w:val="24"/>
          <w:szCs w:val="24"/>
        </w:rPr>
      </w:pPr>
    </w:p>
    <w:p w14:paraId="42010895" w14:textId="31BC13D5" w:rsidR="00B721AF" w:rsidRPr="003D6545" w:rsidRDefault="004276A5"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lastRenderedPageBreak/>
        <w:t xml:space="preserve">The </w:t>
      </w:r>
      <w:r w:rsidR="00D96E80">
        <w:rPr>
          <w:rFonts w:ascii="Times New Roman" w:hAnsi="Times New Roman" w:cs="Times New Roman"/>
          <w:sz w:val="24"/>
          <w:szCs w:val="24"/>
        </w:rPr>
        <w:t xml:space="preserve">Final Rule </w:t>
      </w:r>
      <w:r w:rsidR="00EC7715" w:rsidRPr="003D6545">
        <w:rPr>
          <w:rFonts w:ascii="Times New Roman" w:hAnsi="Times New Roman" w:cs="Times New Roman"/>
          <w:sz w:val="24"/>
          <w:szCs w:val="24"/>
        </w:rPr>
        <w:t>in RM15-24</w:t>
      </w:r>
      <w:r w:rsidR="008C1798">
        <w:rPr>
          <w:rFonts w:ascii="Times New Roman" w:hAnsi="Times New Roman" w:cs="Times New Roman"/>
          <w:sz w:val="24"/>
          <w:szCs w:val="24"/>
        </w:rPr>
        <w:t>-000</w:t>
      </w:r>
      <w:r w:rsidR="00EC7715" w:rsidRPr="003D6545">
        <w:rPr>
          <w:rFonts w:ascii="Times New Roman" w:hAnsi="Times New Roman" w:cs="Times New Roman"/>
          <w:sz w:val="24"/>
          <w:szCs w:val="24"/>
        </w:rPr>
        <w:t xml:space="preserve"> </w:t>
      </w:r>
      <w:r w:rsidR="00E46868" w:rsidRPr="003D6545">
        <w:rPr>
          <w:rFonts w:ascii="Times New Roman" w:hAnsi="Times New Roman" w:cs="Times New Roman"/>
          <w:sz w:val="24"/>
          <w:szCs w:val="24"/>
        </w:rPr>
        <w:t>address</w:t>
      </w:r>
      <w:r w:rsidR="00D96E80">
        <w:rPr>
          <w:rFonts w:ascii="Times New Roman" w:hAnsi="Times New Roman" w:cs="Times New Roman"/>
          <w:sz w:val="24"/>
          <w:szCs w:val="24"/>
        </w:rPr>
        <w:t>es</w:t>
      </w:r>
      <w:r w:rsidR="00E46868" w:rsidRPr="003D6545">
        <w:rPr>
          <w:rFonts w:ascii="Times New Roman" w:hAnsi="Times New Roman" w:cs="Times New Roman"/>
          <w:sz w:val="24"/>
          <w:szCs w:val="24"/>
        </w:rPr>
        <w:t xml:space="preserve"> existing practices that may result in resources not being paid a price that reflects the value of a service provided to the system, thereby distorting price signals.  The Commission </w:t>
      </w:r>
      <w:r w:rsidR="00D96E80">
        <w:rPr>
          <w:rFonts w:ascii="Times New Roman" w:hAnsi="Times New Roman" w:cs="Times New Roman"/>
          <w:sz w:val="24"/>
          <w:szCs w:val="24"/>
        </w:rPr>
        <w:t>is</w:t>
      </w:r>
      <w:r w:rsidR="00E46868" w:rsidRPr="003D6545">
        <w:rPr>
          <w:rFonts w:ascii="Times New Roman" w:hAnsi="Times New Roman" w:cs="Times New Roman"/>
          <w:sz w:val="24"/>
          <w:szCs w:val="24"/>
        </w:rPr>
        <w:t xml:space="preserve"> requir</w:t>
      </w:r>
      <w:r w:rsidR="00D96E80">
        <w:rPr>
          <w:rFonts w:ascii="Times New Roman" w:hAnsi="Times New Roman" w:cs="Times New Roman"/>
          <w:sz w:val="24"/>
          <w:szCs w:val="24"/>
        </w:rPr>
        <w:t>ing</w:t>
      </w:r>
      <w:r w:rsidR="00E46868" w:rsidRPr="003D6545">
        <w:rPr>
          <w:rFonts w:ascii="Times New Roman" w:hAnsi="Times New Roman" w:cs="Times New Roman"/>
          <w:sz w:val="24"/>
          <w:szCs w:val="24"/>
        </w:rPr>
        <w:t xml:space="preserve"> each RTO</w:t>
      </w:r>
      <w:r w:rsidR="0092440D">
        <w:rPr>
          <w:rFonts w:ascii="Times New Roman" w:hAnsi="Times New Roman" w:cs="Times New Roman"/>
          <w:sz w:val="24"/>
          <w:szCs w:val="24"/>
        </w:rPr>
        <w:t>/</w:t>
      </w:r>
      <w:r w:rsidR="00E46868" w:rsidRPr="003D6545">
        <w:rPr>
          <w:rFonts w:ascii="Times New Roman" w:hAnsi="Times New Roman" w:cs="Times New Roman"/>
          <w:sz w:val="24"/>
          <w:szCs w:val="24"/>
        </w:rPr>
        <w:t xml:space="preserve">ISO </w:t>
      </w:r>
      <w:r w:rsidR="00D96E80">
        <w:rPr>
          <w:rFonts w:ascii="Times New Roman" w:hAnsi="Times New Roman" w:cs="Times New Roman"/>
          <w:sz w:val="24"/>
          <w:szCs w:val="24"/>
        </w:rPr>
        <w:t xml:space="preserve">to </w:t>
      </w:r>
      <w:r w:rsidR="00E46868" w:rsidRPr="003D6545">
        <w:rPr>
          <w:rFonts w:ascii="Times New Roman" w:hAnsi="Times New Roman" w:cs="Times New Roman"/>
          <w:sz w:val="24"/>
          <w:szCs w:val="24"/>
        </w:rPr>
        <w:t xml:space="preserve">align settlement and dispatch intervals by </w:t>
      </w:r>
      <w:r w:rsidR="00345419" w:rsidRPr="003D6545">
        <w:rPr>
          <w:rFonts w:ascii="Times New Roman" w:hAnsi="Times New Roman" w:cs="Times New Roman"/>
          <w:sz w:val="24"/>
          <w:szCs w:val="24"/>
        </w:rPr>
        <w:t xml:space="preserve">settling energy </w:t>
      </w:r>
      <w:r w:rsidR="00345419">
        <w:rPr>
          <w:rFonts w:ascii="Times New Roman" w:hAnsi="Times New Roman" w:cs="Times New Roman"/>
          <w:sz w:val="24"/>
          <w:szCs w:val="24"/>
        </w:rPr>
        <w:t xml:space="preserve">transactions in its real-time markets at the same time interval it dispatches energy </w:t>
      </w:r>
      <w:r w:rsidR="00345419" w:rsidRPr="003D6545">
        <w:rPr>
          <w:rFonts w:ascii="Times New Roman" w:hAnsi="Times New Roman" w:cs="Times New Roman"/>
          <w:sz w:val="24"/>
          <w:szCs w:val="24"/>
        </w:rPr>
        <w:t xml:space="preserve">and </w:t>
      </w:r>
      <w:r w:rsidR="00D96E80">
        <w:rPr>
          <w:rFonts w:ascii="Times New Roman" w:hAnsi="Times New Roman" w:cs="Times New Roman"/>
          <w:sz w:val="24"/>
          <w:szCs w:val="24"/>
        </w:rPr>
        <w:t xml:space="preserve">to </w:t>
      </w:r>
      <w:r w:rsidR="00345419">
        <w:rPr>
          <w:rFonts w:ascii="Times New Roman" w:hAnsi="Times New Roman" w:cs="Times New Roman"/>
          <w:sz w:val="24"/>
          <w:szCs w:val="24"/>
        </w:rPr>
        <w:t>settl</w:t>
      </w:r>
      <w:r w:rsidR="00D96E80">
        <w:rPr>
          <w:rFonts w:ascii="Times New Roman" w:hAnsi="Times New Roman" w:cs="Times New Roman"/>
          <w:sz w:val="24"/>
          <w:szCs w:val="24"/>
        </w:rPr>
        <w:t>e</w:t>
      </w:r>
      <w:r w:rsidR="00345419">
        <w:rPr>
          <w:rFonts w:ascii="Times New Roman" w:hAnsi="Times New Roman" w:cs="Times New Roman"/>
          <w:sz w:val="24"/>
          <w:szCs w:val="24"/>
        </w:rPr>
        <w:t xml:space="preserve"> </w:t>
      </w:r>
      <w:r w:rsidR="00345419" w:rsidRPr="003D6545">
        <w:rPr>
          <w:rFonts w:ascii="Times New Roman" w:hAnsi="Times New Roman" w:cs="Times New Roman"/>
          <w:sz w:val="24"/>
          <w:szCs w:val="24"/>
        </w:rPr>
        <w:t xml:space="preserve">operating reserves transactions </w:t>
      </w:r>
      <w:r w:rsidR="00345419">
        <w:rPr>
          <w:rFonts w:ascii="Times New Roman" w:hAnsi="Times New Roman" w:cs="Times New Roman"/>
          <w:sz w:val="24"/>
          <w:szCs w:val="24"/>
        </w:rPr>
        <w:t xml:space="preserve">in its real-time markets at </w:t>
      </w:r>
      <w:r w:rsidR="00345419" w:rsidRPr="003D6545">
        <w:rPr>
          <w:rFonts w:ascii="Times New Roman" w:hAnsi="Times New Roman" w:cs="Times New Roman"/>
          <w:sz w:val="24"/>
          <w:szCs w:val="24"/>
        </w:rPr>
        <w:t xml:space="preserve">the same time interval </w:t>
      </w:r>
      <w:r w:rsidR="00345419">
        <w:rPr>
          <w:rFonts w:ascii="Times New Roman" w:hAnsi="Times New Roman" w:cs="Times New Roman"/>
          <w:sz w:val="24"/>
          <w:szCs w:val="24"/>
        </w:rPr>
        <w:t>prices operating reserves</w:t>
      </w:r>
      <w:r w:rsidR="00E46868" w:rsidRPr="003D6545">
        <w:rPr>
          <w:rFonts w:ascii="Times New Roman" w:hAnsi="Times New Roman" w:cs="Times New Roman"/>
          <w:sz w:val="24"/>
          <w:szCs w:val="24"/>
        </w:rPr>
        <w:t>.</w:t>
      </w:r>
    </w:p>
    <w:p w14:paraId="4C04FC0B" w14:textId="77777777" w:rsidR="00B721AF" w:rsidRDefault="00B721AF" w:rsidP="003D6545">
      <w:pPr>
        <w:spacing w:after="0" w:line="240" w:lineRule="auto"/>
        <w:rPr>
          <w:rFonts w:ascii="Times New Roman" w:hAnsi="Times New Roman" w:cs="Times New Roman"/>
          <w:sz w:val="24"/>
          <w:szCs w:val="24"/>
        </w:rPr>
      </w:pPr>
    </w:p>
    <w:p w14:paraId="63DE27C1" w14:textId="790FFD09" w:rsidR="00180B70" w:rsidRDefault="00180B70" w:rsidP="003D65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FERC is </w:t>
      </w:r>
      <w:r w:rsidRPr="00180B70">
        <w:rPr>
          <w:rFonts w:ascii="Times New Roman" w:hAnsi="Times New Roman" w:cs="Times New Roman"/>
          <w:sz w:val="24"/>
          <w:szCs w:val="24"/>
        </w:rPr>
        <w:t>requir</w:t>
      </w:r>
      <w:r>
        <w:rPr>
          <w:rFonts w:ascii="Times New Roman" w:hAnsi="Times New Roman" w:cs="Times New Roman"/>
          <w:sz w:val="24"/>
          <w:szCs w:val="24"/>
        </w:rPr>
        <w:t>ing</w:t>
      </w:r>
      <w:r w:rsidRPr="00180B70">
        <w:rPr>
          <w:rFonts w:ascii="Times New Roman" w:hAnsi="Times New Roman" w:cs="Times New Roman"/>
          <w:sz w:val="24"/>
          <w:szCs w:val="24"/>
        </w:rPr>
        <w:t xml:space="preserve"> </w:t>
      </w:r>
      <w:r w:rsidR="000A22D0" w:rsidRPr="000A22D0">
        <w:rPr>
          <w:rFonts w:ascii="Times New Roman" w:hAnsi="Times New Roman" w:cs="Times New Roman"/>
          <w:sz w:val="24"/>
          <w:szCs w:val="24"/>
        </w:rPr>
        <w:t xml:space="preserve">each RTO/ISO to submit, within 120 days of the effective date of this Final Rule, a compliance filing </w:t>
      </w:r>
      <w:r w:rsidR="00491383">
        <w:rPr>
          <w:rFonts w:ascii="Times New Roman" w:hAnsi="Times New Roman" w:cs="Times New Roman"/>
          <w:sz w:val="24"/>
          <w:szCs w:val="24"/>
        </w:rPr>
        <w:t xml:space="preserve">(FERC-516D) </w:t>
      </w:r>
      <w:r w:rsidR="000A22D0" w:rsidRPr="000A22D0">
        <w:rPr>
          <w:rFonts w:ascii="Times New Roman" w:hAnsi="Times New Roman" w:cs="Times New Roman"/>
          <w:sz w:val="24"/>
          <w:szCs w:val="24"/>
        </w:rPr>
        <w:t xml:space="preserve">that includes tariff changes that adopt the requirements in this Final Rule, or demonstrates how the RTO/ISO already complies.  </w:t>
      </w:r>
      <w:r w:rsidR="000A22D0">
        <w:rPr>
          <w:rFonts w:ascii="Times New Roman" w:hAnsi="Times New Roman" w:cs="Times New Roman"/>
          <w:sz w:val="24"/>
          <w:szCs w:val="24"/>
        </w:rPr>
        <w:t>FERC</w:t>
      </w:r>
      <w:r w:rsidR="000A22D0" w:rsidRPr="000A22D0">
        <w:rPr>
          <w:rFonts w:ascii="Times New Roman" w:hAnsi="Times New Roman" w:cs="Times New Roman"/>
          <w:sz w:val="24"/>
          <w:szCs w:val="24"/>
        </w:rPr>
        <w:t xml:space="preserve"> will allow a further 12 months from the compliance filing date for the tariff changes implementing reforms to settlement intervals to be effective, and 120 days from that same compliance filing date for the tariff changes implementing shortage pricing reforms to be effective</w:t>
      </w:r>
      <w:r w:rsidR="000A22D0">
        <w:rPr>
          <w:rFonts w:ascii="Times New Roman" w:hAnsi="Times New Roman" w:cs="Times New Roman"/>
          <w:sz w:val="24"/>
          <w:szCs w:val="24"/>
        </w:rPr>
        <w:t>.</w:t>
      </w:r>
    </w:p>
    <w:p w14:paraId="6ED2BCA4" w14:textId="6FE0187D" w:rsidR="0025203F" w:rsidRPr="003D6545" w:rsidRDefault="0025203F" w:rsidP="003D6545">
      <w:pPr>
        <w:spacing w:after="0" w:line="240" w:lineRule="auto"/>
        <w:rPr>
          <w:rFonts w:ascii="Times New Roman" w:hAnsi="Times New Roman" w:cs="Times New Roman"/>
          <w:sz w:val="24"/>
          <w:szCs w:val="24"/>
        </w:rPr>
      </w:pPr>
    </w:p>
    <w:p w14:paraId="6FBC90FF"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DESCRIBE ANY CONSIDERATION OF THE USE OF IMPROVED INFORMATION TECHNOLOGY TO REDUCE THE BURDEN AND TECHNICAL OR LEGAL OBSTACLES TO REDUCING BURDEN</w:t>
      </w:r>
    </w:p>
    <w:p w14:paraId="6FBC9100" w14:textId="77777777" w:rsidR="00EB3E6F" w:rsidRPr="003D6545" w:rsidRDefault="00EB3E6F" w:rsidP="003D6545">
      <w:pPr>
        <w:spacing w:after="0" w:line="240" w:lineRule="auto"/>
        <w:rPr>
          <w:rFonts w:ascii="Times New Roman" w:hAnsi="Times New Roman" w:cs="Times New Roman"/>
          <w:sz w:val="24"/>
          <w:szCs w:val="24"/>
        </w:rPr>
      </w:pPr>
    </w:p>
    <w:p w14:paraId="6FBC9101" w14:textId="05F83EFF" w:rsidR="00EB3E6F" w:rsidRPr="003D6545" w:rsidRDefault="0025203F"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FERC</w:t>
      </w:r>
      <w:r w:rsidR="004D7DA8" w:rsidRPr="003D6545">
        <w:rPr>
          <w:rFonts w:ascii="Times New Roman" w:hAnsi="Times New Roman" w:cs="Times New Roman"/>
          <w:sz w:val="24"/>
          <w:szCs w:val="24"/>
        </w:rPr>
        <w:t xml:space="preserve"> </w:t>
      </w:r>
      <w:r w:rsidR="00466C57" w:rsidRPr="003D6545">
        <w:rPr>
          <w:rFonts w:ascii="Times New Roman" w:hAnsi="Times New Roman" w:cs="Times New Roman"/>
          <w:sz w:val="24"/>
          <w:szCs w:val="24"/>
        </w:rPr>
        <w:t>implement</w:t>
      </w:r>
      <w:r w:rsidRPr="003D6545">
        <w:rPr>
          <w:rFonts w:ascii="Times New Roman" w:hAnsi="Times New Roman" w:cs="Times New Roman"/>
          <w:sz w:val="24"/>
          <w:szCs w:val="24"/>
        </w:rPr>
        <w:t>ed</w:t>
      </w:r>
      <w:r w:rsidR="004D7DA8" w:rsidRPr="003D6545">
        <w:rPr>
          <w:rFonts w:ascii="Times New Roman" w:hAnsi="Times New Roman" w:cs="Times New Roman"/>
          <w:sz w:val="24"/>
          <w:szCs w:val="24"/>
        </w:rPr>
        <w:t xml:space="preserve"> </w:t>
      </w:r>
      <w:r w:rsidRPr="003D6545">
        <w:rPr>
          <w:rFonts w:ascii="Times New Roman" w:hAnsi="Times New Roman" w:cs="Times New Roman"/>
          <w:sz w:val="24"/>
          <w:szCs w:val="24"/>
        </w:rPr>
        <w:t>its</w:t>
      </w:r>
      <w:r w:rsidR="00466C57" w:rsidRPr="003D6545">
        <w:rPr>
          <w:rFonts w:ascii="Times New Roman" w:hAnsi="Times New Roman" w:cs="Times New Roman"/>
          <w:sz w:val="24"/>
          <w:szCs w:val="24"/>
        </w:rPr>
        <w:t xml:space="preserve"> eTariff system (fully implemented in 2010) for the electronic filing of tariffs.  </w:t>
      </w:r>
      <w:r w:rsidR="00690B37" w:rsidRPr="003D6545">
        <w:rPr>
          <w:rFonts w:ascii="Times New Roman" w:hAnsi="Times New Roman" w:cs="Times New Roman"/>
          <w:sz w:val="24"/>
          <w:szCs w:val="24"/>
        </w:rPr>
        <w:t>(</w:t>
      </w:r>
      <w:r w:rsidR="002C4468" w:rsidRPr="003D6545">
        <w:rPr>
          <w:rFonts w:ascii="Times New Roman" w:hAnsi="Times New Roman" w:cs="Times New Roman"/>
          <w:sz w:val="24"/>
          <w:szCs w:val="24"/>
        </w:rPr>
        <w:t xml:space="preserve">eTariff is described more fully at </w:t>
      </w:r>
      <w:hyperlink r:id="rId12" w:history="1">
        <w:r w:rsidR="002C4468" w:rsidRPr="003D6545">
          <w:rPr>
            <w:rStyle w:val="Hyperlink"/>
            <w:rFonts w:ascii="Times New Roman" w:hAnsi="Times New Roman" w:cs="Times New Roman"/>
            <w:sz w:val="24"/>
            <w:szCs w:val="24"/>
          </w:rPr>
          <w:t>http://www.ferc.gov/docs-filing/etariff.asp</w:t>
        </w:r>
      </w:hyperlink>
      <w:r w:rsidR="002C4468" w:rsidRPr="003D6545">
        <w:rPr>
          <w:rFonts w:ascii="Times New Roman" w:hAnsi="Times New Roman" w:cs="Times New Roman"/>
          <w:sz w:val="24"/>
          <w:szCs w:val="24"/>
        </w:rPr>
        <w:t xml:space="preserve"> .</w:t>
      </w:r>
      <w:r w:rsidR="00690B37" w:rsidRPr="003D6545">
        <w:rPr>
          <w:rFonts w:ascii="Times New Roman" w:hAnsi="Times New Roman" w:cs="Times New Roman"/>
          <w:sz w:val="24"/>
          <w:szCs w:val="24"/>
        </w:rPr>
        <w:t>)</w:t>
      </w:r>
      <w:r w:rsidR="00A1673A" w:rsidRPr="003D6545">
        <w:rPr>
          <w:rFonts w:ascii="Times New Roman" w:hAnsi="Times New Roman" w:cs="Times New Roman"/>
          <w:sz w:val="24"/>
          <w:szCs w:val="24"/>
        </w:rPr>
        <w:t xml:space="preserve">  The tariff compliance filing will be eFiled.</w:t>
      </w:r>
    </w:p>
    <w:p w14:paraId="18289738" w14:textId="77777777" w:rsidR="0025203F" w:rsidRPr="003D6545" w:rsidRDefault="0025203F" w:rsidP="003D6545">
      <w:pPr>
        <w:spacing w:after="0" w:line="240" w:lineRule="auto"/>
        <w:rPr>
          <w:rFonts w:ascii="Times New Roman" w:hAnsi="Times New Roman" w:cs="Times New Roman"/>
          <w:sz w:val="24"/>
          <w:szCs w:val="24"/>
        </w:rPr>
      </w:pPr>
    </w:p>
    <w:p w14:paraId="6FBC9102"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DESCRIBE EFFORTS TO IDENTIF</w:t>
      </w:r>
      <w:r w:rsidR="00074DC8" w:rsidRPr="003D6545">
        <w:rPr>
          <w:rFonts w:ascii="Times New Roman" w:hAnsi="Times New Roman" w:cs="Times New Roman"/>
          <w:b/>
          <w:sz w:val="24"/>
          <w:szCs w:val="24"/>
        </w:rPr>
        <w:t>Y</w:t>
      </w:r>
      <w:r w:rsidRPr="003D654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FBC9103" w14:textId="77777777" w:rsidR="00EB3E6F" w:rsidRPr="003D6545" w:rsidRDefault="00EB3E6F" w:rsidP="003D6545">
      <w:pPr>
        <w:spacing w:after="0" w:line="240" w:lineRule="auto"/>
        <w:rPr>
          <w:rFonts w:ascii="Times New Roman" w:hAnsi="Times New Roman" w:cs="Times New Roman"/>
          <w:sz w:val="24"/>
          <w:szCs w:val="24"/>
        </w:rPr>
      </w:pPr>
    </w:p>
    <w:p w14:paraId="6FBC9104" w14:textId="354DDC65" w:rsidR="00EB3E6F" w:rsidRPr="003D6545" w:rsidRDefault="00466C57"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FERC rules and data requirements are periodically reviewed in conjunction with OMB clearance expiration dates.  This includes a review of FERC's regulations and data requirements to identify duplication.  The information to be submitted, generated, kept, </w:t>
      </w:r>
      <w:r w:rsidR="001348AC" w:rsidRPr="003D6545">
        <w:rPr>
          <w:rFonts w:ascii="Times New Roman" w:hAnsi="Times New Roman" w:cs="Times New Roman"/>
          <w:sz w:val="24"/>
          <w:szCs w:val="24"/>
        </w:rPr>
        <w:t xml:space="preserve">or posted, pursuant to this </w:t>
      </w:r>
      <w:r w:rsidR="00E53DBD">
        <w:rPr>
          <w:rFonts w:ascii="Times New Roman" w:hAnsi="Times New Roman" w:cs="Times New Roman"/>
          <w:sz w:val="24"/>
          <w:szCs w:val="24"/>
        </w:rPr>
        <w:t>Final Rule</w:t>
      </w:r>
      <w:r w:rsidR="00E53DBD" w:rsidRPr="003D6545">
        <w:rPr>
          <w:rFonts w:ascii="Times New Roman" w:hAnsi="Times New Roman" w:cs="Times New Roman"/>
          <w:sz w:val="24"/>
          <w:szCs w:val="24"/>
        </w:rPr>
        <w:t xml:space="preserve"> </w:t>
      </w:r>
      <w:r w:rsidRPr="003D6545">
        <w:rPr>
          <w:rFonts w:ascii="Times New Roman" w:hAnsi="Times New Roman" w:cs="Times New Roman"/>
          <w:sz w:val="24"/>
          <w:szCs w:val="24"/>
        </w:rPr>
        <w:t>is not readi</w:t>
      </w:r>
      <w:r w:rsidR="001348AC" w:rsidRPr="003D6545">
        <w:rPr>
          <w:rFonts w:ascii="Times New Roman" w:hAnsi="Times New Roman" w:cs="Times New Roman"/>
          <w:sz w:val="24"/>
          <w:szCs w:val="24"/>
        </w:rPr>
        <w:t>ly available from other</w:t>
      </w:r>
      <w:r w:rsidR="00A21355">
        <w:rPr>
          <w:rFonts w:ascii="Times New Roman" w:hAnsi="Times New Roman" w:cs="Times New Roman"/>
          <w:sz w:val="24"/>
          <w:szCs w:val="24"/>
        </w:rPr>
        <w:t xml:space="preserve"> sources</w:t>
      </w:r>
      <w:r w:rsidRPr="003D6545">
        <w:rPr>
          <w:rFonts w:ascii="Times New Roman" w:hAnsi="Times New Roman" w:cs="Times New Roman"/>
          <w:sz w:val="24"/>
          <w:szCs w:val="24"/>
        </w:rPr>
        <w:t>.</w:t>
      </w:r>
    </w:p>
    <w:p w14:paraId="5A806795" w14:textId="77777777" w:rsidR="00466C57" w:rsidRPr="003D6545" w:rsidRDefault="00466C57" w:rsidP="003D6545">
      <w:pPr>
        <w:spacing w:after="0" w:line="240" w:lineRule="auto"/>
        <w:rPr>
          <w:rFonts w:ascii="Times New Roman" w:hAnsi="Times New Roman" w:cs="Times New Roman"/>
          <w:sz w:val="24"/>
          <w:szCs w:val="24"/>
        </w:rPr>
      </w:pPr>
    </w:p>
    <w:p w14:paraId="6FBC9105"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METHODS USED TO MINIMIZE THE BURDEN IN COLLECTION OF INFORMATION INVOLVING SMALL ENTITIES</w:t>
      </w:r>
    </w:p>
    <w:p w14:paraId="18DB6865" w14:textId="25373400" w:rsidR="00172229" w:rsidRPr="003D6545" w:rsidRDefault="00C50C77"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 Small Business Administration’s (SBA) Office of Size Standards develops the numerical definition of a small business.</w:t>
      </w:r>
      <w:r w:rsidR="00286C9B" w:rsidRPr="003D6545">
        <w:rPr>
          <w:rStyle w:val="FootnoteReference"/>
          <w:rFonts w:ascii="Times New Roman" w:hAnsi="Times New Roman" w:cs="Times New Roman"/>
          <w:sz w:val="24"/>
          <w:szCs w:val="24"/>
          <w:vertAlign w:val="superscript"/>
        </w:rPr>
        <w:footnoteReference w:id="10"/>
      </w:r>
      <w:r w:rsidRPr="003D6545">
        <w:rPr>
          <w:rFonts w:ascii="Times New Roman" w:hAnsi="Times New Roman" w:cs="Times New Roman"/>
          <w:sz w:val="24"/>
          <w:szCs w:val="24"/>
        </w:rPr>
        <w:t xml:space="preserve">  The SBA revised its size standard for electric utilities (effective January 22, 2014) to a standard based on the number of employees, including affiliates</w:t>
      </w:r>
      <w:r w:rsidR="00DB34AF" w:rsidRPr="003D6545">
        <w:rPr>
          <w:rFonts w:ascii="Times New Roman" w:hAnsi="Times New Roman" w:cs="Times New Roman"/>
          <w:sz w:val="24"/>
          <w:szCs w:val="24"/>
        </w:rPr>
        <w:t xml:space="preserve"> (from a standard based on megawatt hours)</w:t>
      </w:r>
      <w:r w:rsidRPr="003D6545">
        <w:rPr>
          <w:rFonts w:ascii="Times New Roman" w:hAnsi="Times New Roman" w:cs="Times New Roman"/>
          <w:sz w:val="24"/>
          <w:szCs w:val="24"/>
        </w:rPr>
        <w:t>.</w:t>
      </w:r>
      <w:r w:rsidR="00286C9B" w:rsidRPr="003D6545">
        <w:rPr>
          <w:rStyle w:val="FootnoteReference"/>
          <w:rFonts w:ascii="Times New Roman" w:hAnsi="Times New Roman" w:cs="Times New Roman"/>
          <w:sz w:val="24"/>
          <w:szCs w:val="24"/>
          <w:vertAlign w:val="superscript"/>
        </w:rPr>
        <w:footnoteReference w:id="11"/>
      </w:r>
      <w:r w:rsidRPr="003D6545">
        <w:rPr>
          <w:rFonts w:ascii="Times New Roman" w:hAnsi="Times New Roman" w:cs="Times New Roman"/>
          <w:sz w:val="24"/>
          <w:szCs w:val="24"/>
          <w:vertAlign w:val="superscript"/>
        </w:rPr>
        <w:t xml:space="preserve"> </w:t>
      </w:r>
      <w:r w:rsidRPr="003D6545">
        <w:rPr>
          <w:rFonts w:ascii="Times New Roman" w:hAnsi="Times New Roman" w:cs="Times New Roman"/>
          <w:sz w:val="24"/>
          <w:szCs w:val="24"/>
        </w:rPr>
        <w:t xml:space="preserve">  </w:t>
      </w:r>
    </w:p>
    <w:p w14:paraId="30B28A42" w14:textId="77777777" w:rsidR="00172229" w:rsidRPr="003D6545" w:rsidRDefault="00172229" w:rsidP="003D6545">
      <w:pPr>
        <w:spacing w:after="0" w:line="240" w:lineRule="auto"/>
        <w:rPr>
          <w:rFonts w:ascii="Times New Roman" w:hAnsi="Times New Roman" w:cs="Times New Roman"/>
          <w:sz w:val="24"/>
          <w:szCs w:val="24"/>
        </w:rPr>
      </w:pPr>
    </w:p>
    <w:p w14:paraId="253ED69A" w14:textId="377911BA" w:rsidR="002F1B03" w:rsidRPr="003D6545" w:rsidRDefault="00172229" w:rsidP="003D6545">
      <w:pPr>
        <w:spacing w:after="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Th</w:t>
      </w:r>
      <w:r w:rsidR="002F1B03" w:rsidRPr="003D6545">
        <w:rPr>
          <w:rFonts w:ascii="Times New Roman" w:eastAsia="Times New Roman" w:hAnsi="Times New Roman" w:cs="Times New Roman"/>
          <w:sz w:val="24"/>
          <w:szCs w:val="24"/>
        </w:rPr>
        <w:t>e</w:t>
      </w:r>
      <w:r w:rsidRPr="003D6545">
        <w:rPr>
          <w:rFonts w:ascii="Times New Roman" w:eastAsia="Times New Roman" w:hAnsi="Times New Roman" w:cs="Times New Roman"/>
          <w:sz w:val="24"/>
          <w:szCs w:val="24"/>
        </w:rPr>
        <w:t xml:space="preserve"> reforms would apply to six RTOs</w:t>
      </w:r>
      <w:r w:rsidR="001628BF">
        <w:rPr>
          <w:rFonts w:ascii="Times New Roman" w:eastAsia="Times New Roman" w:hAnsi="Times New Roman" w:cs="Times New Roman"/>
          <w:sz w:val="24"/>
          <w:szCs w:val="24"/>
        </w:rPr>
        <w:t>/</w:t>
      </w:r>
      <w:r w:rsidRPr="003D6545">
        <w:rPr>
          <w:rFonts w:ascii="Times New Roman" w:eastAsia="Times New Roman" w:hAnsi="Times New Roman" w:cs="Times New Roman"/>
          <w:sz w:val="24"/>
          <w:szCs w:val="24"/>
        </w:rPr>
        <w:t xml:space="preserve">ISOs, all of which are transmission organizations and are included in the NAICS code 221121 </w:t>
      </w:r>
      <w:r w:rsidR="002F1B03" w:rsidRPr="003D6545">
        <w:rPr>
          <w:rFonts w:ascii="Times New Roman" w:eastAsia="Times New Roman" w:hAnsi="Times New Roman" w:cs="Times New Roman"/>
          <w:sz w:val="24"/>
          <w:szCs w:val="24"/>
        </w:rPr>
        <w:t>(</w:t>
      </w:r>
      <w:r w:rsidRPr="003D6545">
        <w:rPr>
          <w:rFonts w:ascii="Times New Roman" w:eastAsia="Times New Roman" w:hAnsi="Times New Roman" w:cs="Times New Roman"/>
          <w:sz w:val="24"/>
          <w:szCs w:val="24"/>
        </w:rPr>
        <w:t>for Electric Bulk Power Transmission and Control</w:t>
      </w:r>
      <w:r w:rsidR="002F1B03" w:rsidRPr="003D6545">
        <w:rPr>
          <w:rFonts w:ascii="Times New Roman" w:eastAsia="Times New Roman" w:hAnsi="Times New Roman" w:cs="Times New Roman"/>
          <w:sz w:val="24"/>
          <w:szCs w:val="24"/>
        </w:rPr>
        <w:t>)</w:t>
      </w:r>
      <w:r w:rsidRPr="003D6545">
        <w:rPr>
          <w:rFonts w:ascii="Times New Roman" w:eastAsia="Times New Roman" w:hAnsi="Times New Roman" w:cs="Times New Roman"/>
          <w:sz w:val="24"/>
          <w:szCs w:val="24"/>
        </w:rPr>
        <w:t xml:space="preserve">, which </w:t>
      </w:r>
      <w:r w:rsidRPr="003D6545">
        <w:rPr>
          <w:rFonts w:ascii="Times New Roman" w:eastAsia="Times New Roman" w:hAnsi="Times New Roman" w:cs="Times New Roman"/>
          <w:sz w:val="24"/>
          <w:szCs w:val="24"/>
        </w:rPr>
        <w:lastRenderedPageBreak/>
        <w:t>has a threshold for small businesses of 500 employees.  The Commission understands that each RTO</w:t>
      </w:r>
      <w:r w:rsidR="00340DFE">
        <w:rPr>
          <w:rFonts w:ascii="Times New Roman" w:eastAsia="Times New Roman" w:hAnsi="Times New Roman" w:cs="Times New Roman"/>
          <w:sz w:val="24"/>
          <w:szCs w:val="24"/>
        </w:rPr>
        <w:t>/</w:t>
      </w:r>
      <w:r w:rsidRPr="003D6545">
        <w:rPr>
          <w:rFonts w:ascii="Times New Roman" w:eastAsia="Times New Roman" w:hAnsi="Times New Roman" w:cs="Times New Roman"/>
          <w:sz w:val="24"/>
          <w:szCs w:val="24"/>
        </w:rPr>
        <w:t xml:space="preserve">ISO has more than 500 employees, so the RTOs and ISO are not small entities.  </w:t>
      </w:r>
    </w:p>
    <w:p w14:paraId="29FE2992" w14:textId="77777777" w:rsidR="00C50C77" w:rsidRPr="003D6545" w:rsidRDefault="00C50C77" w:rsidP="003D6545">
      <w:pPr>
        <w:spacing w:after="0" w:line="240" w:lineRule="auto"/>
        <w:rPr>
          <w:rFonts w:ascii="Times New Roman" w:hAnsi="Times New Roman" w:cs="Times New Roman"/>
          <w:sz w:val="24"/>
          <w:szCs w:val="24"/>
        </w:rPr>
      </w:pPr>
    </w:p>
    <w:p w14:paraId="6FBC9108"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CONSEQUENCE TO FEDERAL PROGRAM IF COLLECTION WERE CONDUCTED LESS FREQUENTLY</w:t>
      </w:r>
    </w:p>
    <w:p w14:paraId="51BFF2F1" w14:textId="77777777" w:rsidR="008352B4" w:rsidRPr="003D6545" w:rsidRDefault="008352B4" w:rsidP="003D6545">
      <w:pPr>
        <w:spacing w:after="0" w:line="240" w:lineRule="auto"/>
        <w:rPr>
          <w:rFonts w:ascii="Times New Roman" w:hAnsi="Times New Roman" w:cs="Times New Roman"/>
          <w:b/>
          <w:sz w:val="24"/>
          <w:szCs w:val="24"/>
        </w:rPr>
      </w:pPr>
    </w:p>
    <w:p w14:paraId="7387359C" w14:textId="66B3892A" w:rsidR="00F95A9B" w:rsidRPr="003D6545" w:rsidRDefault="00F95A9B"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FERC requires th</w:t>
      </w:r>
      <w:r w:rsidR="00BD59CC" w:rsidRPr="003D6545">
        <w:rPr>
          <w:rFonts w:ascii="Times New Roman" w:hAnsi="Times New Roman" w:cs="Times New Roman"/>
          <w:sz w:val="24"/>
          <w:szCs w:val="24"/>
        </w:rPr>
        <w:t xml:space="preserve">e </w:t>
      </w:r>
      <w:r w:rsidR="00CD47E2">
        <w:rPr>
          <w:rFonts w:ascii="Times New Roman" w:hAnsi="Times New Roman" w:cs="Times New Roman"/>
          <w:sz w:val="24"/>
          <w:szCs w:val="24"/>
        </w:rPr>
        <w:t>compliance tariff filing</w:t>
      </w:r>
      <w:r w:rsidRPr="003D6545">
        <w:rPr>
          <w:rFonts w:ascii="Times New Roman" w:hAnsi="Times New Roman" w:cs="Times New Roman"/>
          <w:sz w:val="24"/>
          <w:szCs w:val="24"/>
        </w:rPr>
        <w:t xml:space="preserve"> in order to perform its mandated oversight and review responsibilities with respect to electric market-based rates being just and reasonable.  Without this information, the Commission would be unable to meet its statutory responsibility under </w:t>
      </w:r>
      <w:r w:rsidR="00370146">
        <w:rPr>
          <w:rFonts w:ascii="Times New Roman" w:hAnsi="Times New Roman" w:cs="Times New Roman"/>
          <w:sz w:val="24"/>
          <w:szCs w:val="24"/>
        </w:rPr>
        <w:t>s</w:t>
      </w:r>
      <w:r w:rsidRPr="003D6545">
        <w:rPr>
          <w:rFonts w:ascii="Times New Roman" w:hAnsi="Times New Roman" w:cs="Times New Roman"/>
          <w:sz w:val="24"/>
          <w:szCs w:val="24"/>
        </w:rPr>
        <w:t xml:space="preserve">ection 205 of the FPA to ensure electric utility rates are just and reasonable.  Failing to meet this responsibility </w:t>
      </w:r>
      <w:r w:rsidR="007F2F2F" w:rsidRPr="003D6545">
        <w:rPr>
          <w:rFonts w:ascii="Times New Roman" w:hAnsi="Times New Roman" w:cs="Times New Roman"/>
          <w:sz w:val="24"/>
          <w:szCs w:val="24"/>
        </w:rPr>
        <w:t>c</w:t>
      </w:r>
      <w:r w:rsidRPr="003D6545">
        <w:rPr>
          <w:rFonts w:ascii="Times New Roman" w:hAnsi="Times New Roman" w:cs="Times New Roman"/>
          <w:sz w:val="24"/>
          <w:szCs w:val="24"/>
        </w:rPr>
        <w:t>ould result in public utilities charging rates that are not just and reasonable.</w:t>
      </w:r>
    </w:p>
    <w:p w14:paraId="252090F1" w14:textId="77777777" w:rsidR="00F95A9B" w:rsidRPr="003D6545" w:rsidRDefault="00F95A9B" w:rsidP="003D6545">
      <w:pPr>
        <w:spacing w:after="0" w:line="240" w:lineRule="auto"/>
        <w:rPr>
          <w:rFonts w:ascii="Times New Roman" w:hAnsi="Times New Roman" w:cs="Times New Roman"/>
          <w:b/>
          <w:sz w:val="24"/>
          <w:szCs w:val="24"/>
        </w:rPr>
      </w:pPr>
    </w:p>
    <w:p w14:paraId="6FBC910B"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EXPLAIN ANY SPECIAL CIRCUMSTANCES RELATING TO THE INFORMATION COLLECTION</w:t>
      </w:r>
    </w:p>
    <w:p w14:paraId="19256D0C" w14:textId="77777777" w:rsidR="008352B4" w:rsidRPr="003D6545" w:rsidRDefault="008352B4" w:rsidP="003D6545">
      <w:pPr>
        <w:pStyle w:val="ListParagraph"/>
        <w:spacing w:after="0" w:line="240" w:lineRule="auto"/>
        <w:ind w:left="360"/>
        <w:rPr>
          <w:rFonts w:ascii="Times New Roman" w:hAnsi="Times New Roman" w:cs="Times New Roman"/>
          <w:b/>
          <w:sz w:val="24"/>
          <w:szCs w:val="24"/>
        </w:rPr>
      </w:pPr>
    </w:p>
    <w:p w14:paraId="6FBC910D" w14:textId="518CC25E" w:rsidR="00EB3E6F" w:rsidRPr="003D6545" w:rsidRDefault="00274F78" w:rsidP="003D6545">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w:t>
      </w:r>
      <w:r w:rsidR="008D310F" w:rsidRPr="003D6545">
        <w:rPr>
          <w:rFonts w:ascii="Times New Roman" w:hAnsi="Times New Roman" w:cs="Times New Roman"/>
          <w:sz w:val="24"/>
          <w:szCs w:val="24"/>
        </w:rPr>
        <w:t xml:space="preserve"> </w:t>
      </w:r>
      <w:r w:rsidR="00563175" w:rsidRPr="003D6545">
        <w:rPr>
          <w:rFonts w:ascii="Times New Roman" w:hAnsi="Times New Roman" w:cs="Times New Roman"/>
          <w:sz w:val="24"/>
          <w:szCs w:val="24"/>
        </w:rPr>
        <w:t>is</w:t>
      </w:r>
      <w:r w:rsidR="008D310F" w:rsidRPr="003D6545">
        <w:rPr>
          <w:rFonts w:ascii="Times New Roman" w:hAnsi="Times New Roman" w:cs="Times New Roman"/>
          <w:sz w:val="24"/>
          <w:szCs w:val="24"/>
        </w:rPr>
        <w:t xml:space="preserve"> consistent with the guidelines in 5 CFR 1320.5(d).</w:t>
      </w:r>
    </w:p>
    <w:p w14:paraId="6F138EF7" w14:textId="77777777" w:rsidR="008D310F" w:rsidRPr="003D6545" w:rsidRDefault="008D310F" w:rsidP="003D6545">
      <w:pPr>
        <w:spacing w:after="0" w:line="240" w:lineRule="auto"/>
        <w:rPr>
          <w:rFonts w:ascii="Times New Roman" w:hAnsi="Times New Roman" w:cs="Times New Roman"/>
          <w:sz w:val="24"/>
          <w:szCs w:val="24"/>
        </w:rPr>
      </w:pPr>
    </w:p>
    <w:p w14:paraId="6FBC910E"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DESCRIBE EFFORTS TO CONSULT OUTSIDE THE AGENCY: SUMMARIZE PUBLIC COMMENTS AND THE AGENCY’S RESPONSE</w:t>
      </w:r>
    </w:p>
    <w:p w14:paraId="64188F9C" w14:textId="77777777" w:rsidR="00F132A1" w:rsidRPr="003D6545" w:rsidRDefault="00F132A1" w:rsidP="003D6545">
      <w:pPr>
        <w:spacing w:after="0" w:line="240" w:lineRule="auto"/>
        <w:rPr>
          <w:rFonts w:ascii="Times New Roman" w:hAnsi="Times New Roman" w:cs="Times New Roman"/>
          <w:sz w:val="24"/>
          <w:szCs w:val="24"/>
        </w:rPr>
      </w:pPr>
    </w:p>
    <w:p w14:paraId="63CB39F5" w14:textId="2BFF25F6" w:rsidR="003472ED" w:rsidRDefault="00F95A9B"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 NOPR in RM15-2</w:t>
      </w:r>
      <w:r w:rsidR="00563175" w:rsidRPr="003D6545">
        <w:rPr>
          <w:rFonts w:ascii="Times New Roman" w:hAnsi="Times New Roman" w:cs="Times New Roman"/>
          <w:sz w:val="24"/>
          <w:szCs w:val="24"/>
        </w:rPr>
        <w:t>4</w:t>
      </w:r>
      <w:r w:rsidR="008C1798">
        <w:rPr>
          <w:rFonts w:ascii="Times New Roman" w:hAnsi="Times New Roman" w:cs="Times New Roman"/>
          <w:sz w:val="24"/>
          <w:szCs w:val="24"/>
        </w:rPr>
        <w:t>-000</w:t>
      </w:r>
      <w:r w:rsidRPr="003D6545">
        <w:rPr>
          <w:rFonts w:ascii="Times New Roman" w:hAnsi="Times New Roman" w:cs="Times New Roman"/>
          <w:sz w:val="24"/>
          <w:szCs w:val="24"/>
        </w:rPr>
        <w:t xml:space="preserve"> </w:t>
      </w:r>
      <w:r w:rsidR="003472ED">
        <w:rPr>
          <w:rFonts w:ascii="Times New Roman" w:hAnsi="Times New Roman" w:cs="Times New Roman"/>
          <w:sz w:val="24"/>
          <w:szCs w:val="24"/>
        </w:rPr>
        <w:t>requested</w:t>
      </w:r>
      <w:r w:rsidRPr="003D6545">
        <w:rPr>
          <w:rFonts w:ascii="Times New Roman" w:hAnsi="Times New Roman" w:cs="Times New Roman"/>
          <w:sz w:val="24"/>
          <w:szCs w:val="24"/>
        </w:rPr>
        <w:t xml:space="preserve"> public comment and </w:t>
      </w:r>
      <w:r w:rsidR="003472ED">
        <w:rPr>
          <w:rFonts w:ascii="Times New Roman" w:hAnsi="Times New Roman" w:cs="Times New Roman"/>
          <w:sz w:val="24"/>
          <w:szCs w:val="24"/>
        </w:rPr>
        <w:t>was</w:t>
      </w:r>
      <w:r w:rsidR="003472ED" w:rsidRPr="003D6545">
        <w:rPr>
          <w:rFonts w:ascii="Times New Roman" w:hAnsi="Times New Roman" w:cs="Times New Roman"/>
          <w:sz w:val="24"/>
          <w:szCs w:val="24"/>
        </w:rPr>
        <w:t xml:space="preserve"> </w:t>
      </w:r>
      <w:r w:rsidRPr="003D6545">
        <w:rPr>
          <w:rFonts w:ascii="Times New Roman" w:hAnsi="Times New Roman" w:cs="Times New Roman"/>
          <w:sz w:val="24"/>
          <w:szCs w:val="24"/>
        </w:rPr>
        <w:t>published in the Federal Register</w:t>
      </w:r>
      <w:r w:rsidR="005434C1">
        <w:rPr>
          <w:rFonts w:ascii="Times New Roman" w:hAnsi="Times New Roman" w:cs="Times New Roman"/>
          <w:sz w:val="24"/>
          <w:szCs w:val="24"/>
        </w:rPr>
        <w:t xml:space="preserve"> (80 FR </w:t>
      </w:r>
      <w:r w:rsidR="005434C1" w:rsidRPr="005434C1">
        <w:rPr>
          <w:rFonts w:ascii="Times New Roman" w:hAnsi="Times New Roman" w:cs="Times New Roman"/>
          <w:sz w:val="24"/>
          <w:szCs w:val="24"/>
        </w:rPr>
        <w:t>58393</w:t>
      </w:r>
      <w:r w:rsidR="005434C1">
        <w:rPr>
          <w:rFonts w:ascii="Times New Roman" w:hAnsi="Times New Roman" w:cs="Times New Roman"/>
          <w:sz w:val="24"/>
          <w:szCs w:val="24"/>
        </w:rPr>
        <w:t>, 9/29/2015)</w:t>
      </w:r>
      <w:r w:rsidRPr="003D6545">
        <w:rPr>
          <w:rFonts w:ascii="Times New Roman" w:hAnsi="Times New Roman" w:cs="Times New Roman"/>
          <w:sz w:val="24"/>
          <w:szCs w:val="24"/>
        </w:rPr>
        <w:t>.</w:t>
      </w:r>
      <w:r w:rsidR="005434C1">
        <w:rPr>
          <w:rFonts w:ascii="Times New Roman" w:hAnsi="Times New Roman" w:cs="Times New Roman"/>
          <w:sz w:val="24"/>
          <w:szCs w:val="24"/>
        </w:rPr>
        <w:t xml:space="preserve"> </w:t>
      </w:r>
      <w:r w:rsidR="003472ED">
        <w:rPr>
          <w:rFonts w:ascii="Times New Roman" w:hAnsi="Times New Roman" w:cs="Times New Roman"/>
          <w:sz w:val="24"/>
          <w:szCs w:val="24"/>
        </w:rPr>
        <w:t xml:space="preserve">  N</w:t>
      </w:r>
      <w:r w:rsidR="005434C1">
        <w:rPr>
          <w:rFonts w:ascii="Times New Roman" w:hAnsi="Times New Roman" w:cs="Times New Roman"/>
          <w:sz w:val="24"/>
          <w:szCs w:val="24"/>
        </w:rPr>
        <w:t>o comments were submitted</w:t>
      </w:r>
      <w:r w:rsidR="003472ED">
        <w:rPr>
          <w:rFonts w:ascii="Times New Roman" w:hAnsi="Times New Roman" w:cs="Times New Roman"/>
          <w:sz w:val="24"/>
          <w:szCs w:val="24"/>
        </w:rPr>
        <w:t xml:space="preserve"> on the burden or cost estimates related to the compliance filing</w:t>
      </w:r>
      <w:r w:rsidR="00E53DBD">
        <w:rPr>
          <w:rFonts w:ascii="Times New Roman" w:hAnsi="Times New Roman" w:cs="Times New Roman"/>
          <w:sz w:val="24"/>
          <w:szCs w:val="24"/>
        </w:rPr>
        <w:t xml:space="preserve"> or other PRA issues</w:t>
      </w:r>
      <w:r w:rsidR="003472ED">
        <w:rPr>
          <w:rFonts w:ascii="Times New Roman" w:hAnsi="Times New Roman" w:cs="Times New Roman"/>
          <w:sz w:val="24"/>
          <w:szCs w:val="24"/>
        </w:rPr>
        <w:t>.  (Comments related to non-PRA items are addressed in the Final Rule.</w:t>
      </w:r>
      <w:r w:rsidR="00E53DBD">
        <w:rPr>
          <w:rFonts w:ascii="Times New Roman" w:hAnsi="Times New Roman" w:cs="Times New Roman"/>
          <w:sz w:val="24"/>
          <w:szCs w:val="24"/>
        </w:rPr>
        <w:t xml:space="preserve">  Note that the hardware and software</w:t>
      </w:r>
      <w:r w:rsidR="003335E1">
        <w:rPr>
          <w:rFonts w:ascii="Times New Roman" w:hAnsi="Times New Roman" w:cs="Times New Roman"/>
          <w:sz w:val="24"/>
          <w:szCs w:val="24"/>
        </w:rPr>
        <w:t xml:space="preserve"> will be </w:t>
      </w:r>
      <w:r w:rsidR="003335E1" w:rsidRPr="003335E1">
        <w:rPr>
          <w:rFonts w:ascii="Times New Roman" w:hAnsi="Times New Roman" w:cs="Times New Roman"/>
          <w:sz w:val="24"/>
          <w:szCs w:val="24"/>
        </w:rPr>
        <w:t>used for company operations and will enable the companies to align se</w:t>
      </w:r>
      <w:r w:rsidR="003335E1">
        <w:rPr>
          <w:rFonts w:ascii="Times New Roman" w:hAnsi="Times New Roman" w:cs="Times New Roman"/>
          <w:sz w:val="24"/>
          <w:szCs w:val="24"/>
        </w:rPr>
        <w:t>ttlement and dispatch intervals;</w:t>
      </w:r>
      <w:r w:rsidR="00E53DBD">
        <w:rPr>
          <w:rFonts w:ascii="Times New Roman" w:hAnsi="Times New Roman" w:cs="Times New Roman"/>
          <w:sz w:val="24"/>
          <w:szCs w:val="24"/>
        </w:rPr>
        <w:t xml:space="preserve"> </w:t>
      </w:r>
      <w:r w:rsidR="003335E1">
        <w:rPr>
          <w:rFonts w:ascii="Times New Roman" w:hAnsi="Times New Roman" w:cs="Times New Roman"/>
          <w:sz w:val="24"/>
          <w:szCs w:val="24"/>
        </w:rPr>
        <w:t xml:space="preserve">these costs </w:t>
      </w:r>
      <w:r w:rsidR="00E53DBD">
        <w:rPr>
          <w:rFonts w:ascii="Times New Roman" w:hAnsi="Times New Roman" w:cs="Times New Roman"/>
          <w:sz w:val="24"/>
          <w:szCs w:val="24"/>
        </w:rPr>
        <w:t>do not affect or contribute to the PRA information collection or other PRA activities.</w:t>
      </w:r>
      <w:r w:rsidR="003335E1" w:rsidRPr="003335E1">
        <w:t xml:space="preserve"> </w:t>
      </w:r>
    </w:p>
    <w:p w14:paraId="44EAE1D8" w14:textId="77777777" w:rsidR="003472ED" w:rsidRDefault="003472ED" w:rsidP="003D6545">
      <w:pPr>
        <w:spacing w:after="0" w:line="240" w:lineRule="auto"/>
        <w:rPr>
          <w:rFonts w:ascii="Times New Roman" w:hAnsi="Times New Roman" w:cs="Times New Roman"/>
          <w:sz w:val="24"/>
          <w:szCs w:val="24"/>
        </w:rPr>
      </w:pPr>
    </w:p>
    <w:p w14:paraId="6FBC9110" w14:textId="067B57FB" w:rsidR="00EB3E6F" w:rsidRPr="003D6545" w:rsidRDefault="003472ED" w:rsidP="003D6545">
      <w:pPr>
        <w:spacing w:after="0" w:line="240" w:lineRule="auto"/>
        <w:rPr>
          <w:rFonts w:ascii="Times New Roman" w:hAnsi="Times New Roman" w:cs="Times New Roman"/>
          <w:sz w:val="24"/>
          <w:szCs w:val="24"/>
        </w:rPr>
      </w:pPr>
      <w:r>
        <w:rPr>
          <w:rFonts w:ascii="Times New Roman" w:hAnsi="Times New Roman" w:cs="Times New Roman"/>
          <w:sz w:val="24"/>
          <w:szCs w:val="24"/>
        </w:rPr>
        <w:t>The Final Rule will also be published in the Federal Register.</w:t>
      </w:r>
    </w:p>
    <w:p w14:paraId="45A1B7C1" w14:textId="77777777" w:rsidR="00286C9B" w:rsidRPr="003D6545" w:rsidRDefault="00286C9B" w:rsidP="003D6545">
      <w:pPr>
        <w:spacing w:after="0" w:line="240" w:lineRule="auto"/>
        <w:rPr>
          <w:rFonts w:ascii="Times New Roman" w:hAnsi="Times New Roman" w:cs="Times New Roman"/>
          <w:sz w:val="24"/>
          <w:szCs w:val="24"/>
        </w:rPr>
      </w:pPr>
    </w:p>
    <w:p w14:paraId="6FBC9111" w14:textId="77777777" w:rsidR="00EB3E6F" w:rsidRPr="003D6545" w:rsidRDefault="00D80FBD"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EXPLAIN ANY PAYMENT OR GIFTS TO RESPONDENTS</w:t>
      </w:r>
    </w:p>
    <w:p w14:paraId="6FBC9112" w14:textId="77777777" w:rsidR="00D80FBD" w:rsidRPr="003D6545" w:rsidRDefault="00D80FBD" w:rsidP="003D6545">
      <w:pPr>
        <w:spacing w:after="0" w:line="240" w:lineRule="auto"/>
        <w:rPr>
          <w:rFonts w:ascii="Times New Roman" w:hAnsi="Times New Roman" w:cs="Times New Roman"/>
          <w:sz w:val="24"/>
          <w:szCs w:val="24"/>
        </w:rPr>
      </w:pPr>
    </w:p>
    <w:p w14:paraId="6FBC9113" w14:textId="594422E3" w:rsidR="00D80FBD" w:rsidRPr="003D6545" w:rsidRDefault="008D310F"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There are no payments or gifts to respondents associated with </w:t>
      </w:r>
      <w:r w:rsidR="00C02766" w:rsidRPr="003D6545">
        <w:rPr>
          <w:rFonts w:ascii="Times New Roman" w:hAnsi="Times New Roman" w:cs="Times New Roman"/>
          <w:sz w:val="24"/>
          <w:szCs w:val="24"/>
        </w:rPr>
        <w:t>th</w:t>
      </w:r>
      <w:r w:rsidR="00C02766">
        <w:rPr>
          <w:rFonts w:ascii="Times New Roman" w:hAnsi="Times New Roman" w:cs="Times New Roman"/>
          <w:sz w:val="24"/>
          <w:szCs w:val="24"/>
        </w:rPr>
        <w:t>is</w:t>
      </w:r>
      <w:r w:rsidR="00C02766" w:rsidRPr="003D6545">
        <w:rPr>
          <w:rFonts w:ascii="Times New Roman" w:hAnsi="Times New Roman" w:cs="Times New Roman"/>
          <w:sz w:val="24"/>
          <w:szCs w:val="24"/>
        </w:rPr>
        <w:t xml:space="preserve"> </w:t>
      </w:r>
      <w:r w:rsidRPr="003D6545">
        <w:rPr>
          <w:rFonts w:ascii="Times New Roman" w:hAnsi="Times New Roman" w:cs="Times New Roman"/>
          <w:sz w:val="24"/>
          <w:szCs w:val="24"/>
        </w:rPr>
        <w:t>collection.</w:t>
      </w:r>
    </w:p>
    <w:p w14:paraId="4D38CAAD" w14:textId="77777777" w:rsidR="008D310F" w:rsidRPr="003D6545" w:rsidRDefault="008D310F" w:rsidP="003D6545">
      <w:pPr>
        <w:spacing w:after="0" w:line="240" w:lineRule="auto"/>
        <w:rPr>
          <w:rFonts w:ascii="Times New Roman" w:hAnsi="Times New Roman" w:cs="Times New Roman"/>
          <w:sz w:val="24"/>
          <w:szCs w:val="24"/>
        </w:rPr>
      </w:pPr>
    </w:p>
    <w:p w14:paraId="6FBC9114" w14:textId="77777777" w:rsidR="00D80FBD" w:rsidRPr="003D6545" w:rsidRDefault="00D80FBD"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DESCRIBE ANY ASSURANCE OF CONFIDENTIALITY PROVIDED TO RESPONDENTS</w:t>
      </w:r>
    </w:p>
    <w:p w14:paraId="6FBC9115" w14:textId="77777777" w:rsidR="00D80FBD" w:rsidRPr="003D6545" w:rsidRDefault="00D80FBD" w:rsidP="003D6545">
      <w:pPr>
        <w:spacing w:after="0" w:line="240" w:lineRule="auto"/>
        <w:rPr>
          <w:rFonts w:ascii="Times New Roman" w:hAnsi="Times New Roman" w:cs="Times New Roman"/>
          <w:sz w:val="24"/>
          <w:szCs w:val="24"/>
        </w:rPr>
      </w:pPr>
    </w:p>
    <w:p w14:paraId="6FBC9116" w14:textId="66296FD0" w:rsidR="00D80FBD" w:rsidRPr="003D6545" w:rsidRDefault="00286C9B"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Data</w:t>
      </w:r>
      <w:r w:rsidR="008D310F" w:rsidRPr="003D6545">
        <w:rPr>
          <w:rFonts w:ascii="Times New Roman" w:hAnsi="Times New Roman" w:cs="Times New Roman"/>
          <w:sz w:val="24"/>
          <w:szCs w:val="24"/>
        </w:rPr>
        <w:t xml:space="preserve">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p>
    <w:p w14:paraId="3EDF89F6" w14:textId="77777777" w:rsidR="008D310F" w:rsidRPr="003D6545" w:rsidRDefault="008D310F" w:rsidP="003D6545">
      <w:pPr>
        <w:spacing w:after="0" w:line="240" w:lineRule="auto"/>
        <w:rPr>
          <w:rFonts w:ascii="Times New Roman" w:hAnsi="Times New Roman" w:cs="Times New Roman"/>
          <w:sz w:val="24"/>
          <w:szCs w:val="24"/>
        </w:rPr>
      </w:pPr>
    </w:p>
    <w:p w14:paraId="6FBC9117" w14:textId="76EBBD4B" w:rsidR="00D80FBD" w:rsidRPr="003D6545" w:rsidRDefault="00D80FBD"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 xml:space="preserve">PROVIDE </w:t>
      </w:r>
      <w:r w:rsidR="004C5E0E" w:rsidRPr="003D6545">
        <w:rPr>
          <w:rFonts w:ascii="Times New Roman" w:hAnsi="Times New Roman" w:cs="Times New Roman"/>
          <w:b/>
          <w:sz w:val="24"/>
          <w:szCs w:val="24"/>
        </w:rPr>
        <w:t xml:space="preserve">ADDITIONAL JUSTIFICATION FOR ANY QUESTIONS OF A SENSITIVE NATURE, SUCH AS SEXUAL BEHAVIOR AND ATTITUDES, </w:t>
      </w:r>
      <w:r w:rsidR="004C5E0E" w:rsidRPr="003D6545">
        <w:rPr>
          <w:rFonts w:ascii="Times New Roman" w:hAnsi="Times New Roman" w:cs="Times New Roman"/>
          <w:b/>
          <w:sz w:val="24"/>
          <w:szCs w:val="24"/>
        </w:rPr>
        <w:lastRenderedPageBreak/>
        <w:t>RELIGIOUS BELIEFS, AND OTHER MATTERS THAT ARE COMMONLY CONSIDERED PRIVATE.</w:t>
      </w:r>
    </w:p>
    <w:p w14:paraId="6FBC9118" w14:textId="77777777" w:rsidR="00D80FBD" w:rsidRPr="003D6545" w:rsidRDefault="00D80FBD" w:rsidP="003D6545">
      <w:pPr>
        <w:spacing w:after="0" w:line="240" w:lineRule="auto"/>
        <w:rPr>
          <w:rFonts w:ascii="Times New Roman" w:hAnsi="Times New Roman" w:cs="Times New Roman"/>
          <w:sz w:val="24"/>
          <w:szCs w:val="24"/>
        </w:rPr>
      </w:pPr>
    </w:p>
    <w:p w14:paraId="6FBC9119" w14:textId="21631E43" w:rsidR="00D80FBD" w:rsidRPr="003D6545" w:rsidRDefault="0074195A"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There are no questions of a sensitive nature in the reporting requirements.</w:t>
      </w:r>
    </w:p>
    <w:p w14:paraId="7BE52902" w14:textId="77777777" w:rsidR="0074195A" w:rsidRPr="003D6545" w:rsidRDefault="0074195A" w:rsidP="003D6545">
      <w:pPr>
        <w:spacing w:after="0" w:line="240" w:lineRule="auto"/>
        <w:rPr>
          <w:rFonts w:ascii="Times New Roman" w:hAnsi="Times New Roman" w:cs="Times New Roman"/>
          <w:sz w:val="24"/>
          <w:szCs w:val="24"/>
        </w:rPr>
      </w:pPr>
    </w:p>
    <w:p w14:paraId="6FBC911A" w14:textId="77777777" w:rsidR="00D80FBD" w:rsidRPr="003D6545" w:rsidRDefault="00D80FBD"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ESTIMATED BURDEN OF COLLECTION OF INFORMATION</w:t>
      </w:r>
    </w:p>
    <w:p w14:paraId="6FBC911B" w14:textId="77777777" w:rsidR="00D80FBD" w:rsidRPr="003D6545" w:rsidRDefault="00D80FBD" w:rsidP="003D6545">
      <w:pPr>
        <w:spacing w:after="0" w:line="240" w:lineRule="auto"/>
        <w:rPr>
          <w:rFonts w:ascii="Times New Roman" w:hAnsi="Times New Roman" w:cs="Times New Roman"/>
          <w:sz w:val="24"/>
          <w:szCs w:val="24"/>
        </w:rPr>
      </w:pPr>
    </w:p>
    <w:p w14:paraId="3512E22E" w14:textId="77777777" w:rsidR="0039018B" w:rsidRPr="0039018B" w:rsidRDefault="0039018B" w:rsidP="000515DF">
      <w:pPr>
        <w:autoSpaceDE w:val="0"/>
        <w:autoSpaceDN w:val="0"/>
        <w:adjustRightInd w:val="0"/>
        <w:spacing w:after="0" w:line="240" w:lineRule="auto"/>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The estimated burden and cost</w:t>
      </w:r>
      <w:r w:rsidRPr="0039018B">
        <w:rPr>
          <w:rFonts w:ascii="Times New Roman" w:eastAsia="Times New Roman" w:hAnsi="Times New Roman" w:cs="Times New Roman"/>
          <w:b/>
          <w:sz w:val="24"/>
          <w:szCs w:val="24"/>
          <w:vertAlign w:val="superscript"/>
        </w:rPr>
        <w:footnoteReference w:id="12"/>
      </w:r>
      <w:r w:rsidRPr="0039018B">
        <w:rPr>
          <w:rFonts w:ascii="Times New Roman" w:eastAsia="Times New Roman" w:hAnsi="Times New Roman" w:cs="Times New Roman"/>
          <w:sz w:val="24"/>
          <w:szCs w:val="24"/>
        </w:rPr>
        <w:t xml:space="preserve">  for the requirements contained in this Final Rule follow.</w:t>
      </w:r>
      <w:r w:rsidRPr="0039018B">
        <w:rPr>
          <w:rFonts w:ascii="Times New Roman" w:eastAsia="Times New Roman" w:hAnsi="Times New Roman" w:cs="Times New Roman"/>
          <w:b/>
          <w:sz w:val="24"/>
          <w:szCs w:val="24"/>
          <w:vertAlign w:val="superscript"/>
        </w:rPr>
        <w:footnoteReference w:id="13"/>
      </w:r>
    </w:p>
    <w:p w14:paraId="7FD23FE7" w14:textId="77777777" w:rsidR="0030149C" w:rsidRPr="003D6545" w:rsidRDefault="0030149C" w:rsidP="000515DF">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9918" w:type="dxa"/>
        <w:tblLayout w:type="fixed"/>
        <w:tblLook w:val="01E0" w:firstRow="1" w:lastRow="1" w:firstColumn="1" w:lastColumn="1" w:noHBand="0" w:noVBand="0"/>
      </w:tblPr>
      <w:tblGrid>
        <w:gridCol w:w="2538"/>
        <w:gridCol w:w="1620"/>
        <w:gridCol w:w="1620"/>
        <w:gridCol w:w="1440"/>
        <w:gridCol w:w="1260"/>
        <w:gridCol w:w="1440"/>
      </w:tblGrid>
      <w:tr w:rsidR="0039018B" w:rsidRPr="0039018B" w14:paraId="318B88E6" w14:textId="77777777" w:rsidTr="004300C0">
        <w:trPr>
          <w:cantSplit/>
          <w:trHeight w:val="2240"/>
          <w:tblHeader/>
        </w:trPr>
        <w:tc>
          <w:tcPr>
            <w:tcW w:w="2538" w:type="dxa"/>
            <w:shd w:val="clear" w:color="auto" w:fill="F2F2F2" w:themeFill="background1" w:themeFillShade="F2"/>
            <w:vAlign w:val="bottom"/>
          </w:tcPr>
          <w:p w14:paraId="73637790" w14:textId="77777777" w:rsidR="0039018B" w:rsidRPr="004300C0"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4300C0">
              <w:rPr>
                <w:rFonts w:ascii="Times New Roman" w:eastAsia="Times New Roman" w:hAnsi="Times New Roman" w:cs="Times New Roman"/>
                <w:b/>
                <w:sz w:val="24"/>
                <w:szCs w:val="24"/>
              </w:rPr>
              <w:lastRenderedPageBreak/>
              <w:t>FERC 516D,</w:t>
            </w:r>
            <w:r w:rsidRPr="004300C0">
              <w:rPr>
                <w:rFonts w:ascii="Times New Roman" w:eastAsia="Times New Roman" w:hAnsi="Times New Roman" w:cs="Times New Roman"/>
                <w:b/>
                <w:sz w:val="24"/>
                <w:szCs w:val="24"/>
                <w:vertAlign w:val="superscript"/>
              </w:rPr>
              <w:footnoteReference w:id="14"/>
            </w:r>
            <w:r w:rsidRPr="004300C0">
              <w:rPr>
                <w:rFonts w:ascii="Times New Roman" w:eastAsia="Times New Roman" w:hAnsi="Times New Roman" w:cs="Times New Roman"/>
                <w:b/>
                <w:sz w:val="24"/>
                <w:szCs w:val="24"/>
              </w:rPr>
              <w:t xml:space="preserve"> as implemented in Final Rule in RM15-24-000)</w:t>
            </w:r>
          </w:p>
        </w:tc>
        <w:tc>
          <w:tcPr>
            <w:tcW w:w="1620" w:type="dxa"/>
            <w:shd w:val="clear" w:color="auto" w:fill="F2F2F2" w:themeFill="background1" w:themeFillShade="F2"/>
            <w:vAlign w:val="bottom"/>
          </w:tcPr>
          <w:p w14:paraId="49EEB9A3" w14:textId="77777777" w:rsidR="0039018B" w:rsidRPr="004300C0"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4300C0">
              <w:rPr>
                <w:rFonts w:ascii="Times New Roman" w:eastAsia="Times New Roman" w:hAnsi="Times New Roman" w:cs="Times New Roman"/>
                <w:b/>
                <w:sz w:val="24"/>
                <w:szCs w:val="24"/>
              </w:rPr>
              <w:t>Number of Respondents</w:t>
            </w:r>
          </w:p>
        </w:tc>
        <w:tc>
          <w:tcPr>
            <w:tcW w:w="1620" w:type="dxa"/>
            <w:shd w:val="clear" w:color="auto" w:fill="F2F2F2" w:themeFill="background1" w:themeFillShade="F2"/>
            <w:vAlign w:val="bottom"/>
          </w:tcPr>
          <w:p w14:paraId="66547276" w14:textId="77777777" w:rsidR="0039018B" w:rsidRPr="004300C0"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4300C0">
              <w:rPr>
                <w:rFonts w:ascii="Times New Roman" w:eastAsia="Times New Roman" w:hAnsi="Times New Roman" w:cs="Times New Roman"/>
                <w:b/>
                <w:sz w:val="24"/>
                <w:szCs w:val="24"/>
              </w:rPr>
              <w:t>Annual Number of Responses per Respondent</w:t>
            </w:r>
          </w:p>
        </w:tc>
        <w:tc>
          <w:tcPr>
            <w:tcW w:w="1440" w:type="dxa"/>
            <w:shd w:val="clear" w:color="auto" w:fill="F2F2F2" w:themeFill="background1" w:themeFillShade="F2"/>
            <w:vAlign w:val="bottom"/>
          </w:tcPr>
          <w:p w14:paraId="50B80750" w14:textId="77777777" w:rsidR="0039018B" w:rsidRPr="004300C0"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4300C0">
              <w:rPr>
                <w:rFonts w:ascii="Times New Roman" w:eastAsia="Times New Roman" w:hAnsi="Times New Roman" w:cs="Times New Roman"/>
                <w:b/>
                <w:sz w:val="24"/>
                <w:szCs w:val="24"/>
              </w:rPr>
              <w:t>Total Number of Responses</w:t>
            </w:r>
          </w:p>
        </w:tc>
        <w:tc>
          <w:tcPr>
            <w:tcW w:w="1260" w:type="dxa"/>
            <w:shd w:val="clear" w:color="auto" w:fill="F2F2F2" w:themeFill="background1" w:themeFillShade="F2"/>
            <w:vAlign w:val="bottom"/>
          </w:tcPr>
          <w:p w14:paraId="3EFD57DD" w14:textId="77777777" w:rsidR="0039018B" w:rsidRPr="004300C0"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4300C0">
              <w:rPr>
                <w:rFonts w:ascii="Times New Roman" w:eastAsia="Times New Roman" w:hAnsi="Times New Roman" w:cs="Times New Roman"/>
                <w:b/>
                <w:sz w:val="24"/>
                <w:szCs w:val="24"/>
              </w:rPr>
              <w:t>Average Burden Hours &amp; Cost per Response</w:t>
            </w:r>
          </w:p>
        </w:tc>
        <w:tc>
          <w:tcPr>
            <w:tcW w:w="1440" w:type="dxa"/>
            <w:shd w:val="clear" w:color="auto" w:fill="F2F2F2" w:themeFill="background1" w:themeFillShade="F2"/>
            <w:vAlign w:val="bottom"/>
          </w:tcPr>
          <w:p w14:paraId="18207DEC" w14:textId="77777777" w:rsidR="0039018B" w:rsidRPr="004300C0"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4300C0">
              <w:rPr>
                <w:rFonts w:ascii="Times New Roman" w:eastAsia="Times New Roman" w:hAnsi="Times New Roman" w:cs="Times New Roman"/>
                <w:b/>
                <w:sz w:val="24"/>
                <w:szCs w:val="24"/>
              </w:rPr>
              <w:t>Annual Burden Hours &amp; Total Annual Cost</w:t>
            </w:r>
          </w:p>
        </w:tc>
      </w:tr>
      <w:tr w:rsidR="0039018B" w:rsidRPr="0039018B" w14:paraId="2E1842C4" w14:textId="77777777" w:rsidTr="00123E32">
        <w:trPr>
          <w:cantSplit/>
          <w:trHeight w:val="530"/>
          <w:tblHeader/>
        </w:trPr>
        <w:tc>
          <w:tcPr>
            <w:tcW w:w="2538" w:type="dxa"/>
            <w:shd w:val="clear" w:color="auto" w:fill="auto"/>
            <w:vAlign w:val="bottom"/>
          </w:tcPr>
          <w:p w14:paraId="510FA1F1" w14:textId="77777777" w:rsidR="0039018B" w:rsidRPr="0039018B"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p>
        </w:tc>
        <w:tc>
          <w:tcPr>
            <w:tcW w:w="1620" w:type="dxa"/>
            <w:shd w:val="clear" w:color="auto" w:fill="auto"/>
            <w:vAlign w:val="bottom"/>
          </w:tcPr>
          <w:p w14:paraId="5FC471D7" w14:textId="2F122FC3" w:rsidR="0039018B" w:rsidRPr="0039018B" w:rsidDel="00A3246D"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9018B">
              <w:rPr>
                <w:rFonts w:ascii="Times New Roman" w:eastAsia="Times New Roman" w:hAnsi="Times New Roman" w:cs="Times New Roman"/>
                <w:b/>
                <w:sz w:val="24"/>
                <w:szCs w:val="24"/>
              </w:rPr>
              <w:t>(1)</w:t>
            </w:r>
          </w:p>
        </w:tc>
        <w:tc>
          <w:tcPr>
            <w:tcW w:w="1620" w:type="dxa"/>
            <w:shd w:val="clear" w:color="auto" w:fill="auto"/>
            <w:vAlign w:val="bottom"/>
          </w:tcPr>
          <w:p w14:paraId="0E503667" w14:textId="67BF11F8" w:rsidR="0039018B" w:rsidRPr="0039018B"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9018B">
              <w:rPr>
                <w:rFonts w:ascii="Times New Roman" w:eastAsia="Times New Roman" w:hAnsi="Times New Roman" w:cs="Times New Roman"/>
                <w:b/>
                <w:sz w:val="24"/>
                <w:szCs w:val="24"/>
              </w:rPr>
              <w:t>(2)</w:t>
            </w:r>
          </w:p>
        </w:tc>
        <w:tc>
          <w:tcPr>
            <w:tcW w:w="1440" w:type="dxa"/>
            <w:vAlign w:val="bottom"/>
          </w:tcPr>
          <w:p w14:paraId="3643B31C" w14:textId="77777777" w:rsidR="0039018B" w:rsidRPr="0039018B"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9018B">
              <w:rPr>
                <w:rFonts w:ascii="Times New Roman" w:eastAsia="Times New Roman" w:hAnsi="Times New Roman" w:cs="Times New Roman"/>
                <w:b/>
                <w:sz w:val="24"/>
                <w:szCs w:val="24"/>
              </w:rPr>
              <w:t>(1)×(2)=(3)</w:t>
            </w:r>
          </w:p>
        </w:tc>
        <w:tc>
          <w:tcPr>
            <w:tcW w:w="1260" w:type="dxa"/>
            <w:shd w:val="clear" w:color="auto" w:fill="auto"/>
            <w:vAlign w:val="bottom"/>
          </w:tcPr>
          <w:p w14:paraId="5E3AFAA8" w14:textId="282157E6" w:rsidR="0039018B" w:rsidRPr="0039018B"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9018B">
              <w:rPr>
                <w:rFonts w:ascii="Times New Roman" w:eastAsia="Times New Roman" w:hAnsi="Times New Roman" w:cs="Times New Roman"/>
                <w:b/>
                <w:sz w:val="24"/>
                <w:szCs w:val="24"/>
              </w:rPr>
              <w:t>(4)</w:t>
            </w:r>
          </w:p>
        </w:tc>
        <w:tc>
          <w:tcPr>
            <w:tcW w:w="1440" w:type="dxa"/>
            <w:shd w:val="clear" w:color="auto" w:fill="auto"/>
            <w:vAlign w:val="bottom"/>
          </w:tcPr>
          <w:p w14:paraId="17AEF5CC" w14:textId="77777777" w:rsidR="0039018B" w:rsidRPr="0039018B" w:rsidRDefault="0039018B" w:rsidP="000515DF">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9018B">
              <w:rPr>
                <w:rFonts w:ascii="Times New Roman" w:eastAsia="Times New Roman" w:hAnsi="Times New Roman" w:cs="Times New Roman"/>
                <w:b/>
                <w:sz w:val="24"/>
                <w:szCs w:val="24"/>
              </w:rPr>
              <w:t>(3)×(4)=(5)</w:t>
            </w:r>
          </w:p>
        </w:tc>
      </w:tr>
      <w:tr w:rsidR="0039018B" w:rsidRPr="0039018B" w14:paraId="514E76E2" w14:textId="77777777" w:rsidTr="00123E32">
        <w:trPr>
          <w:cantSplit/>
          <w:trHeight w:val="576"/>
        </w:trPr>
        <w:tc>
          <w:tcPr>
            <w:tcW w:w="2538" w:type="dxa"/>
            <w:shd w:val="clear" w:color="auto" w:fill="auto"/>
            <w:vAlign w:val="center"/>
          </w:tcPr>
          <w:p w14:paraId="73C620C2" w14:textId="77777777" w:rsidR="0039018B" w:rsidRPr="0039018B" w:rsidRDefault="0039018B" w:rsidP="000515DF">
            <w:pPr>
              <w:widowControl w:val="0"/>
              <w:autoSpaceDE w:val="0"/>
              <w:autoSpaceDN w:val="0"/>
              <w:adjustRightInd w:val="0"/>
              <w:spacing w:after="0" w:line="240" w:lineRule="auto"/>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Tariff filings one-time in Year 1, for RTOs/ISOs that currently align real-time settlement with dispatch intervals</w:t>
            </w:r>
          </w:p>
        </w:tc>
        <w:tc>
          <w:tcPr>
            <w:tcW w:w="1620" w:type="dxa"/>
            <w:shd w:val="clear" w:color="auto" w:fill="auto"/>
            <w:vAlign w:val="bottom"/>
          </w:tcPr>
          <w:p w14:paraId="12E39E3A"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3 RTOs or ISOs</w:t>
            </w:r>
          </w:p>
        </w:tc>
        <w:tc>
          <w:tcPr>
            <w:tcW w:w="1620" w:type="dxa"/>
            <w:shd w:val="clear" w:color="auto" w:fill="auto"/>
            <w:vAlign w:val="bottom"/>
          </w:tcPr>
          <w:p w14:paraId="4139D257"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1</w:t>
            </w:r>
          </w:p>
        </w:tc>
        <w:tc>
          <w:tcPr>
            <w:tcW w:w="1440" w:type="dxa"/>
            <w:vAlign w:val="bottom"/>
          </w:tcPr>
          <w:p w14:paraId="62472114"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3</w:t>
            </w:r>
          </w:p>
        </w:tc>
        <w:tc>
          <w:tcPr>
            <w:tcW w:w="1260" w:type="dxa"/>
            <w:shd w:val="clear" w:color="auto" w:fill="auto"/>
            <w:vAlign w:val="bottom"/>
          </w:tcPr>
          <w:p w14:paraId="5DCCF56C"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80 hrs; $5,840</w:t>
            </w:r>
          </w:p>
        </w:tc>
        <w:tc>
          <w:tcPr>
            <w:tcW w:w="1440" w:type="dxa"/>
            <w:shd w:val="clear" w:color="auto" w:fill="auto"/>
            <w:vAlign w:val="bottom"/>
          </w:tcPr>
          <w:p w14:paraId="1AF0256D"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240 hrs;</w:t>
            </w:r>
          </w:p>
          <w:p w14:paraId="09D87D60"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$17,520</w:t>
            </w:r>
          </w:p>
        </w:tc>
      </w:tr>
      <w:tr w:rsidR="0039018B" w:rsidRPr="0039018B" w14:paraId="3DBDFD5A" w14:textId="77777777" w:rsidTr="00123E32">
        <w:trPr>
          <w:cantSplit/>
          <w:trHeight w:val="576"/>
        </w:trPr>
        <w:tc>
          <w:tcPr>
            <w:tcW w:w="2538" w:type="dxa"/>
            <w:shd w:val="clear" w:color="auto" w:fill="auto"/>
            <w:vAlign w:val="center"/>
          </w:tcPr>
          <w:p w14:paraId="4A339FFB" w14:textId="77777777" w:rsidR="0039018B" w:rsidRPr="0039018B" w:rsidRDefault="0039018B" w:rsidP="000515DF">
            <w:pPr>
              <w:widowControl w:val="0"/>
              <w:autoSpaceDE w:val="0"/>
              <w:autoSpaceDN w:val="0"/>
              <w:adjustRightInd w:val="0"/>
              <w:spacing w:after="0" w:line="240" w:lineRule="auto"/>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 xml:space="preserve">Tariff filings one-time in Year 1, for RTOs/ISOs that </w:t>
            </w:r>
            <w:r w:rsidRPr="0039018B">
              <w:rPr>
                <w:rFonts w:ascii="Times New Roman" w:eastAsia="Times New Roman" w:hAnsi="Times New Roman" w:cs="Times New Roman"/>
                <w:i/>
                <w:sz w:val="24"/>
                <w:szCs w:val="24"/>
              </w:rPr>
              <w:t xml:space="preserve">do not </w:t>
            </w:r>
            <w:r w:rsidRPr="0039018B">
              <w:rPr>
                <w:rFonts w:ascii="Times New Roman" w:eastAsia="Times New Roman" w:hAnsi="Times New Roman" w:cs="Times New Roman"/>
                <w:sz w:val="24"/>
                <w:szCs w:val="24"/>
              </w:rPr>
              <w:t>currently align real-time settlement with dispatch intervals</w:t>
            </w:r>
          </w:p>
        </w:tc>
        <w:tc>
          <w:tcPr>
            <w:tcW w:w="1620" w:type="dxa"/>
            <w:shd w:val="clear" w:color="auto" w:fill="auto"/>
            <w:vAlign w:val="bottom"/>
          </w:tcPr>
          <w:p w14:paraId="398D3EE5"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3 RTOs or ISOs</w:t>
            </w:r>
          </w:p>
        </w:tc>
        <w:tc>
          <w:tcPr>
            <w:tcW w:w="1620" w:type="dxa"/>
            <w:shd w:val="clear" w:color="auto" w:fill="auto"/>
            <w:vAlign w:val="bottom"/>
          </w:tcPr>
          <w:p w14:paraId="7AB2A171"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1</w:t>
            </w:r>
          </w:p>
        </w:tc>
        <w:tc>
          <w:tcPr>
            <w:tcW w:w="1440" w:type="dxa"/>
            <w:vAlign w:val="bottom"/>
          </w:tcPr>
          <w:p w14:paraId="31E86C7B"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3</w:t>
            </w:r>
          </w:p>
        </w:tc>
        <w:tc>
          <w:tcPr>
            <w:tcW w:w="1260" w:type="dxa"/>
            <w:shd w:val="clear" w:color="auto" w:fill="auto"/>
            <w:vAlign w:val="bottom"/>
          </w:tcPr>
          <w:p w14:paraId="3C966B0C"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160 hrs; $11,680</w:t>
            </w:r>
          </w:p>
        </w:tc>
        <w:tc>
          <w:tcPr>
            <w:tcW w:w="1440" w:type="dxa"/>
            <w:shd w:val="clear" w:color="auto" w:fill="auto"/>
            <w:vAlign w:val="bottom"/>
          </w:tcPr>
          <w:p w14:paraId="71958652"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480 hrs;</w:t>
            </w:r>
          </w:p>
          <w:p w14:paraId="104EE543"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$35,040</w:t>
            </w:r>
          </w:p>
        </w:tc>
      </w:tr>
      <w:tr w:rsidR="0039018B" w:rsidRPr="0039018B" w:rsidDel="0099739C" w14:paraId="500D72A5" w14:textId="77777777" w:rsidTr="000515DF">
        <w:trPr>
          <w:cantSplit/>
          <w:trHeight w:val="864"/>
        </w:trPr>
        <w:tc>
          <w:tcPr>
            <w:tcW w:w="2538" w:type="dxa"/>
            <w:shd w:val="clear" w:color="auto" w:fill="auto"/>
            <w:vAlign w:val="bottom"/>
          </w:tcPr>
          <w:p w14:paraId="3CAD4082" w14:textId="77777777" w:rsidR="0039018B" w:rsidRPr="0039018B" w:rsidRDefault="0039018B" w:rsidP="000515DF">
            <w:pPr>
              <w:widowControl w:val="0"/>
              <w:autoSpaceDE w:val="0"/>
              <w:autoSpaceDN w:val="0"/>
              <w:adjustRightInd w:val="0"/>
              <w:spacing w:after="0" w:line="240" w:lineRule="auto"/>
              <w:rPr>
                <w:rFonts w:ascii="Times New Roman" w:eastAsia="Times New Roman" w:hAnsi="Times New Roman" w:cs="Times New Roman"/>
                <w:b/>
                <w:sz w:val="24"/>
                <w:szCs w:val="24"/>
              </w:rPr>
            </w:pPr>
            <w:r w:rsidRPr="0039018B">
              <w:rPr>
                <w:rFonts w:ascii="Times New Roman" w:eastAsia="Times New Roman" w:hAnsi="Times New Roman" w:cs="Times New Roman"/>
                <w:b/>
                <w:sz w:val="24"/>
                <w:szCs w:val="24"/>
              </w:rPr>
              <w:t>TOTAL (one-time in Year 1)</w:t>
            </w:r>
            <w:r w:rsidRPr="0039018B">
              <w:rPr>
                <w:rFonts w:ascii="Times New Roman" w:eastAsia="Times New Roman" w:hAnsi="Times New Roman" w:cs="Times New Roman"/>
                <w:sz w:val="24"/>
                <w:szCs w:val="24"/>
                <w:vertAlign w:val="superscript"/>
              </w:rPr>
              <w:footnoteReference w:id="15"/>
            </w:r>
          </w:p>
        </w:tc>
        <w:tc>
          <w:tcPr>
            <w:tcW w:w="1620" w:type="dxa"/>
            <w:shd w:val="clear" w:color="auto" w:fill="auto"/>
            <w:vAlign w:val="bottom"/>
          </w:tcPr>
          <w:p w14:paraId="5D909AC2"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6</w:t>
            </w:r>
          </w:p>
        </w:tc>
        <w:tc>
          <w:tcPr>
            <w:tcW w:w="1620" w:type="dxa"/>
            <w:shd w:val="clear" w:color="auto" w:fill="F2F2F2" w:themeFill="background1" w:themeFillShade="F2"/>
            <w:vAlign w:val="bottom"/>
          </w:tcPr>
          <w:p w14:paraId="0F8DF506"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1440" w:type="dxa"/>
            <w:vAlign w:val="bottom"/>
          </w:tcPr>
          <w:p w14:paraId="53FD93E9"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6</w:t>
            </w:r>
          </w:p>
        </w:tc>
        <w:tc>
          <w:tcPr>
            <w:tcW w:w="1260" w:type="dxa"/>
            <w:shd w:val="clear" w:color="auto" w:fill="F2F2F2" w:themeFill="background1" w:themeFillShade="F2"/>
            <w:vAlign w:val="bottom"/>
          </w:tcPr>
          <w:p w14:paraId="42203C58"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1440" w:type="dxa"/>
            <w:shd w:val="clear" w:color="auto" w:fill="auto"/>
            <w:vAlign w:val="bottom"/>
          </w:tcPr>
          <w:p w14:paraId="69B7C89E"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 xml:space="preserve">720 hrs.; </w:t>
            </w:r>
          </w:p>
          <w:p w14:paraId="4A984EA2" w14:textId="77777777" w:rsidR="0039018B" w:rsidRPr="0039018B" w:rsidRDefault="0039018B" w:rsidP="000515D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18B">
              <w:rPr>
                <w:rFonts w:ascii="Times New Roman" w:eastAsia="Times New Roman" w:hAnsi="Times New Roman" w:cs="Times New Roman"/>
                <w:sz w:val="24"/>
                <w:szCs w:val="24"/>
              </w:rPr>
              <w:t>$52,560</w:t>
            </w:r>
          </w:p>
        </w:tc>
      </w:tr>
    </w:tbl>
    <w:p w14:paraId="0B5D0BBC" w14:textId="051684A0" w:rsidR="00FA3586" w:rsidRDefault="00FA3586" w:rsidP="003D6545">
      <w:pPr>
        <w:widowControl w:val="0"/>
        <w:autoSpaceDE w:val="0"/>
        <w:autoSpaceDN w:val="0"/>
        <w:adjustRightInd w:val="0"/>
        <w:spacing w:after="120" w:line="240" w:lineRule="auto"/>
        <w:rPr>
          <w:rFonts w:ascii="Times New Roman" w:eastAsia="Times New Roman" w:hAnsi="Times New Roman" w:cs="Times New Roman"/>
          <w:sz w:val="24"/>
          <w:szCs w:val="24"/>
        </w:rPr>
      </w:pPr>
    </w:p>
    <w:p w14:paraId="1E5FFE13" w14:textId="2574D244" w:rsidR="008257B2" w:rsidRPr="003D6545" w:rsidRDefault="008257B2" w:rsidP="008257B2">
      <w:pPr>
        <w:spacing w:after="0" w:line="240" w:lineRule="auto"/>
        <w:rPr>
          <w:rFonts w:ascii="Times New Roman" w:hAnsi="Times New Roman" w:cs="Times New Roman"/>
          <w:sz w:val="24"/>
          <w:szCs w:val="24"/>
        </w:rPr>
      </w:pPr>
      <w:r w:rsidRPr="003F6355">
        <w:rPr>
          <w:rFonts w:ascii="Times New Roman" w:hAnsi="Times New Roman" w:cs="Times New Roman"/>
          <w:sz w:val="24"/>
          <w:szCs w:val="24"/>
        </w:rPr>
        <w:t xml:space="preserve">This Final Rule requires that RTOs/ISOs make compliance tariff filings, etc. in order to conform their tariffs to </w:t>
      </w:r>
      <w:r>
        <w:rPr>
          <w:rFonts w:ascii="Times New Roman" w:hAnsi="Times New Roman" w:cs="Times New Roman"/>
          <w:sz w:val="24"/>
          <w:szCs w:val="24"/>
        </w:rPr>
        <w:t xml:space="preserve">the reforms in the </w:t>
      </w:r>
      <w:r w:rsidRPr="003F6355">
        <w:rPr>
          <w:rFonts w:ascii="Times New Roman" w:hAnsi="Times New Roman" w:cs="Times New Roman"/>
          <w:sz w:val="24"/>
          <w:szCs w:val="24"/>
        </w:rPr>
        <w:t>Final Rule, or to show how they already comply with one or</w:t>
      </w:r>
      <w:r>
        <w:rPr>
          <w:rFonts w:ascii="Times New Roman" w:hAnsi="Times New Roman" w:cs="Times New Roman"/>
          <w:sz w:val="24"/>
          <w:szCs w:val="24"/>
        </w:rPr>
        <w:t xml:space="preserve"> more of the </w:t>
      </w:r>
      <w:r w:rsidRPr="003F6355">
        <w:rPr>
          <w:rFonts w:ascii="Times New Roman" w:hAnsi="Times New Roman" w:cs="Times New Roman"/>
          <w:sz w:val="24"/>
          <w:szCs w:val="24"/>
        </w:rPr>
        <w:t xml:space="preserve">reforms.  </w:t>
      </w:r>
      <w:r w:rsidRPr="003D6545">
        <w:rPr>
          <w:rFonts w:ascii="Times New Roman" w:hAnsi="Times New Roman" w:cs="Times New Roman"/>
          <w:sz w:val="24"/>
          <w:szCs w:val="24"/>
        </w:rPr>
        <w:t xml:space="preserve">FERC requires this information in order to perform its mandated oversight and review responsibilities with respect to electric market-based rates being just and reasonable.  Without this information, the Commission would be unable to meet its statutory responsibility under </w:t>
      </w:r>
      <w:r>
        <w:rPr>
          <w:rFonts w:ascii="Times New Roman" w:hAnsi="Times New Roman" w:cs="Times New Roman"/>
          <w:sz w:val="24"/>
          <w:szCs w:val="24"/>
        </w:rPr>
        <w:t>s</w:t>
      </w:r>
      <w:r w:rsidRPr="003D6545">
        <w:rPr>
          <w:rFonts w:ascii="Times New Roman" w:hAnsi="Times New Roman" w:cs="Times New Roman"/>
          <w:sz w:val="24"/>
          <w:szCs w:val="24"/>
        </w:rPr>
        <w:t xml:space="preserve">ection 205 of the FPA to ensure public utility rates and tariffs are just and reasonable.  </w:t>
      </w:r>
      <w:bookmarkStart w:id="0" w:name="_GoBack"/>
      <w:bookmarkEnd w:id="0"/>
    </w:p>
    <w:p w14:paraId="63A2CF4E" w14:textId="77777777" w:rsidR="008257B2" w:rsidRPr="003D6545" w:rsidRDefault="008257B2" w:rsidP="008257B2">
      <w:pPr>
        <w:spacing w:after="0" w:line="240" w:lineRule="auto"/>
        <w:rPr>
          <w:rFonts w:ascii="Times New Roman" w:hAnsi="Times New Roman" w:cs="Times New Roman"/>
          <w:sz w:val="24"/>
          <w:szCs w:val="24"/>
        </w:rPr>
      </w:pPr>
    </w:p>
    <w:p w14:paraId="77F7CA36" w14:textId="0DB3397F" w:rsidR="008257B2" w:rsidRPr="003D6545" w:rsidRDefault="008257B2" w:rsidP="008257B2">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The following table shows </w:t>
      </w:r>
      <w:r>
        <w:rPr>
          <w:rFonts w:ascii="Times New Roman" w:hAnsi="Times New Roman" w:cs="Times New Roman"/>
          <w:sz w:val="24"/>
          <w:szCs w:val="24"/>
        </w:rPr>
        <w:t>total inventory</w:t>
      </w:r>
      <w:r w:rsidRPr="003D6545">
        <w:rPr>
          <w:rFonts w:ascii="Times New Roman" w:hAnsi="Times New Roman" w:cs="Times New Roman"/>
          <w:sz w:val="24"/>
          <w:szCs w:val="24"/>
        </w:rPr>
        <w:t>.</w:t>
      </w:r>
    </w:p>
    <w:p w14:paraId="78156284" w14:textId="77777777" w:rsidR="008257B2" w:rsidRPr="003D6545" w:rsidRDefault="008257B2" w:rsidP="008257B2">
      <w:pPr>
        <w:spacing w:after="0" w:line="240" w:lineRule="auto"/>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8257B2" w:rsidRPr="003D6545" w14:paraId="57F8C8DE" w14:textId="77777777" w:rsidTr="001A7851">
        <w:trPr>
          <w:trHeight w:val="870"/>
        </w:trPr>
        <w:tc>
          <w:tcPr>
            <w:tcW w:w="2589" w:type="dxa"/>
            <w:shd w:val="clear" w:color="auto" w:fill="D9D9D9"/>
            <w:vAlign w:val="bottom"/>
          </w:tcPr>
          <w:p w14:paraId="6771472E" w14:textId="77777777" w:rsidR="008257B2" w:rsidRPr="003D6545" w:rsidRDefault="008257B2" w:rsidP="001A7851">
            <w:pPr>
              <w:spacing w:after="0" w:line="240" w:lineRule="auto"/>
              <w:rPr>
                <w:rFonts w:ascii="Times New Roman" w:hAnsi="Times New Roman" w:cs="Times New Roman"/>
                <w:b/>
                <w:sz w:val="24"/>
                <w:szCs w:val="24"/>
              </w:rPr>
            </w:pPr>
            <w:r w:rsidRPr="003D6545">
              <w:rPr>
                <w:rFonts w:ascii="Times New Roman" w:hAnsi="Times New Roman" w:cs="Times New Roman"/>
                <w:b/>
                <w:sz w:val="24"/>
                <w:szCs w:val="24"/>
              </w:rPr>
              <w:t>FERC-516</w:t>
            </w:r>
            <w:r>
              <w:rPr>
                <w:rFonts w:ascii="Times New Roman" w:hAnsi="Times New Roman" w:cs="Times New Roman"/>
                <w:b/>
                <w:sz w:val="24"/>
                <w:szCs w:val="24"/>
              </w:rPr>
              <w:t>D</w:t>
            </w:r>
          </w:p>
        </w:tc>
        <w:tc>
          <w:tcPr>
            <w:tcW w:w="1779" w:type="dxa"/>
            <w:shd w:val="clear" w:color="auto" w:fill="D9D9D9"/>
            <w:vAlign w:val="bottom"/>
          </w:tcPr>
          <w:p w14:paraId="7FC498D5" w14:textId="77777777" w:rsidR="008257B2" w:rsidRPr="003D6545" w:rsidRDefault="008257B2" w:rsidP="001A7851">
            <w:pPr>
              <w:spacing w:after="0" w:line="240" w:lineRule="auto"/>
              <w:rPr>
                <w:rFonts w:ascii="Times New Roman" w:hAnsi="Times New Roman" w:cs="Times New Roman"/>
                <w:b/>
                <w:sz w:val="24"/>
                <w:szCs w:val="24"/>
              </w:rPr>
            </w:pPr>
            <w:r w:rsidRPr="003D6545">
              <w:rPr>
                <w:rFonts w:ascii="Times New Roman" w:hAnsi="Times New Roman" w:cs="Times New Roman"/>
                <w:b/>
                <w:sz w:val="24"/>
                <w:szCs w:val="24"/>
              </w:rPr>
              <w:t>Total Request</w:t>
            </w:r>
          </w:p>
        </w:tc>
        <w:tc>
          <w:tcPr>
            <w:tcW w:w="1959" w:type="dxa"/>
            <w:shd w:val="clear" w:color="auto" w:fill="D9D9D9"/>
            <w:vAlign w:val="bottom"/>
          </w:tcPr>
          <w:p w14:paraId="34281D83" w14:textId="77777777" w:rsidR="008257B2" w:rsidRPr="003D6545" w:rsidRDefault="008257B2" w:rsidP="001A7851">
            <w:pPr>
              <w:spacing w:after="0" w:line="240" w:lineRule="auto"/>
              <w:rPr>
                <w:rFonts w:ascii="Times New Roman" w:hAnsi="Times New Roman" w:cs="Times New Roman"/>
                <w:b/>
                <w:sz w:val="24"/>
                <w:szCs w:val="24"/>
              </w:rPr>
            </w:pPr>
            <w:r w:rsidRPr="003D6545">
              <w:rPr>
                <w:rFonts w:ascii="Times New Roman" w:hAnsi="Times New Roman" w:cs="Times New Roman"/>
                <w:b/>
                <w:sz w:val="24"/>
                <w:szCs w:val="24"/>
              </w:rPr>
              <w:t>Previously Approved</w:t>
            </w:r>
          </w:p>
        </w:tc>
        <w:tc>
          <w:tcPr>
            <w:tcW w:w="1683" w:type="dxa"/>
            <w:shd w:val="clear" w:color="auto" w:fill="D9D9D9"/>
            <w:vAlign w:val="bottom"/>
          </w:tcPr>
          <w:p w14:paraId="0201076E" w14:textId="77777777" w:rsidR="008257B2" w:rsidRPr="003D6545" w:rsidRDefault="008257B2" w:rsidP="001A7851">
            <w:pPr>
              <w:spacing w:after="0" w:line="240" w:lineRule="auto"/>
              <w:rPr>
                <w:rFonts w:ascii="Times New Roman" w:hAnsi="Times New Roman" w:cs="Times New Roman"/>
                <w:b/>
                <w:sz w:val="24"/>
                <w:szCs w:val="24"/>
              </w:rPr>
            </w:pPr>
            <w:r w:rsidRPr="003D6545">
              <w:rPr>
                <w:rFonts w:ascii="Times New Roman" w:hAnsi="Times New Roman" w:cs="Times New Roman"/>
                <w:b/>
                <w:sz w:val="24"/>
                <w:szCs w:val="24"/>
              </w:rPr>
              <w:t>Change due to Adjustment in Estimate</w:t>
            </w:r>
          </w:p>
        </w:tc>
        <w:tc>
          <w:tcPr>
            <w:tcW w:w="1357" w:type="dxa"/>
            <w:shd w:val="clear" w:color="auto" w:fill="D9D9D9"/>
            <w:vAlign w:val="bottom"/>
          </w:tcPr>
          <w:p w14:paraId="7C86BC75" w14:textId="77777777" w:rsidR="008257B2" w:rsidRPr="003D6545" w:rsidRDefault="008257B2" w:rsidP="001A7851">
            <w:pPr>
              <w:spacing w:after="0" w:line="240" w:lineRule="auto"/>
              <w:rPr>
                <w:rFonts w:ascii="Times New Roman" w:hAnsi="Times New Roman" w:cs="Times New Roman"/>
                <w:b/>
                <w:sz w:val="24"/>
                <w:szCs w:val="24"/>
              </w:rPr>
            </w:pPr>
            <w:r w:rsidRPr="003D6545">
              <w:rPr>
                <w:rFonts w:ascii="Times New Roman" w:hAnsi="Times New Roman" w:cs="Times New Roman"/>
                <w:b/>
                <w:sz w:val="24"/>
                <w:szCs w:val="24"/>
              </w:rPr>
              <w:t>Change Due to Agency Discretion</w:t>
            </w:r>
          </w:p>
        </w:tc>
      </w:tr>
      <w:tr w:rsidR="008257B2" w:rsidRPr="003D6545" w14:paraId="106DE1F2" w14:textId="77777777" w:rsidTr="001A7851">
        <w:trPr>
          <w:trHeight w:val="591"/>
        </w:trPr>
        <w:tc>
          <w:tcPr>
            <w:tcW w:w="2589" w:type="dxa"/>
          </w:tcPr>
          <w:p w14:paraId="7E3EE0DC" w14:textId="77777777" w:rsidR="008257B2" w:rsidRPr="003D6545" w:rsidRDefault="008257B2" w:rsidP="001A7851">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Annual Number of Responses</w:t>
            </w:r>
          </w:p>
        </w:tc>
        <w:tc>
          <w:tcPr>
            <w:tcW w:w="1779" w:type="dxa"/>
            <w:vAlign w:val="center"/>
          </w:tcPr>
          <w:p w14:paraId="4D454D8F" w14:textId="77777777" w:rsidR="008257B2" w:rsidRPr="003D6545" w:rsidRDefault="008257B2" w:rsidP="001A78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1959" w:type="dxa"/>
            <w:vAlign w:val="center"/>
          </w:tcPr>
          <w:p w14:paraId="76BD47AE" w14:textId="77777777" w:rsidR="008257B2" w:rsidRPr="003D6545" w:rsidRDefault="008257B2" w:rsidP="001A78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5673CB28" w14:textId="77777777" w:rsidR="008257B2" w:rsidRPr="003D6545" w:rsidRDefault="008257B2" w:rsidP="001A7851">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c>
          <w:tcPr>
            <w:tcW w:w="1357" w:type="dxa"/>
            <w:vAlign w:val="center"/>
          </w:tcPr>
          <w:p w14:paraId="33459B91" w14:textId="77777777" w:rsidR="008257B2" w:rsidRPr="003D6545" w:rsidRDefault="008257B2" w:rsidP="001A7851">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+6</w:t>
            </w:r>
          </w:p>
        </w:tc>
      </w:tr>
      <w:tr w:rsidR="008257B2" w:rsidRPr="003D6545" w14:paraId="5A4F7CA2" w14:textId="77777777" w:rsidTr="001A7851">
        <w:trPr>
          <w:trHeight w:val="575"/>
        </w:trPr>
        <w:tc>
          <w:tcPr>
            <w:tcW w:w="2589" w:type="dxa"/>
          </w:tcPr>
          <w:p w14:paraId="6281B357" w14:textId="77777777" w:rsidR="008257B2" w:rsidRPr="003D6545" w:rsidRDefault="008257B2" w:rsidP="001A7851">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Annual Time Burden (Hr</w:t>
            </w:r>
            <w:r>
              <w:rPr>
                <w:rFonts w:ascii="Times New Roman" w:hAnsi="Times New Roman" w:cs="Times New Roman"/>
                <w:sz w:val="24"/>
                <w:szCs w:val="24"/>
              </w:rPr>
              <w:t>.</w:t>
            </w:r>
            <w:r w:rsidRPr="003D6545">
              <w:rPr>
                <w:rFonts w:ascii="Times New Roman" w:hAnsi="Times New Roman" w:cs="Times New Roman"/>
                <w:sz w:val="24"/>
                <w:szCs w:val="24"/>
              </w:rPr>
              <w:t>)</w:t>
            </w:r>
          </w:p>
        </w:tc>
        <w:tc>
          <w:tcPr>
            <w:tcW w:w="1779" w:type="dxa"/>
            <w:vAlign w:val="center"/>
          </w:tcPr>
          <w:p w14:paraId="24C9F3D0" w14:textId="77777777" w:rsidR="008257B2" w:rsidRPr="003D6545" w:rsidRDefault="008257B2" w:rsidP="001A78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720</w:t>
            </w:r>
          </w:p>
        </w:tc>
        <w:tc>
          <w:tcPr>
            <w:tcW w:w="1959" w:type="dxa"/>
            <w:vAlign w:val="center"/>
          </w:tcPr>
          <w:p w14:paraId="729B38EB" w14:textId="77777777" w:rsidR="008257B2" w:rsidRPr="003D6545" w:rsidRDefault="008257B2" w:rsidP="001A78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47E37EB7" w14:textId="77777777" w:rsidR="008257B2" w:rsidRPr="003D6545" w:rsidRDefault="008257B2" w:rsidP="001A7851">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c>
          <w:tcPr>
            <w:tcW w:w="1357" w:type="dxa"/>
            <w:vAlign w:val="center"/>
          </w:tcPr>
          <w:p w14:paraId="7D810952" w14:textId="77777777" w:rsidR="008257B2" w:rsidRPr="003D6545" w:rsidRDefault="008257B2" w:rsidP="001A7851">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w:t>
            </w:r>
            <w:r>
              <w:rPr>
                <w:rFonts w:ascii="Times New Roman" w:hAnsi="Times New Roman" w:cs="Times New Roman"/>
                <w:sz w:val="24"/>
                <w:szCs w:val="24"/>
              </w:rPr>
              <w:t>720</w:t>
            </w:r>
          </w:p>
        </w:tc>
      </w:tr>
      <w:tr w:rsidR="008257B2" w:rsidRPr="003D6545" w14:paraId="19ACFF06" w14:textId="77777777" w:rsidTr="001A7851">
        <w:trPr>
          <w:trHeight w:val="295"/>
        </w:trPr>
        <w:tc>
          <w:tcPr>
            <w:tcW w:w="2589" w:type="dxa"/>
          </w:tcPr>
          <w:p w14:paraId="366D37C8" w14:textId="77777777" w:rsidR="008257B2" w:rsidRPr="003D6545" w:rsidRDefault="008257B2" w:rsidP="001A7851">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Annual Cost Burden ($)</w:t>
            </w:r>
          </w:p>
        </w:tc>
        <w:tc>
          <w:tcPr>
            <w:tcW w:w="1779" w:type="dxa"/>
            <w:vAlign w:val="center"/>
          </w:tcPr>
          <w:p w14:paraId="1701C0D6" w14:textId="77777777" w:rsidR="008257B2" w:rsidRPr="003D6545" w:rsidRDefault="008257B2" w:rsidP="001A7851">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c>
          <w:tcPr>
            <w:tcW w:w="1959" w:type="dxa"/>
            <w:vAlign w:val="center"/>
          </w:tcPr>
          <w:p w14:paraId="394F88AA" w14:textId="77777777" w:rsidR="008257B2" w:rsidRPr="003D6545" w:rsidRDefault="008257B2" w:rsidP="001A7851">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c>
          <w:tcPr>
            <w:tcW w:w="1683" w:type="dxa"/>
            <w:vAlign w:val="center"/>
          </w:tcPr>
          <w:p w14:paraId="3B3AC111" w14:textId="77777777" w:rsidR="008257B2" w:rsidRPr="003D6545" w:rsidRDefault="008257B2" w:rsidP="001A7851">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c>
          <w:tcPr>
            <w:tcW w:w="1357" w:type="dxa"/>
            <w:vAlign w:val="center"/>
          </w:tcPr>
          <w:p w14:paraId="580D84D0" w14:textId="77777777" w:rsidR="008257B2" w:rsidRPr="003D6545" w:rsidRDefault="008257B2" w:rsidP="001A7851">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r>
    </w:tbl>
    <w:p w14:paraId="1CC04C65" w14:textId="77777777" w:rsidR="008257B2" w:rsidRPr="003D6545" w:rsidRDefault="008257B2" w:rsidP="008257B2">
      <w:pPr>
        <w:spacing w:after="0" w:line="240" w:lineRule="auto"/>
        <w:rPr>
          <w:rFonts w:ascii="Times New Roman" w:hAnsi="Times New Roman" w:cs="Times New Roman"/>
          <w:sz w:val="24"/>
          <w:szCs w:val="24"/>
        </w:rPr>
      </w:pPr>
    </w:p>
    <w:p w14:paraId="7EBA3FE0" w14:textId="77777777" w:rsidR="008257B2" w:rsidRDefault="008257B2" w:rsidP="003D6545">
      <w:pPr>
        <w:widowControl w:val="0"/>
        <w:autoSpaceDE w:val="0"/>
        <w:autoSpaceDN w:val="0"/>
        <w:adjustRightInd w:val="0"/>
        <w:spacing w:after="120" w:line="240" w:lineRule="auto"/>
        <w:rPr>
          <w:rFonts w:ascii="Times New Roman" w:eastAsia="Times New Roman" w:hAnsi="Times New Roman" w:cs="Times New Roman"/>
          <w:sz w:val="24"/>
          <w:szCs w:val="24"/>
        </w:rPr>
      </w:pPr>
    </w:p>
    <w:p w14:paraId="4A316E22" w14:textId="77777777" w:rsidR="008257B2" w:rsidRDefault="008257B2" w:rsidP="003D6545">
      <w:pPr>
        <w:widowControl w:val="0"/>
        <w:autoSpaceDE w:val="0"/>
        <w:autoSpaceDN w:val="0"/>
        <w:adjustRightInd w:val="0"/>
        <w:spacing w:after="120" w:line="240" w:lineRule="auto"/>
        <w:rPr>
          <w:rFonts w:ascii="Times New Roman" w:eastAsia="Times New Roman" w:hAnsi="Times New Roman" w:cs="Times New Roman"/>
          <w:sz w:val="24"/>
          <w:szCs w:val="24"/>
        </w:rPr>
      </w:pPr>
    </w:p>
    <w:p w14:paraId="655AEEA2" w14:textId="77777777" w:rsidR="008257B2" w:rsidRPr="003D6545" w:rsidRDefault="008257B2" w:rsidP="003D6545">
      <w:pPr>
        <w:widowControl w:val="0"/>
        <w:autoSpaceDE w:val="0"/>
        <w:autoSpaceDN w:val="0"/>
        <w:adjustRightInd w:val="0"/>
        <w:spacing w:after="120" w:line="240" w:lineRule="auto"/>
        <w:rPr>
          <w:rFonts w:ascii="Times New Roman" w:eastAsia="Times New Roman" w:hAnsi="Times New Roman" w:cs="Times New Roman"/>
          <w:sz w:val="24"/>
          <w:szCs w:val="24"/>
        </w:rPr>
      </w:pPr>
    </w:p>
    <w:p w14:paraId="702BC443" w14:textId="77777777" w:rsidR="000515DF" w:rsidRPr="000515DF" w:rsidRDefault="000515D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ESTIMATE OF THE TOTAL ANNUAL COST BURDEN TO RESPONDENTS</w:t>
      </w:r>
      <w:r w:rsidRPr="003D6545">
        <w:rPr>
          <w:rFonts w:ascii="Times New Roman" w:eastAsia="Times New Roman" w:hAnsi="Times New Roman" w:cs="Times New Roman"/>
          <w:sz w:val="24"/>
          <w:szCs w:val="24"/>
        </w:rPr>
        <w:t xml:space="preserve"> </w:t>
      </w:r>
    </w:p>
    <w:p w14:paraId="7BAB70A3" w14:textId="77777777" w:rsidR="000515DF" w:rsidRDefault="000515DF" w:rsidP="000515DF">
      <w:pPr>
        <w:pStyle w:val="ListParagraph"/>
        <w:spacing w:after="0" w:line="240" w:lineRule="auto"/>
        <w:ind w:left="360"/>
        <w:rPr>
          <w:rFonts w:ascii="Times New Roman" w:eastAsia="Times New Roman" w:hAnsi="Times New Roman" w:cs="Times New Roman"/>
          <w:sz w:val="24"/>
          <w:szCs w:val="24"/>
        </w:rPr>
      </w:pPr>
    </w:p>
    <w:p w14:paraId="6FBC911F" w14:textId="080AD2DA" w:rsidR="00E636D7" w:rsidRPr="003D6545" w:rsidRDefault="0030149C" w:rsidP="000515DF">
      <w:pPr>
        <w:pStyle w:val="ListParagraph"/>
        <w:spacing w:after="0" w:line="240" w:lineRule="auto"/>
        <w:ind w:left="0"/>
        <w:rPr>
          <w:rFonts w:ascii="Times New Roman" w:hAnsi="Times New Roman" w:cs="Times New Roman"/>
          <w:sz w:val="24"/>
          <w:szCs w:val="24"/>
        </w:rPr>
      </w:pPr>
      <w:r w:rsidRPr="003D6545">
        <w:rPr>
          <w:rFonts w:ascii="Times New Roman" w:eastAsia="Times New Roman" w:hAnsi="Times New Roman" w:cs="Times New Roman"/>
          <w:sz w:val="24"/>
          <w:szCs w:val="24"/>
        </w:rPr>
        <w:t xml:space="preserve">The Commission notes that the estimates </w:t>
      </w:r>
      <w:r w:rsidR="005F6B8C" w:rsidRPr="003D6545">
        <w:rPr>
          <w:rFonts w:ascii="Times New Roman" w:eastAsia="Times New Roman" w:hAnsi="Times New Roman" w:cs="Times New Roman"/>
          <w:sz w:val="24"/>
          <w:szCs w:val="24"/>
        </w:rPr>
        <w:t xml:space="preserve">include only the cost related to burden hours </w:t>
      </w:r>
      <w:r w:rsidR="000515DF">
        <w:rPr>
          <w:rFonts w:ascii="Times New Roman" w:eastAsia="Times New Roman" w:hAnsi="Times New Roman" w:cs="Times New Roman"/>
          <w:sz w:val="24"/>
          <w:szCs w:val="24"/>
        </w:rPr>
        <w:t>(</w:t>
      </w:r>
      <w:r w:rsidR="005F6B8C" w:rsidRPr="003D6545">
        <w:rPr>
          <w:rFonts w:ascii="Times New Roman" w:eastAsia="Times New Roman" w:hAnsi="Times New Roman" w:cs="Times New Roman"/>
          <w:sz w:val="24"/>
          <w:szCs w:val="24"/>
        </w:rPr>
        <w:t xml:space="preserve">and </w:t>
      </w:r>
      <w:r w:rsidRPr="003D6545">
        <w:rPr>
          <w:rFonts w:ascii="Times New Roman" w:eastAsia="Times New Roman" w:hAnsi="Times New Roman" w:cs="Times New Roman"/>
          <w:sz w:val="24"/>
          <w:szCs w:val="24"/>
        </w:rPr>
        <w:t>do not include costs for software and hardware</w:t>
      </w:r>
      <w:r w:rsidR="00263EB8">
        <w:rPr>
          <w:rFonts w:ascii="Times New Roman" w:eastAsia="Times New Roman" w:hAnsi="Times New Roman" w:cs="Times New Roman"/>
          <w:sz w:val="24"/>
          <w:szCs w:val="24"/>
        </w:rPr>
        <w:t xml:space="preserve"> </w:t>
      </w:r>
      <w:r w:rsidR="000515DF">
        <w:rPr>
          <w:rFonts w:ascii="Times New Roman" w:eastAsia="Times New Roman" w:hAnsi="Times New Roman" w:cs="Times New Roman"/>
          <w:sz w:val="24"/>
          <w:szCs w:val="24"/>
        </w:rPr>
        <w:t>which</w:t>
      </w:r>
      <w:r w:rsidR="007C2EE6">
        <w:rPr>
          <w:rFonts w:ascii="Times New Roman" w:eastAsia="Times New Roman" w:hAnsi="Times New Roman" w:cs="Times New Roman"/>
          <w:sz w:val="24"/>
          <w:szCs w:val="24"/>
        </w:rPr>
        <w:t xml:space="preserve"> </w:t>
      </w:r>
      <w:r w:rsidR="00263EB8">
        <w:rPr>
          <w:rFonts w:ascii="Times New Roman" w:eastAsia="Times New Roman" w:hAnsi="Times New Roman" w:cs="Times New Roman"/>
          <w:sz w:val="24"/>
          <w:szCs w:val="24"/>
        </w:rPr>
        <w:t>do not relate to the data collection or other PRA</w:t>
      </w:r>
      <w:r w:rsidR="007D0839">
        <w:rPr>
          <w:rFonts w:ascii="Times New Roman" w:eastAsia="Times New Roman" w:hAnsi="Times New Roman" w:cs="Times New Roman"/>
          <w:sz w:val="24"/>
          <w:szCs w:val="24"/>
        </w:rPr>
        <w:t xml:space="preserve">-related </w:t>
      </w:r>
      <w:r w:rsidR="00263EB8">
        <w:rPr>
          <w:rFonts w:ascii="Times New Roman" w:eastAsia="Times New Roman" w:hAnsi="Times New Roman" w:cs="Times New Roman"/>
          <w:sz w:val="24"/>
          <w:szCs w:val="24"/>
        </w:rPr>
        <w:t>items</w:t>
      </w:r>
      <w:r w:rsidR="007D0839" w:rsidRPr="00376ECF">
        <w:rPr>
          <w:rStyle w:val="FootnoteReference"/>
          <w:rFonts w:ascii="Times New Roman" w:eastAsia="Times New Roman" w:hAnsi="Times New Roman" w:cs="Times New Roman"/>
          <w:sz w:val="24"/>
          <w:szCs w:val="24"/>
          <w:vertAlign w:val="superscript"/>
        </w:rPr>
        <w:footnoteReference w:id="16"/>
      </w:r>
      <w:r w:rsidR="000515DF">
        <w:rPr>
          <w:rFonts w:ascii="Times New Roman" w:eastAsia="Times New Roman" w:hAnsi="Times New Roman" w:cs="Times New Roman"/>
          <w:sz w:val="24"/>
          <w:szCs w:val="24"/>
        </w:rPr>
        <w:t xml:space="preserve">). </w:t>
      </w:r>
      <w:r w:rsidR="000515DF">
        <w:rPr>
          <w:rFonts w:ascii="Times New Roman" w:hAnsi="Times New Roman" w:cs="Times New Roman"/>
          <w:b/>
          <w:sz w:val="24"/>
          <w:szCs w:val="24"/>
        </w:rPr>
        <w:t xml:space="preserve"> </w:t>
      </w:r>
      <w:r w:rsidR="00E5742F" w:rsidRPr="007247CA">
        <w:rPr>
          <w:rFonts w:ascii="Times New Roman" w:hAnsi="Times New Roman" w:cs="Times New Roman"/>
          <w:sz w:val="24"/>
          <w:szCs w:val="24"/>
        </w:rPr>
        <w:t xml:space="preserve">The estimated </w:t>
      </w:r>
      <w:r w:rsidR="0074195A" w:rsidRPr="007247CA">
        <w:rPr>
          <w:rFonts w:ascii="Times New Roman" w:hAnsi="Times New Roman" w:cs="Times New Roman"/>
          <w:sz w:val="24"/>
          <w:szCs w:val="24"/>
        </w:rPr>
        <w:t xml:space="preserve">costs in the </w:t>
      </w:r>
      <w:r w:rsidR="007C55D6">
        <w:rPr>
          <w:rFonts w:ascii="Times New Roman" w:hAnsi="Times New Roman" w:cs="Times New Roman"/>
          <w:sz w:val="24"/>
          <w:szCs w:val="24"/>
        </w:rPr>
        <w:t>final</w:t>
      </w:r>
      <w:r w:rsidR="007C55D6" w:rsidRPr="007247CA">
        <w:rPr>
          <w:rFonts w:ascii="Times New Roman" w:hAnsi="Times New Roman" w:cs="Times New Roman"/>
          <w:sz w:val="24"/>
          <w:szCs w:val="24"/>
        </w:rPr>
        <w:t xml:space="preserve"> </w:t>
      </w:r>
      <w:r w:rsidR="0074195A" w:rsidRPr="007247CA">
        <w:rPr>
          <w:rFonts w:ascii="Times New Roman" w:hAnsi="Times New Roman" w:cs="Times New Roman"/>
          <w:sz w:val="24"/>
          <w:szCs w:val="24"/>
        </w:rPr>
        <w:t xml:space="preserve">rule </w:t>
      </w:r>
      <w:r w:rsidR="000515DF">
        <w:rPr>
          <w:rFonts w:ascii="Times New Roman" w:hAnsi="Times New Roman" w:cs="Times New Roman"/>
          <w:sz w:val="24"/>
          <w:szCs w:val="24"/>
        </w:rPr>
        <w:t xml:space="preserve">are </w:t>
      </w:r>
      <w:r w:rsidR="008A5C6B" w:rsidRPr="007247CA">
        <w:rPr>
          <w:rFonts w:ascii="Times New Roman" w:hAnsi="Times New Roman" w:cs="Times New Roman"/>
          <w:sz w:val="24"/>
          <w:szCs w:val="24"/>
        </w:rPr>
        <w:t>addressed in Questions 12 and 15</w:t>
      </w:r>
      <w:r w:rsidR="0074195A" w:rsidRPr="007247CA">
        <w:rPr>
          <w:rFonts w:ascii="Times New Roman" w:hAnsi="Times New Roman" w:cs="Times New Roman"/>
          <w:sz w:val="24"/>
          <w:szCs w:val="24"/>
        </w:rPr>
        <w:t>.</w:t>
      </w:r>
      <w:r w:rsidR="00812EF1" w:rsidRPr="007247CA">
        <w:rPr>
          <w:rFonts w:ascii="Times New Roman" w:hAnsi="Times New Roman" w:cs="Times New Roman"/>
          <w:sz w:val="24"/>
          <w:szCs w:val="24"/>
        </w:rPr>
        <w:t xml:space="preserve">  </w:t>
      </w:r>
    </w:p>
    <w:p w14:paraId="67468362" w14:textId="77777777" w:rsidR="0074195A" w:rsidRPr="003D6545" w:rsidRDefault="0074195A" w:rsidP="003D6545">
      <w:pPr>
        <w:spacing w:after="0" w:line="240" w:lineRule="auto"/>
        <w:rPr>
          <w:rFonts w:ascii="Times New Roman" w:hAnsi="Times New Roman" w:cs="Times New Roman"/>
          <w:sz w:val="24"/>
          <w:szCs w:val="24"/>
        </w:rPr>
      </w:pPr>
    </w:p>
    <w:p w14:paraId="6FBC9120" w14:textId="77777777" w:rsidR="00E636D7" w:rsidRPr="003D6545" w:rsidRDefault="00A276F5"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ESTIMATED ANNUALIZED COST TO FEDERAL GOVERNMENT</w:t>
      </w:r>
    </w:p>
    <w:p w14:paraId="6FBC9122" w14:textId="77777777" w:rsidR="00A276F5" w:rsidRPr="003D6545" w:rsidRDefault="00A276F5" w:rsidP="003D6545">
      <w:pPr>
        <w:spacing w:after="0" w:line="240" w:lineRule="auto"/>
        <w:rPr>
          <w:rFonts w:ascii="Times New Roman" w:hAnsi="Times New Roman" w:cs="Times New Roman"/>
          <w:sz w:val="24"/>
          <w:szCs w:val="24"/>
        </w:rPr>
      </w:pPr>
    </w:p>
    <w:p w14:paraId="6FBC9123" w14:textId="2CDE9B43" w:rsidR="00A276F5" w:rsidRPr="003D6545" w:rsidRDefault="00630A34"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The estimated annualized cost to the Federal Government for </w:t>
      </w:r>
      <w:r w:rsidR="001B3E94" w:rsidRPr="003D6545">
        <w:rPr>
          <w:rFonts w:ascii="Times New Roman" w:hAnsi="Times New Roman" w:cs="Times New Roman"/>
          <w:sz w:val="24"/>
          <w:szCs w:val="24"/>
        </w:rPr>
        <w:t xml:space="preserve">the </w:t>
      </w:r>
      <w:r w:rsidR="007D6B81">
        <w:rPr>
          <w:rFonts w:ascii="Times New Roman" w:hAnsi="Times New Roman" w:cs="Times New Roman"/>
          <w:sz w:val="24"/>
          <w:szCs w:val="24"/>
        </w:rPr>
        <w:t>Final Rule</w:t>
      </w:r>
      <w:r w:rsidR="001B3E94" w:rsidRPr="003D6545">
        <w:rPr>
          <w:rFonts w:ascii="Times New Roman" w:hAnsi="Times New Roman" w:cs="Times New Roman"/>
          <w:sz w:val="24"/>
          <w:szCs w:val="24"/>
        </w:rPr>
        <w:t xml:space="preserve"> in </w:t>
      </w:r>
      <w:r w:rsidR="00563175" w:rsidRPr="003D6545">
        <w:rPr>
          <w:rFonts w:ascii="Times New Roman" w:hAnsi="Times New Roman" w:cs="Times New Roman"/>
          <w:sz w:val="24"/>
          <w:szCs w:val="24"/>
        </w:rPr>
        <w:t>RM15-24</w:t>
      </w:r>
      <w:r w:rsidR="004F0E29">
        <w:rPr>
          <w:rFonts w:ascii="Times New Roman" w:hAnsi="Times New Roman" w:cs="Times New Roman"/>
          <w:sz w:val="24"/>
          <w:szCs w:val="24"/>
        </w:rPr>
        <w:t>-000</w:t>
      </w:r>
      <w:r w:rsidRPr="003D6545">
        <w:rPr>
          <w:rFonts w:ascii="Times New Roman" w:hAnsi="Times New Roman" w:cs="Times New Roman"/>
          <w:sz w:val="24"/>
          <w:szCs w:val="24"/>
        </w:rPr>
        <w:t xml:space="preserve"> follows:</w:t>
      </w:r>
    </w:p>
    <w:p w14:paraId="0898B1A7" w14:textId="77777777" w:rsidR="00630A34" w:rsidRPr="003D6545" w:rsidRDefault="00630A34" w:rsidP="003D6545">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3D6545" w14:paraId="33F1528F" w14:textId="77777777" w:rsidTr="00A80014">
        <w:tc>
          <w:tcPr>
            <w:tcW w:w="3182" w:type="dxa"/>
            <w:tcBorders>
              <w:top w:val="single" w:sz="4" w:space="0" w:color="auto"/>
              <w:left w:val="single" w:sz="4" w:space="0" w:color="auto"/>
              <w:bottom w:val="single" w:sz="4" w:space="0" w:color="auto"/>
              <w:right w:val="single" w:sz="4" w:space="0" w:color="auto"/>
            </w:tcBorders>
            <w:shd w:val="clear" w:color="auto" w:fill="CCCCCC"/>
          </w:tcPr>
          <w:p w14:paraId="3ECE7C38" w14:textId="77777777" w:rsidR="00630A34" w:rsidRPr="003D6545" w:rsidRDefault="00630A34" w:rsidP="003D6545">
            <w:pPr>
              <w:spacing w:after="0" w:line="240" w:lineRule="auto"/>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2804A56" w14:textId="469A661D" w:rsidR="00630A34" w:rsidRPr="003D6545" w:rsidRDefault="00A95E06" w:rsidP="00376E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Annual </w:t>
            </w:r>
            <w:r w:rsidR="00EA5ADE" w:rsidRPr="003D6545">
              <w:rPr>
                <w:rFonts w:ascii="Times New Roman" w:hAnsi="Times New Roman" w:cs="Times New Roman"/>
                <w:b/>
                <w:sz w:val="24"/>
                <w:szCs w:val="24"/>
              </w:rPr>
              <w:t xml:space="preserve">Federal </w:t>
            </w:r>
            <w:r w:rsidR="00630A34" w:rsidRPr="003D6545">
              <w:rPr>
                <w:rFonts w:ascii="Times New Roman" w:hAnsi="Times New Roman" w:cs="Times New Roman"/>
                <w:b/>
                <w:sz w:val="24"/>
                <w:szCs w:val="24"/>
              </w:rPr>
              <w:t xml:space="preserve">Employee </w:t>
            </w:r>
            <w:r w:rsidR="00F95CFB" w:rsidRPr="003D6545">
              <w:rPr>
                <w:rFonts w:ascii="Times New Roman" w:hAnsi="Times New Roman" w:cs="Times New Roman"/>
                <w:b/>
                <w:sz w:val="24"/>
                <w:szCs w:val="24"/>
              </w:rPr>
              <w:t xml:space="preserve"> </w:t>
            </w:r>
            <w:r w:rsidR="00EA5ADE" w:rsidRPr="003D6545">
              <w:rPr>
                <w:rFonts w:ascii="Times New Roman" w:hAnsi="Times New Roman" w:cs="Times New Roman"/>
                <w:b/>
                <w:sz w:val="24"/>
                <w:szCs w:val="24"/>
              </w:rPr>
              <w:t>Hours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EB07E7C" w14:textId="77777777" w:rsidR="00630A34" w:rsidRPr="003D6545" w:rsidRDefault="00630A34" w:rsidP="00376ECF">
            <w:pPr>
              <w:spacing w:after="0" w:line="240" w:lineRule="auto"/>
              <w:jc w:val="center"/>
              <w:rPr>
                <w:rFonts w:ascii="Times New Roman" w:hAnsi="Times New Roman" w:cs="Times New Roman"/>
                <w:b/>
                <w:sz w:val="24"/>
                <w:szCs w:val="24"/>
              </w:rPr>
            </w:pPr>
            <w:r w:rsidRPr="003D6545">
              <w:rPr>
                <w:rFonts w:ascii="Times New Roman" w:hAnsi="Times New Roman" w:cs="Times New Roman"/>
                <w:b/>
                <w:sz w:val="24"/>
                <w:szCs w:val="24"/>
              </w:rPr>
              <w:t>Estimated Annual Federal Cost</w:t>
            </w:r>
          </w:p>
        </w:tc>
      </w:tr>
      <w:tr w:rsidR="00630A34" w:rsidRPr="003D6545" w14:paraId="2B34F725" w14:textId="77777777" w:rsidTr="00983086">
        <w:tc>
          <w:tcPr>
            <w:tcW w:w="3182" w:type="dxa"/>
            <w:tcBorders>
              <w:top w:val="single" w:sz="4" w:space="0" w:color="auto"/>
              <w:left w:val="single" w:sz="4" w:space="0" w:color="auto"/>
              <w:bottom w:val="single" w:sz="4" w:space="0" w:color="auto"/>
              <w:right w:val="single" w:sz="4" w:space="0" w:color="auto"/>
            </w:tcBorders>
            <w:hideMark/>
          </w:tcPr>
          <w:p w14:paraId="4BF906EC" w14:textId="2A563D42" w:rsidR="00630A34" w:rsidRPr="003D6545" w:rsidRDefault="00630A34" w:rsidP="00376ECF">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FERC-516 Analysis and Processing of </w:t>
            </w:r>
            <w:r w:rsidR="007247CA">
              <w:rPr>
                <w:rFonts w:ascii="Times New Roman" w:hAnsi="Times New Roman" w:cs="Times New Roman"/>
                <w:sz w:val="24"/>
                <w:szCs w:val="24"/>
              </w:rPr>
              <w:t>F</w:t>
            </w:r>
            <w:r w:rsidRPr="003D6545">
              <w:rPr>
                <w:rFonts w:ascii="Times New Roman" w:hAnsi="Times New Roman" w:cs="Times New Roman"/>
                <w:sz w:val="24"/>
                <w:szCs w:val="24"/>
              </w:rPr>
              <w:t>ilings</w:t>
            </w:r>
            <w:r w:rsidR="0050608E">
              <w:rPr>
                <w:rFonts w:ascii="Times New Roman" w:hAnsi="Times New Roman" w:cs="Times New Roman"/>
                <w:sz w:val="24"/>
                <w:szCs w:val="24"/>
              </w:rPr>
              <w:t xml:space="preserve"> </w:t>
            </w:r>
            <w:r w:rsidR="003F6355">
              <w:rPr>
                <w:rFonts w:ascii="Times New Roman" w:hAnsi="Times New Roman" w:cs="Times New Roman"/>
                <w:sz w:val="24"/>
                <w:szCs w:val="24"/>
              </w:rPr>
              <w:t xml:space="preserve">due in </w:t>
            </w:r>
            <w:r w:rsidR="0050608E">
              <w:rPr>
                <w:rFonts w:ascii="Times New Roman" w:hAnsi="Times New Roman" w:cs="Times New Roman"/>
                <w:sz w:val="24"/>
                <w:szCs w:val="24"/>
              </w:rPr>
              <w:t>Year 1</w:t>
            </w:r>
            <w:r w:rsidRPr="003D6545">
              <w:rPr>
                <w:rFonts w:ascii="Times New Roman" w:hAnsi="Times New Roman" w:cs="Times New Roman"/>
                <w:sz w:val="24"/>
                <w:szCs w:val="24"/>
                <w:vertAlign w:val="superscript"/>
              </w:rPr>
              <w:footnoteReference w:id="17"/>
            </w:r>
          </w:p>
        </w:tc>
        <w:tc>
          <w:tcPr>
            <w:tcW w:w="3201" w:type="dxa"/>
            <w:tcBorders>
              <w:top w:val="single" w:sz="4" w:space="0" w:color="auto"/>
              <w:left w:val="single" w:sz="4" w:space="0" w:color="auto"/>
              <w:bottom w:val="single" w:sz="4" w:space="0" w:color="auto"/>
              <w:right w:val="single" w:sz="4" w:space="0" w:color="auto"/>
            </w:tcBorders>
            <w:vAlign w:val="bottom"/>
            <w:hideMark/>
          </w:tcPr>
          <w:p w14:paraId="2B8B76CF" w14:textId="39226104" w:rsidR="00630A34" w:rsidRPr="003D6545" w:rsidRDefault="00A95E06" w:rsidP="003D65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400 hrs.</w:t>
            </w:r>
          </w:p>
        </w:tc>
        <w:tc>
          <w:tcPr>
            <w:tcW w:w="2995" w:type="dxa"/>
            <w:tcBorders>
              <w:top w:val="single" w:sz="4" w:space="0" w:color="auto"/>
              <w:left w:val="single" w:sz="4" w:space="0" w:color="auto"/>
              <w:bottom w:val="single" w:sz="4" w:space="0" w:color="auto"/>
              <w:right w:val="single" w:sz="4" w:space="0" w:color="auto"/>
            </w:tcBorders>
            <w:vAlign w:val="bottom"/>
            <w:hideMark/>
          </w:tcPr>
          <w:p w14:paraId="2059AC55" w14:textId="4978E0AC" w:rsidR="00630A34" w:rsidRPr="003D6545" w:rsidRDefault="00A95E06" w:rsidP="00376EC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4C1444">
              <w:rPr>
                <w:rFonts w:ascii="Times New Roman" w:hAnsi="Times New Roman" w:cs="Times New Roman"/>
                <w:sz w:val="24"/>
                <w:szCs w:val="24"/>
              </w:rPr>
              <w:t>29</w:t>
            </w:r>
            <w:r>
              <w:rPr>
                <w:rFonts w:ascii="Times New Roman" w:hAnsi="Times New Roman" w:cs="Times New Roman"/>
                <w:sz w:val="24"/>
                <w:szCs w:val="24"/>
              </w:rPr>
              <w:t>,800</w:t>
            </w:r>
          </w:p>
        </w:tc>
      </w:tr>
      <w:tr w:rsidR="001B3E94" w:rsidRPr="003D6545" w14:paraId="40E49323" w14:textId="77777777" w:rsidTr="00983086">
        <w:tc>
          <w:tcPr>
            <w:tcW w:w="3182" w:type="dxa"/>
            <w:tcBorders>
              <w:top w:val="single" w:sz="4" w:space="0" w:color="auto"/>
              <w:left w:val="single" w:sz="4" w:space="0" w:color="auto"/>
              <w:bottom w:val="single" w:sz="4" w:space="0" w:color="auto"/>
              <w:right w:val="single" w:sz="4" w:space="0" w:color="auto"/>
            </w:tcBorders>
          </w:tcPr>
          <w:p w14:paraId="78EBDF3A" w14:textId="3B399816" w:rsidR="001B3E94" w:rsidRPr="003D6545" w:rsidRDefault="001B3E94"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lastRenderedPageBreak/>
              <w:t>PRA</w:t>
            </w:r>
            <w:r w:rsidRPr="003D6545">
              <w:rPr>
                <w:rFonts w:ascii="Times New Roman" w:hAnsi="Times New Roman" w:cs="Times New Roman"/>
                <w:sz w:val="24"/>
                <w:szCs w:val="24"/>
                <w:vertAlign w:val="superscript"/>
              </w:rPr>
              <w:footnoteReference w:id="18"/>
            </w:r>
            <w:r w:rsidRPr="003D6545">
              <w:rPr>
                <w:rFonts w:ascii="Times New Roman" w:hAnsi="Times New Roman" w:cs="Times New Roman"/>
                <w:sz w:val="24"/>
                <w:szCs w:val="24"/>
              </w:rPr>
              <w:t xml:space="preserve"> Administrative Cost </w:t>
            </w:r>
          </w:p>
        </w:tc>
        <w:tc>
          <w:tcPr>
            <w:tcW w:w="3201" w:type="dxa"/>
            <w:tcBorders>
              <w:top w:val="single" w:sz="4" w:space="0" w:color="auto"/>
              <w:left w:val="single" w:sz="4" w:space="0" w:color="auto"/>
              <w:bottom w:val="single" w:sz="4" w:space="0" w:color="auto"/>
              <w:right w:val="single" w:sz="4" w:space="0" w:color="auto"/>
            </w:tcBorders>
            <w:vAlign w:val="bottom"/>
          </w:tcPr>
          <w:p w14:paraId="0BDFA597" w14:textId="77777777" w:rsidR="001B3E94" w:rsidRPr="003D6545" w:rsidRDefault="001B3E94" w:rsidP="003D6545">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1DE04C87" w14:textId="3D4FFC34" w:rsidR="001B3E94" w:rsidRPr="003D6545" w:rsidRDefault="004C1444" w:rsidP="00376ECF">
            <w:pPr>
              <w:spacing w:after="0" w:line="240" w:lineRule="auto"/>
              <w:jc w:val="right"/>
              <w:rPr>
                <w:rFonts w:ascii="Times New Roman" w:hAnsi="Times New Roman" w:cs="Times New Roman"/>
                <w:sz w:val="24"/>
                <w:szCs w:val="24"/>
              </w:rPr>
            </w:pPr>
            <w:r w:rsidRPr="004C1444">
              <w:rPr>
                <w:rFonts w:ascii="Times New Roman" w:hAnsi="Times New Roman" w:cs="Times New Roman"/>
                <w:sz w:val="24"/>
                <w:szCs w:val="24"/>
              </w:rPr>
              <w:t>$5,481</w:t>
            </w:r>
          </w:p>
        </w:tc>
      </w:tr>
      <w:tr w:rsidR="00D306DD" w:rsidRPr="007247CA" w14:paraId="70B3BF9D" w14:textId="77777777" w:rsidTr="00983086">
        <w:tc>
          <w:tcPr>
            <w:tcW w:w="3182" w:type="dxa"/>
            <w:tcBorders>
              <w:top w:val="single" w:sz="4" w:space="0" w:color="auto"/>
              <w:left w:val="single" w:sz="4" w:space="0" w:color="auto"/>
              <w:bottom w:val="single" w:sz="4" w:space="0" w:color="auto"/>
              <w:right w:val="single" w:sz="4" w:space="0" w:color="auto"/>
            </w:tcBorders>
          </w:tcPr>
          <w:p w14:paraId="5DABFCEA" w14:textId="2C6F0C5A" w:rsidR="00D306DD" w:rsidRPr="003D6545" w:rsidRDefault="001F4604"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Total</w:t>
            </w:r>
          </w:p>
        </w:tc>
        <w:tc>
          <w:tcPr>
            <w:tcW w:w="3201" w:type="dxa"/>
            <w:tcBorders>
              <w:top w:val="single" w:sz="4" w:space="0" w:color="auto"/>
              <w:left w:val="single" w:sz="4" w:space="0" w:color="auto"/>
              <w:bottom w:val="single" w:sz="4" w:space="0" w:color="auto"/>
              <w:right w:val="single" w:sz="4" w:space="0" w:color="auto"/>
            </w:tcBorders>
            <w:vAlign w:val="bottom"/>
          </w:tcPr>
          <w:p w14:paraId="2A127CC5" w14:textId="77777777" w:rsidR="00D306DD" w:rsidRPr="003D6545" w:rsidRDefault="00D306DD" w:rsidP="003D6545">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22494A4A" w14:textId="408B28F0" w:rsidR="00D306DD" w:rsidRPr="007247CA" w:rsidRDefault="0050608E" w:rsidP="00376ECF">
            <w:pPr>
              <w:spacing w:after="0" w:line="240" w:lineRule="auto"/>
              <w:jc w:val="right"/>
              <w:rPr>
                <w:rFonts w:ascii="Times New Roman" w:hAnsi="Times New Roman" w:cs="Times New Roman"/>
                <w:sz w:val="24"/>
                <w:szCs w:val="24"/>
              </w:rPr>
            </w:pPr>
            <w:r w:rsidRPr="007247CA">
              <w:rPr>
                <w:rFonts w:ascii="Times New Roman" w:hAnsi="Times New Roman" w:cs="Times New Roman"/>
                <w:sz w:val="24"/>
                <w:szCs w:val="24"/>
              </w:rPr>
              <w:t>$</w:t>
            </w:r>
            <w:r w:rsidR="003F6355">
              <w:rPr>
                <w:rFonts w:ascii="Times New Roman" w:hAnsi="Times New Roman" w:cs="Times New Roman"/>
                <w:sz w:val="24"/>
                <w:szCs w:val="24"/>
              </w:rPr>
              <w:t>35,281</w:t>
            </w:r>
          </w:p>
        </w:tc>
      </w:tr>
    </w:tbl>
    <w:p w14:paraId="64E41800" w14:textId="77777777" w:rsidR="00630A34" w:rsidRPr="003D6545" w:rsidRDefault="00630A34" w:rsidP="003D6545">
      <w:pPr>
        <w:spacing w:after="0" w:line="240" w:lineRule="auto"/>
        <w:rPr>
          <w:rFonts w:ascii="Times New Roman" w:hAnsi="Times New Roman" w:cs="Times New Roman"/>
          <w:sz w:val="24"/>
          <w:szCs w:val="24"/>
        </w:rPr>
      </w:pPr>
    </w:p>
    <w:p w14:paraId="42D17F53" w14:textId="4556EAB5" w:rsidR="00630A34" w:rsidRPr="003D6545" w:rsidRDefault="006B437C"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The Commission bases its </w:t>
      </w:r>
      <w:r w:rsidR="000F2D0B">
        <w:rPr>
          <w:rFonts w:ascii="Times New Roman" w:hAnsi="Times New Roman" w:cs="Times New Roman"/>
          <w:sz w:val="24"/>
          <w:szCs w:val="24"/>
        </w:rPr>
        <w:t xml:space="preserve">cost </w:t>
      </w:r>
      <w:r w:rsidRPr="003D6545">
        <w:rPr>
          <w:rFonts w:ascii="Times New Roman" w:hAnsi="Times New Roman" w:cs="Times New Roman"/>
          <w:sz w:val="24"/>
          <w:szCs w:val="24"/>
        </w:rPr>
        <w:t xml:space="preserve">estimate of the </w:t>
      </w:r>
      <w:r w:rsidR="004C001C">
        <w:rPr>
          <w:rFonts w:ascii="Times New Roman" w:hAnsi="Times New Roman" w:cs="Times New Roman"/>
          <w:sz w:val="24"/>
          <w:szCs w:val="24"/>
        </w:rPr>
        <w:t>“</w:t>
      </w:r>
      <w:r w:rsidRPr="003D6545">
        <w:rPr>
          <w:rFonts w:ascii="Times New Roman" w:hAnsi="Times New Roman" w:cs="Times New Roman"/>
          <w:sz w:val="24"/>
          <w:szCs w:val="24"/>
        </w:rPr>
        <w:t xml:space="preserve">Analysis and Processing of </w:t>
      </w:r>
      <w:r w:rsidR="007247CA">
        <w:rPr>
          <w:rFonts w:ascii="Times New Roman" w:hAnsi="Times New Roman" w:cs="Times New Roman"/>
          <w:sz w:val="24"/>
          <w:szCs w:val="24"/>
        </w:rPr>
        <w:t>F</w:t>
      </w:r>
      <w:r w:rsidRPr="003D6545">
        <w:rPr>
          <w:rFonts w:ascii="Times New Roman" w:hAnsi="Times New Roman" w:cs="Times New Roman"/>
          <w:sz w:val="24"/>
          <w:szCs w:val="24"/>
        </w:rPr>
        <w:t>ilings</w:t>
      </w:r>
      <w:r w:rsidR="004C001C">
        <w:rPr>
          <w:rFonts w:ascii="Times New Roman" w:hAnsi="Times New Roman" w:cs="Times New Roman"/>
          <w:sz w:val="24"/>
          <w:szCs w:val="24"/>
        </w:rPr>
        <w:t>”</w:t>
      </w:r>
      <w:r w:rsidR="000F2D0B">
        <w:rPr>
          <w:rFonts w:ascii="Times New Roman" w:hAnsi="Times New Roman" w:cs="Times New Roman"/>
          <w:sz w:val="24"/>
          <w:szCs w:val="24"/>
        </w:rPr>
        <w:t xml:space="preserve"> for</w:t>
      </w:r>
      <w:r w:rsidRPr="003D6545">
        <w:rPr>
          <w:rFonts w:ascii="Times New Roman" w:hAnsi="Times New Roman" w:cs="Times New Roman"/>
          <w:sz w:val="24"/>
          <w:szCs w:val="24"/>
        </w:rPr>
        <w:t xml:space="preserve"> the Federal Government on salaries and benefits for professional and clerical support.  This estimated cost represents staff analysis, decision making, and review of any actual filings made in response to the information collection.  </w:t>
      </w:r>
    </w:p>
    <w:p w14:paraId="35ABC53E" w14:textId="77777777" w:rsidR="006B437C" w:rsidRPr="003D6545" w:rsidRDefault="006B437C" w:rsidP="003D6545">
      <w:pPr>
        <w:spacing w:after="0" w:line="240" w:lineRule="auto"/>
        <w:rPr>
          <w:rFonts w:ascii="Times New Roman" w:hAnsi="Times New Roman" w:cs="Times New Roman"/>
          <w:sz w:val="24"/>
          <w:szCs w:val="24"/>
        </w:rPr>
      </w:pPr>
    </w:p>
    <w:p w14:paraId="6FBC9124" w14:textId="77777777" w:rsidR="00A276F5" w:rsidRPr="003D6545" w:rsidRDefault="00A276F5"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REASONS FOR CHANGES IN BURDEN INCLUDING THE NEED FOR ANY INCREASE</w:t>
      </w:r>
    </w:p>
    <w:p w14:paraId="611B0F04" w14:textId="77777777" w:rsidR="003316E0" w:rsidRPr="003D6545" w:rsidRDefault="003316E0" w:rsidP="003D6545">
      <w:pPr>
        <w:spacing w:after="0" w:line="240" w:lineRule="auto"/>
        <w:rPr>
          <w:rFonts w:ascii="Times New Roman" w:hAnsi="Times New Roman" w:cs="Times New Roman"/>
          <w:sz w:val="24"/>
          <w:szCs w:val="24"/>
        </w:rPr>
      </w:pPr>
    </w:p>
    <w:p w14:paraId="62BB84A6" w14:textId="07257FEB" w:rsidR="003F6355" w:rsidRDefault="003F6355" w:rsidP="003D654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FERC-516D.  </w:t>
      </w:r>
      <w:r w:rsidRPr="00376ECF">
        <w:rPr>
          <w:rFonts w:ascii="Times New Roman" w:hAnsi="Times New Roman" w:cs="Times New Roman"/>
          <w:sz w:val="24"/>
          <w:szCs w:val="24"/>
        </w:rPr>
        <w:t xml:space="preserve">This collection is a </w:t>
      </w:r>
      <w:r>
        <w:rPr>
          <w:rFonts w:ascii="Times New Roman" w:hAnsi="Times New Roman" w:cs="Times New Roman"/>
          <w:sz w:val="24"/>
          <w:szCs w:val="24"/>
        </w:rPr>
        <w:t xml:space="preserve">new and </w:t>
      </w:r>
      <w:r w:rsidRPr="00376ECF">
        <w:rPr>
          <w:rFonts w:ascii="Times New Roman" w:hAnsi="Times New Roman" w:cs="Times New Roman"/>
          <w:sz w:val="24"/>
          <w:szCs w:val="24"/>
        </w:rPr>
        <w:t>temporary ‘placeholder’ collection number.</w:t>
      </w:r>
      <w:r>
        <w:rPr>
          <w:rFonts w:ascii="Times New Roman" w:hAnsi="Times New Roman" w:cs="Times New Roman"/>
          <w:sz w:val="24"/>
          <w:szCs w:val="24"/>
        </w:rPr>
        <w:t xml:space="preserve">  (As stated earlier, long-term</w:t>
      </w:r>
      <w:r w:rsidR="000F2D0B">
        <w:rPr>
          <w:rFonts w:ascii="Times New Roman" w:hAnsi="Times New Roman" w:cs="Times New Roman"/>
          <w:sz w:val="24"/>
          <w:szCs w:val="24"/>
        </w:rPr>
        <w:t>,</w:t>
      </w:r>
      <w:r>
        <w:rPr>
          <w:rFonts w:ascii="Times New Roman" w:hAnsi="Times New Roman" w:cs="Times New Roman"/>
          <w:sz w:val="24"/>
          <w:szCs w:val="24"/>
        </w:rPr>
        <w:t xml:space="preserve"> the burden and requirements will be moved to FERC-516.)</w:t>
      </w:r>
      <w:r w:rsidR="008257B2">
        <w:rPr>
          <w:rFonts w:ascii="Times New Roman" w:hAnsi="Times New Roman" w:cs="Times New Roman"/>
          <w:sz w:val="24"/>
          <w:szCs w:val="24"/>
        </w:rPr>
        <w:t xml:space="preserve">  Because this is a new placeholder collection number, all of the burden indicated in #12 above is new.</w:t>
      </w:r>
    </w:p>
    <w:p w14:paraId="6A017624" w14:textId="665D6D3B" w:rsidR="003F6355" w:rsidRDefault="003F6355" w:rsidP="003D6545">
      <w:pPr>
        <w:spacing w:after="0" w:line="240" w:lineRule="auto"/>
        <w:rPr>
          <w:rFonts w:ascii="Times New Roman" w:hAnsi="Times New Roman" w:cs="Times New Roman"/>
          <w:sz w:val="24"/>
          <w:szCs w:val="24"/>
        </w:rPr>
      </w:pPr>
    </w:p>
    <w:p w14:paraId="6FBC9128" w14:textId="77777777" w:rsidR="00A276F5" w:rsidRPr="003D6545" w:rsidRDefault="00414F32"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TIME SCHEDULE FOR PUBLICATION OF DATA</w:t>
      </w:r>
    </w:p>
    <w:p w14:paraId="6FBC9129" w14:textId="77777777" w:rsidR="00414F32" w:rsidRPr="003D6545" w:rsidRDefault="00414F32" w:rsidP="003D6545">
      <w:pPr>
        <w:spacing w:after="0" w:line="240" w:lineRule="auto"/>
        <w:rPr>
          <w:rFonts w:ascii="Times New Roman" w:hAnsi="Times New Roman" w:cs="Times New Roman"/>
          <w:sz w:val="24"/>
          <w:szCs w:val="24"/>
        </w:rPr>
      </w:pPr>
    </w:p>
    <w:p w14:paraId="38C99BDC" w14:textId="0CD6D7E3" w:rsidR="003515F8" w:rsidRPr="003D6545" w:rsidRDefault="00197A36" w:rsidP="003D6545">
      <w:pPr>
        <w:spacing w:after="0" w:line="240" w:lineRule="auto"/>
        <w:rPr>
          <w:rFonts w:ascii="Times New Roman" w:hAnsi="Times New Roman" w:cs="Times New Roman"/>
          <w:color w:val="92D050"/>
          <w:sz w:val="24"/>
          <w:szCs w:val="24"/>
        </w:rPr>
      </w:pPr>
      <w:r w:rsidRPr="003D6545">
        <w:rPr>
          <w:rFonts w:ascii="Times New Roman" w:hAnsi="Times New Roman" w:cs="Times New Roman"/>
          <w:sz w:val="24"/>
          <w:szCs w:val="24"/>
        </w:rPr>
        <w:t xml:space="preserve">FERC does not publish any </w:t>
      </w:r>
      <w:r w:rsidR="00355F8B">
        <w:rPr>
          <w:rFonts w:ascii="Times New Roman" w:hAnsi="Times New Roman" w:cs="Times New Roman"/>
          <w:sz w:val="24"/>
          <w:szCs w:val="24"/>
        </w:rPr>
        <w:t>the</w:t>
      </w:r>
      <w:r w:rsidR="00355F8B" w:rsidRPr="003D6545">
        <w:rPr>
          <w:rFonts w:ascii="Times New Roman" w:hAnsi="Times New Roman" w:cs="Times New Roman"/>
          <w:sz w:val="24"/>
          <w:szCs w:val="24"/>
        </w:rPr>
        <w:t xml:space="preserve"> </w:t>
      </w:r>
      <w:r w:rsidRPr="003D6545">
        <w:rPr>
          <w:rFonts w:ascii="Times New Roman" w:hAnsi="Times New Roman" w:cs="Times New Roman"/>
          <w:sz w:val="24"/>
          <w:szCs w:val="24"/>
        </w:rPr>
        <w:t>data associated with th</w:t>
      </w:r>
      <w:r w:rsidR="00682F33" w:rsidRPr="003D6545">
        <w:rPr>
          <w:rFonts w:ascii="Times New Roman" w:hAnsi="Times New Roman" w:cs="Times New Roman"/>
          <w:sz w:val="24"/>
          <w:szCs w:val="24"/>
        </w:rPr>
        <w:t>i</w:t>
      </w:r>
      <w:r w:rsidRPr="003D6545">
        <w:rPr>
          <w:rFonts w:ascii="Times New Roman" w:hAnsi="Times New Roman" w:cs="Times New Roman"/>
          <w:sz w:val="24"/>
          <w:szCs w:val="24"/>
        </w:rPr>
        <w:t>s collection.</w:t>
      </w:r>
      <w:r w:rsidR="003515F8" w:rsidRPr="003D6545">
        <w:rPr>
          <w:rFonts w:ascii="Times New Roman" w:hAnsi="Times New Roman" w:cs="Times New Roman"/>
          <w:sz w:val="24"/>
          <w:szCs w:val="24"/>
        </w:rPr>
        <w:t xml:space="preserve"> </w:t>
      </w:r>
      <w:r w:rsidR="00355F8B">
        <w:rPr>
          <w:rFonts w:ascii="Times New Roman" w:hAnsi="Times New Roman" w:cs="Times New Roman"/>
          <w:sz w:val="24"/>
          <w:szCs w:val="24"/>
        </w:rPr>
        <w:t xml:space="preserve"> The public filings are available on ferc.gov.</w:t>
      </w:r>
    </w:p>
    <w:p w14:paraId="6FBC912A" w14:textId="5A48E016" w:rsidR="00414F32" w:rsidRPr="003D6545" w:rsidRDefault="00414F32" w:rsidP="003D6545">
      <w:pPr>
        <w:spacing w:after="0" w:line="240" w:lineRule="auto"/>
        <w:rPr>
          <w:rFonts w:ascii="Times New Roman" w:hAnsi="Times New Roman" w:cs="Times New Roman"/>
          <w:sz w:val="24"/>
          <w:szCs w:val="24"/>
        </w:rPr>
      </w:pPr>
    </w:p>
    <w:p w14:paraId="6FBC912B" w14:textId="77777777" w:rsidR="00414F32" w:rsidRPr="003D6545" w:rsidRDefault="00414F32"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DISPLAY OF EXPIRATION DATE</w:t>
      </w:r>
    </w:p>
    <w:p w14:paraId="136EBB9A" w14:textId="77777777" w:rsidR="00F50384" w:rsidRPr="003D6545" w:rsidRDefault="00F50384" w:rsidP="003D6545">
      <w:pPr>
        <w:spacing w:after="0" w:line="240" w:lineRule="auto"/>
        <w:rPr>
          <w:rFonts w:ascii="Times New Roman" w:hAnsi="Times New Roman" w:cs="Times New Roman"/>
          <w:sz w:val="24"/>
          <w:szCs w:val="24"/>
        </w:rPr>
      </w:pPr>
    </w:p>
    <w:p w14:paraId="623C5206" w14:textId="78B1252B" w:rsidR="00F50384" w:rsidRPr="003D6545" w:rsidRDefault="00F50384"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 clearance information and expiration date</w:t>
      </w:r>
      <w:r w:rsidR="001D5974" w:rsidRPr="003D6545">
        <w:rPr>
          <w:rFonts w:ascii="Times New Roman" w:hAnsi="Times New Roman" w:cs="Times New Roman"/>
          <w:sz w:val="24"/>
          <w:szCs w:val="24"/>
        </w:rPr>
        <w:t>s</w:t>
      </w:r>
      <w:r w:rsidRPr="003D6545">
        <w:rPr>
          <w:rFonts w:ascii="Times New Roman" w:hAnsi="Times New Roman" w:cs="Times New Roman"/>
          <w:sz w:val="24"/>
          <w:szCs w:val="24"/>
        </w:rPr>
        <w:t xml:space="preserve"> are available at </w:t>
      </w:r>
      <w:hyperlink r:id="rId13" w:history="1">
        <w:r w:rsidRPr="003D6545">
          <w:rPr>
            <w:rStyle w:val="Hyperlink"/>
            <w:rFonts w:ascii="Times New Roman" w:hAnsi="Times New Roman" w:cs="Times New Roman"/>
            <w:sz w:val="24"/>
            <w:szCs w:val="24"/>
          </w:rPr>
          <w:t>http://www.ferc.gov/docs-filing/info-collections.asp</w:t>
        </w:r>
      </w:hyperlink>
      <w:r w:rsidRPr="003D6545">
        <w:rPr>
          <w:rFonts w:ascii="Times New Roman" w:hAnsi="Times New Roman" w:cs="Times New Roman"/>
          <w:sz w:val="24"/>
          <w:szCs w:val="24"/>
        </w:rPr>
        <w:t xml:space="preserve">. </w:t>
      </w:r>
    </w:p>
    <w:p w14:paraId="1340FB24" w14:textId="77777777" w:rsidR="00197A36" w:rsidRPr="003D6545" w:rsidRDefault="00197A36" w:rsidP="003D6545">
      <w:pPr>
        <w:spacing w:after="0" w:line="240" w:lineRule="auto"/>
        <w:rPr>
          <w:rFonts w:ascii="Times New Roman" w:hAnsi="Times New Roman" w:cs="Times New Roman"/>
          <w:sz w:val="24"/>
          <w:szCs w:val="24"/>
        </w:rPr>
      </w:pPr>
    </w:p>
    <w:p w14:paraId="6FBC912E" w14:textId="77777777" w:rsidR="00414F32" w:rsidRPr="003D6545" w:rsidRDefault="00414F32"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EXCEPTIONS TO THE CERTIFICATION STATEMENT</w:t>
      </w:r>
    </w:p>
    <w:p w14:paraId="3EBB5059" w14:textId="77777777" w:rsidR="000E34F4" w:rsidRPr="003D6545" w:rsidRDefault="000E34F4" w:rsidP="003D6545">
      <w:pPr>
        <w:spacing w:after="0" w:line="240" w:lineRule="auto"/>
        <w:rPr>
          <w:rFonts w:ascii="Times New Roman" w:hAnsi="Times New Roman" w:cs="Times New Roman"/>
          <w:b/>
          <w:sz w:val="24"/>
          <w:szCs w:val="24"/>
        </w:rPr>
      </w:pPr>
    </w:p>
    <w:p w14:paraId="24634F2E" w14:textId="74D5EF46" w:rsidR="00F1100F" w:rsidRPr="003D6545" w:rsidRDefault="00EB35C2"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There are no exceptions.</w:t>
      </w:r>
    </w:p>
    <w:p w14:paraId="6FBC9131" w14:textId="6FCCF5B5" w:rsidR="00414F32" w:rsidRPr="003D6545" w:rsidRDefault="00414F32" w:rsidP="003D6545">
      <w:pPr>
        <w:spacing w:after="0" w:line="240" w:lineRule="auto"/>
        <w:rPr>
          <w:rFonts w:ascii="Times New Roman" w:hAnsi="Times New Roman" w:cs="Times New Roman"/>
          <w:sz w:val="24"/>
          <w:szCs w:val="24"/>
        </w:rPr>
      </w:pPr>
    </w:p>
    <w:sectPr w:rsidR="00414F32" w:rsidRPr="003D654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54B93" w14:textId="77777777" w:rsidR="00256AB3" w:rsidRDefault="00256AB3" w:rsidP="00FD66F1">
      <w:pPr>
        <w:spacing w:after="0" w:line="240" w:lineRule="auto"/>
      </w:pPr>
      <w:r>
        <w:separator/>
      </w:r>
    </w:p>
  </w:endnote>
  <w:endnote w:type="continuationSeparator" w:id="0">
    <w:p w14:paraId="02A8F03B" w14:textId="77777777" w:rsidR="00256AB3" w:rsidRDefault="00256AB3" w:rsidP="00FD66F1">
      <w:pPr>
        <w:spacing w:after="0" w:line="240" w:lineRule="auto"/>
      </w:pPr>
      <w:r>
        <w:continuationSeparator/>
      </w:r>
    </w:p>
  </w:endnote>
  <w:endnote w:type="continuationNotice" w:id="1">
    <w:p w14:paraId="045BEDEF" w14:textId="77777777" w:rsidR="00256AB3" w:rsidRDefault="00256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noProof/>
      </w:rPr>
    </w:sdtEndPr>
    <w:sdtContent>
      <w:p w14:paraId="6FBC913A" w14:textId="77777777" w:rsidR="00DB1B57" w:rsidRDefault="00DB1B57">
        <w:pPr>
          <w:pStyle w:val="Footer"/>
          <w:jc w:val="right"/>
        </w:pPr>
        <w:r>
          <w:fldChar w:fldCharType="begin"/>
        </w:r>
        <w:r>
          <w:instrText xml:space="preserve"> PAGE   \* MERGEFORMAT </w:instrText>
        </w:r>
        <w:r>
          <w:fldChar w:fldCharType="separate"/>
        </w:r>
        <w:r w:rsidR="00B14675">
          <w:rPr>
            <w:noProof/>
          </w:rPr>
          <w:t>1</w:t>
        </w:r>
        <w:r>
          <w:rPr>
            <w:noProof/>
          </w:rPr>
          <w:fldChar w:fldCharType="end"/>
        </w:r>
      </w:p>
    </w:sdtContent>
  </w:sdt>
  <w:p w14:paraId="6FBC913B" w14:textId="77777777" w:rsidR="00DB1B57" w:rsidRDefault="00DB1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62132" w14:textId="77777777" w:rsidR="00256AB3" w:rsidRDefault="00256AB3" w:rsidP="00FD66F1">
      <w:pPr>
        <w:spacing w:after="0" w:line="240" w:lineRule="auto"/>
      </w:pPr>
      <w:r>
        <w:separator/>
      </w:r>
    </w:p>
  </w:footnote>
  <w:footnote w:type="continuationSeparator" w:id="0">
    <w:p w14:paraId="24873B7F" w14:textId="77777777" w:rsidR="00256AB3" w:rsidRDefault="00256AB3" w:rsidP="00FD66F1">
      <w:pPr>
        <w:spacing w:after="0" w:line="240" w:lineRule="auto"/>
      </w:pPr>
      <w:r>
        <w:continuationSeparator/>
      </w:r>
    </w:p>
  </w:footnote>
  <w:footnote w:type="continuationNotice" w:id="1">
    <w:p w14:paraId="3554B8C5" w14:textId="77777777" w:rsidR="00256AB3" w:rsidRDefault="00256AB3">
      <w:pPr>
        <w:spacing w:after="0" w:line="240" w:lineRule="auto"/>
      </w:pPr>
    </w:p>
  </w:footnote>
  <w:footnote w:id="2">
    <w:p w14:paraId="4F33732E" w14:textId="7AFDDF94" w:rsidR="00B60795" w:rsidRPr="00236365" w:rsidRDefault="00B60795">
      <w:pPr>
        <w:pStyle w:val="FootnoteText"/>
        <w:rPr>
          <w:sz w:val="24"/>
          <w:szCs w:val="24"/>
        </w:rPr>
      </w:pPr>
      <w:r w:rsidRPr="00236365">
        <w:rPr>
          <w:rStyle w:val="FootnoteReference"/>
          <w:sz w:val="24"/>
          <w:szCs w:val="24"/>
          <w:vertAlign w:val="superscript"/>
        </w:rPr>
        <w:footnoteRef/>
      </w:r>
      <w:r w:rsidRPr="00236365">
        <w:rPr>
          <w:sz w:val="24"/>
          <w:szCs w:val="24"/>
        </w:rPr>
        <w:t xml:space="preserve"> Final Policy Statement in Docket No. PL15-3, ICR 201604-1902-003</w:t>
      </w:r>
      <w:r w:rsidR="00B77616" w:rsidRPr="00236365">
        <w:rPr>
          <w:sz w:val="24"/>
          <w:szCs w:val="24"/>
        </w:rPr>
        <w:t>, which is unrelated to Docket No. RM15-24.</w:t>
      </w:r>
    </w:p>
  </w:footnote>
  <w:footnote w:id="3">
    <w:p w14:paraId="5E98E22B" w14:textId="58648619" w:rsidR="00727199" w:rsidRPr="00236365" w:rsidRDefault="00727199">
      <w:pPr>
        <w:pStyle w:val="FootnoteText"/>
        <w:rPr>
          <w:sz w:val="24"/>
          <w:szCs w:val="24"/>
        </w:rPr>
      </w:pPr>
      <w:r w:rsidRPr="00236365">
        <w:rPr>
          <w:rStyle w:val="FootnoteReference"/>
          <w:sz w:val="24"/>
          <w:szCs w:val="24"/>
          <w:vertAlign w:val="superscript"/>
        </w:rPr>
        <w:footnoteRef/>
      </w:r>
      <w:r w:rsidRPr="00236365">
        <w:rPr>
          <w:sz w:val="24"/>
          <w:szCs w:val="24"/>
        </w:rPr>
        <w:t xml:space="preserve"> The NOPR is posted in FERC’s eLibrary at </w:t>
      </w:r>
      <w:hyperlink r:id="rId1" w:history="1">
        <w:r w:rsidRPr="00236365">
          <w:rPr>
            <w:rStyle w:val="Hyperlink"/>
            <w:sz w:val="24"/>
            <w:szCs w:val="24"/>
          </w:rPr>
          <w:t>http://elibrary.ferc.gov/idmws/common/opennat.asp?fileID=13989182</w:t>
        </w:r>
      </w:hyperlink>
      <w:r w:rsidRPr="00236365">
        <w:rPr>
          <w:sz w:val="24"/>
          <w:szCs w:val="24"/>
        </w:rPr>
        <w:t xml:space="preserve">.  Commissioner LaFleur’s statement is available at </w:t>
      </w:r>
      <w:hyperlink r:id="rId2" w:history="1">
        <w:r w:rsidRPr="00236365">
          <w:rPr>
            <w:rStyle w:val="Hyperlink"/>
            <w:sz w:val="24"/>
            <w:szCs w:val="24"/>
          </w:rPr>
          <w:t>http://elibrary.ferc.gov/idmws/common/opennat.asp?fileID=13991253</w:t>
        </w:r>
      </w:hyperlink>
      <w:r w:rsidRPr="00236365">
        <w:rPr>
          <w:sz w:val="24"/>
          <w:szCs w:val="24"/>
        </w:rPr>
        <w:t xml:space="preserve">; a News Release is posted at </w:t>
      </w:r>
      <w:hyperlink r:id="rId3" w:history="1">
        <w:r w:rsidRPr="00236365">
          <w:rPr>
            <w:rStyle w:val="Hyperlink"/>
            <w:sz w:val="24"/>
            <w:szCs w:val="24"/>
          </w:rPr>
          <w:t>http://elibrary.ferc.gov/idmws/common/opennat.asp?fileID=13989191</w:t>
        </w:r>
      </w:hyperlink>
      <w:r w:rsidRPr="00236365">
        <w:rPr>
          <w:sz w:val="24"/>
          <w:szCs w:val="24"/>
        </w:rPr>
        <w:t>.</w:t>
      </w:r>
    </w:p>
    <w:p w14:paraId="4E7E2592" w14:textId="74902A71" w:rsidR="007B5786" w:rsidRPr="00236365" w:rsidRDefault="007B5786">
      <w:pPr>
        <w:pStyle w:val="FootnoteText"/>
        <w:rPr>
          <w:sz w:val="24"/>
          <w:szCs w:val="24"/>
        </w:rPr>
      </w:pPr>
      <w:r w:rsidRPr="00236365">
        <w:rPr>
          <w:sz w:val="24"/>
          <w:szCs w:val="24"/>
        </w:rPr>
        <w:t xml:space="preserve">The Final Rule is posted at </w:t>
      </w:r>
      <w:r w:rsidR="002C75C1" w:rsidRPr="002C75C1">
        <w:t xml:space="preserve"> </w:t>
      </w:r>
      <w:hyperlink r:id="rId4" w:history="1">
        <w:r w:rsidR="002C75C1" w:rsidRPr="008D6519">
          <w:rPr>
            <w:rStyle w:val="Hyperlink"/>
            <w:sz w:val="24"/>
            <w:szCs w:val="24"/>
          </w:rPr>
          <w:t>http://elibrary-backup.ferc.gov/idmws/common/OpenNat.asp?fileID=14278082</w:t>
        </w:r>
      </w:hyperlink>
      <w:r w:rsidR="002C75C1">
        <w:rPr>
          <w:sz w:val="24"/>
          <w:szCs w:val="24"/>
        </w:rPr>
        <w:t xml:space="preserve">; the related News Release is posted at </w:t>
      </w:r>
      <w:r w:rsidR="002C75C1" w:rsidRPr="002C75C1">
        <w:rPr>
          <w:sz w:val="24"/>
          <w:szCs w:val="24"/>
        </w:rPr>
        <w:t>http://elibrary-backup.ferc.gov/idmws/common/OpenNat.asp?fileID=14277617</w:t>
      </w:r>
      <w:r w:rsidR="002C75C1">
        <w:rPr>
          <w:sz w:val="24"/>
          <w:szCs w:val="24"/>
        </w:rPr>
        <w:t>.</w:t>
      </w:r>
    </w:p>
  </w:footnote>
  <w:footnote w:id="4">
    <w:p w14:paraId="5E79B7EA" w14:textId="0787B2B9" w:rsidR="00DB1B57" w:rsidRPr="00236365" w:rsidRDefault="00DB1B57">
      <w:pPr>
        <w:pStyle w:val="FootnoteText"/>
        <w:rPr>
          <w:sz w:val="24"/>
          <w:szCs w:val="24"/>
        </w:rPr>
      </w:pPr>
      <w:r w:rsidRPr="00236365">
        <w:rPr>
          <w:rStyle w:val="FootnoteReference"/>
          <w:sz w:val="24"/>
          <w:szCs w:val="24"/>
          <w:vertAlign w:val="superscript"/>
        </w:rPr>
        <w:footnoteRef/>
      </w:r>
      <w:r w:rsidRPr="00236365">
        <w:rPr>
          <w:sz w:val="24"/>
          <w:szCs w:val="24"/>
        </w:rPr>
        <w:t xml:space="preserve"> 16 U.S.C. 824d(a)</w:t>
      </w:r>
      <w:r w:rsidR="00605400" w:rsidRPr="00236365">
        <w:rPr>
          <w:sz w:val="24"/>
          <w:szCs w:val="24"/>
        </w:rPr>
        <w:t xml:space="preserve"> (2012)</w:t>
      </w:r>
      <w:r w:rsidR="008C1798" w:rsidRPr="00236365">
        <w:rPr>
          <w:sz w:val="24"/>
          <w:szCs w:val="24"/>
        </w:rPr>
        <w:t>.</w:t>
      </w:r>
    </w:p>
  </w:footnote>
  <w:footnote w:id="5">
    <w:p w14:paraId="241FE3C7" w14:textId="77777777" w:rsidR="00D96E80" w:rsidRPr="00B101A2" w:rsidRDefault="00D96E80" w:rsidP="00D96E80">
      <w:pPr>
        <w:pStyle w:val="FootnoteText"/>
        <w:rPr>
          <w:sz w:val="24"/>
          <w:szCs w:val="24"/>
        </w:rPr>
      </w:pPr>
      <w:r w:rsidRPr="00B101A2">
        <w:rPr>
          <w:rStyle w:val="FootnoteReference"/>
          <w:sz w:val="24"/>
          <w:szCs w:val="24"/>
          <w:vertAlign w:val="superscript"/>
        </w:rPr>
        <w:footnoteRef/>
      </w:r>
      <w:r w:rsidRPr="00B101A2">
        <w:rPr>
          <w:sz w:val="24"/>
          <w:szCs w:val="24"/>
        </w:rPr>
        <w:t xml:space="preserve"> 16 U.S.C. 824e (2012).</w:t>
      </w:r>
    </w:p>
  </w:footnote>
  <w:footnote w:id="6">
    <w:p w14:paraId="7672157E" w14:textId="44298229" w:rsidR="00D96E80" w:rsidRPr="00236365" w:rsidRDefault="00D96E80" w:rsidP="00D96E80">
      <w:pPr>
        <w:pStyle w:val="FootnoteText"/>
        <w:rPr>
          <w:sz w:val="24"/>
          <w:szCs w:val="24"/>
        </w:rPr>
      </w:pPr>
      <w:r w:rsidRPr="00B101A2">
        <w:rPr>
          <w:rStyle w:val="FootnoteReference"/>
          <w:sz w:val="24"/>
          <w:szCs w:val="24"/>
          <w:vertAlign w:val="superscript"/>
        </w:rPr>
        <w:footnoteRef/>
      </w:r>
      <w:r w:rsidRPr="00236365">
        <w:rPr>
          <w:sz w:val="24"/>
          <w:szCs w:val="24"/>
        </w:rPr>
        <w:t xml:space="preserve"> As mentioned in the Notice of Proposed Rulemaking, the Commission sometimes uses the term “dispatch” as shorthand when describing how RTOs/ISOs acquire and price energy and operating reserves.  With respect to operating reserves, the Commission uses dispatch to describe the intervals at which they are acquired and priced. </w:t>
      </w:r>
      <w:r w:rsidRPr="00236365">
        <w:rPr>
          <w:i/>
          <w:sz w:val="24"/>
          <w:szCs w:val="24"/>
        </w:rPr>
        <w:t xml:space="preserve">See Settlement Intervals and Shortage Pricing in Markets Operated by Regional Transmission Organizations and Independent System Operators, </w:t>
      </w:r>
      <w:r w:rsidRPr="00236365">
        <w:rPr>
          <w:sz w:val="24"/>
          <w:szCs w:val="24"/>
        </w:rPr>
        <w:t>80 Fed. Reg. 58,393 (Sept. 29, 2015), FERC Stats. &amp; Regs. ¶ 32,710</w:t>
      </w:r>
      <w:r w:rsidRPr="00236365">
        <w:rPr>
          <w:i/>
          <w:sz w:val="24"/>
          <w:szCs w:val="24"/>
        </w:rPr>
        <w:t>,</w:t>
      </w:r>
      <w:r w:rsidRPr="00236365">
        <w:rPr>
          <w:sz w:val="24"/>
          <w:szCs w:val="24"/>
        </w:rPr>
        <w:t xml:space="preserve"> at P 1 (2015)  </w:t>
      </w:r>
    </w:p>
  </w:footnote>
  <w:footnote w:id="7">
    <w:p w14:paraId="11AF7890" w14:textId="6D03570F" w:rsidR="00D96E80" w:rsidRPr="00236365" w:rsidRDefault="00D96E80" w:rsidP="00D96E80">
      <w:pPr>
        <w:pStyle w:val="FootnoteText"/>
        <w:rPr>
          <w:sz w:val="24"/>
          <w:szCs w:val="24"/>
        </w:rPr>
      </w:pPr>
      <w:r w:rsidRPr="00B101A2">
        <w:rPr>
          <w:rStyle w:val="FootnoteReference"/>
          <w:sz w:val="24"/>
          <w:szCs w:val="24"/>
          <w:vertAlign w:val="superscript"/>
        </w:rPr>
        <w:footnoteRef/>
      </w:r>
      <w:r w:rsidRPr="00236365">
        <w:rPr>
          <w:sz w:val="24"/>
          <w:szCs w:val="24"/>
        </w:rPr>
        <w:t xml:space="preserve"> Operating reserves refer to certain ancillary services procured in the wholesale market, although they are often defined differently in each RTO/ISO.  Operating reserves typically include:   (a) Regulating Reserve, used to account for very short-term deviations between supply and demand (e.g., 4 to 6 seconds); (b) Spinning, or Synchronous Reserve, which is capacity held in reserve and synchronized to the grid and able to respond within a relatively short amount of time (e.g., within 10 minutes), to be used in case of a contingency, such as the loss of a generator; and (c) Non-Spinning Reserve, capacity that is not synchronized to the grid and which can take longer to respond (e.g., within 10-30 minutes) in case of a contingency.  Federal Energy Regulatory Commission, Price Formation in Organized Wholesale Electricity Markets: Staff Analysis of Shortage Pricing, Docket No. AD14-14-000, at 3 n.7 (Oct. 2014), http://www.ferc.gov/legal/staff-reports/2014/AD14-14-pricing-rto-iso-markets.pdf. </w:t>
      </w:r>
    </w:p>
  </w:footnote>
  <w:footnote w:id="8">
    <w:p w14:paraId="13B0F479" w14:textId="77777777" w:rsidR="00D96E80" w:rsidRPr="00236365" w:rsidRDefault="00D96E80" w:rsidP="00D96E80">
      <w:pPr>
        <w:pStyle w:val="FootnoteText"/>
        <w:rPr>
          <w:sz w:val="24"/>
          <w:szCs w:val="24"/>
        </w:rPr>
      </w:pPr>
      <w:r w:rsidRPr="00B101A2">
        <w:rPr>
          <w:rStyle w:val="FootnoteReference"/>
          <w:sz w:val="24"/>
          <w:szCs w:val="24"/>
          <w:vertAlign w:val="superscript"/>
        </w:rPr>
        <w:footnoteRef/>
      </w:r>
      <w:r w:rsidRPr="00236365">
        <w:rPr>
          <w:sz w:val="24"/>
          <w:szCs w:val="24"/>
        </w:rPr>
        <w:t xml:space="preserve"> Intertie transactions are transactions across RTO/ISO borders, including imports, exports and wheel-through transactions.</w:t>
      </w:r>
    </w:p>
  </w:footnote>
  <w:footnote w:id="9">
    <w:p w14:paraId="384C23B9" w14:textId="77777777" w:rsidR="00D96E80" w:rsidRPr="00B101A2" w:rsidRDefault="00D96E80" w:rsidP="00D96E80">
      <w:pPr>
        <w:pStyle w:val="FootnoteText"/>
        <w:rPr>
          <w:sz w:val="24"/>
          <w:szCs w:val="24"/>
        </w:rPr>
      </w:pPr>
      <w:r w:rsidRPr="00236365">
        <w:rPr>
          <w:rStyle w:val="FootnoteReference"/>
          <w:sz w:val="24"/>
          <w:szCs w:val="24"/>
          <w:vertAlign w:val="superscript"/>
        </w:rPr>
        <w:footnoteRef/>
      </w:r>
      <w:r w:rsidRPr="00236365">
        <w:rPr>
          <w:sz w:val="24"/>
          <w:szCs w:val="24"/>
          <w:vertAlign w:val="superscript"/>
        </w:rPr>
        <w:t xml:space="preserve"> </w:t>
      </w:r>
      <w:r w:rsidRPr="00236365">
        <w:rPr>
          <w:i/>
          <w:sz w:val="24"/>
          <w:szCs w:val="24"/>
        </w:rPr>
        <w:t>See</w:t>
      </w:r>
      <w:r w:rsidRPr="00236365">
        <w:rPr>
          <w:sz w:val="24"/>
          <w:szCs w:val="24"/>
        </w:rPr>
        <w:t xml:space="preserve"> Notice Inviting Post-Technical Workshop Comments, Docket No. AD14-14-000, at 2 (Jan. 16, 2015); Notice, Docket No. AD14-14-000 (June 19, 2014).</w:t>
      </w:r>
    </w:p>
  </w:footnote>
  <w:footnote w:id="10">
    <w:p w14:paraId="7DCF5D7E" w14:textId="61FC61F0" w:rsidR="00DB1B57" w:rsidRPr="00236365" w:rsidRDefault="00DB1B57">
      <w:pPr>
        <w:pStyle w:val="FootnoteText"/>
        <w:rPr>
          <w:sz w:val="24"/>
          <w:szCs w:val="24"/>
        </w:rPr>
      </w:pPr>
      <w:r w:rsidRPr="00236365">
        <w:rPr>
          <w:rStyle w:val="FootnoteReference"/>
          <w:sz w:val="24"/>
          <w:szCs w:val="24"/>
          <w:vertAlign w:val="superscript"/>
        </w:rPr>
        <w:footnoteRef/>
      </w:r>
      <w:r w:rsidRPr="00236365">
        <w:rPr>
          <w:sz w:val="24"/>
          <w:szCs w:val="24"/>
        </w:rPr>
        <w:t xml:space="preserve"> 13 CFR 121.101 (2014).</w:t>
      </w:r>
    </w:p>
  </w:footnote>
  <w:footnote w:id="11">
    <w:p w14:paraId="5D416C74" w14:textId="7AD379E4" w:rsidR="00DB1B57" w:rsidRPr="00B101A2" w:rsidRDefault="00DB1B57">
      <w:pPr>
        <w:pStyle w:val="FootnoteText"/>
        <w:rPr>
          <w:sz w:val="24"/>
          <w:szCs w:val="24"/>
        </w:rPr>
      </w:pPr>
      <w:r w:rsidRPr="00236365">
        <w:rPr>
          <w:rStyle w:val="FootnoteReference"/>
          <w:sz w:val="24"/>
          <w:szCs w:val="24"/>
          <w:vertAlign w:val="superscript"/>
        </w:rPr>
        <w:footnoteRef/>
      </w:r>
      <w:r w:rsidRPr="00236365">
        <w:rPr>
          <w:sz w:val="24"/>
          <w:szCs w:val="24"/>
        </w:rPr>
        <w:t xml:space="preserve"> SBA Final Rule on “Small Business Size Standards:  Utilities,” 78 FR 77,343 (Dec. 23, 2013).</w:t>
      </w:r>
    </w:p>
  </w:footnote>
  <w:footnote w:id="12">
    <w:p w14:paraId="307BDE52" w14:textId="77777777" w:rsidR="0039018B" w:rsidRPr="00236365" w:rsidRDefault="0039018B" w:rsidP="0039018B">
      <w:pPr>
        <w:pStyle w:val="FootnoteText"/>
        <w:rPr>
          <w:sz w:val="24"/>
          <w:szCs w:val="24"/>
        </w:rPr>
      </w:pPr>
      <w:r w:rsidRPr="00236365">
        <w:rPr>
          <w:rStyle w:val="FootnoteReference"/>
          <w:sz w:val="24"/>
          <w:szCs w:val="24"/>
          <w:vertAlign w:val="superscript"/>
        </w:rPr>
        <w:footnoteRef/>
      </w:r>
      <w:r w:rsidRPr="00236365">
        <w:rPr>
          <w:sz w:val="24"/>
          <w:szCs w:val="24"/>
          <w:vertAlign w:val="superscript"/>
        </w:rPr>
        <w:t xml:space="preserve"> </w:t>
      </w:r>
      <w:r w:rsidRPr="00236365">
        <w:rPr>
          <w:sz w:val="24"/>
          <w:szCs w:val="24"/>
        </w:rPr>
        <w:t>The estimated hourly cost (salary plus benefits) provided in this section are based on the salary figures for May 2015 posted by the Bureau of Labor Statistics for the Utilities sector (available at http://www.bls.gov/oes/current/naics2_22.htm#00-0000) and scaled to reflect benefits using the relative importance of employer costs in employee compensation from December 2015 (released March 10, 2016 and available at http://www.bls.gov/news.release/ecec.nr0.htm).  The hourly estimates for salary plus benefits are:</w:t>
      </w:r>
    </w:p>
    <w:p w14:paraId="1B0CC0F0" w14:textId="77777777" w:rsidR="0039018B" w:rsidRPr="00236365" w:rsidRDefault="0039018B" w:rsidP="0039018B">
      <w:pPr>
        <w:pStyle w:val="FootnoteText"/>
        <w:numPr>
          <w:ilvl w:val="0"/>
          <w:numId w:val="9"/>
        </w:numPr>
        <w:rPr>
          <w:sz w:val="24"/>
          <w:szCs w:val="24"/>
        </w:rPr>
      </w:pPr>
      <w:r w:rsidRPr="00236365">
        <w:rPr>
          <w:sz w:val="24"/>
          <w:szCs w:val="24"/>
        </w:rPr>
        <w:t xml:space="preserve">Legal (code 23-0000), $128.94 </w:t>
      </w:r>
    </w:p>
    <w:p w14:paraId="53528629" w14:textId="77777777" w:rsidR="0039018B" w:rsidRPr="00236365" w:rsidRDefault="0039018B" w:rsidP="0039018B">
      <w:pPr>
        <w:pStyle w:val="FootnoteText"/>
        <w:numPr>
          <w:ilvl w:val="0"/>
          <w:numId w:val="9"/>
        </w:numPr>
        <w:rPr>
          <w:sz w:val="24"/>
          <w:szCs w:val="24"/>
        </w:rPr>
      </w:pPr>
      <w:r w:rsidRPr="00236365">
        <w:rPr>
          <w:sz w:val="24"/>
          <w:szCs w:val="24"/>
        </w:rPr>
        <w:t xml:space="preserve">Computer and Mathematical (code 15-0000), $60.54 </w:t>
      </w:r>
    </w:p>
    <w:p w14:paraId="1FF1BDF8" w14:textId="77777777" w:rsidR="0039018B" w:rsidRPr="00236365" w:rsidRDefault="0039018B" w:rsidP="0039018B">
      <w:pPr>
        <w:pStyle w:val="FootnoteText"/>
        <w:numPr>
          <w:ilvl w:val="0"/>
          <w:numId w:val="9"/>
        </w:numPr>
        <w:rPr>
          <w:sz w:val="24"/>
          <w:szCs w:val="24"/>
        </w:rPr>
      </w:pPr>
      <w:r w:rsidRPr="00236365">
        <w:rPr>
          <w:sz w:val="24"/>
          <w:szCs w:val="24"/>
        </w:rPr>
        <w:t>Information Security Analyst (code 15-1122), $57.99</w:t>
      </w:r>
    </w:p>
    <w:p w14:paraId="18119C3A" w14:textId="77777777" w:rsidR="0039018B" w:rsidRPr="00236365" w:rsidRDefault="0039018B" w:rsidP="0039018B">
      <w:pPr>
        <w:pStyle w:val="FootnoteText"/>
        <w:numPr>
          <w:ilvl w:val="0"/>
          <w:numId w:val="9"/>
        </w:numPr>
        <w:rPr>
          <w:sz w:val="24"/>
          <w:szCs w:val="24"/>
        </w:rPr>
      </w:pPr>
      <w:r w:rsidRPr="00236365">
        <w:rPr>
          <w:sz w:val="24"/>
          <w:szCs w:val="24"/>
        </w:rPr>
        <w:t>Accountant and Auditor (code 13-2011), $53.78</w:t>
      </w:r>
    </w:p>
    <w:p w14:paraId="76A31B55" w14:textId="77777777" w:rsidR="0039018B" w:rsidRPr="00236365" w:rsidRDefault="0039018B" w:rsidP="0039018B">
      <w:pPr>
        <w:pStyle w:val="FootnoteText"/>
        <w:numPr>
          <w:ilvl w:val="0"/>
          <w:numId w:val="9"/>
        </w:numPr>
        <w:rPr>
          <w:sz w:val="24"/>
          <w:szCs w:val="24"/>
        </w:rPr>
      </w:pPr>
      <w:r w:rsidRPr="00236365">
        <w:rPr>
          <w:sz w:val="24"/>
          <w:szCs w:val="24"/>
        </w:rPr>
        <w:t>Information and Record Clerk (code 43-4199), $37.69</w:t>
      </w:r>
    </w:p>
    <w:p w14:paraId="6A5C89E8" w14:textId="77777777" w:rsidR="0039018B" w:rsidRPr="00236365" w:rsidRDefault="0039018B" w:rsidP="0039018B">
      <w:pPr>
        <w:pStyle w:val="FootnoteText"/>
        <w:numPr>
          <w:ilvl w:val="0"/>
          <w:numId w:val="9"/>
        </w:numPr>
        <w:rPr>
          <w:sz w:val="24"/>
          <w:szCs w:val="24"/>
        </w:rPr>
      </w:pPr>
      <w:r w:rsidRPr="00236365">
        <w:rPr>
          <w:sz w:val="24"/>
          <w:szCs w:val="24"/>
        </w:rPr>
        <w:t xml:space="preserve">Electrical Engineer  (code 17-2071), $64.20 </w:t>
      </w:r>
    </w:p>
    <w:p w14:paraId="7B237733" w14:textId="77777777" w:rsidR="0039018B" w:rsidRPr="00236365" w:rsidRDefault="0039018B" w:rsidP="0039018B">
      <w:pPr>
        <w:pStyle w:val="FootnoteText"/>
        <w:numPr>
          <w:ilvl w:val="0"/>
          <w:numId w:val="9"/>
        </w:numPr>
        <w:rPr>
          <w:sz w:val="24"/>
          <w:szCs w:val="24"/>
        </w:rPr>
      </w:pPr>
      <w:r w:rsidRPr="00236365">
        <w:rPr>
          <w:sz w:val="24"/>
          <w:szCs w:val="24"/>
        </w:rPr>
        <w:t>Economist (code 19-3011),</w:t>
      </w:r>
      <w:r w:rsidRPr="00236365">
        <w:rPr>
          <w:sz w:val="24"/>
          <w:szCs w:val="24"/>
        </w:rPr>
        <w:tab/>
        <w:t xml:space="preserve"> $74.43</w:t>
      </w:r>
    </w:p>
    <w:p w14:paraId="1AA0CB47" w14:textId="77777777" w:rsidR="0039018B" w:rsidRPr="00236365" w:rsidRDefault="0039018B" w:rsidP="0039018B">
      <w:pPr>
        <w:pStyle w:val="FootnoteText"/>
        <w:numPr>
          <w:ilvl w:val="0"/>
          <w:numId w:val="9"/>
        </w:numPr>
        <w:rPr>
          <w:sz w:val="24"/>
          <w:szCs w:val="24"/>
        </w:rPr>
      </w:pPr>
      <w:r w:rsidRPr="00236365">
        <w:rPr>
          <w:sz w:val="24"/>
          <w:szCs w:val="24"/>
        </w:rPr>
        <w:t>Computer and Information Systems Manager (code 11-3021),</w:t>
      </w:r>
      <w:r w:rsidRPr="00236365">
        <w:rPr>
          <w:sz w:val="24"/>
          <w:szCs w:val="24"/>
        </w:rPr>
        <w:tab/>
        <w:t>$91.63</w:t>
      </w:r>
    </w:p>
    <w:p w14:paraId="25A31E10" w14:textId="77777777" w:rsidR="0039018B" w:rsidRPr="00236365" w:rsidRDefault="0039018B" w:rsidP="0039018B">
      <w:pPr>
        <w:pStyle w:val="FootnoteText"/>
        <w:numPr>
          <w:ilvl w:val="0"/>
          <w:numId w:val="9"/>
        </w:numPr>
        <w:rPr>
          <w:sz w:val="24"/>
          <w:szCs w:val="24"/>
        </w:rPr>
      </w:pPr>
      <w:r w:rsidRPr="00236365">
        <w:rPr>
          <w:sz w:val="24"/>
          <w:szCs w:val="24"/>
        </w:rPr>
        <w:t>Management (code 11-0000), $88.94</w:t>
      </w:r>
    </w:p>
    <w:p w14:paraId="0D67FEAF" w14:textId="3B05D07E" w:rsidR="0039018B" w:rsidRPr="00B101A2" w:rsidRDefault="0039018B" w:rsidP="00376ECF">
      <w:pPr>
        <w:pStyle w:val="FootnoteText"/>
        <w:rPr>
          <w:sz w:val="24"/>
          <w:szCs w:val="24"/>
        </w:rPr>
      </w:pPr>
      <w:r w:rsidRPr="00236365">
        <w:rPr>
          <w:sz w:val="24"/>
          <w:szCs w:val="24"/>
        </w:rPr>
        <w:t>The average hourly cost (salary plus benefits), weighting all of these skill sets evenly, is $73.13.  For the calculations here, the Commission rounds it to $73 per hour.</w:t>
      </w:r>
    </w:p>
  </w:footnote>
  <w:footnote w:id="13">
    <w:p w14:paraId="69A2281C" w14:textId="342FC05A" w:rsidR="0039018B" w:rsidRPr="00236365" w:rsidRDefault="0039018B" w:rsidP="00376ECF">
      <w:pPr>
        <w:pStyle w:val="FootnoteText"/>
        <w:rPr>
          <w:sz w:val="24"/>
          <w:szCs w:val="24"/>
        </w:rPr>
      </w:pPr>
      <w:r w:rsidRPr="00236365">
        <w:rPr>
          <w:rStyle w:val="FootnoteReference"/>
          <w:sz w:val="24"/>
          <w:szCs w:val="24"/>
          <w:vertAlign w:val="superscript"/>
        </w:rPr>
        <w:footnoteRef/>
      </w:r>
      <w:r w:rsidRPr="00236365">
        <w:rPr>
          <w:sz w:val="24"/>
          <w:szCs w:val="24"/>
          <w:vertAlign w:val="superscript"/>
        </w:rPr>
        <w:t xml:space="preserve"> </w:t>
      </w:r>
      <w:r w:rsidRPr="00236365">
        <w:rPr>
          <w:sz w:val="24"/>
          <w:szCs w:val="24"/>
        </w:rPr>
        <w:t>The RTOs/ISOs (</w:t>
      </w:r>
      <w:r w:rsidR="00FA6858">
        <w:rPr>
          <w:sz w:val="24"/>
          <w:szCs w:val="24"/>
        </w:rPr>
        <w:t>California ISO (</w:t>
      </w:r>
      <w:r w:rsidRPr="00236365">
        <w:rPr>
          <w:sz w:val="24"/>
          <w:szCs w:val="24"/>
        </w:rPr>
        <w:t>CAISO</w:t>
      </w:r>
      <w:r w:rsidR="00FA6858">
        <w:rPr>
          <w:sz w:val="24"/>
          <w:szCs w:val="24"/>
        </w:rPr>
        <w:t>)</w:t>
      </w:r>
      <w:r w:rsidRPr="00236365">
        <w:rPr>
          <w:sz w:val="24"/>
          <w:szCs w:val="24"/>
        </w:rPr>
        <w:t xml:space="preserve">, </w:t>
      </w:r>
      <w:r w:rsidR="00FA6858">
        <w:rPr>
          <w:sz w:val="24"/>
          <w:szCs w:val="24"/>
        </w:rPr>
        <w:t>New England ISO (</w:t>
      </w:r>
      <w:r w:rsidRPr="00236365">
        <w:rPr>
          <w:sz w:val="24"/>
          <w:szCs w:val="24"/>
        </w:rPr>
        <w:t>ISO-NE</w:t>
      </w:r>
      <w:r w:rsidR="00FA6858">
        <w:rPr>
          <w:sz w:val="24"/>
          <w:szCs w:val="24"/>
        </w:rPr>
        <w:t>)</w:t>
      </w:r>
      <w:r w:rsidRPr="00236365">
        <w:rPr>
          <w:sz w:val="24"/>
          <w:szCs w:val="24"/>
        </w:rPr>
        <w:t xml:space="preserve">, </w:t>
      </w:r>
      <w:r w:rsidR="00FA6858">
        <w:rPr>
          <w:sz w:val="24"/>
          <w:szCs w:val="24"/>
        </w:rPr>
        <w:t>Midcontinent ISO (</w:t>
      </w:r>
      <w:r w:rsidRPr="00236365">
        <w:rPr>
          <w:sz w:val="24"/>
          <w:szCs w:val="24"/>
        </w:rPr>
        <w:t>MISO</w:t>
      </w:r>
      <w:r w:rsidR="00FA6858">
        <w:rPr>
          <w:sz w:val="24"/>
          <w:szCs w:val="24"/>
        </w:rPr>
        <w:t>)</w:t>
      </w:r>
      <w:r w:rsidRPr="00236365">
        <w:rPr>
          <w:sz w:val="24"/>
          <w:szCs w:val="24"/>
        </w:rPr>
        <w:t xml:space="preserve">, </w:t>
      </w:r>
      <w:r w:rsidR="00FA6858">
        <w:rPr>
          <w:sz w:val="24"/>
          <w:szCs w:val="24"/>
        </w:rPr>
        <w:t>New York ISO (</w:t>
      </w:r>
      <w:r w:rsidRPr="00236365">
        <w:rPr>
          <w:sz w:val="24"/>
          <w:szCs w:val="24"/>
        </w:rPr>
        <w:t>NYISO</w:t>
      </w:r>
      <w:r w:rsidR="00FA6858">
        <w:rPr>
          <w:sz w:val="24"/>
          <w:szCs w:val="24"/>
        </w:rPr>
        <w:t>)</w:t>
      </w:r>
      <w:r w:rsidRPr="00236365">
        <w:rPr>
          <w:sz w:val="24"/>
          <w:szCs w:val="24"/>
        </w:rPr>
        <w:t xml:space="preserve">, PJM, and </w:t>
      </w:r>
      <w:r w:rsidR="00FA6858">
        <w:rPr>
          <w:sz w:val="24"/>
          <w:szCs w:val="24"/>
        </w:rPr>
        <w:t>Southwest Power Pool (</w:t>
      </w:r>
      <w:r w:rsidRPr="00236365">
        <w:rPr>
          <w:sz w:val="24"/>
          <w:szCs w:val="24"/>
        </w:rPr>
        <w:t>SPP</w:t>
      </w:r>
      <w:r w:rsidR="00FA6858">
        <w:rPr>
          <w:sz w:val="24"/>
          <w:szCs w:val="24"/>
        </w:rPr>
        <w:t>)</w:t>
      </w:r>
      <w:r w:rsidRPr="00236365">
        <w:rPr>
          <w:sz w:val="24"/>
          <w:szCs w:val="24"/>
        </w:rPr>
        <w:t>) are required to comply with the reforms in this Final Rule.  Three RTOs/ISOs (ISO-NE, MISO, and PJM) currently do not</w:t>
      </w:r>
      <w:r w:rsidRPr="00236365">
        <w:rPr>
          <w:i/>
          <w:sz w:val="24"/>
          <w:szCs w:val="24"/>
        </w:rPr>
        <w:t xml:space="preserve"> </w:t>
      </w:r>
      <w:r w:rsidRPr="00236365">
        <w:rPr>
          <w:sz w:val="24"/>
          <w:szCs w:val="24"/>
        </w:rPr>
        <w:t xml:space="preserve">align real-time settlement with dispatch intervals and thus likely would be burdened more by that aspect of the reforms in this Final Rule.  </w:t>
      </w:r>
    </w:p>
  </w:footnote>
  <w:footnote w:id="14">
    <w:p w14:paraId="2EF3FCF5" w14:textId="77777777" w:rsidR="0039018B" w:rsidRPr="00236365" w:rsidRDefault="0039018B" w:rsidP="0039018B">
      <w:pPr>
        <w:pStyle w:val="FootnoteText"/>
        <w:rPr>
          <w:sz w:val="24"/>
          <w:szCs w:val="24"/>
        </w:rPr>
      </w:pPr>
      <w:r w:rsidRPr="00236365">
        <w:rPr>
          <w:rStyle w:val="FootnoteReference"/>
          <w:sz w:val="24"/>
          <w:szCs w:val="24"/>
          <w:vertAlign w:val="superscript"/>
        </w:rPr>
        <w:footnoteRef/>
      </w:r>
      <w:r w:rsidRPr="00236365">
        <w:rPr>
          <w:sz w:val="24"/>
          <w:szCs w:val="24"/>
        </w:rPr>
        <w:t xml:space="preserve">The information collection requirements and related burden for the NOPR in Docket No. RM15-24 were submitted to OMB under FERC-516 (Electric Rate Schedules and Tariff Filings, OMB Control No. 1902-0096).  Currently, there is an unrelated package (in Docket No. PL15-3) pending OMB review under FERC-516.  Because only one item per OMB Control No. can be pending OMB review at a time, the reporting requirements in the Final Rule in RM15-24 are being submitted to OMB for review under FERC-516D (a temporary ‘placeholder’ collection number, OMB Control No. to be determined).  Long-term, the staff expects to transfer administratively the requirements and burden of this final rule to FERC-516 (OMB Control No. 1902-0096) from FERC-516D.  </w:t>
      </w:r>
    </w:p>
  </w:footnote>
  <w:footnote w:id="15">
    <w:p w14:paraId="613C14C0" w14:textId="77777777" w:rsidR="0039018B" w:rsidRPr="00B101A2" w:rsidRDefault="0039018B" w:rsidP="0039018B">
      <w:pPr>
        <w:pStyle w:val="FootnoteText"/>
        <w:rPr>
          <w:sz w:val="24"/>
          <w:szCs w:val="24"/>
        </w:rPr>
      </w:pPr>
      <w:r w:rsidRPr="00236365">
        <w:rPr>
          <w:rStyle w:val="FootnoteReference"/>
          <w:sz w:val="24"/>
          <w:szCs w:val="24"/>
          <w:vertAlign w:val="superscript"/>
        </w:rPr>
        <w:footnoteRef/>
      </w:r>
      <w:r w:rsidRPr="00236365">
        <w:rPr>
          <w:sz w:val="24"/>
          <w:szCs w:val="24"/>
          <w:vertAlign w:val="superscript"/>
        </w:rPr>
        <w:t xml:space="preserve"> </w:t>
      </w:r>
      <w:r w:rsidRPr="00236365">
        <w:rPr>
          <w:sz w:val="24"/>
          <w:szCs w:val="24"/>
        </w:rPr>
        <w:t xml:space="preserve">The burden costs (one-time in Year 1) consist of filing proposed tariff changes to the Commission within four months of the effective date of the Final Rule.  </w:t>
      </w:r>
    </w:p>
  </w:footnote>
  <w:footnote w:id="16">
    <w:p w14:paraId="2FB5E6C0" w14:textId="2C0314E1" w:rsidR="007D0839" w:rsidRPr="00236365" w:rsidRDefault="007D0839">
      <w:pPr>
        <w:pStyle w:val="FootnoteText"/>
        <w:rPr>
          <w:sz w:val="24"/>
          <w:szCs w:val="24"/>
        </w:rPr>
      </w:pPr>
      <w:r w:rsidRPr="00236365">
        <w:rPr>
          <w:rStyle w:val="FootnoteReference"/>
          <w:sz w:val="24"/>
          <w:szCs w:val="24"/>
          <w:vertAlign w:val="superscript"/>
        </w:rPr>
        <w:footnoteRef/>
      </w:r>
      <w:r w:rsidRPr="00236365">
        <w:rPr>
          <w:sz w:val="24"/>
          <w:szCs w:val="24"/>
          <w:vertAlign w:val="superscript"/>
        </w:rPr>
        <w:t xml:space="preserve"> </w:t>
      </w:r>
      <w:r w:rsidRPr="00236365">
        <w:rPr>
          <w:sz w:val="24"/>
          <w:szCs w:val="24"/>
        </w:rPr>
        <w:t xml:space="preserve">The hardware and software are used for company operations and will enable the companies to align settlement and dispatch intervals by: (1) settling energy transactions in its real-time markets at the same time interval it dispatches energy; (2) settling operating reserves transactions in its real-time markets at the same time interval it prices operating reserves; and (3) settling intertie transactions in the same time interval it schedules intertie transactions.  </w:t>
      </w:r>
      <w:r w:rsidR="000515DF" w:rsidRPr="00236365">
        <w:rPr>
          <w:sz w:val="24"/>
          <w:szCs w:val="24"/>
        </w:rPr>
        <w:t>Those costs are not related to PRA items.</w:t>
      </w:r>
    </w:p>
  </w:footnote>
  <w:footnote w:id="17">
    <w:p w14:paraId="14BB80D0" w14:textId="46C1B5FA" w:rsidR="00DB1B57" w:rsidRPr="00236365" w:rsidRDefault="00DB1B57" w:rsidP="00630A34">
      <w:pPr>
        <w:pStyle w:val="FootnoteText"/>
        <w:rPr>
          <w:sz w:val="24"/>
          <w:szCs w:val="24"/>
        </w:rPr>
      </w:pPr>
      <w:r w:rsidRPr="00236365">
        <w:rPr>
          <w:rStyle w:val="FootnoteReference"/>
          <w:sz w:val="24"/>
          <w:szCs w:val="24"/>
          <w:vertAlign w:val="superscript"/>
        </w:rPr>
        <w:footnoteRef/>
      </w:r>
      <w:r w:rsidRPr="00236365">
        <w:rPr>
          <w:sz w:val="24"/>
          <w:szCs w:val="24"/>
        </w:rPr>
        <w:t xml:space="preserve"> The </w:t>
      </w:r>
      <w:r w:rsidR="0031448C" w:rsidRPr="00236365">
        <w:rPr>
          <w:sz w:val="24"/>
          <w:szCs w:val="24"/>
        </w:rPr>
        <w:t>F</w:t>
      </w:r>
      <w:r w:rsidRPr="00236365">
        <w:rPr>
          <w:sz w:val="24"/>
          <w:szCs w:val="24"/>
        </w:rPr>
        <w:t xml:space="preserve">ederal </w:t>
      </w:r>
      <w:r w:rsidR="0031448C" w:rsidRPr="00236365">
        <w:rPr>
          <w:sz w:val="24"/>
          <w:szCs w:val="24"/>
        </w:rPr>
        <w:t>C</w:t>
      </w:r>
      <w:r w:rsidRPr="00236365">
        <w:rPr>
          <w:sz w:val="24"/>
          <w:szCs w:val="24"/>
        </w:rPr>
        <w:t xml:space="preserve">ost of analysis and processing of filings is based upon FERC’s </w:t>
      </w:r>
      <w:r w:rsidR="004C1444" w:rsidRPr="00236365">
        <w:rPr>
          <w:sz w:val="24"/>
          <w:szCs w:val="24"/>
        </w:rPr>
        <w:t xml:space="preserve">2016 </w:t>
      </w:r>
      <w:r w:rsidRPr="00236365">
        <w:rPr>
          <w:sz w:val="24"/>
          <w:szCs w:val="24"/>
        </w:rPr>
        <w:t>FTE (full time equivalent) average salary plus benefits of $</w:t>
      </w:r>
      <w:r w:rsidR="004C1444" w:rsidRPr="00236365">
        <w:rPr>
          <w:sz w:val="24"/>
          <w:szCs w:val="24"/>
        </w:rPr>
        <w:t>154,647</w:t>
      </w:r>
      <w:r w:rsidRPr="00236365">
        <w:rPr>
          <w:sz w:val="24"/>
          <w:szCs w:val="24"/>
        </w:rPr>
        <w:t xml:space="preserve"> (or $7</w:t>
      </w:r>
      <w:r w:rsidR="004C1444" w:rsidRPr="00236365">
        <w:rPr>
          <w:sz w:val="24"/>
          <w:szCs w:val="24"/>
        </w:rPr>
        <w:t>4.50</w:t>
      </w:r>
      <w:r w:rsidRPr="00236365">
        <w:rPr>
          <w:sz w:val="24"/>
          <w:szCs w:val="24"/>
        </w:rPr>
        <w:t xml:space="preserve"> per hour).</w:t>
      </w:r>
    </w:p>
  </w:footnote>
  <w:footnote w:id="18">
    <w:p w14:paraId="2080A7C2" w14:textId="756CF622" w:rsidR="00DB1B57" w:rsidRPr="00236365" w:rsidRDefault="00DB1B57" w:rsidP="001B3E94">
      <w:pPr>
        <w:pStyle w:val="FootnoteText"/>
        <w:rPr>
          <w:sz w:val="24"/>
          <w:szCs w:val="24"/>
        </w:rPr>
      </w:pPr>
      <w:r w:rsidRPr="00236365">
        <w:rPr>
          <w:rStyle w:val="FootnoteReference"/>
          <w:sz w:val="24"/>
          <w:szCs w:val="24"/>
          <w:vertAlign w:val="superscript"/>
        </w:rPr>
        <w:footnoteRef/>
      </w:r>
      <w:r w:rsidRPr="00236365">
        <w:rPr>
          <w:sz w:val="24"/>
          <w:szCs w:val="24"/>
        </w:rPr>
        <w:t xml:space="preserve">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(not just this proposed rule), and other changes to the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81ED9" w14:textId="582C5172" w:rsidR="00DB1B57" w:rsidRPr="004715C5" w:rsidRDefault="00DB1B57" w:rsidP="004715C5">
    <w:pPr>
      <w:pStyle w:val="Header"/>
      <w:rPr>
        <w:rFonts w:ascii="Times New Roman" w:hAnsi="Times New Roman" w:cs="Times New Roman"/>
        <w:b/>
        <w:sz w:val="24"/>
        <w:szCs w:val="24"/>
      </w:rPr>
    </w:pPr>
    <w:r w:rsidRPr="004715C5">
      <w:rPr>
        <w:rFonts w:ascii="Times New Roman" w:hAnsi="Times New Roman" w:cs="Times New Roman"/>
        <w:b/>
        <w:sz w:val="24"/>
        <w:szCs w:val="24"/>
      </w:rPr>
      <w:t>FERC-516</w:t>
    </w:r>
    <w:r w:rsidR="004374EA">
      <w:rPr>
        <w:rFonts w:ascii="Times New Roman" w:hAnsi="Times New Roman" w:cs="Times New Roman"/>
        <w:b/>
        <w:sz w:val="24"/>
        <w:szCs w:val="24"/>
      </w:rPr>
      <w:t>D</w:t>
    </w:r>
    <w:r w:rsidRPr="004715C5">
      <w:rPr>
        <w:rFonts w:ascii="Times New Roman" w:hAnsi="Times New Roman" w:cs="Times New Roman"/>
        <w:b/>
        <w:sz w:val="24"/>
        <w:szCs w:val="24"/>
      </w:rPr>
      <w:t xml:space="preserve"> (OMB Control N</w:t>
    </w:r>
    <w:r>
      <w:rPr>
        <w:rFonts w:ascii="Times New Roman" w:hAnsi="Times New Roman" w:cs="Times New Roman"/>
        <w:b/>
        <w:sz w:val="24"/>
        <w:szCs w:val="24"/>
      </w:rPr>
      <w:t>o.</w:t>
    </w:r>
    <w:r w:rsidRPr="004715C5">
      <w:rPr>
        <w:rFonts w:ascii="Times New Roman" w:hAnsi="Times New Roman" w:cs="Times New Roman"/>
        <w:b/>
        <w:sz w:val="24"/>
        <w:szCs w:val="24"/>
      </w:rPr>
      <w:t xml:space="preserve"> </w:t>
    </w:r>
    <w:r w:rsidR="00295EF4">
      <w:rPr>
        <w:rFonts w:ascii="Times New Roman" w:hAnsi="Times New Roman" w:cs="Times New Roman"/>
        <w:b/>
        <w:sz w:val="24"/>
        <w:szCs w:val="24"/>
      </w:rPr>
      <w:t>To Be Determined</w:t>
    </w:r>
    <w:r w:rsidRPr="004715C5">
      <w:rPr>
        <w:rFonts w:ascii="Times New Roman" w:hAnsi="Times New Roman" w:cs="Times New Roman"/>
        <w:b/>
        <w:sz w:val="24"/>
        <w:szCs w:val="24"/>
      </w:rPr>
      <w:t>)</w:t>
    </w:r>
    <w:r>
      <w:rPr>
        <w:rFonts w:ascii="Times New Roman" w:hAnsi="Times New Roman" w:cs="Times New Roman"/>
        <w:b/>
        <w:sz w:val="24"/>
        <w:szCs w:val="24"/>
      </w:rPr>
      <w:t>,</w:t>
    </w:r>
  </w:p>
  <w:p w14:paraId="6FBC9137" w14:textId="20830E14" w:rsidR="00DB1B57" w:rsidRPr="007247CA" w:rsidRDefault="00DB1B57" w:rsidP="00AD3DE5">
    <w:pPr>
      <w:pStyle w:val="Header"/>
      <w:rPr>
        <w:rFonts w:ascii="Times New Roman" w:hAnsi="Times New Roman" w:cs="Times New Roman"/>
        <w:b/>
        <w:sz w:val="24"/>
        <w:szCs w:val="24"/>
      </w:rPr>
    </w:pPr>
    <w:r>
      <w:rPr>
        <w:rFonts w:ascii="Times New Roman" w:hAnsi="Times New Roman" w:cs="Times New Roman"/>
        <w:b/>
        <w:sz w:val="24"/>
        <w:szCs w:val="24"/>
      </w:rPr>
      <w:t xml:space="preserve">as </w:t>
    </w:r>
    <w:r w:rsidR="004374EA">
      <w:rPr>
        <w:rFonts w:ascii="Times New Roman" w:hAnsi="Times New Roman" w:cs="Times New Roman"/>
        <w:b/>
        <w:sz w:val="24"/>
        <w:szCs w:val="24"/>
      </w:rPr>
      <w:t xml:space="preserve">implemented </w:t>
    </w:r>
    <w:r>
      <w:rPr>
        <w:rFonts w:ascii="Times New Roman" w:hAnsi="Times New Roman" w:cs="Times New Roman"/>
        <w:b/>
        <w:sz w:val="24"/>
        <w:szCs w:val="24"/>
      </w:rPr>
      <w:t xml:space="preserve">in the </w:t>
    </w:r>
    <w:r w:rsidR="005A17EE" w:rsidRPr="002C75C1">
      <w:rPr>
        <w:rFonts w:ascii="Times New Roman" w:hAnsi="Times New Roman" w:cs="Times New Roman"/>
        <w:b/>
        <w:sz w:val="24"/>
        <w:szCs w:val="24"/>
      </w:rPr>
      <w:t xml:space="preserve">Final Rule </w:t>
    </w:r>
    <w:r w:rsidRPr="002C75C1">
      <w:rPr>
        <w:rFonts w:ascii="Times New Roman" w:hAnsi="Times New Roman" w:cs="Times New Roman"/>
        <w:b/>
        <w:sz w:val="24"/>
        <w:szCs w:val="24"/>
      </w:rPr>
      <w:t>(</w:t>
    </w:r>
    <w:r w:rsidRPr="0029690C">
      <w:rPr>
        <w:rFonts w:ascii="Times New Roman" w:hAnsi="Times New Roman" w:cs="Times New Roman"/>
        <w:b/>
        <w:sz w:val="24"/>
        <w:szCs w:val="24"/>
      </w:rPr>
      <w:t xml:space="preserve">issued </w:t>
    </w:r>
    <w:r w:rsidR="002C75C1" w:rsidRPr="002C75C1">
      <w:rPr>
        <w:rFonts w:ascii="Times New Roman" w:hAnsi="Times New Roman" w:cs="Times New Roman"/>
        <w:b/>
        <w:sz w:val="24"/>
        <w:szCs w:val="24"/>
      </w:rPr>
      <w:t>6</w:t>
    </w:r>
    <w:r w:rsidR="002C75C1">
      <w:rPr>
        <w:rFonts w:ascii="Times New Roman" w:hAnsi="Times New Roman" w:cs="Times New Roman"/>
        <w:b/>
        <w:sz w:val="24"/>
        <w:szCs w:val="24"/>
      </w:rPr>
      <w:t>/16/2016)</w:t>
    </w:r>
    <w:r w:rsidR="002C75C1" w:rsidRPr="007247CA">
      <w:rPr>
        <w:rFonts w:ascii="Times New Roman" w:hAnsi="Times New Roman" w:cs="Times New Roman"/>
        <w:b/>
        <w:sz w:val="24"/>
        <w:szCs w:val="24"/>
      </w:rPr>
      <w:t xml:space="preserve"> </w:t>
    </w:r>
    <w:r w:rsidRPr="007247CA">
      <w:rPr>
        <w:rFonts w:ascii="Times New Roman" w:hAnsi="Times New Roman" w:cs="Times New Roman"/>
        <w:b/>
        <w:sz w:val="24"/>
        <w:szCs w:val="24"/>
      </w:rPr>
      <w:t>in Docket No. RM15-24</w:t>
    </w:r>
    <w:r w:rsidR="004F0E29" w:rsidRPr="007247CA">
      <w:rPr>
        <w:rFonts w:ascii="Times New Roman" w:hAnsi="Times New Roman" w:cs="Times New Roman"/>
        <w:b/>
        <w:sz w:val="24"/>
        <w:szCs w:val="24"/>
      </w:rPr>
      <w:t>-000</w:t>
    </w:r>
  </w:p>
  <w:p w14:paraId="447CC386" w14:textId="6E341014" w:rsidR="00DB1B57" w:rsidRDefault="00DB1B57" w:rsidP="00AD3DE5">
    <w:pPr>
      <w:pStyle w:val="Header"/>
      <w:rPr>
        <w:rFonts w:ascii="Times New Roman" w:hAnsi="Times New Roman" w:cs="Times New Roman"/>
        <w:b/>
        <w:sz w:val="24"/>
        <w:szCs w:val="24"/>
      </w:rPr>
    </w:pPr>
    <w:r w:rsidRPr="007247CA">
      <w:rPr>
        <w:rFonts w:ascii="Times New Roman" w:hAnsi="Times New Roman" w:cs="Times New Roman"/>
        <w:b/>
        <w:sz w:val="24"/>
        <w:szCs w:val="24"/>
      </w:rPr>
      <w:t xml:space="preserve">RIN: </w:t>
    </w:r>
    <w:r w:rsidR="00372CE3" w:rsidRPr="007247CA">
      <w:rPr>
        <w:rFonts w:ascii="Times New Roman" w:hAnsi="Times New Roman" w:cs="Times New Roman"/>
        <w:b/>
        <w:sz w:val="24"/>
        <w:szCs w:val="24"/>
      </w:rPr>
      <w:t>1902-AF12</w:t>
    </w:r>
  </w:p>
  <w:p w14:paraId="32CEC4FE" w14:textId="41681D70" w:rsidR="001D4570" w:rsidRPr="004715C5" w:rsidRDefault="001D4570" w:rsidP="00AD3DE5">
    <w:pPr>
      <w:pStyle w:val="Header"/>
      <w:rPr>
        <w:rFonts w:ascii="Times New Roman" w:hAnsi="Times New Roman" w:cs="Times New Roman"/>
        <w:b/>
        <w:sz w:val="24"/>
        <w:szCs w:val="24"/>
      </w:rPr>
    </w:pPr>
    <w:r>
      <w:rPr>
        <w:rFonts w:ascii="Times New Roman" w:hAnsi="Times New Roman" w:cs="Times New Roman"/>
        <w:b/>
        <w:sz w:val="24"/>
        <w:szCs w:val="24"/>
      </w:rPr>
      <w:t>(updated 9/13/2016)</w:t>
    </w:r>
  </w:p>
  <w:p w14:paraId="6FBC9138" w14:textId="77777777" w:rsidR="00DB1B57" w:rsidRDefault="00DB1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81CA7"/>
    <w:multiLevelType w:val="hybridMultilevel"/>
    <w:tmpl w:val="CCB0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17CC7"/>
    <w:multiLevelType w:val="hybridMultilevel"/>
    <w:tmpl w:val="8136728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16EB5D80"/>
    <w:multiLevelType w:val="hybridMultilevel"/>
    <w:tmpl w:val="62828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565407"/>
    <w:multiLevelType w:val="hybridMultilevel"/>
    <w:tmpl w:val="CD34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15:restartNumberingAfterBreak="0">
    <w:nsid w:val="49116067"/>
    <w:multiLevelType w:val="hybridMultilevel"/>
    <w:tmpl w:val="1A021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1"/>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2971"/>
    <w:rsid w:val="000036F6"/>
    <w:rsid w:val="00003B94"/>
    <w:rsid w:val="0002242D"/>
    <w:rsid w:val="00026117"/>
    <w:rsid w:val="00032244"/>
    <w:rsid w:val="00035845"/>
    <w:rsid w:val="00037E50"/>
    <w:rsid w:val="000515DF"/>
    <w:rsid w:val="00055815"/>
    <w:rsid w:val="00067091"/>
    <w:rsid w:val="00074DC8"/>
    <w:rsid w:val="0007704B"/>
    <w:rsid w:val="00086CEA"/>
    <w:rsid w:val="00090629"/>
    <w:rsid w:val="000921EA"/>
    <w:rsid w:val="000A22D0"/>
    <w:rsid w:val="000A7CBB"/>
    <w:rsid w:val="000B0C37"/>
    <w:rsid w:val="000B1908"/>
    <w:rsid w:val="000C2384"/>
    <w:rsid w:val="000C2704"/>
    <w:rsid w:val="000D16AE"/>
    <w:rsid w:val="000E34F4"/>
    <w:rsid w:val="000F0997"/>
    <w:rsid w:val="000F2D0B"/>
    <w:rsid w:val="000F34E5"/>
    <w:rsid w:val="000F6D3C"/>
    <w:rsid w:val="0011419F"/>
    <w:rsid w:val="00122655"/>
    <w:rsid w:val="00131BBB"/>
    <w:rsid w:val="001348AC"/>
    <w:rsid w:val="00136012"/>
    <w:rsid w:val="00137BA9"/>
    <w:rsid w:val="00137CA8"/>
    <w:rsid w:val="00143103"/>
    <w:rsid w:val="00154181"/>
    <w:rsid w:val="00155FCD"/>
    <w:rsid w:val="001606B6"/>
    <w:rsid w:val="001628BF"/>
    <w:rsid w:val="001628FA"/>
    <w:rsid w:val="001678D3"/>
    <w:rsid w:val="00172229"/>
    <w:rsid w:val="00180B70"/>
    <w:rsid w:val="00181727"/>
    <w:rsid w:val="00185730"/>
    <w:rsid w:val="00185ACA"/>
    <w:rsid w:val="00197A36"/>
    <w:rsid w:val="001A23A3"/>
    <w:rsid w:val="001B3E94"/>
    <w:rsid w:val="001C1550"/>
    <w:rsid w:val="001C1E51"/>
    <w:rsid w:val="001C479E"/>
    <w:rsid w:val="001D4570"/>
    <w:rsid w:val="001D5696"/>
    <w:rsid w:val="001D5974"/>
    <w:rsid w:val="001E2594"/>
    <w:rsid w:val="001F4604"/>
    <w:rsid w:val="001F76EF"/>
    <w:rsid w:val="00214798"/>
    <w:rsid w:val="00220CB1"/>
    <w:rsid w:val="002244B4"/>
    <w:rsid w:val="00224C33"/>
    <w:rsid w:val="0022604B"/>
    <w:rsid w:val="00230B5D"/>
    <w:rsid w:val="00230C1A"/>
    <w:rsid w:val="00236365"/>
    <w:rsid w:val="00241805"/>
    <w:rsid w:val="00243BFF"/>
    <w:rsid w:val="0025203F"/>
    <w:rsid w:val="00255CCF"/>
    <w:rsid w:val="00256AB3"/>
    <w:rsid w:val="00263EB8"/>
    <w:rsid w:val="0026674D"/>
    <w:rsid w:val="00267372"/>
    <w:rsid w:val="00274F78"/>
    <w:rsid w:val="002763B3"/>
    <w:rsid w:val="0028361F"/>
    <w:rsid w:val="00284296"/>
    <w:rsid w:val="00286C9B"/>
    <w:rsid w:val="00287E1F"/>
    <w:rsid w:val="00293588"/>
    <w:rsid w:val="00294635"/>
    <w:rsid w:val="00295EF4"/>
    <w:rsid w:val="0029690C"/>
    <w:rsid w:val="002A4322"/>
    <w:rsid w:val="002A61BD"/>
    <w:rsid w:val="002B13E2"/>
    <w:rsid w:val="002C4468"/>
    <w:rsid w:val="002C75C1"/>
    <w:rsid w:val="002D6F4E"/>
    <w:rsid w:val="002E01E0"/>
    <w:rsid w:val="002E48FD"/>
    <w:rsid w:val="002F1B03"/>
    <w:rsid w:val="0030149C"/>
    <w:rsid w:val="00302A58"/>
    <w:rsid w:val="00307830"/>
    <w:rsid w:val="00312013"/>
    <w:rsid w:val="0031275C"/>
    <w:rsid w:val="00313383"/>
    <w:rsid w:val="0031448C"/>
    <w:rsid w:val="00316732"/>
    <w:rsid w:val="00323532"/>
    <w:rsid w:val="003316E0"/>
    <w:rsid w:val="003335E1"/>
    <w:rsid w:val="00340DFE"/>
    <w:rsid w:val="00345419"/>
    <w:rsid w:val="003472ED"/>
    <w:rsid w:val="003515F8"/>
    <w:rsid w:val="00355F8B"/>
    <w:rsid w:val="00363749"/>
    <w:rsid w:val="00370146"/>
    <w:rsid w:val="00372CE3"/>
    <w:rsid w:val="00376ECF"/>
    <w:rsid w:val="003804AA"/>
    <w:rsid w:val="00382A51"/>
    <w:rsid w:val="0039018B"/>
    <w:rsid w:val="00395DDD"/>
    <w:rsid w:val="003A5971"/>
    <w:rsid w:val="003B3B61"/>
    <w:rsid w:val="003C0C7E"/>
    <w:rsid w:val="003C3866"/>
    <w:rsid w:val="003D0F2B"/>
    <w:rsid w:val="003D6545"/>
    <w:rsid w:val="003E13F3"/>
    <w:rsid w:val="003E7B94"/>
    <w:rsid w:val="003F6355"/>
    <w:rsid w:val="003F71E1"/>
    <w:rsid w:val="0040502E"/>
    <w:rsid w:val="004115D5"/>
    <w:rsid w:val="00414F32"/>
    <w:rsid w:val="00417D0D"/>
    <w:rsid w:val="00423767"/>
    <w:rsid w:val="00425D3F"/>
    <w:rsid w:val="0042731D"/>
    <w:rsid w:val="004276A5"/>
    <w:rsid w:val="004300C0"/>
    <w:rsid w:val="004337FD"/>
    <w:rsid w:val="004374EA"/>
    <w:rsid w:val="00440C1B"/>
    <w:rsid w:val="00463089"/>
    <w:rsid w:val="00466C57"/>
    <w:rsid w:val="004715C5"/>
    <w:rsid w:val="004765EB"/>
    <w:rsid w:val="00482F51"/>
    <w:rsid w:val="004869D1"/>
    <w:rsid w:val="00491383"/>
    <w:rsid w:val="00491674"/>
    <w:rsid w:val="004A5128"/>
    <w:rsid w:val="004C001C"/>
    <w:rsid w:val="004C1444"/>
    <w:rsid w:val="004C3F35"/>
    <w:rsid w:val="004C4C89"/>
    <w:rsid w:val="004C5E0E"/>
    <w:rsid w:val="004D608E"/>
    <w:rsid w:val="004D7DA8"/>
    <w:rsid w:val="004F0753"/>
    <w:rsid w:val="004F0E29"/>
    <w:rsid w:val="004F6977"/>
    <w:rsid w:val="0050608E"/>
    <w:rsid w:val="00521FFF"/>
    <w:rsid w:val="00522F69"/>
    <w:rsid w:val="005247A2"/>
    <w:rsid w:val="0053287C"/>
    <w:rsid w:val="00532BF6"/>
    <w:rsid w:val="00541A6C"/>
    <w:rsid w:val="005434C1"/>
    <w:rsid w:val="005474BF"/>
    <w:rsid w:val="0055290C"/>
    <w:rsid w:val="005565B5"/>
    <w:rsid w:val="00563175"/>
    <w:rsid w:val="0056772F"/>
    <w:rsid w:val="00570685"/>
    <w:rsid w:val="00571C5E"/>
    <w:rsid w:val="00571EC8"/>
    <w:rsid w:val="00574076"/>
    <w:rsid w:val="0057700F"/>
    <w:rsid w:val="00583B41"/>
    <w:rsid w:val="005866D6"/>
    <w:rsid w:val="00590472"/>
    <w:rsid w:val="005A17EE"/>
    <w:rsid w:val="005A2792"/>
    <w:rsid w:val="005A3F23"/>
    <w:rsid w:val="005A71BE"/>
    <w:rsid w:val="005B501F"/>
    <w:rsid w:val="005B77CE"/>
    <w:rsid w:val="005C1545"/>
    <w:rsid w:val="005C3EAC"/>
    <w:rsid w:val="005C615A"/>
    <w:rsid w:val="005D235C"/>
    <w:rsid w:val="005D73E9"/>
    <w:rsid w:val="005F1C3C"/>
    <w:rsid w:val="005F6B8C"/>
    <w:rsid w:val="00605400"/>
    <w:rsid w:val="00605B9C"/>
    <w:rsid w:val="00606919"/>
    <w:rsid w:val="0060783D"/>
    <w:rsid w:val="00615A5C"/>
    <w:rsid w:val="006166FA"/>
    <w:rsid w:val="00630A34"/>
    <w:rsid w:val="0063196F"/>
    <w:rsid w:val="00632BBE"/>
    <w:rsid w:val="006439AA"/>
    <w:rsid w:val="00646AB5"/>
    <w:rsid w:val="00664BC0"/>
    <w:rsid w:val="00676985"/>
    <w:rsid w:val="00682F33"/>
    <w:rsid w:val="00690136"/>
    <w:rsid w:val="00690B37"/>
    <w:rsid w:val="006A4AD1"/>
    <w:rsid w:val="006B437C"/>
    <w:rsid w:val="006D1C4E"/>
    <w:rsid w:val="006D78F5"/>
    <w:rsid w:val="006F7AE1"/>
    <w:rsid w:val="0070799F"/>
    <w:rsid w:val="00707EC1"/>
    <w:rsid w:val="007247CA"/>
    <w:rsid w:val="007255CC"/>
    <w:rsid w:val="00727199"/>
    <w:rsid w:val="0074195A"/>
    <w:rsid w:val="00773AEB"/>
    <w:rsid w:val="00787670"/>
    <w:rsid w:val="007A2F92"/>
    <w:rsid w:val="007B447B"/>
    <w:rsid w:val="007B5786"/>
    <w:rsid w:val="007C28CF"/>
    <w:rsid w:val="007C2EE6"/>
    <w:rsid w:val="007C55D6"/>
    <w:rsid w:val="007D0839"/>
    <w:rsid w:val="007D0FC9"/>
    <w:rsid w:val="007D432D"/>
    <w:rsid w:val="007D6B81"/>
    <w:rsid w:val="007E7C0F"/>
    <w:rsid w:val="007F2F2F"/>
    <w:rsid w:val="007F74B4"/>
    <w:rsid w:val="00812EF1"/>
    <w:rsid w:val="008257B2"/>
    <w:rsid w:val="008352B4"/>
    <w:rsid w:val="00835A02"/>
    <w:rsid w:val="00843A92"/>
    <w:rsid w:val="00854878"/>
    <w:rsid w:val="00857577"/>
    <w:rsid w:val="008619E1"/>
    <w:rsid w:val="00862AA0"/>
    <w:rsid w:val="008640C3"/>
    <w:rsid w:val="008725DB"/>
    <w:rsid w:val="00873779"/>
    <w:rsid w:val="00876F75"/>
    <w:rsid w:val="008911E8"/>
    <w:rsid w:val="008A1B1F"/>
    <w:rsid w:val="008A21A4"/>
    <w:rsid w:val="008A26B1"/>
    <w:rsid w:val="008A2B11"/>
    <w:rsid w:val="008A5481"/>
    <w:rsid w:val="008A5C6B"/>
    <w:rsid w:val="008A76A0"/>
    <w:rsid w:val="008B703B"/>
    <w:rsid w:val="008C1798"/>
    <w:rsid w:val="008C238C"/>
    <w:rsid w:val="008C288D"/>
    <w:rsid w:val="008C46D9"/>
    <w:rsid w:val="008C5970"/>
    <w:rsid w:val="008D310F"/>
    <w:rsid w:val="008E1B72"/>
    <w:rsid w:val="008E70CD"/>
    <w:rsid w:val="008E7899"/>
    <w:rsid w:val="00900ECD"/>
    <w:rsid w:val="009041B9"/>
    <w:rsid w:val="00913A8B"/>
    <w:rsid w:val="00916744"/>
    <w:rsid w:val="0092440D"/>
    <w:rsid w:val="00936070"/>
    <w:rsid w:val="00940395"/>
    <w:rsid w:val="00940BBD"/>
    <w:rsid w:val="00950ECA"/>
    <w:rsid w:val="00956605"/>
    <w:rsid w:val="00957900"/>
    <w:rsid w:val="0096601C"/>
    <w:rsid w:val="00970FE4"/>
    <w:rsid w:val="00983086"/>
    <w:rsid w:val="009C0135"/>
    <w:rsid w:val="009E1190"/>
    <w:rsid w:val="009F2240"/>
    <w:rsid w:val="00A03E2E"/>
    <w:rsid w:val="00A13882"/>
    <w:rsid w:val="00A1673A"/>
    <w:rsid w:val="00A20FE4"/>
    <w:rsid w:val="00A21355"/>
    <w:rsid w:val="00A22D15"/>
    <w:rsid w:val="00A276F5"/>
    <w:rsid w:val="00A27C78"/>
    <w:rsid w:val="00A3140F"/>
    <w:rsid w:val="00A3379C"/>
    <w:rsid w:val="00A56DF5"/>
    <w:rsid w:val="00A63343"/>
    <w:rsid w:val="00A646B3"/>
    <w:rsid w:val="00A72004"/>
    <w:rsid w:val="00A72E7B"/>
    <w:rsid w:val="00A80014"/>
    <w:rsid w:val="00A9169E"/>
    <w:rsid w:val="00A95E06"/>
    <w:rsid w:val="00A96B65"/>
    <w:rsid w:val="00AA38F1"/>
    <w:rsid w:val="00AA3A0B"/>
    <w:rsid w:val="00AB2354"/>
    <w:rsid w:val="00AB4B12"/>
    <w:rsid w:val="00AB63CA"/>
    <w:rsid w:val="00AC32B9"/>
    <w:rsid w:val="00AC56F9"/>
    <w:rsid w:val="00AD14B6"/>
    <w:rsid w:val="00AD3DE5"/>
    <w:rsid w:val="00AE59AD"/>
    <w:rsid w:val="00B044A4"/>
    <w:rsid w:val="00B047E2"/>
    <w:rsid w:val="00B101A2"/>
    <w:rsid w:val="00B10DB2"/>
    <w:rsid w:val="00B14675"/>
    <w:rsid w:val="00B14E8C"/>
    <w:rsid w:val="00B26977"/>
    <w:rsid w:val="00B27783"/>
    <w:rsid w:val="00B35318"/>
    <w:rsid w:val="00B432B9"/>
    <w:rsid w:val="00B44020"/>
    <w:rsid w:val="00B60795"/>
    <w:rsid w:val="00B62259"/>
    <w:rsid w:val="00B66628"/>
    <w:rsid w:val="00B721AF"/>
    <w:rsid w:val="00B77616"/>
    <w:rsid w:val="00B8024E"/>
    <w:rsid w:val="00B95800"/>
    <w:rsid w:val="00BA1C7D"/>
    <w:rsid w:val="00BA7C56"/>
    <w:rsid w:val="00BC248C"/>
    <w:rsid w:val="00BC5A3C"/>
    <w:rsid w:val="00BD46DC"/>
    <w:rsid w:val="00BD59CC"/>
    <w:rsid w:val="00C01698"/>
    <w:rsid w:val="00C02766"/>
    <w:rsid w:val="00C06256"/>
    <w:rsid w:val="00C12232"/>
    <w:rsid w:val="00C138F2"/>
    <w:rsid w:val="00C32305"/>
    <w:rsid w:val="00C33EDB"/>
    <w:rsid w:val="00C50C77"/>
    <w:rsid w:val="00C510DD"/>
    <w:rsid w:val="00C63B6A"/>
    <w:rsid w:val="00C94D42"/>
    <w:rsid w:val="00CA0069"/>
    <w:rsid w:val="00CA2482"/>
    <w:rsid w:val="00CA495F"/>
    <w:rsid w:val="00CA59C3"/>
    <w:rsid w:val="00CD47E2"/>
    <w:rsid w:val="00CD78AF"/>
    <w:rsid w:val="00CE2735"/>
    <w:rsid w:val="00CE680E"/>
    <w:rsid w:val="00CF4176"/>
    <w:rsid w:val="00CF759C"/>
    <w:rsid w:val="00D04207"/>
    <w:rsid w:val="00D05A67"/>
    <w:rsid w:val="00D075A0"/>
    <w:rsid w:val="00D1096D"/>
    <w:rsid w:val="00D160B9"/>
    <w:rsid w:val="00D2375A"/>
    <w:rsid w:val="00D261CB"/>
    <w:rsid w:val="00D27419"/>
    <w:rsid w:val="00D306DD"/>
    <w:rsid w:val="00D349D4"/>
    <w:rsid w:val="00D355BD"/>
    <w:rsid w:val="00D7505E"/>
    <w:rsid w:val="00D76508"/>
    <w:rsid w:val="00D80FBD"/>
    <w:rsid w:val="00D95509"/>
    <w:rsid w:val="00D9639B"/>
    <w:rsid w:val="00D96E80"/>
    <w:rsid w:val="00DA65A7"/>
    <w:rsid w:val="00DB1B57"/>
    <w:rsid w:val="00DB34AF"/>
    <w:rsid w:val="00DC4E36"/>
    <w:rsid w:val="00DD1976"/>
    <w:rsid w:val="00DE0AB7"/>
    <w:rsid w:val="00E03105"/>
    <w:rsid w:val="00E11CA6"/>
    <w:rsid w:val="00E14565"/>
    <w:rsid w:val="00E168A8"/>
    <w:rsid w:val="00E20612"/>
    <w:rsid w:val="00E36F12"/>
    <w:rsid w:val="00E45498"/>
    <w:rsid w:val="00E46868"/>
    <w:rsid w:val="00E53DBD"/>
    <w:rsid w:val="00E5569D"/>
    <w:rsid w:val="00E5742F"/>
    <w:rsid w:val="00E636D7"/>
    <w:rsid w:val="00E66E17"/>
    <w:rsid w:val="00E75E2A"/>
    <w:rsid w:val="00E77499"/>
    <w:rsid w:val="00E817CF"/>
    <w:rsid w:val="00E87A4F"/>
    <w:rsid w:val="00EA1977"/>
    <w:rsid w:val="00EA5ADE"/>
    <w:rsid w:val="00EA752C"/>
    <w:rsid w:val="00EB35C2"/>
    <w:rsid w:val="00EB374E"/>
    <w:rsid w:val="00EB3E6F"/>
    <w:rsid w:val="00EB4FE8"/>
    <w:rsid w:val="00EC7715"/>
    <w:rsid w:val="00ED5560"/>
    <w:rsid w:val="00EF5630"/>
    <w:rsid w:val="00F0300B"/>
    <w:rsid w:val="00F1100F"/>
    <w:rsid w:val="00F118DB"/>
    <w:rsid w:val="00F12DC2"/>
    <w:rsid w:val="00F130BB"/>
    <w:rsid w:val="00F132A1"/>
    <w:rsid w:val="00F1394E"/>
    <w:rsid w:val="00F14038"/>
    <w:rsid w:val="00F152DF"/>
    <w:rsid w:val="00F16AFE"/>
    <w:rsid w:val="00F20171"/>
    <w:rsid w:val="00F22CFE"/>
    <w:rsid w:val="00F23AEA"/>
    <w:rsid w:val="00F3085D"/>
    <w:rsid w:val="00F50384"/>
    <w:rsid w:val="00F57804"/>
    <w:rsid w:val="00F725E6"/>
    <w:rsid w:val="00F73647"/>
    <w:rsid w:val="00F74C9B"/>
    <w:rsid w:val="00F80112"/>
    <w:rsid w:val="00F81142"/>
    <w:rsid w:val="00F8440A"/>
    <w:rsid w:val="00F859F0"/>
    <w:rsid w:val="00F91086"/>
    <w:rsid w:val="00F95A9B"/>
    <w:rsid w:val="00F95CFB"/>
    <w:rsid w:val="00FA3586"/>
    <w:rsid w:val="00FA6858"/>
    <w:rsid w:val="00FB5060"/>
    <w:rsid w:val="00FB7B6F"/>
    <w:rsid w:val="00FD0340"/>
    <w:rsid w:val="00FD66F1"/>
    <w:rsid w:val="00FE7B25"/>
    <w:rsid w:val="00FF0796"/>
    <w:rsid w:val="00F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C90F1"/>
  <w15:docId w15:val="{4C280C6C-2980-408A-B8C9-B2322930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8447">
      <w:bodyDiv w:val="1"/>
      <w:marLeft w:val="0"/>
      <w:marRight w:val="0"/>
      <w:marTop w:val="0"/>
      <w:marBottom w:val="0"/>
      <w:divBdr>
        <w:top w:val="none" w:sz="0" w:space="0" w:color="auto"/>
        <w:left w:val="none" w:sz="0" w:space="0" w:color="auto"/>
        <w:bottom w:val="none" w:sz="0" w:space="0" w:color="auto"/>
        <w:right w:val="none" w:sz="0" w:space="0" w:color="auto"/>
      </w:divBdr>
    </w:div>
    <w:div w:id="1271623192">
      <w:bodyDiv w:val="1"/>
      <w:marLeft w:val="0"/>
      <w:marRight w:val="0"/>
      <w:marTop w:val="0"/>
      <w:marBottom w:val="0"/>
      <w:divBdr>
        <w:top w:val="none" w:sz="0" w:space="0" w:color="auto"/>
        <w:left w:val="none" w:sz="0" w:space="0" w:color="auto"/>
        <w:bottom w:val="none" w:sz="0" w:space="0" w:color="auto"/>
        <w:right w:val="none" w:sz="0" w:space="0" w:color="auto"/>
      </w:divBdr>
    </w:div>
    <w:div w:id="1589919473">
      <w:bodyDiv w:val="1"/>
      <w:marLeft w:val="0"/>
      <w:marRight w:val="0"/>
      <w:marTop w:val="0"/>
      <w:marBottom w:val="0"/>
      <w:divBdr>
        <w:top w:val="none" w:sz="0" w:space="0" w:color="auto"/>
        <w:left w:val="none" w:sz="0" w:space="0" w:color="auto"/>
        <w:bottom w:val="none" w:sz="0" w:space="0" w:color="auto"/>
        <w:right w:val="none" w:sz="0" w:space="0" w:color="auto"/>
      </w:divBdr>
    </w:div>
    <w:div w:id="18305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tariff.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library.ferc.gov/idmws/common/opennat.asp?fileID=13989191" TargetMode="External"/><Relationship Id="rId2" Type="http://schemas.openxmlformats.org/officeDocument/2006/relationships/hyperlink" Target="http://elibrary.ferc.gov/idmws/common/opennat.asp?fileID=13991253" TargetMode="External"/><Relationship Id="rId1" Type="http://schemas.openxmlformats.org/officeDocument/2006/relationships/hyperlink" Target="http://elibrary.ferc.gov/idmws/common/opennat.asp?fileID=13989182" TargetMode="External"/><Relationship Id="rId4" Type="http://schemas.openxmlformats.org/officeDocument/2006/relationships/hyperlink" Target="http://elibrary-backup.ferc.gov/idmws/common/OpenNat.asp?fileID=14278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ate xmlns="d6eefc7d-9817-4fa6-84d5-3bc009be21b8">2016-09-13T00:00:00-04:00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516D</_x0031__x002e__x0020_Collection_x0020_Number>
    <Status xmlns="d6eefc7d-9817-4fa6-84d5-3bc009be21b8">Draft</Status>
    <_x0032__x002e__x0020_Docket_x0020_Number xmlns="d6eefc7d-9817-4fa6-84d5-3bc009be21b8" xsi:nil="true"/>
    <_x0032__x002e__x0020_Collection_x0020_Number xmlns="d6eefc7d-9817-4fa6-84d5-3bc009be21b8">516</_x0032__x002e__x0020_Collection_x0020_Number>
    <_x0031__x002e__x0020_Docket_x0020_Number xmlns="d6eefc7d-9817-4fa6-84d5-3bc009be21b8">RM15-24</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1658B3A1-E140-4B1E-B4D0-D6EE2DAFE1FF}">
  <ds:schemaRefs>
    <ds:schemaRef ds:uri="http://schemas.microsoft.com/office/2006/metadata/customXsn"/>
  </ds:schemaRefs>
</ds:datastoreItem>
</file>

<file path=customXml/itemProps4.xml><?xml version="1.0" encoding="utf-8"?>
<ds:datastoreItem xmlns:ds="http://schemas.openxmlformats.org/officeDocument/2006/customXml" ds:itemID="{416EAB37-9C6D-45CB-B580-701E57D2C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CCEAC8-D088-4093-BBF8-68E98EA5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draftRM15-24 Final Rule supporting statement</vt:lpstr>
    </vt:vector>
  </TitlesOfParts>
  <Company>FERC</Company>
  <LinksUpToDate>false</LinksUpToDate>
  <CharactersWithSpaces>15465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draftRM15-24 Final Rule supporting statement</dc:title>
  <dc:creator>ferc</dc:creator>
  <cp:lastModifiedBy>Ellen Brown</cp:lastModifiedBy>
  <cp:revision>2</cp:revision>
  <dcterms:created xsi:type="dcterms:W3CDTF">2016-09-13T18:27:00Z</dcterms:created>
  <dcterms:modified xsi:type="dcterms:W3CDTF">2016-09-13T18:27:00Z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