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 – Student Right-to-Know (SRK)</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 Subpart D – Institutional and Financial Assistance Information for </w:t>
      </w:r>
      <w:r w:rsidR="001B174E" w:rsidRPr="008C5150">
        <w:rPr>
          <w:rFonts w:ascii="Times New Roman" w:hAnsi="Times New Roman"/>
          <w:szCs w:val="24"/>
        </w:rPr>
        <w:t xml:space="preserve">§668.41 - </w:t>
      </w:r>
      <w:r w:rsidRPr="008C5150">
        <w:rPr>
          <w:rFonts w:ascii="Times New Roman" w:hAnsi="Times New Roman"/>
          <w:szCs w:val="24"/>
        </w:rPr>
        <w:t xml:space="preserve">Reporting and disclosure of information.  These proposed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B174E"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These proposed regulations are intended to ensure that current and prospective students are provided with warnings </w:t>
      </w:r>
      <w:r w:rsidR="00B53437" w:rsidRPr="008C5150">
        <w:rPr>
          <w:rFonts w:ascii="Times New Roman" w:hAnsi="Times New Roman"/>
          <w:szCs w:val="24"/>
        </w:rPr>
        <w:t xml:space="preserve">through individual notification or group notification </w:t>
      </w:r>
      <w:r w:rsidRPr="008C5150">
        <w:rPr>
          <w:rFonts w:ascii="Times New Roman" w:hAnsi="Times New Roman"/>
          <w:szCs w:val="24"/>
        </w:rPr>
        <w:t>if a</w:t>
      </w:r>
      <w:r w:rsidR="005A60E7" w:rsidRPr="008C5150">
        <w:rPr>
          <w:rFonts w:ascii="Times New Roman" w:hAnsi="Times New Roman"/>
          <w:szCs w:val="24"/>
        </w:rPr>
        <w:t xml:space="preserve"> proprietary</w:t>
      </w:r>
      <w:r w:rsidRPr="008C5150">
        <w:rPr>
          <w:rFonts w:ascii="Times New Roman" w:hAnsi="Times New Roman"/>
          <w:szCs w:val="24"/>
        </w:rPr>
        <w:t xml:space="preserve"> institution’s re</w:t>
      </w:r>
      <w:r w:rsidR="005A60E7" w:rsidRPr="008C5150">
        <w:rPr>
          <w:rFonts w:ascii="Times New Roman" w:hAnsi="Times New Roman"/>
          <w:szCs w:val="24"/>
        </w:rPr>
        <w:t>payment rate, as calculated by the Department</w:t>
      </w:r>
      <w:r w:rsidR="00B53437">
        <w:rPr>
          <w:rFonts w:ascii="Times New Roman" w:hAnsi="Times New Roman"/>
          <w:szCs w:val="24"/>
        </w:rPr>
        <w:t>,</w:t>
      </w:r>
      <w:r w:rsidR="005A60E7" w:rsidRPr="008C5150">
        <w:rPr>
          <w:rFonts w:ascii="Times New Roman" w:hAnsi="Times New Roman"/>
          <w:szCs w:val="24"/>
        </w:rPr>
        <w:t xml:space="preserve"> </w:t>
      </w:r>
      <w:r w:rsidRPr="008C5150">
        <w:rPr>
          <w:rFonts w:ascii="Times New Roman" w:hAnsi="Times New Roman"/>
          <w:szCs w:val="24"/>
        </w:rPr>
        <w:t>meets specified criteria</w:t>
      </w:r>
      <w:r w:rsidR="005A60E7" w:rsidRPr="008C5150">
        <w:rPr>
          <w:rFonts w:ascii="Times New Roman" w:hAnsi="Times New Roman"/>
          <w:szCs w:val="24"/>
        </w:rPr>
        <w:t xml:space="preserve"> and that such </w:t>
      </w:r>
      <w:r w:rsidR="00B53437">
        <w:rPr>
          <w:rFonts w:ascii="Times New Roman" w:hAnsi="Times New Roman"/>
          <w:szCs w:val="24"/>
        </w:rPr>
        <w:t xml:space="preserve">required </w:t>
      </w:r>
      <w:r w:rsidR="005A60E7" w:rsidRPr="008C5150">
        <w:rPr>
          <w:rFonts w:ascii="Times New Roman" w:hAnsi="Times New Roman"/>
          <w:szCs w:val="24"/>
        </w:rPr>
        <w:t>rate information are prominently included in all promotional materials.  Additionally, current and prospective students must be provided with warnings through individual notification or group notification i</w:t>
      </w:r>
      <w:r w:rsidRPr="008C5150">
        <w:rPr>
          <w:rFonts w:ascii="Times New Roman" w:hAnsi="Times New Roman"/>
          <w:szCs w:val="24"/>
        </w:rPr>
        <w:t>f the Department requires a</w:t>
      </w:r>
      <w:r w:rsidR="005A60E7" w:rsidRPr="008C5150">
        <w:rPr>
          <w:rFonts w:ascii="Times New Roman" w:hAnsi="Times New Roman"/>
          <w:szCs w:val="24"/>
        </w:rPr>
        <w:t xml:space="preserve"> private or proprietary</w:t>
      </w:r>
      <w:r w:rsidRPr="008C5150">
        <w:rPr>
          <w:rFonts w:ascii="Times New Roman" w:hAnsi="Times New Roman"/>
          <w:szCs w:val="24"/>
        </w:rPr>
        <w:t xml:space="preserve"> institution t</w:t>
      </w:r>
      <w:r w:rsidR="00B53437">
        <w:rPr>
          <w:rFonts w:ascii="Times New Roman" w:hAnsi="Times New Roman"/>
          <w:szCs w:val="24"/>
        </w:rPr>
        <w:t xml:space="preserve">o provide financial protections, such as a letter of credit </w:t>
      </w:r>
      <w:r w:rsidRPr="008C5150">
        <w:rPr>
          <w:rFonts w:ascii="Times New Roman" w:hAnsi="Times New Roman"/>
          <w:szCs w:val="24"/>
        </w:rPr>
        <w:t xml:space="preserve">based on specified criteria.  The proposed regulations also provide for a challenge process for </w:t>
      </w:r>
      <w:r w:rsidR="005A60E7" w:rsidRPr="008C5150">
        <w:rPr>
          <w:rFonts w:ascii="Times New Roman" w:hAnsi="Times New Roman"/>
          <w:szCs w:val="24"/>
        </w:rPr>
        <w:t xml:space="preserve">proprietary </w:t>
      </w:r>
      <w:r w:rsidRPr="008C5150">
        <w:rPr>
          <w:rFonts w:ascii="Times New Roman" w:hAnsi="Times New Roman"/>
          <w:szCs w:val="24"/>
        </w:rPr>
        <w:t>institutions regarding the Department’s repayment rate calculations.</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will be used </w:t>
      </w:r>
      <w:r w:rsidR="00E5073B" w:rsidRPr="008C5150">
        <w:rPr>
          <w:rFonts w:ascii="Times New Roman" w:hAnsi="Times New Roman"/>
          <w:szCs w:val="24"/>
        </w:rPr>
        <w:t>by</w:t>
      </w:r>
      <w:r w:rsidRPr="008C5150">
        <w:rPr>
          <w:rFonts w:ascii="Times New Roman" w:hAnsi="Times New Roman"/>
          <w:szCs w:val="24"/>
        </w:rPr>
        <w:t xml:space="preserve"> current and prospective students to assist them in making informed decisions</w:t>
      </w:r>
      <w:r w:rsidR="00E5073B" w:rsidRPr="008C5150">
        <w:rPr>
          <w:rFonts w:ascii="Times New Roman" w:hAnsi="Times New Roman"/>
          <w:szCs w:val="24"/>
        </w:rPr>
        <w:t xml:space="preserve"> about </w:t>
      </w:r>
      <w:r w:rsidR="00B53437">
        <w:rPr>
          <w:rFonts w:ascii="Times New Roman" w:hAnsi="Times New Roman"/>
          <w:szCs w:val="24"/>
        </w:rPr>
        <w:t xml:space="preserve">enrollment or continued enrollment in </w:t>
      </w:r>
      <w:r w:rsidR="00E5073B" w:rsidRPr="008C5150">
        <w:rPr>
          <w:rFonts w:ascii="Times New Roman" w:hAnsi="Times New Roman"/>
          <w:szCs w:val="24"/>
        </w:rPr>
        <w:t>postsecondary institutions.</w:t>
      </w:r>
      <w:r w:rsidRPr="008C5150">
        <w:rPr>
          <w:rFonts w:ascii="Times New Roman" w:hAnsi="Times New Roman"/>
          <w:szCs w:val="24"/>
        </w:rPr>
        <w:t xml:space="preserve"> </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There are no prohibitions to the use of technology in providing the required warnings to current and prospective students individually as well as in promotional materials.  It is anticipated that many institutions will use electronic means to provide the warnings to students.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B53437">
        <w:rPr>
          <w:rFonts w:ascii="Times New Roman" w:hAnsi="Times New Roman"/>
          <w:szCs w:val="24"/>
        </w:rPr>
        <w:t xml:space="preserve">  While the Department anticipates that</w:t>
      </w:r>
      <w:r w:rsidR="00223E5B" w:rsidRPr="008C5150">
        <w:rPr>
          <w:rFonts w:ascii="Times New Roman" w:hAnsi="Times New Roman"/>
          <w:szCs w:val="24"/>
        </w:rPr>
        <w:t xml:space="preserv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The proposed regulations require warnings to be sent by institutions to current and prospect students.  These warnings are meant to provide additional consumer information upon which financial decisions can be made.  Not providing the warnings c</w:t>
      </w:r>
      <w:r w:rsidR="002703C5" w:rsidRPr="008C5150">
        <w:rPr>
          <w:rFonts w:ascii="Times New Roman" w:hAnsi="Times New Roman"/>
          <w:szCs w:val="24"/>
        </w:rPr>
        <w:t>ould</w:t>
      </w:r>
      <w:r w:rsidRPr="008C5150">
        <w:rPr>
          <w:rFonts w:ascii="Times New Roman" w:hAnsi="Times New Roman"/>
          <w:szCs w:val="24"/>
        </w:rPr>
        <w:t xml:space="preserve"> cause a student </w:t>
      </w:r>
      <w:r w:rsidR="00605287" w:rsidRPr="008C5150">
        <w:rPr>
          <w:rFonts w:ascii="Times New Roman" w:hAnsi="Times New Roman"/>
          <w:szCs w:val="24"/>
        </w:rPr>
        <w:t xml:space="preserve">to </w:t>
      </w:r>
      <w:r w:rsidRPr="008C5150">
        <w:rPr>
          <w:rFonts w:ascii="Times New Roman" w:hAnsi="Times New Roman"/>
          <w:szCs w:val="24"/>
        </w:rPr>
        <w:t xml:space="preserve">begin attendance at a school that they </w:t>
      </w:r>
      <w:r w:rsidR="00605287" w:rsidRPr="008C5150">
        <w:rPr>
          <w:rFonts w:ascii="Times New Roman" w:hAnsi="Times New Roman"/>
          <w:szCs w:val="24"/>
        </w:rPr>
        <w:t>might</w:t>
      </w:r>
      <w:r w:rsidRPr="008C5150">
        <w:rPr>
          <w:rFonts w:ascii="Times New Roman" w:hAnsi="Times New Roman"/>
          <w:szCs w:val="24"/>
        </w:rPr>
        <w:t xml:space="preserve"> otherwise have not attended without the loan repayment rate or financial protections warning information.</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lastRenderedPageBreak/>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will run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Describe any assurance of confidentiality provided to respondents and the basis for the assurance in statute, regulation, or agency policy. If personally identifiable information </w:t>
      </w:r>
      <w:r w:rsidRPr="008C5150">
        <w:rPr>
          <w:rFonts w:ascii="Times New Roman" w:hAnsi="Times New Roman"/>
          <w:szCs w:val="24"/>
        </w:rPr>
        <w:lastRenderedPageBreak/>
        <w:t>(PII)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 xml:space="preserve">Provide estimates of annualized cost to respondents of the hour burdens for collections of information, identifying and using appropriate wage rate categories.  The cost of </w:t>
      </w:r>
      <w:r w:rsidRPr="008C5150">
        <w:rPr>
          <w:rStyle w:val="a"/>
          <w:rFonts w:ascii="Times New Roman" w:hAnsi="Times New Roman"/>
          <w:szCs w:val="24"/>
        </w:rPr>
        <w:lastRenderedPageBreak/>
        <w:t>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5711D1" w:rsidRPr="008C5150" w:rsidRDefault="005711D1" w:rsidP="005711D1">
      <w:pPr>
        <w:ind w:left="720"/>
        <w:rPr>
          <w:rFonts w:ascii="Times New Roman" w:hAnsi="Times New Roman"/>
          <w:szCs w:val="24"/>
          <w:u w:val="single"/>
        </w:rPr>
      </w:pPr>
      <w:r w:rsidRPr="008C5150">
        <w:rPr>
          <w:rFonts w:ascii="Times New Roman" w:hAnsi="Times New Roman"/>
          <w:szCs w:val="24"/>
          <w:u w:val="single"/>
        </w:rPr>
        <w:t>Section §668.41--Reporting and disclosure of information.</w:t>
      </w:r>
    </w:p>
    <w:p w:rsidR="005711D1" w:rsidRPr="008C5150" w:rsidRDefault="005711D1" w:rsidP="005711D1">
      <w:pPr>
        <w:ind w:firstLine="720"/>
        <w:rPr>
          <w:rFonts w:ascii="Times New Roman" w:hAnsi="Times New Roman"/>
          <w:szCs w:val="24"/>
        </w:rPr>
      </w:pPr>
    </w:p>
    <w:p w:rsidR="005711D1" w:rsidRPr="008C5150" w:rsidRDefault="005711D1" w:rsidP="005711D1">
      <w:pPr>
        <w:ind w:left="720"/>
        <w:rPr>
          <w:rFonts w:ascii="Times New Roman" w:hAnsi="Times New Roman"/>
          <w:szCs w:val="24"/>
        </w:rPr>
      </w:pPr>
      <w:r w:rsidRPr="008C5150">
        <w:rPr>
          <w:rFonts w:ascii="Times New Roman" w:hAnsi="Times New Roman"/>
          <w:szCs w:val="24"/>
        </w:rPr>
        <w:t>Under proposed §668.41(h) the institution must deliver a warning about its repayment outcomes to enrolled and prospective students and would expand the reporting and disclosure requirements under §668.41 to provide that, for any fiscal year in which a proprietary institution’s loan repayment rate is equal to or less than zero,.  Institutions with fewer than 10 borrowers, or that meet the threshold for a low borrowing rate exemption, would not be required to make the disclosure.</w:t>
      </w:r>
    </w:p>
    <w:p w:rsidR="005711D1" w:rsidRPr="008C5150" w:rsidRDefault="005711D1" w:rsidP="005711D1">
      <w:pPr>
        <w:ind w:left="720"/>
        <w:rPr>
          <w:rFonts w:ascii="Times New Roman" w:eastAsiaTheme="minorHAnsi" w:hAnsi="Times New Roman"/>
          <w:bCs/>
          <w:szCs w:val="24"/>
        </w:rPr>
      </w:pPr>
    </w:p>
    <w:p w:rsidR="005711D1" w:rsidRPr="008C5150" w:rsidRDefault="005711D1" w:rsidP="005711D1">
      <w:pPr>
        <w:ind w:left="720"/>
        <w:rPr>
          <w:rFonts w:ascii="Times New Roman" w:eastAsiaTheme="minorHAnsi" w:hAnsi="Times New Roman"/>
          <w:bCs/>
          <w:szCs w:val="24"/>
        </w:rPr>
      </w:pPr>
      <w:r w:rsidRPr="008C5150">
        <w:rPr>
          <w:rFonts w:ascii="Times New Roman" w:eastAsiaTheme="minorHAnsi" w:hAnsi="Times New Roman"/>
          <w:bCs/>
          <w:szCs w:val="24"/>
        </w:rPr>
        <w:t>The process through which a proprietary institution would be informed of its repayment rate, and provided the opportunity to challenge that rate, is included in proposed §668.41(h)(5).  Initially, the Department provides to each institution a list composed of students selected in accordance with the methodology in proposed §668.41(h)(3) as well as the draft repayment rate and the underlying data used to make the calculation.  A period of 45 days is allowed for institution to make corrections to the underlying data.  The institution has 45 days following the date it receives notification of its draft loan repayment rate to challenge the accuracy of the information used by the Department to calculate the draft rate.  After considering any challenges to its draft loan repayment rate, the Department notifies the institution of its final repayment rate.</w:t>
      </w:r>
    </w:p>
    <w:p w:rsidR="005711D1" w:rsidRPr="008C5150" w:rsidRDefault="005711D1" w:rsidP="005711D1">
      <w:pPr>
        <w:ind w:left="720"/>
        <w:rPr>
          <w:rFonts w:ascii="Times New Roman" w:eastAsiaTheme="minorHAnsi" w:hAnsi="Times New Roman"/>
          <w:bCs/>
          <w:szCs w:val="24"/>
        </w:rPr>
      </w:pPr>
    </w:p>
    <w:p w:rsidR="005711D1" w:rsidRPr="008C5150" w:rsidRDefault="005711D1" w:rsidP="005711D1">
      <w:pPr>
        <w:ind w:left="720"/>
        <w:rPr>
          <w:rFonts w:ascii="Times New Roman" w:eastAsiaTheme="minorHAnsi" w:hAnsi="Times New Roman"/>
          <w:bCs/>
          <w:szCs w:val="24"/>
        </w:rPr>
      </w:pPr>
      <w:r w:rsidRPr="008C5150">
        <w:rPr>
          <w:rFonts w:ascii="Times New Roman" w:eastAsiaTheme="minorHAnsi" w:hAnsi="Times New Roman"/>
          <w:bCs/>
          <w:szCs w:val="24"/>
        </w:rPr>
        <w:t>Under proposed §668.41(h)(8), all promotional materials made available by or on behalf of an institution to prospective students must prominently include the loan repayment warning.  All promotional materials, including printed materials, about an institution must be accurate and current at the time they are published, approved by a State agency or broadcast.</w:t>
      </w:r>
    </w:p>
    <w:p w:rsidR="005711D1" w:rsidRPr="008C5150" w:rsidRDefault="005711D1" w:rsidP="005711D1">
      <w:pPr>
        <w:ind w:left="720"/>
        <w:rPr>
          <w:rFonts w:ascii="Times New Roman" w:eastAsiaTheme="minorHAnsi" w:hAnsi="Times New Roman"/>
          <w:szCs w:val="24"/>
        </w:rPr>
      </w:pPr>
    </w:p>
    <w:p w:rsidR="005711D1" w:rsidRPr="008C5150" w:rsidRDefault="005711D1" w:rsidP="005711D1">
      <w:pPr>
        <w:ind w:left="720"/>
        <w:rPr>
          <w:rFonts w:ascii="Times New Roman" w:eastAsiaTheme="minorHAnsi" w:hAnsi="Times New Roman"/>
          <w:szCs w:val="24"/>
        </w:rPr>
      </w:pPr>
      <w:r w:rsidRPr="008C5150">
        <w:rPr>
          <w:rFonts w:ascii="Times New Roman" w:eastAsiaTheme="minorHAnsi" w:hAnsi="Times New Roman"/>
          <w:szCs w:val="24"/>
        </w:rPr>
        <w:t xml:space="preserve">Under proposed §668.41(i), institutions that are required to provide financial protection, including an irrevocable letter of credit or cash under proposed </w:t>
      </w:r>
      <w:r w:rsidRPr="008C5150">
        <w:rPr>
          <w:rFonts w:ascii="Times New Roman" w:eastAsiaTheme="minorHAnsi" w:hAnsi="Times New Roman"/>
          <w:bCs/>
          <w:szCs w:val="24"/>
        </w:rPr>
        <w:t>§</w:t>
      </w:r>
      <w:r w:rsidRPr="008C5150">
        <w:rPr>
          <w:rFonts w:ascii="Times New Roman" w:eastAsiaTheme="minorHAnsi" w:hAnsi="Times New Roman"/>
          <w:szCs w:val="24"/>
        </w:rPr>
        <w:t xml:space="preserve">668.175(d), or set-aside under proposed </w:t>
      </w:r>
      <w:r w:rsidRPr="008C5150">
        <w:rPr>
          <w:rFonts w:ascii="Times New Roman" w:eastAsiaTheme="minorHAnsi" w:hAnsi="Times New Roman"/>
          <w:bCs/>
          <w:szCs w:val="24"/>
        </w:rPr>
        <w:t>§</w:t>
      </w:r>
      <w:r w:rsidRPr="008C5150">
        <w:rPr>
          <w:rFonts w:ascii="Times New Roman" w:eastAsiaTheme="minorHAnsi" w:hAnsi="Times New Roman"/>
          <w:szCs w:val="24"/>
        </w:rPr>
        <w:t>668.175(h), would have to disclose information about that requirement to both enrolled and prospective students until released from the letter of credit, or obligation to provide alternative financial protection, by the Department.</w:t>
      </w:r>
    </w:p>
    <w:p w:rsidR="005711D1" w:rsidRPr="008C5150" w:rsidRDefault="005711D1" w:rsidP="005711D1">
      <w:pPr>
        <w:rPr>
          <w:rFonts w:ascii="Times New Roman" w:eastAsiaTheme="minorHAnsi" w:hAnsi="Times New Roman"/>
          <w:bCs/>
          <w:szCs w:val="24"/>
        </w:rPr>
      </w:pPr>
    </w:p>
    <w:p w:rsidR="005711D1" w:rsidRPr="008C5150" w:rsidRDefault="005711D1" w:rsidP="005711D1">
      <w:pPr>
        <w:ind w:left="720"/>
        <w:rPr>
          <w:rFonts w:ascii="Times New Roman" w:eastAsiaTheme="minorHAnsi" w:hAnsi="Times New Roman"/>
          <w:bCs/>
          <w:szCs w:val="24"/>
        </w:rPr>
      </w:pPr>
      <w:r w:rsidRPr="008C5150">
        <w:rPr>
          <w:rFonts w:ascii="Times New Roman" w:eastAsiaTheme="minorHAnsi" w:hAnsi="Times New Roman"/>
          <w:bCs/>
          <w:szCs w:val="24"/>
        </w:rPr>
        <w:t xml:space="preserve">The loan repayment warning under proposed §668.41(h) and the financial protection disclosure under proposed §668.41(i) must be provided to both enrolled (§668.41(h)(7)(ii)) and prospective students (§668.41(h)(7)(iii)) by hand delivery as part of a separate document to the student individually or as part of a group presentation.  Alternatively, the warning or disclosure may be sent to the primary email address or other electronic communication method used by the institution for communicating with the student.  In all cases, the institution must ensure that the warning or disclosure is the only substantive content in the message unless the Secretary specifies additional, contextual language to be included in the message.  Prospective students must be provided with the warning or disclosure before the </w:t>
      </w:r>
      <w:r w:rsidRPr="008C5150">
        <w:rPr>
          <w:rFonts w:ascii="Times New Roman" w:hAnsi="Times New Roman"/>
          <w:szCs w:val="24"/>
        </w:rPr>
        <w:t>student enrolls, registers, or enters into a financial obligation with the institution</w:t>
      </w:r>
      <w:r w:rsidRPr="008C5150">
        <w:rPr>
          <w:rFonts w:ascii="Times New Roman" w:eastAsiaTheme="minorHAnsi" w:hAnsi="Times New Roman"/>
          <w:bCs/>
          <w:szCs w:val="24"/>
        </w:rPr>
        <w:t xml:space="preserve">.  </w:t>
      </w:r>
    </w:p>
    <w:p w:rsidR="005711D1" w:rsidRPr="008C5150" w:rsidRDefault="005711D1"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5711D1" w:rsidRPr="008C5150" w:rsidRDefault="00A34B18" w:rsidP="005711D1">
      <w:pPr>
        <w:ind w:left="720"/>
        <w:rPr>
          <w:rFonts w:ascii="Times New Roman" w:hAnsi="Times New Roman"/>
          <w:szCs w:val="24"/>
        </w:rPr>
      </w:pPr>
      <w:r w:rsidRPr="008C5150">
        <w:rPr>
          <w:rFonts w:ascii="Times New Roman" w:hAnsi="Times New Roman"/>
          <w:szCs w:val="24"/>
        </w:rPr>
        <w:t>There will be burden to r</w:t>
      </w:r>
      <w:r w:rsidR="005711D1" w:rsidRPr="008C5150">
        <w:rPr>
          <w:rFonts w:ascii="Times New Roman" w:hAnsi="Times New Roman"/>
          <w:szCs w:val="24"/>
        </w:rPr>
        <w:t xml:space="preserve">eview the list identified in §668.41(h)(5)(i)(A) and to submit challenges to the accuracy of the information used to calculate the draft loan repayment rate, as provided in §668.41(h)(5)(iii).  </w:t>
      </w:r>
    </w:p>
    <w:p w:rsidR="005711D1" w:rsidRPr="008C5150" w:rsidRDefault="005711D1" w:rsidP="005711D1">
      <w:pPr>
        <w:rPr>
          <w:rFonts w:ascii="Times New Roman" w:hAnsi="Times New Roman"/>
          <w:szCs w:val="24"/>
        </w:rPr>
      </w:pPr>
    </w:p>
    <w:p w:rsidR="005711D1" w:rsidRPr="008C5150" w:rsidRDefault="005711D1" w:rsidP="005711D1">
      <w:pPr>
        <w:ind w:left="720"/>
        <w:rPr>
          <w:rFonts w:ascii="Times New Roman" w:hAnsi="Times New Roman"/>
          <w:szCs w:val="24"/>
        </w:rPr>
      </w:pPr>
      <w:r w:rsidRPr="008C5150">
        <w:rPr>
          <w:rFonts w:ascii="Times New Roman" w:hAnsi="Times New Roman"/>
          <w:szCs w:val="24"/>
        </w:rPr>
        <w:t>We estimate that it will take institutional staff 20 hours to review the listing of students included in the initial loan repayment rate calculations.  We estimate that it will take institutional staff another 35 hours to review the draft loan repayment rate produced by the Secretary when challenging the accuracy of the information used to calculate that draft rate.  We are estimating a total of 55 hours burden per institution for institutional activities under proposed §668.41(h)(5).</w:t>
      </w:r>
    </w:p>
    <w:p w:rsidR="005711D1" w:rsidRPr="008C5150" w:rsidRDefault="005711D1" w:rsidP="005711D1">
      <w:pPr>
        <w:ind w:firstLine="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Pr="008C5150" w:rsidRDefault="00A34B18" w:rsidP="005711D1">
      <w:pPr>
        <w:rPr>
          <w:rFonts w:ascii="Times New Roman" w:hAnsi="Times New Roman"/>
          <w:szCs w:val="24"/>
        </w:rPr>
      </w:pPr>
    </w:p>
    <w:p w:rsidR="00A34B18" w:rsidRPr="008C5150" w:rsidRDefault="00A34B18" w:rsidP="005711D1">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t>493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493</w:t>
      </w:r>
      <w:r w:rsidRPr="008C5150">
        <w:rPr>
          <w:rFonts w:ascii="Times New Roman" w:hAnsi="Times New Roman"/>
          <w:szCs w:val="24"/>
        </w:rPr>
        <w:tab/>
      </w:r>
      <w:r w:rsidRPr="008C5150">
        <w:rPr>
          <w:rFonts w:ascii="Times New Roman" w:hAnsi="Times New Roman"/>
          <w:szCs w:val="24"/>
        </w:rPr>
        <w:tab/>
        <w:t xml:space="preserve">    x 55 hours</w:t>
      </w:r>
      <w:r w:rsidRPr="008C5150">
        <w:rPr>
          <w:rFonts w:ascii="Times New Roman" w:hAnsi="Times New Roman"/>
          <w:szCs w:val="24"/>
        </w:rPr>
        <w:tab/>
      </w:r>
      <w:r w:rsidRPr="008C5150">
        <w:rPr>
          <w:rFonts w:ascii="Times New Roman" w:hAnsi="Times New Roman"/>
          <w:szCs w:val="24"/>
        </w:rPr>
        <w:tab/>
        <w:t>27,115</w:t>
      </w:r>
    </w:p>
    <w:p w:rsidR="005711D1" w:rsidRPr="008C5150" w:rsidRDefault="005711D1" w:rsidP="005711D1">
      <w:pPr>
        <w:ind w:firstLine="720"/>
        <w:rPr>
          <w:rFonts w:ascii="Times New Roman" w:hAnsi="Times New Roman"/>
          <w:szCs w:val="24"/>
        </w:rPr>
      </w:pPr>
    </w:p>
    <w:p w:rsidR="005711D1" w:rsidRPr="008C5150" w:rsidRDefault="005711D1" w:rsidP="00A34B18">
      <w:pPr>
        <w:tabs>
          <w:tab w:val="left" w:pos="720"/>
        </w:tabs>
        <w:ind w:left="720"/>
        <w:rPr>
          <w:rFonts w:ascii="Times New Roman" w:hAnsi="Times New Roman"/>
          <w:szCs w:val="24"/>
        </w:rPr>
      </w:pPr>
      <w:r w:rsidRPr="008C5150">
        <w:rPr>
          <w:rFonts w:ascii="Times New Roman" w:hAnsi="Times New Roman"/>
          <w:szCs w:val="24"/>
        </w:rPr>
        <w:t xml:space="preserve">There will be burden on schools to deliver the loan repayment warning and the financial repayment disclosure to enrolled and prospective students under this proposed regulation.  </w:t>
      </w:r>
    </w:p>
    <w:p w:rsidR="00A34B18" w:rsidRPr="008C5150" w:rsidRDefault="00A34B18" w:rsidP="005711D1">
      <w:pPr>
        <w:ind w:firstLine="720"/>
        <w:rPr>
          <w:rFonts w:ascii="Times New Roman" w:hAnsi="Times New Roman"/>
          <w:szCs w:val="24"/>
        </w:rPr>
      </w:pPr>
    </w:p>
    <w:p w:rsidR="005711D1" w:rsidRPr="008C5150" w:rsidRDefault="005711D1" w:rsidP="00A34B18">
      <w:pPr>
        <w:ind w:left="720"/>
        <w:rPr>
          <w:rFonts w:ascii="Times New Roman" w:eastAsiaTheme="minorHAnsi" w:hAnsi="Times New Roman"/>
          <w:bCs/>
          <w:szCs w:val="24"/>
        </w:rPr>
      </w:pPr>
      <w:r w:rsidRPr="008C5150">
        <w:rPr>
          <w:rFonts w:ascii="Times New Roman" w:hAnsi="Times New Roman"/>
          <w:szCs w:val="24"/>
        </w:rPr>
        <w:t xml:space="preserve">For the loan repayment warning, under proposed </w:t>
      </w:r>
      <w:r w:rsidRPr="008C5150">
        <w:rPr>
          <w:rFonts w:ascii="Times New Roman" w:eastAsiaTheme="minorHAnsi" w:hAnsi="Times New Roman"/>
          <w:bCs/>
          <w:szCs w:val="24"/>
        </w:rPr>
        <w:t xml:space="preserve">§668.41(h)(7)(i), the Department commits to consumer test the language of the warning, which the Secretary will publish in a </w:t>
      </w:r>
      <w:r w:rsidRPr="008C5150">
        <w:rPr>
          <w:rFonts w:ascii="Times New Roman" w:eastAsiaTheme="minorHAnsi" w:hAnsi="Times New Roman"/>
          <w:u w:val="single"/>
        </w:rPr>
        <w:t>Federal Register</w:t>
      </w:r>
      <w:r w:rsidRPr="008C5150">
        <w:rPr>
          <w:rFonts w:ascii="Times New Roman" w:eastAsiaTheme="minorHAnsi" w:hAnsi="Times New Roman"/>
          <w:bCs/>
          <w:szCs w:val="24"/>
        </w:rPr>
        <w:t xml:space="preserve"> notice.  We anticipate that it will take proprietary institutions 65 hours to produce and </w:t>
      </w:r>
      <w:r w:rsidR="00A34B18" w:rsidRPr="008C5150">
        <w:rPr>
          <w:rFonts w:ascii="Times New Roman" w:hAnsi="Times New Roman"/>
          <w:szCs w:val="24"/>
        </w:rPr>
        <w:t>disseminat</w:t>
      </w:r>
      <w:r w:rsidRPr="008C5150">
        <w:rPr>
          <w:rFonts w:ascii="Times New Roman" w:eastAsiaTheme="minorHAnsi" w:hAnsi="Times New Roman"/>
          <w:bCs/>
          <w:szCs w:val="24"/>
        </w:rPr>
        <w:t xml:space="preserve">e the loan repayment warnings to current and prospective students, ensure that promotional materials include the warning, and update the institution’s Web site.  </w:t>
      </w:r>
    </w:p>
    <w:p w:rsidR="00A34B18" w:rsidRPr="008C5150" w:rsidRDefault="00A34B18" w:rsidP="005711D1">
      <w:pPr>
        <w:ind w:firstLine="720"/>
        <w:rPr>
          <w:rFonts w:ascii="Times New Roman" w:hAnsi="Times New Roman"/>
          <w:szCs w:val="24"/>
        </w:rPr>
      </w:pPr>
    </w:p>
    <w:p w:rsidR="00A34B18" w:rsidRPr="008C5150" w:rsidRDefault="00A34B18" w:rsidP="00A34B18">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 Burden</w:t>
      </w:r>
    </w:p>
    <w:p w:rsidR="00A34B18" w:rsidRPr="008C5150" w:rsidRDefault="00A34B18" w:rsidP="00A34B18">
      <w:pPr>
        <w:rPr>
          <w:rFonts w:ascii="Times New Roman" w:hAnsi="Times New Roman"/>
          <w:szCs w:val="24"/>
        </w:rPr>
      </w:pPr>
    </w:p>
    <w:p w:rsidR="00A34B18" w:rsidRPr="008C5150" w:rsidRDefault="00A34B18" w:rsidP="00A34B18">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t>493</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493</w:t>
      </w:r>
      <w:r w:rsidRPr="008C5150">
        <w:rPr>
          <w:rFonts w:ascii="Times New Roman" w:hAnsi="Times New Roman"/>
          <w:szCs w:val="24"/>
        </w:rPr>
        <w:tab/>
      </w:r>
      <w:r w:rsidRPr="008C5150">
        <w:rPr>
          <w:rFonts w:ascii="Times New Roman" w:hAnsi="Times New Roman"/>
          <w:szCs w:val="24"/>
        </w:rPr>
        <w:tab/>
        <w:t xml:space="preserve">    x 65 hours</w:t>
      </w:r>
      <w:r w:rsidRPr="008C5150">
        <w:rPr>
          <w:rFonts w:ascii="Times New Roman" w:hAnsi="Times New Roman"/>
          <w:szCs w:val="24"/>
        </w:rPr>
        <w:tab/>
      </w:r>
      <w:r w:rsidRPr="008C5150">
        <w:rPr>
          <w:rFonts w:ascii="Times New Roman" w:hAnsi="Times New Roman"/>
          <w:szCs w:val="24"/>
        </w:rPr>
        <w:tab/>
      </w:r>
      <w:r w:rsidRPr="008C5150">
        <w:rPr>
          <w:rFonts w:ascii="Times New Roman" w:eastAsiaTheme="minorHAnsi" w:hAnsi="Times New Roman"/>
          <w:bCs/>
          <w:szCs w:val="24"/>
        </w:rPr>
        <w:t>32,045</w:t>
      </w:r>
    </w:p>
    <w:p w:rsidR="00A34B18" w:rsidRPr="008C5150" w:rsidRDefault="00A34B18" w:rsidP="005711D1">
      <w:pPr>
        <w:ind w:firstLine="720"/>
        <w:rPr>
          <w:rFonts w:ascii="Times New Roman" w:hAnsi="Times New Roman"/>
          <w:szCs w:val="24"/>
        </w:rPr>
      </w:pPr>
    </w:p>
    <w:p w:rsidR="00A34B18" w:rsidRPr="008C5150" w:rsidRDefault="005711D1" w:rsidP="00A34B18">
      <w:pPr>
        <w:ind w:left="720"/>
        <w:rPr>
          <w:rFonts w:ascii="Times New Roman" w:eastAsiaTheme="minorHAnsi" w:hAnsi="Times New Roman"/>
          <w:bCs/>
          <w:szCs w:val="24"/>
        </w:rPr>
      </w:pPr>
      <w:r w:rsidRPr="008C5150">
        <w:rPr>
          <w:rFonts w:ascii="Times New Roman" w:eastAsiaTheme="minorHAnsi" w:hAnsi="Times New Roman"/>
          <w:bCs/>
          <w:szCs w:val="24"/>
        </w:rPr>
        <w:t xml:space="preserve">For the financial protection disclosure, </w:t>
      </w:r>
      <w:r w:rsidR="00A34B18" w:rsidRPr="008C5150">
        <w:rPr>
          <w:rFonts w:ascii="Times New Roman" w:eastAsiaTheme="minorHAnsi" w:hAnsi="Times New Roman"/>
          <w:bCs/>
          <w:szCs w:val="24"/>
        </w:rPr>
        <w:t xml:space="preserve">under proposed </w:t>
      </w:r>
      <w:r w:rsidR="00A34B18" w:rsidRPr="008C5150">
        <w:rPr>
          <w:rFonts w:ascii="Times New Roman" w:hAnsi="Times New Roman"/>
          <w:szCs w:val="24"/>
        </w:rPr>
        <w:t xml:space="preserve">§668.41(i), </w:t>
      </w:r>
      <w:r w:rsidRPr="008C5150">
        <w:rPr>
          <w:rFonts w:ascii="Times New Roman" w:eastAsiaTheme="minorHAnsi" w:hAnsi="Times New Roman"/>
          <w:bCs/>
          <w:szCs w:val="24"/>
        </w:rPr>
        <w:t xml:space="preserve">we estimate that it will take institutions an additional 50 hours to produce and provide the required financial protection disclosures to current and prospective students and update the institution’s Web site.  </w:t>
      </w:r>
      <w:r w:rsidR="00961083" w:rsidRPr="008C5150">
        <w:rPr>
          <w:rFonts w:ascii="Times New Roman" w:eastAsiaTheme="minorHAnsi" w:hAnsi="Times New Roman"/>
          <w:bCs/>
          <w:szCs w:val="24"/>
        </w:rPr>
        <w:t>We estimate that 169 private institutions may have 2 events requiring such reporting.  We estimate that 392 proprietary institutions may have 3 events requiring such reporting.</w:t>
      </w:r>
    </w:p>
    <w:p w:rsidR="00A34B18" w:rsidRPr="008C5150" w:rsidRDefault="00A34B18" w:rsidP="00A34B18">
      <w:pPr>
        <w:ind w:left="720"/>
        <w:rPr>
          <w:rFonts w:ascii="Times New Roman" w:eastAsiaTheme="minorHAnsi" w:hAnsi="Times New Roman"/>
          <w:bCs/>
          <w:szCs w:val="24"/>
        </w:rPr>
      </w:pPr>
    </w:p>
    <w:p w:rsidR="00A34B18" w:rsidRPr="008C5150" w:rsidRDefault="00A34B18" w:rsidP="00A34B18">
      <w:pPr>
        <w:rPr>
          <w:rFonts w:ascii="Times New Roman" w:hAnsi="Times New Roman"/>
          <w:szCs w:val="24"/>
        </w:rPr>
      </w:pPr>
      <w:r w:rsidRPr="008C5150">
        <w:rPr>
          <w:rFonts w:ascii="Times New Roman" w:hAnsi="Times New Roman"/>
          <w:szCs w:val="24"/>
        </w:rPr>
        <w:t>Affected entity</w:t>
      </w:r>
      <w:r w:rsidRPr="008C5150">
        <w:rPr>
          <w:rFonts w:ascii="Times New Roman" w:hAnsi="Times New Roman"/>
          <w:szCs w:val="24"/>
        </w:rPr>
        <w:tab/>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A60EC2">
        <w:rPr>
          <w:rFonts w:ascii="Times New Roman" w:hAnsi="Times New Roman"/>
          <w:szCs w:val="24"/>
        </w:rPr>
        <w:t xml:space="preserve">  </w:t>
      </w:r>
      <w:r w:rsidRPr="008C5150">
        <w:rPr>
          <w:rFonts w:ascii="Times New Roman" w:hAnsi="Times New Roman"/>
          <w:szCs w:val="24"/>
        </w:rPr>
        <w:t>Total Burden</w:t>
      </w:r>
    </w:p>
    <w:p w:rsidR="00A34B18" w:rsidRPr="008C5150" w:rsidRDefault="00A34B18" w:rsidP="00A34B18">
      <w:pPr>
        <w:rPr>
          <w:rFonts w:ascii="Times New Roman" w:hAnsi="Times New Roman"/>
          <w:szCs w:val="24"/>
        </w:rPr>
      </w:pPr>
    </w:p>
    <w:p w:rsidR="00A34B18" w:rsidRPr="008C5150" w:rsidRDefault="00A34B18" w:rsidP="00A34B18">
      <w:pPr>
        <w:rPr>
          <w:rFonts w:ascii="Times New Roman" w:hAnsi="Times New Roman"/>
          <w:szCs w:val="24"/>
        </w:rPr>
      </w:pPr>
      <w:r w:rsidRPr="008C5150">
        <w:rPr>
          <w:rFonts w:ascii="Times New Roman" w:hAnsi="Times New Roman"/>
          <w:szCs w:val="24"/>
        </w:rPr>
        <w:t>Private Institutions</w:t>
      </w:r>
      <w:r w:rsidRPr="008C5150">
        <w:rPr>
          <w:rFonts w:ascii="Times New Roman" w:hAnsi="Times New Roman"/>
          <w:szCs w:val="24"/>
        </w:rPr>
        <w:tab/>
      </w:r>
      <w:r w:rsidRPr="008C5150">
        <w:rPr>
          <w:rFonts w:ascii="Times New Roman" w:hAnsi="Times New Roman"/>
          <w:szCs w:val="24"/>
        </w:rPr>
        <w:tab/>
        <w:t>169</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338</w:t>
      </w:r>
      <w:r w:rsidRPr="008C5150">
        <w:rPr>
          <w:rFonts w:ascii="Times New Roman" w:hAnsi="Times New Roman"/>
          <w:szCs w:val="24"/>
        </w:rPr>
        <w:tab/>
      </w:r>
      <w:r w:rsidRPr="008C5150">
        <w:rPr>
          <w:rFonts w:ascii="Times New Roman" w:hAnsi="Times New Roman"/>
          <w:szCs w:val="24"/>
        </w:rPr>
        <w:tab/>
        <w:t xml:space="preserve">    x 50 hours</w:t>
      </w:r>
      <w:r w:rsidRPr="008C5150">
        <w:rPr>
          <w:rFonts w:ascii="Times New Roman" w:hAnsi="Times New Roman"/>
          <w:szCs w:val="24"/>
        </w:rPr>
        <w:tab/>
      </w:r>
      <w:r w:rsidRPr="008C5150">
        <w:rPr>
          <w:rFonts w:ascii="Times New Roman" w:hAnsi="Times New Roman"/>
          <w:szCs w:val="24"/>
        </w:rPr>
        <w:tab/>
      </w:r>
      <w:r w:rsidRPr="008C5150">
        <w:rPr>
          <w:rFonts w:ascii="Times New Roman" w:eastAsiaTheme="minorHAnsi" w:hAnsi="Times New Roman"/>
          <w:bCs/>
          <w:szCs w:val="24"/>
        </w:rPr>
        <w:t>16,900</w:t>
      </w:r>
    </w:p>
    <w:p w:rsidR="00A34B18" w:rsidRPr="008C5150" w:rsidRDefault="00A34B18" w:rsidP="00A34B18">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sidR="00961083" w:rsidRPr="008C5150">
        <w:rPr>
          <w:rFonts w:ascii="Times New Roman" w:eastAsiaTheme="minorHAnsi" w:hAnsi="Times New Roman"/>
          <w:bCs/>
          <w:szCs w:val="24"/>
        </w:rPr>
        <w:t>392</w:t>
      </w:r>
      <w:r w:rsidR="00961083" w:rsidRPr="008C5150">
        <w:rPr>
          <w:rFonts w:ascii="Times New Roman" w:hAnsi="Times New Roman"/>
          <w:szCs w:val="24"/>
        </w:rPr>
        <w:tab/>
      </w:r>
      <w:r w:rsidR="00961083" w:rsidRPr="008C5150">
        <w:rPr>
          <w:rFonts w:ascii="Times New Roman" w:hAnsi="Times New Roman"/>
          <w:szCs w:val="24"/>
        </w:rPr>
        <w:tab/>
        <w:t xml:space="preserve">         1,176</w:t>
      </w:r>
      <w:r w:rsidRPr="008C5150">
        <w:rPr>
          <w:rFonts w:ascii="Times New Roman" w:hAnsi="Times New Roman"/>
          <w:szCs w:val="24"/>
        </w:rPr>
        <w:tab/>
      </w:r>
      <w:r w:rsidRPr="008C5150">
        <w:rPr>
          <w:rFonts w:ascii="Times New Roman" w:hAnsi="Times New Roman"/>
          <w:szCs w:val="24"/>
        </w:rPr>
        <w:tab/>
        <w:t xml:space="preserve">    x </w:t>
      </w:r>
      <w:r w:rsidR="00961083" w:rsidRPr="008C5150">
        <w:rPr>
          <w:rFonts w:ascii="Times New Roman" w:hAnsi="Times New Roman"/>
          <w:szCs w:val="24"/>
        </w:rPr>
        <w:t>50</w:t>
      </w:r>
      <w:r w:rsidRPr="008C5150">
        <w:rPr>
          <w:rFonts w:ascii="Times New Roman" w:hAnsi="Times New Roman"/>
          <w:szCs w:val="24"/>
        </w:rPr>
        <w:t xml:space="preserve"> hours</w:t>
      </w:r>
      <w:r w:rsidRPr="008C5150">
        <w:rPr>
          <w:rFonts w:ascii="Times New Roman" w:hAnsi="Times New Roman"/>
          <w:szCs w:val="24"/>
        </w:rPr>
        <w:tab/>
      </w:r>
      <w:r w:rsidRPr="008C5150">
        <w:rPr>
          <w:rFonts w:ascii="Times New Roman" w:hAnsi="Times New Roman"/>
          <w:szCs w:val="24"/>
        </w:rPr>
        <w:tab/>
      </w:r>
      <w:r w:rsidR="00961083" w:rsidRPr="008C5150">
        <w:rPr>
          <w:rFonts w:ascii="Times New Roman" w:eastAsiaTheme="minorHAnsi" w:hAnsi="Times New Roman"/>
          <w:bCs/>
          <w:szCs w:val="24"/>
        </w:rPr>
        <w:t>58,800</w:t>
      </w:r>
    </w:p>
    <w:p w:rsidR="00A34B18" w:rsidRPr="008C5150" w:rsidRDefault="00A34B18" w:rsidP="00A34B18">
      <w:pPr>
        <w:rPr>
          <w:rFonts w:ascii="Times New Roman" w:eastAsiaTheme="minorHAnsi" w:hAnsi="Times New Roman"/>
          <w:bCs/>
          <w:szCs w:val="24"/>
        </w:rPr>
      </w:pPr>
    </w:p>
    <w:p w:rsidR="005711D1" w:rsidRPr="008C5150" w:rsidRDefault="005711D1" w:rsidP="00961083">
      <w:pPr>
        <w:rPr>
          <w:rFonts w:ascii="Times New Roman" w:hAnsi="Times New Roman"/>
          <w:szCs w:val="24"/>
        </w:rPr>
      </w:pPr>
      <w:r w:rsidRPr="008C5150">
        <w:rPr>
          <w:rFonts w:ascii="Times New Roman" w:eastAsiaTheme="minorHAnsi" w:hAnsi="Times New Roman"/>
          <w:bCs/>
          <w:szCs w:val="24"/>
        </w:rPr>
        <w:t xml:space="preserve">The combined total increase in burden under OMB Control Number 1845-0004 for proposed </w:t>
      </w:r>
      <w:r w:rsidRPr="008C5150">
        <w:rPr>
          <w:rFonts w:ascii="Times New Roman" w:hAnsi="Times New Roman"/>
          <w:szCs w:val="24"/>
        </w:rPr>
        <w:t>§668.41</w:t>
      </w:r>
      <w:r w:rsidRPr="008C5150">
        <w:rPr>
          <w:rFonts w:ascii="Times New Roman" w:eastAsiaTheme="minorHAnsi" w:hAnsi="Times New Roman"/>
          <w:bCs/>
          <w:szCs w:val="24"/>
        </w:rPr>
        <w:t xml:space="preserve"> will be 134,860 hours.</w:t>
      </w:r>
    </w:p>
    <w:p w:rsidR="00092EFF" w:rsidRPr="008C5150" w:rsidRDefault="00092EFF" w:rsidP="00B10088">
      <w:pPr>
        <w:tabs>
          <w:tab w:val="left" w:pos="-720"/>
        </w:tabs>
        <w:suppressAutoHyphens/>
        <w:ind w:left="720"/>
        <w:rPr>
          <w:rFonts w:ascii="Times New Roman" w:hAnsi="Times New Roman"/>
          <w:szCs w:val="24"/>
        </w:rPr>
      </w:pPr>
    </w:p>
    <w:p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TOTAL of PROPOSED BURDEN </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w:t>
      </w:r>
      <w:r w:rsidR="00A60EC2">
        <w:rPr>
          <w:rFonts w:ascii="Times New Roman" w:hAnsi="Times New Roman"/>
          <w:szCs w:val="24"/>
        </w:rPr>
        <w:t xml:space="preserve"> Respondents</w:t>
      </w:r>
      <w:r w:rsidR="00A60EC2">
        <w:rPr>
          <w:rFonts w:ascii="Times New Roman" w:hAnsi="Times New Roman"/>
          <w:szCs w:val="24"/>
        </w:rPr>
        <w:tab/>
        <w:t># of Responses</w:t>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1,054</w:t>
      </w:r>
      <w:r w:rsidRPr="008C5150">
        <w:rPr>
          <w:rFonts w:ascii="Times New Roman" w:hAnsi="Times New Roman"/>
          <w:szCs w:val="24"/>
        </w:rPr>
        <w:tab/>
      </w:r>
      <w:r w:rsidRPr="008C5150">
        <w:rPr>
          <w:rFonts w:ascii="Times New Roman" w:hAnsi="Times New Roman"/>
          <w:szCs w:val="24"/>
        </w:rPr>
        <w:tab/>
        <w:t xml:space="preserve">     2,500</w:t>
      </w:r>
      <w:r w:rsidRPr="008C5150">
        <w:rPr>
          <w:rFonts w:ascii="Times New Roman" w:hAnsi="Times New Roman"/>
          <w:szCs w:val="24"/>
        </w:rPr>
        <w:tab/>
      </w:r>
      <w:r w:rsidRPr="008C5150">
        <w:rPr>
          <w:rFonts w:ascii="Times New Roman" w:hAnsi="Times New Roman"/>
          <w:szCs w:val="24"/>
        </w:rPr>
        <w:tab/>
        <w:t xml:space="preserve">   134,860</w:t>
      </w:r>
    </w:p>
    <w:p w:rsidR="00961083" w:rsidRPr="008C5150" w:rsidRDefault="00961083" w:rsidP="000B751B">
      <w:pPr>
        <w:tabs>
          <w:tab w:val="left" w:pos="-720"/>
        </w:tabs>
        <w:suppressAutoHyphens/>
        <w:ind w:left="720"/>
        <w:rPr>
          <w:rFonts w:ascii="Times New Roman" w:hAnsi="Times New Roman"/>
          <w:szCs w:val="24"/>
        </w:rPr>
      </w:pPr>
      <w:r w:rsidRPr="008C5150">
        <w:rPr>
          <w:rFonts w:ascii="Times New Roman" w:hAnsi="Times New Roman"/>
          <w:szCs w:val="24"/>
        </w:rPr>
        <w:t>CURRENT BURDEN:</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r>
      <w:r w:rsidRPr="008C5150">
        <w:rPr>
          <w:rFonts w:ascii="Times New Roman" w:hAnsi="Times New Roman"/>
          <w:szCs w:val="24"/>
        </w:rPr>
        <w:tab/>
        <w:t>Total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30,022</w:t>
      </w:r>
      <w:r w:rsidRPr="008C5150">
        <w:rPr>
          <w:rFonts w:ascii="Times New Roman" w:hAnsi="Times New Roman"/>
          <w:szCs w:val="24"/>
        </w:rPr>
        <w:tab/>
      </w:r>
      <w:r w:rsidRPr="008C5150">
        <w:rPr>
          <w:rFonts w:ascii="Times New Roman" w:hAnsi="Times New Roman"/>
          <w:szCs w:val="24"/>
        </w:rPr>
        <w:tab/>
        <w:t xml:space="preserve">     18,670</w:t>
      </w:r>
    </w:p>
    <w:p w:rsidR="00961083"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PROPOSED REVISED BURDEN FOR INFORMATION COLLECTION</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t># of Response</w:t>
      </w:r>
      <w:r w:rsidR="00A60EC2">
        <w:rPr>
          <w:rFonts w:ascii="Times New Roman" w:hAnsi="Times New Roman"/>
          <w:szCs w:val="24"/>
        </w:rPr>
        <w:t>s</w:t>
      </w:r>
      <w:r w:rsidRPr="008C5150">
        <w:rPr>
          <w:rFonts w:ascii="Times New Roman" w:hAnsi="Times New Roman"/>
          <w:szCs w:val="24"/>
        </w:rPr>
        <w:tab/>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t>7,310*</w:t>
      </w:r>
      <w:r w:rsidRPr="008C5150">
        <w:rPr>
          <w:rFonts w:ascii="Times New Roman" w:hAnsi="Times New Roman"/>
          <w:szCs w:val="24"/>
        </w:rPr>
        <w:tab/>
      </w:r>
      <w:r w:rsidRPr="008C5150">
        <w:rPr>
          <w:rFonts w:ascii="Times New Roman" w:hAnsi="Times New Roman"/>
          <w:szCs w:val="24"/>
        </w:rPr>
        <w:tab/>
        <w:t xml:space="preserve">    32,522</w:t>
      </w:r>
      <w:r w:rsidRPr="008C5150">
        <w:rPr>
          <w:rFonts w:ascii="Times New Roman" w:hAnsi="Times New Roman"/>
          <w:szCs w:val="24"/>
        </w:rPr>
        <w:tab/>
      </w:r>
      <w:r w:rsidRPr="008C5150">
        <w:rPr>
          <w:rFonts w:ascii="Times New Roman" w:hAnsi="Times New Roman"/>
          <w:szCs w:val="24"/>
        </w:rPr>
        <w:tab/>
        <w:t xml:space="preserve">   153,530</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proposed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$36.55 per burden hour,</w:t>
      </w:r>
      <w:r w:rsidRPr="008C5150">
        <w:rPr>
          <w:rFonts w:ascii="Times New Roman" w:hAnsi="Times New Roman"/>
          <w:szCs w:val="24"/>
        </w:rPr>
        <w:t xml:space="preserve"> will be:</w:t>
      </w:r>
    </w:p>
    <w:p w:rsidR="00426FFC" w:rsidRPr="008C5150" w:rsidRDefault="009C0CE5" w:rsidP="00426FFC">
      <w:pPr>
        <w:ind w:firstLine="720"/>
        <w:rPr>
          <w:rFonts w:ascii="Times New Roman" w:hAnsi="Times New Roman"/>
          <w:szCs w:val="24"/>
        </w:rPr>
      </w:pPr>
      <w:r w:rsidRPr="008C5150">
        <w:rPr>
          <w:rFonts w:ascii="Times New Roman" w:hAnsi="Times New Roman"/>
          <w:szCs w:val="24"/>
        </w:rPr>
        <w:t>Private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     617,695</w:t>
      </w:r>
    </w:p>
    <w:p w:rsidR="009C0CE5" w:rsidRPr="008C5150" w:rsidRDefault="009C0CE5" w:rsidP="00426FFC">
      <w:pPr>
        <w:ind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u w:val="single"/>
        </w:rPr>
        <w:t>$  4,311,438</w:t>
      </w:r>
    </w:p>
    <w:p w:rsidR="00426FFC" w:rsidRPr="008C5150" w:rsidRDefault="00426FFC" w:rsidP="00426FFC">
      <w:pPr>
        <w:ind w:firstLine="720"/>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t>$  4,929,133</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lastRenderedPageBreak/>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proposed regulations offered through </w:t>
      </w:r>
      <w:r w:rsidR="00B53437">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134,860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 information in the proposed rule will not be published by the Department.  However these proposed regulations do not change the other collections in this Subpart of the regulations that require schools to report their completion or graduation rates to the Department through IPEDs</w:t>
      </w:r>
      <w:r w:rsidR="005F667B" w:rsidRPr="008C5150">
        <w:rPr>
          <w:rFonts w:ascii="Times New Roman" w:hAnsi="Times New Roman"/>
          <w:szCs w:val="24"/>
        </w:rPr>
        <w:t xml:space="preserve"> and is made available to the general public at </w:t>
      </w:r>
      <w:hyperlink r:id="rId9" w:history="1">
        <w:r w:rsidR="005F667B" w:rsidRPr="008C5150">
          <w:rPr>
            <w:rStyle w:val="Hyperlink"/>
            <w:rFonts w:ascii="Times New Roman" w:hAnsi="Times New Roman"/>
            <w:color w:val="auto"/>
            <w:szCs w:val="24"/>
          </w:rPr>
          <w:t>https://nces.ed.gov/ipeds/</w:t>
        </w:r>
      </w:hyperlink>
      <w:r w:rsidR="005F667B" w:rsidRPr="008C5150">
        <w:rPr>
          <w:rFonts w:ascii="Times New Roman" w:hAnsi="Times New Roman"/>
          <w:szCs w:val="24"/>
        </w:rPr>
        <w:t xml:space="preserve"> .</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A60EC2">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lastRenderedPageBreak/>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21" w:rsidRDefault="00444221">
      <w:pPr>
        <w:spacing w:line="20" w:lineRule="exact"/>
      </w:pPr>
    </w:p>
  </w:endnote>
  <w:endnote w:type="continuationSeparator" w:id="0">
    <w:p w:rsidR="00444221" w:rsidRDefault="00444221">
      <w:r>
        <w:t xml:space="preserve"> </w:t>
      </w:r>
    </w:p>
  </w:endnote>
  <w:endnote w:type="continuationNotice" w:id="1">
    <w:p w:rsidR="00444221" w:rsidRDefault="004442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491C4D">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491C4D">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21" w:rsidRDefault="00444221">
      <w:r>
        <w:separator/>
      </w:r>
    </w:p>
  </w:footnote>
  <w:footnote w:type="continuationSeparator" w:id="0">
    <w:p w:rsidR="00444221" w:rsidRDefault="00444221">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0004</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06</w:t>
    </w:r>
    <w:r>
      <w:rPr>
        <w:rFonts w:ascii="Times New Roman" w:hAnsi="Times New Roman"/>
        <w:sz w:val="20"/>
      </w:rPr>
      <w:t>/</w:t>
    </w:r>
    <w:r w:rsidR="00092EFF">
      <w:rPr>
        <w:rFonts w:ascii="Times New Roman" w:hAnsi="Times New Roman"/>
        <w:sz w:val="20"/>
      </w:rPr>
      <w:t>09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A60EC2">
      <w:rPr>
        <w:rFonts w:ascii="Times New Roman" w:hAnsi="Times New Roman"/>
        <w:sz w:val="20"/>
      </w:rPr>
      <w:t>1840</w:t>
    </w:r>
    <w:r>
      <w:rPr>
        <w:rFonts w:ascii="Times New Roman" w:hAnsi="Times New Roman"/>
        <w:sz w:val="20"/>
      </w:rPr>
      <w:t>-</w:t>
    </w:r>
    <w:r w:rsidR="00A60EC2">
      <w:rPr>
        <w:rFonts w:ascii="Times New Roman" w:hAnsi="Times New Roman"/>
        <w:sz w:val="20"/>
      </w:rPr>
      <w:t>AD19</w:t>
    </w:r>
    <w:r>
      <w:rPr>
        <w:rFonts w:ascii="Times New Roman" w:hAnsi="Times New Roman"/>
        <w:sz w:val="20"/>
      </w:rPr>
      <w:t xml:space="preserve">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50CBE"/>
    <w:rsid w:val="000909E0"/>
    <w:rsid w:val="00092EFF"/>
    <w:rsid w:val="000A0D4F"/>
    <w:rsid w:val="000B14D8"/>
    <w:rsid w:val="000B751B"/>
    <w:rsid w:val="000E592D"/>
    <w:rsid w:val="000F175B"/>
    <w:rsid w:val="001062F5"/>
    <w:rsid w:val="00113AC6"/>
    <w:rsid w:val="001176B3"/>
    <w:rsid w:val="0014500F"/>
    <w:rsid w:val="00153F20"/>
    <w:rsid w:val="001743A5"/>
    <w:rsid w:val="0018279C"/>
    <w:rsid w:val="00182BFD"/>
    <w:rsid w:val="001B174E"/>
    <w:rsid w:val="00223E5B"/>
    <w:rsid w:val="002473CE"/>
    <w:rsid w:val="00266956"/>
    <w:rsid w:val="002703C5"/>
    <w:rsid w:val="002B0412"/>
    <w:rsid w:val="002B0A95"/>
    <w:rsid w:val="00386054"/>
    <w:rsid w:val="003A4777"/>
    <w:rsid w:val="003C29C2"/>
    <w:rsid w:val="003C7F70"/>
    <w:rsid w:val="003E285A"/>
    <w:rsid w:val="00426FFC"/>
    <w:rsid w:val="00444221"/>
    <w:rsid w:val="00491C4D"/>
    <w:rsid w:val="004A1148"/>
    <w:rsid w:val="004A2DBB"/>
    <w:rsid w:val="004E23D9"/>
    <w:rsid w:val="004E63EA"/>
    <w:rsid w:val="004F692A"/>
    <w:rsid w:val="00512598"/>
    <w:rsid w:val="00563CCF"/>
    <w:rsid w:val="005711D1"/>
    <w:rsid w:val="005A1566"/>
    <w:rsid w:val="005A1DFC"/>
    <w:rsid w:val="005A4185"/>
    <w:rsid w:val="005A60E7"/>
    <w:rsid w:val="005C328B"/>
    <w:rsid w:val="005D2E7B"/>
    <w:rsid w:val="005F667B"/>
    <w:rsid w:val="00605287"/>
    <w:rsid w:val="0063073E"/>
    <w:rsid w:val="0063484C"/>
    <w:rsid w:val="00654305"/>
    <w:rsid w:val="006737C0"/>
    <w:rsid w:val="00677BC2"/>
    <w:rsid w:val="006A3B5C"/>
    <w:rsid w:val="006C01D0"/>
    <w:rsid w:val="007357B5"/>
    <w:rsid w:val="007661D9"/>
    <w:rsid w:val="0079394B"/>
    <w:rsid w:val="007B14E8"/>
    <w:rsid w:val="007C12B5"/>
    <w:rsid w:val="007E77FA"/>
    <w:rsid w:val="008011B6"/>
    <w:rsid w:val="00885FC5"/>
    <w:rsid w:val="008C5150"/>
    <w:rsid w:val="008F3062"/>
    <w:rsid w:val="00921CB1"/>
    <w:rsid w:val="009544A3"/>
    <w:rsid w:val="00961083"/>
    <w:rsid w:val="009949A8"/>
    <w:rsid w:val="009C0CE5"/>
    <w:rsid w:val="00A01331"/>
    <w:rsid w:val="00A34B18"/>
    <w:rsid w:val="00A34D51"/>
    <w:rsid w:val="00A41F2C"/>
    <w:rsid w:val="00A60EC2"/>
    <w:rsid w:val="00A87940"/>
    <w:rsid w:val="00A94CCB"/>
    <w:rsid w:val="00AB0D7D"/>
    <w:rsid w:val="00B10088"/>
    <w:rsid w:val="00B23EC0"/>
    <w:rsid w:val="00B53437"/>
    <w:rsid w:val="00BC244F"/>
    <w:rsid w:val="00BD1325"/>
    <w:rsid w:val="00C641E9"/>
    <w:rsid w:val="00C723C2"/>
    <w:rsid w:val="00CE72AF"/>
    <w:rsid w:val="00D115BF"/>
    <w:rsid w:val="00D269C3"/>
    <w:rsid w:val="00D42950"/>
    <w:rsid w:val="00E023B7"/>
    <w:rsid w:val="00E07290"/>
    <w:rsid w:val="00E5073B"/>
    <w:rsid w:val="00EA3C1F"/>
    <w:rsid w:val="00EC0648"/>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4009-5481-4398-BA22-C35F0433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2016-06-13T19:15:00Z</dcterms:created>
  <dcterms:modified xsi:type="dcterms:W3CDTF">2016-06-13T19:15:00Z</dcterms:modified>
</cp:coreProperties>
</file>