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85" w:rsidRPr="004954EE" w:rsidRDefault="00211285" w:rsidP="00D158D6">
      <w:pPr>
        <w:pStyle w:val="NoSpacing"/>
        <w:jc w:val="center"/>
        <w:rPr>
          <w:rFonts w:ascii="Times New Roman" w:hAnsi="Times New Roman"/>
          <w:b/>
          <w:sz w:val="24"/>
          <w:szCs w:val="24"/>
        </w:rPr>
      </w:pPr>
      <w:bookmarkStart w:id="0" w:name="_GoBack"/>
      <w:bookmarkEnd w:id="0"/>
    </w:p>
    <w:p w:rsidR="00CB1C01" w:rsidRPr="00C301AA" w:rsidRDefault="00CB1C01" w:rsidP="00D158D6">
      <w:pPr>
        <w:pStyle w:val="NoSpacing"/>
        <w:jc w:val="center"/>
        <w:rPr>
          <w:rFonts w:ascii="Times New Roman" w:hAnsi="Times New Roman"/>
          <w:b/>
          <w:sz w:val="24"/>
          <w:szCs w:val="24"/>
        </w:rPr>
      </w:pPr>
      <w:r w:rsidRPr="00C301AA">
        <w:rPr>
          <w:rFonts w:ascii="Times New Roman" w:hAnsi="Times New Roman"/>
          <w:b/>
          <w:sz w:val="24"/>
          <w:szCs w:val="24"/>
        </w:rPr>
        <w:t xml:space="preserve">Ronald E. McNair Postbaccalaureate Achievement </w:t>
      </w:r>
      <w:r w:rsidR="00854AAD" w:rsidRPr="00C301AA">
        <w:rPr>
          <w:rFonts w:ascii="Times New Roman" w:hAnsi="Times New Roman"/>
          <w:b/>
          <w:sz w:val="24"/>
          <w:szCs w:val="24"/>
        </w:rPr>
        <w:t xml:space="preserve">(McNair) </w:t>
      </w:r>
      <w:r w:rsidRPr="00C301AA">
        <w:rPr>
          <w:rFonts w:ascii="Times New Roman" w:hAnsi="Times New Roman"/>
          <w:b/>
          <w:sz w:val="24"/>
          <w:szCs w:val="24"/>
        </w:rPr>
        <w:t>Program</w:t>
      </w:r>
      <w:r w:rsidR="00977932" w:rsidRPr="00C301AA">
        <w:rPr>
          <w:rFonts w:ascii="Times New Roman" w:hAnsi="Times New Roman"/>
          <w:b/>
          <w:sz w:val="24"/>
          <w:szCs w:val="24"/>
        </w:rPr>
        <w:t xml:space="preserve"> </w:t>
      </w:r>
      <w:r w:rsidRPr="00C301AA">
        <w:rPr>
          <w:rFonts w:ascii="Times New Roman" w:hAnsi="Times New Roman"/>
          <w:b/>
          <w:sz w:val="24"/>
          <w:szCs w:val="24"/>
        </w:rPr>
        <w:t xml:space="preserve"> </w:t>
      </w:r>
    </w:p>
    <w:p w:rsidR="004370B4" w:rsidRPr="00C301AA" w:rsidRDefault="00C83660" w:rsidP="004370B4">
      <w:pPr>
        <w:pStyle w:val="NoSpacing"/>
        <w:jc w:val="center"/>
        <w:rPr>
          <w:rFonts w:ascii="Times New Roman" w:hAnsi="Times New Roman"/>
          <w:b/>
          <w:sz w:val="24"/>
          <w:szCs w:val="24"/>
        </w:rPr>
      </w:pPr>
      <w:r w:rsidRPr="00C301AA">
        <w:rPr>
          <w:rFonts w:ascii="Times New Roman" w:hAnsi="Times New Roman"/>
          <w:b/>
          <w:sz w:val="24"/>
          <w:szCs w:val="24"/>
        </w:rPr>
        <w:t>Summary of Public Comments on</w:t>
      </w:r>
      <w:r w:rsidR="004370B4" w:rsidRPr="00C301AA">
        <w:rPr>
          <w:rFonts w:ascii="Times New Roman" w:hAnsi="Times New Roman"/>
          <w:b/>
          <w:sz w:val="24"/>
          <w:szCs w:val="24"/>
        </w:rPr>
        <w:t xml:space="preserve"> </w:t>
      </w:r>
      <w:r w:rsidRPr="00C301AA">
        <w:rPr>
          <w:rFonts w:ascii="Times New Roman" w:hAnsi="Times New Roman"/>
          <w:b/>
          <w:sz w:val="24"/>
          <w:szCs w:val="24"/>
        </w:rPr>
        <w:t xml:space="preserve">Proposed Changes to the </w:t>
      </w:r>
    </w:p>
    <w:p w:rsidR="00C83660" w:rsidRPr="00C301AA" w:rsidRDefault="00CB1C01" w:rsidP="004370B4">
      <w:pPr>
        <w:pStyle w:val="NoSpacing"/>
        <w:jc w:val="center"/>
        <w:rPr>
          <w:rFonts w:ascii="Times New Roman" w:hAnsi="Times New Roman"/>
          <w:b/>
          <w:sz w:val="24"/>
          <w:szCs w:val="24"/>
        </w:rPr>
      </w:pPr>
      <w:r w:rsidRPr="00C301AA">
        <w:rPr>
          <w:rFonts w:ascii="Times New Roman" w:hAnsi="Times New Roman"/>
          <w:b/>
          <w:sz w:val="24"/>
          <w:szCs w:val="24"/>
        </w:rPr>
        <w:t>20</w:t>
      </w:r>
      <w:r w:rsidR="00977932" w:rsidRPr="00C301AA">
        <w:rPr>
          <w:rFonts w:ascii="Times New Roman" w:hAnsi="Times New Roman"/>
          <w:b/>
          <w:sz w:val="24"/>
          <w:szCs w:val="24"/>
        </w:rPr>
        <w:t>15</w:t>
      </w:r>
      <w:r w:rsidR="006E7042" w:rsidRPr="00C301AA">
        <w:rPr>
          <w:rFonts w:ascii="Times New Roman" w:hAnsi="Times New Roman"/>
          <w:b/>
          <w:sz w:val="24"/>
          <w:szCs w:val="24"/>
        </w:rPr>
        <w:t>-</w:t>
      </w:r>
      <w:r w:rsidR="00977932" w:rsidRPr="00C301AA">
        <w:rPr>
          <w:rFonts w:ascii="Times New Roman" w:hAnsi="Times New Roman"/>
          <w:b/>
          <w:sz w:val="24"/>
          <w:szCs w:val="24"/>
        </w:rPr>
        <w:t>16</w:t>
      </w:r>
      <w:r w:rsidRPr="00C301AA">
        <w:rPr>
          <w:rFonts w:ascii="Times New Roman" w:hAnsi="Times New Roman"/>
          <w:b/>
          <w:sz w:val="24"/>
          <w:szCs w:val="24"/>
        </w:rPr>
        <w:t xml:space="preserve"> McNair</w:t>
      </w:r>
      <w:r w:rsidR="00C83660" w:rsidRPr="00C301AA">
        <w:rPr>
          <w:rFonts w:ascii="Times New Roman" w:hAnsi="Times New Roman"/>
          <w:b/>
          <w:sz w:val="24"/>
          <w:szCs w:val="24"/>
        </w:rPr>
        <w:t xml:space="preserve"> Annual Performance Report (APR)</w:t>
      </w:r>
    </w:p>
    <w:p w:rsidR="00851E96" w:rsidRPr="00C301AA" w:rsidRDefault="00851E96" w:rsidP="00D158D6">
      <w:pPr>
        <w:pStyle w:val="NoSpacing"/>
        <w:jc w:val="center"/>
        <w:rPr>
          <w:rFonts w:ascii="Times New Roman" w:hAnsi="Times New Roman"/>
          <w:b/>
          <w:sz w:val="24"/>
          <w:szCs w:val="24"/>
        </w:rPr>
      </w:pPr>
      <w:r w:rsidRPr="00C301AA">
        <w:rPr>
          <w:rFonts w:ascii="Times New Roman" w:hAnsi="Times New Roman"/>
          <w:b/>
          <w:sz w:val="24"/>
          <w:szCs w:val="24"/>
        </w:rPr>
        <w:t>Following 60</w:t>
      </w:r>
      <w:r w:rsidR="00C3279F" w:rsidRPr="00C301AA">
        <w:rPr>
          <w:rFonts w:ascii="Times New Roman" w:hAnsi="Times New Roman"/>
          <w:b/>
          <w:sz w:val="24"/>
          <w:szCs w:val="24"/>
        </w:rPr>
        <w:t>-</w:t>
      </w:r>
      <w:r w:rsidRPr="00C301AA">
        <w:rPr>
          <w:rFonts w:ascii="Times New Roman" w:hAnsi="Times New Roman"/>
          <w:b/>
          <w:sz w:val="24"/>
          <w:szCs w:val="24"/>
        </w:rPr>
        <w:t>Day Review Period</w:t>
      </w:r>
    </w:p>
    <w:p w:rsidR="00C83660" w:rsidRPr="007E5C1B" w:rsidRDefault="00C83660" w:rsidP="007E5C1B">
      <w:pPr>
        <w:pStyle w:val="NormalWeb"/>
        <w:spacing w:before="0" w:beforeAutospacing="0" w:after="0" w:afterAutospacing="0"/>
        <w:rPr>
          <w:rFonts w:eastAsiaTheme="minorEastAsia"/>
        </w:rPr>
      </w:pPr>
    </w:p>
    <w:p w:rsidR="00AF0A4A" w:rsidRPr="00C301AA" w:rsidRDefault="00ED7DCD" w:rsidP="007E5C1B">
      <w:pPr>
        <w:spacing w:after="0" w:line="240" w:lineRule="auto"/>
        <w:rPr>
          <w:rFonts w:ascii="Times New Roman" w:hAnsi="Times New Roman" w:cs="Times New Roman"/>
          <w:sz w:val="24"/>
          <w:szCs w:val="24"/>
        </w:rPr>
      </w:pPr>
      <w:r w:rsidRPr="00C301AA">
        <w:rPr>
          <w:rFonts w:ascii="Times New Roman" w:hAnsi="Times New Roman" w:cs="Times New Roman"/>
          <w:sz w:val="24"/>
          <w:szCs w:val="24"/>
        </w:rPr>
        <w:t xml:space="preserve">On </w:t>
      </w:r>
      <w:r w:rsidR="006E7042" w:rsidRPr="00C301AA">
        <w:rPr>
          <w:rFonts w:ascii="Times New Roman" w:hAnsi="Times New Roman" w:cs="Times New Roman"/>
          <w:sz w:val="24"/>
          <w:szCs w:val="24"/>
        </w:rPr>
        <w:t>July</w:t>
      </w:r>
      <w:r w:rsidRPr="00C301AA">
        <w:rPr>
          <w:rFonts w:ascii="Times New Roman" w:hAnsi="Times New Roman" w:cs="Times New Roman"/>
          <w:sz w:val="24"/>
          <w:szCs w:val="24"/>
        </w:rPr>
        <w:t xml:space="preserve"> 22, 201</w:t>
      </w:r>
      <w:r w:rsidR="006E7042" w:rsidRPr="00C301AA">
        <w:rPr>
          <w:rFonts w:ascii="Times New Roman" w:hAnsi="Times New Roman" w:cs="Times New Roman"/>
          <w:sz w:val="24"/>
          <w:szCs w:val="24"/>
        </w:rPr>
        <w:t>6</w:t>
      </w:r>
      <w:r w:rsidRPr="00C301AA">
        <w:rPr>
          <w:rFonts w:ascii="Times New Roman" w:hAnsi="Times New Roman" w:cs="Times New Roman"/>
          <w:sz w:val="24"/>
          <w:szCs w:val="24"/>
        </w:rPr>
        <w:t xml:space="preserve">, the Department of Education (Department) published a Notice of Proposed Information Collection Request (Notice) in the </w:t>
      </w:r>
      <w:r w:rsidRPr="00C301AA">
        <w:rPr>
          <w:rFonts w:ascii="Times New Roman" w:hAnsi="Times New Roman" w:cs="Times New Roman"/>
          <w:sz w:val="24"/>
          <w:szCs w:val="24"/>
          <w:u w:val="single"/>
        </w:rPr>
        <w:t>Federal Register</w:t>
      </w:r>
      <w:r w:rsidRPr="00C301AA">
        <w:rPr>
          <w:rFonts w:ascii="Times New Roman" w:hAnsi="Times New Roman" w:cs="Times New Roman"/>
          <w:sz w:val="24"/>
          <w:szCs w:val="24"/>
        </w:rPr>
        <w:t xml:space="preserve"> inviting comments by </w:t>
      </w:r>
      <w:r w:rsidR="006E7042" w:rsidRPr="00C301AA">
        <w:rPr>
          <w:rFonts w:ascii="Times New Roman" w:hAnsi="Times New Roman" w:cs="Times New Roman"/>
          <w:sz w:val="24"/>
          <w:szCs w:val="24"/>
        </w:rPr>
        <w:t>August 22</w:t>
      </w:r>
      <w:r w:rsidRPr="00C301AA">
        <w:rPr>
          <w:rFonts w:ascii="Times New Roman" w:hAnsi="Times New Roman" w:cs="Times New Roman"/>
          <w:sz w:val="24"/>
          <w:szCs w:val="24"/>
        </w:rPr>
        <w:t>, 201</w:t>
      </w:r>
      <w:r w:rsidR="006E7042" w:rsidRPr="00C301AA">
        <w:rPr>
          <w:rFonts w:ascii="Times New Roman" w:hAnsi="Times New Roman" w:cs="Times New Roman"/>
          <w:sz w:val="24"/>
          <w:szCs w:val="24"/>
        </w:rPr>
        <w:t>6</w:t>
      </w:r>
      <w:r w:rsidRPr="00C301AA">
        <w:rPr>
          <w:rFonts w:ascii="Times New Roman" w:hAnsi="Times New Roman" w:cs="Times New Roman"/>
          <w:sz w:val="24"/>
          <w:szCs w:val="24"/>
        </w:rPr>
        <w:t xml:space="preserve">, on the proposed annual performance report (APR) for the Ronald E. McNair Postbaccalaureate Achievement (McNair) Program. </w:t>
      </w:r>
      <w:r w:rsidR="00977932" w:rsidRPr="00C301AA">
        <w:rPr>
          <w:rFonts w:ascii="Times New Roman" w:hAnsi="Times New Roman" w:cs="Times New Roman"/>
          <w:sz w:val="24"/>
          <w:szCs w:val="24"/>
        </w:rPr>
        <w:t xml:space="preserve"> </w:t>
      </w:r>
      <w:r w:rsidR="007E17A5" w:rsidRPr="00C301AA">
        <w:rPr>
          <w:rFonts w:ascii="Times New Roman" w:hAnsi="Times New Roman" w:cs="Times New Roman"/>
          <w:sz w:val="24"/>
          <w:szCs w:val="24"/>
        </w:rPr>
        <w:t xml:space="preserve">The Department received comments from thirty </w:t>
      </w:r>
      <w:r w:rsidR="0016114A" w:rsidRPr="00C301AA">
        <w:rPr>
          <w:rFonts w:ascii="Times New Roman" w:hAnsi="Times New Roman" w:cs="Times New Roman"/>
          <w:sz w:val="24"/>
          <w:szCs w:val="24"/>
        </w:rPr>
        <w:t>(3</w:t>
      </w:r>
      <w:r w:rsidR="006E7042" w:rsidRPr="00C301AA">
        <w:rPr>
          <w:rFonts w:ascii="Times New Roman" w:hAnsi="Times New Roman" w:cs="Times New Roman"/>
          <w:sz w:val="24"/>
          <w:szCs w:val="24"/>
        </w:rPr>
        <w:t>0</w:t>
      </w:r>
      <w:r w:rsidR="0016114A" w:rsidRPr="00C301AA">
        <w:rPr>
          <w:rFonts w:ascii="Times New Roman" w:hAnsi="Times New Roman" w:cs="Times New Roman"/>
          <w:sz w:val="24"/>
          <w:szCs w:val="24"/>
        </w:rPr>
        <w:t xml:space="preserve">) </w:t>
      </w:r>
      <w:r w:rsidRPr="00C301AA">
        <w:rPr>
          <w:rFonts w:ascii="Times New Roman" w:hAnsi="Times New Roman" w:cs="Times New Roman"/>
          <w:sz w:val="24"/>
          <w:szCs w:val="24"/>
        </w:rPr>
        <w:t>individual</w:t>
      </w:r>
      <w:r w:rsidR="007E17A5" w:rsidRPr="00C301AA">
        <w:rPr>
          <w:rFonts w:ascii="Times New Roman" w:hAnsi="Times New Roman" w:cs="Times New Roman"/>
          <w:sz w:val="24"/>
          <w:szCs w:val="24"/>
        </w:rPr>
        <w:t xml:space="preserve">s.  The majority of the comments were related </w:t>
      </w:r>
      <w:r w:rsidR="008E1092">
        <w:rPr>
          <w:rFonts w:ascii="Times New Roman" w:hAnsi="Times New Roman" w:cs="Times New Roman"/>
          <w:sz w:val="24"/>
          <w:szCs w:val="24"/>
        </w:rPr>
        <w:t xml:space="preserve">to the new data fields proposed, with specific attention to </w:t>
      </w:r>
      <w:r w:rsidR="007E17A5" w:rsidRPr="00C301AA">
        <w:rPr>
          <w:rFonts w:ascii="Times New Roman" w:hAnsi="Times New Roman" w:cs="Times New Roman"/>
          <w:sz w:val="24"/>
          <w:szCs w:val="24"/>
        </w:rPr>
        <w:t>the fields related to research and other scholarly activities.</w:t>
      </w:r>
      <w:r w:rsidR="00977932" w:rsidRPr="00C301AA">
        <w:rPr>
          <w:rFonts w:ascii="Times New Roman" w:hAnsi="Times New Roman" w:cs="Times New Roman"/>
          <w:sz w:val="24"/>
          <w:szCs w:val="24"/>
        </w:rPr>
        <w:t xml:space="preserve"> </w:t>
      </w:r>
      <w:r w:rsidR="00AF0A4A" w:rsidRPr="00C301AA">
        <w:rPr>
          <w:rFonts w:ascii="Times New Roman" w:hAnsi="Times New Roman" w:cs="Times New Roman"/>
          <w:sz w:val="24"/>
          <w:szCs w:val="24"/>
        </w:rPr>
        <w:t xml:space="preserve"> </w:t>
      </w:r>
      <w:r w:rsidR="007E17A5" w:rsidRPr="00C301AA">
        <w:rPr>
          <w:rFonts w:ascii="Times New Roman" w:hAnsi="Times New Roman" w:cs="Times New Roman"/>
          <w:sz w:val="24"/>
          <w:szCs w:val="24"/>
        </w:rPr>
        <w:t>To this end, t</w:t>
      </w:r>
      <w:r w:rsidR="00AF0A4A" w:rsidRPr="00C301AA">
        <w:rPr>
          <w:rFonts w:ascii="Times New Roman" w:hAnsi="Times New Roman" w:cs="Times New Roman"/>
          <w:sz w:val="24"/>
          <w:szCs w:val="24"/>
        </w:rPr>
        <w:t>he Department reviewed each of th</w:t>
      </w:r>
      <w:r w:rsidR="007E17A5" w:rsidRPr="00C301AA">
        <w:rPr>
          <w:rFonts w:ascii="Times New Roman" w:hAnsi="Times New Roman" w:cs="Times New Roman"/>
          <w:sz w:val="24"/>
          <w:szCs w:val="24"/>
        </w:rPr>
        <w:t>e comments and concerns and provided responses as well as made revisions to the APR, where applicable.</w:t>
      </w:r>
      <w:r w:rsidR="00AF0A4A" w:rsidRPr="00C301AA">
        <w:rPr>
          <w:rFonts w:ascii="Times New Roman" w:hAnsi="Times New Roman" w:cs="Times New Roman"/>
          <w:sz w:val="24"/>
          <w:szCs w:val="24"/>
        </w:rPr>
        <w:t xml:space="preserve"> </w:t>
      </w:r>
    </w:p>
    <w:p w:rsidR="00AF0A4A" w:rsidRPr="00C301AA" w:rsidRDefault="00AF0A4A" w:rsidP="007E5C1B">
      <w:pPr>
        <w:spacing w:after="0" w:line="240" w:lineRule="auto"/>
        <w:rPr>
          <w:rFonts w:ascii="Times New Roman" w:hAnsi="Times New Roman" w:cs="Times New Roman"/>
          <w:sz w:val="24"/>
          <w:szCs w:val="24"/>
        </w:rPr>
      </w:pPr>
    </w:p>
    <w:p w:rsidR="00963621" w:rsidRPr="00C301AA" w:rsidRDefault="00ED7DCD" w:rsidP="007E5C1B">
      <w:pPr>
        <w:pStyle w:val="BodyText"/>
      </w:pPr>
      <w:r w:rsidRPr="00C301AA">
        <w:t xml:space="preserve">A summary and discussion of the comments </w:t>
      </w:r>
      <w:r w:rsidR="00963621" w:rsidRPr="00C301AA">
        <w:t xml:space="preserve">on the proposed McNair APR </w:t>
      </w:r>
      <w:r w:rsidRPr="00C301AA">
        <w:t>as well as information on the action</w:t>
      </w:r>
      <w:r w:rsidR="00AF0A4A" w:rsidRPr="00C301AA">
        <w:t>s</w:t>
      </w:r>
      <w:r w:rsidRPr="00C301AA">
        <w:t xml:space="preserve"> taken follows.  </w:t>
      </w:r>
      <w:r w:rsidR="00AF0A4A" w:rsidRPr="00C301AA">
        <w:t xml:space="preserve">Some </w:t>
      </w:r>
      <w:r w:rsidR="00963621" w:rsidRPr="00C301AA">
        <w:t xml:space="preserve">minor changes to the APR that are of a technical nature (e.g., </w:t>
      </w:r>
      <w:r w:rsidR="0056649F" w:rsidRPr="00C301AA">
        <w:t>typographical errors</w:t>
      </w:r>
      <w:r w:rsidR="006E7042" w:rsidRPr="00C301AA">
        <w:t xml:space="preserve">) </w:t>
      </w:r>
      <w:r w:rsidR="00AF0A4A" w:rsidRPr="00C301AA">
        <w:t xml:space="preserve">are not discussed below </w:t>
      </w:r>
      <w:r w:rsidR="00963621" w:rsidRPr="00C301AA">
        <w:t xml:space="preserve">but </w:t>
      </w:r>
      <w:r w:rsidR="00AF0A4A" w:rsidRPr="00C301AA">
        <w:t>have been</w:t>
      </w:r>
      <w:r w:rsidR="00963621" w:rsidRPr="00C301AA">
        <w:t xml:space="preserve"> made to the revised form and</w:t>
      </w:r>
      <w:r w:rsidR="00AF0A4A" w:rsidRPr="00C301AA">
        <w:t xml:space="preserve"> instructions. </w:t>
      </w:r>
    </w:p>
    <w:p w:rsidR="00963621" w:rsidRPr="00C301AA" w:rsidRDefault="00963621" w:rsidP="007E5C1B">
      <w:pPr>
        <w:spacing w:after="0" w:line="240" w:lineRule="auto"/>
        <w:rPr>
          <w:rFonts w:ascii="Times New Roman" w:hAnsi="Times New Roman" w:cs="Times New Roman"/>
          <w:sz w:val="24"/>
          <w:szCs w:val="24"/>
        </w:rPr>
      </w:pPr>
    </w:p>
    <w:p w:rsidR="00B5323F" w:rsidRPr="00C301AA" w:rsidRDefault="00B5323F" w:rsidP="007E5C1B">
      <w:pPr>
        <w:spacing w:after="0" w:line="240" w:lineRule="auto"/>
        <w:rPr>
          <w:rFonts w:ascii="Times New Roman" w:hAnsi="Times New Roman" w:cs="Times New Roman"/>
          <w:b/>
          <w:i/>
          <w:sz w:val="24"/>
          <w:szCs w:val="24"/>
        </w:rPr>
      </w:pPr>
      <w:r w:rsidRPr="00C301AA">
        <w:rPr>
          <w:rFonts w:ascii="Times New Roman" w:hAnsi="Times New Roman" w:cs="Times New Roman"/>
          <w:b/>
          <w:i/>
          <w:sz w:val="24"/>
          <w:szCs w:val="24"/>
        </w:rPr>
        <w:t xml:space="preserve">General Comments </w:t>
      </w:r>
      <w:r w:rsidR="006E7042" w:rsidRPr="00C301AA">
        <w:rPr>
          <w:rFonts w:ascii="Times New Roman" w:hAnsi="Times New Roman" w:cs="Times New Roman"/>
          <w:b/>
          <w:i/>
          <w:sz w:val="24"/>
          <w:szCs w:val="24"/>
        </w:rPr>
        <w:t>on the reporting requirements</w:t>
      </w:r>
    </w:p>
    <w:p w:rsidR="006E7042" w:rsidRPr="00C301AA" w:rsidRDefault="006E7042" w:rsidP="007E5C1B">
      <w:pPr>
        <w:spacing w:after="0" w:line="240" w:lineRule="auto"/>
        <w:rPr>
          <w:rFonts w:ascii="Times New Roman" w:hAnsi="Times New Roman" w:cs="Times New Roman"/>
          <w:b/>
          <w:i/>
          <w:sz w:val="24"/>
          <w:szCs w:val="24"/>
        </w:rPr>
      </w:pPr>
    </w:p>
    <w:p w:rsidR="00AA4BF9" w:rsidRPr="00C301AA" w:rsidRDefault="006E7042" w:rsidP="007E5C1B">
      <w:pPr>
        <w:pStyle w:val="Heading2"/>
        <w:rPr>
          <w:rFonts w:cs="Times New Roman"/>
        </w:rPr>
      </w:pPr>
      <w:r w:rsidRPr="00C301AA">
        <w:rPr>
          <w:rFonts w:cs="Times New Roman"/>
        </w:rPr>
        <w:t xml:space="preserve">“Gap” Year Rumor </w:t>
      </w:r>
    </w:p>
    <w:p w:rsidR="006E7042" w:rsidRPr="00C301AA" w:rsidRDefault="006E7042" w:rsidP="007E5C1B">
      <w:pPr>
        <w:spacing w:after="0" w:line="240" w:lineRule="auto"/>
        <w:rPr>
          <w:rFonts w:ascii="Times New Roman" w:eastAsia="Times New Roman" w:hAnsi="Times New Roman" w:cs="Times New Roman"/>
          <w:b/>
          <w:sz w:val="24"/>
          <w:szCs w:val="24"/>
        </w:rPr>
      </w:pPr>
    </w:p>
    <w:p w:rsidR="007161D1" w:rsidRPr="00C301AA" w:rsidRDefault="00AA4BF9"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Comments:</w:t>
      </w:r>
      <w:r w:rsidRPr="00C301AA">
        <w:rPr>
          <w:rFonts w:ascii="Times New Roman" w:eastAsia="Times New Roman" w:hAnsi="Times New Roman" w:cs="Times New Roman"/>
          <w:sz w:val="24"/>
          <w:szCs w:val="24"/>
        </w:rPr>
        <w:t xml:space="preserve"> </w:t>
      </w:r>
      <w:r w:rsidR="006E7042" w:rsidRPr="00C301AA">
        <w:rPr>
          <w:rFonts w:ascii="Times New Roman" w:eastAsia="Times New Roman" w:hAnsi="Times New Roman" w:cs="Times New Roman"/>
          <w:sz w:val="24"/>
          <w:szCs w:val="24"/>
        </w:rPr>
        <w:t xml:space="preserve"> </w:t>
      </w:r>
      <w:r w:rsidRPr="00C301AA">
        <w:rPr>
          <w:rFonts w:ascii="Times New Roman" w:eastAsia="Times New Roman" w:hAnsi="Times New Roman" w:cs="Times New Roman"/>
          <w:sz w:val="24"/>
          <w:szCs w:val="24"/>
        </w:rPr>
        <w:t>One commenter expresse</w:t>
      </w:r>
      <w:r w:rsidR="00C301AA" w:rsidRPr="00C301AA">
        <w:rPr>
          <w:rFonts w:ascii="Times New Roman" w:eastAsia="Times New Roman" w:hAnsi="Times New Roman" w:cs="Times New Roman"/>
          <w:sz w:val="24"/>
          <w:szCs w:val="24"/>
        </w:rPr>
        <w:t>d</w:t>
      </w:r>
      <w:r w:rsidR="007E17A5" w:rsidRPr="00C301AA">
        <w:rPr>
          <w:rFonts w:ascii="Times New Roman" w:eastAsia="Times New Roman" w:hAnsi="Times New Roman" w:cs="Times New Roman"/>
          <w:sz w:val="24"/>
          <w:szCs w:val="24"/>
        </w:rPr>
        <w:t xml:space="preserve"> concern regarding </w:t>
      </w:r>
      <w:r w:rsidRPr="00C301AA">
        <w:rPr>
          <w:rFonts w:ascii="Times New Roman" w:eastAsia="Times New Roman" w:hAnsi="Times New Roman" w:cs="Times New Roman"/>
          <w:sz w:val="24"/>
          <w:szCs w:val="24"/>
        </w:rPr>
        <w:t>"rumors" that the Dep</w:t>
      </w:r>
      <w:r w:rsidR="006E7042" w:rsidRPr="00C301AA">
        <w:rPr>
          <w:rFonts w:ascii="Times New Roman" w:eastAsia="Times New Roman" w:hAnsi="Times New Roman" w:cs="Times New Roman"/>
          <w:sz w:val="24"/>
          <w:szCs w:val="24"/>
        </w:rPr>
        <w:t xml:space="preserve">artment </w:t>
      </w:r>
      <w:r w:rsidRPr="00C301AA">
        <w:rPr>
          <w:rFonts w:ascii="Times New Roman" w:eastAsia="Times New Roman" w:hAnsi="Times New Roman" w:cs="Times New Roman"/>
          <w:sz w:val="24"/>
          <w:szCs w:val="24"/>
        </w:rPr>
        <w:t>may be considering providing some sort of "gap" year (s) in th</w:t>
      </w:r>
      <w:r w:rsidR="008E1092">
        <w:rPr>
          <w:rFonts w:ascii="Times New Roman" w:eastAsia="Times New Roman" w:hAnsi="Times New Roman" w:cs="Times New Roman"/>
          <w:sz w:val="24"/>
          <w:szCs w:val="24"/>
        </w:rPr>
        <w:t>e</w:t>
      </w:r>
      <w:r w:rsidRPr="00C301AA">
        <w:rPr>
          <w:rFonts w:ascii="Times New Roman" w:eastAsia="Times New Roman" w:hAnsi="Times New Roman" w:cs="Times New Roman"/>
          <w:sz w:val="24"/>
          <w:szCs w:val="24"/>
        </w:rPr>
        <w:t xml:space="preserve"> next McNair competition to permit graduating seniors </w:t>
      </w:r>
      <w:r w:rsidR="008E1092">
        <w:rPr>
          <w:rFonts w:ascii="Times New Roman" w:eastAsia="Times New Roman" w:hAnsi="Times New Roman" w:cs="Times New Roman"/>
          <w:sz w:val="24"/>
          <w:szCs w:val="24"/>
        </w:rPr>
        <w:t>to take</w:t>
      </w:r>
      <w:r w:rsidRPr="00C301AA">
        <w:rPr>
          <w:rFonts w:ascii="Times New Roman" w:eastAsia="Times New Roman" w:hAnsi="Times New Roman" w:cs="Times New Roman"/>
          <w:sz w:val="24"/>
          <w:szCs w:val="24"/>
        </w:rPr>
        <w:t xml:space="preserve"> time off to consider applying to graduate school.</w:t>
      </w:r>
      <w:r w:rsidR="006E7042" w:rsidRPr="00C301AA">
        <w:rPr>
          <w:rFonts w:ascii="Times New Roman" w:eastAsia="Times New Roman" w:hAnsi="Times New Roman" w:cs="Times New Roman"/>
          <w:sz w:val="24"/>
          <w:szCs w:val="24"/>
        </w:rPr>
        <w:t xml:space="preserve"> </w:t>
      </w:r>
      <w:r w:rsidRPr="00C301AA">
        <w:rPr>
          <w:rFonts w:ascii="Times New Roman" w:eastAsia="Times New Roman" w:hAnsi="Times New Roman" w:cs="Times New Roman"/>
          <w:sz w:val="24"/>
          <w:szCs w:val="24"/>
        </w:rPr>
        <w:t xml:space="preserve"> They assert</w:t>
      </w:r>
      <w:r w:rsidR="00C301AA" w:rsidRPr="00C301AA">
        <w:rPr>
          <w:rFonts w:ascii="Times New Roman" w:eastAsia="Times New Roman" w:hAnsi="Times New Roman" w:cs="Times New Roman"/>
          <w:sz w:val="24"/>
          <w:szCs w:val="24"/>
        </w:rPr>
        <w:t>ed</w:t>
      </w:r>
      <w:r w:rsidRPr="00C301AA">
        <w:rPr>
          <w:rFonts w:ascii="Times New Roman" w:eastAsia="Times New Roman" w:hAnsi="Times New Roman" w:cs="Times New Roman"/>
          <w:sz w:val="24"/>
          <w:szCs w:val="24"/>
        </w:rPr>
        <w:t xml:space="preserve"> this would significantly undermine the program because the existence of McNair is predicated on the fact that the populations served do not historically attend graduate school.</w:t>
      </w:r>
      <w:r w:rsidR="006E7042" w:rsidRPr="00C301AA">
        <w:rPr>
          <w:rFonts w:ascii="Times New Roman" w:eastAsia="Times New Roman" w:hAnsi="Times New Roman" w:cs="Times New Roman"/>
          <w:sz w:val="24"/>
          <w:szCs w:val="24"/>
        </w:rPr>
        <w:t xml:space="preserve"> </w:t>
      </w:r>
      <w:r w:rsidRPr="00C301AA">
        <w:rPr>
          <w:rFonts w:ascii="Times New Roman" w:eastAsia="Times New Roman" w:hAnsi="Times New Roman" w:cs="Times New Roman"/>
          <w:sz w:val="24"/>
          <w:szCs w:val="24"/>
        </w:rPr>
        <w:t xml:space="preserve"> </w:t>
      </w:r>
      <w:r w:rsidR="00A12C81" w:rsidRPr="00C301AA">
        <w:rPr>
          <w:rFonts w:ascii="Times New Roman" w:eastAsia="Times New Roman" w:hAnsi="Times New Roman" w:cs="Times New Roman"/>
          <w:sz w:val="24"/>
          <w:szCs w:val="24"/>
        </w:rPr>
        <w:t>They note</w:t>
      </w:r>
      <w:r w:rsidR="00C301AA" w:rsidRPr="00C301AA">
        <w:rPr>
          <w:rFonts w:ascii="Times New Roman" w:eastAsia="Times New Roman" w:hAnsi="Times New Roman" w:cs="Times New Roman"/>
          <w:sz w:val="24"/>
          <w:szCs w:val="24"/>
        </w:rPr>
        <w:t>d</w:t>
      </w:r>
      <w:r w:rsidR="00A12C81" w:rsidRPr="00C301AA">
        <w:rPr>
          <w:rFonts w:ascii="Times New Roman" w:eastAsia="Times New Roman" w:hAnsi="Times New Roman" w:cs="Times New Roman"/>
          <w:sz w:val="24"/>
          <w:szCs w:val="24"/>
        </w:rPr>
        <w:t xml:space="preserve"> that </w:t>
      </w:r>
      <w:r w:rsidRPr="00C301AA">
        <w:rPr>
          <w:rFonts w:ascii="Times New Roman" w:eastAsia="Times New Roman" w:hAnsi="Times New Roman" w:cs="Times New Roman"/>
          <w:sz w:val="24"/>
          <w:szCs w:val="24"/>
        </w:rPr>
        <w:t>McNair provides a great and supportive path for these students to get them in the pipeline immediately upon completion of their undergraduate degree</w:t>
      </w:r>
      <w:r w:rsidR="00A12C81" w:rsidRPr="00C301AA">
        <w:rPr>
          <w:rFonts w:ascii="Times New Roman" w:eastAsia="Times New Roman" w:hAnsi="Times New Roman" w:cs="Times New Roman"/>
          <w:sz w:val="24"/>
          <w:szCs w:val="24"/>
        </w:rPr>
        <w:t xml:space="preserve">, and </w:t>
      </w:r>
      <w:r w:rsidR="00FD6B4E" w:rsidRPr="00C301AA">
        <w:rPr>
          <w:rFonts w:ascii="Times New Roman" w:eastAsia="Times New Roman" w:hAnsi="Times New Roman" w:cs="Times New Roman"/>
          <w:sz w:val="24"/>
          <w:szCs w:val="24"/>
        </w:rPr>
        <w:t>those scholars</w:t>
      </w:r>
      <w:r w:rsidRPr="00C301AA">
        <w:rPr>
          <w:rFonts w:ascii="Times New Roman" w:eastAsia="Times New Roman" w:hAnsi="Times New Roman" w:cs="Times New Roman"/>
          <w:sz w:val="24"/>
          <w:szCs w:val="24"/>
        </w:rPr>
        <w:t xml:space="preserve"> who do not apply to attend right away risk not attending in the future. </w:t>
      </w:r>
      <w:r w:rsidR="006E7042" w:rsidRPr="00C301AA">
        <w:rPr>
          <w:rFonts w:ascii="Times New Roman" w:eastAsia="Times New Roman" w:hAnsi="Times New Roman" w:cs="Times New Roman"/>
          <w:sz w:val="24"/>
          <w:szCs w:val="24"/>
        </w:rPr>
        <w:t xml:space="preserve"> </w:t>
      </w:r>
    </w:p>
    <w:p w:rsidR="007E5C1B" w:rsidRDefault="007E5C1B" w:rsidP="007E5C1B">
      <w:pPr>
        <w:spacing w:after="0" w:line="240" w:lineRule="auto"/>
        <w:rPr>
          <w:rFonts w:ascii="Times New Roman" w:eastAsia="Times New Roman" w:hAnsi="Times New Roman" w:cs="Times New Roman"/>
          <w:b/>
          <w:sz w:val="24"/>
          <w:szCs w:val="24"/>
        </w:rPr>
      </w:pPr>
    </w:p>
    <w:p w:rsidR="005E7AA1" w:rsidRPr="00C301AA" w:rsidRDefault="00AA4BF9"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 xml:space="preserve">Discussion: </w:t>
      </w:r>
      <w:r w:rsidR="00A12C81" w:rsidRPr="00C301AA">
        <w:rPr>
          <w:rFonts w:ascii="Times New Roman" w:eastAsia="Times New Roman" w:hAnsi="Times New Roman" w:cs="Times New Roman"/>
          <w:b/>
          <w:sz w:val="24"/>
          <w:szCs w:val="24"/>
        </w:rPr>
        <w:t xml:space="preserve"> </w:t>
      </w:r>
      <w:r w:rsidR="0056649F" w:rsidRPr="00C301AA">
        <w:rPr>
          <w:rFonts w:ascii="Times New Roman" w:eastAsia="Times New Roman" w:hAnsi="Times New Roman" w:cs="Times New Roman"/>
          <w:sz w:val="24"/>
          <w:szCs w:val="24"/>
        </w:rPr>
        <w:t xml:space="preserve">The Department </w:t>
      </w:r>
      <w:r w:rsidR="0046353A">
        <w:rPr>
          <w:rFonts w:ascii="Times New Roman" w:eastAsia="Times New Roman" w:hAnsi="Times New Roman" w:cs="Times New Roman"/>
          <w:sz w:val="24"/>
          <w:szCs w:val="24"/>
        </w:rPr>
        <w:t>has no plans to institute</w:t>
      </w:r>
      <w:r w:rsidR="0056649F" w:rsidRPr="00C301AA">
        <w:rPr>
          <w:rFonts w:ascii="Times New Roman" w:eastAsia="Times New Roman" w:hAnsi="Times New Roman" w:cs="Times New Roman"/>
          <w:sz w:val="24"/>
          <w:szCs w:val="24"/>
        </w:rPr>
        <w:t xml:space="preserve"> a “gap” year for graduating seniors to enter graduate school for reasons such as th</w:t>
      </w:r>
      <w:r w:rsidR="008E1092">
        <w:rPr>
          <w:rFonts w:ascii="Times New Roman" w:eastAsia="Times New Roman" w:hAnsi="Times New Roman" w:cs="Times New Roman"/>
          <w:sz w:val="24"/>
          <w:szCs w:val="24"/>
        </w:rPr>
        <w:t>ose mentioned in th</w:t>
      </w:r>
      <w:r w:rsidR="00FD6B4E">
        <w:rPr>
          <w:rFonts w:ascii="Times New Roman" w:eastAsia="Times New Roman" w:hAnsi="Times New Roman" w:cs="Times New Roman"/>
          <w:sz w:val="24"/>
          <w:szCs w:val="24"/>
        </w:rPr>
        <w:t>e</w:t>
      </w:r>
      <w:r w:rsidR="0056649F" w:rsidRPr="00C301AA">
        <w:rPr>
          <w:rFonts w:ascii="Times New Roman" w:eastAsia="Times New Roman" w:hAnsi="Times New Roman" w:cs="Times New Roman"/>
          <w:sz w:val="24"/>
          <w:szCs w:val="24"/>
        </w:rPr>
        <w:t xml:space="preserve"> comme</w:t>
      </w:r>
      <w:r w:rsidR="007E17A5" w:rsidRPr="00C301AA">
        <w:rPr>
          <w:rFonts w:ascii="Times New Roman" w:eastAsia="Times New Roman" w:hAnsi="Times New Roman" w:cs="Times New Roman"/>
          <w:sz w:val="24"/>
          <w:szCs w:val="24"/>
        </w:rPr>
        <w:t xml:space="preserve">nter’s concerns.  In addition, </w:t>
      </w:r>
      <w:r w:rsidR="007E17A5" w:rsidRPr="00C301AA">
        <w:rPr>
          <w:rFonts w:cs="Times New Roman"/>
        </w:rPr>
        <w:t>§</w:t>
      </w:r>
      <w:r w:rsidR="0056649F" w:rsidRPr="00C301AA">
        <w:rPr>
          <w:rFonts w:ascii="Times New Roman" w:eastAsia="Times New Roman" w:hAnsi="Times New Roman" w:cs="Times New Roman"/>
          <w:sz w:val="24"/>
          <w:szCs w:val="24"/>
        </w:rPr>
        <w:t>647.22(e</w:t>
      </w:r>
      <w:proofErr w:type="gramStart"/>
      <w:r w:rsidR="0056649F" w:rsidRPr="00C301AA">
        <w:rPr>
          <w:rFonts w:ascii="Times New Roman" w:eastAsia="Times New Roman" w:hAnsi="Times New Roman" w:cs="Times New Roman"/>
          <w:sz w:val="24"/>
          <w:szCs w:val="24"/>
        </w:rPr>
        <w:t>)(</w:t>
      </w:r>
      <w:proofErr w:type="gramEnd"/>
      <w:r w:rsidR="0056649F" w:rsidRPr="00C301AA">
        <w:rPr>
          <w:rFonts w:ascii="Times New Roman" w:eastAsia="Times New Roman" w:hAnsi="Times New Roman" w:cs="Times New Roman"/>
          <w:sz w:val="24"/>
          <w:szCs w:val="24"/>
        </w:rPr>
        <w:t>3)</w:t>
      </w:r>
      <w:r w:rsidR="007E17A5" w:rsidRPr="00C301AA">
        <w:rPr>
          <w:rFonts w:ascii="Times New Roman" w:eastAsia="Times New Roman" w:hAnsi="Times New Roman" w:cs="Times New Roman"/>
          <w:sz w:val="24"/>
          <w:szCs w:val="24"/>
        </w:rPr>
        <w:t xml:space="preserve"> mandates that graduate enrollment be assessed as immediate enrollment in graduate school after the completion of the baccalaureate degree (i.e., by the fall of the next academic year);</w:t>
      </w:r>
      <w:r w:rsidR="00E344BD" w:rsidRPr="00C301AA">
        <w:rPr>
          <w:rFonts w:ascii="Times New Roman" w:hAnsi="Times New Roman" w:cs="Times New Roman"/>
          <w:sz w:val="24"/>
          <w:szCs w:val="24"/>
          <w:shd w:val="clear" w:color="auto" w:fill="FFFFFF"/>
        </w:rPr>
        <w:t xml:space="preserve"> </w:t>
      </w:r>
      <w:r w:rsidR="00E344BD" w:rsidRPr="00C301AA">
        <w:rPr>
          <w:rFonts w:ascii="Times New Roman" w:eastAsia="Times New Roman" w:hAnsi="Times New Roman" w:cs="Times New Roman"/>
          <w:sz w:val="24"/>
          <w:szCs w:val="24"/>
        </w:rPr>
        <w:t>t</w:t>
      </w:r>
      <w:r w:rsidR="005E7AA1" w:rsidRPr="00C301AA">
        <w:rPr>
          <w:rFonts w:ascii="Times New Roman" w:eastAsia="Times New Roman" w:hAnsi="Times New Roman" w:cs="Times New Roman"/>
          <w:sz w:val="24"/>
          <w:szCs w:val="24"/>
        </w:rPr>
        <w:t xml:space="preserve">herefore, there is no gap </w:t>
      </w:r>
      <w:r w:rsidR="00A0134B" w:rsidRPr="00C301AA">
        <w:rPr>
          <w:rFonts w:ascii="Times New Roman" w:eastAsia="Times New Roman" w:hAnsi="Times New Roman" w:cs="Times New Roman"/>
          <w:sz w:val="24"/>
          <w:szCs w:val="24"/>
        </w:rPr>
        <w:t>year to</w:t>
      </w:r>
      <w:r w:rsidR="00765B43" w:rsidRPr="00C301AA">
        <w:rPr>
          <w:rFonts w:ascii="Times New Roman" w:eastAsia="Times New Roman" w:hAnsi="Times New Roman" w:cs="Times New Roman"/>
          <w:sz w:val="24"/>
          <w:szCs w:val="24"/>
        </w:rPr>
        <w:t xml:space="preserve"> be provided </w:t>
      </w:r>
      <w:r w:rsidR="006F44E2" w:rsidRPr="00C301AA">
        <w:rPr>
          <w:rFonts w:ascii="Times New Roman" w:eastAsia="Times New Roman" w:hAnsi="Times New Roman" w:cs="Times New Roman"/>
          <w:sz w:val="24"/>
          <w:szCs w:val="24"/>
        </w:rPr>
        <w:t>in the upcoming competition because neither the statute nor the regulations allow for this assessment.</w:t>
      </w:r>
    </w:p>
    <w:p w:rsidR="007E5C1B" w:rsidRDefault="007E5C1B" w:rsidP="007E5C1B">
      <w:pPr>
        <w:spacing w:after="0" w:line="240" w:lineRule="auto"/>
        <w:rPr>
          <w:rFonts w:ascii="Times New Roman" w:eastAsia="Times New Roman" w:hAnsi="Times New Roman" w:cs="Times New Roman"/>
          <w:b/>
          <w:sz w:val="24"/>
          <w:szCs w:val="24"/>
        </w:rPr>
      </w:pPr>
    </w:p>
    <w:p w:rsidR="00AA4BF9" w:rsidRPr="00C301AA" w:rsidRDefault="00AA4BF9"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Action Taken:</w:t>
      </w:r>
      <w:r w:rsidR="005E7AA1" w:rsidRPr="00C301AA">
        <w:rPr>
          <w:rFonts w:ascii="Times New Roman" w:eastAsia="Times New Roman" w:hAnsi="Times New Roman" w:cs="Times New Roman"/>
          <w:b/>
          <w:sz w:val="24"/>
          <w:szCs w:val="24"/>
        </w:rPr>
        <w:t xml:space="preserve">  </w:t>
      </w:r>
      <w:r w:rsidR="005E7AA1" w:rsidRPr="00C301AA">
        <w:rPr>
          <w:rFonts w:ascii="Times New Roman" w:eastAsia="Times New Roman" w:hAnsi="Times New Roman" w:cs="Times New Roman"/>
          <w:sz w:val="24"/>
          <w:szCs w:val="24"/>
        </w:rPr>
        <w:t>None</w:t>
      </w:r>
    </w:p>
    <w:p w:rsidR="00F257F5" w:rsidRPr="00C301AA" w:rsidRDefault="00F257F5" w:rsidP="007E5C1B">
      <w:pPr>
        <w:spacing w:after="0" w:line="240" w:lineRule="auto"/>
        <w:rPr>
          <w:rFonts w:ascii="Times New Roman" w:hAnsi="Times New Roman" w:cs="Times New Roman"/>
          <w:b/>
          <w:sz w:val="24"/>
          <w:szCs w:val="24"/>
          <w:u w:val="single"/>
        </w:rPr>
      </w:pPr>
    </w:p>
    <w:p w:rsidR="006E7042" w:rsidRPr="00C301AA" w:rsidRDefault="006E7042" w:rsidP="007E5C1B">
      <w:pPr>
        <w:spacing w:after="0" w:line="240" w:lineRule="auto"/>
        <w:rPr>
          <w:rFonts w:ascii="Times New Roman" w:hAnsi="Times New Roman" w:cs="Times New Roman"/>
          <w:b/>
          <w:sz w:val="24"/>
          <w:szCs w:val="24"/>
          <w:u w:val="single"/>
        </w:rPr>
      </w:pPr>
      <w:r w:rsidRPr="00C301AA">
        <w:rPr>
          <w:rFonts w:ascii="Times New Roman" w:hAnsi="Times New Roman" w:cs="Times New Roman"/>
          <w:b/>
          <w:sz w:val="24"/>
          <w:szCs w:val="24"/>
          <w:u w:val="single"/>
        </w:rPr>
        <w:t>Data Comparison Challenges</w:t>
      </w:r>
    </w:p>
    <w:p w:rsidR="007E5C1B" w:rsidRDefault="007E5C1B" w:rsidP="007E5C1B">
      <w:pPr>
        <w:spacing w:after="0" w:line="240" w:lineRule="auto"/>
        <w:rPr>
          <w:rFonts w:ascii="Times New Roman" w:eastAsia="Times New Roman" w:hAnsi="Times New Roman" w:cs="Times New Roman"/>
          <w:b/>
          <w:sz w:val="24"/>
          <w:szCs w:val="24"/>
        </w:rPr>
      </w:pPr>
    </w:p>
    <w:p w:rsidR="006F44E2" w:rsidRPr="00C301AA" w:rsidRDefault="00391CA0"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Comments:</w:t>
      </w:r>
      <w:r w:rsidRPr="00C301AA">
        <w:rPr>
          <w:rFonts w:ascii="Times New Roman" w:eastAsia="Times New Roman" w:hAnsi="Times New Roman" w:cs="Times New Roman"/>
          <w:sz w:val="24"/>
          <w:szCs w:val="24"/>
        </w:rPr>
        <w:t xml:space="preserve">  </w:t>
      </w:r>
      <w:r w:rsidR="00312A81" w:rsidRPr="00C301AA">
        <w:rPr>
          <w:rFonts w:ascii="Times New Roman" w:eastAsia="Times New Roman" w:hAnsi="Times New Roman" w:cs="Times New Roman"/>
          <w:sz w:val="24"/>
          <w:szCs w:val="24"/>
        </w:rPr>
        <w:t>Several</w:t>
      </w:r>
      <w:r w:rsidRPr="00C301AA">
        <w:rPr>
          <w:rFonts w:ascii="Times New Roman" w:eastAsia="Times New Roman" w:hAnsi="Times New Roman" w:cs="Times New Roman"/>
          <w:sz w:val="24"/>
          <w:szCs w:val="24"/>
        </w:rPr>
        <w:t xml:space="preserve"> commenter</w:t>
      </w:r>
      <w:r w:rsidR="00312A81" w:rsidRPr="00C301AA">
        <w:rPr>
          <w:rFonts w:ascii="Times New Roman" w:eastAsia="Times New Roman" w:hAnsi="Times New Roman" w:cs="Times New Roman"/>
          <w:sz w:val="24"/>
          <w:szCs w:val="24"/>
        </w:rPr>
        <w:t>s</w:t>
      </w:r>
      <w:r w:rsidRPr="00C301AA">
        <w:rPr>
          <w:rFonts w:ascii="Times New Roman" w:eastAsia="Times New Roman" w:hAnsi="Times New Roman" w:cs="Times New Roman"/>
          <w:sz w:val="24"/>
          <w:szCs w:val="24"/>
        </w:rPr>
        <w:t xml:space="preserve"> express</w:t>
      </w:r>
      <w:r w:rsidR="00C301AA" w:rsidRPr="00C301AA">
        <w:rPr>
          <w:rFonts w:ascii="Times New Roman" w:eastAsia="Times New Roman" w:hAnsi="Times New Roman" w:cs="Times New Roman"/>
          <w:sz w:val="24"/>
          <w:szCs w:val="24"/>
        </w:rPr>
        <w:t>ed</w:t>
      </w:r>
      <w:r w:rsidRPr="00C301AA">
        <w:rPr>
          <w:rFonts w:ascii="Times New Roman" w:eastAsia="Times New Roman" w:hAnsi="Times New Roman" w:cs="Times New Roman"/>
          <w:sz w:val="24"/>
          <w:szCs w:val="24"/>
        </w:rPr>
        <w:t xml:space="preserve"> concern that </w:t>
      </w:r>
      <w:r w:rsidR="00312A81" w:rsidRPr="00C301AA">
        <w:rPr>
          <w:rFonts w:ascii="Times New Roman" w:eastAsia="Times New Roman" w:hAnsi="Times New Roman" w:cs="Times New Roman"/>
          <w:sz w:val="24"/>
          <w:szCs w:val="24"/>
        </w:rPr>
        <w:t>the proposed changes</w:t>
      </w:r>
      <w:r w:rsidR="00B04ADA" w:rsidRPr="00C301AA">
        <w:rPr>
          <w:rFonts w:ascii="Times New Roman" w:eastAsia="Times New Roman" w:hAnsi="Times New Roman" w:cs="Times New Roman"/>
          <w:sz w:val="24"/>
          <w:szCs w:val="24"/>
        </w:rPr>
        <w:t xml:space="preserve"> </w:t>
      </w:r>
      <w:r w:rsidR="00312A81" w:rsidRPr="00C301AA">
        <w:rPr>
          <w:rFonts w:ascii="Times New Roman" w:eastAsia="Times New Roman" w:hAnsi="Times New Roman" w:cs="Times New Roman"/>
          <w:sz w:val="24"/>
          <w:szCs w:val="24"/>
        </w:rPr>
        <w:t xml:space="preserve">to the APR </w:t>
      </w:r>
      <w:r w:rsidR="00B04ADA" w:rsidRPr="00C301AA">
        <w:rPr>
          <w:rFonts w:ascii="Times New Roman" w:eastAsia="Times New Roman" w:hAnsi="Times New Roman" w:cs="Times New Roman"/>
          <w:sz w:val="24"/>
          <w:szCs w:val="24"/>
        </w:rPr>
        <w:t>will</w:t>
      </w:r>
      <w:r w:rsidRPr="00C301AA">
        <w:rPr>
          <w:rFonts w:ascii="Times New Roman" w:eastAsia="Times New Roman" w:hAnsi="Times New Roman" w:cs="Times New Roman"/>
          <w:sz w:val="24"/>
          <w:szCs w:val="24"/>
        </w:rPr>
        <w:t xml:space="preserve"> make it impossible to compare the data collected over the five year period for this grant cycle.  </w:t>
      </w:r>
      <w:r w:rsidRPr="00C301AA">
        <w:rPr>
          <w:rFonts w:ascii="Times New Roman" w:eastAsia="Times New Roman" w:hAnsi="Times New Roman" w:cs="Times New Roman"/>
          <w:sz w:val="24"/>
          <w:szCs w:val="24"/>
        </w:rPr>
        <w:lastRenderedPageBreak/>
        <w:t>They assert</w:t>
      </w:r>
      <w:r w:rsidR="00C301AA" w:rsidRPr="00C301AA">
        <w:rPr>
          <w:rFonts w:ascii="Times New Roman" w:eastAsia="Times New Roman" w:hAnsi="Times New Roman" w:cs="Times New Roman"/>
          <w:sz w:val="24"/>
          <w:szCs w:val="24"/>
        </w:rPr>
        <w:t>ed</w:t>
      </w:r>
      <w:r w:rsidRPr="00C301AA">
        <w:rPr>
          <w:rFonts w:ascii="Times New Roman" w:eastAsia="Times New Roman" w:hAnsi="Times New Roman" w:cs="Times New Roman"/>
          <w:sz w:val="24"/>
          <w:szCs w:val="24"/>
        </w:rPr>
        <w:t xml:space="preserve"> it would be </w:t>
      </w:r>
      <w:r w:rsidR="006F44E2" w:rsidRPr="00C301AA">
        <w:rPr>
          <w:rFonts w:ascii="Times New Roman" w:eastAsia="Times New Roman" w:hAnsi="Times New Roman" w:cs="Times New Roman"/>
          <w:sz w:val="24"/>
          <w:szCs w:val="24"/>
        </w:rPr>
        <w:t xml:space="preserve">more prudent </w:t>
      </w:r>
      <w:r w:rsidRPr="00C301AA">
        <w:rPr>
          <w:rFonts w:ascii="Times New Roman" w:eastAsia="Times New Roman" w:hAnsi="Times New Roman" w:cs="Times New Roman"/>
          <w:sz w:val="24"/>
          <w:szCs w:val="24"/>
        </w:rPr>
        <w:t xml:space="preserve">to wait until there was a new grant cycle so </w:t>
      </w:r>
      <w:r w:rsidR="00B04ADA" w:rsidRPr="00C301AA">
        <w:rPr>
          <w:rFonts w:ascii="Times New Roman" w:eastAsia="Times New Roman" w:hAnsi="Times New Roman" w:cs="Times New Roman"/>
          <w:sz w:val="24"/>
          <w:szCs w:val="24"/>
        </w:rPr>
        <w:t xml:space="preserve">that </w:t>
      </w:r>
      <w:r w:rsidR="006F44E2" w:rsidRPr="00C301AA">
        <w:rPr>
          <w:rFonts w:ascii="Times New Roman" w:eastAsia="Times New Roman" w:hAnsi="Times New Roman" w:cs="Times New Roman"/>
          <w:sz w:val="24"/>
          <w:szCs w:val="24"/>
        </w:rPr>
        <w:t>continuity could be maintained especially if the data will be used for comparative analysis</w:t>
      </w:r>
      <w:r w:rsidRPr="00C301AA">
        <w:rPr>
          <w:rFonts w:ascii="Times New Roman" w:eastAsia="Times New Roman" w:hAnsi="Times New Roman" w:cs="Times New Roman"/>
          <w:sz w:val="24"/>
          <w:szCs w:val="24"/>
        </w:rPr>
        <w:t xml:space="preserve">. </w:t>
      </w:r>
      <w:r w:rsidR="000D7CE8" w:rsidRPr="00C301AA">
        <w:rPr>
          <w:rFonts w:ascii="Times New Roman" w:eastAsia="Times New Roman" w:hAnsi="Times New Roman" w:cs="Times New Roman"/>
          <w:sz w:val="24"/>
          <w:szCs w:val="24"/>
        </w:rPr>
        <w:t xml:space="preserve"> </w:t>
      </w:r>
    </w:p>
    <w:p w:rsidR="00312A81" w:rsidRPr="00C301AA" w:rsidRDefault="00312A81"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t xml:space="preserve">Additionally, if the proposed changes occur, they note that it would add 29 new fields or sub-fields of data to the current 48, thereby increasing the scope of the APR significantly. </w:t>
      </w:r>
    </w:p>
    <w:p w:rsidR="00532CF0" w:rsidRPr="00C301AA" w:rsidRDefault="006F44E2"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t>One commenter expressed</w:t>
      </w:r>
      <w:r w:rsidR="00532CF0" w:rsidRPr="00C301AA">
        <w:rPr>
          <w:rFonts w:ascii="Times New Roman" w:eastAsia="Times New Roman" w:hAnsi="Times New Roman" w:cs="Times New Roman"/>
          <w:sz w:val="24"/>
          <w:szCs w:val="24"/>
        </w:rPr>
        <w:t xml:space="preserve"> concern</w:t>
      </w:r>
      <w:r w:rsidRPr="00C301AA">
        <w:rPr>
          <w:rFonts w:ascii="Times New Roman" w:eastAsia="Times New Roman" w:hAnsi="Times New Roman" w:cs="Times New Roman"/>
          <w:sz w:val="24"/>
          <w:szCs w:val="24"/>
        </w:rPr>
        <w:t>s</w:t>
      </w:r>
      <w:r w:rsidR="00532CF0" w:rsidRPr="00C301AA">
        <w:rPr>
          <w:rFonts w:ascii="Times New Roman" w:eastAsia="Times New Roman" w:hAnsi="Times New Roman" w:cs="Times New Roman"/>
          <w:sz w:val="24"/>
          <w:szCs w:val="24"/>
        </w:rPr>
        <w:t xml:space="preserve"> regarding changes that are made to the reporting structure and/or content after the </w:t>
      </w:r>
      <w:r w:rsidRPr="00C301AA">
        <w:rPr>
          <w:rFonts w:ascii="Times New Roman" w:eastAsia="Times New Roman" w:hAnsi="Times New Roman" w:cs="Times New Roman"/>
          <w:sz w:val="24"/>
          <w:szCs w:val="24"/>
        </w:rPr>
        <w:t>academic</w:t>
      </w:r>
      <w:r w:rsidR="00532CF0" w:rsidRPr="00C301AA">
        <w:rPr>
          <w:rFonts w:ascii="Times New Roman" w:eastAsia="Times New Roman" w:hAnsi="Times New Roman" w:cs="Times New Roman"/>
          <w:sz w:val="24"/>
          <w:szCs w:val="24"/>
        </w:rPr>
        <w:t xml:space="preserve"> year has </w:t>
      </w:r>
      <w:r w:rsidRPr="00C301AA">
        <w:rPr>
          <w:rFonts w:ascii="Times New Roman" w:eastAsia="Times New Roman" w:hAnsi="Times New Roman" w:cs="Times New Roman"/>
          <w:sz w:val="24"/>
          <w:szCs w:val="24"/>
        </w:rPr>
        <w:t>ended</w:t>
      </w:r>
      <w:r w:rsidR="00532CF0" w:rsidRPr="00C301AA">
        <w:rPr>
          <w:rFonts w:ascii="Times New Roman" w:eastAsia="Times New Roman" w:hAnsi="Times New Roman" w:cs="Times New Roman"/>
          <w:sz w:val="24"/>
          <w:szCs w:val="24"/>
        </w:rPr>
        <w:t>.  They assert</w:t>
      </w:r>
      <w:r w:rsidR="00C301AA" w:rsidRPr="00C301AA">
        <w:rPr>
          <w:rFonts w:ascii="Times New Roman" w:eastAsia="Times New Roman" w:hAnsi="Times New Roman" w:cs="Times New Roman"/>
          <w:sz w:val="24"/>
          <w:szCs w:val="24"/>
        </w:rPr>
        <w:t>ed</w:t>
      </w:r>
      <w:r w:rsidR="00532CF0" w:rsidRPr="00C301AA">
        <w:rPr>
          <w:rFonts w:ascii="Times New Roman" w:eastAsia="Times New Roman" w:hAnsi="Times New Roman" w:cs="Times New Roman"/>
          <w:sz w:val="24"/>
          <w:szCs w:val="24"/>
        </w:rPr>
        <w:t xml:space="preserve"> that this makes initial data </w:t>
      </w:r>
      <w:r w:rsidRPr="00C301AA">
        <w:rPr>
          <w:rFonts w:ascii="Times New Roman" w:eastAsia="Times New Roman" w:hAnsi="Times New Roman" w:cs="Times New Roman"/>
          <w:sz w:val="24"/>
          <w:szCs w:val="24"/>
        </w:rPr>
        <w:t xml:space="preserve">collection extremely difficult since any new data fields were not part of the data collection during the project year.  </w:t>
      </w:r>
    </w:p>
    <w:p w:rsidR="007E5C1B" w:rsidRDefault="007E5C1B" w:rsidP="007E5C1B">
      <w:pPr>
        <w:spacing w:after="0" w:line="240" w:lineRule="auto"/>
        <w:rPr>
          <w:rFonts w:ascii="Times New Roman" w:eastAsia="Times New Roman" w:hAnsi="Times New Roman" w:cs="Times New Roman"/>
          <w:b/>
          <w:sz w:val="24"/>
          <w:szCs w:val="24"/>
        </w:rPr>
      </w:pPr>
    </w:p>
    <w:p w:rsidR="00912A7A" w:rsidRPr="00C301AA" w:rsidRDefault="00042334" w:rsidP="007E5C1B">
      <w:pPr>
        <w:spacing w:after="0" w:line="240" w:lineRule="auto"/>
        <w:rPr>
          <w:rFonts w:ascii="Times New Roman" w:hAnsi="Times New Roman" w:cs="Times New Roman"/>
          <w:sz w:val="24"/>
          <w:szCs w:val="24"/>
        </w:rPr>
      </w:pPr>
      <w:r w:rsidRPr="00C301AA">
        <w:rPr>
          <w:rFonts w:ascii="Times New Roman" w:eastAsia="Times New Roman" w:hAnsi="Times New Roman" w:cs="Times New Roman"/>
          <w:b/>
          <w:sz w:val="24"/>
          <w:szCs w:val="24"/>
        </w:rPr>
        <w:t xml:space="preserve">Discussion: </w:t>
      </w:r>
      <w:r w:rsidR="00B04ADA" w:rsidRPr="00C301AA">
        <w:rPr>
          <w:rFonts w:ascii="Times New Roman" w:eastAsia="Times New Roman" w:hAnsi="Times New Roman" w:cs="Times New Roman"/>
          <w:b/>
          <w:sz w:val="24"/>
          <w:szCs w:val="24"/>
        </w:rPr>
        <w:t xml:space="preserve"> </w:t>
      </w:r>
      <w:r w:rsidR="006E0C23" w:rsidRPr="00C301AA">
        <w:rPr>
          <w:rFonts w:ascii="Times New Roman" w:eastAsia="Times New Roman" w:hAnsi="Times New Roman" w:cs="Times New Roman"/>
          <w:sz w:val="24"/>
          <w:szCs w:val="24"/>
        </w:rPr>
        <w:t xml:space="preserve">The Department acknowledges fully the commenters’ concern. </w:t>
      </w:r>
      <w:r w:rsidR="00765B43" w:rsidRPr="00C301AA">
        <w:rPr>
          <w:rFonts w:ascii="Times New Roman" w:eastAsia="Times New Roman" w:hAnsi="Times New Roman" w:cs="Times New Roman"/>
          <w:sz w:val="24"/>
          <w:szCs w:val="24"/>
        </w:rPr>
        <w:t xml:space="preserve"> </w:t>
      </w:r>
      <w:r w:rsidR="00B04ADA" w:rsidRPr="00C301AA">
        <w:rPr>
          <w:rFonts w:ascii="Times New Roman" w:eastAsia="Times New Roman" w:hAnsi="Times New Roman" w:cs="Times New Roman"/>
          <w:sz w:val="24"/>
          <w:szCs w:val="24"/>
        </w:rPr>
        <w:t xml:space="preserve">The McNair Program APR information collection expires on November 21, 2016. </w:t>
      </w:r>
      <w:r w:rsidR="00312A81" w:rsidRPr="00C301AA">
        <w:rPr>
          <w:rFonts w:ascii="Times New Roman" w:eastAsia="Times New Roman" w:hAnsi="Times New Roman" w:cs="Times New Roman"/>
          <w:sz w:val="24"/>
          <w:szCs w:val="24"/>
        </w:rPr>
        <w:t xml:space="preserve"> </w:t>
      </w:r>
      <w:r w:rsidR="00FB10FA" w:rsidRPr="00C301AA">
        <w:rPr>
          <w:rFonts w:ascii="Times New Roman" w:eastAsia="Times New Roman" w:hAnsi="Times New Roman" w:cs="Times New Roman"/>
          <w:sz w:val="24"/>
          <w:szCs w:val="24"/>
        </w:rPr>
        <w:t>All data collection instruments must</w:t>
      </w:r>
      <w:r w:rsidR="00B04ADA" w:rsidRPr="00C301AA">
        <w:rPr>
          <w:rFonts w:ascii="Times New Roman" w:eastAsia="Times New Roman" w:hAnsi="Times New Roman" w:cs="Times New Roman"/>
          <w:sz w:val="24"/>
          <w:szCs w:val="24"/>
        </w:rPr>
        <w:t xml:space="preserve"> undergo a clearance process </w:t>
      </w:r>
      <w:r w:rsidR="00FB10FA" w:rsidRPr="00C301AA">
        <w:rPr>
          <w:rFonts w:ascii="Times New Roman" w:eastAsia="Times New Roman" w:hAnsi="Times New Roman" w:cs="Times New Roman"/>
          <w:sz w:val="24"/>
          <w:szCs w:val="24"/>
        </w:rPr>
        <w:t xml:space="preserve">and </w:t>
      </w:r>
      <w:r w:rsidR="0039558F" w:rsidRPr="00C301AA">
        <w:rPr>
          <w:rFonts w:ascii="Times New Roman" w:eastAsia="Times New Roman" w:hAnsi="Times New Roman" w:cs="Times New Roman"/>
          <w:sz w:val="24"/>
          <w:szCs w:val="24"/>
        </w:rPr>
        <w:t>approval by the Office of Management and Budget</w:t>
      </w:r>
      <w:r w:rsidR="0088344B" w:rsidRPr="00C301AA">
        <w:rPr>
          <w:rFonts w:ascii="Times New Roman" w:eastAsia="Times New Roman" w:hAnsi="Times New Roman" w:cs="Times New Roman"/>
          <w:sz w:val="24"/>
          <w:szCs w:val="24"/>
        </w:rPr>
        <w:t xml:space="preserve"> (OMB)</w:t>
      </w:r>
      <w:r w:rsidR="0039558F" w:rsidRPr="00C301AA">
        <w:rPr>
          <w:rFonts w:ascii="Times New Roman" w:eastAsia="Times New Roman" w:hAnsi="Times New Roman" w:cs="Times New Roman"/>
          <w:sz w:val="24"/>
          <w:szCs w:val="24"/>
        </w:rPr>
        <w:t xml:space="preserve"> </w:t>
      </w:r>
      <w:r w:rsidR="00B04ADA" w:rsidRPr="00C301AA">
        <w:rPr>
          <w:rFonts w:ascii="Times New Roman" w:eastAsia="Times New Roman" w:hAnsi="Times New Roman" w:cs="Times New Roman"/>
          <w:sz w:val="24"/>
          <w:szCs w:val="24"/>
        </w:rPr>
        <w:t xml:space="preserve">every three years. </w:t>
      </w:r>
      <w:r w:rsidR="0039558F" w:rsidRPr="00C301AA">
        <w:rPr>
          <w:rFonts w:ascii="Times New Roman" w:eastAsia="Times New Roman" w:hAnsi="Times New Roman" w:cs="Times New Roman"/>
          <w:sz w:val="24"/>
          <w:szCs w:val="24"/>
        </w:rPr>
        <w:t xml:space="preserve"> </w:t>
      </w:r>
      <w:r w:rsidR="00B04ADA" w:rsidRPr="00C301AA">
        <w:rPr>
          <w:rFonts w:ascii="Times New Roman" w:eastAsia="Times New Roman" w:hAnsi="Times New Roman" w:cs="Times New Roman"/>
          <w:sz w:val="24"/>
          <w:szCs w:val="24"/>
        </w:rPr>
        <w:t xml:space="preserve">Because the clearance process can be quite lengthy, requiring </w:t>
      </w:r>
      <w:r w:rsidR="00532CF0" w:rsidRPr="00C301AA">
        <w:rPr>
          <w:rFonts w:ascii="Times New Roman" w:eastAsia="Times New Roman" w:hAnsi="Times New Roman" w:cs="Times New Roman"/>
          <w:sz w:val="24"/>
          <w:szCs w:val="24"/>
        </w:rPr>
        <w:t xml:space="preserve">on </w:t>
      </w:r>
      <w:r w:rsidR="00FB10FA" w:rsidRPr="00C301AA">
        <w:rPr>
          <w:rFonts w:ascii="Times New Roman" w:eastAsia="Times New Roman" w:hAnsi="Times New Roman" w:cs="Times New Roman"/>
          <w:sz w:val="24"/>
          <w:szCs w:val="24"/>
        </w:rPr>
        <w:t>average</w:t>
      </w:r>
      <w:r w:rsidR="00532CF0" w:rsidRPr="00C301AA">
        <w:rPr>
          <w:rFonts w:ascii="Times New Roman" w:eastAsia="Times New Roman" w:hAnsi="Times New Roman" w:cs="Times New Roman"/>
          <w:sz w:val="24"/>
          <w:szCs w:val="24"/>
        </w:rPr>
        <w:t xml:space="preserve"> </w:t>
      </w:r>
      <w:r w:rsidR="00FB10FA" w:rsidRPr="00C301AA">
        <w:rPr>
          <w:rFonts w:ascii="Times New Roman" w:eastAsia="Times New Roman" w:hAnsi="Times New Roman" w:cs="Times New Roman"/>
          <w:sz w:val="24"/>
          <w:szCs w:val="24"/>
        </w:rPr>
        <w:t xml:space="preserve">six (6) </w:t>
      </w:r>
      <w:r w:rsidR="00B04ADA" w:rsidRPr="00C301AA">
        <w:rPr>
          <w:rFonts w:ascii="Times New Roman" w:eastAsia="Times New Roman" w:hAnsi="Times New Roman" w:cs="Times New Roman"/>
          <w:sz w:val="24"/>
          <w:szCs w:val="24"/>
        </w:rPr>
        <w:t xml:space="preserve">months, </w:t>
      </w:r>
      <w:r w:rsidR="0039558F" w:rsidRPr="00C301AA">
        <w:rPr>
          <w:rFonts w:ascii="Times New Roman" w:eastAsia="Times New Roman" w:hAnsi="Times New Roman" w:cs="Times New Roman"/>
          <w:sz w:val="24"/>
          <w:szCs w:val="24"/>
        </w:rPr>
        <w:t xml:space="preserve">it is imperative that any changes needed to the </w:t>
      </w:r>
      <w:r w:rsidR="00B04ADA" w:rsidRPr="00C301AA">
        <w:rPr>
          <w:rFonts w:ascii="Times New Roman" w:eastAsia="Times New Roman" w:hAnsi="Times New Roman" w:cs="Times New Roman"/>
          <w:sz w:val="24"/>
          <w:szCs w:val="24"/>
        </w:rPr>
        <w:t xml:space="preserve">APR be </w:t>
      </w:r>
      <w:r w:rsidR="0039558F" w:rsidRPr="00C301AA">
        <w:rPr>
          <w:rFonts w:ascii="Times New Roman" w:eastAsia="Times New Roman" w:hAnsi="Times New Roman" w:cs="Times New Roman"/>
          <w:sz w:val="24"/>
          <w:szCs w:val="24"/>
        </w:rPr>
        <w:t xml:space="preserve">proposed for approval </w:t>
      </w:r>
      <w:r w:rsidR="006F44E2" w:rsidRPr="00C301AA">
        <w:rPr>
          <w:rFonts w:ascii="Times New Roman" w:eastAsia="Times New Roman" w:hAnsi="Times New Roman" w:cs="Times New Roman"/>
          <w:sz w:val="24"/>
          <w:szCs w:val="24"/>
        </w:rPr>
        <w:t>at the time the APR is undergoing clearance</w:t>
      </w:r>
      <w:r w:rsidR="00B04ADA" w:rsidRPr="00C301AA">
        <w:rPr>
          <w:rFonts w:ascii="Times New Roman" w:eastAsia="Times New Roman" w:hAnsi="Times New Roman" w:cs="Times New Roman"/>
          <w:sz w:val="24"/>
          <w:szCs w:val="24"/>
        </w:rPr>
        <w:t xml:space="preserve">. </w:t>
      </w:r>
      <w:r w:rsidR="0039558F" w:rsidRPr="00C301AA">
        <w:rPr>
          <w:rFonts w:ascii="Times New Roman" w:eastAsia="Times New Roman" w:hAnsi="Times New Roman" w:cs="Times New Roman"/>
          <w:sz w:val="24"/>
          <w:szCs w:val="24"/>
        </w:rPr>
        <w:t xml:space="preserve"> Failure to </w:t>
      </w:r>
      <w:r w:rsidR="00FB10FA" w:rsidRPr="00C301AA">
        <w:rPr>
          <w:rFonts w:ascii="Times New Roman" w:eastAsia="Times New Roman" w:hAnsi="Times New Roman" w:cs="Times New Roman"/>
          <w:sz w:val="24"/>
          <w:szCs w:val="24"/>
        </w:rPr>
        <w:t xml:space="preserve">make the required revisions to the </w:t>
      </w:r>
      <w:r w:rsidR="00A0134B" w:rsidRPr="00C301AA">
        <w:rPr>
          <w:rFonts w:ascii="Times New Roman" w:eastAsia="Times New Roman" w:hAnsi="Times New Roman" w:cs="Times New Roman"/>
          <w:sz w:val="24"/>
          <w:szCs w:val="24"/>
        </w:rPr>
        <w:t>APR</w:t>
      </w:r>
      <w:r w:rsidR="00FB10FA" w:rsidRPr="00C301AA">
        <w:rPr>
          <w:rFonts w:ascii="Times New Roman" w:eastAsia="Times New Roman" w:hAnsi="Times New Roman" w:cs="Times New Roman"/>
          <w:sz w:val="24"/>
          <w:szCs w:val="24"/>
        </w:rPr>
        <w:t xml:space="preserve"> would require ED to resubmit the package into the clearance process within 6 months after the most recent clearance.  </w:t>
      </w:r>
    </w:p>
    <w:p w:rsidR="007E5C1B" w:rsidRDefault="007E5C1B" w:rsidP="007E5C1B">
      <w:pPr>
        <w:spacing w:after="0" w:line="240" w:lineRule="auto"/>
        <w:rPr>
          <w:rFonts w:ascii="Times New Roman" w:eastAsia="Times New Roman" w:hAnsi="Times New Roman" w:cs="Times New Roman"/>
          <w:b/>
          <w:sz w:val="24"/>
          <w:szCs w:val="24"/>
        </w:rPr>
      </w:pPr>
    </w:p>
    <w:p w:rsidR="00580507" w:rsidRPr="00C301AA" w:rsidRDefault="00042334"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Action Taken:</w:t>
      </w:r>
      <w:r w:rsidR="00004AC3" w:rsidRPr="00C301AA">
        <w:rPr>
          <w:rFonts w:ascii="Times New Roman" w:eastAsia="Times New Roman" w:hAnsi="Times New Roman" w:cs="Times New Roman"/>
          <w:b/>
          <w:sz w:val="24"/>
          <w:szCs w:val="24"/>
        </w:rPr>
        <w:t xml:space="preserve">  </w:t>
      </w:r>
      <w:r w:rsidR="006F44E2" w:rsidRPr="00C301AA">
        <w:rPr>
          <w:rFonts w:ascii="Times New Roman" w:eastAsia="Times New Roman" w:hAnsi="Times New Roman" w:cs="Times New Roman"/>
          <w:b/>
          <w:sz w:val="24"/>
          <w:szCs w:val="24"/>
        </w:rPr>
        <w:t>G</w:t>
      </w:r>
      <w:r w:rsidR="006F44E2" w:rsidRPr="00C301AA">
        <w:rPr>
          <w:rFonts w:ascii="Times New Roman" w:eastAsia="Times New Roman" w:hAnsi="Times New Roman" w:cs="Times New Roman"/>
          <w:sz w:val="24"/>
          <w:szCs w:val="24"/>
        </w:rPr>
        <w:t>iven the concerns expressed by the commenters, the Department will only ma</w:t>
      </w:r>
      <w:r w:rsidR="005437CA" w:rsidRPr="00C301AA">
        <w:rPr>
          <w:rFonts w:ascii="Times New Roman" w:eastAsia="Times New Roman" w:hAnsi="Times New Roman" w:cs="Times New Roman"/>
          <w:sz w:val="24"/>
          <w:szCs w:val="24"/>
        </w:rPr>
        <w:t>ke one change to the APR relate</w:t>
      </w:r>
      <w:r w:rsidR="00F257F5" w:rsidRPr="00C301AA">
        <w:rPr>
          <w:rFonts w:ascii="Times New Roman" w:eastAsia="Times New Roman" w:hAnsi="Times New Roman" w:cs="Times New Roman"/>
          <w:sz w:val="24"/>
          <w:szCs w:val="24"/>
        </w:rPr>
        <w:t xml:space="preserve">d </w:t>
      </w:r>
      <w:r w:rsidR="005437CA" w:rsidRPr="00C301AA">
        <w:rPr>
          <w:rFonts w:ascii="Times New Roman" w:eastAsia="Times New Roman" w:hAnsi="Times New Roman" w:cs="Times New Roman"/>
          <w:sz w:val="24"/>
          <w:szCs w:val="24"/>
        </w:rPr>
        <w:t xml:space="preserve">to </w:t>
      </w:r>
      <w:r w:rsidR="006F44E2" w:rsidRPr="00C301AA">
        <w:rPr>
          <w:rFonts w:ascii="Times New Roman" w:eastAsia="Times New Roman" w:hAnsi="Times New Roman" w:cs="Times New Roman"/>
          <w:sz w:val="24"/>
          <w:szCs w:val="24"/>
        </w:rPr>
        <w:t xml:space="preserve">the assignment </w:t>
      </w:r>
      <w:r w:rsidR="005437CA" w:rsidRPr="00C301AA">
        <w:rPr>
          <w:rFonts w:ascii="Times New Roman" w:eastAsia="Times New Roman" w:hAnsi="Times New Roman" w:cs="Times New Roman"/>
          <w:sz w:val="24"/>
          <w:szCs w:val="24"/>
        </w:rPr>
        <w:t xml:space="preserve">of </w:t>
      </w:r>
      <w:r w:rsidR="006F44E2" w:rsidRPr="00C301AA">
        <w:rPr>
          <w:rFonts w:ascii="Times New Roman" w:eastAsia="Times New Roman" w:hAnsi="Times New Roman" w:cs="Times New Roman"/>
          <w:sz w:val="24"/>
          <w:szCs w:val="24"/>
        </w:rPr>
        <w:t xml:space="preserve">a case number to each student on </w:t>
      </w:r>
      <w:r w:rsidR="005437CA" w:rsidRPr="00C301AA">
        <w:rPr>
          <w:rFonts w:ascii="Times New Roman" w:eastAsia="Times New Roman" w:hAnsi="Times New Roman" w:cs="Times New Roman"/>
          <w:sz w:val="24"/>
          <w:szCs w:val="24"/>
        </w:rPr>
        <w:t xml:space="preserve">the </w:t>
      </w:r>
      <w:r w:rsidR="006F44E2" w:rsidRPr="00C301AA">
        <w:rPr>
          <w:rFonts w:ascii="Times New Roman" w:eastAsia="Times New Roman" w:hAnsi="Times New Roman" w:cs="Times New Roman"/>
          <w:sz w:val="24"/>
          <w:szCs w:val="24"/>
        </w:rPr>
        <w:t>grantee</w:t>
      </w:r>
      <w:r w:rsidR="005437CA" w:rsidRPr="00C301AA">
        <w:rPr>
          <w:rFonts w:ascii="Times New Roman" w:eastAsia="Times New Roman" w:hAnsi="Times New Roman" w:cs="Times New Roman"/>
          <w:sz w:val="24"/>
          <w:szCs w:val="24"/>
        </w:rPr>
        <w:t>’</w:t>
      </w:r>
      <w:r w:rsidR="006F44E2" w:rsidRPr="00C301AA">
        <w:rPr>
          <w:rFonts w:ascii="Times New Roman" w:eastAsia="Times New Roman" w:hAnsi="Times New Roman" w:cs="Times New Roman"/>
          <w:sz w:val="24"/>
          <w:szCs w:val="24"/>
        </w:rPr>
        <w:t xml:space="preserve">s </w:t>
      </w:r>
      <w:r w:rsidR="005437CA" w:rsidRPr="00C301AA">
        <w:rPr>
          <w:rFonts w:ascii="Times New Roman" w:eastAsia="Times New Roman" w:hAnsi="Times New Roman" w:cs="Times New Roman"/>
          <w:sz w:val="24"/>
          <w:szCs w:val="24"/>
        </w:rPr>
        <w:t xml:space="preserve">APR data </w:t>
      </w:r>
      <w:r w:rsidR="006F44E2" w:rsidRPr="00C301AA">
        <w:rPr>
          <w:rFonts w:ascii="Times New Roman" w:eastAsia="Times New Roman" w:hAnsi="Times New Roman" w:cs="Times New Roman"/>
          <w:sz w:val="24"/>
          <w:szCs w:val="24"/>
        </w:rPr>
        <w:t xml:space="preserve">file.  </w:t>
      </w:r>
      <w:r w:rsidR="00580507" w:rsidRPr="00C301AA">
        <w:rPr>
          <w:rFonts w:ascii="Times New Roman" w:eastAsia="Times New Roman" w:hAnsi="Times New Roman" w:cs="Times New Roman"/>
          <w:sz w:val="24"/>
          <w:szCs w:val="24"/>
        </w:rPr>
        <w:t xml:space="preserve">Please refer to field 49 for additional information regarding the future use of the student’s case number as it relates to the student’s social security number. </w:t>
      </w:r>
    </w:p>
    <w:p w:rsidR="00042334" w:rsidRPr="00C301AA" w:rsidRDefault="006F44E2"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t xml:space="preserve">All other proposed changes such as the addition </w:t>
      </w:r>
      <w:r w:rsidR="005437CA" w:rsidRPr="00C301AA">
        <w:rPr>
          <w:rFonts w:ascii="Times New Roman" w:eastAsia="Times New Roman" w:hAnsi="Times New Roman" w:cs="Times New Roman"/>
          <w:sz w:val="24"/>
          <w:szCs w:val="24"/>
        </w:rPr>
        <w:t xml:space="preserve">of sub-fields #32 - #34 as well as disaggregating program services will not be implemented in this clearance process. </w:t>
      </w:r>
      <w:r w:rsidRPr="00C301AA">
        <w:rPr>
          <w:rFonts w:ascii="Times New Roman" w:eastAsia="Times New Roman" w:hAnsi="Times New Roman" w:cs="Times New Roman"/>
          <w:sz w:val="24"/>
          <w:szCs w:val="24"/>
        </w:rPr>
        <w:t xml:space="preserve">  </w:t>
      </w:r>
    </w:p>
    <w:p w:rsidR="007E5C1B" w:rsidRDefault="007E5C1B" w:rsidP="007E5C1B">
      <w:pPr>
        <w:pStyle w:val="Heading2"/>
        <w:rPr>
          <w:rFonts w:eastAsia="Times New Roman" w:cs="Times New Roman"/>
        </w:rPr>
      </w:pPr>
    </w:p>
    <w:p w:rsidR="000D7CE8" w:rsidRPr="00C301AA" w:rsidRDefault="000D7CE8" w:rsidP="007E5C1B">
      <w:pPr>
        <w:pStyle w:val="Heading2"/>
        <w:rPr>
          <w:rFonts w:eastAsia="Times New Roman" w:cs="Times New Roman"/>
        </w:rPr>
      </w:pPr>
      <w:r w:rsidRPr="00C301AA">
        <w:rPr>
          <w:rFonts w:eastAsia="Times New Roman" w:cs="Times New Roman"/>
        </w:rPr>
        <w:t>New Data Fields and Reporting Burden</w:t>
      </w:r>
    </w:p>
    <w:p w:rsidR="007E5C1B" w:rsidRDefault="007E5C1B" w:rsidP="007E5C1B">
      <w:pPr>
        <w:pStyle w:val="CommentText"/>
        <w:spacing w:after="0" w:line="240" w:lineRule="auto"/>
        <w:rPr>
          <w:rFonts w:ascii="Times New Roman" w:eastAsia="Times New Roman" w:hAnsi="Times New Roman"/>
          <w:b/>
          <w:sz w:val="24"/>
          <w:szCs w:val="24"/>
        </w:rPr>
      </w:pPr>
    </w:p>
    <w:p w:rsidR="00532CF0" w:rsidRPr="00C301AA" w:rsidRDefault="00042334" w:rsidP="007E5C1B">
      <w:pPr>
        <w:pStyle w:val="CommentText"/>
        <w:spacing w:after="0" w:line="240" w:lineRule="auto"/>
        <w:rPr>
          <w:rFonts w:ascii="Times New Roman" w:eastAsia="Times New Roman" w:hAnsi="Times New Roman"/>
          <w:sz w:val="24"/>
          <w:szCs w:val="24"/>
        </w:rPr>
      </w:pPr>
      <w:r w:rsidRPr="00C301AA">
        <w:rPr>
          <w:rFonts w:ascii="Times New Roman" w:eastAsia="Times New Roman" w:hAnsi="Times New Roman"/>
          <w:b/>
          <w:sz w:val="24"/>
          <w:szCs w:val="24"/>
        </w:rPr>
        <w:t>Comments:</w:t>
      </w:r>
      <w:r w:rsidRPr="00C301AA">
        <w:rPr>
          <w:rFonts w:ascii="Times New Roman" w:eastAsia="Times New Roman" w:hAnsi="Times New Roman"/>
          <w:sz w:val="24"/>
          <w:szCs w:val="24"/>
        </w:rPr>
        <w:t xml:space="preserve">  </w:t>
      </w:r>
      <w:r w:rsidR="00906E65" w:rsidRPr="00C301AA">
        <w:rPr>
          <w:rFonts w:ascii="Times New Roman" w:eastAsia="Times New Roman" w:hAnsi="Times New Roman"/>
          <w:sz w:val="24"/>
          <w:szCs w:val="24"/>
        </w:rPr>
        <w:t>Several</w:t>
      </w:r>
      <w:r w:rsidRPr="00C301AA">
        <w:rPr>
          <w:rFonts w:ascii="Times New Roman" w:eastAsia="Times New Roman" w:hAnsi="Times New Roman"/>
          <w:sz w:val="24"/>
          <w:szCs w:val="24"/>
        </w:rPr>
        <w:t xml:space="preserve"> reviewer</w:t>
      </w:r>
      <w:r w:rsidR="00906E65" w:rsidRPr="00C301AA">
        <w:rPr>
          <w:rFonts w:ascii="Times New Roman" w:eastAsia="Times New Roman" w:hAnsi="Times New Roman"/>
          <w:sz w:val="24"/>
          <w:szCs w:val="24"/>
        </w:rPr>
        <w:t>s</w:t>
      </w:r>
      <w:r w:rsidRPr="00C301AA">
        <w:rPr>
          <w:rFonts w:ascii="Times New Roman" w:eastAsia="Times New Roman" w:hAnsi="Times New Roman"/>
          <w:sz w:val="24"/>
          <w:szCs w:val="24"/>
        </w:rPr>
        <w:t xml:space="preserve"> express</w:t>
      </w:r>
      <w:r w:rsidR="005437CA" w:rsidRPr="00C301AA">
        <w:rPr>
          <w:rFonts w:ascii="Times New Roman" w:eastAsia="Times New Roman" w:hAnsi="Times New Roman"/>
          <w:sz w:val="24"/>
          <w:szCs w:val="24"/>
        </w:rPr>
        <w:t>ed</w:t>
      </w:r>
      <w:r w:rsidRPr="00C301AA">
        <w:rPr>
          <w:rFonts w:ascii="Times New Roman" w:eastAsia="Times New Roman" w:hAnsi="Times New Roman"/>
          <w:sz w:val="24"/>
          <w:szCs w:val="24"/>
        </w:rPr>
        <w:t xml:space="preserve"> </w:t>
      </w:r>
      <w:r w:rsidR="00E55F4C" w:rsidRPr="00C301AA">
        <w:rPr>
          <w:rFonts w:ascii="Times New Roman" w:eastAsia="Times New Roman" w:hAnsi="Times New Roman"/>
          <w:sz w:val="24"/>
          <w:szCs w:val="24"/>
        </w:rPr>
        <w:t xml:space="preserve">concerns regarding fields 32 through 34.  One commenter noted that </w:t>
      </w:r>
      <w:r w:rsidRPr="00C301AA">
        <w:rPr>
          <w:rFonts w:ascii="Times New Roman" w:eastAsia="Times New Roman" w:hAnsi="Times New Roman"/>
          <w:sz w:val="24"/>
          <w:szCs w:val="24"/>
        </w:rPr>
        <w:t xml:space="preserve">the addition of </w:t>
      </w:r>
      <w:r w:rsidR="00E55F4C" w:rsidRPr="00C301AA">
        <w:rPr>
          <w:rFonts w:ascii="Times New Roman" w:eastAsia="Times New Roman" w:hAnsi="Times New Roman"/>
          <w:sz w:val="24"/>
          <w:szCs w:val="24"/>
        </w:rPr>
        <w:t xml:space="preserve">these </w:t>
      </w:r>
      <w:r w:rsidRPr="00C301AA">
        <w:rPr>
          <w:rFonts w:ascii="Times New Roman" w:eastAsia="Times New Roman" w:hAnsi="Times New Roman"/>
          <w:sz w:val="24"/>
          <w:szCs w:val="24"/>
        </w:rPr>
        <w:t xml:space="preserve">fields increase the overall scope of the APR by almost a third. </w:t>
      </w:r>
      <w:r w:rsidR="000D7CE8" w:rsidRPr="00C301AA">
        <w:rPr>
          <w:rFonts w:ascii="Times New Roman" w:eastAsia="Times New Roman" w:hAnsi="Times New Roman"/>
          <w:sz w:val="24"/>
          <w:szCs w:val="24"/>
        </w:rPr>
        <w:t xml:space="preserve"> </w:t>
      </w:r>
      <w:r w:rsidR="00906E65" w:rsidRPr="00C301AA">
        <w:rPr>
          <w:rFonts w:ascii="Times New Roman" w:eastAsia="Times New Roman" w:hAnsi="Times New Roman"/>
          <w:sz w:val="24"/>
          <w:szCs w:val="24"/>
        </w:rPr>
        <w:t>They assert</w:t>
      </w:r>
      <w:r w:rsidR="00C301AA" w:rsidRPr="00C301AA">
        <w:rPr>
          <w:rFonts w:ascii="Times New Roman" w:eastAsia="Times New Roman" w:hAnsi="Times New Roman"/>
          <w:sz w:val="24"/>
          <w:szCs w:val="24"/>
        </w:rPr>
        <w:t>ed</w:t>
      </w:r>
      <w:r w:rsidR="00906E65" w:rsidRPr="00C301AA">
        <w:rPr>
          <w:rFonts w:ascii="Times New Roman" w:eastAsia="Times New Roman" w:hAnsi="Times New Roman"/>
          <w:sz w:val="24"/>
          <w:szCs w:val="24"/>
        </w:rPr>
        <w:t xml:space="preserve"> that c</w:t>
      </w:r>
      <w:r w:rsidRPr="00C301AA">
        <w:rPr>
          <w:rFonts w:ascii="Times New Roman" w:eastAsia="Times New Roman" w:hAnsi="Times New Roman"/>
          <w:sz w:val="24"/>
          <w:szCs w:val="24"/>
        </w:rPr>
        <w:t>ompleting the APR will now require even more time than previous</w:t>
      </w:r>
      <w:r w:rsidR="00906E65" w:rsidRPr="00C301AA">
        <w:rPr>
          <w:rFonts w:ascii="Times New Roman" w:eastAsia="Times New Roman" w:hAnsi="Times New Roman"/>
          <w:sz w:val="24"/>
          <w:szCs w:val="24"/>
        </w:rPr>
        <w:t>ly</w:t>
      </w:r>
      <w:r w:rsidRPr="00C301AA">
        <w:rPr>
          <w:rFonts w:ascii="Times New Roman" w:eastAsia="Times New Roman" w:hAnsi="Times New Roman"/>
          <w:sz w:val="24"/>
          <w:szCs w:val="24"/>
        </w:rPr>
        <w:t xml:space="preserve">, making it even harder for program staff to complete the APR while continuing to provide services to students. </w:t>
      </w:r>
      <w:r w:rsidR="000D7CE8" w:rsidRPr="00C301AA">
        <w:rPr>
          <w:rFonts w:ascii="Times New Roman" w:eastAsia="Times New Roman" w:hAnsi="Times New Roman"/>
          <w:sz w:val="24"/>
          <w:szCs w:val="24"/>
        </w:rPr>
        <w:t xml:space="preserve"> </w:t>
      </w:r>
      <w:r w:rsidR="00906E65" w:rsidRPr="00C301AA">
        <w:rPr>
          <w:rFonts w:ascii="Times New Roman" w:eastAsia="Times New Roman" w:hAnsi="Times New Roman"/>
          <w:sz w:val="24"/>
          <w:szCs w:val="24"/>
        </w:rPr>
        <w:t>They note</w:t>
      </w:r>
      <w:r w:rsidR="00C301AA" w:rsidRPr="00C301AA">
        <w:rPr>
          <w:rFonts w:ascii="Times New Roman" w:eastAsia="Times New Roman" w:hAnsi="Times New Roman"/>
          <w:sz w:val="24"/>
          <w:szCs w:val="24"/>
        </w:rPr>
        <w:t>d</w:t>
      </w:r>
      <w:r w:rsidR="00906E65" w:rsidRPr="00C301AA">
        <w:rPr>
          <w:rFonts w:ascii="Times New Roman" w:eastAsia="Times New Roman" w:hAnsi="Times New Roman"/>
          <w:sz w:val="24"/>
          <w:szCs w:val="24"/>
        </w:rPr>
        <w:t xml:space="preserve"> that t</w:t>
      </w:r>
      <w:r w:rsidRPr="00C301AA">
        <w:rPr>
          <w:rFonts w:ascii="Times New Roman" w:eastAsia="Times New Roman" w:hAnsi="Times New Roman"/>
          <w:sz w:val="24"/>
          <w:szCs w:val="24"/>
        </w:rPr>
        <w:t xml:space="preserve">his is especially true given that the APR is usually open during the month of December, despite the fact that staff </w:t>
      </w:r>
      <w:r w:rsidR="000D7CE8" w:rsidRPr="00C301AA">
        <w:rPr>
          <w:rFonts w:ascii="Times New Roman" w:eastAsia="Times New Roman" w:hAnsi="Times New Roman"/>
          <w:sz w:val="24"/>
          <w:szCs w:val="24"/>
        </w:rPr>
        <w:t>is</w:t>
      </w:r>
      <w:r w:rsidRPr="00C301AA">
        <w:rPr>
          <w:rFonts w:ascii="Times New Roman" w:eastAsia="Times New Roman" w:hAnsi="Times New Roman"/>
          <w:sz w:val="24"/>
          <w:szCs w:val="24"/>
        </w:rPr>
        <w:t xml:space="preserve"> </w:t>
      </w:r>
      <w:r w:rsidR="000D7CE8" w:rsidRPr="00C301AA">
        <w:rPr>
          <w:rFonts w:ascii="Times New Roman" w:eastAsia="Times New Roman" w:hAnsi="Times New Roman"/>
          <w:sz w:val="24"/>
          <w:szCs w:val="24"/>
        </w:rPr>
        <w:t xml:space="preserve">often </w:t>
      </w:r>
      <w:r w:rsidRPr="00C301AA">
        <w:rPr>
          <w:rFonts w:ascii="Times New Roman" w:eastAsia="Times New Roman" w:hAnsi="Times New Roman"/>
          <w:sz w:val="24"/>
          <w:szCs w:val="24"/>
        </w:rPr>
        <w:t xml:space="preserve">given university leave during the holidays, further shortening the time </w:t>
      </w:r>
      <w:r w:rsidR="000D7CE8" w:rsidRPr="00C301AA">
        <w:rPr>
          <w:rFonts w:ascii="Times New Roman" w:eastAsia="Times New Roman" w:hAnsi="Times New Roman"/>
          <w:sz w:val="24"/>
          <w:szCs w:val="24"/>
        </w:rPr>
        <w:t>they have to complete the APR.</w:t>
      </w:r>
      <w:r w:rsidR="00906E65" w:rsidRPr="00C301AA">
        <w:rPr>
          <w:rFonts w:ascii="Times New Roman" w:eastAsia="Times New Roman" w:hAnsi="Times New Roman"/>
          <w:sz w:val="24"/>
          <w:szCs w:val="24"/>
        </w:rPr>
        <w:t xml:space="preserve">  </w:t>
      </w:r>
    </w:p>
    <w:p w:rsidR="00B34754" w:rsidRDefault="00B34754" w:rsidP="007E5C1B">
      <w:pPr>
        <w:pStyle w:val="CommentText"/>
        <w:spacing w:after="0" w:line="240" w:lineRule="auto"/>
        <w:rPr>
          <w:rFonts w:ascii="Times New Roman" w:eastAsia="Times New Roman" w:hAnsi="Times New Roman"/>
          <w:sz w:val="24"/>
          <w:szCs w:val="24"/>
        </w:rPr>
      </w:pPr>
    </w:p>
    <w:p w:rsidR="00532CF0" w:rsidRPr="00C301AA" w:rsidRDefault="00532CF0" w:rsidP="007E5C1B">
      <w:pPr>
        <w:pStyle w:val="CommentText"/>
        <w:spacing w:after="0" w:line="240" w:lineRule="auto"/>
        <w:rPr>
          <w:rFonts w:ascii="Times New Roman" w:eastAsia="Times New Roman" w:hAnsi="Times New Roman"/>
          <w:sz w:val="24"/>
          <w:szCs w:val="24"/>
        </w:rPr>
      </w:pPr>
      <w:r w:rsidRPr="00C301AA">
        <w:rPr>
          <w:rFonts w:ascii="Times New Roman" w:eastAsia="Times New Roman" w:hAnsi="Times New Roman"/>
          <w:sz w:val="24"/>
          <w:szCs w:val="24"/>
        </w:rPr>
        <w:t>Furthermore, t</w:t>
      </w:r>
      <w:r w:rsidR="000D7CE8" w:rsidRPr="00C301AA">
        <w:rPr>
          <w:rFonts w:ascii="Times New Roman" w:eastAsia="Times New Roman" w:hAnsi="Times New Roman"/>
          <w:sz w:val="24"/>
          <w:szCs w:val="24"/>
        </w:rPr>
        <w:t>hey assert</w:t>
      </w:r>
      <w:r w:rsidR="005437CA" w:rsidRPr="00C301AA">
        <w:rPr>
          <w:rFonts w:ascii="Times New Roman" w:eastAsia="Times New Roman" w:hAnsi="Times New Roman"/>
          <w:sz w:val="24"/>
          <w:szCs w:val="24"/>
        </w:rPr>
        <w:t>ed</w:t>
      </w:r>
      <w:r w:rsidR="000D7CE8" w:rsidRPr="00C301AA">
        <w:rPr>
          <w:rFonts w:ascii="Times New Roman" w:eastAsia="Times New Roman" w:hAnsi="Times New Roman"/>
          <w:sz w:val="24"/>
          <w:szCs w:val="24"/>
        </w:rPr>
        <w:t xml:space="preserve"> that </w:t>
      </w:r>
      <w:r w:rsidR="00042334" w:rsidRPr="00C301AA">
        <w:rPr>
          <w:rFonts w:ascii="Times New Roman" w:eastAsia="Times New Roman" w:hAnsi="Times New Roman"/>
          <w:sz w:val="24"/>
          <w:szCs w:val="24"/>
        </w:rPr>
        <w:t xml:space="preserve">these proposed </w:t>
      </w:r>
      <w:r w:rsidR="0060414F">
        <w:rPr>
          <w:rFonts w:ascii="Times New Roman" w:eastAsia="Times New Roman" w:hAnsi="Times New Roman"/>
          <w:sz w:val="24"/>
          <w:szCs w:val="24"/>
        </w:rPr>
        <w:t>fields</w:t>
      </w:r>
      <w:r w:rsidR="00042334" w:rsidRPr="00C301AA">
        <w:rPr>
          <w:rFonts w:ascii="Times New Roman" w:eastAsia="Times New Roman" w:hAnsi="Times New Roman"/>
          <w:sz w:val="24"/>
          <w:szCs w:val="24"/>
        </w:rPr>
        <w:t xml:space="preserve"> are designed to remove the discretion that McNair directors have to assess the performance of their students. </w:t>
      </w:r>
      <w:r w:rsidR="000D7CE8" w:rsidRPr="00C301AA">
        <w:rPr>
          <w:rFonts w:ascii="Times New Roman" w:eastAsia="Times New Roman" w:hAnsi="Times New Roman"/>
          <w:sz w:val="24"/>
          <w:szCs w:val="24"/>
        </w:rPr>
        <w:t xml:space="preserve"> </w:t>
      </w:r>
      <w:r w:rsidR="00042334" w:rsidRPr="00C301AA">
        <w:rPr>
          <w:rFonts w:ascii="Times New Roman" w:eastAsia="Times New Roman" w:hAnsi="Times New Roman"/>
          <w:sz w:val="24"/>
          <w:szCs w:val="24"/>
        </w:rPr>
        <w:t xml:space="preserve">This appears to reflect a lack of trust </w:t>
      </w:r>
      <w:r w:rsidR="00906E65" w:rsidRPr="00C301AA">
        <w:rPr>
          <w:rFonts w:ascii="Times New Roman" w:eastAsia="Times New Roman" w:hAnsi="Times New Roman"/>
          <w:sz w:val="24"/>
          <w:szCs w:val="24"/>
        </w:rPr>
        <w:t xml:space="preserve">by the Department </w:t>
      </w:r>
      <w:r w:rsidR="00042334" w:rsidRPr="00C301AA">
        <w:rPr>
          <w:rFonts w:ascii="Times New Roman" w:eastAsia="Times New Roman" w:hAnsi="Times New Roman"/>
          <w:sz w:val="24"/>
          <w:szCs w:val="24"/>
        </w:rPr>
        <w:t xml:space="preserve">in the staff of the McNair programs. </w:t>
      </w:r>
      <w:r w:rsidR="000D7CE8" w:rsidRPr="00C301AA">
        <w:rPr>
          <w:rFonts w:ascii="Times New Roman" w:eastAsia="Times New Roman" w:hAnsi="Times New Roman"/>
          <w:sz w:val="24"/>
          <w:szCs w:val="24"/>
        </w:rPr>
        <w:t xml:space="preserve"> </w:t>
      </w:r>
      <w:r w:rsidR="00206F74" w:rsidRPr="00C301AA">
        <w:rPr>
          <w:rFonts w:ascii="Times New Roman" w:eastAsia="Times New Roman" w:hAnsi="Times New Roman"/>
          <w:sz w:val="24"/>
          <w:szCs w:val="24"/>
        </w:rPr>
        <w:t xml:space="preserve"> </w:t>
      </w:r>
      <w:r w:rsidR="008579A0" w:rsidRPr="00C301AA">
        <w:rPr>
          <w:rFonts w:ascii="Times New Roman" w:eastAsia="Times New Roman" w:hAnsi="Times New Roman"/>
          <w:sz w:val="24"/>
          <w:szCs w:val="24"/>
        </w:rPr>
        <w:t xml:space="preserve"> </w:t>
      </w:r>
    </w:p>
    <w:p w:rsidR="007E5C1B" w:rsidRDefault="007E5C1B" w:rsidP="007E5C1B">
      <w:pPr>
        <w:spacing w:after="0" w:line="240" w:lineRule="auto"/>
        <w:rPr>
          <w:rFonts w:ascii="Times New Roman" w:eastAsia="Times New Roman" w:hAnsi="Times New Roman" w:cs="Times New Roman"/>
          <w:b/>
          <w:sz w:val="24"/>
          <w:szCs w:val="24"/>
        </w:rPr>
      </w:pPr>
    </w:p>
    <w:p w:rsidR="00532CF0" w:rsidRPr="00C301AA" w:rsidRDefault="00391CA0"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 xml:space="preserve">Discussion: </w:t>
      </w:r>
      <w:r w:rsidR="00906E65" w:rsidRPr="00C301AA">
        <w:rPr>
          <w:rFonts w:ascii="Times New Roman" w:eastAsia="Times New Roman" w:hAnsi="Times New Roman" w:cs="Times New Roman"/>
          <w:b/>
          <w:sz w:val="24"/>
          <w:szCs w:val="24"/>
        </w:rPr>
        <w:t xml:space="preserve"> </w:t>
      </w:r>
      <w:r w:rsidR="00532CF0" w:rsidRPr="00C301AA">
        <w:rPr>
          <w:rFonts w:ascii="Times New Roman" w:eastAsia="Times New Roman" w:hAnsi="Times New Roman" w:cs="Times New Roman"/>
          <w:sz w:val="24"/>
          <w:szCs w:val="24"/>
        </w:rPr>
        <w:t>With regard to the concerns expressed relat</w:t>
      </w:r>
      <w:r w:rsidR="0060414F">
        <w:rPr>
          <w:rFonts w:ascii="Times New Roman" w:eastAsia="Times New Roman" w:hAnsi="Times New Roman" w:cs="Times New Roman"/>
          <w:sz w:val="24"/>
          <w:szCs w:val="24"/>
        </w:rPr>
        <w:t>ing</w:t>
      </w:r>
      <w:r w:rsidR="00532CF0" w:rsidRPr="00C301AA">
        <w:rPr>
          <w:rFonts w:ascii="Times New Roman" w:eastAsia="Times New Roman" w:hAnsi="Times New Roman" w:cs="Times New Roman"/>
          <w:sz w:val="24"/>
          <w:szCs w:val="24"/>
        </w:rPr>
        <w:t xml:space="preserve"> to increasing the overall scope of the APR as it relates to requiring grantees to report additional information,</w:t>
      </w:r>
      <w:r w:rsidR="00532CF0" w:rsidRPr="00C301AA">
        <w:rPr>
          <w:rFonts w:ascii="Times New Roman" w:eastAsia="Times New Roman" w:hAnsi="Times New Roman" w:cs="Times New Roman"/>
          <w:b/>
          <w:sz w:val="24"/>
          <w:szCs w:val="24"/>
        </w:rPr>
        <w:t xml:space="preserve"> </w:t>
      </w:r>
      <w:r w:rsidR="00BB3E24" w:rsidRPr="00C301AA">
        <w:rPr>
          <w:rFonts w:ascii="Times New Roman" w:eastAsia="Times New Roman" w:hAnsi="Times New Roman" w:cs="Times New Roman"/>
          <w:sz w:val="24"/>
          <w:szCs w:val="24"/>
        </w:rPr>
        <w:t xml:space="preserve">grantees should already have the current student information being requested on file and readily available </w:t>
      </w:r>
      <w:r w:rsidR="005437CA" w:rsidRPr="00C301AA">
        <w:rPr>
          <w:rFonts w:ascii="Times New Roman" w:eastAsia="Times New Roman" w:hAnsi="Times New Roman" w:cs="Times New Roman"/>
          <w:sz w:val="24"/>
          <w:szCs w:val="24"/>
        </w:rPr>
        <w:t>should the need arise for verification purposes</w:t>
      </w:r>
      <w:r w:rsidR="00BB3E24" w:rsidRPr="00C301AA">
        <w:rPr>
          <w:rFonts w:ascii="Times New Roman" w:eastAsia="Times New Roman" w:hAnsi="Times New Roman" w:cs="Times New Roman"/>
          <w:sz w:val="24"/>
          <w:szCs w:val="24"/>
        </w:rPr>
        <w:t>.  Therefore, there should be no excessive burden of time imposed on grantees and no collection of student information required “after-the-fact” when reporting this information in the APR.</w:t>
      </w:r>
    </w:p>
    <w:p w:rsidR="007E5C1B" w:rsidRDefault="007E5C1B" w:rsidP="007E5C1B">
      <w:pPr>
        <w:spacing w:after="0" w:line="240" w:lineRule="auto"/>
        <w:rPr>
          <w:rFonts w:ascii="Times New Roman" w:eastAsia="Times New Roman" w:hAnsi="Times New Roman" w:cs="Times New Roman"/>
          <w:sz w:val="24"/>
          <w:szCs w:val="24"/>
        </w:rPr>
      </w:pPr>
    </w:p>
    <w:p w:rsidR="00391CA0" w:rsidRPr="00C301AA" w:rsidRDefault="00532CF0"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lastRenderedPageBreak/>
        <w:t xml:space="preserve">With regards to the comment regarding removing the project director’s discretion on how to assess </w:t>
      </w:r>
      <w:r w:rsidR="00BB3E24" w:rsidRPr="00C301AA">
        <w:rPr>
          <w:rFonts w:ascii="Times New Roman" w:eastAsia="Times New Roman" w:hAnsi="Times New Roman" w:cs="Times New Roman"/>
          <w:sz w:val="24"/>
          <w:szCs w:val="24"/>
        </w:rPr>
        <w:t>student performance by collecting benchmark information for the research/other scholarly activities fields, it was never the Department’s intent</w:t>
      </w:r>
      <w:r w:rsidR="00BB3E24" w:rsidRPr="00C301AA">
        <w:rPr>
          <w:rFonts w:ascii="Times New Roman" w:eastAsia="Times New Roman" w:hAnsi="Times New Roman" w:cs="Times New Roman"/>
          <w:b/>
          <w:sz w:val="24"/>
          <w:szCs w:val="24"/>
        </w:rPr>
        <w:t xml:space="preserve"> </w:t>
      </w:r>
      <w:r w:rsidR="00D06749" w:rsidRPr="00C301AA">
        <w:rPr>
          <w:rFonts w:ascii="Times New Roman" w:eastAsia="Times New Roman" w:hAnsi="Times New Roman" w:cs="Times New Roman"/>
          <w:sz w:val="24"/>
          <w:szCs w:val="24"/>
        </w:rPr>
        <w:t xml:space="preserve">to use this information </w:t>
      </w:r>
      <w:r w:rsidR="00BB3E24" w:rsidRPr="00C301AA">
        <w:rPr>
          <w:rFonts w:ascii="Times New Roman" w:eastAsia="Times New Roman" w:hAnsi="Times New Roman" w:cs="Times New Roman"/>
          <w:sz w:val="24"/>
          <w:szCs w:val="24"/>
        </w:rPr>
        <w:t xml:space="preserve">when assessing Prior Experience (PE) </w:t>
      </w:r>
      <w:r w:rsidR="00D06749" w:rsidRPr="00C301AA">
        <w:rPr>
          <w:rFonts w:ascii="Times New Roman" w:eastAsia="Times New Roman" w:hAnsi="Times New Roman" w:cs="Times New Roman"/>
          <w:sz w:val="24"/>
          <w:szCs w:val="24"/>
        </w:rPr>
        <w:t>points</w:t>
      </w:r>
      <w:r w:rsidR="0036792C">
        <w:rPr>
          <w:rFonts w:ascii="Times New Roman" w:eastAsia="Times New Roman" w:hAnsi="Times New Roman" w:cs="Times New Roman"/>
          <w:sz w:val="24"/>
          <w:szCs w:val="24"/>
        </w:rPr>
        <w:t>,</w:t>
      </w:r>
      <w:r w:rsidR="00BB3E24" w:rsidRPr="00C301AA">
        <w:rPr>
          <w:rFonts w:ascii="Times New Roman" w:eastAsia="Times New Roman" w:hAnsi="Times New Roman" w:cs="Times New Roman"/>
          <w:sz w:val="24"/>
          <w:szCs w:val="24"/>
        </w:rPr>
        <w:t xml:space="preserve"> but rather to use the information to gain a more holistic understanding of how projects operate their McNair program.</w:t>
      </w:r>
      <w:r w:rsidR="00D06749" w:rsidRPr="00C301AA">
        <w:rPr>
          <w:rFonts w:ascii="Times New Roman" w:eastAsia="Times New Roman" w:hAnsi="Times New Roman" w:cs="Times New Roman"/>
          <w:sz w:val="24"/>
          <w:szCs w:val="24"/>
        </w:rPr>
        <w:t xml:space="preserve"> </w:t>
      </w:r>
    </w:p>
    <w:p w:rsidR="007E5C1B" w:rsidRDefault="007E5C1B" w:rsidP="007E5C1B">
      <w:pPr>
        <w:pStyle w:val="CommentText"/>
        <w:spacing w:after="0" w:line="240" w:lineRule="auto"/>
        <w:rPr>
          <w:rFonts w:ascii="Times New Roman" w:eastAsia="Times New Roman" w:hAnsi="Times New Roman"/>
          <w:b/>
          <w:sz w:val="24"/>
          <w:szCs w:val="24"/>
        </w:rPr>
      </w:pPr>
    </w:p>
    <w:p w:rsidR="00391CA0" w:rsidRPr="00C301AA" w:rsidRDefault="00391CA0" w:rsidP="007E5C1B">
      <w:pPr>
        <w:pStyle w:val="CommentText"/>
        <w:spacing w:after="0" w:line="240" w:lineRule="auto"/>
        <w:rPr>
          <w:rFonts w:ascii="Times New Roman" w:eastAsia="Times New Roman" w:hAnsi="Times New Roman"/>
          <w:sz w:val="24"/>
          <w:szCs w:val="24"/>
        </w:rPr>
      </w:pPr>
      <w:r w:rsidRPr="00C301AA">
        <w:rPr>
          <w:rFonts w:ascii="Times New Roman" w:eastAsia="Times New Roman" w:hAnsi="Times New Roman"/>
          <w:b/>
          <w:sz w:val="24"/>
          <w:szCs w:val="24"/>
        </w:rPr>
        <w:t>Action Taken:</w:t>
      </w:r>
      <w:r w:rsidR="00206F74" w:rsidRPr="00C301AA">
        <w:rPr>
          <w:rFonts w:ascii="Times New Roman" w:eastAsia="Times New Roman" w:hAnsi="Times New Roman"/>
          <w:b/>
          <w:sz w:val="24"/>
          <w:szCs w:val="24"/>
        </w:rPr>
        <w:t xml:space="preserve"> </w:t>
      </w:r>
      <w:r w:rsidR="00886C92" w:rsidRPr="00C301AA">
        <w:rPr>
          <w:rFonts w:ascii="Times New Roman" w:eastAsia="Times New Roman" w:hAnsi="Times New Roman"/>
          <w:b/>
          <w:sz w:val="24"/>
          <w:szCs w:val="24"/>
        </w:rPr>
        <w:t xml:space="preserve"> </w:t>
      </w:r>
      <w:r w:rsidR="00BB3E24" w:rsidRPr="00C301AA">
        <w:rPr>
          <w:rFonts w:ascii="Times New Roman" w:hAnsi="Times New Roman"/>
          <w:sz w:val="24"/>
          <w:szCs w:val="24"/>
        </w:rPr>
        <w:t xml:space="preserve">The Department will not, at this time, collect information on benchmarks related to research and other scholarly </w:t>
      </w:r>
      <w:r w:rsidR="00A0134B" w:rsidRPr="00C301AA">
        <w:rPr>
          <w:rFonts w:ascii="Times New Roman" w:hAnsi="Times New Roman"/>
          <w:sz w:val="24"/>
          <w:szCs w:val="24"/>
        </w:rPr>
        <w:t>activities;</w:t>
      </w:r>
      <w:r w:rsidR="00BB3E24" w:rsidRPr="00C301AA">
        <w:rPr>
          <w:rFonts w:ascii="Times New Roman" w:hAnsi="Times New Roman"/>
          <w:sz w:val="24"/>
          <w:szCs w:val="24"/>
        </w:rPr>
        <w:t xml:space="preserve"> however, the Department reserves the right to collect t</w:t>
      </w:r>
      <w:r w:rsidR="005437CA" w:rsidRPr="00C301AA">
        <w:rPr>
          <w:rFonts w:ascii="Times New Roman" w:hAnsi="Times New Roman"/>
          <w:sz w:val="24"/>
          <w:szCs w:val="24"/>
        </w:rPr>
        <w:t>his information in the future.</w:t>
      </w:r>
    </w:p>
    <w:p w:rsidR="007E5C1B" w:rsidRDefault="007E5C1B" w:rsidP="007E5C1B">
      <w:pPr>
        <w:pStyle w:val="Heading3"/>
        <w:spacing w:after="0" w:line="240" w:lineRule="auto"/>
        <w:rPr>
          <w:sz w:val="24"/>
          <w:szCs w:val="24"/>
        </w:rPr>
      </w:pPr>
    </w:p>
    <w:p w:rsidR="00042334" w:rsidRPr="00C301AA" w:rsidRDefault="00042334" w:rsidP="007E5C1B">
      <w:pPr>
        <w:pStyle w:val="Heading3"/>
        <w:spacing w:after="0" w:line="240" w:lineRule="auto"/>
        <w:rPr>
          <w:sz w:val="24"/>
          <w:szCs w:val="24"/>
        </w:rPr>
      </w:pPr>
      <w:r w:rsidRPr="00C301AA">
        <w:rPr>
          <w:sz w:val="24"/>
          <w:szCs w:val="24"/>
        </w:rPr>
        <w:t>Supporting Statement for Paperwork Reduction Act Submission</w:t>
      </w:r>
    </w:p>
    <w:p w:rsidR="007E5C1B" w:rsidRDefault="007E5C1B" w:rsidP="007E5C1B">
      <w:pPr>
        <w:spacing w:after="0" w:line="240" w:lineRule="auto"/>
        <w:rPr>
          <w:rFonts w:ascii="Times New Roman" w:hAnsi="Times New Roman" w:cs="Times New Roman"/>
          <w:sz w:val="24"/>
          <w:szCs w:val="24"/>
        </w:rPr>
      </w:pPr>
    </w:p>
    <w:p w:rsidR="000956BA" w:rsidRPr="00C301AA" w:rsidRDefault="005437CA" w:rsidP="007E5C1B">
      <w:pPr>
        <w:spacing w:after="0" w:line="240" w:lineRule="auto"/>
        <w:rPr>
          <w:rFonts w:ascii="Times New Roman" w:hAnsi="Times New Roman" w:cs="Times New Roman"/>
          <w:sz w:val="24"/>
          <w:szCs w:val="24"/>
        </w:rPr>
      </w:pPr>
      <w:r w:rsidRPr="00C301AA">
        <w:rPr>
          <w:rFonts w:ascii="Times New Roman" w:hAnsi="Times New Roman" w:cs="Times New Roman"/>
          <w:sz w:val="24"/>
          <w:szCs w:val="24"/>
        </w:rPr>
        <w:t>One commenter emphasized</w:t>
      </w:r>
      <w:r w:rsidR="00042334" w:rsidRPr="00C301AA">
        <w:rPr>
          <w:rFonts w:ascii="Times New Roman" w:hAnsi="Times New Roman" w:cs="Times New Roman"/>
          <w:sz w:val="24"/>
          <w:szCs w:val="24"/>
        </w:rPr>
        <w:t xml:space="preserve"> that the 11.5 hours that is the estimate of the amount of time it takes to prepare the McNair APR is only accurate in terms of how much time it takes to fill out the paperwork.  The</w:t>
      </w:r>
      <w:r w:rsidR="00567DE0" w:rsidRPr="00C301AA">
        <w:rPr>
          <w:rFonts w:ascii="Times New Roman" w:hAnsi="Times New Roman" w:cs="Times New Roman"/>
          <w:sz w:val="24"/>
          <w:szCs w:val="24"/>
        </w:rPr>
        <w:t>y insist that additional</w:t>
      </w:r>
      <w:r w:rsidR="00042334" w:rsidRPr="00C301AA">
        <w:rPr>
          <w:rFonts w:ascii="Times New Roman" w:hAnsi="Times New Roman" w:cs="Times New Roman"/>
          <w:sz w:val="24"/>
          <w:szCs w:val="24"/>
        </w:rPr>
        <w:t xml:space="preserve"> hours </w:t>
      </w:r>
      <w:r w:rsidR="00567DE0" w:rsidRPr="00C301AA">
        <w:rPr>
          <w:rFonts w:ascii="Times New Roman" w:hAnsi="Times New Roman" w:cs="Times New Roman"/>
          <w:sz w:val="24"/>
          <w:szCs w:val="24"/>
        </w:rPr>
        <w:t xml:space="preserve">must be devoted to </w:t>
      </w:r>
      <w:r w:rsidR="00042334" w:rsidRPr="00C301AA">
        <w:rPr>
          <w:rFonts w:ascii="Times New Roman" w:hAnsi="Times New Roman" w:cs="Times New Roman"/>
          <w:sz w:val="24"/>
          <w:szCs w:val="24"/>
        </w:rPr>
        <w:t xml:space="preserve">trying to contact past participants </w:t>
      </w:r>
      <w:r w:rsidR="00567DE0" w:rsidRPr="00C301AA">
        <w:rPr>
          <w:rFonts w:ascii="Times New Roman" w:hAnsi="Times New Roman" w:cs="Times New Roman"/>
          <w:sz w:val="24"/>
          <w:szCs w:val="24"/>
        </w:rPr>
        <w:t>from across</w:t>
      </w:r>
      <w:r w:rsidR="00042334" w:rsidRPr="00C301AA">
        <w:rPr>
          <w:rFonts w:ascii="Times New Roman" w:hAnsi="Times New Roman" w:cs="Times New Roman"/>
          <w:sz w:val="24"/>
          <w:szCs w:val="24"/>
        </w:rPr>
        <w:t xml:space="preserve"> the country in order to </w:t>
      </w:r>
      <w:r w:rsidR="00567DE0" w:rsidRPr="00C301AA">
        <w:rPr>
          <w:rFonts w:ascii="Times New Roman" w:hAnsi="Times New Roman" w:cs="Times New Roman"/>
          <w:sz w:val="24"/>
          <w:szCs w:val="24"/>
        </w:rPr>
        <w:t>obtain</w:t>
      </w:r>
      <w:r w:rsidR="00042334" w:rsidRPr="00C301AA">
        <w:rPr>
          <w:rFonts w:ascii="Times New Roman" w:hAnsi="Times New Roman" w:cs="Times New Roman"/>
          <w:sz w:val="24"/>
          <w:szCs w:val="24"/>
        </w:rPr>
        <w:t xml:space="preserve"> accurate information in their continued graduate school enrollment and degree attainment.   </w:t>
      </w:r>
    </w:p>
    <w:p w:rsidR="00042334" w:rsidRPr="00C301AA" w:rsidRDefault="00042334" w:rsidP="007E5C1B">
      <w:pPr>
        <w:spacing w:after="0" w:line="240" w:lineRule="auto"/>
        <w:rPr>
          <w:rFonts w:ascii="Times New Roman" w:eastAsia="Times New Roman" w:hAnsi="Times New Roman" w:cs="Times New Roman"/>
          <w:b/>
          <w:sz w:val="24"/>
          <w:szCs w:val="24"/>
        </w:rPr>
      </w:pPr>
      <w:r w:rsidRPr="00C301AA">
        <w:rPr>
          <w:rFonts w:ascii="Times New Roman" w:hAnsi="Times New Roman" w:cs="Times New Roman"/>
          <w:sz w:val="24"/>
          <w:szCs w:val="24"/>
        </w:rPr>
        <w:t xml:space="preserve"> </w:t>
      </w:r>
    </w:p>
    <w:p w:rsidR="00567DE0" w:rsidRPr="00C301AA" w:rsidRDefault="00042334" w:rsidP="007E5C1B">
      <w:pPr>
        <w:pStyle w:val="PlainText"/>
        <w:rPr>
          <w:rFonts w:ascii="Times New Roman" w:hAnsi="Times New Roman" w:cs="Times New Roman"/>
          <w:sz w:val="24"/>
          <w:szCs w:val="24"/>
        </w:rPr>
      </w:pPr>
      <w:r w:rsidRPr="00C301AA">
        <w:rPr>
          <w:rFonts w:ascii="Times New Roman" w:hAnsi="Times New Roman" w:cs="Times New Roman"/>
          <w:b/>
          <w:sz w:val="24"/>
          <w:szCs w:val="24"/>
        </w:rPr>
        <w:t xml:space="preserve">Discussion: </w:t>
      </w:r>
      <w:r w:rsidR="00567DE0" w:rsidRPr="00C301AA">
        <w:rPr>
          <w:rFonts w:ascii="Times New Roman" w:hAnsi="Times New Roman" w:cs="Times New Roman"/>
          <w:b/>
          <w:sz w:val="24"/>
          <w:szCs w:val="24"/>
        </w:rPr>
        <w:t xml:space="preserve"> </w:t>
      </w:r>
      <w:r w:rsidR="00BB3E24" w:rsidRPr="00C301AA">
        <w:rPr>
          <w:rFonts w:ascii="Times New Roman" w:hAnsi="Times New Roman" w:cs="Times New Roman"/>
          <w:sz w:val="24"/>
          <w:szCs w:val="24"/>
        </w:rPr>
        <w:t xml:space="preserve">The burden estimate of 11.5 hours is </w:t>
      </w:r>
      <w:r w:rsidR="00704230">
        <w:rPr>
          <w:rFonts w:ascii="Times New Roman" w:hAnsi="Times New Roman" w:cs="Times New Roman"/>
          <w:sz w:val="24"/>
          <w:szCs w:val="24"/>
        </w:rPr>
        <w:t>not finite, rather it is</w:t>
      </w:r>
      <w:r w:rsidR="00FD6B4E">
        <w:rPr>
          <w:rFonts w:ascii="Times New Roman" w:hAnsi="Times New Roman" w:cs="Times New Roman"/>
          <w:sz w:val="24"/>
          <w:szCs w:val="24"/>
        </w:rPr>
        <w:t xml:space="preserve"> </w:t>
      </w:r>
      <w:r w:rsidR="00BB3E24" w:rsidRPr="00C301AA">
        <w:rPr>
          <w:rFonts w:ascii="Times New Roman" w:hAnsi="Times New Roman" w:cs="Times New Roman"/>
          <w:sz w:val="24"/>
          <w:szCs w:val="24"/>
        </w:rPr>
        <w:t xml:space="preserve">an </w:t>
      </w:r>
      <w:r w:rsidR="00704230">
        <w:rPr>
          <w:rFonts w:ascii="Times New Roman" w:hAnsi="Times New Roman" w:cs="Times New Roman"/>
          <w:b/>
          <w:sz w:val="24"/>
          <w:szCs w:val="24"/>
          <w:u w:val="single"/>
        </w:rPr>
        <w:t>approximation</w:t>
      </w:r>
      <w:r w:rsidR="007B045C" w:rsidRPr="00C301AA">
        <w:rPr>
          <w:rFonts w:ascii="Times New Roman" w:hAnsi="Times New Roman" w:cs="Times New Roman"/>
          <w:sz w:val="24"/>
          <w:szCs w:val="24"/>
        </w:rPr>
        <w:t xml:space="preserve">.  </w:t>
      </w:r>
      <w:r w:rsidR="00A0134B" w:rsidRPr="00C301AA">
        <w:rPr>
          <w:rFonts w:ascii="Times New Roman" w:hAnsi="Times New Roman" w:cs="Times New Roman"/>
          <w:sz w:val="24"/>
          <w:szCs w:val="24"/>
        </w:rPr>
        <w:t>For example, some grantees may have different recordkeeping processes that enable them to collect the data and submit in less time (11.5 hours)</w:t>
      </w:r>
      <w:r w:rsidR="005437CA" w:rsidRPr="00C301AA">
        <w:rPr>
          <w:rFonts w:ascii="Times New Roman" w:hAnsi="Times New Roman" w:cs="Times New Roman"/>
          <w:sz w:val="24"/>
          <w:szCs w:val="24"/>
        </w:rPr>
        <w:t xml:space="preserve"> while other grantees may take longer than 11.5 hours</w:t>
      </w:r>
      <w:r w:rsidR="00A0134B" w:rsidRPr="00C301AA">
        <w:rPr>
          <w:rFonts w:ascii="Times New Roman" w:hAnsi="Times New Roman" w:cs="Times New Roman"/>
          <w:sz w:val="24"/>
          <w:szCs w:val="24"/>
        </w:rPr>
        <w:t xml:space="preserve">; therefore, the Department takes both into consideration when </w:t>
      </w:r>
      <w:r w:rsidR="00A0134B" w:rsidRPr="00C301AA">
        <w:rPr>
          <w:rFonts w:ascii="Times New Roman" w:hAnsi="Times New Roman" w:cs="Times New Roman"/>
          <w:b/>
          <w:sz w:val="24"/>
          <w:szCs w:val="24"/>
          <w:u w:val="single"/>
        </w:rPr>
        <w:t>estimating</w:t>
      </w:r>
      <w:r w:rsidR="00A0134B" w:rsidRPr="00C301AA">
        <w:rPr>
          <w:rFonts w:ascii="Times New Roman" w:hAnsi="Times New Roman" w:cs="Times New Roman"/>
          <w:sz w:val="24"/>
          <w:szCs w:val="24"/>
        </w:rPr>
        <w:t xml:space="preserve"> the burden hours.  </w:t>
      </w:r>
    </w:p>
    <w:p w:rsidR="00567DE0" w:rsidRPr="00C301AA" w:rsidRDefault="00567DE0" w:rsidP="007E5C1B">
      <w:pPr>
        <w:pStyle w:val="PlainText"/>
        <w:rPr>
          <w:rFonts w:ascii="Times New Roman" w:hAnsi="Times New Roman" w:cs="Times New Roman"/>
          <w:sz w:val="24"/>
          <w:szCs w:val="24"/>
        </w:rPr>
      </w:pPr>
    </w:p>
    <w:p w:rsidR="00567DE0" w:rsidRPr="00C301AA" w:rsidRDefault="00567DE0"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Action Taken</w:t>
      </w:r>
      <w:r w:rsidRPr="00C301AA">
        <w:rPr>
          <w:rFonts w:ascii="Times New Roman" w:hAnsi="Times New Roman" w:cs="Times New Roman"/>
          <w:sz w:val="24"/>
          <w:szCs w:val="24"/>
        </w:rPr>
        <w:t xml:space="preserve">:  </w:t>
      </w:r>
      <w:r w:rsidR="00E73DD8" w:rsidRPr="00C301AA">
        <w:rPr>
          <w:rFonts w:ascii="Times New Roman" w:hAnsi="Times New Roman" w:cs="Times New Roman"/>
          <w:sz w:val="24"/>
          <w:szCs w:val="24"/>
        </w:rPr>
        <w:t xml:space="preserve">None </w:t>
      </w:r>
    </w:p>
    <w:p w:rsidR="00A5035B" w:rsidRPr="00C301AA" w:rsidRDefault="00A5035B" w:rsidP="007E5C1B">
      <w:pPr>
        <w:pStyle w:val="Heading3"/>
        <w:autoSpaceDE w:val="0"/>
        <w:autoSpaceDN w:val="0"/>
        <w:adjustRightInd w:val="0"/>
        <w:spacing w:after="0" w:line="240" w:lineRule="auto"/>
        <w:rPr>
          <w:sz w:val="24"/>
          <w:szCs w:val="24"/>
        </w:rPr>
      </w:pPr>
    </w:p>
    <w:p w:rsidR="00C66FC8" w:rsidRPr="00C301AA" w:rsidRDefault="00C66FC8" w:rsidP="007E5C1B">
      <w:pPr>
        <w:pStyle w:val="Heading3"/>
        <w:autoSpaceDE w:val="0"/>
        <w:autoSpaceDN w:val="0"/>
        <w:adjustRightInd w:val="0"/>
        <w:spacing w:after="0" w:line="240" w:lineRule="auto"/>
        <w:rPr>
          <w:sz w:val="24"/>
          <w:szCs w:val="24"/>
        </w:rPr>
      </w:pPr>
      <w:r w:rsidRPr="00C301AA">
        <w:rPr>
          <w:sz w:val="24"/>
          <w:szCs w:val="24"/>
        </w:rPr>
        <w:t>Dual Degree Programs Reporting and Prior Experience Point Calculations</w:t>
      </w:r>
    </w:p>
    <w:p w:rsidR="00C66FC8" w:rsidRPr="00C301AA" w:rsidRDefault="00C66FC8" w:rsidP="007E5C1B">
      <w:pPr>
        <w:autoSpaceDE w:val="0"/>
        <w:autoSpaceDN w:val="0"/>
        <w:adjustRightInd w:val="0"/>
        <w:spacing w:after="0" w:line="240" w:lineRule="auto"/>
        <w:rPr>
          <w:rFonts w:ascii="Times New Roman" w:eastAsia="Times New Roman" w:hAnsi="Times New Roman" w:cs="Times New Roman"/>
          <w:b/>
          <w:sz w:val="24"/>
          <w:szCs w:val="24"/>
        </w:rPr>
      </w:pPr>
    </w:p>
    <w:p w:rsidR="000A719B" w:rsidRPr="00C301AA" w:rsidRDefault="000A719B" w:rsidP="007E5C1B">
      <w:pPr>
        <w:autoSpaceDE w:val="0"/>
        <w:autoSpaceDN w:val="0"/>
        <w:adjustRightInd w:val="0"/>
        <w:spacing w:after="0" w:line="240" w:lineRule="auto"/>
        <w:rPr>
          <w:rFonts w:ascii="Times New Roman" w:hAnsi="Times New Roman" w:cs="Times New Roman"/>
          <w:sz w:val="24"/>
          <w:szCs w:val="24"/>
        </w:rPr>
      </w:pPr>
      <w:r w:rsidRPr="00C301AA">
        <w:rPr>
          <w:rFonts w:ascii="Times New Roman" w:eastAsia="Times New Roman" w:hAnsi="Times New Roman" w:cs="Times New Roman"/>
          <w:b/>
          <w:sz w:val="24"/>
          <w:szCs w:val="24"/>
        </w:rPr>
        <w:t>Comments:</w:t>
      </w:r>
      <w:r w:rsidR="00C66FC8" w:rsidRPr="00C301AA">
        <w:rPr>
          <w:rFonts w:ascii="Times New Roman" w:eastAsia="Times New Roman" w:hAnsi="Times New Roman" w:cs="Times New Roman"/>
          <w:b/>
          <w:sz w:val="24"/>
          <w:szCs w:val="24"/>
        </w:rPr>
        <w:t xml:space="preserve"> </w:t>
      </w:r>
      <w:r w:rsidR="006E0C23" w:rsidRPr="00C301AA">
        <w:rPr>
          <w:rFonts w:ascii="Times New Roman" w:eastAsia="Times New Roman" w:hAnsi="Times New Roman" w:cs="Times New Roman"/>
          <w:b/>
          <w:sz w:val="24"/>
          <w:szCs w:val="24"/>
        </w:rPr>
        <w:t xml:space="preserve"> </w:t>
      </w:r>
      <w:r w:rsidR="00C66FC8" w:rsidRPr="00C301AA">
        <w:rPr>
          <w:rFonts w:ascii="Times New Roman" w:eastAsia="Times New Roman" w:hAnsi="Times New Roman" w:cs="Times New Roman"/>
          <w:sz w:val="24"/>
          <w:szCs w:val="24"/>
        </w:rPr>
        <w:t>One commenter note</w:t>
      </w:r>
      <w:r w:rsidR="005437CA" w:rsidRPr="00C301AA">
        <w:rPr>
          <w:rFonts w:ascii="Times New Roman" w:eastAsia="Times New Roman" w:hAnsi="Times New Roman" w:cs="Times New Roman"/>
          <w:sz w:val="24"/>
          <w:szCs w:val="24"/>
        </w:rPr>
        <w:t>d</w:t>
      </w:r>
      <w:r w:rsidR="00C66FC8" w:rsidRPr="00C301AA">
        <w:rPr>
          <w:rFonts w:ascii="Times New Roman" w:eastAsia="Times New Roman" w:hAnsi="Times New Roman" w:cs="Times New Roman"/>
          <w:sz w:val="24"/>
          <w:szCs w:val="24"/>
        </w:rPr>
        <w:t xml:space="preserve"> that t</w:t>
      </w:r>
      <w:r w:rsidR="00C66FC8" w:rsidRPr="00C301AA">
        <w:rPr>
          <w:rFonts w:ascii="Times New Roman" w:hAnsi="Times New Roman" w:cs="Times New Roman"/>
          <w:sz w:val="24"/>
          <w:szCs w:val="24"/>
        </w:rPr>
        <w:t xml:space="preserve">he APR </w:t>
      </w:r>
      <w:r w:rsidRPr="00C301AA">
        <w:rPr>
          <w:rFonts w:ascii="Times New Roman" w:hAnsi="Times New Roman" w:cs="Times New Roman"/>
          <w:sz w:val="24"/>
          <w:szCs w:val="24"/>
        </w:rPr>
        <w:t xml:space="preserve">does not allow for accurate reporting of special graduate programs. </w:t>
      </w:r>
      <w:r w:rsidR="002400A2" w:rsidRPr="00C301AA">
        <w:rPr>
          <w:rFonts w:ascii="Times New Roman" w:hAnsi="Times New Roman" w:cs="Times New Roman"/>
          <w:sz w:val="24"/>
          <w:szCs w:val="24"/>
        </w:rPr>
        <w:t xml:space="preserve"> </w:t>
      </w:r>
      <w:r w:rsidRPr="00C301AA">
        <w:rPr>
          <w:rFonts w:ascii="Times New Roman" w:hAnsi="Times New Roman" w:cs="Times New Roman"/>
          <w:sz w:val="24"/>
          <w:szCs w:val="24"/>
        </w:rPr>
        <w:t xml:space="preserve">For example, </w:t>
      </w:r>
      <w:r w:rsidR="002400A2" w:rsidRPr="00C301AA">
        <w:rPr>
          <w:rFonts w:ascii="Times New Roman" w:hAnsi="Times New Roman" w:cs="Times New Roman"/>
          <w:sz w:val="24"/>
          <w:szCs w:val="24"/>
        </w:rPr>
        <w:t>they explain</w:t>
      </w:r>
      <w:r w:rsidR="00C301AA" w:rsidRPr="00C301AA">
        <w:rPr>
          <w:rFonts w:ascii="Times New Roman" w:hAnsi="Times New Roman" w:cs="Times New Roman"/>
          <w:sz w:val="24"/>
          <w:szCs w:val="24"/>
        </w:rPr>
        <w:t>ed</w:t>
      </w:r>
      <w:r w:rsidR="002400A2" w:rsidRPr="00C301AA">
        <w:rPr>
          <w:rFonts w:ascii="Times New Roman" w:hAnsi="Times New Roman" w:cs="Times New Roman"/>
          <w:sz w:val="24"/>
          <w:szCs w:val="24"/>
        </w:rPr>
        <w:t xml:space="preserve"> that </w:t>
      </w:r>
      <w:r w:rsidRPr="00C301AA">
        <w:rPr>
          <w:rFonts w:ascii="Times New Roman" w:hAnsi="Times New Roman" w:cs="Times New Roman"/>
          <w:sz w:val="24"/>
          <w:szCs w:val="24"/>
        </w:rPr>
        <w:t>there</w:t>
      </w:r>
      <w:r w:rsidR="00C66FC8" w:rsidRPr="00C301AA">
        <w:rPr>
          <w:rFonts w:ascii="Times New Roman" w:hAnsi="Times New Roman" w:cs="Times New Roman"/>
          <w:sz w:val="24"/>
          <w:szCs w:val="24"/>
        </w:rPr>
        <w:t xml:space="preserve"> </w:t>
      </w:r>
      <w:r w:rsidRPr="00C301AA">
        <w:rPr>
          <w:rFonts w:ascii="Times New Roman" w:hAnsi="Times New Roman" w:cs="Times New Roman"/>
          <w:sz w:val="24"/>
          <w:szCs w:val="24"/>
        </w:rPr>
        <w:t>are dual Bachelor’s and Master’s degree programs that McNair Scholars participate in</w:t>
      </w:r>
      <w:r w:rsidR="0060414F">
        <w:rPr>
          <w:rFonts w:ascii="Times New Roman" w:hAnsi="Times New Roman" w:cs="Times New Roman"/>
          <w:sz w:val="24"/>
          <w:szCs w:val="24"/>
        </w:rPr>
        <w:t>,</w:t>
      </w:r>
      <w:r w:rsidRPr="00C301AA">
        <w:rPr>
          <w:rFonts w:ascii="Times New Roman" w:hAnsi="Times New Roman" w:cs="Times New Roman"/>
          <w:sz w:val="24"/>
          <w:szCs w:val="24"/>
        </w:rPr>
        <w:t xml:space="preserve"> but</w:t>
      </w:r>
      <w:r w:rsidR="00C66FC8" w:rsidRPr="00C301AA">
        <w:rPr>
          <w:rFonts w:ascii="Times New Roman" w:hAnsi="Times New Roman" w:cs="Times New Roman"/>
          <w:sz w:val="24"/>
          <w:szCs w:val="24"/>
        </w:rPr>
        <w:t xml:space="preserve"> </w:t>
      </w:r>
      <w:r w:rsidRPr="00C301AA">
        <w:rPr>
          <w:rFonts w:ascii="Times New Roman" w:hAnsi="Times New Roman" w:cs="Times New Roman"/>
          <w:sz w:val="24"/>
          <w:szCs w:val="24"/>
        </w:rPr>
        <w:t xml:space="preserve">the APR and prior experience calculations only account for students who enroll into a graduate program after </w:t>
      </w:r>
      <w:r w:rsidR="00704230">
        <w:rPr>
          <w:rFonts w:ascii="Times New Roman" w:hAnsi="Times New Roman" w:cs="Times New Roman"/>
          <w:sz w:val="24"/>
          <w:szCs w:val="24"/>
        </w:rPr>
        <w:t>receiving</w:t>
      </w:r>
      <w:r w:rsidRPr="00C301AA">
        <w:rPr>
          <w:rFonts w:ascii="Times New Roman" w:hAnsi="Times New Roman" w:cs="Times New Roman"/>
          <w:sz w:val="24"/>
          <w:szCs w:val="24"/>
        </w:rPr>
        <w:t xml:space="preserve"> a bachelor’s degree.</w:t>
      </w:r>
      <w:r w:rsidR="00C66FC8" w:rsidRPr="00C301AA">
        <w:rPr>
          <w:rFonts w:ascii="Times New Roman" w:hAnsi="Times New Roman" w:cs="Times New Roman"/>
          <w:sz w:val="24"/>
          <w:szCs w:val="24"/>
        </w:rPr>
        <w:t xml:space="preserve"> </w:t>
      </w:r>
      <w:r w:rsidR="002400A2" w:rsidRPr="00C301AA">
        <w:rPr>
          <w:rFonts w:ascii="Times New Roman" w:hAnsi="Times New Roman" w:cs="Times New Roman"/>
          <w:sz w:val="24"/>
          <w:szCs w:val="24"/>
        </w:rPr>
        <w:t xml:space="preserve"> </w:t>
      </w:r>
      <w:r w:rsidR="00C66FC8" w:rsidRPr="00C301AA">
        <w:rPr>
          <w:rFonts w:ascii="Times New Roman" w:hAnsi="Times New Roman" w:cs="Times New Roman"/>
          <w:sz w:val="24"/>
          <w:szCs w:val="24"/>
        </w:rPr>
        <w:t xml:space="preserve">They </w:t>
      </w:r>
      <w:r w:rsidRPr="00C301AA">
        <w:rPr>
          <w:rFonts w:ascii="Times New Roman" w:hAnsi="Times New Roman" w:cs="Times New Roman"/>
          <w:sz w:val="24"/>
          <w:szCs w:val="24"/>
        </w:rPr>
        <w:t>recommend</w:t>
      </w:r>
      <w:r w:rsidR="00C301AA" w:rsidRPr="00C301AA">
        <w:rPr>
          <w:rFonts w:ascii="Times New Roman" w:hAnsi="Times New Roman" w:cs="Times New Roman"/>
          <w:sz w:val="24"/>
          <w:szCs w:val="24"/>
        </w:rPr>
        <w:t>ed</w:t>
      </w:r>
      <w:r w:rsidRPr="00C301AA">
        <w:rPr>
          <w:rFonts w:ascii="Times New Roman" w:hAnsi="Times New Roman" w:cs="Times New Roman"/>
          <w:sz w:val="24"/>
          <w:szCs w:val="24"/>
        </w:rPr>
        <w:t xml:space="preserve"> the Department consider flexibility in the responses to degree attainment</w:t>
      </w:r>
      <w:r w:rsidR="00C66FC8" w:rsidRPr="00C301AA">
        <w:rPr>
          <w:rFonts w:ascii="Times New Roman" w:hAnsi="Times New Roman" w:cs="Times New Roman"/>
          <w:sz w:val="24"/>
          <w:szCs w:val="24"/>
        </w:rPr>
        <w:t xml:space="preserve"> </w:t>
      </w:r>
      <w:r w:rsidRPr="00C301AA">
        <w:rPr>
          <w:rFonts w:ascii="Times New Roman" w:hAnsi="Times New Roman" w:cs="Times New Roman"/>
          <w:sz w:val="24"/>
          <w:szCs w:val="24"/>
        </w:rPr>
        <w:t>dates (Field 28), Graduating Cohort Year of the Bachelor's Degree (Field 29), Date of</w:t>
      </w:r>
      <w:r w:rsidR="00C66FC8" w:rsidRPr="00C301AA">
        <w:rPr>
          <w:rFonts w:ascii="Times New Roman" w:hAnsi="Times New Roman" w:cs="Times New Roman"/>
          <w:sz w:val="24"/>
          <w:szCs w:val="24"/>
        </w:rPr>
        <w:t xml:space="preserve"> </w:t>
      </w:r>
      <w:r w:rsidRPr="00C301AA">
        <w:rPr>
          <w:rFonts w:ascii="Times New Roman" w:hAnsi="Times New Roman" w:cs="Times New Roman"/>
          <w:sz w:val="24"/>
          <w:szCs w:val="24"/>
        </w:rPr>
        <w:t>First Graduate School Enrollment (Field 36) and subsequent Graduate School Enrollment</w:t>
      </w:r>
      <w:r w:rsidR="00C66FC8" w:rsidRPr="00C301AA">
        <w:rPr>
          <w:rFonts w:ascii="Times New Roman" w:hAnsi="Times New Roman" w:cs="Times New Roman"/>
          <w:sz w:val="24"/>
          <w:szCs w:val="24"/>
        </w:rPr>
        <w:t xml:space="preserve"> </w:t>
      </w:r>
      <w:r w:rsidRPr="00C301AA">
        <w:rPr>
          <w:rFonts w:ascii="Times New Roman" w:hAnsi="Times New Roman" w:cs="Times New Roman"/>
          <w:sz w:val="24"/>
          <w:szCs w:val="24"/>
        </w:rPr>
        <w:t>Status and Persistence Status (Fields 38-39) to accurately report these participants who</w:t>
      </w:r>
      <w:r w:rsidR="00C66FC8" w:rsidRPr="00C301AA">
        <w:rPr>
          <w:rFonts w:ascii="Times New Roman" w:hAnsi="Times New Roman" w:cs="Times New Roman"/>
          <w:sz w:val="24"/>
          <w:szCs w:val="24"/>
        </w:rPr>
        <w:t xml:space="preserve"> </w:t>
      </w:r>
      <w:r w:rsidRPr="00C301AA">
        <w:rPr>
          <w:rFonts w:ascii="Times New Roman" w:hAnsi="Times New Roman" w:cs="Times New Roman"/>
          <w:sz w:val="24"/>
          <w:szCs w:val="24"/>
        </w:rPr>
        <w:t>enroll in these dual-degree programs.</w:t>
      </w:r>
    </w:p>
    <w:p w:rsidR="007E5C1B" w:rsidRDefault="007E5C1B" w:rsidP="007E5C1B">
      <w:pPr>
        <w:spacing w:after="0" w:line="240" w:lineRule="auto"/>
        <w:rPr>
          <w:rFonts w:ascii="Times New Roman" w:eastAsia="Times New Roman" w:hAnsi="Times New Roman" w:cs="Times New Roman"/>
          <w:b/>
          <w:sz w:val="24"/>
          <w:szCs w:val="24"/>
        </w:rPr>
      </w:pPr>
    </w:p>
    <w:p w:rsidR="00D46492" w:rsidRPr="00C301AA" w:rsidRDefault="000A719B" w:rsidP="007E5C1B">
      <w:pPr>
        <w:spacing w:after="0" w:line="240" w:lineRule="auto"/>
        <w:rPr>
          <w:rFonts w:ascii="Times New Roman" w:hAnsi="Times New Roman" w:cs="Times New Roman"/>
          <w:sz w:val="24"/>
          <w:szCs w:val="24"/>
        </w:rPr>
      </w:pPr>
      <w:r w:rsidRPr="00C301AA">
        <w:rPr>
          <w:rFonts w:ascii="Times New Roman" w:eastAsia="Times New Roman" w:hAnsi="Times New Roman" w:cs="Times New Roman"/>
          <w:b/>
          <w:sz w:val="24"/>
          <w:szCs w:val="24"/>
        </w:rPr>
        <w:t xml:space="preserve">Discussion: </w:t>
      </w:r>
      <w:r w:rsidR="002400A2" w:rsidRPr="00C301AA">
        <w:rPr>
          <w:rFonts w:ascii="Times New Roman" w:eastAsia="Times New Roman" w:hAnsi="Times New Roman" w:cs="Times New Roman"/>
          <w:b/>
          <w:sz w:val="24"/>
          <w:szCs w:val="24"/>
        </w:rPr>
        <w:t xml:space="preserve"> </w:t>
      </w:r>
      <w:r w:rsidR="00344E75" w:rsidRPr="00C301AA">
        <w:rPr>
          <w:rFonts w:ascii="Times New Roman" w:hAnsi="Times New Roman" w:cs="Times New Roman"/>
          <w:sz w:val="24"/>
          <w:szCs w:val="24"/>
        </w:rPr>
        <w:t xml:space="preserve">During the FY2012 McNair competition grantees set their objectives based on very specific criteria.  This information was provided by grantees in the </w:t>
      </w:r>
      <w:r w:rsidR="005437CA" w:rsidRPr="00C301AA">
        <w:rPr>
          <w:rFonts w:ascii="Times New Roman" w:hAnsi="Times New Roman" w:cs="Times New Roman"/>
          <w:sz w:val="24"/>
          <w:szCs w:val="24"/>
        </w:rPr>
        <w:t xml:space="preserve">Program </w:t>
      </w:r>
      <w:r w:rsidR="00344E75" w:rsidRPr="00C301AA">
        <w:rPr>
          <w:rFonts w:ascii="Times New Roman" w:hAnsi="Times New Roman" w:cs="Times New Roman"/>
          <w:sz w:val="24"/>
          <w:szCs w:val="24"/>
        </w:rPr>
        <w:t xml:space="preserve">Profile Sheet </w:t>
      </w:r>
      <w:r w:rsidR="005437CA" w:rsidRPr="00C301AA">
        <w:rPr>
          <w:rFonts w:ascii="Times New Roman" w:hAnsi="Times New Roman" w:cs="Times New Roman"/>
          <w:sz w:val="24"/>
          <w:szCs w:val="24"/>
        </w:rPr>
        <w:t>of their application.  Section</w:t>
      </w:r>
      <w:r w:rsidR="0060414F" w:rsidRPr="0052729D">
        <w:rPr>
          <w:rFonts w:ascii="Times New Roman" w:hAnsi="Times New Roman"/>
          <w:sz w:val="24"/>
        </w:rPr>
        <w:t xml:space="preserve"> </w:t>
      </w:r>
      <w:r w:rsidR="0060414F" w:rsidRPr="0052729D">
        <w:t>§</w:t>
      </w:r>
      <w:r w:rsidR="007B045C" w:rsidRPr="00C301AA">
        <w:rPr>
          <w:rFonts w:ascii="Times New Roman" w:hAnsi="Times New Roman" w:cs="Times New Roman"/>
          <w:sz w:val="24"/>
          <w:szCs w:val="24"/>
        </w:rPr>
        <w:t xml:space="preserve">647.22 </w:t>
      </w:r>
      <w:r w:rsidR="005437CA" w:rsidRPr="00C301AA">
        <w:rPr>
          <w:rFonts w:ascii="Times New Roman" w:hAnsi="Times New Roman" w:cs="Times New Roman"/>
          <w:sz w:val="24"/>
          <w:szCs w:val="24"/>
        </w:rPr>
        <w:t xml:space="preserve">of the program regulations </w:t>
      </w:r>
      <w:r w:rsidR="007B045C" w:rsidRPr="00C301AA">
        <w:rPr>
          <w:rFonts w:ascii="Times New Roman" w:hAnsi="Times New Roman" w:cs="Times New Roman"/>
          <w:sz w:val="24"/>
          <w:szCs w:val="24"/>
        </w:rPr>
        <w:t>as well as the Program Profile Sheet</w:t>
      </w:r>
      <w:r w:rsidR="005437CA" w:rsidRPr="00C301AA">
        <w:rPr>
          <w:rFonts w:ascii="Times New Roman" w:hAnsi="Times New Roman" w:cs="Times New Roman"/>
          <w:sz w:val="24"/>
          <w:szCs w:val="24"/>
        </w:rPr>
        <w:t>,</w:t>
      </w:r>
      <w:r w:rsidR="007B045C" w:rsidRPr="00C301AA">
        <w:rPr>
          <w:rFonts w:ascii="Times New Roman" w:hAnsi="Times New Roman" w:cs="Times New Roman"/>
          <w:sz w:val="24"/>
          <w:szCs w:val="24"/>
        </w:rPr>
        <w:t xml:space="preserve"> </w:t>
      </w:r>
      <w:r w:rsidR="000956BA" w:rsidRPr="00C301AA">
        <w:rPr>
          <w:rFonts w:ascii="Times New Roman" w:hAnsi="Times New Roman" w:cs="Times New Roman"/>
          <w:sz w:val="24"/>
          <w:szCs w:val="24"/>
        </w:rPr>
        <w:t xml:space="preserve">explicitly </w:t>
      </w:r>
      <w:r w:rsidR="003E36C7" w:rsidRPr="00C301AA">
        <w:rPr>
          <w:rFonts w:ascii="Times New Roman" w:hAnsi="Times New Roman" w:cs="Times New Roman"/>
          <w:sz w:val="24"/>
          <w:szCs w:val="24"/>
        </w:rPr>
        <w:t xml:space="preserve">establishes </w:t>
      </w:r>
      <w:r w:rsidR="005E1633" w:rsidRPr="00C301AA">
        <w:rPr>
          <w:rFonts w:ascii="Times New Roman" w:hAnsi="Times New Roman" w:cs="Times New Roman"/>
          <w:sz w:val="24"/>
          <w:szCs w:val="24"/>
        </w:rPr>
        <w:t>the timeframe</w:t>
      </w:r>
      <w:r w:rsidR="005437CA" w:rsidRPr="00C301AA">
        <w:rPr>
          <w:rFonts w:ascii="Times New Roman" w:hAnsi="Times New Roman" w:cs="Times New Roman"/>
          <w:sz w:val="24"/>
          <w:szCs w:val="24"/>
        </w:rPr>
        <w:t xml:space="preserve"> for assessing graduate school enrollment.</w:t>
      </w:r>
      <w:r w:rsidR="009515E5" w:rsidRPr="00C301AA">
        <w:rPr>
          <w:rFonts w:ascii="Times New Roman" w:hAnsi="Times New Roman" w:cs="Times New Roman"/>
          <w:sz w:val="24"/>
          <w:szCs w:val="24"/>
        </w:rPr>
        <w:t xml:space="preserve">  The timeframe is based two conditions:  baccalaureate degree attainment and graduate school enrollment by the fall of the next academic </w:t>
      </w:r>
      <w:r w:rsidR="00704230">
        <w:rPr>
          <w:rFonts w:ascii="Times New Roman" w:hAnsi="Times New Roman" w:cs="Times New Roman"/>
          <w:sz w:val="24"/>
          <w:szCs w:val="24"/>
        </w:rPr>
        <w:t xml:space="preserve">year </w:t>
      </w:r>
      <w:r w:rsidR="009515E5" w:rsidRPr="00C301AA">
        <w:rPr>
          <w:rFonts w:ascii="Times New Roman" w:hAnsi="Times New Roman" w:cs="Times New Roman"/>
          <w:sz w:val="24"/>
          <w:szCs w:val="24"/>
        </w:rPr>
        <w:t xml:space="preserve">after receipt of the baccalaureate degree.  </w:t>
      </w:r>
    </w:p>
    <w:p w:rsidR="007E5C1B" w:rsidRDefault="007E5C1B" w:rsidP="007E5C1B">
      <w:pPr>
        <w:spacing w:after="0" w:line="240" w:lineRule="auto"/>
        <w:rPr>
          <w:rFonts w:ascii="Times New Roman" w:hAnsi="Times New Roman" w:cs="Times New Roman"/>
          <w:sz w:val="24"/>
          <w:szCs w:val="24"/>
        </w:rPr>
      </w:pPr>
    </w:p>
    <w:p w:rsidR="000F7947" w:rsidRPr="00C301AA" w:rsidRDefault="009515E5" w:rsidP="007E5C1B">
      <w:pPr>
        <w:spacing w:after="0" w:line="240" w:lineRule="auto"/>
        <w:rPr>
          <w:rFonts w:ascii="Times New Roman" w:hAnsi="Times New Roman" w:cs="Times New Roman"/>
          <w:sz w:val="24"/>
          <w:szCs w:val="24"/>
        </w:rPr>
      </w:pPr>
      <w:r w:rsidRPr="00C301AA">
        <w:rPr>
          <w:rFonts w:ascii="Times New Roman" w:hAnsi="Times New Roman" w:cs="Times New Roman"/>
          <w:sz w:val="24"/>
          <w:szCs w:val="24"/>
        </w:rPr>
        <w:lastRenderedPageBreak/>
        <w:t xml:space="preserve">Furthermore, </w:t>
      </w:r>
      <w:r w:rsidR="000F7947" w:rsidRPr="00C301AA">
        <w:rPr>
          <w:rFonts w:ascii="Times New Roman" w:hAnsi="Times New Roman" w:cs="Times New Roman"/>
          <w:sz w:val="24"/>
          <w:szCs w:val="24"/>
        </w:rPr>
        <w:t>per instructions under “Definitions That Apply</w:t>
      </w:r>
      <w:r w:rsidR="0060414F">
        <w:rPr>
          <w:rFonts w:ascii="Times New Roman" w:hAnsi="Times New Roman" w:cs="Times New Roman"/>
          <w:sz w:val="24"/>
          <w:szCs w:val="24"/>
        </w:rPr>
        <w:t>,</w:t>
      </w:r>
      <w:r w:rsidR="000F7947" w:rsidRPr="00C301AA">
        <w:rPr>
          <w:rFonts w:ascii="Times New Roman" w:hAnsi="Times New Roman" w:cs="Times New Roman"/>
          <w:sz w:val="24"/>
          <w:szCs w:val="24"/>
        </w:rPr>
        <w:t xml:space="preserve">” grantees are allowed to report on participants who </w:t>
      </w:r>
      <w:r w:rsidRPr="00C301AA">
        <w:rPr>
          <w:rFonts w:ascii="Times New Roman" w:hAnsi="Times New Roman" w:cs="Times New Roman"/>
          <w:sz w:val="24"/>
          <w:szCs w:val="24"/>
        </w:rPr>
        <w:t xml:space="preserve">are dually enrolled in </w:t>
      </w:r>
      <w:r w:rsidR="000F7947" w:rsidRPr="00C301AA">
        <w:rPr>
          <w:rFonts w:ascii="Times New Roman" w:hAnsi="Times New Roman" w:cs="Times New Roman"/>
          <w:sz w:val="24"/>
          <w:szCs w:val="24"/>
        </w:rPr>
        <w:t xml:space="preserve">both </w:t>
      </w:r>
      <w:r w:rsidRPr="00C301AA">
        <w:rPr>
          <w:rFonts w:ascii="Times New Roman" w:hAnsi="Times New Roman" w:cs="Times New Roman"/>
          <w:sz w:val="24"/>
          <w:szCs w:val="24"/>
        </w:rPr>
        <w:t>undergraduate and graduate studies</w:t>
      </w:r>
      <w:r w:rsidR="000F7947" w:rsidRPr="00C301AA">
        <w:rPr>
          <w:rFonts w:ascii="Times New Roman" w:hAnsi="Times New Roman" w:cs="Times New Roman"/>
          <w:sz w:val="24"/>
          <w:szCs w:val="24"/>
        </w:rPr>
        <w:t xml:space="preserve"> if the participant has complete</w:t>
      </w:r>
      <w:r w:rsidR="002C5886" w:rsidRPr="00C301AA">
        <w:rPr>
          <w:rFonts w:ascii="Times New Roman" w:hAnsi="Times New Roman" w:cs="Times New Roman"/>
          <w:sz w:val="24"/>
          <w:szCs w:val="24"/>
        </w:rPr>
        <w:t>d all of the baccalaureate degree requirements</w:t>
      </w:r>
      <w:r w:rsidRPr="00C301AA">
        <w:rPr>
          <w:rFonts w:ascii="Times New Roman" w:hAnsi="Times New Roman" w:cs="Times New Roman"/>
          <w:sz w:val="24"/>
          <w:szCs w:val="24"/>
        </w:rPr>
        <w:t xml:space="preserve">.  </w:t>
      </w:r>
      <w:r w:rsidR="000F7947" w:rsidRPr="00C301AA">
        <w:rPr>
          <w:rFonts w:ascii="Times New Roman" w:hAnsi="Times New Roman" w:cs="Times New Roman"/>
          <w:sz w:val="24"/>
          <w:szCs w:val="24"/>
        </w:rPr>
        <w:t xml:space="preserve">The instructions state: </w:t>
      </w:r>
    </w:p>
    <w:p w:rsidR="00D14048" w:rsidRDefault="00D14048" w:rsidP="007E5C1B">
      <w:pPr>
        <w:pStyle w:val="StyleHeading3TimesNewRoman16ptAuto"/>
      </w:pPr>
    </w:p>
    <w:p w:rsidR="000F7947" w:rsidRPr="00C301AA" w:rsidRDefault="000F7947" w:rsidP="007E5C1B">
      <w:pPr>
        <w:pStyle w:val="StyleHeading3TimesNewRoman16ptAuto"/>
      </w:pPr>
      <w:r w:rsidRPr="00C301AA">
        <w:t>Bachelor’s Degree:</w:t>
      </w:r>
    </w:p>
    <w:p w:rsidR="000F7947" w:rsidRPr="00C301AA" w:rsidRDefault="000F7947" w:rsidP="007E5C1B">
      <w:pPr>
        <w:pStyle w:val="PlainText"/>
        <w:numPr>
          <w:ilvl w:val="0"/>
          <w:numId w:val="72"/>
        </w:numPr>
        <w:rPr>
          <w:rFonts w:ascii="Times New Roman" w:hAnsi="Times New Roman" w:cs="Times New Roman"/>
          <w:sz w:val="24"/>
          <w:szCs w:val="24"/>
        </w:rPr>
      </w:pPr>
      <w:r w:rsidRPr="00C301AA">
        <w:rPr>
          <w:rFonts w:ascii="Times New Roman" w:hAnsi="Times New Roman" w:cs="Times New Roman"/>
          <w:sz w:val="24"/>
          <w:szCs w:val="24"/>
          <w:u w:val="single"/>
        </w:rPr>
        <w:t>Equivalent of a bachelor’s degree</w:t>
      </w:r>
      <w:r w:rsidRPr="00C301AA">
        <w:rPr>
          <w:rFonts w:ascii="Times New Roman" w:hAnsi="Times New Roman" w:cs="Times New Roman"/>
          <w:sz w:val="24"/>
          <w:szCs w:val="24"/>
        </w:rPr>
        <w:t xml:space="preserve"> means any McNair participant who completed their undergraduate studies but did not earn a baccalaureate degree because their institution does not confer baccalaureate degrees until the student is enrolled in a graduate program or has completed their graduate studies.</w:t>
      </w:r>
    </w:p>
    <w:p w:rsidR="000F7947" w:rsidRPr="00C301AA" w:rsidRDefault="000F7947" w:rsidP="007E5C1B">
      <w:pPr>
        <w:autoSpaceDE w:val="0"/>
        <w:autoSpaceDN w:val="0"/>
        <w:adjustRightInd w:val="0"/>
        <w:spacing w:after="0" w:line="240" w:lineRule="auto"/>
        <w:rPr>
          <w:rFonts w:ascii="Times New Roman" w:hAnsi="Times New Roman" w:cs="Times New Roman"/>
          <w:sz w:val="24"/>
          <w:szCs w:val="24"/>
        </w:rPr>
      </w:pPr>
    </w:p>
    <w:p w:rsidR="000956BA" w:rsidRPr="00C301AA" w:rsidRDefault="002C5886" w:rsidP="007E5C1B">
      <w:pPr>
        <w:autoSpaceDE w:val="0"/>
        <w:autoSpaceDN w:val="0"/>
        <w:adjustRightInd w:val="0"/>
        <w:spacing w:after="0" w:line="240" w:lineRule="auto"/>
        <w:rPr>
          <w:rFonts w:ascii="Times New Roman" w:eastAsia="Times New Roman" w:hAnsi="Times New Roman" w:cs="Times New Roman"/>
          <w:b/>
          <w:sz w:val="24"/>
          <w:szCs w:val="24"/>
        </w:rPr>
      </w:pPr>
      <w:r w:rsidRPr="00C301AA">
        <w:rPr>
          <w:rFonts w:ascii="Times New Roman" w:hAnsi="Times New Roman" w:cs="Times New Roman"/>
          <w:sz w:val="24"/>
          <w:szCs w:val="24"/>
        </w:rPr>
        <w:t>Per statute, t</w:t>
      </w:r>
      <w:r w:rsidR="00D46492" w:rsidRPr="00C301AA">
        <w:rPr>
          <w:rFonts w:ascii="Times New Roman" w:hAnsi="Times New Roman" w:cs="Times New Roman"/>
          <w:sz w:val="24"/>
          <w:szCs w:val="24"/>
        </w:rPr>
        <w:t xml:space="preserve">he </w:t>
      </w:r>
      <w:r w:rsidR="000956BA" w:rsidRPr="00C301AA">
        <w:rPr>
          <w:rFonts w:ascii="Times New Roman" w:hAnsi="Times New Roman" w:cs="Times New Roman"/>
          <w:sz w:val="24"/>
          <w:szCs w:val="24"/>
        </w:rPr>
        <w:t>graduate school enrollment, graduate p</w:t>
      </w:r>
      <w:r w:rsidR="00D46492" w:rsidRPr="00C301AA">
        <w:rPr>
          <w:rFonts w:ascii="Times New Roman" w:hAnsi="Times New Roman" w:cs="Times New Roman"/>
          <w:sz w:val="24"/>
          <w:szCs w:val="24"/>
        </w:rPr>
        <w:t xml:space="preserve">ersistence </w:t>
      </w:r>
      <w:r w:rsidR="000956BA" w:rsidRPr="00C301AA">
        <w:rPr>
          <w:rFonts w:ascii="Times New Roman" w:hAnsi="Times New Roman" w:cs="Times New Roman"/>
          <w:sz w:val="24"/>
          <w:szCs w:val="24"/>
        </w:rPr>
        <w:t xml:space="preserve">and doctorate are contingent upon </w:t>
      </w:r>
      <w:r w:rsidR="0060414F">
        <w:rPr>
          <w:rFonts w:ascii="Times New Roman" w:hAnsi="Times New Roman" w:cs="Times New Roman"/>
          <w:sz w:val="24"/>
          <w:szCs w:val="24"/>
        </w:rPr>
        <w:t xml:space="preserve">the participant </w:t>
      </w:r>
      <w:r w:rsidR="000956BA" w:rsidRPr="00C301AA">
        <w:rPr>
          <w:rFonts w:ascii="Times New Roman" w:hAnsi="Times New Roman" w:cs="Times New Roman"/>
          <w:sz w:val="24"/>
          <w:szCs w:val="24"/>
        </w:rPr>
        <w:t xml:space="preserve">earning the bachelor’s degree or an equivalent </w:t>
      </w:r>
      <w:r w:rsidR="000F7947" w:rsidRPr="00C301AA">
        <w:rPr>
          <w:rFonts w:ascii="Times New Roman" w:hAnsi="Times New Roman" w:cs="Times New Roman"/>
          <w:sz w:val="24"/>
          <w:szCs w:val="24"/>
        </w:rPr>
        <w:t>of the bachelor’s degree</w:t>
      </w:r>
      <w:r w:rsidRPr="00C301AA">
        <w:rPr>
          <w:rFonts w:ascii="Times New Roman" w:hAnsi="Times New Roman" w:cs="Times New Roman"/>
          <w:sz w:val="24"/>
          <w:szCs w:val="24"/>
        </w:rPr>
        <w:t>; therefore, the Department does not have the discretion to change the statute absent program regulations.</w:t>
      </w:r>
    </w:p>
    <w:p w:rsidR="007E5C1B" w:rsidRDefault="007E5C1B" w:rsidP="007E5C1B">
      <w:pPr>
        <w:spacing w:after="0" w:line="240" w:lineRule="auto"/>
        <w:rPr>
          <w:rFonts w:ascii="Times New Roman" w:eastAsia="Times New Roman" w:hAnsi="Times New Roman" w:cs="Times New Roman"/>
          <w:b/>
          <w:sz w:val="24"/>
          <w:szCs w:val="24"/>
        </w:rPr>
      </w:pPr>
    </w:p>
    <w:p w:rsidR="000A719B" w:rsidRPr="00C301AA" w:rsidRDefault="000A719B"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0956BA" w:rsidRPr="00C301AA">
        <w:rPr>
          <w:rFonts w:ascii="Times New Roman" w:eastAsia="Times New Roman" w:hAnsi="Times New Roman" w:cs="Times New Roman"/>
          <w:b/>
          <w:sz w:val="24"/>
          <w:szCs w:val="24"/>
        </w:rPr>
        <w:t xml:space="preserve">  </w:t>
      </w:r>
      <w:r w:rsidR="000956BA" w:rsidRPr="00C301AA">
        <w:rPr>
          <w:rFonts w:ascii="Times New Roman" w:eastAsia="Times New Roman" w:hAnsi="Times New Roman" w:cs="Times New Roman"/>
          <w:sz w:val="24"/>
          <w:szCs w:val="24"/>
        </w:rPr>
        <w:t>None</w:t>
      </w:r>
    </w:p>
    <w:p w:rsidR="00792DF8" w:rsidRPr="00C301AA" w:rsidRDefault="00792DF8" w:rsidP="007E5C1B">
      <w:pPr>
        <w:autoSpaceDE w:val="0"/>
        <w:autoSpaceDN w:val="0"/>
        <w:adjustRightInd w:val="0"/>
        <w:spacing w:after="0" w:line="240" w:lineRule="auto"/>
        <w:rPr>
          <w:rFonts w:ascii="Times New Roman" w:hAnsi="Times New Roman" w:cs="Times New Roman"/>
          <w:b/>
          <w:bCs/>
          <w:sz w:val="24"/>
          <w:szCs w:val="24"/>
        </w:rPr>
      </w:pPr>
    </w:p>
    <w:p w:rsidR="00E05FC6" w:rsidRPr="00C301AA" w:rsidRDefault="000767C6" w:rsidP="007E5C1B">
      <w:pPr>
        <w:autoSpaceDE w:val="0"/>
        <w:autoSpaceDN w:val="0"/>
        <w:adjustRightInd w:val="0"/>
        <w:spacing w:after="0" w:line="240" w:lineRule="auto"/>
        <w:rPr>
          <w:rFonts w:ascii="Times New Roman" w:hAnsi="Times New Roman" w:cs="Times New Roman"/>
          <w:b/>
          <w:bCs/>
          <w:sz w:val="24"/>
          <w:szCs w:val="24"/>
        </w:rPr>
      </w:pPr>
      <w:proofErr w:type="gramStart"/>
      <w:r w:rsidRPr="00C301AA">
        <w:rPr>
          <w:rFonts w:ascii="Times New Roman" w:hAnsi="Times New Roman" w:cs="Times New Roman"/>
          <w:b/>
          <w:bCs/>
          <w:sz w:val="24"/>
          <w:szCs w:val="24"/>
        </w:rPr>
        <w:t>SECTION II.C.</w:t>
      </w:r>
      <w:proofErr w:type="gramEnd"/>
      <w:r w:rsidRPr="00C301AA">
        <w:rPr>
          <w:rFonts w:ascii="Times New Roman" w:hAnsi="Times New Roman" w:cs="Times New Roman"/>
          <w:b/>
          <w:bCs/>
          <w:sz w:val="24"/>
          <w:szCs w:val="24"/>
        </w:rPr>
        <w:t xml:space="preserve"> </w:t>
      </w:r>
      <w:r w:rsidR="00C66FC8" w:rsidRPr="00C301AA">
        <w:rPr>
          <w:rFonts w:ascii="Times New Roman" w:hAnsi="Times New Roman" w:cs="Times New Roman"/>
          <w:b/>
          <w:bCs/>
          <w:sz w:val="24"/>
          <w:szCs w:val="24"/>
        </w:rPr>
        <w:t>PARTICIPANTS’ DEMOGRAPHIC INFORMATION</w:t>
      </w:r>
    </w:p>
    <w:p w:rsidR="00E05FC6" w:rsidRPr="00C301AA" w:rsidRDefault="00E05FC6" w:rsidP="007E5C1B">
      <w:pPr>
        <w:autoSpaceDE w:val="0"/>
        <w:autoSpaceDN w:val="0"/>
        <w:adjustRightInd w:val="0"/>
        <w:spacing w:after="0" w:line="240" w:lineRule="auto"/>
        <w:rPr>
          <w:rFonts w:ascii="Times New Roman" w:hAnsi="Times New Roman" w:cs="Times New Roman"/>
          <w:b/>
          <w:bCs/>
          <w:sz w:val="24"/>
          <w:szCs w:val="24"/>
        </w:rPr>
      </w:pPr>
    </w:p>
    <w:p w:rsidR="00593A32" w:rsidRPr="00C301AA" w:rsidRDefault="00593A32" w:rsidP="007E5C1B">
      <w:pPr>
        <w:pStyle w:val="Heading4"/>
        <w:rPr>
          <w:color w:val="auto"/>
          <w:sz w:val="24"/>
          <w:szCs w:val="24"/>
        </w:rPr>
      </w:pPr>
      <w:r w:rsidRPr="00C301AA">
        <w:rPr>
          <w:color w:val="auto"/>
          <w:sz w:val="24"/>
          <w:szCs w:val="24"/>
        </w:rPr>
        <w:t>Field 8 – Gender</w:t>
      </w:r>
    </w:p>
    <w:p w:rsidR="00886C92" w:rsidRPr="00C301AA" w:rsidRDefault="00886C92" w:rsidP="007E5C1B">
      <w:pPr>
        <w:pStyle w:val="CommentText"/>
        <w:spacing w:after="0" w:line="240" w:lineRule="auto"/>
        <w:rPr>
          <w:rFonts w:ascii="Times New Roman" w:eastAsia="Times New Roman" w:hAnsi="Times New Roman"/>
          <w:b/>
          <w:sz w:val="24"/>
          <w:szCs w:val="24"/>
        </w:rPr>
      </w:pPr>
    </w:p>
    <w:p w:rsidR="00886C92" w:rsidRPr="00C301AA" w:rsidRDefault="00426AFF" w:rsidP="007E5C1B">
      <w:pPr>
        <w:pStyle w:val="CommentText"/>
        <w:spacing w:after="0" w:line="240" w:lineRule="auto"/>
        <w:rPr>
          <w:rFonts w:ascii="Times New Roman" w:hAnsi="Times New Roman"/>
          <w:sz w:val="24"/>
          <w:szCs w:val="24"/>
        </w:rPr>
      </w:pPr>
      <w:r w:rsidRPr="00C301AA">
        <w:rPr>
          <w:rFonts w:ascii="Times New Roman" w:eastAsia="Times New Roman" w:hAnsi="Times New Roman"/>
          <w:b/>
          <w:sz w:val="24"/>
          <w:szCs w:val="24"/>
        </w:rPr>
        <w:t xml:space="preserve">Comments:  </w:t>
      </w:r>
      <w:r w:rsidR="00886C92" w:rsidRPr="00C301AA">
        <w:rPr>
          <w:rFonts w:ascii="Times New Roman" w:eastAsia="Times New Roman" w:hAnsi="Times New Roman"/>
          <w:sz w:val="24"/>
          <w:szCs w:val="24"/>
        </w:rPr>
        <w:t>Several</w:t>
      </w:r>
      <w:r w:rsidRPr="00C301AA">
        <w:rPr>
          <w:rFonts w:ascii="Times New Roman" w:eastAsia="Times New Roman" w:hAnsi="Times New Roman"/>
          <w:sz w:val="24"/>
          <w:szCs w:val="24"/>
        </w:rPr>
        <w:t xml:space="preserve"> commenters express</w:t>
      </w:r>
      <w:r w:rsidR="002C5886" w:rsidRPr="00C301AA">
        <w:rPr>
          <w:rFonts w:ascii="Times New Roman" w:eastAsia="Times New Roman" w:hAnsi="Times New Roman"/>
          <w:sz w:val="24"/>
          <w:szCs w:val="24"/>
        </w:rPr>
        <w:t>ed</w:t>
      </w:r>
      <w:r w:rsidRPr="00C301AA">
        <w:rPr>
          <w:rFonts w:ascii="Times New Roman" w:eastAsia="Times New Roman" w:hAnsi="Times New Roman"/>
          <w:sz w:val="24"/>
          <w:szCs w:val="24"/>
        </w:rPr>
        <w:t xml:space="preserve"> concerns regarding the term “gender” that is used i</w:t>
      </w:r>
      <w:r w:rsidR="002C5886" w:rsidRPr="00C301AA">
        <w:rPr>
          <w:rFonts w:ascii="Times New Roman" w:eastAsia="Times New Roman" w:hAnsi="Times New Roman"/>
          <w:sz w:val="24"/>
          <w:szCs w:val="24"/>
        </w:rPr>
        <w:t>n field 8.  One commenter advised</w:t>
      </w:r>
      <w:r w:rsidRPr="00C301AA">
        <w:rPr>
          <w:rFonts w:ascii="Times New Roman" w:eastAsia="Times New Roman" w:hAnsi="Times New Roman"/>
          <w:sz w:val="24"/>
          <w:szCs w:val="24"/>
        </w:rPr>
        <w:t xml:space="preserve"> that the </w:t>
      </w:r>
      <w:r w:rsidR="00344E75" w:rsidRPr="00C301AA">
        <w:rPr>
          <w:rFonts w:ascii="Times New Roman" w:eastAsia="Times New Roman" w:hAnsi="Times New Roman"/>
          <w:sz w:val="24"/>
          <w:szCs w:val="24"/>
        </w:rPr>
        <w:t>“</w:t>
      </w:r>
      <w:r w:rsidRPr="00C301AA">
        <w:rPr>
          <w:rFonts w:ascii="Times New Roman" w:eastAsia="Times New Roman" w:hAnsi="Times New Roman"/>
          <w:sz w:val="24"/>
          <w:szCs w:val="24"/>
        </w:rPr>
        <w:t xml:space="preserve">term </w:t>
      </w:r>
      <w:r w:rsidR="002C5886" w:rsidRPr="00C301AA">
        <w:rPr>
          <w:rFonts w:ascii="Times New Roman" w:eastAsia="Times New Roman" w:hAnsi="Times New Roman"/>
          <w:sz w:val="24"/>
          <w:szCs w:val="24"/>
        </w:rPr>
        <w:t xml:space="preserve">[gender] </w:t>
      </w:r>
      <w:r w:rsidRPr="00C301AA">
        <w:rPr>
          <w:rFonts w:ascii="Times New Roman" w:eastAsia="Times New Roman" w:hAnsi="Times New Roman"/>
          <w:sz w:val="24"/>
          <w:szCs w:val="24"/>
        </w:rPr>
        <w:t>is a social construct that is represented by descriptive words</w:t>
      </w:r>
      <w:r w:rsidR="00344E75" w:rsidRPr="00C301AA">
        <w:rPr>
          <w:rFonts w:ascii="Times New Roman" w:eastAsia="Times New Roman" w:hAnsi="Times New Roman"/>
          <w:sz w:val="24"/>
          <w:szCs w:val="24"/>
        </w:rPr>
        <w:t xml:space="preserve">. </w:t>
      </w:r>
      <w:r w:rsidRPr="00C301AA">
        <w:rPr>
          <w:rFonts w:ascii="Times New Roman" w:eastAsia="Times New Roman" w:hAnsi="Times New Roman"/>
          <w:sz w:val="24"/>
          <w:szCs w:val="24"/>
        </w:rPr>
        <w:t>They add</w:t>
      </w:r>
      <w:r w:rsidR="00344E75" w:rsidRPr="00C301AA">
        <w:rPr>
          <w:rFonts w:ascii="Times New Roman" w:eastAsia="Times New Roman" w:hAnsi="Times New Roman"/>
          <w:sz w:val="24"/>
          <w:szCs w:val="24"/>
        </w:rPr>
        <w:t>ed</w:t>
      </w:r>
      <w:r w:rsidRPr="00C301AA">
        <w:rPr>
          <w:rFonts w:ascii="Times New Roman" w:eastAsia="Times New Roman" w:hAnsi="Times New Roman"/>
          <w:sz w:val="24"/>
          <w:szCs w:val="24"/>
        </w:rPr>
        <w:t xml:space="preserve"> that “sex” is a biological designation represented by different words such as "Male" and "Female" and "Intersex."  They suggest</w:t>
      </w:r>
      <w:r w:rsidR="00C301AA" w:rsidRPr="00C301AA">
        <w:rPr>
          <w:rFonts w:ascii="Times New Roman" w:eastAsia="Times New Roman" w:hAnsi="Times New Roman"/>
          <w:sz w:val="24"/>
          <w:szCs w:val="24"/>
        </w:rPr>
        <w:t>ed</w:t>
      </w:r>
      <w:r w:rsidRPr="00C301AA">
        <w:rPr>
          <w:rFonts w:ascii="Times New Roman" w:eastAsia="Times New Roman" w:hAnsi="Times New Roman"/>
          <w:sz w:val="24"/>
          <w:szCs w:val="24"/>
        </w:rPr>
        <w:t xml:space="preserve"> that if the McNair APR wishes to gather information on the gender of its student participants, the choices should reflect gender</w:t>
      </w:r>
      <w:r w:rsidR="004954EE" w:rsidRPr="00C301AA">
        <w:rPr>
          <w:rFonts w:ascii="Times New Roman" w:eastAsia="Times New Roman" w:hAnsi="Times New Roman"/>
          <w:sz w:val="24"/>
          <w:szCs w:val="24"/>
        </w:rPr>
        <w:t xml:space="preserve">.  </w:t>
      </w:r>
      <w:r w:rsidRPr="00C301AA">
        <w:rPr>
          <w:rFonts w:ascii="Times New Roman" w:hAnsi="Times New Roman"/>
          <w:sz w:val="24"/>
          <w:szCs w:val="24"/>
        </w:rPr>
        <w:t>They recommend</w:t>
      </w:r>
      <w:r w:rsidR="00C301AA" w:rsidRPr="00C301AA">
        <w:rPr>
          <w:rFonts w:ascii="Times New Roman" w:hAnsi="Times New Roman"/>
          <w:sz w:val="24"/>
          <w:szCs w:val="24"/>
        </w:rPr>
        <w:t>ed</w:t>
      </w:r>
      <w:r w:rsidRPr="00C301AA">
        <w:rPr>
          <w:rFonts w:ascii="Times New Roman" w:hAnsi="Times New Roman"/>
          <w:sz w:val="24"/>
          <w:szCs w:val="24"/>
        </w:rPr>
        <w:t xml:space="preserve"> that the Department phrase the question to accurately collect the needed information.  </w:t>
      </w:r>
    </w:p>
    <w:p w:rsidR="008D111D" w:rsidRPr="00C301AA" w:rsidRDefault="008D111D" w:rsidP="007E5C1B">
      <w:pPr>
        <w:pStyle w:val="CommentText"/>
        <w:spacing w:after="0" w:line="240" w:lineRule="auto"/>
        <w:rPr>
          <w:rFonts w:ascii="Times New Roman" w:hAnsi="Times New Roman"/>
          <w:sz w:val="24"/>
          <w:szCs w:val="24"/>
        </w:rPr>
      </w:pPr>
    </w:p>
    <w:p w:rsidR="00784A35" w:rsidRPr="00C301AA" w:rsidRDefault="00426AFF" w:rsidP="007E5C1B">
      <w:pPr>
        <w:pStyle w:val="CommentText"/>
        <w:spacing w:after="0" w:line="240" w:lineRule="auto"/>
        <w:rPr>
          <w:rFonts w:ascii="Times New Roman" w:hAnsi="Times New Roman"/>
          <w:sz w:val="24"/>
          <w:szCs w:val="24"/>
        </w:rPr>
      </w:pPr>
      <w:r w:rsidRPr="00C301AA">
        <w:rPr>
          <w:rFonts w:ascii="Times New Roman" w:eastAsia="Times New Roman" w:hAnsi="Times New Roman"/>
          <w:b/>
          <w:sz w:val="24"/>
          <w:szCs w:val="24"/>
        </w:rPr>
        <w:t xml:space="preserve">Discussion:  </w:t>
      </w:r>
      <w:r w:rsidRPr="00C301AA">
        <w:rPr>
          <w:rFonts w:ascii="Times New Roman" w:eastAsia="Times New Roman" w:hAnsi="Times New Roman"/>
          <w:sz w:val="24"/>
          <w:szCs w:val="24"/>
        </w:rPr>
        <w:t xml:space="preserve">The Department </w:t>
      </w:r>
      <w:r w:rsidR="002F66DE" w:rsidRPr="00C301AA">
        <w:rPr>
          <w:rFonts w:ascii="Times New Roman" w:eastAsia="Times New Roman" w:hAnsi="Times New Roman"/>
          <w:sz w:val="24"/>
          <w:szCs w:val="24"/>
        </w:rPr>
        <w:t>acknowledges</w:t>
      </w:r>
      <w:r w:rsidRPr="00C301AA">
        <w:rPr>
          <w:rFonts w:ascii="Times New Roman" w:eastAsia="Times New Roman" w:hAnsi="Times New Roman"/>
          <w:sz w:val="24"/>
          <w:szCs w:val="24"/>
        </w:rPr>
        <w:t xml:space="preserve"> fully the commenters</w:t>
      </w:r>
      <w:r w:rsidR="00886C92" w:rsidRPr="00C301AA">
        <w:rPr>
          <w:rFonts w:ascii="Times New Roman" w:eastAsia="Times New Roman" w:hAnsi="Times New Roman"/>
          <w:sz w:val="24"/>
          <w:szCs w:val="24"/>
        </w:rPr>
        <w:t>’</w:t>
      </w:r>
      <w:r w:rsidRPr="00C301AA">
        <w:rPr>
          <w:rFonts w:ascii="Times New Roman" w:eastAsia="Times New Roman" w:hAnsi="Times New Roman"/>
          <w:sz w:val="24"/>
          <w:szCs w:val="24"/>
        </w:rPr>
        <w:t xml:space="preserve"> </w:t>
      </w:r>
      <w:r w:rsidR="00886C92" w:rsidRPr="00C301AA">
        <w:rPr>
          <w:rFonts w:ascii="Times New Roman" w:eastAsia="Times New Roman" w:hAnsi="Times New Roman"/>
          <w:sz w:val="24"/>
          <w:szCs w:val="24"/>
        </w:rPr>
        <w:t>concerns and recommendations</w:t>
      </w:r>
      <w:r w:rsidR="0067561A">
        <w:rPr>
          <w:rFonts w:ascii="Times New Roman" w:eastAsia="Times New Roman" w:hAnsi="Times New Roman"/>
          <w:sz w:val="24"/>
          <w:szCs w:val="24"/>
        </w:rPr>
        <w:t>;</w:t>
      </w:r>
      <w:r w:rsidR="0067561A" w:rsidRPr="00C301AA">
        <w:rPr>
          <w:rFonts w:ascii="Times New Roman" w:eastAsia="Times New Roman" w:hAnsi="Times New Roman"/>
          <w:sz w:val="24"/>
          <w:szCs w:val="24"/>
        </w:rPr>
        <w:t xml:space="preserve"> </w:t>
      </w:r>
      <w:r w:rsidR="00344E75" w:rsidRPr="00C301AA">
        <w:rPr>
          <w:rFonts w:ascii="Times New Roman" w:eastAsia="Times New Roman" w:hAnsi="Times New Roman"/>
          <w:sz w:val="24"/>
          <w:szCs w:val="24"/>
        </w:rPr>
        <w:t xml:space="preserve">however, </w:t>
      </w:r>
      <w:r w:rsidR="002C5886" w:rsidRPr="00C301AA">
        <w:rPr>
          <w:rFonts w:ascii="Times New Roman" w:eastAsia="Times New Roman" w:hAnsi="Times New Roman"/>
          <w:sz w:val="24"/>
          <w:szCs w:val="24"/>
        </w:rPr>
        <w:t xml:space="preserve">unlike race and ethnicity, </w:t>
      </w:r>
      <w:r w:rsidR="00344E75" w:rsidRPr="00C301AA">
        <w:rPr>
          <w:rFonts w:ascii="Times New Roman" w:eastAsia="Times New Roman" w:hAnsi="Times New Roman"/>
          <w:sz w:val="24"/>
          <w:szCs w:val="24"/>
        </w:rPr>
        <w:t>currently there is no guidance provided at the Federal level on the appropriate terminology and options regarding a participant’s gender/sex; therefore, until the Department receives guidance</w:t>
      </w:r>
      <w:r w:rsidR="0067561A">
        <w:rPr>
          <w:rFonts w:ascii="Times New Roman" w:eastAsia="Times New Roman" w:hAnsi="Times New Roman"/>
          <w:sz w:val="24"/>
          <w:szCs w:val="24"/>
        </w:rPr>
        <w:t>,</w:t>
      </w:r>
      <w:r w:rsidR="00344E75" w:rsidRPr="00C301AA">
        <w:rPr>
          <w:rFonts w:ascii="Times New Roman" w:eastAsia="Times New Roman" w:hAnsi="Times New Roman"/>
          <w:sz w:val="24"/>
          <w:szCs w:val="24"/>
        </w:rPr>
        <w:t xml:space="preserve"> the use of the word “gender” </w:t>
      </w:r>
      <w:r w:rsidR="002C5886" w:rsidRPr="00C301AA">
        <w:rPr>
          <w:rFonts w:ascii="Times New Roman" w:eastAsia="Times New Roman" w:hAnsi="Times New Roman"/>
          <w:sz w:val="24"/>
          <w:szCs w:val="24"/>
        </w:rPr>
        <w:t xml:space="preserve">and its accompanying options </w:t>
      </w:r>
      <w:r w:rsidR="00344E75" w:rsidRPr="00C301AA">
        <w:rPr>
          <w:rFonts w:ascii="Times New Roman" w:eastAsia="Times New Roman" w:hAnsi="Times New Roman"/>
          <w:sz w:val="24"/>
          <w:szCs w:val="24"/>
        </w:rPr>
        <w:t xml:space="preserve">will remain on all of the APRs.   </w:t>
      </w:r>
    </w:p>
    <w:p w:rsidR="007E5C1B" w:rsidRDefault="007E5C1B" w:rsidP="007E5C1B">
      <w:pPr>
        <w:spacing w:after="0" w:line="240" w:lineRule="auto"/>
        <w:rPr>
          <w:rFonts w:ascii="Times New Roman" w:eastAsia="Times New Roman" w:hAnsi="Times New Roman" w:cs="Times New Roman"/>
          <w:b/>
          <w:sz w:val="24"/>
          <w:szCs w:val="24"/>
        </w:rPr>
      </w:pPr>
    </w:p>
    <w:p w:rsidR="00426AFF" w:rsidRPr="00C301AA" w:rsidRDefault="00426AFF"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 xml:space="preserve">Action Taken:  </w:t>
      </w:r>
      <w:r w:rsidRPr="00C301AA">
        <w:rPr>
          <w:rFonts w:ascii="Times New Roman" w:eastAsia="Times New Roman" w:hAnsi="Times New Roman" w:cs="Times New Roman"/>
          <w:sz w:val="24"/>
          <w:szCs w:val="24"/>
        </w:rPr>
        <w:t>None</w:t>
      </w:r>
    </w:p>
    <w:p w:rsidR="007E5C1B" w:rsidRDefault="007E5C1B" w:rsidP="007E5C1B">
      <w:pPr>
        <w:pStyle w:val="Heading4"/>
        <w:rPr>
          <w:bCs w:val="0"/>
          <w:color w:val="auto"/>
          <w:sz w:val="24"/>
          <w:szCs w:val="24"/>
        </w:rPr>
      </w:pPr>
    </w:p>
    <w:p w:rsidR="00E05FC6" w:rsidRPr="00C301AA" w:rsidRDefault="00593A32" w:rsidP="007E5C1B">
      <w:pPr>
        <w:pStyle w:val="Heading4"/>
        <w:rPr>
          <w:bCs w:val="0"/>
          <w:color w:val="auto"/>
          <w:sz w:val="24"/>
          <w:szCs w:val="24"/>
        </w:rPr>
      </w:pPr>
      <w:r w:rsidRPr="00C301AA">
        <w:rPr>
          <w:bCs w:val="0"/>
          <w:color w:val="auto"/>
          <w:sz w:val="24"/>
          <w:szCs w:val="24"/>
        </w:rPr>
        <w:t>Field 9 - Ethnicity</w:t>
      </w:r>
      <w:r w:rsidR="00E05FC6" w:rsidRPr="00C301AA">
        <w:rPr>
          <w:bCs w:val="0"/>
          <w:color w:val="auto"/>
          <w:sz w:val="24"/>
          <w:szCs w:val="24"/>
        </w:rPr>
        <w:t xml:space="preserve"> </w:t>
      </w:r>
    </w:p>
    <w:p w:rsidR="00CC3D05" w:rsidRPr="00C301AA" w:rsidRDefault="00CC3D05" w:rsidP="007E5C1B">
      <w:pPr>
        <w:autoSpaceDE w:val="0"/>
        <w:autoSpaceDN w:val="0"/>
        <w:adjustRightInd w:val="0"/>
        <w:spacing w:after="0" w:line="240" w:lineRule="auto"/>
        <w:rPr>
          <w:rFonts w:ascii="Times New Roman" w:hAnsi="Times New Roman" w:cs="Times New Roman"/>
          <w:sz w:val="24"/>
          <w:szCs w:val="24"/>
        </w:rPr>
      </w:pPr>
    </w:p>
    <w:p w:rsidR="00CC3D05" w:rsidRPr="00C301AA" w:rsidRDefault="00CC3D05" w:rsidP="007E5C1B">
      <w:pPr>
        <w:pStyle w:val="CommentText"/>
        <w:spacing w:after="0" w:line="240" w:lineRule="auto"/>
        <w:rPr>
          <w:rFonts w:ascii="Times New Roman" w:hAnsi="Times New Roman"/>
          <w:sz w:val="24"/>
          <w:szCs w:val="24"/>
        </w:rPr>
      </w:pPr>
      <w:r w:rsidRPr="00C301AA">
        <w:rPr>
          <w:rFonts w:ascii="Times New Roman" w:hAnsi="Times New Roman"/>
          <w:b/>
          <w:sz w:val="24"/>
          <w:szCs w:val="24"/>
        </w:rPr>
        <w:t>Comments:</w:t>
      </w:r>
      <w:r w:rsidRPr="00C301AA">
        <w:rPr>
          <w:rFonts w:ascii="Times New Roman" w:hAnsi="Times New Roman"/>
          <w:sz w:val="24"/>
          <w:szCs w:val="24"/>
        </w:rPr>
        <w:t xml:space="preserve">  </w:t>
      </w:r>
      <w:r w:rsidR="002C5886" w:rsidRPr="00C301AA">
        <w:rPr>
          <w:rFonts w:ascii="Times New Roman" w:hAnsi="Times New Roman"/>
          <w:sz w:val="24"/>
          <w:szCs w:val="24"/>
        </w:rPr>
        <w:t>One commenter asserted</w:t>
      </w:r>
      <w:r w:rsidR="00593A32" w:rsidRPr="00C301AA">
        <w:rPr>
          <w:rFonts w:ascii="Times New Roman" w:hAnsi="Times New Roman"/>
          <w:sz w:val="24"/>
          <w:szCs w:val="24"/>
        </w:rPr>
        <w:t xml:space="preserve"> that r</w:t>
      </w:r>
      <w:r w:rsidRPr="00C301AA">
        <w:rPr>
          <w:rFonts w:ascii="Times New Roman" w:hAnsi="Times New Roman"/>
          <w:sz w:val="24"/>
          <w:szCs w:val="24"/>
        </w:rPr>
        <w:t>egarding questions of ethnicity, there is inconsistent terminology</w:t>
      </w:r>
      <w:r w:rsidR="00FD3C6E" w:rsidRPr="00C301AA">
        <w:rPr>
          <w:rFonts w:ascii="Times New Roman" w:hAnsi="Times New Roman"/>
          <w:sz w:val="24"/>
          <w:szCs w:val="24"/>
        </w:rPr>
        <w:t xml:space="preserve"> in the APR</w:t>
      </w:r>
      <w:r w:rsidRPr="00C301AA">
        <w:rPr>
          <w:rFonts w:ascii="Times New Roman" w:hAnsi="Times New Roman"/>
          <w:sz w:val="24"/>
          <w:szCs w:val="24"/>
        </w:rPr>
        <w:t xml:space="preserve">: </w:t>
      </w:r>
    </w:p>
    <w:p w:rsidR="00CC3D05" w:rsidRPr="00C301AA" w:rsidRDefault="00CC3D05" w:rsidP="007E5C1B">
      <w:pPr>
        <w:pStyle w:val="CommentText"/>
        <w:numPr>
          <w:ilvl w:val="0"/>
          <w:numId w:val="70"/>
        </w:numPr>
        <w:spacing w:after="0" w:line="240" w:lineRule="auto"/>
        <w:rPr>
          <w:rFonts w:ascii="Times New Roman" w:hAnsi="Times New Roman"/>
          <w:sz w:val="24"/>
          <w:szCs w:val="24"/>
        </w:rPr>
      </w:pPr>
      <w:r w:rsidRPr="00C301AA">
        <w:rPr>
          <w:rFonts w:ascii="Times New Roman" w:hAnsi="Times New Roman"/>
          <w:sz w:val="24"/>
          <w:szCs w:val="24"/>
        </w:rPr>
        <w:t>person of… culture or origin</w:t>
      </w:r>
    </w:p>
    <w:p w:rsidR="00CC3D05" w:rsidRPr="00C301AA" w:rsidRDefault="00CC3D05" w:rsidP="007E5C1B">
      <w:pPr>
        <w:pStyle w:val="CommentText"/>
        <w:numPr>
          <w:ilvl w:val="0"/>
          <w:numId w:val="70"/>
        </w:numPr>
        <w:spacing w:after="0" w:line="240" w:lineRule="auto"/>
        <w:rPr>
          <w:rFonts w:ascii="Times New Roman" w:hAnsi="Times New Roman"/>
          <w:sz w:val="24"/>
          <w:szCs w:val="24"/>
        </w:rPr>
      </w:pPr>
      <w:r w:rsidRPr="00C301AA">
        <w:rPr>
          <w:rFonts w:ascii="Times New Roman" w:hAnsi="Times New Roman"/>
          <w:sz w:val="24"/>
          <w:szCs w:val="24"/>
        </w:rPr>
        <w:t>a person having origins in any of the original peoples</w:t>
      </w:r>
    </w:p>
    <w:p w:rsidR="00CC3D05" w:rsidRPr="00C301AA" w:rsidRDefault="00CC3D05" w:rsidP="007E5C1B">
      <w:pPr>
        <w:pStyle w:val="CommentText"/>
        <w:numPr>
          <w:ilvl w:val="0"/>
          <w:numId w:val="70"/>
        </w:numPr>
        <w:spacing w:after="0" w:line="240" w:lineRule="auto"/>
        <w:rPr>
          <w:rFonts w:ascii="Times New Roman" w:hAnsi="Times New Roman"/>
          <w:sz w:val="24"/>
          <w:szCs w:val="24"/>
        </w:rPr>
      </w:pPr>
      <w:r w:rsidRPr="00C301AA">
        <w:rPr>
          <w:rFonts w:ascii="Times New Roman" w:hAnsi="Times New Roman"/>
          <w:sz w:val="24"/>
          <w:szCs w:val="24"/>
        </w:rPr>
        <w:t>person having origins</w:t>
      </w:r>
    </w:p>
    <w:p w:rsidR="00CC3D05" w:rsidRPr="00C301AA" w:rsidRDefault="00CC3D05" w:rsidP="007E5C1B">
      <w:pPr>
        <w:pStyle w:val="CommentText"/>
        <w:numPr>
          <w:ilvl w:val="0"/>
          <w:numId w:val="70"/>
        </w:numPr>
        <w:spacing w:after="0" w:line="240" w:lineRule="auto"/>
        <w:rPr>
          <w:rFonts w:ascii="Times New Roman" w:hAnsi="Times New Roman"/>
          <w:sz w:val="24"/>
          <w:szCs w:val="24"/>
        </w:rPr>
      </w:pPr>
      <w:r w:rsidRPr="00C301AA">
        <w:rPr>
          <w:rFonts w:ascii="Times New Roman" w:hAnsi="Times New Roman"/>
          <w:sz w:val="24"/>
          <w:szCs w:val="24"/>
        </w:rPr>
        <w:t>origins in any of the original people</w:t>
      </w:r>
    </w:p>
    <w:p w:rsidR="00593A32" w:rsidRPr="00C301AA" w:rsidRDefault="00CC3D05" w:rsidP="007E5C1B">
      <w:pPr>
        <w:pStyle w:val="CommentText"/>
        <w:numPr>
          <w:ilvl w:val="0"/>
          <w:numId w:val="70"/>
        </w:numPr>
        <w:spacing w:after="0" w:line="240" w:lineRule="auto"/>
        <w:rPr>
          <w:rFonts w:ascii="Times New Roman" w:hAnsi="Times New Roman"/>
          <w:sz w:val="24"/>
          <w:szCs w:val="24"/>
        </w:rPr>
      </w:pPr>
      <w:proofErr w:type="gramStart"/>
      <w:r w:rsidRPr="00C301AA">
        <w:rPr>
          <w:rFonts w:ascii="Times New Roman" w:hAnsi="Times New Roman"/>
          <w:sz w:val="24"/>
          <w:szCs w:val="24"/>
        </w:rPr>
        <w:t>a</w:t>
      </w:r>
      <w:proofErr w:type="gramEnd"/>
      <w:r w:rsidRPr="00C301AA">
        <w:rPr>
          <w:rFonts w:ascii="Times New Roman" w:hAnsi="Times New Roman"/>
          <w:sz w:val="24"/>
          <w:szCs w:val="24"/>
        </w:rPr>
        <w:t xml:space="preserve"> person having origins in any of the original peoples</w:t>
      </w:r>
      <w:r w:rsidR="00593A32" w:rsidRPr="00C301AA">
        <w:rPr>
          <w:rFonts w:ascii="Times New Roman" w:hAnsi="Times New Roman"/>
          <w:sz w:val="24"/>
          <w:szCs w:val="24"/>
        </w:rPr>
        <w:t>.</w:t>
      </w:r>
    </w:p>
    <w:p w:rsidR="00593A32" w:rsidRPr="00C301AA" w:rsidRDefault="00593A32" w:rsidP="007E5C1B">
      <w:pPr>
        <w:pStyle w:val="CommentText"/>
        <w:spacing w:after="0" w:line="240" w:lineRule="auto"/>
        <w:ind w:left="720"/>
        <w:rPr>
          <w:rFonts w:ascii="Times New Roman" w:hAnsi="Times New Roman"/>
          <w:sz w:val="24"/>
          <w:szCs w:val="24"/>
        </w:rPr>
      </w:pPr>
    </w:p>
    <w:p w:rsidR="00417C3E" w:rsidRPr="00C301AA" w:rsidRDefault="00593A32" w:rsidP="007E5C1B">
      <w:pPr>
        <w:pStyle w:val="CommentText"/>
        <w:spacing w:after="0" w:line="240" w:lineRule="auto"/>
        <w:rPr>
          <w:rFonts w:ascii="Times New Roman" w:hAnsi="Times New Roman"/>
          <w:sz w:val="24"/>
          <w:szCs w:val="24"/>
        </w:rPr>
      </w:pPr>
      <w:r w:rsidRPr="00C301AA">
        <w:rPr>
          <w:rFonts w:ascii="Times New Roman" w:hAnsi="Times New Roman"/>
          <w:sz w:val="24"/>
          <w:szCs w:val="24"/>
        </w:rPr>
        <w:t>They recommend</w:t>
      </w:r>
      <w:r w:rsidR="00C301AA" w:rsidRPr="00C301AA">
        <w:rPr>
          <w:rFonts w:ascii="Times New Roman" w:hAnsi="Times New Roman"/>
          <w:sz w:val="24"/>
          <w:szCs w:val="24"/>
        </w:rPr>
        <w:t>ed</w:t>
      </w:r>
      <w:r w:rsidRPr="00C301AA">
        <w:rPr>
          <w:rFonts w:ascii="Times New Roman" w:hAnsi="Times New Roman"/>
          <w:sz w:val="24"/>
          <w:szCs w:val="24"/>
        </w:rPr>
        <w:t xml:space="preserve"> </w:t>
      </w:r>
      <w:r w:rsidR="00CC3D05" w:rsidRPr="00C301AA">
        <w:rPr>
          <w:rFonts w:ascii="Times New Roman" w:hAnsi="Times New Roman"/>
          <w:sz w:val="24"/>
          <w:szCs w:val="24"/>
        </w:rPr>
        <w:t xml:space="preserve">use </w:t>
      </w:r>
      <w:r w:rsidRPr="00C301AA">
        <w:rPr>
          <w:rFonts w:ascii="Times New Roman" w:hAnsi="Times New Roman"/>
          <w:sz w:val="24"/>
          <w:szCs w:val="24"/>
        </w:rPr>
        <w:t xml:space="preserve">of </w:t>
      </w:r>
      <w:r w:rsidR="00CC3D05" w:rsidRPr="00C301AA">
        <w:rPr>
          <w:rFonts w:ascii="Times New Roman" w:hAnsi="Times New Roman"/>
          <w:sz w:val="24"/>
          <w:szCs w:val="24"/>
        </w:rPr>
        <w:t>standard phraseology for these.</w:t>
      </w:r>
      <w:r w:rsidRPr="00C301AA">
        <w:rPr>
          <w:rFonts w:ascii="Times New Roman" w:hAnsi="Times New Roman"/>
          <w:sz w:val="24"/>
          <w:szCs w:val="24"/>
        </w:rPr>
        <w:t xml:space="preserve"> </w:t>
      </w:r>
    </w:p>
    <w:p w:rsidR="00417C3E" w:rsidRPr="00C301AA" w:rsidRDefault="00417C3E" w:rsidP="007E5C1B">
      <w:pPr>
        <w:pStyle w:val="CommentText"/>
        <w:spacing w:after="0" w:line="240" w:lineRule="auto"/>
        <w:rPr>
          <w:rFonts w:ascii="Times New Roman" w:hAnsi="Times New Roman"/>
          <w:sz w:val="24"/>
          <w:szCs w:val="24"/>
        </w:rPr>
      </w:pPr>
    </w:p>
    <w:p w:rsidR="00CC3D05" w:rsidRPr="00C301AA" w:rsidRDefault="002C5886" w:rsidP="007E5C1B">
      <w:pPr>
        <w:pStyle w:val="CommentText"/>
        <w:spacing w:after="0" w:line="240" w:lineRule="auto"/>
        <w:rPr>
          <w:rFonts w:ascii="Times New Roman" w:hAnsi="Times New Roman"/>
          <w:sz w:val="24"/>
          <w:szCs w:val="24"/>
        </w:rPr>
      </w:pPr>
      <w:r w:rsidRPr="00C301AA">
        <w:rPr>
          <w:rFonts w:ascii="Times New Roman" w:hAnsi="Times New Roman"/>
          <w:sz w:val="24"/>
          <w:szCs w:val="24"/>
        </w:rPr>
        <w:t xml:space="preserve">In addition, they asserted that there should be an option entitled “all that apply” for those participants who identify as belonging to more than one race. </w:t>
      </w:r>
    </w:p>
    <w:p w:rsidR="00B34754" w:rsidRDefault="00B34754" w:rsidP="007E5C1B">
      <w:pPr>
        <w:pStyle w:val="CommentText"/>
        <w:spacing w:after="0" w:line="240" w:lineRule="auto"/>
        <w:rPr>
          <w:rFonts w:ascii="Times New Roman" w:eastAsia="Times New Roman" w:hAnsi="Times New Roman"/>
          <w:b/>
          <w:sz w:val="24"/>
          <w:szCs w:val="24"/>
        </w:rPr>
      </w:pPr>
    </w:p>
    <w:p w:rsidR="00417C3E" w:rsidRPr="00C301AA" w:rsidRDefault="00BD525B" w:rsidP="007E5C1B">
      <w:pPr>
        <w:pStyle w:val="CommentText"/>
        <w:spacing w:after="0" w:line="240" w:lineRule="auto"/>
        <w:rPr>
          <w:rFonts w:ascii="Times New Roman" w:hAnsi="Times New Roman"/>
          <w:sz w:val="24"/>
          <w:szCs w:val="24"/>
          <w:shd w:val="clear" w:color="auto" w:fill="FFFFFF"/>
        </w:rPr>
      </w:pPr>
      <w:r w:rsidRPr="00C301AA">
        <w:rPr>
          <w:rFonts w:ascii="Times New Roman" w:eastAsia="Times New Roman" w:hAnsi="Times New Roman"/>
          <w:b/>
          <w:sz w:val="24"/>
          <w:szCs w:val="24"/>
        </w:rPr>
        <w:t xml:space="preserve">Discussion: </w:t>
      </w:r>
      <w:r w:rsidR="002F66DE" w:rsidRPr="00C301AA">
        <w:rPr>
          <w:rFonts w:ascii="Times New Roman" w:eastAsia="Times New Roman" w:hAnsi="Times New Roman"/>
          <w:b/>
          <w:sz w:val="24"/>
          <w:szCs w:val="24"/>
        </w:rPr>
        <w:t xml:space="preserve"> </w:t>
      </w:r>
      <w:r w:rsidR="00FD3C6E" w:rsidRPr="00C301AA">
        <w:rPr>
          <w:rFonts w:ascii="Times New Roman" w:eastAsia="Times New Roman" w:hAnsi="Times New Roman"/>
          <w:sz w:val="24"/>
          <w:szCs w:val="24"/>
        </w:rPr>
        <w:t xml:space="preserve">The Department </w:t>
      </w:r>
      <w:r w:rsidR="00417C3E" w:rsidRPr="00C301AA">
        <w:rPr>
          <w:rFonts w:ascii="Times New Roman" w:eastAsia="Times New Roman" w:hAnsi="Times New Roman"/>
          <w:sz w:val="24"/>
          <w:szCs w:val="24"/>
        </w:rPr>
        <w:t xml:space="preserve">must </w:t>
      </w:r>
      <w:r w:rsidR="00FD3C6E" w:rsidRPr="00C301AA">
        <w:rPr>
          <w:rFonts w:ascii="Times New Roman" w:eastAsia="Times New Roman" w:hAnsi="Times New Roman"/>
          <w:sz w:val="24"/>
          <w:szCs w:val="24"/>
        </w:rPr>
        <w:t xml:space="preserve">adhere to </w:t>
      </w:r>
      <w:r w:rsidR="00531B76" w:rsidRPr="00C301AA">
        <w:rPr>
          <w:rFonts w:ascii="Times New Roman" w:eastAsia="Times New Roman" w:hAnsi="Times New Roman"/>
          <w:sz w:val="24"/>
          <w:szCs w:val="24"/>
        </w:rPr>
        <w:t>t</w:t>
      </w:r>
      <w:r w:rsidR="00784A35" w:rsidRPr="00C301AA">
        <w:rPr>
          <w:rFonts w:ascii="Times New Roman" w:hAnsi="Times New Roman"/>
          <w:sz w:val="24"/>
          <w:szCs w:val="24"/>
          <w:shd w:val="clear" w:color="auto" w:fill="FFFFFF"/>
        </w:rPr>
        <w:t xml:space="preserve">he categories and accompanying definitions </w:t>
      </w:r>
      <w:r w:rsidR="00417C3E" w:rsidRPr="00C301AA">
        <w:rPr>
          <w:rFonts w:ascii="Times New Roman" w:hAnsi="Times New Roman"/>
          <w:sz w:val="24"/>
          <w:szCs w:val="24"/>
          <w:shd w:val="clear" w:color="auto" w:fill="FFFFFF"/>
        </w:rPr>
        <w:t xml:space="preserve">per the guidance developed in </w:t>
      </w:r>
      <w:r w:rsidR="00784A35" w:rsidRPr="00C301AA">
        <w:rPr>
          <w:rFonts w:ascii="Times New Roman" w:hAnsi="Times New Roman"/>
          <w:sz w:val="24"/>
          <w:szCs w:val="24"/>
          <w:shd w:val="clear" w:color="auto" w:fill="FFFFFF"/>
        </w:rPr>
        <w:t xml:space="preserve">1997 by </w:t>
      </w:r>
      <w:r w:rsidR="00417C3E" w:rsidRPr="00C301AA">
        <w:rPr>
          <w:rFonts w:ascii="Times New Roman" w:hAnsi="Times New Roman"/>
          <w:sz w:val="24"/>
          <w:szCs w:val="24"/>
          <w:shd w:val="clear" w:color="auto" w:fill="FFFFFF"/>
        </w:rPr>
        <w:t xml:space="preserve">the Office of Management and Budget; therefore, we cannot deviate from set guidance.   </w:t>
      </w:r>
    </w:p>
    <w:p w:rsidR="00B34754" w:rsidRDefault="00B34754" w:rsidP="007E5C1B">
      <w:pPr>
        <w:pStyle w:val="CommentText"/>
        <w:spacing w:after="0" w:line="240" w:lineRule="auto"/>
        <w:rPr>
          <w:rFonts w:ascii="Times New Roman" w:hAnsi="Times New Roman"/>
          <w:sz w:val="24"/>
          <w:szCs w:val="24"/>
          <w:shd w:val="clear" w:color="auto" w:fill="FFFFFF"/>
        </w:rPr>
      </w:pPr>
    </w:p>
    <w:p w:rsidR="00BD525B" w:rsidRPr="00C301AA" w:rsidRDefault="00417C3E" w:rsidP="007E5C1B">
      <w:pPr>
        <w:pStyle w:val="CommentText"/>
        <w:spacing w:after="0" w:line="240" w:lineRule="auto"/>
        <w:rPr>
          <w:rFonts w:ascii="Times New Roman" w:eastAsia="Times New Roman" w:hAnsi="Times New Roman"/>
          <w:sz w:val="24"/>
          <w:szCs w:val="24"/>
        </w:rPr>
      </w:pPr>
      <w:r w:rsidRPr="00C301AA">
        <w:rPr>
          <w:rFonts w:ascii="Times New Roman" w:hAnsi="Times New Roman"/>
          <w:sz w:val="24"/>
          <w:szCs w:val="24"/>
          <w:shd w:val="clear" w:color="auto" w:fill="FFFFFF"/>
        </w:rPr>
        <w:t xml:space="preserve">Regarding the combinations of race and ethnicity, </w:t>
      </w:r>
      <w:r w:rsidR="00784A35" w:rsidRPr="00C301AA">
        <w:rPr>
          <w:rStyle w:val="apple-converted-space"/>
          <w:rFonts w:ascii="Times New Roman" w:hAnsi="Times New Roman"/>
          <w:sz w:val="24"/>
          <w:szCs w:val="24"/>
          <w:shd w:val="clear" w:color="auto" w:fill="FFFFFF"/>
        </w:rPr>
        <w:t xml:space="preserve">the APR allows grantees to report not only whether the participant identifies as Hispanic/Latino but also </w:t>
      </w:r>
      <w:r w:rsidRPr="00C301AA">
        <w:rPr>
          <w:rStyle w:val="apple-converted-space"/>
          <w:rFonts w:ascii="Times New Roman" w:hAnsi="Times New Roman"/>
          <w:sz w:val="24"/>
          <w:szCs w:val="24"/>
          <w:shd w:val="clear" w:color="auto" w:fill="FFFFFF"/>
        </w:rPr>
        <w:t xml:space="preserve">allows for reporting </w:t>
      </w:r>
      <w:r w:rsidR="00784A35" w:rsidRPr="00C301AA">
        <w:rPr>
          <w:rStyle w:val="apple-converted-space"/>
          <w:rFonts w:ascii="Times New Roman" w:hAnsi="Times New Roman"/>
          <w:sz w:val="24"/>
          <w:szCs w:val="24"/>
          <w:shd w:val="clear" w:color="auto" w:fill="FFFFFF"/>
        </w:rPr>
        <w:t xml:space="preserve">on more than one race.  </w:t>
      </w:r>
    </w:p>
    <w:p w:rsidR="007E5C1B" w:rsidRDefault="007E5C1B" w:rsidP="007E5C1B">
      <w:pPr>
        <w:spacing w:after="0" w:line="240" w:lineRule="auto"/>
        <w:rPr>
          <w:rFonts w:ascii="Times New Roman" w:eastAsia="Times New Roman" w:hAnsi="Times New Roman" w:cs="Times New Roman"/>
          <w:b/>
          <w:sz w:val="24"/>
          <w:szCs w:val="24"/>
        </w:rPr>
      </w:pPr>
    </w:p>
    <w:p w:rsidR="00CC3D05" w:rsidRPr="00C301AA" w:rsidRDefault="00BD525B"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FD3C6E" w:rsidRPr="00C301AA">
        <w:rPr>
          <w:rFonts w:ascii="Times New Roman" w:eastAsia="Times New Roman" w:hAnsi="Times New Roman" w:cs="Times New Roman"/>
          <w:b/>
          <w:sz w:val="24"/>
          <w:szCs w:val="24"/>
        </w:rPr>
        <w:t xml:space="preserve">  </w:t>
      </w:r>
      <w:r w:rsidR="00FD3C6E" w:rsidRPr="00C301AA">
        <w:rPr>
          <w:rFonts w:ascii="Times New Roman" w:eastAsia="Times New Roman" w:hAnsi="Times New Roman" w:cs="Times New Roman"/>
          <w:sz w:val="24"/>
          <w:szCs w:val="24"/>
        </w:rPr>
        <w:t>None</w:t>
      </w:r>
    </w:p>
    <w:p w:rsidR="007E5C1B" w:rsidRDefault="007E5C1B" w:rsidP="007E5C1B">
      <w:pPr>
        <w:pStyle w:val="Heading6"/>
        <w:spacing w:before="0" w:beforeAutospacing="0" w:after="0" w:afterAutospacing="0"/>
        <w:rPr>
          <w:sz w:val="24"/>
          <w:szCs w:val="24"/>
        </w:rPr>
      </w:pPr>
    </w:p>
    <w:p w:rsidR="00CC3D05" w:rsidRPr="00C301AA" w:rsidRDefault="004838B4" w:rsidP="007E5C1B">
      <w:pPr>
        <w:pStyle w:val="Heading6"/>
        <w:spacing w:before="0" w:beforeAutospacing="0" w:after="0" w:afterAutospacing="0"/>
        <w:rPr>
          <w:sz w:val="24"/>
          <w:szCs w:val="24"/>
        </w:rPr>
      </w:pPr>
      <w:proofErr w:type="gramStart"/>
      <w:r w:rsidRPr="00C301AA">
        <w:rPr>
          <w:sz w:val="24"/>
          <w:szCs w:val="24"/>
        </w:rPr>
        <w:t>SECTION II.</w:t>
      </w:r>
      <w:r w:rsidR="00CC3D05" w:rsidRPr="00C301AA">
        <w:rPr>
          <w:sz w:val="24"/>
          <w:szCs w:val="24"/>
        </w:rPr>
        <w:t>E.</w:t>
      </w:r>
      <w:proofErr w:type="gramEnd"/>
      <w:r w:rsidR="00CC3D05" w:rsidRPr="00C301AA">
        <w:rPr>
          <w:sz w:val="24"/>
          <w:szCs w:val="24"/>
        </w:rPr>
        <w:t xml:space="preserve"> </w:t>
      </w:r>
      <w:r w:rsidRPr="00C301AA">
        <w:rPr>
          <w:sz w:val="24"/>
          <w:szCs w:val="24"/>
        </w:rPr>
        <w:t>PARTICIPANTS’ ENROLLMENT STATUS</w:t>
      </w:r>
      <w:r w:rsidR="00CC3D05" w:rsidRPr="00C301AA">
        <w:rPr>
          <w:sz w:val="24"/>
          <w:szCs w:val="24"/>
        </w:rPr>
        <w:t xml:space="preserve"> </w:t>
      </w:r>
      <w:r w:rsidRPr="00C301AA">
        <w:rPr>
          <w:sz w:val="24"/>
          <w:szCs w:val="24"/>
        </w:rPr>
        <w:t>INFORMATION</w:t>
      </w:r>
    </w:p>
    <w:p w:rsidR="007E5C1B" w:rsidRDefault="007E5C1B" w:rsidP="007E5C1B">
      <w:pPr>
        <w:spacing w:after="0" w:line="240" w:lineRule="auto"/>
        <w:rPr>
          <w:rFonts w:ascii="Times New Roman" w:eastAsia="Times New Roman" w:hAnsi="Times New Roman" w:cs="Times New Roman"/>
          <w:b/>
          <w:sz w:val="24"/>
          <w:szCs w:val="24"/>
          <w:u w:val="single"/>
        </w:rPr>
      </w:pPr>
    </w:p>
    <w:p w:rsidR="004838B4" w:rsidRPr="00C301AA" w:rsidRDefault="004838B4" w:rsidP="007E5C1B">
      <w:pPr>
        <w:spacing w:after="0" w:line="240" w:lineRule="auto"/>
        <w:rPr>
          <w:rFonts w:ascii="Times New Roman" w:eastAsia="Times New Roman" w:hAnsi="Times New Roman" w:cs="Times New Roman"/>
          <w:b/>
          <w:sz w:val="24"/>
          <w:szCs w:val="24"/>
          <w:u w:val="single"/>
        </w:rPr>
      </w:pPr>
      <w:r w:rsidRPr="00C301AA">
        <w:rPr>
          <w:rFonts w:ascii="Times New Roman" w:eastAsia="Times New Roman" w:hAnsi="Times New Roman" w:cs="Times New Roman"/>
          <w:b/>
          <w:sz w:val="24"/>
          <w:szCs w:val="24"/>
          <w:u w:val="single"/>
        </w:rPr>
        <w:t xml:space="preserve">Field 20 – </w:t>
      </w:r>
      <w:r w:rsidR="008579A0" w:rsidRPr="00C301AA">
        <w:rPr>
          <w:rFonts w:ascii="Times New Roman" w:hAnsi="Times New Roman" w:cs="Times New Roman"/>
          <w:b/>
          <w:sz w:val="24"/>
          <w:szCs w:val="24"/>
          <w:u w:val="single"/>
        </w:rPr>
        <w:t>Project Entry Date</w:t>
      </w:r>
    </w:p>
    <w:p w:rsidR="007E5C1B" w:rsidRDefault="007E5C1B" w:rsidP="007E5C1B">
      <w:pPr>
        <w:spacing w:after="0" w:line="240" w:lineRule="auto"/>
        <w:rPr>
          <w:rFonts w:ascii="Times New Roman" w:eastAsia="Times New Roman" w:hAnsi="Times New Roman" w:cs="Times New Roman"/>
          <w:b/>
          <w:sz w:val="24"/>
          <w:szCs w:val="24"/>
        </w:rPr>
      </w:pPr>
    </w:p>
    <w:p w:rsidR="00CC3D05" w:rsidRPr="00C301AA" w:rsidRDefault="00CC3D05" w:rsidP="007E5C1B">
      <w:pPr>
        <w:spacing w:after="0" w:line="240" w:lineRule="auto"/>
        <w:rPr>
          <w:rFonts w:ascii="Times New Roman" w:hAnsi="Times New Roman" w:cs="Times New Roman"/>
          <w:sz w:val="24"/>
          <w:szCs w:val="24"/>
        </w:rPr>
      </w:pPr>
      <w:r w:rsidRPr="00C301AA">
        <w:rPr>
          <w:rFonts w:ascii="Times New Roman" w:eastAsia="Times New Roman" w:hAnsi="Times New Roman" w:cs="Times New Roman"/>
          <w:b/>
          <w:sz w:val="24"/>
          <w:szCs w:val="24"/>
        </w:rPr>
        <w:t xml:space="preserve">Comments:  </w:t>
      </w:r>
      <w:r w:rsidR="004838B4" w:rsidRPr="00C301AA">
        <w:rPr>
          <w:rFonts w:ascii="Times New Roman" w:eastAsia="Times New Roman" w:hAnsi="Times New Roman" w:cs="Times New Roman"/>
          <w:sz w:val="24"/>
          <w:szCs w:val="24"/>
        </w:rPr>
        <w:t>One commenter</w:t>
      </w:r>
      <w:r w:rsidR="004838B4" w:rsidRPr="00C301AA">
        <w:rPr>
          <w:rFonts w:ascii="Times New Roman" w:eastAsia="Times New Roman" w:hAnsi="Times New Roman" w:cs="Times New Roman"/>
          <w:b/>
          <w:sz w:val="24"/>
          <w:szCs w:val="24"/>
        </w:rPr>
        <w:t xml:space="preserve"> s</w:t>
      </w:r>
      <w:r w:rsidRPr="00C301AA">
        <w:rPr>
          <w:rFonts w:ascii="Times New Roman" w:hAnsi="Times New Roman" w:cs="Times New Roman"/>
          <w:sz w:val="24"/>
          <w:szCs w:val="24"/>
        </w:rPr>
        <w:t>uggest</w:t>
      </w:r>
      <w:r w:rsidR="002C5886" w:rsidRPr="00C301AA">
        <w:rPr>
          <w:rFonts w:ascii="Times New Roman" w:hAnsi="Times New Roman" w:cs="Times New Roman"/>
          <w:sz w:val="24"/>
          <w:szCs w:val="24"/>
        </w:rPr>
        <w:t xml:space="preserve">ed that field 20 be revised from “Project Entry Date” to </w:t>
      </w:r>
      <w:r w:rsidRPr="00C301AA">
        <w:rPr>
          <w:rFonts w:ascii="Times New Roman" w:hAnsi="Times New Roman" w:cs="Times New Roman"/>
          <w:sz w:val="24"/>
          <w:szCs w:val="24"/>
        </w:rPr>
        <w:t xml:space="preserve">a </w:t>
      </w:r>
      <w:r w:rsidR="006C1BA9" w:rsidRPr="00C301AA">
        <w:rPr>
          <w:rFonts w:ascii="Times New Roman" w:hAnsi="Times New Roman" w:cs="Times New Roman"/>
          <w:sz w:val="24"/>
          <w:szCs w:val="24"/>
        </w:rPr>
        <w:t>“</w:t>
      </w:r>
      <w:r w:rsidR="002C5886" w:rsidRPr="00C301AA">
        <w:rPr>
          <w:rFonts w:ascii="Times New Roman" w:hAnsi="Times New Roman" w:cs="Times New Roman"/>
          <w:sz w:val="24"/>
          <w:szCs w:val="24"/>
        </w:rPr>
        <w:t>Date Entered into Program</w:t>
      </w:r>
      <w:r w:rsidR="006C1BA9" w:rsidRPr="00C301AA">
        <w:rPr>
          <w:rFonts w:ascii="Times New Roman" w:hAnsi="Times New Roman" w:cs="Times New Roman"/>
          <w:sz w:val="24"/>
          <w:szCs w:val="24"/>
        </w:rPr>
        <w:t>”</w:t>
      </w:r>
      <w:r w:rsidRPr="00C301AA">
        <w:rPr>
          <w:rFonts w:ascii="Times New Roman" w:hAnsi="Times New Roman" w:cs="Times New Roman"/>
          <w:sz w:val="24"/>
          <w:szCs w:val="24"/>
        </w:rPr>
        <w:t xml:space="preserve"> </w:t>
      </w:r>
      <w:r w:rsidR="002C5886" w:rsidRPr="00C301AA">
        <w:rPr>
          <w:rFonts w:ascii="Times New Roman" w:hAnsi="Times New Roman" w:cs="Times New Roman"/>
          <w:sz w:val="24"/>
          <w:szCs w:val="24"/>
        </w:rPr>
        <w:t xml:space="preserve">because the latter aligns </w:t>
      </w:r>
      <w:r w:rsidRPr="00C301AA">
        <w:rPr>
          <w:rFonts w:ascii="Times New Roman" w:hAnsi="Times New Roman" w:cs="Times New Roman"/>
          <w:sz w:val="24"/>
          <w:szCs w:val="24"/>
        </w:rPr>
        <w:t>with the next questi</w:t>
      </w:r>
      <w:r w:rsidR="002C5886" w:rsidRPr="00C301AA">
        <w:rPr>
          <w:rFonts w:ascii="Times New Roman" w:hAnsi="Times New Roman" w:cs="Times New Roman"/>
          <w:sz w:val="24"/>
          <w:szCs w:val="24"/>
        </w:rPr>
        <w:t>on for “entry into the project”.</w:t>
      </w:r>
    </w:p>
    <w:p w:rsidR="00B34754" w:rsidRDefault="00B34754" w:rsidP="007E5C1B">
      <w:pPr>
        <w:spacing w:after="0" w:line="240" w:lineRule="auto"/>
        <w:rPr>
          <w:rFonts w:ascii="Times New Roman" w:eastAsia="Times New Roman" w:hAnsi="Times New Roman" w:cs="Times New Roman"/>
          <w:b/>
          <w:sz w:val="24"/>
          <w:szCs w:val="24"/>
        </w:rPr>
      </w:pPr>
    </w:p>
    <w:p w:rsidR="00CC3D05" w:rsidRPr="00C301AA" w:rsidRDefault="00CC3D05"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 xml:space="preserve">Discussion: </w:t>
      </w:r>
      <w:r w:rsidR="006C1BA9" w:rsidRPr="00C301AA">
        <w:rPr>
          <w:rFonts w:ascii="Times New Roman" w:eastAsia="Times New Roman" w:hAnsi="Times New Roman" w:cs="Times New Roman"/>
          <w:b/>
          <w:sz w:val="24"/>
          <w:szCs w:val="24"/>
        </w:rPr>
        <w:t xml:space="preserve"> </w:t>
      </w:r>
      <w:r w:rsidR="008579A0" w:rsidRPr="00C301AA">
        <w:rPr>
          <w:rFonts w:ascii="Times New Roman" w:hAnsi="Times New Roman" w:cs="Times New Roman"/>
          <w:sz w:val="24"/>
          <w:szCs w:val="24"/>
        </w:rPr>
        <w:t xml:space="preserve">The information in the APR is project-specific and not program specific; that is, it relates to the participant’s experience for that particular project; therefore, the use of the word “program” is not appropriate.  </w:t>
      </w:r>
      <w:r w:rsidR="00417C3E" w:rsidRPr="00C301AA">
        <w:rPr>
          <w:rFonts w:ascii="Times New Roman" w:hAnsi="Times New Roman" w:cs="Times New Roman"/>
          <w:sz w:val="24"/>
          <w:szCs w:val="24"/>
        </w:rPr>
        <w:t xml:space="preserve">McNair is one of the TRIO </w:t>
      </w:r>
      <w:r w:rsidR="00417C3E" w:rsidRPr="00C301AA">
        <w:rPr>
          <w:rFonts w:ascii="Times New Roman" w:hAnsi="Times New Roman" w:cs="Times New Roman"/>
          <w:b/>
          <w:sz w:val="24"/>
          <w:szCs w:val="24"/>
          <w:u w:val="single"/>
        </w:rPr>
        <w:t>programs</w:t>
      </w:r>
      <w:r w:rsidR="00417C3E" w:rsidRPr="00C301AA">
        <w:rPr>
          <w:rFonts w:ascii="Times New Roman" w:hAnsi="Times New Roman" w:cs="Times New Roman"/>
          <w:sz w:val="24"/>
          <w:szCs w:val="24"/>
        </w:rPr>
        <w:t xml:space="preserve"> an</w:t>
      </w:r>
      <w:r w:rsidR="002C5886" w:rsidRPr="00C301AA">
        <w:rPr>
          <w:rFonts w:ascii="Times New Roman" w:hAnsi="Times New Roman" w:cs="Times New Roman"/>
          <w:sz w:val="24"/>
          <w:szCs w:val="24"/>
        </w:rPr>
        <w:t>d grantees are in the McNair program, t</w:t>
      </w:r>
      <w:r w:rsidR="008579A0" w:rsidRPr="00C301AA">
        <w:rPr>
          <w:rFonts w:ascii="Times New Roman" w:hAnsi="Times New Roman" w:cs="Times New Roman"/>
          <w:sz w:val="24"/>
          <w:szCs w:val="24"/>
        </w:rPr>
        <w:t>hus</w:t>
      </w:r>
      <w:r w:rsidR="002C5886" w:rsidRPr="00C301AA">
        <w:rPr>
          <w:rFonts w:ascii="Times New Roman" w:hAnsi="Times New Roman" w:cs="Times New Roman"/>
          <w:sz w:val="24"/>
          <w:szCs w:val="24"/>
        </w:rPr>
        <w:t xml:space="preserve"> to maintain continuity on the use of the words “project” and “program,</w:t>
      </w:r>
      <w:r w:rsidR="008579A0" w:rsidRPr="00C301AA">
        <w:rPr>
          <w:rFonts w:ascii="Times New Roman" w:hAnsi="Times New Roman" w:cs="Times New Roman"/>
          <w:sz w:val="24"/>
          <w:szCs w:val="24"/>
        </w:rPr>
        <w:t xml:space="preserve"> </w:t>
      </w:r>
      <w:r w:rsidR="00784A35" w:rsidRPr="00C301AA">
        <w:rPr>
          <w:rFonts w:ascii="Times New Roman" w:eastAsia="Times New Roman" w:hAnsi="Times New Roman" w:cs="Times New Roman"/>
          <w:sz w:val="24"/>
          <w:szCs w:val="24"/>
        </w:rPr>
        <w:t xml:space="preserve">the Department </w:t>
      </w:r>
      <w:r w:rsidR="008579A0" w:rsidRPr="00C301AA">
        <w:rPr>
          <w:rFonts w:ascii="Times New Roman" w:eastAsia="Times New Roman" w:hAnsi="Times New Roman" w:cs="Times New Roman"/>
          <w:sz w:val="24"/>
          <w:szCs w:val="24"/>
        </w:rPr>
        <w:t>will</w:t>
      </w:r>
      <w:r w:rsidR="00784A35" w:rsidRPr="00C301AA">
        <w:rPr>
          <w:rFonts w:ascii="Times New Roman" w:eastAsia="Times New Roman" w:hAnsi="Times New Roman" w:cs="Times New Roman"/>
          <w:sz w:val="24"/>
          <w:szCs w:val="24"/>
        </w:rPr>
        <w:t xml:space="preserve"> retain the current terminology </w:t>
      </w:r>
      <w:r w:rsidR="002C5886" w:rsidRPr="00C301AA">
        <w:rPr>
          <w:rFonts w:ascii="Times New Roman" w:eastAsia="Times New Roman" w:hAnsi="Times New Roman" w:cs="Times New Roman"/>
          <w:sz w:val="24"/>
          <w:szCs w:val="24"/>
        </w:rPr>
        <w:t xml:space="preserve">[project…] </w:t>
      </w:r>
      <w:r w:rsidR="008579A0" w:rsidRPr="00C301AA">
        <w:rPr>
          <w:rFonts w:ascii="Times New Roman" w:eastAsia="Times New Roman" w:hAnsi="Times New Roman" w:cs="Times New Roman"/>
          <w:sz w:val="24"/>
          <w:szCs w:val="24"/>
        </w:rPr>
        <w:t xml:space="preserve">used </w:t>
      </w:r>
      <w:r w:rsidR="00784A35" w:rsidRPr="00C301AA">
        <w:rPr>
          <w:rFonts w:ascii="Times New Roman" w:eastAsia="Times New Roman" w:hAnsi="Times New Roman" w:cs="Times New Roman"/>
          <w:sz w:val="24"/>
          <w:szCs w:val="24"/>
        </w:rPr>
        <w:t>in field 20</w:t>
      </w:r>
      <w:r w:rsidR="008579A0" w:rsidRPr="00C301AA">
        <w:rPr>
          <w:rFonts w:ascii="Times New Roman" w:eastAsia="Times New Roman" w:hAnsi="Times New Roman" w:cs="Times New Roman"/>
          <w:sz w:val="24"/>
          <w:szCs w:val="24"/>
        </w:rPr>
        <w:t>.</w:t>
      </w:r>
      <w:r w:rsidR="006C1BA9" w:rsidRPr="00C301AA">
        <w:rPr>
          <w:rFonts w:ascii="Times New Roman" w:eastAsia="Times New Roman" w:hAnsi="Times New Roman" w:cs="Times New Roman"/>
          <w:sz w:val="24"/>
          <w:szCs w:val="24"/>
        </w:rPr>
        <w:t xml:space="preserve">  </w:t>
      </w:r>
    </w:p>
    <w:p w:rsidR="00B34754" w:rsidRDefault="00B34754" w:rsidP="007E5C1B">
      <w:pPr>
        <w:spacing w:after="0" w:line="240" w:lineRule="auto"/>
        <w:rPr>
          <w:rFonts w:ascii="Times New Roman" w:eastAsia="Times New Roman" w:hAnsi="Times New Roman" w:cs="Times New Roman"/>
          <w:b/>
          <w:sz w:val="24"/>
          <w:szCs w:val="24"/>
        </w:rPr>
      </w:pPr>
    </w:p>
    <w:p w:rsidR="00CC3D05" w:rsidRPr="00C301AA" w:rsidRDefault="00CC3D05"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784A35" w:rsidRPr="00C301AA">
        <w:rPr>
          <w:rFonts w:ascii="Times New Roman" w:eastAsia="Times New Roman" w:hAnsi="Times New Roman" w:cs="Times New Roman"/>
          <w:b/>
          <w:sz w:val="24"/>
          <w:szCs w:val="24"/>
        </w:rPr>
        <w:t xml:space="preserve">  </w:t>
      </w:r>
      <w:r w:rsidR="00784A35" w:rsidRPr="00C301AA">
        <w:rPr>
          <w:rFonts w:ascii="Times New Roman" w:eastAsia="Times New Roman" w:hAnsi="Times New Roman" w:cs="Times New Roman"/>
          <w:sz w:val="24"/>
          <w:szCs w:val="24"/>
        </w:rPr>
        <w:t>None</w:t>
      </w:r>
    </w:p>
    <w:p w:rsidR="007E5C1B" w:rsidRDefault="007E5C1B" w:rsidP="007E5C1B">
      <w:pPr>
        <w:pStyle w:val="CommentText"/>
        <w:spacing w:after="0" w:line="240" w:lineRule="auto"/>
        <w:rPr>
          <w:rFonts w:ascii="Times New Roman" w:hAnsi="Times New Roman"/>
          <w:b/>
          <w:sz w:val="24"/>
          <w:szCs w:val="24"/>
          <w:u w:val="single"/>
        </w:rPr>
      </w:pPr>
    </w:p>
    <w:p w:rsidR="004838B4" w:rsidRPr="00C301AA" w:rsidRDefault="00CC3D05" w:rsidP="007E5C1B">
      <w:pPr>
        <w:pStyle w:val="CommentText"/>
        <w:spacing w:after="0" w:line="240" w:lineRule="auto"/>
        <w:rPr>
          <w:rFonts w:ascii="Times New Roman" w:hAnsi="Times New Roman"/>
          <w:b/>
          <w:sz w:val="24"/>
          <w:szCs w:val="24"/>
          <w:u w:val="single"/>
        </w:rPr>
      </w:pPr>
      <w:r w:rsidRPr="00C301AA">
        <w:rPr>
          <w:rFonts w:ascii="Times New Roman" w:hAnsi="Times New Roman"/>
          <w:b/>
          <w:sz w:val="24"/>
          <w:szCs w:val="24"/>
          <w:u w:val="single"/>
        </w:rPr>
        <w:t>Field 25</w:t>
      </w:r>
      <w:r w:rsidR="004838B4" w:rsidRPr="00C301AA">
        <w:rPr>
          <w:rFonts w:ascii="Times New Roman" w:hAnsi="Times New Roman"/>
          <w:b/>
          <w:sz w:val="24"/>
          <w:szCs w:val="24"/>
          <w:u w:val="single"/>
        </w:rPr>
        <w:t xml:space="preserve"> – </w:t>
      </w:r>
      <w:r w:rsidR="008D111D" w:rsidRPr="00C301AA">
        <w:rPr>
          <w:rFonts w:ascii="Times New Roman" w:hAnsi="Times New Roman"/>
          <w:b/>
          <w:sz w:val="24"/>
          <w:szCs w:val="24"/>
          <w:u w:val="single"/>
        </w:rPr>
        <w:t>Funding Source</w:t>
      </w:r>
    </w:p>
    <w:p w:rsidR="007E5C1B" w:rsidRDefault="007E5C1B" w:rsidP="007E5C1B">
      <w:pPr>
        <w:pStyle w:val="CommentText"/>
        <w:spacing w:after="0" w:line="240" w:lineRule="auto"/>
        <w:rPr>
          <w:rFonts w:ascii="Times New Roman" w:hAnsi="Times New Roman"/>
          <w:b/>
          <w:sz w:val="24"/>
          <w:szCs w:val="24"/>
        </w:rPr>
      </w:pPr>
    </w:p>
    <w:p w:rsidR="00CC3D05" w:rsidRPr="00C301AA" w:rsidRDefault="004838B4" w:rsidP="007E5C1B">
      <w:pPr>
        <w:pStyle w:val="CommentText"/>
        <w:spacing w:after="0" w:line="240" w:lineRule="auto"/>
        <w:rPr>
          <w:rFonts w:ascii="Times New Roman" w:hAnsi="Times New Roman"/>
          <w:sz w:val="24"/>
          <w:szCs w:val="24"/>
        </w:rPr>
      </w:pPr>
      <w:r w:rsidRPr="00C301AA">
        <w:rPr>
          <w:rFonts w:ascii="Times New Roman" w:hAnsi="Times New Roman"/>
          <w:b/>
          <w:sz w:val="24"/>
          <w:szCs w:val="24"/>
        </w:rPr>
        <w:t>Comments:</w:t>
      </w:r>
      <w:r w:rsidRPr="00C301AA">
        <w:rPr>
          <w:rFonts w:ascii="Times New Roman" w:hAnsi="Times New Roman"/>
          <w:sz w:val="24"/>
          <w:szCs w:val="24"/>
        </w:rPr>
        <w:t xml:space="preserve">  One commenter note</w:t>
      </w:r>
      <w:r w:rsidR="002C5886" w:rsidRPr="00C301AA">
        <w:rPr>
          <w:rFonts w:ascii="Times New Roman" w:hAnsi="Times New Roman"/>
          <w:sz w:val="24"/>
          <w:szCs w:val="24"/>
        </w:rPr>
        <w:t>d</w:t>
      </w:r>
      <w:r w:rsidRPr="00C301AA">
        <w:rPr>
          <w:rFonts w:ascii="Times New Roman" w:hAnsi="Times New Roman"/>
          <w:sz w:val="24"/>
          <w:szCs w:val="24"/>
        </w:rPr>
        <w:t xml:space="preserve"> that t</w:t>
      </w:r>
      <w:r w:rsidR="00CC3D05" w:rsidRPr="00C301AA">
        <w:rPr>
          <w:rFonts w:ascii="Times New Roman" w:hAnsi="Times New Roman"/>
          <w:sz w:val="24"/>
          <w:szCs w:val="24"/>
        </w:rPr>
        <w:t>he</w:t>
      </w:r>
      <w:r w:rsidR="00417C3E" w:rsidRPr="00C301AA">
        <w:rPr>
          <w:rFonts w:ascii="Times New Roman" w:hAnsi="Times New Roman"/>
          <w:sz w:val="24"/>
          <w:szCs w:val="24"/>
        </w:rPr>
        <w:t>ir</w:t>
      </w:r>
      <w:r w:rsidR="00CC3D05" w:rsidRPr="00C301AA">
        <w:rPr>
          <w:rFonts w:ascii="Times New Roman" w:hAnsi="Times New Roman"/>
          <w:sz w:val="24"/>
          <w:szCs w:val="24"/>
        </w:rPr>
        <w:t xml:space="preserve"> proposal </w:t>
      </w:r>
      <w:r w:rsidR="00417C3E" w:rsidRPr="00C301AA">
        <w:rPr>
          <w:rFonts w:ascii="Times New Roman" w:hAnsi="Times New Roman"/>
          <w:sz w:val="24"/>
          <w:szCs w:val="24"/>
        </w:rPr>
        <w:t>included</w:t>
      </w:r>
      <w:r w:rsidR="00CC3D05" w:rsidRPr="00C301AA">
        <w:rPr>
          <w:rFonts w:ascii="Times New Roman" w:hAnsi="Times New Roman"/>
          <w:sz w:val="24"/>
          <w:szCs w:val="24"/>
        </w:rPr>
        <w:t xml:space="preserve"> recruiting what are called “early entry” participants, </w:t>
      </w:r>
      <w:r w:rsidR="00417C3E" w:rsidRPr="00C301AA">
        <w:rPr>
          <w:rFonts w:ascii="Times New Roman" w:hAnsi="Times New Roman"/>
          <w:sz w:val="24"/>
          <w:szCs w:val="24"/>
        </w:rPr>
        <w:t>which</w:t>
      </w:r>
      <w:r w:rsidR="00CC3D05" w:rsidRPr="00C301AA">
        <w:rPr>
          <w:rFonts w:ascii="Times New Roman" w:hAnsi="Times New Roman"/>
          <w:sz w:val="24"/>
          <w:szCs w:val="24"/>
        </w:rPr>
        <w:t xml:space="preserve"> are ful</w:t>
      </w:r>
      <w:r w:rsidR="00417C3E" w:rsidRPr="00C301AA">
        <w:rPr>
          <w:rFonts w:ascii="Times New Roman" w:hAnsi="Times New Roman"/>
          <w:sz w:val="24"/>
          <w:szCs w:val="24"/>
        </w:rPr>
        <w:t>ly</w:t>
      </w:r>
      <w:r w:rsidR="00CC3D05" w:rsidRPr="00C301AA">
        <w:rPr>
          <w:rFonts w:ascii="Times New Roman" w:hAnsi="Times New Roman"/>
          <w:sz w:val="24"/>
          <w:szCs w:val="24"/>
        </w:rPr>
        <w:t xml:space="preserve"> funded by local, </w:t>
      </w:r>
      <w:r w:rsidR="008579A0" w:rsidRPr="00C301AA">
        <w:rPr>
          <w:rFonts w:ascii="Times New Roman" w:hAnsi="Times New Roman"/>
          <w:sz w:val="24"/>
          <w:szCs w:val="24"/>
        </w:rPr>
        <w:t>non-grant</w:t>
      </w:r>
      <w:r w:rsidR="00CC3D05" w:rsidRPr="00C301AA">
        <w:rPr>
          <w:rFonts w:ascii="Times New Roman" w:hAnsi="Times New Roman"/>
          <w:sz w:val="24"/>
          <w:szCs w:val="24"/>
        </w:rPr>
        <w:t xml:space="preserve"> funds. </w:t>
      </w:r>
      <w:r w:rsidRPr="00C301AA">
        <w:rPr>
          <w:rFonts w:ascii="Times New Roman" w:hAnsi="Times New Roman"/>
          <w:sz w:val="24"/>
          <w:szCs w:val="24"/>
        </w:rPr>
        <w:t xml:space="preserve"> The</w:t>
      </w:r>
      <w:r w:rsidR="00417C3E" w:rsidRPr="00C301AA">
        <w:rPr>
          <w:rFonts w:ascii="Times New Roman" w:hAnsi="Times New Roman"/>
          <w:sz w:val="24"/>
          <w:szCs w:val="24"/>
        </w:rPr>
        <w:t xml:space="preserve"> commenter</w:t>
      </w:r>
      <w:r w:rsidRPr="00C301AA">
        <w:rPr>
          <w:rFonts w:ascii="Times New Roman" w:hAnsi="Times New Roman"/>
          <w:sz w:val="24"/>
          <w:szCs w:val="24"/>
        </w:rPr>
        <w:t xml:space="preserve"> inquire</w:t>
      </w:r>
      <w:r w:rsidR="007A18C6" w:rsidRPr="00C301AA">
        <w:rPr>
          <w:rFonts w:ascii="Times New Roman" w:hAnsi="Times New Roman"/>
          <w:sz w:val="24"/>
          <w:szCs w:val="24"/>
        </w:rPr>
        <w:t>s</w:t>
      </w:r>
      <w:r w:rsidRPr="00C301AA">
        <w:rPr>
          <w:rFonts w:ascii="Times New Roman" w:hAnsi="Times New Roman"/>
          <w:sz w:val="24"/>
          <w:szCs w:val="24"/>
        </w:rPr>
        <w:t xml:space="preserve"> as to whether </w:t>
      </w:r>
      <w:r w:rsidR="00CC3D05" w:rsidRPr="00C301AA">
        <w:rPr>
          <w:rFonts w:ascii="Times New Roman" w:hAnsi="Times New Roman"/>
          <w:sz w:val="24"/>
          <w:szCs w:val="24"/>
        </w:rPr>
        <w:t xml:space="preserve">there </w:t>
      </w:r>
      <w:r w:rsidRPr="00C301AA">
        <w:rPr>
          <w:rFonts w:ascii="Times New Roman" w:hAnsi="Times New Roman"/>
          <w:sz w:val="24"/>
          <w:szCs w:val="24"/>
        </w:rPr>
        <w:t xml:space="preserve">might </w:t>
      </w:r>
      <w:r w:rsidR="00CC3D05" w:rsidRPr="00C301AA">
        <w:rPr>
          <w:rFonts w:ascii="Times New Roman" w:hAnsi="Times New Roman"/>
          <w:sz w:val="24"/>
          <w:szCs w:val="24"/>
        </w:rPr>
        <w:t xml:space="preserve">also be an option for “fully supported by non-federal funds” and </w:t>
      </w:r>
      <w:r w:rsidR="008579A0" w:rsidRPr="00C301AA">
        <w:rPr>
          <w:rFonts w:ascii="Times New Roman" w:hAnsi="Times New Roman"/>
          <w:sz w:val="24"/>
          <w:szCs w:val="24"/>
        </w:rPr>
        <w:t>if a “</w:t>
      </w:r>
      <w:r w:rsidR="00CC3D05" w:rsidRPr="00C301AA">
        <w:rPr>
          <w:rFonts w:ascii="Times New Roman" w:hAnsi="Times New Roman"/>
          <w:sz w:val="24"/>
          <w:szCs w:val="24"/>
        </w:rPr>
        <w:t>choose all tha</w:t>
      </w:r>
      <w:r w:rsidRPr="00C301AA">
        <w:rPr>
          <w:rFonts w:ascii="Times New Roman" w:hAnsi="Times New Roman"/>
          <w:sz w:val="24"/>
          <w:szCs w:val="24"/>
        </w:rPr>
        <w:t>t apply</w:t>
      </w:r>
      <w:r w:rsidR="008579A0" w:rsidRPr="00C301AA">
        <w:rPr>
          <w:rFonts w:ascii="Times New Roman" w:hAnsi="Times New Roman"/>
          <w:sz w:val="24"/>
          <w:szCs w:val="24"/>
        </w:rPr>
        <w:t>”</w:t>
      </w:r>
      <w:r w:rsidRPr="00C301AA">
        <w:rPr>
          <w:rFonts w:ascii="Times New Roman" w:hAnsi="Times New Roman"/>
          <w:sz w:val="24"/>
          <w:szCs w:val="24"/>
        </w:rPr>
        <w:t xml:space="preserve"> option</w:t>
      </w:r>
      <w:r w:rsidR="008579A0" w:rsidRPr="00C301AA">
        <w:rPr>
          <w:rFonts w:ascii="Times New Roman" w:hAnsi="Times New Roman"/>
          <w:sz w:val="24"/>
          <w:szCs w:val="24"/>
        </w:rPr>
        <w:t xml:space="preserve"> is allowed. </w:t>
      </w:r>
    </w:p>
    <w:p w:rsidR="007E5C1B" w:rsidRDefault="007E5C1B" w:rsidP="007E5C1B">
      <w:pPr>
        <w:pStyle w:val="CommentText"/>
        <w:spacing w:after="0" w:line="240" w:lineRule="auto"/>
        <w:rPr>
          <w:rFonts w:ascii="Times New Roman" w:eastAsia="Times New Roman" w:hAnsi="Times New Roman"/>
          <w:b/>
          <w:sz w:val="24"/>
          <w:szCs w:val="24"/>
        </w:rPr>
      </w:pPr>
    </w:p>
    <w:p w:rsidR="008579A0" w:rsidRPr="00C301AA" w:rsidRDefault="00CC3D05" w:rsidP="007E5C1B">
      <w:pPr>
        <w:pStyle w:val="CommentText"/>
        <w:spacing w:after="0" w:line="240" w:lineRule="auto"/>
        <w:rPr>
          <w:rFonts w:ascii="Times New Roman" w:hAnsi="Times New Roman"/>
          <w:sz w:val="24"/>
          <w:szCs w:val="24"/>
        </w:rPr>
      </w:pPr>
      <w:r w:rsidRPr="00C301AA">
        <w:rPr>
          <w:rFonts w:ascii="Times New Roman" w:eastAsia="Times New Roman" w:hAnsi="Times New Roman"/>
          <w:b/>
          <w:sz w:val="24"/>
          <w:szCs w:val="24"/>
        </w:rPr>
        <w:t xml:space="preserve">Discussion: </w:t>
      </w:r>
      <w:r w:rsidR="008579A0" w:rsidRPr="00C301AA">
        <w:rPr>
          <w:rFonts w:ascii="Times New Roman" w:eastAsia="Times New Roman" w:hAnsi="Times New Roman"/>
          <w:b/>
          <w:sz w:val="24"/>
          <w:szCs w:val="24"/>
        </w:rPr>
        <w:t xml:space="preserve"> </w:t>
      </w:r>
      <w:r w:rsidR="008D111D" w:rsidRPr="00C301AA">
        <w:rPr>
          <w:rFonts w:ascii="Times New Roman" w:eastAsia="Times New Roman" w:hAnsi="Times New Roman"/>
          <w:sz w:val="24"/>
          <w:szCs w:val="24"/>
        </w:rPr>
        <w:t>The Department acknowledges the commenters’ concerns and recommendations</w:t>
      </w:r>
      <w:r w:rsidR="00417C3E" w:rsidRPr="00C301AA">
        <w:rPr>
          <w:rFonts w:ascii="Times New Roman" w:eastAsia="Times New Roman" w:hAnsi="Times New Roman"/>
          <w:sz w:val="24"/>
          <w:szCs w:val="24"/>
        </w:rPr>
        <w:t>;</w:t>
      </w:r>
      <w:r w:rsidR="002C5886" w:rsidRPr="00C301AA">
        <w:rPr>
          <w:rFonts w:ascii="Times New Roman" w:eastAsia="Times New Roman" w:hAnsi="Times New Roman"/>
          <w:sz w:val="24"/>
          <w:szCs w:val="24"/>
        </w:rPr>
        <w:t xml:space="preserve"> h</w:t>
      </w:r>
      <w:r w:rsidR="00EC1A32" w:rsidRPr="00C301AA">
        <w:rPr>
          <w:rFonts w:ascii="Times New Roman" w:eastAsia="Times New Roman" w:hAnsi="Times New Roman"/>
          <w:sz w:val="24"/>
          <w:szCs w:val="24"/>
        </w:rPr>
        <w:t>owever, t</w:t>
      </w:r>
      <w:r w:rsidR="008579A0" w:rsidRPr="00C301AA">
        <w:rPr>
          <w:rFonts w:ascii="Times New Roman" w:hAnsi="Times New Roman"/>
          <w:sz w:val="24"/>
          <w:szCs w:val="24"/>
        </w:rPr>
        <w:t>he info</w:t>
      </w:r>
      <w:r w:rsidR="008D111D" w:rsidRPr="00C301AA">
        <w:rPr>
          <w:rFonts w:ascii="Times New Roman" w:hAnsi="Times New Roman"/>
          <w:sz w:val="24"/>
          <w:szCs w:val="24"/>
        </w:rPr>
        <w:t>rmation</w:t>
      </w:r>
      <w:r w:rsidR="008579A0" w:rsidRPr="00C301AA">
        <w:rPr>
          <w:rFonts w:ascii="Times New Roman" w:hAnsi="Times New Roman"/>
          <w:sz w:val="24"/>
          <w:szCs w:val="24"/>
        </w:rPr>
        <w:t xml:space="preserve"> collected in the APR is about McNair participation; therefore, while a participant may be supported partially with non-McNair funds, </w:t>
      </w:r>
      <w:r w:rsidR="00417C3E" w:rsidRPr="00C301AA">
        <w:rPr>
          <w:rFonts w:ascii="Times New Roman" w:hAnsi="Times New Roman"/>
          <w:sz w:val="24"/>
          <w:szCs w:val="24"/>
        </w:rPr>
        <w:t>per the definition of what constitutes a McNair participant</w:t>
      </w:r>
      <w:r w:rsidR="00963664" w:rsidRPr="00C301AA">
        <w:rPr>
          <w:rFonts w:ascii="Times New Roman" w:hAnsi="Times New Roman"/>
          <w:sz w:val="24"/>
          <w:szCs w:val="24"/>
        </w:rPr>
        <w:t xml:space="preserve"> (refer to instructions for field 20)</w:t>
      </w:r>
      <w:r w:rsidR="007A18C6" w:rsidRPr="00C301AA">
        <w:rPr>
          <w:rFonts w:ascii="Times New Roman" w:hAnsi="Times New Roman"/>
          <w:sz w:val="24"/>
          <w:szCs w:val="24"/>
        </w:rPr>
        <w:t xml:space="preserve">, </w:t>
      </w:r>
      <w:r w:rsidR="008579A0" w:rsidRPr="00C301AA">
        <w:rPr>
          <w:rFonts w:ascii="Times New Roman" w:hAnsi="Times New Roman"/>
          <w:sz w:val="24"/>
          <w:szCs w:val="24"/>
        </w:rPr>
        <w:t xml:space="preserve">a </w:t>
      </w:r>
      <w:r w:rsidR="00417C3E" w:rsidRPr="00C301AA">
        <w:rPr>
          <w:rFonts w:ascii="Times New Roman" w:hAnsi="Times New Roman"/>
          <w:sz w:val="24"/>
          <w:szCs w:val="24"/>
        </w:rPr>
        <w:t xml:space="preserve">student who is solely supported with non-McNair funds is not considered </w:t>
      </w:r>
      <w:r w:rsidR="008579A0" w:rsidRPr="00C301AA">
        <w:rPr>
          <w:rFonts w:ascii="Times New Roman" w:hAnsi="Times New Roman"/>
          <w:sz w:val="24"/>
          <w:szCs w:val="24"/>
        </w:rPr>
        <w:t>a McNair participant</w:t>
      </w:r>
      <w:r w:rsidR="005B6F2A">
        <w:rPr>
          <w:rFonts w:ascii="Times New Roman" w:hAnsi="Times New Roman"/>
          <w:sz w:val="24"/>
          <w:szCs w:val="24"/>
        </w:rPr>
        <w:t>.</w:t>
      </w:r>
      <w:r w:rsidR="00417C3E" w:rsidRPr="00C301AA">
        <w:rPr>
          <w:rFonts w:ascii="Times New Roman" w:hAnsi="Times New Roman"/>
          <w:sz w:val="24"/>
          <w:szCs w:val="24"/>
        </w:rPr>
        <w:t xml:space="preserve"> </w:t>
      </w:r>
      <w:r w:rsidR="007A18C6" w:rsidRPr="00C301AA">
        <w:rPr>
          <w:rFonts w:ascii="Times New Roman" w:hAnsi="Times New Roman"/>
          <w:sz w:val="24"/>
          <w:szCs w:val="24"/>
        </w:rPr>
        <w:t xml:space="preserve"> </w:t>
      </w:r>
      <w:r w:rsidR="008579A0" w:rsidRPr="00C301AA">
        <w:rPr>
          <w:rFonts w:ascii="Times New Roman" w:hAnsi="Times New Roman"/>
          <w:sz w:val="24"/>
          <w:szCs w:val="24"/>
        </w:rPr>
        <w:t xml:space="preserve">If a student is supported entirely with non-McNair funds, the grantee should not </w:t>
      </w:r>
      <w:r w:rsidR="00963664" w:rsidRPr="00C301AA">
        <w:rPr>
          <w:rFonts w:ascii="Times New Roman" w:hAnsi="Times New Roman"/>
          <w:sz w:val="24"/>
          <w:szCs w:val="24"/>
        </w:rPr>
        <w:t>include</w:t>
      </w:r>
      <w:r w:rsidR="008579A0" w:rsidRPr="00C301AA">
        <w:rPr>
          <w:rFonts w:ascii="Times New Roman" w:hAnsi="Times New Roman"/>
          <w:sz w:val="24"/>
          <w:szCs w:val="24"/>
        </w:rPr>
        <w:t xml:space="preserve"> the student in the APR.</w:t>
      </w:r>
    </w:p>
    <w:p w:rsidR="007E5C1B" w:rsidRDefault="007E5C1B" w:rsidP="007E5C1B">
      <w:pPr>
        <w:spacing w:after="0" w:line="240" w:lineRule="auto"/>
        <w:rPr>
          <w:rFonts w:ascii="Times New Roman" w:eastAsia="Times New Roman" w:hAnsi="Times New Roman" w:cs="Times New Roman"/>
          <w:b/>
          <w:sz w:val="24"/>
          <w:szCs w:val="24"/>
        </w:rPr>
      </w:pPr>
    </w:p>
    <w:p w:rsidR="00CC3D05" w:rsidRPr="00C301AA" w:rsidRDefault="00CC3D05"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EC1A32" w:rsidRPr="00C301AA">
        <w:rPr>
          <w:rFonts w:ascii="Times New Roman" w:eastAsia="Times New Roman" w:hAnsi="Times New Roman" w:cs="Times New Roman"/>
          <w:b/>
          <w:sz w:val="24"/>
          <w:szCs w:val="24"/>
        </w:rPr>
        <w:t xml:space="preserve"> </w:t>
      </w:r>
      <w:r w:rsidR="00531B76" w:rsidRPr="00C301AA">
        <w:rPr>
          <w:rFonts w:ascii="Times New Roman" w:eastAsia="Times New Roman" w:hAnsi="Times New Roman" w:cs="Times New Roman"/>
          <w:b/>
          <w:sz w:val="24"/>
          <w:szCs w:val="24"/>
        </w:rPr>
        <w:t xml:space="preserve"> </w:t>
      </w:r>
      <w:r w:rsidR="00531B76" w:rsidRPr="00C301AA">
        <w:rPr>
          <w:rFonts w:ascii="Times New Roman" w:eastAsia="Times New Roman" w:hAnsi="Times New Roman" w:cs="Times New Roman"/>
          <w:sz w:val="24"/>
          <w:szCs w:val="24"/>
        </w:rPr>
        <w:t>None</w:t>
      </w:r>
    </w:p>
    <w:p w:rsidR="007E5C1B" w:rsidRDefault="007E5C1B" w:rsidP="007E5C1B">
      <w:pPr>
        <w:spacing w:after="0" w:line="240" w:lineRule="auto"/>
        <w:rPr>
          <w:rFonts w:ascii="Times New Roman" w:eastAsia="Times New Roman" w:hAnsi="Times New Roman" w:cs="Times New Roman"/>
          <w:b/>
          <w:sz w:val="24"/>
          <w:szCs w:val="24"/>
        </w:rPr>
      </w:pPr>
    </w:p>
    <w:p w:rsidR="002C7477" w:rsidRPr="00C301AA" w:rsidRDefault="004838B4" w:rsidP="007E5C1B">
      <w:pPr>
        <w:spacing w:after="0" w:line="240" w:lineRule="auto"/>
        <w:rPr>
          <w:rFonts w:ascii="Times New Roman" w:eastAsia="Times New Roman" w:hAnsi="Times New Roman" w:cs="Times New Roman"/>
          <w:b/>
          <w:sz w:val="24"/>
          <w:szCs w:val="24"/>
        </w:rPr>
      </w:pPr>
      <w:proofErr w:type="gramStart"/>
      <w:r w:rsidRPr="00C301AA">
        <w:rPr>
          <w:rFonts w:ascii="Times New Roman" w:eastAsia="Times New Roman" w:hAnsi="Times New Roman" w:cs="Times New Roman"/>
          <w:b/>
          <w:sz w:val="24"/>
          <w:szCs w:val="24"/>
        </w:rPr>
        <w:t>SECTION II.F.</w:t>
      </w:r>
      <w:proofErr w:type="gramEnd"/>
      <w:r w:rsidRPr="00C301AA">
        <w:rPr>
          <w:rFonts w:ascii="Times New Roman" w:eastAsia="Times New Roman" w:hAnsi="Times New Roman" w:cs="Times New Roman"/>
          <w:b/>
          <w:sz w:val="24"/>
          <w:szCs w:val="24"/>
        </w:rPr>
        <w:t xml:space="preserve"> PARTICIPANTS’ ACADEMIC AND DEGREE STATUS INFORMATION</w:t>
      </w:r>
    </w:p>
    <w:p w:rsidR="007E5C1B" w:rsidRDefault="007E5C1B" w:rsidP="007E5C1B">
      <w:pPr>
        <w:autoSpaceDE w:val="0"/>
        <w:autoSpaceDN w:val="0"/>
        <w:adjustRightInd w:val="0"/>
        <w:spacing w:after="0" w:line="240" w:lineRule="auto"/>
        <w:rPr>
          <w:rFonts w:ascii="Times New Roman" w:hAnsi="Times New Roman" w:cs="Times New Roman"/>
          <w:b/>
          <w:bCs/>
          <w:sz w:val="24"/>
          <w:szCs w:val="24"/>
          <w:u w:val="single"/>
        </w:rPr>
      </w:pPr>
    </w:p>
    <w:p w:rsidR="004838B4" w:rsidRPr="00C301AA" w:rsidRDefault="004838B4" w:rsidP="007E5C1B">
      <w:pPr>
        <w:autoSpaceDE w:val="0"/>
        <w:autoSpaceDN w:val="0"/>
        <w:adjustRightInd w:val="0"/>
        <w:spacing w:after="0" w:line="240" w:lineRule="auto"/>
        <w:rPr>
          <w:rFonts w:ascii="Times New Roman" w:hAnsi="Times New Roman" w:cs="Times New Roman"/>
          <w:b/>
          <w:bCs/>
          <w:sz w:val="24"/>
          <w:szCs w:val="24"/>
          <w:u w:val="single"/>
        </w:rPr>
      </w:pPr>
      <w:r w:rsidRPr="00C301AA">
        <w:rPr>
          <w:rFonts w:ascii="Times New Roman" w:hAnsi="Times New Roman" w:cs="Times New Roman"/>
          <w:b/>
          <w:bCs/>
          <w:sz w:val="24"/>
          <w:szCs w:val="24"/>
          <w:u w:val="single"/>
        </w:rPr>
        <w:t xml:space="preserve">Field 29 – </w:t>
      </w:r>
      <w:r w:rsidR="00531B76" w:rsidRPr="00C301AA">
        <w:rPr>
          <w:rFonts w:ascii="Times New Roman" w:hAnsi="Times New Roman" w:cs="Times New Roman"/>
          <w:b/>
          <w:sz w:val="24"/>
          <w:szCs w:val="24"/>
          <w:u w:val="single"/>
        </w:rPr>
        <w:t>Graduating Cohort Year of Bachelor’s Degree</w:t>
      </w:r>
    </w:p>
    <w:p w:rsidR="004838B4" w:rsidRPr="00C301AA" w:rsidRDefault="004838B4" w:rsidP="007E5C1B">
      <w:pPr>
        <w:autoSpaceDE w:val="0"/>
        <w:autoSpaceDN w:val="0"/>
        <w:adjustRightInd w:val="0"/>
        <w:spacing w:after="0" w:line="240" w:lineRule="auto"/>
        <w:rPr>
          <w:rFonts w:ascii="Times New Roman" w:hAnsi="Times New Roman" w:cs="Times New Roman"/>
          <w:b/>
          <w:bCs/>
          <w:sz w:val="24"/>
          <w:szCs w:val="24"/>
        </w:rPr>
      </w:pPr>
    </w:p>
    <w:p w:rsidR="002C7477" w:rsidRPr="00C301AA" w:rsidRDefault="002C7477" w:rsidP="007E5C1B">
      <w:pPr>
        <w:autoSpaceDE w:val="0"/>
        <w:autoSpaceDN w:val="0"/>
        <w:adjustRightInd w:val="0"/>
        <w:spacing w:after="0" w:line="240" w:lineRule="auto"/>
        <w:rPr>
          <w:rFonts w:ascii="Times New Roman" w:hAnsi="Times New Roman" w:cs="Times New Roman"/>
          <w:bCs/>
          <w:iCs/>
          <w:sz w:val="24"/>
          <w:szCs w:val="24"/>
        </w:rPr>
      </w:pPr>
      <w:r w:rsidRPr="00C301AA">
        <w:rPr>
          <w:rFonts w:ascii="Times New Roman" w:hAnsi="Times New Roman" w:cs="Times New Roman"/>
          <w:b/>
          <w:bCs/>
          <w:sz w:val="24"/>
          <w:szCs w:val="24"/>
        </w:rPr>
        <w:t xml:space="preserve">Comments:  </w:t>
      </w:r>
      <w:r w:rsidRPr="00C301AA">
        <w:rPr>
          <w:rFonts w:ascii="Times New Roman" w:hAnsi="Times New Roman" w:cs="Times New Roman"/>
          <w:bCs/>
          <w:sz w:val="24"/>
          <w:szCs w:val="24"/>
        </w:rPr>
        <w:t>One com</w:t>
      </w:r>
      <w:r w:rsidR="004838B4" w:rsidRPr="00C301AA">
        <w:rPr>
          <w:rFonts w:ascii="Times New Roman" w:hAnsi="Times New Roman" w:cs="Times New Roman"/>
          <w:bCs/>
          <w:sz w:val="24"/>
          <w:szCs w:val="24"/>
        </w:rPr>
        <w:t>m</w:t>
      </w:r>
      <w:r w:rsidRPr="00C301AA">
        <w:rPr>
          <w:rFonts w:ascii="Times New Roman" w:hAnsi="Times New Roman" w:cs="Times New Roman"/>
          <w:bCs/>
          <w:sz w:val="24"/>
          <w:szCs w:val="24"/>
        </w:rPr>
        <w:t>enter</w:t>
      </w:r>
      <w:r w:rsidR="004838B4" w:rsidRPr="00C301AA">
        <w:rPr>
          <w:rFonts w:ascii="Times New Roman" w:hAnsi="Times New Roman" w:cs="Times New Roman"/>
          <w:bCs/>
          <w:sz w:val="24"/>
          <w:szCs w:val="24"/>
        </w:rPr>
        <w:t xml:space="preserve"> n</w:t>
      </w:r>
      <w:r w:rsidRPr="00C301AA">
        <w:rPr>
          <w:rFonts w:ascii="Times New Roman" w:hAnsi="Times New Roman" w:cs="Times New Roman"/>
          <w:bCs/>
          <w:sz w:val="24"/>
          <w:szCs w:val="24"/>
        </w:rPr>
        <w:t>ote</w:t>
      </w:r>
      <w:r w:rsidR="00963664" w:rsidRPr="00C301AA">
        <w:rPr>
          <w:rFonts w:ascii="Times New Roman" w:hAnsi="Times New Roman" w:cs="Times New Roman"/>
          <w:bCs/>
          <w:sz w:val="24"/>
          <w:szCs w:val="24"/>
        </w:rPr>
        <w:t>d</w:t>
      </w:r>
      <w:r w:rsidRPr="00C301AA">
        <w:rPr>
          <w:rFonts w:ascii="Times New Roman" w:hAnsi="Times New Roman" w:cs="Times New Roman"/>
          <w:bCs/>
          <w:sz w:val="24"/>
          <w:szCs w:val="24"/>
        </w:rPr>
        <w:t xml:space="preserve"> that </w:t>
      </w:r>
      <w:r w:rsidR="004838B4" w:rsidRPr="00C301AA">
        <w:rPr>
          <w:rFonts w:ascii="Times New Roman" w:hAnsi="Times New Roman" w:cs="Times New Roman"/>
          <w:bCs/>
          <w:sz w:val="24"/>
          <w:szCs w:val="24"/>
        </w:rPr>
        <w:t>a</w:t>
      </w:r>
      <w:r w:rsidRPr="00C301AA">
        <w:rPr>
          <w:rFonts w:ascii="Times New Roman" w:hAnsi="Times New Roman" w:cs="Times New Roman"/>
          <w:sz w:val="24"/>
          <w:szCs w:val="24"/>
        </w:rPr>
        <w:t xml:space="preserve"> new option has been added to the list of available cohorts: </w:t>
      </w:r>
      <w:r w:rsidRPr="00C301AA">
        <w:rPr>
          <w:rFonts w:ascii="Times New Roman" w:hAnsi="Times New Roman" w:cs="Times New Roman"/>
          <w:bCs/>
          <w:i/>
          <w:iCs/>
          <w:sz w:val="24"/>
          <w:szCs w:val="24"/>
        </w:rPr>
        <w:t>88 = Earned a bachelor’s degree in a</w:t>
      </w:r>
      <w:r w:rsidR="004838B4" w:rsidRPr="00C301AA">
        <w:rPr>
          <w:rFonts w:ascii="Times New Roman" w:hAnsi="Times New Roman" w:cs="Times New Roman"/>
          <w:bCs/>
          <w:i/>
          <w:iCs/>
          <w:sz w:val="24"/>
          <w:szCs w:val="24"/>
        </w:rPr>
        <w:t xml:space="preserve"> </w:t>
      </w:r>
      <w:r w:rsidRPr="00C301AA">
        <w:rPr>
          <w:rFonts w:ascii="Times New Roman" w:hAnsi="Times New Roman" w:cs="Times New Roman"/>
          <w:bCs/>
          <w:i/>
          <w:iCs/>
          <w:sz w:val="24"/>
          <w:szCs w:val="24"/>
        </w:rPr>
        <w:t>previous reporting period but failed to report it at the time</w:t>
      </w:r>
      <w:r w:rsidR="004838B4" w:rsidRPr="00C301AA">
        <w:rPr>
          <w:rFonts w:ascii="Times New Roman" w:hAnsi="Times New Roman" w:cs="Times New Roman"/>
          <w:bCs/>
          <w:i/>
          <w:iCs/>
          <w:sz w:val="24"/>
          <w:szCs w:val="24"/>
        </w:rPr>
        <w:t xml:space="preserve">. </w:t>
      </w:r>
      <w:r w:rsidR="00EC1A32" w:rsidRPr="00C301AA">
        <w:rPr>
          <w:rFonts w:ascii="Times New Roman" w:hAnsi="Times New Roman" w:cs="Times New Roman"/>
          <w:bCs/>
          <w:i/>
          <w:iCs/>
          <w:sz w:val="24"/>
          <w:szCs w:val="24"/>
        </w:rPr>
        <w:t xml:space="preserve"> </w:t>
      </w:r>
      <w:r w:rsidR="004838B4" w:rsidRPr="00C301AA">
        <w:rPr>
          <w:rFonts w:ascii="Times New Roman" w:hAnsi="Times New Roman" w:cs="Times New Roman"/>
          <w:sz w:val="24"/>
          <w:szCs w:val="24"/>
        </w:rPr>
        <w:t xml:space="preserve">They </w:t>
      </w:r>
      <w:r w:rsidR="00963664" w:rsidRPr="00C301AA">
        <w:rPr>
          <w:rFonts w:ascii="Times New Roman" w:hAnsi="Times New Roman" w:cs="Times New Roman"/>
          <w:sz w:val="24"/>
          <w:szCs w:val="24"/>
        </w:rPr>
        <w:t xml:space="preserve">further </w:t>
      </w:r>
      <w:r w:rsidR="004838B4" w:rsidRPr="00C301AA">
        <w:rPr>
          <w:rFonts w:ascii="Times New Roman" w:hAnsi="Times New Roman" w:cs="Times New Roman"/>
          <w:sz w:val="24"/>
          <w:szCs w:val="24"/>
        </w:rPr>
        <w:t>note</w:t>
      </w:r>
      <w:r w:rsidR="00963664" w:rsidRPr="00C301AA">
        <w:rPr>
          <w:rFonts w:ascii="Times New Roman" w:hAnsi="Times New Roman" w:cs="Times New Roman"/>
          <w:sz w:val="24"/>
          <w:szCs w:val="24"/>
        </w:rPr>
        <w:t>d</w:t>
      </w:r>
      <w:r w:rsidR="004838B4" w:rsidRPr="00C301AA">
        <w:rPr>
          <w:rFonts w:ascii="Times New Roman" w:hAnsi="Times New Roman" w:cs="Times New Roman"/>
          <w:sz w:val="24"/>
          <w:szCs w:val="24"/>
        </w:rPr>
        <w:t xml:space="preserve"> that w</w:t>
      </w:r>
      <w:r w:rsidRPr="00C301AA">
        <w:rPr>
          <w:rFonts w:ascii="Times New Roman" w:hAnsi="Times New Roman" w:cs="Times New Roman"/>
          <w:sz w:val="24"/>
          <w:szCs w:val="24"/>
        </w:rPr>
        <w:t xml:space="preserve">hile this is a welcome addition for individuals not </w:t>
      </w:r>
      <w:r w:rsidR="00963664" w:rsidRPr="00C301AA">
        <w:rPr>
          <w:rFonts w:ascii="Times New Roman" w:hAnsi="Times New Roman" w:cs="Times New Roman"/>
          <w:sz w:val="24"/>
          <w:szCs w:val="24"/>
        </w:rPr>
        <w:t>placed in the correct</w:t>
      </w:r>
      <w:r w:rsidRPr="00C301AA">
        <w:rPr>
          <w:rFonts w:ascii="Times New Roman" w:hAnsi="Times New Roman" w:cs="Times New Roman"/>
          <w:sz w:val="24"/>
          <w:szCs w:val="24"/>
        </w:rPr>
        <w:t xml:space="preserve"> cohorts,</w:t>
      </w:r>
      <w:r w:rsidR="004838B4" w:rsidRPr="00C301AA">
        <w:rPr>
          <w:rFonts w:ascii="Times New Roman" w:hAnsi="Times New Roman" w:cs="Times New Roman"/>
          <w:sz w:val="24"/>
          <w:szCs w:val="24"/>
        </w:rPr>
        <w:t xml:space="preserve"> </w:t>
      </w:r>
      <w:r w:rsidRPr="00C301AA">
        <w:rPr>
          <w:rFonts w:ascii="Times New Roman" w:hAnsi="Times New Roman" w:cs="Times New Roman"/>
          <w:sz w:val="24"/>
          <w:szCs w:val="24"/>
        </w:rPr>
        <w:t xml:space="preserve">this </w:t>
      </w:r>
      <w:r w:rsidR="00963664" w:rsidRPr="00C301AA">
        <w:rPr>
          <w:rFonts w:ascii="Times New Roman" w:hAnsi="Times New Roman" w:cs="Times New Roman"/>
          <w:sz w:val="24"/>
          <w:szCs w:val="24"/>
        </w:rPr>
        <w:t>raises the issue of how the</w:t>
      </w:r>
      <w:r w:rsidRPr="00C301AA">
        <w:rPr>
          <w:rFonts w:ascii="Times New Roman" w:hAnsi="Times New Roman" w:cs="Times New Roman"/>
          <w:sz w:val="24"/>
          <w:szCs w:val="24"/>
        </w:rPr>
        <w:t xml:space="preserve">se students will be coded in the future. </w:t>
      </w:r>
      <w:r w:rsidR="00EC1A32" w:rsidRPr="00C301AA">
        <w:rPr>
          <w:rFonts w:ascii="Times New Roman" w:hAnsi="Times New Roman" w:cs="Times New Roman"/>
          <w:sz w:val="24"/>
          <w:szCs w:val="24"/>
        </w:rPr>
        <w:t xml:space="preserve"> </w:t>
      </w:r>
      <w:r w:rsidR="004838B4" w:rsidRPr="00C301AA">
        <w:rPr>
          <w:rFonts w:ascii="Times New Roman" w:hAnsi="Times New Roman" w:cs="Times New Roman"/>
          <w:sz w:val="24"/>
          <w:szCs w:val="24"/>
        </w:rPr>
        <w:t>They inquire</w:t>
      </w:r>
      <w:r w:rsidR="00963664" w:rsidRPr="00C301AA">
        <w:rPr>
          <w:rFonts w:ascii="Times New Roman" w:hAnsi="Times New Roman" w:cs="Times New Roman"/>
          <w:sz w:val="24"/>
          <w:szCs w:val="24"/>
        </w:rPr>
        <w:t>d</w:t>
      </w:r>
      <w:r w:rsidR="004838B4" w:rsidRPr="00C301AA">
        <w:rPr>
          <w:rFonts w:ascii="Times New Roman" w:hAnsi="Times New Roman" w:cs="Times New Roman"/>
          <w:sz w:val="24"/>
          <w:szCs w:val="24"/>
        </w:rPr>
        <w:t xml:space="preserve"> </w:t>
      </w:r>
      <w:r w:rsidR="007A18C6" w:rsidRPr="00C301AA">
        <w:rPr>
          <w:rFonts w:ascii="Times New Roman" w:hAnsi="Times New Roman" w:cs="Times New Roman"/>
          <w:sz w:val="24"/>
          <w:szCs w:val="24"/>
        </w:rPr>
        <w:t xml:space="preserve">as to </w:t>
      </w:r>
      <w:r w:rsidR="004838B4" w:rsidRPr="00C301AA">
        <w:rPr>
          <w:rFonts w:ascii="Times New Roman" w:hAnsi="Times New Roman" w:cs="Times New Roman"/>
          <w:sz w:val="24"/>
          <w:szCs w:val="24"/>
        </w:rPr>
        <w:t xml:space="preserve">whether </w:t>
      </w:r>
      <w:r w:rsidR="00963664" w:rsidRPr="00C301AA">
        <w:rPr>
          <w:rFonts w:ascii="Times New Roman" w:hAnsi="Times New Roman" w:cs="Times New Roman"/>
          <w:sz w:val="24"/>
          <w:szCs w:val="24"/>
        </w:rPr>
        <w:t xml:space="preserve">these students will count towards the doctoral degree attainment objective (i.e., </w:t>
      </w:r>
      <w:r w:rsidRPr="00C301AA">
        <w:rPr>
          <w:rFonts w:ascii="Times New Roman" w:hAnsi="Times New Roman" w:cs="Times New Roman"/>
          <w:sz w:val="24"/>
          <w:szCs w:val="24"/>
        </w:rPr>
        <w:t xml:space="preserve">assuming that doctoral completion is calculated based </w:t>
      </w:r>
      <w:r w:rsidR="00963664" w:rsidRPr="00C301AA">
        <w:rPr>
          <w:rFonts w:ascii="Times New Roman" w:hAnsi="Times New Roman" w:cs="Times New Roman"/>
          <w:sz w:val="24"/>
          <w:szCs w:val="24"/>
        </w:rPr>
        <w:t>on being assigned to a cohort</w:t>
      </w:r>
      <w:r w:rsidRPr="00C301AA">
        <w:rPr>
          <w:rFonts w:ascii="Times New Roman" w:hAnsi="Times New Roman" w:cs="Times New Roman"/>
          <w:sz w:val="24"/>
          <w:szCs w:val="24"/>
        </w:rPr>
        <w:t>)</w:t>
      </w:r>
      <w:r w:rsidR="004838B4" w:rsidRPr="00C301AA">
        <w:rPr>
          <w:rFonts w:ascii="Times New Roman" w:hAnsi="Times New Roman" w:cs="Times New Roman"/>
          <w:sz w:val="24"/>
          <w:szCs w:val="24"/>
        </w:rPr>
        <w:t>.</w:t>
      </w:r>
      <w:r w:rsidRPr="00C301AA">
        <w:rPr>
          <w:rFonts w:ascii="Times New Roman" w:hAnsi="Times New Roman" w:cs="Times New Roman"/>
          <w:sz w:val="24"/>
          <w:szCs w:val="24"/>
        </w:rPr>
        <w:t xml:space="preserve"> </w:t>
      </w:r>
      <w:r w:rsidR="00EC1A32" w:rsidRPr="00C301AA">
        <w:rPr>
          <w:rFonts w:ascii="Times New Roman" w:hAnsi="Times New Roman" w:cs="Times New Roman"/>
          <w:sz w:val="24"/>
          <w:szCs w:val="24"/>
        </w:rPr>
        <w:t xml:space="preserve"> </w:t>
      </w:r>
      <w:r w:rsidR="004838B4" w:rsidRPr="00C301AA">
        <w:rPr>
          <w:rFonts w:ascii="Times New Roman" w:hAnsi="Times New Roman" w:cs="Times New Roman"/>
          <w:sz w:val="24"/>
          <w:szCs w:val="24"/>
        </w:rPr>
        <w:t xml:space="preserve">They </w:t>
      </w:r>
      <w:r w:rsidRPr="00C301AA">
        <w:rPr>
          <w:rFonts w:ascii="Times New Roman" w:hAnsi="Times New Roman" w:cs="Times New Roman"/>
          <w:bCs/>
          <w:iCs/>
          <w:sz w:val="24"/>
          <w:szCs w:val="24"/>
        </w:rPr>
        <w:t>recommend</w:t>
      </w:r>
      <w:r w:rsidR="00C301AA" w:rsidRPr="00C301AA">
        <w:rPr>
          <w:rFonts w:ascii="Times New Roman" w:hAnsi="Times New Roman" w:cs="Times New Roman"/>
          <w:bCs/>
          <w:iCs/>
          <w:sz w:val="24"/>
          <w:szCs w:val="24"/>
        </w:rPr>
        <w:t>ed</w:t>
      </w:r>
      <w:r w:rsidRPr="00C301AA">
        <w:rPr>
          <w:rFonts w:ascii="Times New Roman" w:hAnsi="Times New Roman" w:cs="Times New Roman"/>
          <w:bCs/>
          <w:iCs/>
          <w:sz w:val="24"/>
          <w:szCs w:val="24"/>
        </w:rPr>
        <w:t xml:space="preserve"> provid</w:t>
      </w:r>
      <w:r w:rsidR="004838B4" w:rsidRPr="00C301AA">
        <w:rPr>
          <w:rFonts w:ascii="Times New Roman" w:hAnsi="Times New Roman" w:cs="Times New Roman"/>
          <w:bCs/>
          <w:iCs/>
          <w:sz w:val="24"/>
          <w:szCs w:val="24"/>
        </w:rPr>
        <w:t>ing</w:t>
      </w:r>
      <w:r w:rsidRPr="00C301AA">
        <w:rPr>
          <w:rFonts w:ascii="Times New Roman" w:hAnsi="Times New Roman" w:cs="Times New Roman"/>
          <w:bCs/>
          <w:iCs/>
          <w:sz w:val="24"/>
          <w:szCs w:val="24"/>
        </w:rPr>
        <w:t xml:space="preserve"> a one-time exception (as is</w:t>
      </w:r>
      <w:r w:rsidR="004838B4" w:rsidRPr="00C301AA">
        <w:rPr>
          <w:rFonts w:ascii="Times New Roman" w:hAnsi="Times New Roman" w:cs="Times New Roman"/>
          <w:bCs/>
          <w:iCs/>
          <w:sz w:val="24"/>
          <w:szCs w:val="24"/>
        </w:rPr>
        <w:t xml:space="preserve"> </w:t>
      </w:r>
      <w:r w:rsidRPr="00C301AA">
        <w:rPr>
          <w:rFonts w:ascii="Times New Roman" w:hAnsi="Times New Roman" w:cs="Times New Roman"/>
          <w:bCs/>
          <w:iCs/>
          <w:sz w:val="24"/>
          <w:szCs w:val="24"/>
        </w:rPr>
        <w:t>being done to other items), for students to be “</w:t>
      </w:r>
      <w:proofErr w:type="spellStart"/>
      <w:r w:rsidRPr="00C301AA">
        <w:rPr>
          <w:rFonts w:ascii="Times New Roman" w:hAnsi="Times New Roman" w:cs="Times New Roman"/>
          <w:bCs/>
          <w:iCs/>
          <w:sz w:val="24"/>
          <w:szCs w:val="24"/>
        </w:rPr>
        <w:t>cohorted</w:t>
      </w:r>
      <w:proofErr w:type="spellEnd"/>
      <w:r w:rsidRPr="00C301AA">
        <w:rPr>
          <w:rFonts w:ascii="Times New Roman" w:hAnsi="Times New Roman" w:cs="Times New Roman"/>
          <w:bCs/>
          <w:iCs/>
          <w:sz w:val="24"/>
          <w:szCs w:val="24"/>
        </w:rPr>
        <w:t>” appropriately.</w:t>
      </w:r>
    </w:p>
    <w:p w:rsidR="007E5C1B" w:rsidRDefault="007E5C1B" w:rsidP="007E5C1B">
      <w:pPr>
        <w:spacing w:after="0" w:line="240" w:lineRule="auto"/>
        <w:rPr>
          <w:rFonts w:ascii="Times New Roman" w:eastAsia="Times New Roman" w:hAnsi="Times New Roman" w:cs="Times New Roman"/>
          <w:b/>
          <w:sz w:val="24"/>
          <w:szCs w:val="24"/>
        </w:rPr>
      </w:pPr>
    </w:p>
    <w:p w:rsidR="001C7D42" w:rsidRPr="00C301AA" w:rsidRDefault="002C7477"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 xml:space="preserve">Discussion: </w:t>
      </w:r>
      <w:r w:rsidR="00EC1A32" w:rsidRPr="00C301AA">
        <w:rPr>
          <w:rFonts w:ascii="Times New Roman" w:eastAsia="Times New Roman" w:hAnsi="Times New Roman" w:cs="Times New Roman"/>
          <w:b/>
          <w:sz w:val="24"/>
          <w:szCs w:val="24"/>
        </w:rPr>
        <w:t xml:space="preserve"> </w:t>
      </w:r>
      <w:r w:rsidR="001C7D42" w:rsidRPr="00C301AA">
        <w:rPr>
          <w:rFonts w:ascii="Times New Roman" w:eastAsia="Times New Roman" w:hAnsi="Times New Roman" w:cs="Times New Roman"/>
          <w:sz w:val="24"/>
          <w:szCs w:val="24"/>
        </w:rPr>
        <w:t xml:space="preserve">Per </w:t>
      </w:r>
      <w:r w:rsidR="00963664" w:rsidRPr="00C301AA">
        <w:rPr>
          <w:rFonts w:ascii="Times New Roman" w:eastAsia="Times New Roman" w:hAnsi="Times New Roman" w:cs="Times New Roman"/>
          <w:sz w:val="24"/>
          <w:szCs w:val="24"/>
        </w:rPr>
        <w:t xml:space="preserve">longstanding </w:t>
      </w:r>
      <w:r w:rsidR="001C7D42" w:rsidRPr="00C301AA">
        <w:rPr>
          <w:rFonts w:ascii="Times New Roman" w:eastAsia="Times New Roman" w:hAnsi="Times New Roman" w:cs="Times New Roman"/>
          <w:sz w:val="24"/>
          <w:szCs w:val="24"/>
        </w:rPr>
        <w:t>reporting policy, all participants who earned a bachelor’s degree must be reported as such in the year they earned the degree.  This allows the timely calculation of P</w:t>
      </w:r>
      <w:r w:rsidR="00B33982">
        <w:rPr>
          <w:rFonts w:ascii="Times New Roman" w:eastAsia="Times New Roman" w:hAnsi="Times New Roman" w:cs="Times New Roman"/>
          <w:sz w:val="24"/>
          <w:szCs w:val="24"/>
        </w:rPr>
        <w:t xml:space="preserve">rior </w:t>
      </w:r>
      <w:r w:rsidR="001C7D42" w:rsidRPr="00C301AA">
        <w:rPr>
          <w:rFonts w:ascii="Times New Roman" w:eastAsia="Times New Roman" w:hAnsi="Times New Roman" w:cs="Times New Roman"/>
          <w:sz w:val="24"/>
          <w:szCs w:val="24"/>
        </w:rPr>
        <w:t>E</w:t>
      </w:r>
      <w:r w:rsidR="00B33982">
        <w:rPr>
          <w:rFonts w:ascii="Times New Roman" w:eastAsia="Times New Roman" w:hAnsi="Times New Roman" w:cs="Times New Roman"/>
          <w:sz w:val="24"/>
          <w:szCs w:val="24"/>
        </w:rPr>
        <w:t>xperience (PE)</w:t>
      </w:r>
      <w:r w:rsidR="001C7D42" w:rsidRPr="00C301AA">
        <w:rPr>
          <w:rFonts w:ascii="Times New Roman" w:eastAsia="Times New Roman" w:hAnsi="Times New Roman" w:cs="Times New Roman"/>
          <w:sz w:val="24"/>
          <w:szCs w:val="24"/>
        </w:rPr>
        <w:t xml:space="preserve"> points for the doctorate degree attainment.  Without the ability to “freeze” the cohort sizes</w:t>
      </w:r>
      <w:r w:rsidR="00963664" w:rsidRPr="00C301AA">
        <w:rPr>
          <w:rFonts w:ascii="Times New Roman" w:eastAsia="Times New Roman" w:hAnsi="Times New Roman" w:cs="Times New Roman"/>
          <w:sz w:val="24"/>
          <w:szCs w:val="24"/>
        </w:rPr>
        <w:t>,</w:t>
      </w:r>
      <w:r w:rsidR="001C7D42" w:rsidRPr="00C301AA">
        <w:rPr>
          <w:rFonts w:ascii="Times New Roman" w:eastAsia="Times New Roman" w:hAnsi="Times New Roman" w:cs="Times New Roman"/>
          <w:sz w:val="24"/>
          <w:szCs w:val="24"/>
        </w:rPr>
        <w:t xml:space="preserve"> the Department would not be able to calculate the doctorate degree attainment objective at the time of data submission.  </w:t>
      </w:r>
      <w:r w:rsidR="00EC1A32" w:rsidRPr="00C301AA">
        <w:rPr>
          <w:rFonts w:ascii="Times New Roman" w:eastAsia="Times New Roman" w:hAnsi="Times New Roman" w:cs="Times New Roman"/>
          <w:sz w:val="24"/>
          <w:szCs w:val="24"/>
        </w:rPr>
        <w:t xml:space="preserve">This </w:t>
      </w:r>
      <w:r w:rsidR="001C7D42" w:rsidRPr="00C301AA">
        <w:rPr>
          <w:rFonts w:ascii="Times New Roman" w:eastAsia="Times New Roman" w:hAnsi="Times New Roman" w:cs="Times New Roman"/>
          <w:sz w:val="24"/>
          <w:szCs w:val="24"/>
        </w:rPr>
        <w:t xml:space="preserve">option </w:t>
      </w:r>
      <w:r w:rsidR="00EC1A32" w:rsidRPr="00C301AA">
        <w:rPr>
          <w:rFonts w:ascii="Times New Roman" w:eastAsia="Times New Roman" w:hAnsi="Times New Roman" w:cs="Times New Roman"/>
          <w:sz w:val="24"/>
          <w:szCs w:val="24"/>
        </w:rPr>
        <w:t xml:space="preserve">was added to </w:t>
      </w:r>
      <w:r w:rsidR="001C7D42" w:rsidRPr="00C301AA">
        <w:rPr>
          <w:rFonts w:ascii="Times New Roman" w:eastAsia="Times New Roman" w:hAnsi="Times New Roman" w:cs="Times New Roman"/>
          <w:sz w:val="24"/>
          <w:szCs w:val="24"/>
        </w:rPr>
        <w:t xml:space="preserve">field </w:t>
      </w:r>
      <w:r w:rsidR="007A18C6" w:rsidRPr="00C301AA">
        <w:rPr>
          <w:rFonts w:ascii="Times New Roman" w:eastAsia="Times New Roman" w:hAnsi="Times New Roman" w:cs="Times New Roman"/>
          <w:sz w:val="24"/>
          <w:szCs w:val="24"/>
        </w:rPr>
        <w:t>29</w:t>
      </w:r>
      <w:r w:rsidR="00EC1A32" w:rsidRPr="00C301AA">
        <w:rPr>
          <w:rFonts w:ascii="Times New Roman" w:eastAsia="Times New Roman" w:hAnsi="Times New Roman" w:cs="Times New Roman"/>
          <w:sz w:val="24"/>
          <w:szCs w:val="24"/>
        </w:rPr>
        <w:t xml:space="preserve"> because</w:t>
      </w:r>
      <w:r w:rsidR="00963664" w:rsidRPr="00C301AA">
        <w:rPr>
          <w:rFonts w:ascii="Times New Roman" w:eastAsia="Times New Roman" w:hAnsi="Times New Roman" w:cs="Times New Roman"/>
          <w:sz w:val="24"/>
          <w:szCs w:val="24"/>
        </w:rPr>
        <w:t xml:space="preserve"> some grantees continue to </w:t>
      </w:r>
      <w:r w:rsidR="0099270D" w:rsidRPr="00C301AA">
        <w:rPr>
          <w:rFonts w:ascii="Times New Roman" w:eastAsia="Times New Roman" w:hAnsi="Times New Roman" w:cs="Times New Roman"/>
          <w:sz w:val="24"/>
          <w:szCs w:val="24"/>
        </w:rPr>
        <w:t xml:space="preserve">fail </w:t>
      </w:r>
      <w:r w:rsidR="00EC1A32" w:rsidRPr="00C301AA">
        <w:rPr>
          <w:rFonts w:ascii="Times New Roman" w:eastAsia="Times New Roman" w:hAnsi="Times New Roman" w:cs="Times New Roman"/>
          <w:sz w:val="24"/>
          <w:szCs w:val="24"/>
        </w:rPr>
        <w:t>to report a student as having earned a ba</w:t>
      </w:r>
      <w:r w:rsidR="00963664" w:rsidRPr="00C301AA">
        <w:rPr>
          <w:rFonts w:ascii="Times New Roman" w:eastAsia="Times New Roman" w:hAnsi="Times New Roman" w:cs="Times New Roman"/>
          <w:sz w:val="24"/>
          <w:szCs w:val="24"/>
        </w:rPr>
        <w:t xml:space="preserve">chelor’s degree in the year the student earned the degree (i.e., </w:t>
      </w:r>
      <w:r w:rsidR="00EC1A32" w:rsidRPr="00C301AA">
        <w:rPr>
          <w:rFonts w:ascii="Times New Roman" w:eastAsia="Times New Roman" w:hAnsi="Times New Roman" w:cs="Times New Roman"/>
          <w:sz w:val="24"/>
          <w:szCs w:val="24"/>
        </w:rPr>
        <w:t>reporting period</w:t>
      </w:r>
      <w:r w:rsidR="00963664" w:rsidRPr="00C301AA">
        <w:rPr>
          <w:rFonts w:ascii="Times New Roman" w:eastAsia="Times New Roman" w:hAnsi="Times New Roman" w:cs="Times New Roman"/>
          <w:sz w:val="24"/>
          <w:szCs w:val="24"/>
        </w:rPr>
        <w:t>)</w:t>
      </w:r>
      <w:r w:rsidR="00EC1A32" w:rsidRPr="00C301AA">
        <w:rPr>
          <w:rFonts w:ascii="Times New Roman" w:eastAsia="Times New Roman" w:hAnsi="Times New Roman" w:cs="Times New Roman"/>
          <w:sz w:val="24"/>
          <w:szCs w:val="24"/>
        </w:rPr>
        <w:t>.</w:t>
      </w:r>
      <w:r w:rsidR="00963664" w:rsidRPr="00C301AA">
        <w:rPr>
          <w:rFonts w:ascii="Times New Roman" w:eastAsia="Times New Roman" w:hAnsi="Times New Roman" w:cs="Times New Roman"/>
          <w:sz w:val="24"/>
          <w:szCs w:val="24"/>
        </w:rPr>
        <w:t xml:space="preserve">  </w:t>
      </w:r>
      <w:r w:rsidR="001C7D42" w:rsidRPr="00C301AA">
        <w:rPr>
          <w:rFonts w:ascii="Times New Roman" w:eastAsia="Times New Roman" w:hAnsi="Times New Roman" w:cs="Times New Roman"/>
          <w:sz w:val="24"/>
          <w:szCs w:val="24"/>
        </w:rPr>
        <w:t xml:space="preserve"> </w:t>
      </w:r>
      <w:r w:rsidR="00DB6BB0" w:rsidRPr="00C301AA">
        <w:rPr>
          <w:rFonts w:ascii="Times New Roman" w:eastAsia="Times New Roman" w:hAnsi="Times New Roman" w:cs="Times New Roman"/>
          <w:sz w:val="24"/>
          <w:szCs w:val="24"/>
        </w:rPr>
        <w:t xml:space="preserve"> </w:t>
      </w:r>
    </w:p>
    <w:p w:rsidR="007E5C1B" w:rsidRDefault="007E5C1B" w:rsidP="007E5C1B">
      <w:pPr>
        <w:spacing w:after="0" w:line="240" w:lineRule="auto"/>
        <w:rPr>
          <w:rFonts w:ascii="Times New Roman" w:eastAsia="Times New Roman" w:hAnsi="Times New Roman" w:cs="Times New Roman"/>
          <w:sz w:val="24"/>
          <w:szCs w:val="24"/>
        </w:rPr>
      </w:pPr>
    </w:p>
    <w:p w:rsidR="002C7477" w:rsidRPr="00C301AA" w:rsidRDefault="001C7D42"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sz w:val="24"/>
          <w:szCs w:val="24"/>
        </w:rPr>
        <w:t>Regarding the question as to whether failure to correctly report the bachelor’</w:t>
      </w:r>
      <w:r w:rsidR="004E5292" w:rsidRPr="00C301AA">
        <w:rPr>
          <w:rFonts w:ascii="Times New Roman" w:eastAsia="Times New Roman" w:hAnsi="Times New Roman" w:cs="Times New Roman"/>
          <w:sz w:val="24"/>
          <w:szCs w:val="24"/>
        </w:rPr>
        <w:t>s degree will impact PE for the doctorate degree attainment, the answer is “Yes” because the participant would never have been placed in the correct cohort.</w:t>
      </w:r>
      <w:r w:rsidR="00514252" w:rsidRPr="00C301AA">
        <w:rPr>
          <w:rFonts w:ascii="Times New Roman" w:eastAsia="Times New Roman" w:hAnsi="Times New Roman" w:cs="Times New Roman"/>
          <w:sz w:val="24"/>
          <w:szCs w:val="24"/>
        </w:rPr>
        <w:t xml:space="preserve"> </w:t>
      </w:r>
      <w:r w:rsidR="00DB6BB0" w:rsidRPr="00C301AA">
        <w:rPr>
          <w:rFonts w:ascii="Times New Roman" w:eastAsia="Times New Roman" w:hAnsi="Times New Roman" w:cs="Times New Roman"/>
          <w:sz w:val="24"/>
          <w:szCs w:val="24"/>
        </w:rPr>
        <w:t xml:space="preserve"> </w:t>
      </w:r>
      <w:r w:rsidR="00963664" w:rsidRPr="00C301AA">
        <w:rPr>
          <w:rFonts w:ascii="Times New Roman" w:eastAsia="Times New Roman" w:hAnsi="Times New Roman" w:cs="Times New Roman"/>
          <w:sz w:val="24"/>
          <w:szCs w:val="24"/>
        </w:rPr>
        <w:t>However, option “88” has been added because while a grantee who fails to report the bachelor’s degree at the time of attainment, grantees will be eligible to earn PE points for the graduate persistence objective, that is, should the student enroll in graduate school and persist by the fall of the next academic year.</w:t>
      </w:r>
    </w:p>
    <w:p w:rsidR="007E5C1B" w:rsidRDefault="007E5C1B" w:rsidP="007E5C1B">
      <w:pPr>
        <w:spacing w:after="0" w:line="240" w:lineRule="auto"/>
        <w:rPr>
          <w:rFonts w:ascii="Times New Roman" w:eastAsia="Times New Roman" w:hAnsi="Times New Roman" w:cs="Times New Roman"/>
          <w:b/>
          <w:sz w:val="24"/>
          <w:szCs w:val="24"/>
        </w:rPr>
      </w:pPr>
    </w:p>
    <w:p w:rsidR="002C7477" w:rsidRPr="00C301AA" w:rsidRDefault="002C7477"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385BC4" w:rsidRPr="00C301AA">
        <w:rPr>
          <w:rFonts w:ascii="Times New Roman" w:eastAsia="Times New Roman" w:hAnsi="Times New Roman" w:cs="Times New Roman"/>
          <w:b/>
          <w:sz w:val="24"/>
          <w:szCs w:val="24"/>
        </w:rPr>
        <w:t xml:space="preserve">  </w:t>
      </w:r>
      <w:r w:rsidR="00385BC4" w:rsidRPr="00C301AA">
        <w:rPr>
          <w:rFonts w:ascii="Times New Roman" w:eastAsia="Times New Roman" w:hAnsi="Times New Roman" w:cs="Times New Roman"/>
          <w:sz w:val="24"/>
          <w:szCs w:val="24"/>
        </w:rPr>
        <w:t>None.</w:t>
      </w:r>
    </w:p>
    <w:p w:rsidR="007E5C1B" w:rsidRDefault="007E5C1B" w:rsidP="007E5C1B">
      <w:pPr>
        <w:pStyle w:val="Heading1"/>
        <w:spacing w:before="0" w:beforeAutospacing="0" w:after="0" w:afterAutospacing="0"/>
      </w:pPr>
    </w:p>
    <w:p w:rsidR="00BD525B" w:rsidRPr="00C301AA" w:rsidRDefault="004838B4" w:rsidP="007E5C1B">
      <w:pPr>
        <w:pStyle w:val="Heading1"/>
        <w:spacing w:before="0" w:beforeAutospacing="0" w:after="0" w:afterAutospacing="0"/>
      </w:pPr>
      <w:proofErr w:type="gramStart"/>
      <w:r w:rsidRPr="00C301AA">
        <w:t>SECTION II.H.</w:t>
      </w:r>
      <w:proofErr w:type="gramEnd"/>
      <w:r w:rsidRPr="00C301AA">
        <w:t xml:space="preserve"> PARTICIPANTS’ GRADUATE STATUS INFORMATION</w:t>
      </w:r>
      <w:r w:rsidR="00BD525B" w:rsidRPr="00C301AA">
        <w:t xml:space="preserve"> </w:t>
      </w:r>
    </w:p>
    <w:p w:rsidR="007E5C1B" w:rsidRDefault="007E5C1B" w:rsidP="007E5C1B">
      <w:pPr>
        <w:pStyle w:val="Heading3"/>
        <w:spacing w:after="0" w:line="240" w:lineRule="auto"/>
        <w:rPr>
          <w:sz w:val="24"/>
          <w:szCs w:val="24"/>
        </w:rPr>
      </w:pPr>
    </w:p>
    <w:p w:rsidR="004838B4" w:rsidRPr="00C301AA" w:rsidRDefault="004838B4" w:rsidP="007E5C1B">
      <w:pPr>
        <w:pStyle w:val="Heading3"/>
        <w:spacing w:after="0" w:line="240" w:lineRule="auto"/>
        <w:rPr>
          <w:sz w:val="24"/>
          <w:szCs w:val="24"/>
        </w:rPr>
      </w:pPr>
      <w:r w:rsidRPr="00C301AA">
        <w:rPr>
          <w:sz w:val="24"/>
          <w:szCs w:val="24"/>
        </w:rPr>
        <w:t>Field 35 - Graduate Admission Testing</w:t>
      </w:r>
    </w:p>
    <w:p w:rsidR="007E5C1B" w:rsidRDefault="007E5C1B" w:rsidP="007E5C1B">
      <w:pPr>
        <w:spacing w:after="0" w:line="240" w:lineRule="auto"/>
        <w:rPr>
          <w:rFonts w:ascii="Times New Roman" w:hAnsi="Times New Roman" w:cs="Times New Roman"/>
          <w:b/>
          <w:sz w:val="24"/>
          <w:szCs w:val="24"/>
        </w:rPr>
      </w:pPr>
    </w:p>
    <w:p w:rsidR="00BD525B" w:rsidRPr="00C301AA" w:rsidRDefault="004838B4"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Comments:</w:t>
      </w:r>
      <w:r w:rsidRPr="00C301AA">
        <w:rPr>
          <w:rFonts w:ascii="Times New Roman" w:hAnsi="Times New Roman" w:cs="Times New Roman"/>
          <w:sz w:val="24"/>
          <w:szCs w:val="24"/>
        </w:rPr>
        <w:t xml:space="preserve"> </w:t>
      </w:r>
      <w:r w:rsidR="00385BC4" w:rsidRPr="00C301AA">
        <w:rPr>
          <w:rFonts w:ascii="Times New Roman" w:hAnsi="Times New Roman" w:cs="Times New Roman"/>
          <w:sz w:val="24"/>
          <w:szCs w:val="24"/>
        </w:rPr>
        <w:t xml:space="preserve"> </w:t>
      </w:r>
      <w:r w:rsidR="0051138C" w:rsidRPr="00C301AA">
        <w:rPr>
          <w:rFonts w:ascii="Times New Roman" w:hAnsi="Times New Roman" w:cs="Times New Roman"/>
          <w:sz w:val="24"/>
          <w:szCs w:val="24"/>
        </w:rPr>
        <w:t>One</w:t>
      </w:r>
      <w:r w:rsidR="00BD525B" w:rsidRPr="00C301AA">
        <w:rPr>
          <w:rFonts w:ascii="Times New Roman" w:hAnsi="Times New Roman" w:cs="Times New Roman"/>
          <w:sz w:val="24"/>
          <w:szCs w:val="24"/>
        </w:rPr>
        <w:t xml:space="preserve"> commenter </w:t>
      </w:r>
      <w:r w:rsidR="0051138C" w:rsidRPr="00C301AA">
        <w:rPr>
          <w:rFonts w:ascii="Times New Roman" w:hAnsi="Times New Roman" w:cs="Times New Roman"/>
          <w:sz w:val="24"/>
          <w:szCs w:val="24"/>
        </w:rPr>
        <w:t>contended</w:t>
      </w:r>
      <w:r w:rsidR="00BD525B" w:rsidRPr="00C301AA">
        <w:rPr>
          <w:rFonts w:ascii="Times New Roman" w:hAnsi="Times New Roman" w:cs="Times New Roman"/>
          <w:sz w:val="24"/>
          <w:szCs w:val="24"/>
        </w:rPr>
        <w:t xml:space="preserve"> </w:t>
      </w:r>
      <w:r w:rsidRPr="00C301AA">
        <w:rPr>
          <w:rFonts w:ascii="Times New Roman" w:hAnsi="Times New Roman" w:cs="Times New Roman"/>
          <w:sz w:val="24"/>
          <w:szCs w:val="24"/>
        </w:rPr>
        <w:t>that i</w:t>
      </w:r>
      <w:r w:rsidR="00BD525B" w:rsidRPr="00C301AA">
        <w:rPr>
          <w:rFonts w:ascii="Times New Roman" w:hAnsi="Times New Roman" w:cs="Times New Roman"/>
          <w:sz w:val="24"/>
          <w:szCs w:val="24"/>
        </w:rPr>
        <w:t xml:space="preserve">t makes sense that </w:t>
      </w:r>
      <w:r w:rsidR="00385BC4" w:rsidRPr="00C301AA">
        <w:rPr>
          <w:rFonts w:ascii="Times New Roman" w:hAnsi="Times New Roman" w:cs="Times New Roman"/>
          <w:sz w:val="24"/>
          <w:szCs w:val="24"/>
        </w:rPr>
        <w:t>the Department</w:t>
      </w:r>
      <w:r w:rsidR="00BD525B" w:rsidRPr="00C301AA">
        <w:rPr>
          <w:rFonts w:ascii="Times New Roman" w:hAnsi="Times New Roman" w:cs="Times New Roman"/>
          <w:sz w:val="24"/>
          <w:szCs w:val="24"/>
        </w:rPr>
        <w:t xml:space="preserve"> want</w:t>
      </w:r>
      <w:r w:rsidR="00385BC4" w:rsidRPr="00C301AA">
        <w:rPr>
          <w:rFonts w:ascii="Times New Roman" w:hAnsi="Times New Roman" w:cs="Times New Roman"/>
          <w:sz w:val="24"/>
          <w:szCs w:val="24"/>
        </w:rPr>
        <w:t>s</w:t>
      </w:r>
      <w:r w:rsidR="00BD525B" w:rsidRPr="00C301AA">
        <w:rPr>
          <w:rFonts w:ascii="Times New Roman" w:hAnsi="Times New Roman" w:cs="Times New Roman"/>
          <w:sz w:val="24"/>
          <w:szCs w:val="24"/>
        </w:rPr>
        <w:t xml:space="preserve"> to know if the student took the Grad Admissions Test</w:t>
      </w:r>
      <w:r w:rsidR="00385BC4" w:rsidRPr="00C301AA">
        <w:rPr>
          <w:rFonts w:ascii="Times New Roman" w:hAnsi="Times New Roman" w:cs="Times New Roman"/>
          <w:sz w:val="24"/>
          <w:szCs w:val="24"/>
        </w:rPr>
        <w:t>,</w:t>
      </w:r>
      <w:r w:rsidR="00BD525B" w:rsidRPr="00C301AA">
        <w:rPr>
          <w:rFonts w:ascii="Times New Roman" w:hAnsi="Times New Roman" w:cs="Times New Roman"/>
          <w:sz w:val="24"/>
          <w:szCs w:val="24"/>
        </w:rPr>
        <w:t xml:space="preserve"> but </w:t>
      </w:r>
      <w:r w:rsidRPr="00C301AA">
        <w:rPr>
          <w:rFonts w:ascii="Times New Roman" w:hAnsi="Times New Roman" w:cs="Times New Roman"/>
          <w:sz w:val="24"/>
          <w:szCs w:val="24"/>
        </w:rPr>
        <w:t>recommend</w:t>
      </w:r>
      <w:r w:rsidR="00C301AA" w:rsidRPr="00C301AA">
        <w:rPr>
          <w:rFonts w:ascii="Times New Roman" w:hAnsi="Times New Roman" w:cs="Times New Roman"/>
          <w:sz w:val="24"/>
          <w:szCs w:val="24"/>
        </w:rPr>
        <w:t>ed</w:t>
      </w:r>
      <w:r w:rsidRPr="00C301AA">
        <w:rPr>
          <w:rFonts w:ascii="Times New Roman" w:hAnsi="Times New Roman" w:cs="Times New Roman"/>
          <w:sz w:val="24"/>
          <w:szCs w:val="24"/>
        </w:rPr>
        <w:t xml:space="preserve"> also requiring grantees to report on</w:t>
      </w:r>
      <w:r w:rsidR="00BD525B" w:rsidRPr="00C301AA">
        <w:rPr>
          <w:rFonts w:ascii="Times New Roman" w:hAnsi="Times New Roman" w:cs="Times New Roman"/>
          <w:sz w:val="24"/>
          <w:szCs w:val="24"/>
        </w:rPr>
        <w:t xml:space="preserve"> what the McNair Program did to help prepare the student for the test. </w:t>
      </w:r>
      <w:r w:rsidRPr="00C301AA">
        <w:rPr>
          <w:rFonts w:ascii="Times New Roman" w:hAnsi="Times New Roman" w:cs="Times New Roman"/>
          <w:sz w:val="24"/>
          <w:szCs w:val="24"/>
        </w:rPr>
        <w:t xml:space="preserve"> </w:t>
      </w:r>
    </w:p>
    <w:p w:rsidR="007E5C1B" w:rsidRDefault="007E5C1B" w:rsidP="007E5C1B">
      <w:pPr>
        <w:spacing w:after="0" w:line="240" w:lineRule="auto"/>
        <w:rPr>
          <w:rFonts w:ascii="Times New Roman" w:eastAsia="Times New Roman" w:hAnsi="Times New Roman" w:cs="Times New Roman"/>
          <w:b/>
          <w:sz w:val="24"/>
          <w:szCs w:val="24"/>
        </w:rPr>
      </w:pPr>
    </w:p>
    <w:p w:rsidR="00BD525B" w:rsidRPr="00C301AA" w:rsidRDefault="00BD525B"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 xml:space="preserve">Discussion: </w:t>
      </w:r>
      <w:r w:rsidR="00385BC4" w:rsidRPr="00C301AA">
        <w:rPr>
          <w:rFonts w:ascii="Times New Roman" w:eastAsia="Times New Roman" w:hAnsi="Times New Roman" w:cs="Times New Roman"/>
          <w:b/>
          <w:sz w:val="24"/>
          <w:szCs w:val="24"/>
        </w:rPr>
        <w:t xml:space="preserve"> </w:t>
      </w:r>
      <w:r w:rsidR="002A6DB4" w:rsidRPr="00C301AA">
        <w:rPr>
          <w:rFonts w:ascii="Times New Roman" w:eastAsia="Times New Roman" w:hAnsi="Times New Roman" w:cs="Times New Roman"/>
          <w:sz w:val="24"/>
          <w:szCs w:val="24"/>
        </w:rPr>
        <w:t xml:space="preserve">The purpose of </w:t>
      </w:r>
      <w:r w:rsidR="0051138C" w:rsidRPr="00C301AA">
        <w:rPr>
          <w:rFonts w:ascii="Times New Roman" w:eastAsia="Times New Roman" w:hAnsi="Times New Roman" w:cs="Times New Roman"/>
          <w:sz w:val="24"/>
          <w:szCs w:val="24"/>
        </w:rPr>
        <w:t>field 35</w:t>
      </w:r>
      <w:r w:rsidR="002A6DB4" w:rsidRPr="00C301AA">
        <w:rPr>
          <w:rFonts w:ascii="Times New Roman" w:eastAsia="Times New Roman" w:hAnsi="Times New Roman" w:cs="Times New Roman"/>
          <w:sz w:val="24"/>
          <w:szCs w:val="24"/>
        </w:rPr>
        <w:t xml:space="preserve"> was to allow for comparative analysis</w:t>
      </w:r>
      <w:r w:rsidR="006A4077" w:rsidRPr="00C301AA">
        <w:rPr>
          <w:rFonts w:ascii="Times New Roman" w:eastAsia="Times New Roman" w:hAnsi="Times New Roman" w:cs="Times New Roman"/>
          <w:sz w:val="24"/>
          <w:szCs w:val="24"/>
        </w:rPr>
        <w:t xml:space="preserve"> for determining graduate school </w:t>
      </w:r>
      <w:r w:rsidR="004E5292" w:rsidRPr="00C301AA">
        <w:rPr>
          <w:rFonts w:ascii="Times New Roman" w:eastAsia="Times New Roman" w:hAnsi="Times New Roman" w:cs="Times New Roman"/>
          <w:sz w:val="24"/>
          <w:szCs w:val="24"/>
        </w:rPr>
        <w:t>intent and</w:t>
      </w:r>
      <w:r w:rsidR="002A6DB4" w:rsidRPr="00C301AA">
        <w:rPr>
          <w:rFonts w:ascii="Times New Roman" w:eastAsia="Times New Roman" w:hAnsi="Times New Roman" w:cs="Times New Roman"/>
          <w:sz w:val="24"/>
          <w:szCs w:val="24"/>
        </w:rPr>
        <w:t xml:space="preserve"> not to inquire about the </w:t>
      </w:r>
      <w:r w:rsidR="0051138C" w:rsidRPr="00C301AA">
        <w:rPr>
          <w:rFonts w:ascii="Times New Roman" w:eastAsia="Times New Roman" w:hAnsi="Times New Roman" w:cs="Times New Roman"/>
          <w:sz w:val="24"/>
          <w:szCs w:val="24"/>
        </w:rPr>
        <w:t>types</w:t>
      </w:r>
      <w:r w:rsidR="002A6DB4" w:rsidRPr="00C301AA">
        <w:rPr>
          <w:rFonts w:ascii="Times New Roman" w:eastAsia="Times New Roman" w:hAnsi="Times New Roman" w:cs="Times New Roman"/>
          <w:sz w:val="24"/>
          <w:szCs w:val="24"/>
        </w:rPr>
        <w:t xml:space="preserve"> of services provided to students in preparation for the GRE since grantees cannot use McNair funds to </w:t>
      </w:r>
      <w:r w:rsidR="004E5292" w:rsidRPr="00C301AA">
        <w:rPr>
          <w:rFonts w:ascii="Times New Roman" w:eastAsia="Times New Roman" w:hAnsi="Times New Roman" w:cs="Times New Roman"/>
          <w:sz w:val="24"/>
          <w:szCs w:val="24"/>
        </w:rPr>
        <w:t>pay for GRE prep courses.</w:t>
      </w:r>
    </w:p>
    <w:p w:rsidR="007E5C1B" w:rsidRDefault="007E5C1B" w:rsidP="007E5C1B">
      <w:pPr>
        <w:spacing w:after="0" w:line="240" w:lineRule="auto"/>
        <w:rPr>
          <w:rFonts w:ascii="Times New Roman" w:eastAsia="Times New Roman" w:hAnsi="Times New Roman" w:cs="Times New Roman"/>
          <w:b/>
          <w:sz w:val="24"/>
          <w:szCs w:val="24"/>
        </w:rPr>
      </w:pPr>
    </w:p>
    <w:p w:rsidR="00BD525B" w:rsidRPr="00C301AA" w:rsidRDefault="00BD525B"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lastRenderedPageBreak/>
        <w:t>Action Taken:</w:t>
      </w:r>
      <w:r w:rsidR="006A4077" w:rsidRPr="00C301AA">
        <w:rPr>
          <w:rFonts w:ascii="Times New Roman" w:eastAsia="Times New Roman" w:hAnsi="Times New Roman" w:cs="Times New Roman"/>
          <w:b/>
          <w:sz w:val="24"/>
          <w:szCs w:val="24"/>
        </w:rPr>
        <w:t xml:space="preserve"> </w:t>
      </w:r>
      <w:r w:rsidR="006A4077" w:rsidRPr="00C301AA">
        <w:rPr>
          <w:rFonts w:ascii="Times New Roman" w:eastAsia="Times New Roman" w:hAnsi="Times New Roman" w:cs="Times New Roman"/>
          <w:sz w:val="24"/>
          <w:szCs w:val="24"/>
        </w:rPr>
        <w:t>None</w:t>
      </w:r>
    </w:p>
    <w:p w:rsidR="00531B76" w:rsidRPr="00C301AA" w:rsidRDefault="004838B4" w:rsidP="007E5C1B">
      <w:pPr>
        <w:spacing w:after="0" w:line="240" w:lineRule="auto"/>
        <w:rPr>
          <w:rFonts w:ascii="Times New Roman" w:hAnsi="Times New Roman" w:cs="Times New Roman"/>
          <w:b/>
          <w:bCs/>
          <w:sz w:val="24"/>
          <w:szCs w:val="24"/>
          <w:u w:val="single"/>
        </w:rPr>
      </w:pPr>
      <w:r w:rsidRPr="00C301AA">
        <w:rPr>
          <w:rFonts w:ascii="Times New Roman" w:eastAsia="Times New Roman" w:hAnsi="Times New Roman" w:cs="Times New Roman"/>
          <w:b/>
          <w:sz w:val="24"/>
          <w:szCs w:val="24"/>
          <w:u w:val="single"/>
        </w:rPr>
        <w:t>Field 38</w:t>
      </w:r>
      <w:r w:rsidR="00531B76" w:rsidRPr="00C301AA">
        <w:rPr>
          <w:rFonts w:ascii="Times New Roman" w:eastAsia="Times New Roman" w:hAnsi="Times New Roman" w:cs="Times New Roman"/>
          <w:b/>
          <w:sz w:val="24"/>
          <w:szCs w:val="24"/>
          <w:u w:val="single"/>
        </w:rPr>
        <w:t xml:space="preserve"> - </w:t>
      </w:r>
      <w:r w:rsidR="00531B76" w:rsidRPr="00C301AA">
        <w:rPr>
          <w:rFonts w:ascii="Times New Roman" w:hAnsi="Times New Roman" w:cs="Times New Roman"/>
          <w:b/>
          <w:bCs/>
          <w:sz w:val="24"/>
          <w:szCs w:val="24"/>
          <w:u w:val="single"/>
        </w:rPr>
        <w:t xml:space="preserve">Graduate School Enrollment Status </w:t>
      </w:r>
    </w:p>
    <w:p w:rsidR="007E5C1B" w:rsidRDefault="007E5C1B" w:rsidP="007E5C1B">
      <w:pPr>
        <w:pStyle w:val="CommentText"/>
        <w:spacing w:after="0" w:line="240" w:lineRule="auto"/>
        <w:rPr>
          <w:rFonts w:ascii="Times New Roman" w:eastAsia="Times New Roman" w:hAnsi="Times New Roman"/>
          <w:b/>
          <w:sz w:val="24"/>
          <w:szCs w:val="24"/>
        </w:rPr>
      </w:pPr>
    </w:p>
    <w:p w:rsidR="00FD6B4E" w:rsidRDefault="00CC3D05" w:rsidP="007E5C1B">
      <w:pPr>
        <w:pStyle w:val="CommentText"/>
        <w:spacing w:after="0" w:line="240" w:lineRule="auto"/>
        <w:rPr>
          <w:rFonts w:ascii="Times New Roman" w:hAnsi="Times New Roman"/>
          <w:sz w:val="24"/>
          <w:szCs w:val="24"/>
          <w:highlight w:val="yellow"/>
        </w:rPr>
      </w:pPr>
      <w:r w:rsidRPr="00C301AA">
        <w:rPr>
          <w:rFonts w:ascii="Times New Roman" w:eastAsia="Times New Roman" w:hAnsi="Times New Roman"/>
          <w:b/>
          <w:sz w:val="24"/>
          <w:szCs w:val="24"/>
        </w:rPr>
        <w:t>Comment</w:t>
      </w:r>
      <w:r w:rsidR="00531B76" w:rsidRPr="00C301AA">
        <w:rPr>
          <w:rFonts w:ascii="Times New Roman" w:eastAsia="Times New Roman" w:hAnsi="Times New Roman"/>
          <w:b/>
          <w:sz w:val="24"/>
          <w:szCs w:val="24"/>
        </w:rPr>
        <w:t>s</w:t>
      </w:r>
      <w:r w:rsidRPr="00C301AA">
        <w:rPr>
          <w:rFonts w:ascii="Times New Roman" w:eastAsia="Times New Roman" w:hAnsi="Times New Roman"/>
          <w:b/>
          <w:sz w:val="24"/>
          <w:szCs w:val="24"/>
        </w:rPr>
        <w:t>:</w:t>
      </w:r>
      <w:r w:rsidR="004838B4" w:rsidRPr="00C301AA">
        <w:rPr>
          <w:rFonts w:ascii="Times New Roman" w:eastAsia="Times New Roman" w:hAnsi="Times New Roman"/>
          <w:b/>
          <w:sz w:val="24"/>
          <w:szCs w:val="24"/>
        </w:rPr>
        <w:t xml:space="preserve">  </w:t>
      </w:r>
      <w:r w:rsidR="004838B4" w:rsidRPr="00C301AA">
        <w:rPr>
          <w:rFonts w:ascii="Times New Roman" w:eastAsia="Times New Roman" w:hAnsi="Times New Roman"/>
          <w:sz w:val="24"/>
          <w:szCs w:val="24"/>
        </w:rPr>
        <w:t xml:space="preserve">One commenter </w:t>
      </w:r>
      <w:r w:rsidR="00531B76" w:rsidRPr="00C301AA">
        <w:rPr>
          <w:rFonts w:ascii="Times New Roman" w:eastAsia="Times New Roman" w:hAnsi="Times New Roman"/>
          <w:sz w:val="24"/>
          <w:szCs w:val="24"/>
        </w:rPr>
        <w:t>expressed</w:t>
      </w:r>
      <w:r w:rsidRPr="00C301AA">
        <w:rPr>
          <w:rFonts w:ascii="Times New Roman" w:hAnsi="Times New Roman"/>
          <w:sz w:val="24"/>
          <w:szCs w:val="24"/>
        </w:rPr>
        <w:t xml:space="preserve"> a major concern with the terminology </w:t>
      </w:r>
      <w:r w:rsidR="00531B76" w:rsidRPr="00C301AA">
        <w:rPr>
          <w:rFonts w:ascii="Times New Roman" w:hAnsi="Times New Roman"/>
          <w:sz w:val="24"/>
          <w:szCs w:val="24"/>
        </w:rPr>
        <w:t>used in field 38</w:t>
      </w:r>
      <w:r w:rsidRPr="00C301AA">
        <w:rPr>
          <w:rFonts w:ascii="Times New Roman" w:hAnsi="Times New Roman"/>
          <w:sz w:val="24"/>
          <w:szCs w:val="24"/>
        </w:rPr>
        <w:t xml:space="preserve"> and the following question.</w:t>
      </w:r>
      <w:r w:rsidR="00531B76" w:rsidRPr="00C301AA">
        <w:rPr>
          <w:rFonts w:ascii="Times New Roman" w:hAnsi="Times New Roman"/>
          <w:sz w:val="24"/>
          <w:szCs w:val="24"/>
        </w:rPr>
        <w:t xml:space="preserve"> </w:t>
      </w:r>
      <w:r w:rsidRPr="00C301AA">
        <w:rPr>
          <w:rFonts w:ascii="Times New Roman" w:hAnsi="Times New Roman"/>
          <w:sz w:val="24"/>
          <w:szCs w:val="24"/>
        </w:rPr>
        <w:t xml:space="preserve"> The</w:t>
      </w:r>
      <w:r w:rsidR="00531B76" w:rsidRPr="00C301AA">
        <w:rPr>
          <w:rFonts w:ascii="Times New Roman" w:hAnsi="Times New Roman"/>
          <w:sz w:val="24"/>
          <w:szCs w:val="24"/>
        </w:rPr>
        <w:t>y assert</w:t>
      </w:r>
      <w:r w:rsidR="00C301AA" w:rsidRPr="00C301AA">
        <w:rPr>
          <w:rFonts w:ascii="Times New Roman" w:hAnsi="Times New Roman"/>
          <w:sz w:val="24"/>
          <w:szCs w:val="24"/>
        </w:rPr>
        <w:t>ed</w:t>
      </w:r>
      <w:r w:rsidR="00531B76" w:rsidRPr="00C301AA">
        <w:rPr>
          <w:rFonts w:ascii="Times New Roman" w:hAnsi="Times New Roman"/>
          <w:sz w:val="24"/>
          <w:szCs w:val="24"/>
        </w:rPr>
        <w:t xml:space="preserve"> that there a</w:t>
      </w:r>
      <w:r w:rsidRPr="00C301AA">
        <w:rPr>
          <w:rFonts w:ascii="Times New Roman" w:hAnsi="Times New Roman"/>
          <w:sz w:val="24"/>
          <w:szCs w:val="24"/>
        </w:rPr>
        <w:t xml:space="preserve">re post-baccalaureate programs that students may enter but are not degree </w:t>
      </w:r>
      <w:r w:rsidRPr="00FD6B4E">
        <w:rPr>
          <w:rFonts w:ascii="Times New Roman" w:hAnsi="Times New Roman"/>
          <w:sz w:val="24"/>
          <w:szCs w:val="24"/>
        </w:rPr>
        <w:t>granting.</w:t>
      </w:r>
      <w:r w:rsidRPr="00C301AA">
        <w:rPr>
          <w:rFonts w:ascii="Times New Roman" w:hAnsi="Times New Roman"/>
          <w:sz w:val="24"/>
          <w:szCs w:val="24"/>
        </w:rPr>
        <w:t xml:space="preserve"> </w:t>
      </w:r>
    </w:p>
    <w:p w:rsidR="00FD6B4E" w:rsidRDefault="00FD6B4E" w:rsidP="007E5C1B">
      <w:pPr>
        <w:pStyle w:val="CommentText"/>
        <w:spacing w:after="0" w:line="240" w:lineRule="auto"/>
        <w:rPr>
          <w:rFonts w:ascii="Times New Roman" w:hAnsi="Times New Roman"/>
          <w:sz w:val="24"/>
          <w:szCs w:val="24"/>
        </w:rPr>
      </w:pPr>
    </w:p>
    <w:p w:rsidR="00CC3D05" w:rsidRPr="00C301AA" w:rsidRDefault="0012389F" w:rsidP="007E5C1B">
      <w:pPr>
        <w:pStyle w:val="CommentText"/>
        <w:spacing w:after="0" w:line="240" w:lineRule="auto"/>
        <w:rPr>
          <w:rFonts w:ascii="Times New Roman" w:hAnsi="Times New Roman"/>
          <w:sz w:val="24"/>
          <w:szCs w:val="24"/>
        </w:rPr>
      </w:pPr>
      <w:r w:rsidRPr="00FD6B4E">
        <w:rPr>
          <w:rFonts w:ascii="Times New Roman" w:hAnsi="Times New Roman"/>
          <w:sz w:val="24"/>
          <w:szCs w:val="24"/>
        </w:rPr>
        <w:t>They assert</w:t>
      </w:r>
      <w:r w:rsidR="0051138C" w:rsidRPr="00FD6B4E">
        <w:rPr>
          <w:rFonts w:ascii="Times New Roman" w:hAnsi="Times New Roman"/>
          <w:sz w:val="24"/>
          <w:szCs w:val="24"/>
        </w:rPr>
        <w:t>ed</w:t>
      </w:r>
      <w:r w:rsidRPr="00C301AA">
        <w:rPr>
          <w:rFonts w:ascii="Times New Roman" w:hAnsi="Times New Roman"/>
          <w:sz w:val="24"/>
          <w:szCs w:val="24"/>
        </w:rPr>
        <w:t xml:space="preserve"> it </w:t>
      </w:r>
      <w:r w:rsidR="00CC3D05" w:rsidRPr="00C301AA">
        <w:rPr>
          <w:rFonts w:ascii="Times New Roman" w:hAnsi="Times New Roman"/>
          <w:sz w:val="24"/>
          <w:szCs w:val="24"/>
        </w:rPr>
        <w:t xml:space="preserve">would be best to </w:t>
      </w:r>
      <w:r w:rsidR="007A18C6" w:rsidRPr="00C301AA">
        <w:rPr>
          <w:rFonts w:ascii="Times New Roman" w:hAnsi="Times New Roman"/>
          <w:sz w:val="24"/>
          <w:szCs w:val="24"/>
        </w:rPr>
        <w:t xml:space="preserve">maintain </w:t>
      </w:r>
      <w:r w:rsidR="00CC3D05" w:rsidRPr="00C301AA">
        <w:rPr>
          <w:rFonts w:ascii="Times New Roman" w:hAnsi="Times New Roman"/>
          <w:sz w:val="24"/>
          <w:szCs w:val="24"/>
        </w:rPr>
        <w:t xml:space="preserve">consistency in terminology here and in the following question </w:t>
      </w:r>
      <w:r w:rsidR="007A18C6" w:rsidRPr="00C301AA">
        <w:rPr>
          <w:rFonts w:ascii="Times New Roman" w:hAnsi="Times New Roman"/>
          <w:sz w:val="24"/>
          <w:szCs w:val="24"/>
        </w:rPr>
        <w:t xml:space="preserve">by referring </w:t>
      </w:r>
      <w:r w:rsidR="00CC3D05" w:rsidRPr="00C301AA">
        <w:rPr>
          <w:rFonts w:ascii="Times New Roman" w:hAnsi="Times New Roman"/>
          <w:sz w:val="24"/>
          <w:szCs w:val="24"/>
        </w:rPr>
        <w:t xml:space="preserve">to </w:t>
      </w:r>
      <w:r w:rsidR="00531B76" w:rsidRPr="00C301AA">
        <w:rPr>
          <w:rFonts w:ascii="Times New Roman" w:hAnsi="Times New Roman"/>
          <w:sz w:val="24"/>
          <w:szCs w:val="24"/>
        </w:rPr>
        <w:t xml:space="preserve">a </w:t>
      </w:r>
      <w:r w:rsidR="00CC3D05" w:rsidRPr="00C301AA">
        <w:rPr>
          <w:rFonts w:ascii="Times New Roman" w:hAnsi="Times New Roman"/>
          <w:sz w:val="24"/>
          <w:szCs w:val="24"/>
        </w:rPr>
        <w:t xml:space="preserve">specific “graduate program” rather than </w:t>
      </w:r>
      <w:r w:rsidR="00531B76" w:rsidRPr="00C301AA">
        <w:rPr>
          <w:rFonts w:ascii="Times New Roman" w:hAnsi="Times New Roman"/>
          <w:sz w:val="24"/>
          <w:szCs w:val="24"/>
        </w:rPr>
        <w:t xml:space="preserve">using </w:t>
      </w:r>
      <w:r w:rsidR="00CC3D05" w:rsidRPr="00C301AA">
        <w:rPr>
          <w:rFonts w:ascii="Times New Roman" w:hAnsi="Times New Roman"/>
          <w:sz w:val="24"/>
          <w:szCs w:val="24"/>
        </w:rPr>
        <w:t>the more general “post-baccala</w:t>
      </w:r>
      <w:r w:rsidR="00531B76" w:rsidRPr="00C301AA">
        <w:rPr>
          <w:rFonts w:ascii="Times New Roman" w:hAnsi="Times New Roman"/>
          <w:sz w:val="24"/>
          <w:szCs w:val="24"/>
        </w:rPr>
        <w:t>u</w:t>
      </w:r>
      <w:r w:rsidR="00CC3D05" w:rsidRPr="00C301AA">
        <w:rPr>
          <w:rFonts w:ascii="Times New Roman" w:hAnsi="Times New Roman"/>
          <w:sz w:val="24"/>
          <w:szCs w:val="24"/>
        </w:rPr>
        <w:t>reate” program.</w:t>
      </w:r>
    </w:p>
    <w:p w:rsidR="007E5C1B" w:rsidRDefault="007E5C1B" w:rsidP="007E5C1B">
      <w:pPr>
        <w:pStyle w:val="Heading2"/>
        <w:shd w:val="clear" w:color="auto" w:fill="FFFFFF"/>
        <w:rPr>
          <w:rFonts w:eastAsia="Times New Roman" w:cs="Times New Roman"/>
          <w:u w:val="none"/>
        </w:rPr>
      </w:pPr>
    </w:p>
    <w:p w:rsidR="00CC3D05" w:rsidRPr="00C301AA" w:rsidRDefault="00CC3D05" w:rsidP="007E5C1B">
      <w:pPr>
        <w:pStyle w:val="Heading2"/>
        <w:shd w:val="clear" w:color="auto" w:fill="FFFFFF"/>
        <w:rPr>
          <w:rFonts w:cs="Times New Roman"/>
          <w:b w:val="0"/>
        </w:rPr>
      </w:pPr>
      <w:r w:rsidRPr="00C301AA">
        <w:rPr>
          <w:rFonts w:eastAsia="Times New Roman" w:cs="Times New Roman"/>
          <w:u w:val="none"/>
        </w:rPr>
        <w:t>Discussion</w:t>
      </w:r>
      <w:r w:rsidRPr="00C301AA">
        <w:rPr>
          <w:rFonts w:eastAsia="Times New Roman" w:cs="Times New Roman"/>
          <w:b w:val="0"/>
          <w:u w:val="none"/>
        </w:rPr>
        <w:t xml:space="preserve">: </w:t>
      </w:r>
      <w:r w:rsidR="00531B76" w:rsidRPr="00C301AA">
        <w:rPr>
          <w:rFonts w:eastAsia="Times New Roman" w:cs="Times New Roman"/>
          <w:b w:val="0"/>
          <w:u w:val="none"/>
        </w:rPr>
        <w:t xml:space="preserve"> </w:t>
      </w:r>
      <w:r w:rsidR="004E5292" w:rsidRPr="00C301AA">
        <w:rPr>
          <w:rFonts w:eastAsia="Times New Roman" w:cs="Times New Roman"/>
          <w:b w:val="0"/>
          <w:u w:val="none"/>
        </w:rPr>
        <w:t xml:space="preserve">The regulations under </w:t>
      </w:r>
      <w:r w:rsidR="004E5292" w:rsidRPr="00C301AA">
        <w:rPr>
          <w:rFonts w:cs="Times New Roman"/>
          <w:b w:val="0"/>
          <w:u w:val="none"/>
        </w:rPr>
        <w:t>§647.7 define graduate education as</w:t>
      </w:r>
      <w:r w:rsidR="004E5292" w:rsidRPr="00C301AA">
        <w:rPr>
          <w:rFonts w:cs="Times New Roman"/>
          <w:u w:val="none"/>
        </w:rPr>
        <w:t xml:space="preserve"> “</w:t>
      </w:r>
      <w:r w:rsidR="004E5292" w:rsidRPr="00C301AA">
        <w:rPr>
          <w:rFonts w:cs="Times New Roman"/>
          <w:b w:val="0"/>
          <w:i/>
          <w:u w:val="none"/>
          <w:shd w:val="clear" w:color="auto" w:fill="FFFFFF"/>
        </w:rPr>
        <w:t xml:space="preserve">studies beyond the bachelor's degree leading to a postbaccalaureate degree; </w:t>
      </w:r>
      <w:r w:rsidR="004E5292" w:rsidRPr="00FD6B4E">
        <w:rPr>
          <w:rFonts w:cs="Times New Roman"/>
          <w:b w:val="0"/>
          <w:u w:val="none"/>
          <w:shd w:val="clear" w:color="auto" w:fill="FFFFFF"/>
        </w:rPr>
        <w:t>therefore, the use of the word “postbaccalaureate” aligns with the regulation</w:t>
      </w:r>
      <w:r w:rsidR="0051138C" w:rsidRPr="00FD6B4E">
        <w:rPr>
          <w:rFonts w:cs="Times New Roman"/>
          <w:b w:val="0"/>
          <w:u w:val="none"/>
          <w:shd w:val="clear" w:color="auto" w:fill="FFFFFF"/>
        </w:rPr>
        <w:t>s</w:t>
      </w:r>
      <w:r w:rsidR="004E5292" w:rsidRPr="00FD6B4E">
        <w:rPr>
          <w:rFonts w:cs="Times New Roman"/>
          <w:b w:val="0"/>
          <w:u w:val="none"/>
          <w:shd w:val="clear" w:color="auto" w:fill="FFFFFF"/>
        </w:rPr>
        <w:t xml:space="preserve">. </w:t>
      </w:r>
      <w:r w:rsidR="004E5292" w:rsidRPr="00C301AA">
        <w:rPr>
          <w:rFonts w:cs="Times New Roman"/>
          <w:b w:val="0"/>
          <w:i/>
          <w:u w:val="none"/>
          <w:shd w:val="clear" w:color="auto" w:fill="FFFFFF"/>
        </w:rPr>
        <w:t xml:space="preserve"> </w:t>
      </w:r>
      <w:r w:rsidR="0051138C" w:rsidRPr="00C301AA">
        <w:rPr>
          <w:rFonts w:cs="Times New Roman"/>
          <w:b w:val="0"/>
          <w:u w:val="none"/>
          <w:shd w:val="clear" w:color="auto" w:fill="FFFFFF"/>
        </w:rPr>
        <w:t>More importantly, since the goal of McNair is the doctorate degree, a student enrolling in a postbaccalaure</w:t>
      </w:r>
      <w:r w:rsidR="00514252" w:rsidRPr="00C301AA">
        <w:rPr>
          <w:rFonts w:cs="Times New Roman"/>
          <w:b w:val="0"/>
          <w:u w:val="none"/>
          <w:shd w:val="clear" w:color="auto" w:fill="FFFFFF"/>
        </w:rPr>
        <w:t>a</w:t>
      </w:r>
      <w:r w:rsidR="0051138C" w:rsidRPr="00C301AA">
        <w:rPr>
          <w:rFonts w:cs="Times New Roman"/>
          <w:b w:val="0"/>
          <w:u w:val="none"/>
          <w:shd w:val="clear" w:color="auto" w:fill="FFFFFF"/>
        </w:rPr>
        <w:t>te non-degree program would not be considered as having enrolled and/or persisted in graduate school.</w:t>
      </w:r>
    </w:p>
    <w:p w:rsidR="007E5C1B" w:rsidRDefault="007E5C1B" w:rsidP="007E5C1B">
      <w:pPr>
        <w:spacing w:after="0" w:line="240" w:lineRule="auto"/>
        <w:rPr>
          <w:rFonts w:ascii="Times New Roman" w:eastAsia="Times New Roman" w:hAnsi="Times New Roman" w:cs="Times New Roman"/>
          <w:b/>
          <w:sz w:val="24"/>
          <w:szCs w:val="24"/>
        </w:rPr>
      </w:pPr>
    </w:p>
    <w:p w:rsidR="0012389F" w:rsidRPr="00C301AA" w:rsidRDefault="00CC3D05"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E55F4C" w:rsidRPr="00C301AA">
        <w:rPr>
          <w:rFonts w:ascii="Times New Roman" w:eastAsia="Times New Roman" w:hAnsi="Times New Roman" w:cs="Times New Roman"/>
          <w:b/>
          <w:sz w:val="24"/>
          <w:szCs w:val="24"/>
        </w:rPr>
        <w:t xml:space="preserve">  </w:t>
      </w:r>
      <w:r w:rsidR="004E5292" w:rsidRPr="00C301AA">
        <w:rPr>
          <w:rFonts w:ascii="Times New Roman" w:eastAsia="Times New Roman" w:hAnsi="Times New Roman" w:cs="Times New Roman"/>
          <w:sz w:val="24"/>
          <w:szCs w:val="24"/>
        </w:rPr>
        <w:t>None</w:t>
      </w:r>
    </w:p>
    <w:p w:rsidR="007E5C1B" w:rsidRDefault="007E5C1B" w:rsidP="007E5C1B">
      <w:pPr>
        <w:pStyle w:val="Heading6"/>
        <w:spacing w:before="0" w:beforeAutospacing="0" w:after="0" w:afterAutospacing="0"/>
        <w:rPr>
          <w:rFonts w:eastAsiaTheme="minorEastAsia"/>
          <w:sz w:val="24"/>
          <w:szCs w:val="24"/>
          <w:u w:val="single"/>
        </w:rPr>
      </w:pPr>
    </w:p>
    <w:p w:rsidR="0012389F" w:rsidRPr="00C301AA" w:rsidRDefault="0012389F" w:rsidP="007E5C1B">
      <w:pPr>
        <w:pStyle w:val="Heading6"/>
        <w:spacing w:before="0" w:beforeAutospacing="0" w:after="0" w:afterAutospacing="0"/>
        <w:rPr>
          <w:rFonts w:eastAsiaTheme="minorEastAsia"/>
          <w:sz w:val="24"/>
          <w:szCs w:val="24"/>
          <w:u w:val="single"/>
        </w:rPr>
      </w:pPr>
      <w:r w:rsidRPr="00C301AA">
        <w:rPr>
          <w:rFonts w:eastAsiaTheme="minorEastAsia"/>
          <w:sz w:val="24"/>
          <w:szCs w:val="24"/>
          <w:u w:val="single"/>
        </w:rPr>
        <w:t>Field 3</w:t>
      </w:r>
      <w:r w:rsidR="000A719B" w:rsidRPr="00C301AA">
        <w:rPr>
          <w:rFonts w:eastAsiaTheme="minorEastAsia"/>
          <w:sz w:val="24"/>
          <w:szCs w:val="24"/>
          <w:u w:val="single"/>
        </w:rPr>
        <w:t>9</w:t>
      </w:r>
      <w:r w:rsidR="008D111D" w:rsidRPr="00C301AA">
        <w:rPr>
          <w:rFonts w:eastAsiaTheme="minorEastAsia"/>
          <w:sz w:val="24"/>
          <w:szCs w:val="24"/>
          <w:u w:val="single"/>
        </w:rPr>
        <w:t xml:space="preserve"> - </w:t>
      </w:r>
      <w:r w:rsidR="008D111D" w:rsidRPr="00C301AA">
        <w:rPr>
          <w:sz w:val="24"/>
          <w:szCs w:val="24"/>
          <w:u w:val="single"/>
        </w:rPr>
        <w:t>First Year Graduate Persistence Status</w:t>
      </w:r>
    </w:p>
    <w:p w:rsidR="007E5C1B" w:rsidRDefault="007E5C1B" w:rsidP="007E5C1B">
      <w:pPr>
        <w:spacing w:after="0" w:line="240" w:lineRule="auto"/>
        <w:rPr>
          <w:rFonts w:ascii="Times New Roman" w:hAnsi="Times New Roman" w:cs="Times New Roman"/>
          <w:b/>
          <w:sz w:val="24"/>
          <w:szCs w:val="24"/>
        </w:rPr>
      </w:pPr>
    </w:p>
    <w:p w:rsidR="000A719B" w:rsidRPr="00C301AA" w:rsidRDefault="0012389F"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 xml:space="preserve">Comments:  </w:t>
      </w:r>
      <w:r w:rsidRPr="00C301AA">
        <w:rPr>
          <w:rFonts w:ascii="Times New Roman" w:hAnsi="Times New Roman" w:cs="Times New Roman"/>
          <w:sz w:val="24"/>
          <w:szCs w:val="24"/>
        </w:rPr>
        <w:t xml:space="preserve">One commenter expressed </w:t>
      </w:r>
      <w:r w:rsidR="0051138C" w:rsidRPr="00C301AA">
        <w:rPr>
          <w:rFonts w:ascii="Times New Roman" w:hAnsi="Times New Roman" w:cs="Times New Roman"/>
          <w:sz w:val="24"/>
          <w:szCs w:val="24"/>
        </w:rPr>
        <w:t xml:space="preserve">concerns </w:t>
      </w:r>
      <w:r w:rsidRPr="00C301AA">
        <w:rPr>
          <w:rFonts w:ascii="Times New Roman" w:hAnsi="Times New Roman" w:cs="Times New Roman"/>
          <w:sz w:val="24"/>
          <w:szCs w:val="24"/>
        </w:rPr>
        <w:t>that a</w:t>
      </w:r>
      <w:r w:rsidR="000A719B" w:rsidRPr="00C301AA">
        <w:rPr>
          <w:rFonts w:ascii="Times New Roman" w:hAnsi="Times New Roman" w:cs="Times New Roman"/>
          <w:sz w:val="24"/>
          <w:szCs w:val="24"/>
        </w:rPr>
        <w:t>n increasing number of Master’s programs at research institutions across the country are</w:t>
      </w:r>
      <w:r w:rsidRPr="00C301AA">
        <w:rPr>
          <w:rFonts w:ascii="Times New Roman" w:hAnsi="Times New Roman" w:cs="Times New Roman"/>
          <w:sz w:val="24"/>
          <w:szCs w:val="24"/>
        </w:rPr>
        <w:t xml:space="preserve"> </w:t>
      </w:r>
      <w:r w:rsidR="000A719B" w:rsidRPr="00C301AA">
        <w:rPr>
          <w:rFonts w:ascii="Times New Roman" w:hAnsi="Times New Roman" w:cs="Times New Roman"/>
          <w:sz w:val="24"/>
          <w:szCs w:val="24"/>
        </w:rPr>
        <w:t>now nine-months or one-year programs.</w:t>
      </w:r>
      <w:r w:rsidR="00531B76" w:rsidRPr="00C301AA">
        <w:rPr>
          <w:rFonts w:ascii="Times New Roman" w:hAnsi="Times New Roman" w:cs="Times New Roman"/>
          <w:sz w:val="24"/>
          <w:szCs w:val="24"/>
        </w:rPr>
        <w:t xml:space="preserve"> </w:t>
      </w:r>
      <w:r w:rsidR="000A719B" w:rsidRPr="00C301AA">
        <w:rPr>
          <w:rFonts w:ascii="Times New Roman" w:hAnsi="Times New Roman" w:cs="Times New Roman"/>
          <w:sz w:val="24"/>
          <w:szCs w:val="24"/>
        </w:rPr>
        <w:t xml:space="preserve"> </w:t>
      </w:r>
      <w:r w:rsidR="0051138C" w:rsidRPr="00C301AA">
        <w:rPr>
          <w:rFonts w:ascii="Times New Roman" w:hAnsi="Times New Roman" w:cs="Times New Roman"/>
          <w:sz w:val="24"/>
          <w:szCs w:val="24"/>
        </w:rPr>
        <w:t>For example, the commenter stated that t</w:t>
      </w:r>
      <w:r w:rsidR="000A719B" w:rsidRPr="00C301AA">
        <w:rPr>
          <w:rFonts w:ascii="Times New Roman" w:hAnsi="Times New Roman" w:cs="Times New Roman"/>
          <w:sz w:val="24"/>
          <w:szCs w:val="24"/>
        </w:rPr>
        <w:t xml:space="preserve">wo McNair students could both enter </w:t>
      </w:r>
      <w:r w:rsidR="0051138C" w:rsidRPr="00C301AA">
        <w:rPr>
          <w:rFonts w:ascii="Times New Roman" w:hAnsi="Times New Roman" w:cs="Times New Roman"/>
          <w:sz w:val="24"/>
          <w:szCs w:val="24"/>
        </w:rPr>
        <w:t xml:space="preserve">a </w:t>
      </w:r>
      <w:r w:rsidR="000A719B" w:rsidRPr="00C301AA">
        <w:rPr>
          <w:rFonts w:ascii="Times New Roman" w:hAnsi="Times New Roman" w:cs="Times New Roman"/>
          <w:sz w:val="24"/>
          <w:szCs w:val="24"/>
        </w:rPr>
        <w:t>Master’s</w:t>
      </w:r>
      <w:r w:rsidRPr="00C301AA">
        <w:rPr>
          <w:rFonts w:ascii="Times New Roman" w:hAnsi="Times New Roman" w:cs="Times New Roman"/>
          <w:sz w:val="24"/>
          <w:szCs w:val="24"/>
        </w:rPr>
        <w:t xml:space="preserve"> </w:t>
      </w:r>
      <w:r w:rsidR="0051138C" w:rsidRPr="00C301AA">
        <w:rPr>
          <w:rFonts w:ascii="Times New Roman" w:hAnsi="Times New Roman" w:cs="Times New Roman"/>
          <w:sz w:val="24"/>
          <w:szCs w:val="24"/>
        </w:rPr>
        <w:t>program</w:t>
      </w:r>
      <w:r w:rsidR="000A719B" w:rsidRPr="00C301AA">
        <w:rPr>
          <w:rFonts w:ascii="Times New Roman" w:hAnsi="Times New Roman" w:cs="Times New Roman"/>
          <w:sz w:val="24"/>
          <w:szCs w:val="24"/>
        </w:rPr>
        <w:t xml:space="preserve"> and one </w:t>
      </w:r>
      <w:r w:rsidR="0051138C" w:rsidRPr="00C301AA">
        <w:rPr>
          <w:rFonts w:ascii="Times New Roman" w:hAnsi="Times New Roman" w:cs="Times New Roman"/>
          <w:sz w:val="24"/>
          <w:szCs w:val="24"/>
        </w:rPr>
        <w:t>attain</w:t>
      </w:r>
      <w:r w:rsidR="000A719B" w:rsidRPr="00C301AA">
        <w:rPr>
          <w:rFonts w:ascii="Times New Roman" w:hAnsi="Times New Roman" w:cs="Times New Roman"/>
          <w:sz w:val="24"/>
          <w:szCs w:val="24"/>
        </w:rPr>
        <w:t xml:space="preserve"> their</w:t>
      </w:r>
      <w:r w:rsidR="0051138C" w:rsidRPr="00C301AA">
        <w:rPr>
          <w:rFonts w:ascii="Times New Roman" w:hAnsi="Times New Roman" w:cs="Times New Roman"/>
          <w:sz w:val="24"/>
          <w:szCs w:val="24"/>
        </w:rPr>
        <w:t xml:space="preserve"> degree from a two-year program, yet the other attain their degree </w:t>
      </w:r>
      <w:r w:rsidR="000A719B" w:rsidRPr="00C301AA">
        <w:rPr>
          <w:rFonts w:ascii="Times New Roman" w:hAnsi="Times New Roman" w:cs="Times New Roman"/>
          <w:sz w:val="24"/>
          <w:szCs w:val="24"/>
        </w:rPr>
        <w:t>from a one</w:t>
      </w:r>
      <w:r w:rsidRPr="00C301AA">
        <w:rPr>
          <w:rFonts w:ascii="Times New Roman" w:hAnsi="Times New Roman" w:cs="Times New Roman"/>
          <w:sz w:val="24"/>
          <w:szCs w:val="24"/>
        </w:rPr>
        <w:t xml:space="preserve"> </w:t>
      </w:r>
      <w:r w:rsidR="000A719B" w:rsidRPr="00C301AA">
        <w:rPr>
          <w:rFonts w:ascii="Times New Roman" w:hAnsi="Times New Roman" w:cs="Times New Roman"/>
          <w:sz w:val="24"/>
          <w:szCs w:val="24"/>
        </w:rPr>
        <w:t>year</w:t>
      </w:r>
      <w:r w:rsidRPr="00C301AA">
        <w:rPr>
          <w:rFonts w:ascii="Times New Roman" w:hAnsi="Times New Roman" w:cs="Times New Roman"/>
          <w:sz w:val="24"/>
          <w:szCs w:val="24"/>
        </w:rPr>
        <w:t xml:space="preserve"> </w:t>
      </w:r>
      <w:r w:rsidR="000A719B" w:rsidRPr="00C301AA">
        <w:rPr>
          <w:rFonts w:ascii="Times New Roman" w:hAnsi="Times New Roman" w:cs="Times New Roman"/>
          <w:sz w:val="24"/>
          <w:szCs w:val="24"/>
        </w:rPr>
        <w:t xml:space="preserve">program. </w:t>
      </w:r>
      <w:r w:rsidR="008D111D" w:rsidRPr="00C301AA">
        <w:rPr>
          <w:rFonts w:ascii="Times New Roman" w:hAnsi="Times New Roman" w:cs="Times New Roman"/>
          <w:sz w:val="24"/>
          <w:szCs w:val="24"/>
        </w:rPr>
        <w:t xml:space="preserve"> </w:t>
      </w:r>
      <w:r w:rsidR="0051138C" w:rsidRPr="00C301AA">
        <w:rPr>
          <w:rFonts w:ascii="Times New Roman" w:hAnsi="Times New Roman" w:cs="Times New Roman"/>
          <w:sz w:val="24"/>
          <w:szCs w:val="24"/>
        </w:rPr>
        <w:t>The commenter asserted that both students</w:t>
      </w:r>
      <w:r w:rsidR="000A719B" w:rsidRPr="00C301AA">
        <w:rPr>
          <w:rFonts w:ascii="Times New Roman" w:hAnsi="Times New Roman" w:cs="Times New Roman"/>
          <w:sz w:val="24"/>
          <w:szCs w:val="24"/>
        </w:rPr>
        <w:t xml:space="preserve"> attain</w:t>
      </w:r>
      <w:r w:rsidR="0051138C" w:rsidRPr="00C301AA">
        <w:rPr>
          <w:rFonts w:ascii="Times New Roman" w:hAnsi="Times New Roman" w:cs="Times New Roman"/>
          <w:sz w:val="24"/>
          <w:szCs w:val="24"/>
        </w:rPr>
        <w:t>ed the same degree yet the student in the two year program would count as a positive outcome for the graduate school persistence</w:t>
      </w:r>
      <w:r w:rsidRPr="00C301AA">
        <w:rPr>
          <w:rFonts w:ascii="Times New Roman" w:hAnsi="Times New Roman" w:cs="Times New Roman"/>
          <w:sz w:val="24"/>
          <w:szCs w:val="24"/>
        </w:rPr>
        <w:t xml:space="preserve"> </w:t>
      </w:r>
      <w:r w:rsidR="0051138C" w:rsidRPr="00C301AA">
        <w:rPr>
          <w:rFonts w:ascii="Times New Roman" w:hAnsi="Times New Roman" w:cs="Times New Roman"/>
          <w:sz w:val="24"/>
          <w:szCs w:val="24"/>
        </w:rPr>
        <w:t>objective while the other student would not.  The commenter further asserted that r</w:t>
      </w:r>
      <w:r w:rsidR="000A719B" w:rsidRPr="00C301AA">
        <w:rPr>
          <w:rFonts w:ascii="Times New Roman" w:hAnsi="Times New Roman" w:cs="Times New Roman"/>
          <w:sz w:val="24"/>
          <w:szCs w:val="24"/>
        </w:rPr>
        <w:t>esearch master's programs</w:t>
      </w:r>
      <w:r w:rsidR="00E00281" w:rsidRPr="00C301AA">
        <w:rPr>
          <w:rFonts w:ascii="Times New Roman" w:hAnsi="Times New Roman" w:cs="Times New Roman"/>
          <w:sz w:val="24"/>
          <w:szCs w:val="24"/>
        </w:rPr>
        <w:t xml:space="preserve"> (e.g.,</w:t>
      </w:r>
      <w:r w:rsidR="000A719B" w:rsidRPr="00C301AA">
        <w:rPr>
          <w:rFonts w:ascii="Times New Roman" w:hAnsi="Times New Roman" w:cs="Times New Roman"/>
          <w:sz w:val="24"/>
          <w:szCs w:val="24"/>
        </w:rPr>
        <w:t xml:space="preserve"> M.A. in Education or M.Ed</w:t>
      </w:r>
      <w:r w:rsidR="00E00281" w:rsidRPr="00C301AA">
        <w:rPr>
          <w:rFonts w:ascii="Times New Roman" w:hAnsi="Times New Roman" w:cs="Times New Roman"/>
          <w:sz w:val="24"/>
          <w:szCs w:val="24"/>
        </w:rPr>
        <w:t xml:space="preserve">. at Stanford, Harvard, </w:t>
      </w:r>
      <w:proofErr w:type="spellStart"/>
      <w:r w:rsidR="00E00281" w:rsidRPr="00C301AA">
        <w:rPr>
          <w:rFonts w:ascii="Times New Roman" w:hAnsi="Times New Roman" w:cs="Times New Roman"/>
          <w:sz w:val="24"/>
          <w:szCs w:val="24"/>
        </w:rPr>
        <w:t>etc</w:t>
      </w:r>
      <w:proofErr w:type="spellEnd"/>
      <w:r w:rsidR="00E00281" w:rsidRPr="00C301AA">
        <w:rPr>
          <w:rFonts w:ascii="Times New Roman" w:hAnsi="Times New Roman" w:cs="Times New Roman"/>
          <w:sz w:val="24"/>
          <w:szCs w:val="24"/>
        </w:rPr>
        <w:t>)</w:t>
      </w:r>
      <w:r w:rsidR="000A719B" w:rsidRPr="00C301AA">
        <w:rPr>
          <w:rFonts w:ascii="Times New Roman" w:hAnsi="Times New Roman" w:cs="Times New Roman"/>
          <w:sz w:val="24"/>
          <w:szCs w:val="24"/>
        </w:rPr>
        <w:t>, are all one-year</w:t>
      </w:r>
      <w:r w:rsidRPr="00C301AA">
        <w:rPr>
          <w:rFonts w:ascii="Times New Roman" w:hAnsi="Times New Roman" w:cs="Times New Roman"/>
          <w:sz w:val="24"/>
          <w:szCs w:val="24"/>
        </w:rPr>
        <w:t xml:space="preserve"> </w:t>
      </w:r>
      <w:r w:rsidR="000A719B" w:rsidRPr="00C301AA">
        <w:rPr>
          <w:rFonts w:ascii="Times New Roman" w:hAnsi="Times New Roman" w:cs="Times New Roman"/>
          <w:sz w:val="24"/>
          <w:szCs w:val="24"/>
        </w:rPr>
        <w:t xml:space="preserve">or nine-months </w:t>
      </w:r>
      <w:r w:rsidR="00E00281" w:rsidRPr="00C301AA">
        <w:rPr>
          <w:rFonts w:ascii="Times New Roman" w:hAnsi="Times New Roman" w:cs="Times New Roman"/>
          <w:sz w:val="24"/>
          <w:szCs w:val="24"/>
        </w:rPr>
        <w:t>in length</w:t>
      </w:r>
      <w:r w:rsidR="000A719B" w:rsidRPr="00C301AA">
        <w:rPr>
          <w:rFonts w:ascii="Times New Roman" w:hAnsi="Times New Roman" w:cs="Times New Roman"/>
          <w:sz w:val="24"/>
          <w:szCs w:val="24"/>
        </w:rPr>
        <w:t xml:space="preserve">. </w:t>
      </w:r>
      <w:r w:rsidR="008D111D" w:rsidRPr="00C301AA">
        <w:rPr>
          <w:rFonts w:ascii="Times New Roman" w:hAnsi="Times New Roman" w:cs="Times New Roman"/>
          <w:sz w:val="24"/>
          <w:szCs w:val="24"/>
        </w:rPr>
        <w:t xml:space="preserve"> </w:t>
      </w:r>
      <w:r w:rsidRPr="00C301AA">
        <w:rPr>
          <w:rFonts w:ascii="Times New Roman" w:hAnsi="Times New Roman" w:cs="Times New Roman"/>
          <w:sz w:val="24"/>
          <w:szCs w:val="24"/>
        </w:rPr>
        <w:t xml:space="preserve">The </w:t>
      </w:r>
      <w:r w:rsidR="00E00281" w:rsidRPr="00C301AA">
        <w:rPr>
          <w:rFonts w:ascii="Times New Roman" w:hAnsi="Times New Roman" w:cs="Times New Roman"/>
          <w:sz w:val="24"/>
          <w:szCs w:val="24"/>
        </w:rPr>
        <w:t xml:space="preserve">commenter </w:t>
      </w:r>
      <w:r w:rsidR="000A719B" w:rsidRPr="00C301AA">
        <w:rPr>
          <w:rFonts w:ascii="Times New Roman" w:hAnsi="Times New Roman" w:cs="Times New Roman"/>
          <w:sz w:val="24"/>
          <w:szCs w:val="24"/>
        </w:rPr>
        <w:t>recommend</w:t>
      </w:r>
      <w:r w:rsidR="00E00281" w:rsidRPr="00C301AA">
        <w:rPr>
          <w:rFonts w:ascii="Times New Roman" w:hAnsi="Times New Roman" w:cs="Times New Roman"/>
          <w:sz w:val="24"/>
          <w:szCs w:val="24"/>
        </w:rPr>
        <w:t>ed</w:t>
      </w:r>
      <w:r w:rsidR="000A719B" w:rsidRPr="00C301AA">
        <w:rPr>
          <w:rFonts w:ascii="Times New Roman" w:hAnsi="Times New Roman" w:cs="Times New Roman"/>
          <w:sz w:val="24"/>
          <w:szCs w:val="24"/>
        </w:rPr>
        <w:t xml:space="preserve"> adding a response option to </w:t>
      </w:r>
      <w:r w:rsidR="00864BAA" w:rsidRPr="00C301AA">
        <w:rPr>
          <w:rFonts w:ascii="Times New Roman" w:hAnsi="Times New Roman" w:cs="Times New Roman"/>
          <w:sz w:val="24"/>
          <w:szCs w:val="24"/>
        </w:rPr>
        <w:t>f</w:t>
      </w:r>
      <w:r w:rsidR="000A719B" w:rsidRPr="00C301AA">
        <w:rPr>
          <w:rFonts w:ascii="Times New Roman" w:hAnsi="Times New Roman" w:cs="Times New Roman"/>
          <w:sz w:val="24"/>
          <w:szCs w:val="24"/>
        </w:rPr>
        <w:t>ield 39 that indicates</w:t>
      </w:r>
      <w:r w:rsidRPr="00C301AA">
        <w:rPr>
          <w:rFonts w:ascii="Times New Roman" w:hAnsi="Times New Roman" w:cs="Times New Roman"/>
          <w:sz w:val="24"/>
          <w:szCs w:val="24"/>
        </w:rPr>
        <w:t xml:space="preserve"> </w:t>
      </w:r>
      <w:r w:rsidR="000A719B" w:rsidRPr="00C301AA">
        <w:rPr>
          <w:rFonts w:ascii="Times New Roman" w:hAnsi="Times New Roman" w:cs="Times New Roman"/>
          <w:sz w:val="24"/>
          <w:szCs w:val="24"/>
        </w:rPr>
        <w:t>Master's degree complete</w:t>
      </w:r>
      <w:r w:rsidR="007465FA">
        <w:rPr>
          <w:rFonts w:ascii="Times New Roman" w:hAnsi="Times New Roman" w:cs="Times New Roman"/>
          <w:sz w:val="24"/>
          <w:szCs w:val="24"/>
        </w:rPr>
        <w:t>d</w:t>
      </w:r>
      <w:r w:rsidR="000A719B" w:rsidRPr="00C301AA">
        <w:rPr>
          <w:rFonts w:ascii="Times New Roman" w:hAnsi="Times New Roman" w:cs="Times New Roman"/>
          <w:sz w:val="24"/>
          <w:szCs w:val="24"/>
        </w:rPr>
        <w:t xml:space="preserve"> or degree-attained of an equivalent of a two-year, postbaccalaureate program.</w:t>
      </w:r>
    </w:p>
    <w:p w:rsidR="007E5C1B" w:rsidRDefault="007E5C1B" w:rsidP="007E5C1B">
      <w:pPr>
        <w:spacing w:after="0" w:line="240" w:lineRule="auto"/>
        <w:rPr>
          <w:rFonts w:ascii="Times New Roman" w:hAnsi="Times New Roman" w:cs="Times New Roman"/>
          <w:b/>
          <w:sz w:val="24"/>
          <w:szCs w:val="24"/>
        </w:rPr>
      </w:pPr>
    </w:p>
    <w:p w:rsidR="00E00281" w:rsidRPr="00C301AA" w:rsidRDefault="000A719B" w:rsidP="007E5C1B">
      <w:pPr>
        <w:spacing w:after="0" w:line="240" w:lineRule="auto"/>
        <w:rPr>
          <w:rFonts w:ascii="Times New Roman" w:eastAsia="Times New Roman" w:hAnsi="Times New Roman" w:cs="Times New Roman"/>
          <w:sz w:val="24"/>
          <w:szCs w:val="24"/>
        </w:rPr>
      </w:pPr>
      <w:r w:rsidRPr="00C301AA">
        <w:rPr>
          <w:rFonts w:ascii="Times New Roman" w:hAnsi="Times New Roman" w:cs="Times New Roman"/>
          <w:b/>
          <w:sz w:val="24"/>
          <w:szCs w:val="24"/>
        </w:rPr>
        <w:t xml:space="preserve">Discussion: </w:t>
      </w:r>
      <w:r w:rsidR="002A6DB4" w:rsidRPr="00C301AA">
        <w:rPr>
          <w:rFonts w:ascii="Times New Roman" w:hAnsi="Times New Roman" w:cs="Times New Roman"/>
          <w:b/>
          <w:sz w:val="24"/>
          <w:szCs w:val="24"/>
        </w:rPr>
        <w:t xml:space="preserve"> </w:t>
      </w:r>
      <w:r w:rsidR="00803F77" w:rsidRPr="00C301AA">
        <w:rPr>
          <w:rFonts w:ascii="Times New Roman" w:eastAsia="Times New Roman" w:hAnsi="Times New Roman" w:cs="Times New Roman"/>
          <w:sz w:val="24"/>
          <w:szCs w:val="24"/>
        </w:rPr>
        <w:t xml:space="preserve">The goal of McNair is the attainment of the doctorate degree; therefore, the duration of </w:t>
      </w:r>
      <w:r w:rsidR="00A0134B" w:rsidRPr="00C301AA">
        <w:rPr>
          <w:rFonts w:ascii="Times New Roman" w:eastAsia="Times New Roman" w:hAnsi="Times New Roman" w:cs="Times New Roman"/>
          <w:sz w:val="24"/>
          <w:szCs w:val="24"/>
        </w:rPr>
        <w:t>the</w:t>
      </w:r>
      <w:r w:rsidR="00803F77" w:rsidRPr="00C301AA">
        <w:rPr>
          <w:rFonts w:ascii="Times New Roman" w:eastAsia="Times New Roman" w:hAnsi="Times New Roman" w:cs="Times New Roman"/>
          <w:sz w:val="24"/>
          <w:szCs w:val="24"/>
        </w:rPr>
        <w:t xml:space="preserve"> Master’s program is not relevant to the ultimate goal; it is </w:t>
      </w:r>
      <w:r w:rsidR="00864BAA" w:rsidRPr="00C301AA">
        <w:rPr>
          <w:rFonts w:ascii="Times New Roman" w:eastAsia="Times New Roman" w:hAnsi="Times New Roman" w:cs="Times New Roman"/>
          <w:sz w:val="24"/>
          <w:szCs w:val="24"/>
        </w:rPr>
        <w:t xml:space="preserve">the </w:t>
      </w:r>
      <w:r w:rsidR="00803F77" w:rsidRPr="00C301AA">
        <w:rPr>
          <w:rFonts w:ascii="Times New Roman" w:eastAsia="Times New Roman" w:hAnsi="Times New Roman" w:cs="Times New Roman"/>
          <w:sz w:val="24"/>
          <w:szCs w:val="24"/>
        </w:rPr>
        <w:t>secondary</w:t>
      </w:r>
      <w:r w:rsidR="00864BAA" w:rsidRPr="00C301AA">
        <w:rPr>
          <w:rFonts w:ascii="Times New Roman" w:eastAsia="Times New Roman" w:hAnsi="Times New Roman" w:cs="Times New Roman"/>
          <w:sz w:val="24"/>
          <w:szCs w:val="24"/>
        </w:rPr>
        <w:t>, but not the primary</w:t>
      </w:r>
      <w:r w:rsidR="008D1FB4">
        <w:rPr>
          <w:rFonts w:ascii="Times New Roman" w:eastAsia="Times New Roman" w:hAnsi="Times New Roman" w:cs="Times New Roman"/>
          <w:sz w:val="24"/>
          <w:szCs w:val="24"/>
        </w:rPr>
        <w:t xml:space="preserve"> </w:t>
      </w:r>
      <w:r w:rsidR="00803F77" w:rsidRPr="00C301AA">
        <w:rPr>
          <w:rFonts w:ascii="Times New Roman" w:eastAsia="Times New Roman" w:hAnsi="Times New Roman" w:cs="Times New Roman"/>
          <w:sz w:val="24"/>
          <w:szCs w:val="24"/>
        </w:rPr>
        <w:t xml:space="preserve">measure.  </w:t>
      </w:r>
    </w:p>
    <w:p w:rsidR="007E5C1B" w:rsidRDefault="007E5C1B" w:rsidP="007E5C1B">
      <w:pPr>
        <w:spacing w:after="0" w:line="240" w:lineRule="auto"/>
        <w:rPr>
          <w:rFonts w:ascii="Times New Roman" w:eastAsia="Times New Roman" w:hAnsi="Times New Roman" w:cs="Times New Roman"/>
          <w:sz w:val="24"/>
          <w:szCs w:val="24"/>
        </w:rPr>
      </w:pPr>
    </w:p>
    <w:p w:rsidR="002A6DB4" w:rsidRPr="00C301AA" w:rsidRDefault="00E00281"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sz w:val="24"/>
          <w:szCs w:val="24"/>
        </w:rPr>
        <w:t>Regarding the addition of another option to capture information on participants who are in an accelerated program (e.g., nine months to a one year), field 39, option 3 does allow for this type of reporting.</w:t>
      </w:r>
    </w:p>
    <w:p w:rsidR="007E5C1B" w:rsidRDefault="007E5C1B" w:rsidP="007E5C1B">
      <w:pPr>
        <w:spacing w:after="0" w:line="240" w:lineRule="auto"/>
        <w:rPr>
          <w:rFonts w:ascii="Times New Roman" w:hAnsi="Times New Roman" w:cs="Times New Roman"/>
          <w:b/>
          <w:sz w:val="24"/>
          <w:szCs w:val="24"/>
        </w:rPr>
      </w:pPr>
    </w:p>
    <w:p w:rsidR="000A719B" w:rsidRPr="00C301AA" w:rsidRDefault="000A719B" w:rsidP="007E5C1B">
      <w:pPr>
        <w:spacing w:after="0" w:line="240" w:lineRule="auto"/>
        <w:rPr>
          <w:rFonts w:ascii="Times New Roman" w:hAnsi="Times New Roman" w:cs="Times New Roman"/>
          <w:b/>
          <w:sz w:val="24"/>
          <w:szCs w:val="24"/>
        </w:rPr>
      </w:pPr>
      <w:r w:rsidRPr="00C301AA">
        <w:rPr>
          <w:rFonts w:ascii="Times New Roman" w:hAnsi="Times New Roman" w:cs="Times New Roman"/>
          <w:b/>
          <w:sz w:val="24"/>
          <w:szCs w:val="24"/>
        </w:rPr>
        <w:t>Action Taken:</w:t>
      </w:r>
      <w:r w:rsidR="00864BAA" w:rsidRPr="00C301AA">
        <w:rPr>
          <w:rFonts w:ascii="Times New Roman" w:hAnsi="Times New Roman" w:cs="Times New Roman"/>
          <w:sz w:val="24"/>
          <w:szCs w:val="24"/>
        </w:rPr>
        <w:t xml:space="preserve">  None</w:t>
      </w:r>
    </w:p>
    <w:p w:rsidR="007E5C1B" w:rsidRDefault="007E5C1B" w:rsidP="007E5C1B">
      <w:pPr>
        <w:pStyle w:val="CommentText"/>
        <w:spacing w:after="0" w:line="240" w:lineRule="auto"/>
        <w:rPr>
          <w:rFonts w:ascii="Times New Roman" w:hAnsi="Times New Roman"/>
          <w:b/>
          <w:sz w:val="24"/>
          <w:szCs w:val="24"/>
          <w:u w:val="single"/>
        </w:rPr>
      </w:pPr>
    </w:p>
    <w:p w:rsidR="0012389F" w:rsidRPr="00C301AA" w:rsidRDefault="0012389F" w:rsidP="007E5C1B">
      <w:pPr>
        <w:pStyle w:val="CommentText"/>
        <w:spacing w:after="0" w:line="240" w:lineRule="auto"/>
        <w:rPr>
          <w:rFonts w:ascii="Times New Roman" w:hAnsi="Times New Roman"/>
          <w:b/>
          <w:sz w:val="24"/>
          <w:szCs w:val="24"/>
          <w:u w:val="single"/>
        </w:rPr>
      </w:pPr>
      <w:r w:rsidRPr="00C301AA">
        <w:rPr>
          <w:rFonts w:ascii="Times New Roman" w:hAnsi="Times New Roman"/>
          <w:b/>
          <w:sz w:val="24"/>
          <w:szCs w:val="24"/>
          <w:u w:val="single"/>
        </w:rPr>
        <w:t xml:space="preserve">Field 39 – </w:t>
      </w:r>
      <w:r w:rsidR="00531B76" w:rsidRPr="00C301AA">
        <w:rPr>
          <w:rFonts w:ascii="Times New Roman" w:hAnsi="Times New Roman"/>
          <w:b/>
          <w:sz w:val="24"/>
          <w:szCs w:val="24"/>
          <w:u w:val="single"/>
        </w:rPr>
        <w:t>First Year Graduate Persistence Status</w:t>
      </w:r>
    </w:p>
    <w:p w:rsidR="007E5C1B" w:rsidRDefault="007E5C1B" w:rsidP="007E5C1B">
      <w:pPr>
        <w:pStyle w:val="CommentText"/>
        <w:spacing w:after="0" w:line="240" w:lineRule="auto"/>
        <w:rPr>
          <w:rFonts w:ascii="Times New Roman" w:hAnsi="Times New Roman"/>
          <w:b/>
          <w:sz w:val="24"/>
          <w:szCs w:val="24"/>
        </w:rPr>
      </w:pPr>
    </w:p>
    <w:p w:rsidR="00CC3D05" w:rsidRPr="00C301AA" w:rsidRDefault="00CC3D05" w:rsidP="007E5C1B">
      <w:pPr>
        <w:pStyle w:val="CommentText"/>
        <w:spacing w:after="0" w:line="240" w:lineRule="auto"/>
        <w:rPr>
          <w:rFonts w:ascii="Times New Roman" w:hAnsi="Times New Roman"/>
          <w:sz w:val="24"/>
          <w:szCs w:val="24"/>
        </w:rPr>
      </w:pPr>
      <w:r w:rsidRPr="00C301AA">
        <w:rPr>
          <w:rFonts w:ascii="Times New Roman" w:hAnsi="Times New Roman"/>
          <w:b/>
          <w:sz w:val="24"/>
          <w:szCs w:val="24"/>
        </w:rPr>
        <w:lastRenderedPageBreak/>
        <w:t>Comment</w:t>
      </w:r>
      <w:r w:rsidR="0012389F" w:rsidRPr="00C301AA">
        <w:rPr>
          <w:rFonts w:ascii="Times New Roman" w:hAnsi="Times New Roman"/>
          <w:b/>
          <w:sz w:val="24"/>
          <w:szCs w:val="24"/>
        </w:rPr>
        <w:t>s:</w:t>
      </w:r>
      <w:r w:rsidR="0012389F" w:rsidRPr="00C301AA">
        <w:rPr>
          <w:rFonts w:ascii="Times New Roman" w:hAnsi="Times New Roman"/>
          <w:sz w:val="24"/>
          <w:szCs w:val="24"/>
        </w:rPr>
        <w:t xml:space="preserve"> </w:t>
      </w:r>
      <w:r w:rsidRPr="00C301AA">
        <w:rPr>
          <w:rFonts w:ascii="Times New Roman" w:hAnsi="Times New Roman"/>
          <w:sz w:val="24"/>
          <w:szCs w:val="24"/>
        </w:rPr>
        <w:t xml:space="preserve"> </w:t>
      </w:r>
      <w:r w:rsidR="00E00281" w:rsidRPr="00C301AA">
        <w:rPr>
          <w:rFonts w:ascii="Times New Roman" w:hAnsi="Times New Roman"/>
          <w:sz w:val="24"/>
          <w:szCs w:val="24"/>
        </w:rPr>
        <w:t>In order to clarify what is meant by “graduate studies” (i.e., postbaccalaureate degree-granting), one commenter requested</w:t>
      </w:r>
      <w:r w:rsidR="0012389F" w:rsidRPr="00C301AA">
        <w:rPr>
          <w:rFonts w:ascii="Times New Roman" w:hAnsi="Times New Roman"/>
          <w:sz w:val="24"/>
          <w:szCs w:val="24"/>
        </w:rPr>
        <w:t xml:space="preserve"> </w:t>
      </w:r>
      <w:r w:rsidR="00E00281" w:rsidRPr="00C301AA">
        <w:rPr>
          <w:rStyle w:val="CommentReference"/>
          <w:rFonts w:ascii="Times New Roman" w:hAnsi="Times New Roman"/>
          <w:sz w:val="24"/>
          <w:szCs w:val="24"/>
        </w:rPr>
        <w:t>revisions</w:t>
      </w:r>
      <w:r w:rsidRPr="00C301AA">
        <w:rPr>
          <w:rStyle w:val="CommentReference"/>
          <w:rFonts w:ascii="Times New Roman" w:hAnsi="Times New Roman"/>
          <w:sz w:val="24"/>
          <w:szCs w:val="24"/>
        </w:rPr>
        <w:t xml:space="preserve"> </w:t>
      </w:r>
      <w:r w:rsidR="0012389F" w:rsidRPr="00C301AA">
        <w:rPr>
          <w:rStyle w:val="CommentReference"/>
          <w:rFonts w:ascii="Times New Roman" w:hAnsi="Times New Roman"/>
          <w:sz w:val="24"/>
          <w:szCs w:val="24"/>
        </w:rPr>
        <w:t xml:space="preserve">to </w:t>
      </w:r>
      <w:r w:rsidRPr="00C301AA">
        <w:rPr>
          <w:rStyle w:val="CommentReference"/>
          <w:rFonts w:ascii="Times New Roman" w:hAnsi="Times New Roman"/>
          <w:sz w:val="24"/>
          <w:szCs w:val="24"/>
        </w:rPr>
        <w:t xml:space="preserve">the terminology </w:t>
      </w:r>
      <w:r w:rsidR="00E00281" w:rsidRPr="00C301AA">
        <w:rPr>
          <w:rStyle w:val="CommentReference"/>
          <w:rFonts w:ascii="Times New Roman" w:hAnsi="Times New Roman"/>
          <w:sz w:val="24"/>
          <w:szCs w:val="24"/>
        </w:rPr>
        <w:t>for field 39, First Year Graduate Persistence Status</w:t>
      </w:r>
      <w:r w:rsidRPr="00C301AA">
        <w:rPr>
          <w:rStyle w:val="CommentReference"/>
          <w:rFonts w:ascii="Times New Roman" w:hAnsi="Times New Roman"/>
          <w:sz w:val="24"/>
          <w:szCs w:val="24"/>
        </w:rPr>
        <w:t xml:space="preserve">. </w:t>
      </w:r>
    </w:p>
    <w:p w:rsidR="007E5C1B" w:rsidRDefault="007E5C1B" w:rsidP="007E5C1B">
      <w:pPr>
        <w:spacing w:after="0" w:line="240" w:lineRule="auto"/>
        <w:rPr>
          <w:rFonts w:ascii="Times New Roman" w:eastAsia="Times New Roman" w:hAnsi="Times New Roman" w:cs="Times New Roman"/>
          <w:b/>
          <w:sz w:val="24"/>
          <w:szCs w:val="24"/>
        </w:rPr>
      </w:pPr>
    </w:p>
    <w:p w:rsidR="00531B76" w:rsidRPr="00C301AA" w:rsidRDefault="00531B76"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 xml:space="preserve">Discussion:  </w:t>
      </w:r>
      <w:r w:rsidR="00CC4F0D">
        <w:rPr>
          <w:rFonts w:ascii="Times New Roman" w:eastAsia="Times New Roman" w:hAnsi="Times New Roman" w:cs="Times New Roman"/>
          <w:sz w:val="24"/>
          <w:szCs w:val="24"/>
        </w:rPr>
        <w:t>Duly</w:t>
      </w:r>
      <w:r w:rsidR="00E00281" w:rsidRPr="00C301AA">
        <w:rPr>
          <w:rFonts w:ascii="Times New Roman" w:eastAsia="Times New Roman" w:hAnsi="Times New Roman" w:cs="Times New Roman"/>
          <w:sz w:val="24"/>
          <w:szCs w:val="24"/>
        </w:rPr>
        <w:t xml:space="preserve"> noted</w:t>
      </w:r>
    </w:p>
    <w:p w:rsidR="007E5C1B" w:rsidRDefault="007E5C1B" w:rsidP="007E5C1B">
      <w:pPr>
        <w:spacing w:after="0" w:line="240" w:lineRule="auto"/>
        <w:rPr>
          <w:rFonts w:ascii="Times New Roman" w:eastAsia="Times New Roman" w:hAnsi="Times New Roman" w:cs="Times New Roman"/>
          <w:b/>
          <w:sz w:val="24"/>
          <w:szCs w:val="24"/>
        </w:rPr>
      </w:pPr>
    </w:p>
    <w:p w:rsidR="00531B76" w:rsidRDefault="00531B76"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 xml:space="preserve">Action Taken:  </w:t>
      </w:r>
      <w:r w:rsidR="00E00281" w:rsidRPr="00C301AA">
        <w:rPr>
          <w:rFonts w:ascii="Times New Roman" w:eastAsia="Times New Roman" w:hAnsi="Times New Roman" w:cs="Times New Roman"/>
          <w:sz w:val="24"/>
          <w:szCs w:val="24"/>
        </w:rPr>
        <w:t>The Department has revised the “</w:t>
      </w:r>
      <w:r w:rsidR="00E00281" w:rsidRPr="00C301AA">
        <w:rPr>
          <w:rFonts w:ascii="Times New Roman" w:eastAsia="Times New Roman" w:hAnsi="Times New Roman" w:cs="Times New Roman"/>
          <w:b/>
          <w:sz w:val="24"/>
          <w:szCs w:val="24"/>
        </w:rPr>
        <w:t>NOTE</w:t>
      </w:r>
      <w:r w:rsidR="00E00281" w:rsidRPr="00C301AA">
        <w:rPr>
          <w:rFonts w:ascii="Times New Roman" w:eastAsia="Times New Roman" w:hAnsi="Times New Roman" w:cs="Times New Roman"/>
          <w:sz w:val="24"/>
          <w:szCs w:val="24"/>
        </w:rPr>
        <w:t>” in field 39 and included the definition of “graduate studies”.</w:t>
      </w:r>
    </w:p>
    <w:p w:rsidR="008D1FB4" w:rsidRPr="00C301AA" w:rsidRDefault="008D1FB4" w:rsidP="007E5C1B">
      <w:pPr>
        <w:spacing w:after="0" w:line="240" w:lineRule="auto"/>
        <w:rPr>
          <w:rFonts w:ascii="Times New Roman" w:eastAsia="Times New Roman" w:hAnsi="Times New Roman" w:cs="Times New Roman"/>
          <w:sz w:val="24"/>
          <w:szCs w:val="24"/>
        </w:rPr>
      </w:pPr>
    </w:p>
    <w:p w:rsidR="0012389F" w:rsidRPr="00C301AA" w:rsidRDefault="003309CE" w:rsidP="007E5C1B">
      <w:pPr>
        <w:spacing w:after="0" w:line="240" w:lineRule="auto"/>
        <w:rPr>
          <w:rFonts w:ascii="Times New Roman" w:hAnsi="Times New Roman" w:cs="Times New Roman"/>
          <w:b/>
          <w:sz w:val="24"/>
          <w:szCs w:val="24"/>
          <w:u w:val="single"/>
        </w:rPr>
      </w:pPr>
      <w:r w:rsidRPr="00C301AA">
        <w:rPr>
          <w:rFonts w:ascii="Times New Roman" w:hAnsi="Times New Roman" w:cs="Times New Roman"/>
          <w:b/>
          <w:sz w:val="24"/>
          <w:szCs w:val="24"/>
          <w:u w:val="single"/>
        </w:rPr>
        <w:t>Field 44</w:t>
      </w:r>
      <w:r w:rsidR="00864BAA" w:rsidRPr="00C301AA">
        <w:rPr>
          <w:rFonts w:ascii="Times New Roman" w:hAnsi="Times New Roman" w:cs="Times New Roman"/>
          <w:b/>
          <w:sz w:val="24"/>
          <w:szCs w:val="24"/>
          <w:u w:val="single"/>
        </w:rPr>
        <w:t xml:space="preserve"> - Graduate Degree Earned</w:t>
      </w:r>
    </w:p>
    <w:p w:rsidR="007E5C1B" w:rsidRDefault="007E5C1B" w:rsidP="007E5C1B">
      <w:pPr>
        <w:spacing w:after="0" w:line="240" w:lineRule="auto"/>
        <w:rPr>
          <w:rFonts w:ascii="Times New Roman" w:hAnsi="Times New Roman" w:cs="Times New Roman"/>
          <w:b/>
          <w:sz w:val="24"/>
          <w:szCs w:val="24"/>
        </w:rPr>
      </w:pPr>
    </w:p>
    <w:p w:rsidR="00E05FC6" w:rsidRPr="00C301AA" w:rsidRDefault="00E05FC6"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 xml:space="preserve">Comments: </w:t>
      </w:r>
      <w:r w:rsidRPr="00C301AA">
        <w:rPr>
          <w:rFonts w:ascii="Times New Roman" w:hAnsi="Times New Roman" w:cs="Times New Roman"/>
          <w:sz w:val="24"/>
          <w:szCs w:val="24"/>
        </w:rPr>
        <w:t xml:space="preserve"> </w:t>
      </w:r>
      <w:r w:rsidR="00E00281" w:rsidRPr="00C301AA">
        <w:rPr>
          <w:rFonts w:ascii="Times New Roman" w:hAnsi="Times New Roman" w:cs="Times New Roman"/>
          <w:sz w:val="24"/>
          <w:szCs w:val="24"/>
        </w:rPr>
        <w:t xml:space="preserve">One commenter noted a typographical error in the </w:t>
      </w:r>
      <w:r w:rsidR="00E00281" w:rsidRPr="00C301AA">
        <w:rPr>
          <w:rFonts w:ascii="Times New Roman" w:hAnsi="Times New Roman" w:cs="Times New Roman"/>
          <w:b/>
          <w:sz w:val="24"/>
          <w:szCs w:val="24"/>
        </w:rPr>
        <w:t>NOTE</w:t>
      </w:r>
      <w:r w:rsidR="00E00281" w:rsidRPr="00C301AA">
        <w:rPr>
          <w:rFonts w:ascii="Times New Roman" w:hAnsi="Times New Roman" w:cs="Times New Roman"/>
          <w:sz w:val="24"/>
          <w:szCs w:val="24"/>
        </w:rPr>
        <w:t xml:space="preserve"> contained in field 44,</w:t>
      </w:r>
      <w:r w:rsidR="0012389F" w:rsidRPr="00C301AA">
        <w:rPr>
          <w:rFonts w:ascii="Times New Roman" w:hAnsi="Times New Roman" w:cs="Times New Roman"/>
          <w:sz w:val="24"/>
          <w:szCs w:val="24"/>
        </w:rPr>
        <w:t xml:space="preserve"> </w:t>
      </w:r>
      <w:r w:rsidR="00E00281" w:rsidRPr="00C301AA">
        <w:rPr>
          <w:rFonts w:ascii="Times New Roman" w:hAnsi="Times New Roman" w:cs="Times New Roman"/>
          <w:sz w:val="24"/>
          <w:szCs w:val="24"/>
        </w:rPr>
        <w:t xml:space="preserve">as follows: </w:t>
      </w:r>
      <w:r w:rsidRPr="00C301AA">
        <w:rPr>
          <w:rFonts w:ascii="Times New Roman" w:eastAsia="Times New Roman" w:hAnsi="Times New Roman" w:cs="Times New Roman"/>
          <w:sz w:val="24"/>
          <w:szCs w:val="24"/>
        </w:rPr>
        <w:t xml:space="preserve"> </w:t>
      </w:r>
      <w:proofErr w:type="gramStart"/>
      <w:r w:rsidRPr="00C301AA">
        <w:rPr>
          <w:rFonts w:ascii="Times New Roman" w:eastAsia="Times New Roman" w:hAnsi="Times New Roman" w:cs="Times New Roman"/>
          <w:sz w:val="24"/>
          <w:szCs w:val="24"/>
        </w:rPr>
        <w:t>" ...</w:t>
      </w:r>
      <w:proofErr w:type="gramEnd"/>
      <w:r w:rsidRPr="00C301AA">
        <w:rPr>
          <w:rFonts w:ascii="Times New Roman" w:eastAsia="Times New Roman" w:hAnsi="Times New Roman" w:cs="Times New Roman"/>
          <w:sz w:val="24"/>
          <w:szCs w:val="24"/>
        </w:rPr>
        <w:t xml:space="preserve"> please contact the institution whether (sic) the doctorate ... " </w:t>
      </w:r>
      <w:r w:rsidR="0012389F" w:rsidRPr="00C301AA">
        <w:rPr>
          <w:rFonts w:ascii="Times New Roman" w:eastAsia="Times New Roman" w:hAnsi="Times New Roman" w:cs="Times New Roman"/>
          <w:sz w:val="24"/>
          <w:szCs w:val="24"/>
        </w:rPr>
        <w:t>that t</w:t>
      </w:r>
      <w:r w:rsidRPr="00C301AA">
        <w:rPr>
          <w:rFonts w:ascii="Times New Roman" w:eastAsia="Times New Roman" w:hAnsi="Times New Roman" w:cs="Times New Roman"/>
          <w:sz w:val="24"/>
          <w:szCs w:val="24"/>
        </w:rPr>
        <w:t xml:space="preserve">his appears to be a mistake. </w:t>
      </w:r>
      <w:r w:rsidR="0012389F" w:rsidRPr="00C301AA">
        <w:rPr>
          <w:rFonts w:ascii="Times New Roman" w:eastAsia="Times New Roman" w:hAnsi="Times New Roman" w:cs="Times New Roman"/>
          <w:sz w:val="24"/>
          <w:szCs w:val="24"/>
        </w:rPr>
        <w:t xml:space="preserve"> They r</w:t>
      </w:r>
      <w:r w:rsidRPr="00C301AA">
        <w:rPr>
          <w:rFonts w:ascii="Times New Roman" w:eastAsia="Times New Roman" w:hAnsi="Times New Roman" w:cs="Times New Roman"/>
          <w:sz w:val="24"/>
          <w:szCs w:val="24"/>
        </w:rPr>
        <w:t>ecommend</w:t>
      </w:r>
      <w:r w:rsidR="00C301AA" w:rsidRPr="00C301AA">
        <w:rPr>
          <w:rFonts w:ascii="Times New Roman" w:eastAsia="Times New Roman" w:hAnsi="Times New Roman" w:cs="Times New Roman"/>
          <w:sz w:val="24"/>
          <w:szCs w:val="24"/>
        </w:rPr>
        <w:t>ed</w:t>
      </w:r>
      <w:r w:rsidR="0012389F" w:rsidRPr="00C301AA">
        <w:rPr>
          <w:rFonts w:ascii="Times New Roman" w:eastAsia="Times New Roman" w:hAnsi="Times New Roman" w:cs="Times New Roman"/>
          <w:sz w:val="24"/>
          <w:szCs w:val="24"/>
        </w:rPr>
        <w:t xml:space="preserve"> r</w:t>
      </w:r>
      <w:r w:rsidRPr="00C301AA">
        <w:rPr>
          <w:rFonts w:ascii="Times New Roman" w:eastAsia="Times New Roman" w:hAnsi="Times New Roman" w:cs="Times New Roman"/>
          <w:sz w:val="24"/>
          <w:szCs w:val="24"/>
        </w:rPr>
        <w:t>eplac</w:t>
      </w:r>
      <w:r w:rsidR="0012389F" w:rsidRPr="00C301AA">
        <w:rPr>
          <w:rFonts w:ascii="Times New Roman" w:eastAsia="Times New Roman" w:hAnsi="Times New Roman" w:cs="Times New Roman"/>
          <w:sz w:val="24"/>
          <w:szCs w:val="24"/>
        </w:rPr>
        <w:t>ing</w:t>
      </w:r>
      <w:r w:rsidRPr="00C301AA">
        <w:rPr>
          <w:rFonts w:ascii="Times New Roman" w:eastAsia="Times New Roman" w:hAnsi="Times New Roman" w:cs="Times New Roman"/>
          <w:sz w:val="24"/>
          <w:szCs w:val="24"/>
        </w:rPr>
        <w:t xml:space="preserve"> "whether" with "where."</w:t>
      </w:r>
    </w:p>
    <w:p w:rsidR="007E5C1B" w:rsidRDefault="007E5C1B" w:rsidP="007E5C1B">
      <w:pPr>
        <w:spacing w:after="0" w:line="240" w:lineRule="auto"/>
        <w:rPr>
          <w:rFonts w:ascii="Times New Roman" w:hAnsi="Times New Roman" w:cs="Times New Roman"/>
          <w:b/>
          <w:sz w:val="24"/>
          <w:szCs w:val="24"/>
        </w:rPr>
      </w:pPr>
    </w:p>
    <w:p w:rsidR="00E05FC6" w:rsidRPr="00C301AA" w:rsidRDefault="00E05FC6" w:rsidP="007E5C1B">
      <w:pPr>
        <w:spacing w:after="0" w:line="240" w:lineRule="auto"/>
        <w:rPr>
          <w:rFonts w:ascii="Times New Roman" w:hAnsi="Times New Roman" w:cs="Times New Roman"/>
          <w:b/>
          <w:sz w:val="24"/>
          <w:szCs w:val="24"/>
        </w:rPr>
      </w:pPr>
      <w:r w:rsidRPr="00C301AA">
        <w:rPr>
          <w:rFonts w:ascii="Times New Roman" w:hAnsi="Times New Roman" w:cs="Times New Roman"/>
          <w:b/>
          <w:sz w:val="24"/>
          <w:szCs w:val="24"/>
        </w:rPr>
        <w:t xml:space="preserve">Discussion: </w:t>
      </w:r>
      <w:r w:rsidR="00CC4F0D">
        <w:rPr>
          <w:rFonts w:ascii="Times New Roman" w:hAnsi="Times New Roman" w:cs="Times New Roman"/>
          <w:sz w:val="24"/>
          <w:szCs w:val="24"/>
        </w:rPr>
        <w:t>Duly</w:t>
      </w:r>
      <w:r w:rsidR="00803F77" w:rsidRPr="00C301AA">
        <w:rPr>
          <w:rFonts w:ascii="Times New Roman" w:hAnsi="Times New Roman" w:cs="Times New Roman"/>
          <w:sz w:val="24"/>
          <w:szCs w:val="24"/>
        </w:rPr>
        <w:t xml:space="preserve"> noted</w:t>
      </w:r>
    </w:p>
    <w:p w:rsidR="007E5C1B" w:rsidRDefault="007E5C1B" w:rsidP="007E5C1B">
      <w:pPr>
        <w:spacing w:after="0" w:line="240" w:lineRule="auto"/>
        <w:rPr>
          <w:rFonts w:ascii="Times New Roman" w:hAnsi="Times New Roman" w:cs="Times New Roman"/>
          <w:b/>
          <w:sz w:val="24"/>
          <w:szCs w:val="24"/>
        </w:rPr>
      </w:pPr>
    </w:p>
    <w:p w:rsidR="00E05FC6" w:rsidRPr="00C301AA" w:rsidRDefault="00E05FC6"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Action Taken:</w:t>
      </w:r>
      <w:r w:rsidR="00803F77" w:rsidRPr="00C301AA">
        <w:rPr>
          <w:rFonts w:ascii="Times New Roman" w:hAnsi="Times New Roman" w:cs="Times New Roman"/>
          <w:b/>
          <w:sz w:val="24"/>
          <w:szCs w:val="24"/>
        </w:rPr>
        <w:t xml:space="preserve">  </w:t>
      </w:r>
      <w:r w:rsidR="00803F77" w:rsidRPr="00C301AA">
        <w:rPr>
          <w:rFonts w:ascii="Times New Roman" w:hAnsi="Times New Roman" w:cs="Times New Roman"/>
          <w:sz w:val="24"/>
          <w:szCs w:val="24"/>
        </w:rPr>
        <w:t>Change “whether” to “where”.</w:t>
      </w:r>
    </w:p>
    <w:p w:rsidR="000767C6" w:rsidRPr="00C301AA" w:rsidRDefault="000767C6" w:rsidP="007E5C1B">
      <w:pPr>
        <w:autoSpaceDE w:val="0"/>
        <w:autoSpaceDN w:val="0"/>
        <w:adjustRightInd w:val="0"/>
        <w:spacing w:after="0" w:line="240" w:lineRule="auto"/>
        <w:rPr>
          <w:rFonts w:ascii="Times New Roman" w:hAnsi="Times New Roman" w:cs="Times New Roman"/>
          <w:sz w:val="24"/>
          <w:szCs w:val="24"/>
        </w:rPr>
      </w:pPr>
    </w:p>
    <w:p w:rsidR="00F67AFB" w:rsidRPr="00C301AA" w:rsidRDefault="00F67AFB" w:rsidP="007E5C1B">
      <w:pPr>
        <w:pStyle w:val="Default"/>
        <w:rPr>
          <w:rFonts w:eastAsiaTheme="minorEastAsia"/>
          <w:b/>
          <w:bCs/>
          <w:color w:val="auto"/>
        </w:rPr>
      </w:pPr>
      <w:proofErr w:type="gramStart"/>
      <w:r w:rsidRPr="00C301AA">
        <w:rPr>
          <w:rFonts w:eastAsiaTheme="minorEastAsia"/>
          <w:b/>
          <w:bCs/>
          <w:color w:val="auto"/>
        </w:rPr>
        <w:t>SECTION II.J.</w:t>
      </w:r>
      <w:proofErr w:type="gramEnd"/>
      <w:r w:rsidRPr="00C301AA">
        <w:rPr>
          <w:rFonts w:eastAsiaTheme="minorEastAsia"/>
          <w:b/>
          <w:bCs/>
          <w:color w:val="auto"/>
        </w:rPr>
        <w:t xml:space="preserve"> </w:t>
      </w:r>
      <w:r w:rsidR="0012389F" w:rsidRPr="00C301AA">
        <w:rPr>
          <w:rFonts w:eastAsiaTheme="minorEastAsia"/>
          <w:b/>
          <w:bCs/>
          <w:color w:val="auto"/>
        </w:rPr>
        <w:t xml:space="preserve">SERVICES PARTICIPANTS RECEIVED </w:t>
      </w:r>
    </w:p>
    <w:p w:rsidR="0012389F" w:rsidRPr="00C301AA" w:rsidRDefault="0012389F" w:rsidP="007E5C1B">
      <w:pPr>
        <w:autoSpaceDE w:val="0"/>
        <w:autoSpaceDN w:val="0"/>
        <w:adjustRightInd w:val="0"/>
        <w:spacing w:after="0" w:line="240" w:lineRule="auto"/>
        <w:rPr>
          <w:rFonts w:ascii="Times New Roman" w:hAnsi="Times New Roman" w:cs="Times New Roman"/>
          <w:b/>
          <w:bCs/>
          <w:sz w:val="24"/>
          <w:szCs w:val="24"/>
        </w:rPr>
      </w:pPr>
    </w:p>
    <w:p w:rsidR="00F67AFB" w:rsidRPr="00C301AA" w:rsidRDefault="00BD525B" w:rsidP="007E5C1B">
      <w:pPr>
        <w:autoSpaceDE w:val="0"/>
        <w:autoSpaceDN w:val="0"/>
        <w:adjustRightInd w:val="0"/>
        <w:spacing w:after="0" w:line="240" w:lineRule="auto"/>
        <w:rPr>
          <w:rFonts w:ascii="Times New Roman" w:hAnsi="Times New Roman" w:cs="Times New Roman"/>
          <w:sz w:val="24"/>
          <w:szCs w:val="24"/>
        </w:rPr>
      </w:pPr>
      <w:r w:rsidRPr="007E5C1B">
        <w:rPr>
          <w:rFonts w:ascii="Times New Roman" w:hAnsi="Times New Roman" w:cs="Times New Roman"/>
          <w:b/>
          <w:bCs/>
          <w:sz w:val="24"/>
          <w:szCs w:val="24"/>
        </w:rPr>
        <w:t>Comments</w:t>
      </w:r>
      <w:r w:rsidRPr="00C301AA">
        <w:rPr>
          <w:rFonts w:ascii="Times New Roman" w:hAnsi="Times New Roman" w:cs="Times New Roman"/>
          <w:b/>
          <w:bCs/>
          <w:sz w:val="24"/>
          <w:szCs w:val="24"/>
        </w:rPr>
        <w:t xml:space="preserve">:  </w:t>
      </w:r>
      <w:r w:rsidR="00F67AFB" w:rsidRPr="00C301AA">
        <w:rPr>
          <w:rFonts w:ascii="Times New Roman" w:hAnsi="Times New Roman" w:cs="Times New Roman"/>
          <w:b/>
          <w:bCs/>
          <w:sz w:val="24"/>
          <w:szCs w:val="24"/>
        </w:rPr>
        <w:t>Fields 49-55</w:t>
      </w:r>
      <w:r w:rsidR="00F67AFB" w:rsidRPr="00C301AA">
        <w:rPr>
          <w:rFonts w:ascii="Times New Roman" w:hAnsi="Times New Roman" w:cs="Times New Roman"/>
          <w:b/>
          <w:bCs/>
          <w:iCs/>
          <w:sz w:val="24"/>
          <w:szCs w:val="24"/>
        </w:rPr>
        <w:t>:</w:t>
      </w:r>
      <w:r w:rsidR="00864BAA" w:rsidRPr="00C301AA">
        <w:rPr>
          <w:rFonts w:ascii="Times New Roman" w:hAnsi="Times New Roman" w:cs="Times New Roman"/>
          <w:b/>
          <w:bCs/>
          <w:i/>
          <w:iCs/>
          <w:sz w:val="24"/>
          <w:szCs w:val="24"/>
        </w:rPr>
        <w:t xml:space="preserve"> </w:t>
      </w:r>
      <w:r w:rsidR="00F67AFB" w:rsidRPr="00C301AA">
        <w:rPr>
          <w:rFonts w:ascii="Times New Roman" w:hAnsi="Times New Roman" w:cs="Times New Roman"/>
          <w:sz w:val="24"/>
          <w:szCs w:val="24"/>
        </w:rPr>
        <w:t xml:space="preserve"> </w:t>
      </w:r>
      <w:r w:rsidR="0060414F">
        <w:rPr>
          <w:rFonts w:ascii="Times New Roman" w:hAnsi="Times New Roman" w:cs="Times New Roman"/>
          <w:sz w:val="24"/>
          <w:szCs w:val="24"/>
        </w:rPr>
        <w:t>O</w:t>
      </w:r>
      <w:r w:rsidR="0012389F" w:rsidRPr="00C301AA">
        <w:rPr>
          <w:rFonts w:ascii="Times New Roman" w:hAnsi="Times New Roman" w:cs="Times New Roman"/>
          <w:sz w:val="24"/>
          <w:szCs w:val="24"/>
        </w:rPr>
        <w:t xml:space="preserve">ne commenter </w:t>
      </w:r>
      <w:r w:rsidR="00803F77" w:rsidRPr="00C301AA">
        <w:rPr>
          <w:rFonts w:ascii="Times New Roman" w:hAnsi="Times New Roman" w:cs="Times New Roman"/>
          <w:sz w:val="24"/>
          <w:szCs w:val="24"/>
        </w:rPr>
        <w:t>note</w:t>
      </w:r>
      <w:r w:rsidR="00961DD9" w:rsidRPr="00C301AA">
        <w:rPr>
          <w:rFonts w:ascii="Times New Roman" w:hAnsi="Times New Roman" w:cs="Times New Roman"/>
          <w:sz w:val="24"/>
          <w:szCs w:val="24"/>
        </w:rPr>
        <w:t>d</w:t>
      </w:r>
      <w:r w:rsidR="00803F77" w:rsidRPr="00C301AA">
        <w:rPr>
          <w:rFonts w:ascii="Times New Roman" w:hAnsi="Times New Roman" w:cs="Times New Roman"/>
          <w:sz w:val="24"/>
          <w:szCs w:val="24"/>
        </w:rPr>
        <w:t xml:space="preserve"> </w:t>
      </w:r>
      <w:r w:rsidR="0012389F" w:rsidRPr="00C301AA">
        <w:rPr>
          <w:rFonts w:ascii="Times New Roman" w:hAnsi="Times New Roman" w:cs="Times New Roman"/>
          <w:sz w:val="24"/>
          <w:szCs w:val="24"/>
        </w:rPr>
        <w:t>they</w:t>
      </w:r>
      <w:r w:rsidR="00F67AFB" w:rsidRPr="00C301AA">
        <w:rPr>
          <w:rFonts w:ascii="Times New Roman" w:hAnsi="Times New Roman" w:cs="Times New Roman"/>
          <w:sz w:val="24"/>
          <w:szCs w:val="24"/>
        </w:rPr>
        <w:t xml:space="preserve"> have appreciated the more streamlined reporting on services in Section I, Part 2 Project Services</w:t>
      </w:r>
      <w:r w:rsidR="0060414F">
        <w:rPr>
          <w:rFonts w:ascii="Times New Roman" w:hAnsi="Times New Roman" w:cs="Times New Roman"/>
          <w:sz w:val="24"/>
          <w:szCs w:val="24"/>
        </w:rPr>
        <w:t xml:space="preserve"> that have been implemented within the last several years</w:t>
      </w:r>
      <w:r w:rsidR="00803F77" w:rsidRPr="00C301AA">
        <w:rPr>
          <w:rFonts w:ascii="Times New Roman" w:hAnsi="Times New Roman" w:cs="Times New Roman"/>
          <w:sz w:val="24"/>
          <w:szCs w:val="24"/>
        </w:rPr>
        <w:t>,</w:t>
      </w:r>
      <w:r w:rsidR="00864BAA" w:rsidRPr="00C301AA">
        <w:rPr>
          <w:rFonts w:ascii="Times New Roman" w:hAnsi="Times New Roman" w:cs="Times New Roman"/>
          <w:sz w:val="24"/>
          <w:szCs w:val="24"/>
        </w:rPr>
        <w:t xml:space="preserve"> </w:t>
      </w:r>
      <w:r w:rsidR="00803F77" w:rsidRPr="00C301AA">
        <w:rPr>
          <w:rFonts w:ascii="Times New Roman" w:hAnsi="Times New Roman" w:cs="Times New Roman"/>
          <w:sz w:val="24"/>
          <w:szCs w:val="24"/>
        </w:rPr>
        <w:t xml:space="preserve">yet because grantees </w:t>
      </w:r>
      <w:r w:rsidR="00F67AFB" w:rsidRPr="00C301AA">
        <w:rPr>
          <w:rFonts w:ascii="Times New Roman" w:hAnsi="Times New Roman" w:cs="Times New Roman"/>
          <w:sz w:val="24"/>
          <w:szCs w:val="24"/>
        </w:rPr>
        <w:t xml:space="preserve">must document this information for each participant to provide accurate counts, it is not a problem to return to the student-level reporting. </w:t>
      </w:r>
      <w:r w:rsidR="00803F77" w:rsidRPr="00C301AA">
        <w:rPr>
          <w:rFonts w:ascii="Times New Roman" w:hAnsi="Times New Roman" w:cs="Times New Roman"/>
          <w:sz w:val="24"/>
          <w:szCs w:val="24"/>
        </w:rPr>
        <w:t xml:space="preserve"> However, several commenters voice</w:t>
      </w:r>
      <w:r w:rsidR="00961DD9" w:rsidRPr="00C301AA">
        <w:rPr>
          <w:rFonts w:ascii="Times New Roman" w:hAnsi="Times New Roman" w:cs="Times New Roman"/>
          <w:sz w:val="24"/>
          <w:szCs w:val="24"/>
        </w:rPr>
        <w:t>d</w:t>
      </w:r>
      <w:r w:rsidR="00803F77" w:rsidRPr="00C301AA">
        <w:rPr>
          <w:rFonts w:ascii="Times New Roman" w:hAnsi="Times New Roman" w:cs="Times New Roman"/>
          <w:sz w:val="24"/>
          <w:szCs w:val="24"/>
        </w:rPr>
        <w:t xml:space="preserve"> concerns regarding disaggregating the services to the student-level </w:t>
      </w:r>
      <w:r w:rsidR="00961DD9" w:rsidRPr="00C301AA">
        <w:rPr>
          <w:rFonts w:ascii="Times New Roman" w:hAnsi="Times New Roman" w:cs="Times New Roman"/>
          <w:sz w:val="24"/>
          <w:szCs w:val="24"/>
        </w:rPr>
        <w:t>because they feel</w:t>
      </w:r>
      <w:r w:rsidR="00803F77" w:rsidRPr="00C301AA">
        <w:rPr>
          <w:rFonts w:ascii="Times New Roman" w:hAnsi="Times New Roman" w:cs="Times New Roman"/>
          <w:sz w:val="24"/>
          <w:szCs w:val="24"/>
        </w:rPr>
        <w:t xml:space="preserve"> it would pose a reporting burden.</w:t>
      </w:r>
    </w:p>
    <w:p w:rsidR="007E5C1B" w:rsidRDefault="007E5C1B" w:rsidP="007E5C1B">
      <w:pPr>
        <w:spacing w:after="0" w:line="240" w:lineRule="auto"/>
        <w:rPr>
          <w:rFonts w:ascii="Times New Roman" w:eastAsia="Times New Roman" w:hAnsi="Times New Roman" w:cs="Times New Roman"/>
          <w:sz w:val="24"/>
          <w:szCs w:val="24"/>
        </w:rPr>
      </w:pPr>
    </w:p>
    <w:p w:rsidR="00F67AFB" w:rsidRPr="007E5C1B" w:rsidRDefault="00961DD9" w:rsidP="007E5C1B">
      <w:pPr>
        <w:pStyle w:val="BodyText"/>
        <w:rPr>
          <w:rFonts w:eastAsia="Times New Roman"/>
        </w:rPr>
      </w:pPr>
      <w:r w:rsidRPr="007E5C1B">
        <w:rPr>
          <w:rFonts w:eastAsia="Times New Roman"/>
        </w:rPr>
        <w:t>One commenter indicated</w:t>
      </w:r>
      <w:r w:rsidR="00F67AFB" w:rsidRPr="007E5C1B">
        <w:rPr>
          <w:rFonts w:eastAsia="Times New Roman"/>
        </w:rPr>
        <w:t xml:space="preserve"> that the bulk of most mentoring probably occurs in the summer (especially for those that have summer research programs within their McNair Program). </w:t>
      </w:r>
      <w:r w:rsidR="00864BAA" w:rsidRPr="007E5C1B">
        <w:rPr>
          <w:rFonts w:eastAsia="Times New Roman"/>
        </w:rPr>
        <w:t xml:space="preserve"> </w:t>
      </w:r>
      <w:r w:rsidR="00F67AFB" w:rsidRPr="007E5C1B">
        <w:rPr>
          <w:rFonts w:eastAsia="Times New Roman"/>
        </w:rPr>
        <w:t>They ask</w:t>
      </w:r>
      <w:r w:rsidRPr="007E5C1B">
        <w:rPr>
          <w:rFonts w:eastAsia="Times New Roman"/>
        </w:rPr>
        <w:t>ed</w:t>
      </w:r>
      <w:r w:rsidR="00F67AFB" w:rsidRPr="007E5C1B">
        <w:rPr>
          <w:rFonts w:eastAsia="Times New Roman"/>
        </w:rPr>
        <w:t xml:space="preserve"> if the summer is considered as part of the academic year or is the academ</w:t>
      </w:r>
      <w:r w:rsidRPr="007E5C1B">
        <w:rPr>
          <w:rFonts w:eastAsia="Times New Roman"/>
        </w:rPr>
        <w:t xml:space="preserve">ic year exclusive of the </w:t>
      </w:r>
      <w:proofErr w:type="gramStart"/>
      <w:r w:rsidRPr="007E5C1B">
        <w:rPr>
          <w:rFonts w:eastAsia="Times New Roman"/>
        </w:rPr>
        <w:t>summer?</w:t>
      </w:r>
      <w:proofErr w:type="gramEnd"/>
      <w:r w:rsidR="00F67AFB" w:rsidRPr="007E5C1B">
        <w:rPr>
          <w:rFonts w:eastAsia="Times New Roman"/>
        </w:rPr>
        <w:t xml:space="preserve"> </w:t>
      </w:r>
    </w:p>
    <w:p w:rsidR="007E5C1B" w:rsidRDefault="007E5C1B" w:rsidP="007E5C1B">
      <w:pPr>
        <w:spacing w:after="0" w:line="240" w:lineRule="auto"/>
        <w:rPr>
          <w:rFonts w:ascii="Times New Roman" w:eastAsia="Times New Roman" w:hAnsi="Times New Roman" w:cs="Times New Roman"/>
          <w:sz w:val="24"/>
          <w:szCs w:val="24"/>
        </w:rPr>
      </w:pPr>
    </w:p>
    <w:p w:rsidR="00F67AFB" w:rsidRPr="00C301AA" w:rsidRDefault="00961DD9"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t>One commenter asked</w:t>
      </w:r>
      <w:r w:rsidR="00F67AFB" w:rsidRPr="00C301AA">
        <w:rPr>
          <w:rFonts w:ascii="Times New Roman" w:eastAsia="Times New Roman" w:hAnsi="Times New Roman" w:cs="Times New Roman"/>
          <w:sz w:val="24"/>
          <w:szCs w:val="24"/>
        </w:rPr>
        <w:t xml:space="preserve"> if the academic year </w:t>
      </w:r>
      <w:r w:rsidRPr="00C301AA">
        <w:rPr>
          <w:rFonts w:ascii="Times New Roman" w:eastAsia="Times New Roman" w:hAnsi="Times New Roman" w:cs="Times New Roman"/>
          <w:sz w:val="24"/>
          <w:szCs w:val="24"/>
        </w:rPr>
        <w:t xml:space="preserve">is </w:t>
      </w:r>
      <w:r w:rsidR="00F67AFB" w:rsidRPr="00C301AA">
        <w:rPr>
          <w:rFonts w:ascii="Times New Roman" w:eastAsia="Times New Roman" w:hAnsi="Times New Roman" w:cs="Times New Roman"/>
          <w:sz w:val="24"/>
          <w:szCs w:val="24"/>
        </w:rPr>
        <w:t xml:space="preserve">the same as the funding year (August/September to September 30 of each year). </w:t>
      </w:r>
      <w:r w:rsidR="00864BAA" w:rsidRPr="00C301AA">
        <w:rPr>
          <w:rFonts w:ascii="Times New Roman" w:eastAsia="Times New Roman" w:hAnsi="Times New Roman" w:cs="Times New Roman"/>
          <w:sz w:val="24"/>
          <w:szCs w:val="24"/>
        </w:rPr>
        <w:t xml:space="preserve"> </w:t>
      </w:r>
      <w:r w:rsidRPr="00C301AA">
        <w:rPr>
          <w:rFonts w:ascii="Times New Roman" w:eastAsia="Times New Roman" w:hAnsi="Times New Roman" w:cs="Times New Roman"/>
          <w:sz w:val="24"/>
          <w:szCs w:val="24"/>
        </w:rPr>
        <w:t>They presumably asked this question because e</w:t>
      </w:r>
      <w:r w:rsidR="00F67AFB" w:rsidRPr="00C301AA">
        <w:rPr>
          <w:rFonts w:ascii="Times New Roman" w:eastAsia="Times New Roman" w:hAnsi="Times New Roman" w:cs="Times New Roman"/>
          <w:sz w:val="24"/>
          <w:szCs w:val="24"/>
        </w:rPr>
        <w:t xml:space="preserve">ach program provides a stipend, but the amount, disbursements, and benchmarks vary accordingly. </w:t>
      </w:r>
      <w:r w:rsidR="00864BAA" w:rsidRPr="00C301AA">
        <w:rPr>
          <w:rFonts w:ascii="Times New Roman" w:eastAsia="Times New Roman" w:hAnsi="Times New Roman" w:cs="Times New Roman"/>
          <w:sz w:val="24"/>
          <w:szCs w:val="24"/>
        </w:rPr>
        <w:t xml:space="preserve"> </w:t>
      </w:r>
      <w:r w:rsidR="00F67AFB" w:rsidRPr="00C301AA">
        <w:rPr>
          <w:rFonts w:ascii="Times New Roman" w:eastAsia="Times New Roman" w:hAnsi="Times New Roman" w:cs="Times New Roman"/>
          <w:sz w:val="24"/>
          <w:szCs w:val="24"/>
        </w:rPr>
        <w:t>The</w:t>
      </w:r>
      <w:r w:rsidRPr="00C301AA">
        <w:rPr>
          <w:rFonts w:ascii="Times New Roman" w:eastAsia="Times New Roman" w:hAnsi="Times New Roman" w:cs="Times New Roman"/>
          <w:sz w:val="24"/>
          <w:szCs w:val="24"/>
        </w:rPr>
        <w:t>y stated that the</w:t>
      </w:r>
      <w:r w:rsidR="00F67AFB" w:rsidRPr="00C301AA">
        <w:rPr>
          <w:rFonts w:ascii="Times New Roman" w:eastAsia="Times New Roman" w:hAnsi="Times New Roman" w:cs="Times New Roman"/>
          <w:sz w:val="24"/>
          <w:szCs w:val="24"/>
        </w:rPr>
        <w:t xml:space="preserve"> full amount of a student's stipend is not necessarily disbursed throughout the academic year and may extend into 2 academic years. </w:t>
      </w:r>
      <w:r w:rsidR="00864BAA" w:rsidRPr="00C301AA">
        <w:rPr>
          <w:rFonts w:ascii="Times New Roman" w:eastAsia="Times New Roman" w:hAnsi="Times New Roman" w:cs="Times New Roman"/>
          <w:sz w:val="24"/>
          <w:szCs w:val="24"/>
        </w:rPr>
        <w:t xml:space="preserve"> </w:t>
      </w:r>
      <w:r w:rsidRPr="00C301AA">
        <w:rPr>
          <w:rFonts w:ascii="Times New Roman" w:eastAsia="Times New Roman" w:hAnsi="Times New Roman" w:cs="Times New Roman"/>
          <w:sz w:val="24"/>
          <w:szCs w:val="24"/>
        </w:rPr>
        <w:t>Therefore, they</w:t>
      </w:r>
      <w:r w:rsidR="00F67AFB" w:rsidRPr="00C301AA">
        <w:rPr>
          <w:rFonts w:ascii="Times New Roman" w:eastAsia="Times New Roman" w:hAnsi="Times New Roman" w:cs="Times New Roman"/>
          <w:sz w:val="24"/>
          <w:szCs w:val="24"/>
        </w:rPr>
        <w:t xml:space="preserve"> ask</w:t>
      </w:r>
      <w:r w:rsidRPr="00C301AA">
        <w:rPr>
          <w:rFonts w:ascii="Times New Roman" w:eastAsia="Times New Roman" w:hAnsi="Times New Roman" w:cs="Times New Roman"/>
          <w:sz w:val="24"/>
          <w:szCs w:val="24"/>
        </w:rPr>
        <w:t>ed</w:t>
      </w:r>
      <w:r w:rsidR="00F67AFB" w:rsidRPr="00C301AA">
        <w:rPr>
          <w:rFonts w:ascii="Times New Roman" w:eastAsia="Times New Roman" w:hAnsi="Times New Roman" w:cs="Times New Roman"/>
          <w:sz w:val="24"/>
          <w:szCs w:val="24"/>
        </w:rPr>
        <w:t xml:space="preserve"> whether they must report the stipend amount that is allocated per each student per their grant OR do they literally provide the amount given to each student within an academic year.</w:t>
      </w:r>
    </w:p>
    <w:p w:rsidR="007E5C1B" w:rsidRDefault="007E5C1B" w:rsidP="007E5C1B">
      <w:pPr>
        <w:spacing w:after="0" w:line="240" w:lineRule="auto"/>
        <w:rPr>
          <w:rFonts w:ascii="Times New Roman" w:hAnsi="Times New Roman" w:cs="Times New Roman"/>
          <w:b/>
          <w:sz w:val="24"/>
          <w:szCs w:val="24"/>
        </w:rPr>
      </w:pPr>
    </w:p>
    <w:p w:rsidR="00042334" w:rsidRPr="00C301AA" w:rsidRDefault="00042334"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 xml:space="preserve">Discussion: </w:t>
      </w:r>
      <w:r w:rsidR="00CC6056">
        <w:rPr>
          <w:rFonts w:ascii="Times New Roman" w:hAnsi="Times New Roman" w:cs="Times New Roman"/>
          <w:b/>
          <w:sz w:val="24"/>
          <w:szCs w:val="24"/>
        </w:rPr>
        <w:t xml:space="preserve"> </w:t>
      </w:r>
      <w:r w:rsidR="00803F77" w:rsidRPr="00C301AA">
        <w:rPr>
          <w:rFonts w:ascii="Times New Roman" w:hAnsi="Times New Roman" w:cs="Times New Roman"/>
          <w:sz w:val="24"/>
          <w:szCs w:val="24"/>
        </w:rPr>
        <w:t>Regarding disaggregating the program services at the student-level, as one commenter note</w:t>
      </w:r>
      <w:r w:rsidR="00961DD9" w:rsidRPr="00C301AA">
        <w:rPr>
          <w:rFonts w:ascii="Times New Roman" w:hAnsi="Times New Roman" w:cs="Times New Roman"/>
          <w:sz w:val="24"/>
          <w:szCs w:val="24"/>
        </w:rPr>
        <w:t>d</w:t>
      </w:r>
      <w:r w:rsidR="00803F77" w:rsidRPr="00C301AA">
        <w:rPr>
          <w:rFonts w:ascii="Times New Roman" w:hAnsi="Times New Roman" w:cs="Times New Roman"/>
          <w:sz w:val="24"/>
          <w:szCs w:val="24"/>
        </w:rPr>
        <w:t>, since grantees</w:t>
      </w:r>
      <w:r w:rsidR="00803F77" w:rsidRPr="00C301AA">
        <w:rPr>
          <w:rFonts w:ascii="Times New Roman" w:hAnsi="Times New Roman" w:cs="Times New Roman"/>
          <w:b/>
          <w:sz w:val="24"/>
          <w:szCs w:val="24"/>
        </w:rPr>
        <w:t xml:space="preserve"> </w:t>
      </w:r>
      <w:r w:rsidR="00803F77" w:rsidRPr="00C301AA">
        <w:rPr>
          <w:rFonts w:ascii="Times New Roman" w:hAnsi="Times New Roman" w:cs="Times New Roman"/>
          <w:sz w:val="24"/>
          <w:szCs w:val="24"/>
        </w:rPr>
        <w:t xml:space="preserve">must document this information for each participant </w:t>
      </w:r>
      <w:r w:rsidR="00961DD9" w:rsidRPr="00C301AA">
        <w:rPr>
          <w:rFonts w:ascii="Times New Roman" w:hAnsi="Times New Roman" w:cs="Times New Roman"/>
          <w:sz w:val="24"/>
          <w:szCs w:val="24"/>
        </w:rPr>
        <w:t>served, collecting this information at the student-level should not pose undue burden</w:t>
      </w:r>
      <w:r w:rsidR="00803F77" w:rsidRPr="00C301AA">
        <w:rPr>
          <w:rFonts w:ascii="Times New Roman" w:hAnsi="Times New Roman" w:cs="Times New Roman"/>
          <w:sz w:val="24"/>
          <w:szCs w:val="24"/>
        </w:rPr>
        <w:t xml:space="preserve">.  </w:t>
      </w:r>
      <w:r w:rsidR="00961DD9" w:rsidRPr="00C301AA">
        <w:rPr>
          <w:rFonts w:ascii="Times New Roman" w:hAnsi="Times New Roman" w:cs="Times New Roman"/>
          <w:sz w:val="24"/>
          <w:szCs w:val="24"/>
        </w:rPr>
        <w:t>Furthermore, g</w:t>
      </w:r>
      <w:r w:rsidR="00A0134B" w:rsidRPr="00C301AA">
        <w:rPr>
          <w:rFonts w:ascii="Times New Roman" w:hAnsi="Times New Roman" w:cs="Times New Roman"/>
          <w:sz w:val="24"/>
          <w:szCs w:val="24"/>
        </w:rPr>
        <w:t xml:space="preserve">rantees should ensure that they properly document and maintain participant information (e.g., services rendered) for each student that was served.  </w:t>
      </w:r>
    </w:p>
    <w:p w:rsidR="007E5C1B" w:rsidRDefault="007E5C1B" w:rsidP="007E5C1B">
      <w:pPr>
        <w:spacing w:after="0" w:line="240" w:lineRule="auto"/>
        <w:rPr>
          <w:rFonts w:ascii="Times New Roman" w:hAnsi="Times New Roman" w:cs="Times New Roman"/>
          <w:sz w:val="24"/>
          <w:szCs w:val="24"/>
        </w:rPr>
      </w:pPr>
    </w:p>
    <w:p w:rsidR="00190822" w:rsidRPr="00C301AA" w:rsidRDefault="00190822" w:rsidP="007E5C1B">
      <w:pPr>
        <w:spacing w:after="0" w:line="240" w:lineRule="auto"/>
        <w:rPr>
          <w:rFonts w:ascii="Times New Roman" w:eastAsia="MS Mincho" w:hAnsi="Times New Roman" w:cs="Times New Roman"/>
          <w:sz w:val="24"/>
          <w:szCs w:val="24"/>
        </w:rPr>
      </w:pPr>
      <w:r w:rsidRPr="00C301AA">
        <w:rPr>
          <w:rFonts w:ascii="Times New Roman" w:hAnsi="Times New Roman" w:cs="Times New Roman"/>
          <w:sz w:val="24"/>
          <w:szCs w:val="24"/>
        </w:rPr>
        <w:t>Regarding the comment related to whether the summer is considered part of the academic year, per the instructions in the APR, an academic</w:t>
      </w:r>
      <w:r w:rsidR="0016120D" w:rsidRPr="00C301AA">
        <w:rPr>
          <w:rFonts w:ascii="Times New Roman" w:hAnsi="Times New Roman" w:cs="Times New Roman"/>
          <w:sz w:val="24"/>
          <w:szCs w:val="24"/>
        </w:rPr>
        <w:t xml:space="preserve"> year</w:t>
      </w:r>
      <w:r w:rsidRPr="00C301AA">
        <w:rPr>
          <w:rFonts w:ascii="Times New Roman" w:hAnsi="Times New Roman" w:cs="Times New Roman"/>
          <w:sz w:val="24"/>
          <w:szCs w:val="24"/>
        </w:rPr>
        <w:t xml:space="preserve"> encompasses </w:t>
      </w:r>
      <w:r w:rsidR="0016120D" w:rsidRPr="00C301AA">
        <w:rPr>
          <w:rFonts w:ascii="Times New Roman" w:eastAsia="MS Mincho" w:hAnsi="Times New Roman" w:cs="Times New Roman"/>
          <w:sz w:val="24"/>
          <w:szCs w:val="24"/>
        </w:rPr>
        <w:t>the 12-month academic year of the grantee institution which in most instances is roughly August/</w:t>
      </w:r>
      <w:r w:rsidR="00A0134B" w:rsidRPr="00C301AA">
        <w:rPr>
          <w:rFonts w:ascii="Times New Roman" w:eastAsia="MS Mincho" w:hAnsi="Times New Roman" w:cs="Times New Roman"/>
          <w:sz w:val="24"/>
          <w:szCs w:val="24"/>
        </w:rPr>
        <w:t>September through</w:t>
      </w:r>
      <w:r w:rsidR="0016120D" w:rsidRPr="00C301AA">
        <w:rPr>
          <w:rFonts w:ascii="Times New Roman" w:eastAsia="MS Mincho" w:hAnsi="Times New Roman" w:cs="Times New Roman"/>
          <w:sz w:val="24"/>
          <w:szCs w:val="24"/>
        </w:rPr>
        <w:t xml:space="preserve"> July/August of </w:t>
      </w:r>
      <w:r w:rsidR="00961DD9" w:rsidRPr="00C301AA">
        <w:rPr>
          <w:rFonts w:ascii="Times New Roman" w:eastAsia="MS Mincho" w:hAnsi="Times New Roman" w:cs="Times New Roman"/>
          <w:sz w:val="24"/>
          <w:szCs w:val="24"/>
        </w:rPr>
        <w:t xml:space="preserve">the </w:t>
      </w:r>
      <w:r w:rsidR="0016120D" w:rsidRPr="00C301AA">
        <w:rPr>
          <w:rFonts w:ascii="Times New Roman" w:eastAsia="MS Mincho" w:hAnsi="Times New Roman" w:cs="Times New Roman"/>
          <w:sz w:val="24"/>
          <w:szCs w:val="24"/>
        </w:rPr>
        <w:t xml:space="preserve">next year (e.g., September 1, 2015 through August 31, 2016).  Based on these instructions, the summer would be considered as part of the academic year. </w:t>
      </w:r>
    </w:p>
    <w:p w:rsidR="007E5C1B" w:rsidRDefault="007E5C1B" w:rsidP="007E5C1B">
      <w:pPr>
        <w:pStyle w:val="PlainText"/>
        <w:rPr>
          <w:rFonts w:ascii="Times New Roman" w:eastAsia="MS Mincho" w:hAnsi="Times New Roman" w:cs="Times New Roman"/>
          <w:sz w:val="24"/>
          <w:szCs w:val="24"/>
        </w:rPr>
      </w:pPr>
    </w:p>
    <w:p w:rsidR="0016120D" w:rsidRPr="00C301AA" w:rsidRDefault="0016120D" w:rsidP="007E5C1B">
      <w:pPr>
        <w:pStyle w:val="PlainText"/>
        <w:rPr>
          <w:rFonts w:ascii="Times New Roman" w:eastAsia="MS Mincho" w:hAnsi="Times New Roman" w:cs="Times New Roman"/>
          <w:sz w:val="24"/>
          <w:szCs w:val="24"/>
        </w:rPr>
      </w:pPr>
      <w:r w:rsidRPr="00C301AA">
        <w:rPr>
          <w:rFonts w:ascii="Times New Roman" w:eastAsia="MS Mincho" w:hAnsi="Times New Roman" w:cs="Times New Roman"/>
          <w:sz w:val="24"/>
          <w:szCs w:val="24"/>
        </w:rPr>
        <w:t xml:space="preserve">Regarding whether the </w:t>
      </w:r>
      <w:r w:rsidRPr="00C301AA">
        <w:rPr>
          <w:rFonts w:ascii="Times New Roman" w:hAnsi="Times New Roman" w:cs="Times New Roman"/>
          <w:sz w:val="24"/>
          <w:szCs w:val="24"/>
        </w:rPr>
        <w:t>academic year is the same as the funding year (August/September to September 30 of each year)</w:t>
      </w:r>
      <w:proofErr w:type="gramStart"/>
      <w:r w:rsidRPr="00C301AA">
        <w:rPr>
          <w:rFonts w:ascii="Times New Roman" w:hAnsi="Times New Roman" w:cs="Times New Roman"/>
          <w:sz w:val="24"/>
          <w:szCs w:val="24"/>
        </w:rPr>
        <w:t>,</w:t>
      </w:r>
      <w:proofErr w:type="gramEnd"/>
      <w:r w:rsidRPr="00C301AA">
        <w:rPr>
          <w:rFonts w:ascii="Times New Roman" w:hAnsi="Times New Roman" w:cs="Times New Roman"/>
          <w:sz w:val="24"/>
          <w:szCs w:val="24"/>
        </w:rPr>
        <w:t xml:space="preserve"> the answer is </w:t>
      </w:r>
      <w:r w:rsidR="00864BAA" w:rsidRPr="00C301AA">
        <w:rPr>
          <w:rFonts w:ascii="Times New Roman" w:hAnsi="Times New Roman" w:cs="Times New Roman"/>
          <w:sz w:val="24"/>
          <w:szCs w:val="24"/>
        </w:rPr>
        <w:t>“</w:t>
      </w:r>
      <w:r w:rsidRPr="00C301AA">
        <w:rPr>
          <w:rFonts w:ascii="Times New Roman" w:hAnsi="Times New Roman" w:cs="Times New Roman"/>
          <w:sz w:val="24"/>
          <w:szCs w:val="24"/>
        </w:rPr>
        <w:t>No.</w:t>
      </w:r>
      <w:r w:rsidR="00864BAA" w:rsidRPr="00C301AA">
        <w:rPr>
          <w:rFonts w:ascii="Times New Roman" w:hAnsi="Times New Roman" w:cs="Times New Roman"/>
          <w:sz w:val="24"/>
          <w:szCs w:val="24"/>
        </w:rPr>
        <w:t xml:space="preserve">” </w:t>
      </w:r>
      <w:r w:rsidRPr="00C301AA">
        <w:rPr>
          <w:rFonts w:ascii="Times New Roman" w:hAnsi="Times New Roman" w:cs="Times New Roman"/>
          <w:sz w:val="24"/>
          <w:szCs w:val="24"/>
        </w:rPr>
        <w:t xml:space="preserve"> Per the APR instructions, </w:t>
      </w:r>
      <w:r w:rsidRPr="00C301AA">
        <w:rPr>
          <w:rFonts w:ascii="Times New Roman" w:eastAsia="MS Mincho" w:hAnsi="Times New Roman" w:cs="Times New Roman"/>
          <w:sz w:val="24"/>
          <w:szCs w:val="24"/>
        </w:rPr>
        <w:t xml:space="preserve">the academic year is </w:t>
      </w:r>
      <w:r w:rsidR="002F05FB">
        <w:rPr>
          <w:rFonts w:ascii="Times New Roman" w:eastAsia="MS Mincho" w:hAnsi="Times New Roman" w:cs="Times New Roman"/>
          <w:sz w:val="24"/>
          <w:szCs w:val="24"/>
        </w:rPr>
        <w:t xml:space="preserve">the </w:t>
      </w:r>
      <w:r w:rsidRPr="00C301AA">
        <w:rPr>
          <w:rFonts w:ascii="Times New Roman" w:eastAsia="MS Mincho" w:hAnsi="Times New Roman" w:cs="Times New Roman"/>
          <w:sz w:val="24"/>
          <w:szCs w:val="24"/>
        </w:rPr>
        <w:t>12-month academic year of the grantee institution while the budget</w:t>
      </w:r>
      <w:r w:rsidR="00CC6056">
        <w:rPr>
          <w:rFonts w:ascii="Times New Roman" w:eastAsia="MS Mincho" w:hAnsi="Times New Roman" w:cs="Times New Roman"/>
          <w:sz w:val="24"/>
          <w:szCs w:val="24"/>
        </w:rPr>
        <w:t>/funding</w:t>
      </w:r>
      <w:r w:rsidRPr="00C301AA">
        <w:rPr>
          <w:rFonts w:ascii="Times New Roman" w:eastAsia="MS Mincho" w:hAnsi="Times New Roman" w:cs="Times New Roman"/>
          <w:sz w:val="24"/>
          <w:szCs w:val="24"/>
        </w:rPr>
        <w:t xml:space="preserve"> year is the 12-month budget year for the grant.  For example, the 2015-16 academic </w:t>
      </w:r>
      <w:proofErr w:type="gramStart"/>
      <w:r w:rsidRPr="00C301AA">
        <w:rPr>
          <w:rFonts w:ascii="Times New Roman" w:eastAsia="MS Mincho" w:hAnsi="Times New Roman" w:cs="Times New Roman"/>
          <w:sz w:val="24"/>
          <w:szCs w:val="24"/>
        </w:rPr>
        <w:t>year</w:t>
      </w:r>
      <w:proofErr w:type="gramEnd"/>
      <w:r w:rsidRPr="00C301AA">
        <w:rPr>
          <w:rFonts w:ascii="Times New Roman" w:eastAsia="MS Mincho" w:hAnsi="Times New Roman" w:cs="Times New Roman"/>
          <w:sz w:val="24"/>
          <w:szCs w:val="24"/>
        </w:rPr>
        <w:t xml:space="preserve"> is roughly August/September 2015 through July/August 201</w:t>
      </w:r>
      <w:r w:rsidR="00961DD9" w:rsidRPr="00C301AA">
        <w:rPr>
          <w:rFonts w:ascii="Times New Roman" w:eastAsia="MS Mincho" w:hAnsi="Times New Roman" w:cs="Times New Roman"/>
          <w:sz w:val="24"/>
          <w:szCs w:val="24"/>
        </w:rPr>
        <w:t>6</w:t>
      </w:r>
      <w:r w:rsidRPr="00C301AA">
        <w:rPr>
          <w:rFonts w:ascii="Times New Roman" w:eastAsia="MS Mincho" w:hAnsi="Times New Roman" w:cs="Times New Roman"/>
          <w:sz w:val="24"/>
          <w:szCs w:val="24"/>
        </w:rPr>
        <w:t xml:space="preserve"> while the budget year for most McNair grants is October 1, 2015, through September 30, 2016.</w:t>
      </w:r>
    </w:p>
    <w:p w:rsidR="007E5C1B" w:rsidRPr="007E5C1B" w:rsidRDefault="007E5C1B" w:rsidP="007E5C1B">
      <w:pPr>
        <w:pStyle w:val="StyleHeading3TimesNewRoman16ptAuto"/>
        <w:keepNext w:val="0"/>
        <w:keepLines w:val="0"/>
        <w:outlineLvl w:val="9"/>
        <w:rPr>
          <w:rFonts w:eastAsiaTheme="minorEastAsia"/>
          <w:bCs w:val="0"/>
        </w:rPr>
      </w:pPr>
    </w:p>
    <w:p w:rsidR="00042334" w:rsidRPr="00C301AA" w:rsidRDefault="00042334"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Action Taken:</w:t>
      </w:r>
      <w:r w:rsidR="00864BAA" w:rsidRPr="00C301AA">
        <w:rPr>
          <w:rFonts w:ascii="Times New Roman" w:hAnsi="Times New Roman" w:cs="Times New Roman"/>
          <w:b/>
          <w:sz w:val="24"/>
          <w:szCs w:val="24"/>
        </w:rPr>
        <w:t xml:space="preserve"> </w:t>
      </w:r>
      <w:r w:rsidR="00CC6056">
        <w:rPr>
          <w:rFonts w:ascii="Times New Roman" w:hAnsi="Times New Roman" w:cs="Times New Roman"/>
          <w:b/>
          <w:sz w:val="24"/>
          <w:szCs w:val="24"/>
        </w:rPr>
        <w:t xml:space="preserve"> </w:t>
      </w:r>
      <w:r w:rsidR="00961DD9" w:rsidRPr="00C301AA">
        <w:rPr>
          <w:rFonts w:ascii="Times New Roman" w:hAnsi="Times New Roman" w:cs="Times New Roman"/>
          <w:sz w:val="24"/>
          <w:szCs w:val="24"/>
        </w:rPr>
        <w:t xml:space="preserve">After considering the numerous comments received, the Department will collect the services at the program-level and not the student-level. </w:t>
      </w:r>
    </w:p>
    <w:p w:rsidR="007E5C1B" w:rsidRDefault="007E5C1B" w:rsidP="007E5C1B">
      <w:pPr>
        <w:spacing w:after="0" w:line="240" w:lineRule="auto"/>
        <w:rPr>
          <w:rFonts w:ascii="Times New Roman" w:eastAsia="Times New Roman" w:hAnsi="Times New Roman" w:cs="Times New Roman"/>
          <w:b/>
          <w:sz w:val="24"/>
          <w:szCs w:val="24"/>
        </w:rPr>
      </w:pPr>
    </w:p>
    <w:p w:rsidR="007E5C1B" w:rsidRPr="007E5C1B" w:rsidRDefault="00140BCE"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Comments:</w:t>
      </w:r>
      <w:r w:rsidR="00961DD9" w:rsidRPr="00C301AA">
        <w:rPr>
          <w:rFonts w:ascii="Times New Roman" w:eastAsia="Times New Roman" w:hAnsi="Times New Roman" w:cs="Times New Roman"/>
          <w:sz w:val="24"/>
          <w:szCs w:val="24"/>
        </w:rPr>
        <w:t xml:space="preserve">  </w:t>
      </w:r>
      <w:r w:rsidR="007E5C1B" w:rsidRPr="007E5C1B">
        <w:rPr>
          <w:rFonts w:ascii="Times New Roman" w:eastAsia="Times New Roman" w:hAnsi="Times New Roman" w:cs="Times New Roman"/>
          <w:sz w:val="24"/>
          <w:szCs w:val="24"/>
        </w:rPr>
        <w:t>One reviewer commented</w:t>
      </w:r>
      <w:r w:rsidR="00CC6056">
        <w:rPr>
          <w:rFonts w:ascii="Times New Roman" w:eastAsia="Times New Roman" w:hAnsi="Times New Roman" w:cs="Times New Roman"/>
          <w:sz w:val="24"/>
          <w:szCs w:val="24"/>
        </w:rPr>
        <w:t>,</w:t>
      </w:r>
      <w:r w:rsidR="007E5C1B" w:rsidRPr="007E5C1B">
        <w:rPr>
          <w:rFonts w:ascii="Times New Roman" w:eastAsia="Times New Roman" w:hAnsi="Times New Roman" w:cs="Times New Roman"/>
          <w:sz w:val="24"/>
          <w:szCs w:val="24"/>
        </w:rPr>
        <w:t xml:space="preserve"> regarding </w:t>
      </w:r>
      <w:r w:rsidR="007E5C1B" w:rsidRPr="007E5C1B">
        <w:rPr>
          <w:rFonts w:ascii="Times New Roman" w:eastAsia="Times New Roman" w:hAnsi="Times New Roman" w:cs="Times New Roman"/>
          <w:b/>
          <w:sz w:val="24"/>
          <w:szCs w:val="24"/>
        </w:rPr>
        <w:t xml:space="preserve">#50 </w:t>
      </w:r>
      <w:r w:rsidR="007E5C1B" w:rsidRPr="007E5C1B">
        <w:rPr>
          <w:rFonts w:ascii="Times New Roman" w:eastAsia="Times New Roman" w:hAnsi="Times New Roman" w:cs="Times New Roman"/>
          <w:sz w:val="24"/>
          <w:szCs w:val="24"/>
        </w:rPr>
        <w:t>tutoring services</w:t>
      </w:r>
      <w:r w:rsidR="00CC6056">
        <w:rPr>
          <w:rFonts w:ascii="Times New Roman" w:eastAsia="Times New Roman" w:hAnsi="Times New Roman" w:cs="Times New Roman"/>
          <w:sz w:val="24"/>
          <w:szCs w:val="24"/>
        </w:rPr>
        <w:t xml:space="preserve">, that </w:t>
      </w:r>
      <w:r w:rsidR="007E5C1B" w:rsidRPr="007E5C1B">
        <w:rPr>
          <w:rFonts w:ascii="Times New Roman" w:eastAsia="Times New Roman" w:hAnsi="Times New Roman" w:cs="Times New Roman"/>
          <w:sz w:val="24"/>
          <w:szCs w:val="24"/>
        </w:rPr>
        <w:t>McNair provides tutoring and refers students to campus tutoring services</w:t>
      </w:r>
      <w:r w:rsidR="00CC6056">
        <w:rPr>
          <w:rFonts w:ascii="Times New Roman" w:eastAsia="Times New Roman" w:hAnsi="Times New Roman" w:cs="Times New Roman"/>
          <w:sz w:val="24"/>
          <w:szCs w:val="24"/>
        </w:rPr>
        <w:t>,</w:t>
      </w:r>
      <w:r w:rsidR="007E5C1B" w:rsidRPr="007E5C1B">
        <w:rPr>
          <w:rFonts w:ascii="Times New Roman" w:eastAsia="Times New Roman" w:hAnsi="Times New Roman" w:cs="Times New Roman"/>
          <w:sz w:val="24"/>
          <w:szCs w:val="24"/>
        </w:rPr>
        <w:t xml:space="preserve"> but </w:t>
      </w:r>
      <w:r w:rsidR="00CC6056">
        <w:rPr>
          <w:rFonts w:ascii="Times New Roman" w:eastAsia="Times New Roman" w:hAnsi="Times New Roman" w:cs="Times New Roman"/>
          <w:sz w:val="24"/>
          <w:szCs w:val="24"/>
        </w:rPr>
        <w:t xml:space="preserve">noted that </w:t>
      </w:r>
      <w:r w:rsidR="007E5C1B" w:rsidRPr="007E5C1B">
        <w:rPr>
          <w:rFonts w:ascii="Times New Roman" w:eastAsia="Times New Roman" w:hAnsi="Times New Roman" w:cs="Times New Roman"/>
          <w:sz w:val="24"/>
          <w:szCs w:val="24"/>
        </w:rPr>
        <w:t xml:space="preserve">not all students need tutoring services and do not necessarily pursue these services or "receive" them. </w:t>
      </w:r>
      <w:r w:rsidR="00CC6056">
        <w:rPr>
          <w:rFonts w:ascii="Times New Roman" w:eastAsia="Times New Roman" w:hAnsi="Times New Roman" w:cs="Times New Roman"/>
          <w:sz w:val="24"/>
          <w:szCs w:val="24"/>
        </w:rPr>
        <w:t xml:space="preserve"> They recommended</w:t>
      </w:r>
      <w:r w:rsidR="007E5C1B" w:rsidRPr="007E5C1B">
        <w:rPr>
          <w:rFonts w:ascii="Times New Roman" w:eastAsia="Times New Roman" w:hAnsi="Times New Roman" w:cs="Times New Roman"/>
          <w:sz w:val="24"/>
          <w:szCs w:val="24"/>
        </w:rPr>
        <w:t xml:space="preserve"> that this </w:t>
      </w:r>
      <w:r w:rsidR="00CC6056">
        <w:rPr>
          <w:rFonts w:ascii="Times New Roman" w:eastAsia="Times New Roman" w:hAnsi="Times New Roman" w:cs="Times New Roman"/>
          <w:sz w:val="24"/>
          <w:szCs w:val="24"/>
        </w:rPr>
        <w:t xml:space="preserve">field </w:t>
      </w:r>
      <w:r w:rsidR="007E5C1B" w:rsidRPr="007E5C1B">
        <w:rPr>
          <w:rFonts w:ascii="Times New Roman" w:eastAsia="Times New Roman" w:hAnsi="Times New Roman" w:cs="Times New Roman"/>
          <w:sz w:val="24"/>
          <w:szCs w:val="24"/>
        </w:rPr>
        <w:t>should indicate that McNair offered or referred student</w:t>
      </w:r>
      <w:r w:rsidR="002F05FB">
        <w:rPr>
          <w:rFonts w:ascii="Times New Roman" w:eastAsia="Times New Roman" w:hAnsi="Times New Roman" w:cs="Times New Roman"/>
          <w:sz w:val="24"/>
          <w:szCs w:val="24"/>
        </w:rPr>
        <w:t>s</w:t>
      </w:r>
      <w:r w:rsidR="007E5C1B" w:rsidRPr="007E5C1B">
        <w:rPr>
          <w:rFonts w:ascii="Times New Roman" w:eastAsia="Times New Roman" w:hAnsi="Times New Roman" w:cs="Times New Roman"/>
          <w:sz w:val="24"/>
          <w:szCs w:val="24"/>
        </w:rPr>
        <w:t xml:space="preserve"> to tutoring services, as opposed to be</w:t>
      </w:r>
      <w:r w:rsidR="002F05FB">
        <w:rPr>
          <w:rFonts w:ascii="Times New Roman" w:eastAsia="Times New Roman" w:hAnsi="Times New Roman" w:cs="Times New Roman"/>
          <w:sz w:val="24"/>
          <w:szCs w:val="24"/>
        </w:rPr>
        <w:t>ing</w:t>
      </w:r>
      <w:r w:rsidR="007E5C1B" w:rsidRPr="007E5C1B">
        <w:rPr>
          <w:rFonts w:ascii="Times New Roman" w:eastAsia="Times New Roman" w:hAnsi="Times New Roman" w:cs="Times New Roman"/>
          <w:sz w:val="24"/>
          <w:szCs w:val="24"/>
        </w:rPr>
        <w:t xml:space="preserve"> penalized if a student </w:t>
      </w:r>
      <w:r w:rsidR="00CC6056">
        <w:rPr>
          <w:rFonts w:ascii="Times New Roman" w:eastAsia="Times New Roman" w:hAnsi="Times New Roman" w:cs="Times New Roman"/>
          <w:sz w:val="24"/>
          <w:szCs w:val="24"/>
        </w:rPr>
        <w:t>did</w:t>
      </w:r>
      <w:r w:rsidR="007E5C1B" w:rsidRPr="007E5C1B">
        <w:rPr>
          <w:rFonts w:ascii="Times New Roman" w:eastAsia="Times New Roman" w:hAnsi="Times New Roman" w:cs="Times New Roman"/>
          <w:sz w:val="24"/>
          <w:szCs w:val="24"/>
        </w:rPr>
        <w:t xml:space="preserve"> not participate in</w:t>
      </w:r>
      <w:r w:rsidR="00CC6056">
        <w:rPr>
          <w:rFonts w:ascii="Times New Roman" w:eastAsia="Times New Roman" w:hAnsi="Times New Roman" w:cs="Times New Roman"/>
          <w:sz w:val="24"/>
          <w:szCs w:val="24"/>
        </w:rPr>
        <w:t xml:space="preserve"> and/or </w:t>
      </w:r>
      <w:r w:rsidR="007E5C1B" w:rsidRPr="007E5C1B">
        <w:rPr>
          <w:rFonts w:ascii="Times New Roman" w:eastAsia="Times New Roman" w:hAnsi="Times New Roman" w:cs="Times New Roman"/>
          <w:sz w:val="24"/>
          <w:szCs w:val="24"/>
        </w:rPr>
        <w:t>receive</w:t>
      </w:r>
      <w:r w:rsidR="00CC6056">
        <w:rPr>
          <w:rFonts w:ascii="Times New Roman" w:eastAsia="Times New Roman" w:hAnsi="Times New Roman" w:cs="Times New Roman"/>
          <w:sz w:val="24"/>
          <w:szCs w:val="24"/>
        </w:rPr>
        <w:t>d</w:t>
      </w:r>
      <w:r w:rsidR="007E5C1B" w:rsidRPr="007E5C1B">
        <w:rPr>
          <w:rFonts w:ascii="Times New Roman" w:eastAsia="Times New Roman" w:hAnsi="Times New Roman" w:cs="Times New Roman"/>
          <w:sz w:val="24"/>
          <w:szCs w:val="24"/>
        </w:rPr>
        <w:t xml:space="preserve"> tutoring services.</w:t>
      </w:r>
    </w:p>
    <w:p w:rsidR="007E5C1B" w:rsidRDefault="007E5C1B" w:rsidP="007E5C1B">
      <w:pPr>
        <w:autoSpaceDE w:val="0"/>
        <w:autoSpaceDN w:val="0"/>
        <w:adjustRightInd w:val="0"/>
        <w:spacing w:after="0" w:line="240" w:lineRule="auto"/>
        <w:rPr>
          <w:rFonts w:ascii="Times New Roman" w:hAnsi="Times New Roman" w:cs="Times New Roman"/>
          <w:b/>
          <w:sz w:val="24"/>
          <w:szCs w:val="24"/>
        </w:rPr>
      </w:pPr>
    </w:p>
    <w:p w:rsidR="0012389F" w:rsidRPr="00C301AA" w:rsidRDefault="0012389F" w:rsidP="007E5C1B">
      <w:pPr>
        <w:autoSpaceDE w:val="0"/>
        <w:autoSpaceDN w:val="0"/>
        <w:adjustRightInd w:val="0"/>
        <w:spacing w:after="0" w:line="240" w:lineRule="auto"/>
        <w:rPr>
          <w:rFonts w:ascii="Times New Roman" w:hAnsi="Times New Roman" w:cs="Times New Roman"/>
          <w:iCs/>
          <w:sz w:val="24"/>
          <w:szCs w:val="24"/>
        </w:rPr>
      </w:pPr>
      <w:r w:rsidRPr="00C301AA">
        <w:rPr>
          <w:rFonts w:ascii="Times New Roman" w:hAnsi="Times New Roman" w:cs="Times New Roman"/>
          <w:b/>
          <w:sz w:val="24"/>
          <w:szCs w:val="24"/>
        </w:rPr>
        <w:t xml:space="preserve">Discussion: </w:t>
      </w:r>
      <w:r w:rsidR="00864BAA" w:rsidRPr="00C301AA">
        <w:rPr>
          <w:rFonts w:ascii="Times New Roman" w:hAnsi="Times New Roman" w:cs="Times New Roman"/>
          <w:b/>
          <w:sz w:val="24"/>
          <w:szCs w:val="24"/>
        </w:rPr>
        <w:t xml:space="preserve"> </w:t>
      </w:r>
      <w:r w:rsidR="00692049" w:rsidRPr="00C301AA">
        <w:rPr>
          <w:rFonts w:ascii="Times New Roman" w:hAnsi="Times New Roman" w:cs="Times New Roman"/>
          <w:sz w:val="24"/>
          <w:szCs w:val="24"/>
        </w:rPr>
        <w:t xml:space="preserve">A grantee is not penalized if they offered a service to a </w:t>
      </w:r>
      <w:r w:rsidR="00A0134B" w:rsidRPr="00C301AA">
        <w:rPr>
          <w:rFonts w:ascii="Times New Roman" w:hAnsi="Times New Roman" w:cs="Times New Roman"/>
          <w:sz w:val="24"/>
          <w:szCs w:val="24"/>
        </w:rPr>
        <w:t>student</w:t>
      </w:r>
      <w:r w:rsidR="004B553F" w:rsidRPr="00C301AA">
        <w:rPr>
          <w:rFonts w:ascii="Times New Roman" w:hAnsi="Times New Roman" w:cs="Times New Roman"/>
          <w:sz w:val="24"/>
          <w:szCs w:val="24"/>
        </w:rPr>
        <w:t xml:space="preserve"> and</w:t>
      </w:r>
      <w:r w:rsidR="00692049" w:rsidRPr="00C301AA">
        <w:rPr>
          <w:rFonts w:ascii="Times New Roman" w:hAnsi="Times New Roman" w:cs="Times New Roman"/>
          <w:sz w:val="24"/>
          <w:szCs w:val="24"/>
        </w:rPr>
        <w:t xml:space="preserve"> the student refused the service</w:t>
      </w:r>
      <w:r w:rsidR="00692049" w:rsidRPr="00C301AA">
        <w:rPr>
          <w:rFonts w:ascii="Times New Roman" w:hAnsi="Times New Roman" w:cs="Times New Roman"/>
          <w:b/>
          <w:sz w:val="24"/>
          <w:szCs w:val="24"/>
        </w:rPr>
        <w:t xml:space="preserve">.  </w:t>
      </w:r>
      <w:r w:rsidR="00692049" w:rsidRPr="00C301AA">
        <w:rPr>
          <w:rFonts w:ascii="Times New Roman" w:hAnsi="Times New Roman" w:cs="Times New Roman"/>
          <w:sz w:val="24"/>
          <w:szCs w:val="24"/>
        </w:rPr>
        <w:t xml:space="preserve">Tutoring is a required service in the McNair </w:t>
      </w:r>
      <w:r w:rsidR="00A0134B" w:rsidRPr="00C301AA">
        <w:rPr>
          <w:rFonts w:ascii="Times New Roman" w:hAnsi="Times New Roman" w:cs="Times New Roman"/>
          <w:sz w:val="24"/>
          <w:szCs w:val="24"/>
        </w:rPr>
        <w:t>Program;</w:t>
      </w:r>
      <w:r w:rsidR="00692049" w:rsidRPr="00C301AA">
        <w:rPr>
          <w:rFonts w:ascii="Times New Roman" w:hAnsi="Times New Roman" w:cs="Times New Roman"/>
          <w:sz w:val="24"/>
          <w:szCs w:val="24"/>
        </w:rPr>
        <w:t xml:space="preserve"> however, w</w:t>
      </w:r>
      <w:r w:rsidR="00692049" w:rsidRPr="00C301AA">
        <w:rPr>
          <w:rFonts w:ascii="Times New Roman" w:hAnsi="Times New Roman" w:cs="Times New Roman"/>
          <w:iCs/>
          <w:sz w:val="24"/>
          <w:szCs w:val="24"/>
        </w:rPr>
        <w:t xml:space="preserve">hile grantees must make tutoring available, individual participants may choose whether or not to </w:t>
      </w:r>
      <w:r w:rsidR="004B553F" w:rsidRPr="00C301AA">
        <w:rPr>
          <w:rFonts w:ascii="Times New Roman" w:hAnsi="Times New Roman" w:cs="Times New Roman"/>
          <w:iCs/>
          <w:sz w:val="24"/>
          <w:szCs w:val="24"/>
        </w:rPr>
        <w:t>receive the</w:t>
      </w:r>
      <w:r w:rsidR="00692049" w:rsidRPr="00C301AA">
        <w:rPr>
          <w:rFonts w:ascii="Times New Roman" w:hAnsi="Times New Roman" w:cs="Times New Roman"/>
          <w:iCs/>
          <w:sz w:val="24"/>
          <w:szCs w:val="24"/>
        </w:rPr>
        <w:t xml:space="preserve"> service.</w:t>
      </w:r>
    </w:p>
    <w:p w:rsidR="007E5C1B" w:rsidRDefault="007E5C1B" w:rsidP="007E5C1B">
      <w:pPr>
        <w:spacing w:after="0" w:line="240" w:lineRule="auto"/>
        <w:rPr>
          <w:rFonts w:ascii="Times New Roman" w:hAnsi="Times New Roman" w:cs="Times New Roman"/>
          <w:b/>
          <w:sz w:val="24"/>
          <w:szCs w:val="24"/>
        </w:rPr>
      </w:pPr>
    </w:p>
    <w:p w:rsidR="0012389F" w:rsidRPr="00C301AA" w:rsidRDefault="0012389F" w:rsidP="007E5C1B">
      <w:pPr>
        <w:spacing w:after="0" w:line="240" w:lineRule="auto"/>
        <w:rPr>
          <w:rFonts w:ascii="Times New Roman" w:hAnsi="Times New Roman" w:cs="Times New Roman"/>
          <w:sz w:val="24"/>
          <w:szCs w:val="24"/>
        </w:rPr>
      </w:pPr>
      <w:r w:rsidRPr="00C301AA">
        <w:rPr>
          <w:rFonts w:ascii="Times New Roman" w:hAnsi="Times New Roman" w:cs="Times New Roman"/>
          <w:b/>
          <w:sz w:val="24"/>
          <w:szCs w:val="24"/>
        </w:rPr>
        <w:t>Action Taken:</w:t>
      </w:r>
      <w:r w:rsidR="00692049" w:rsidRPr="00C301AA">
        <w:rPr>
          <w:rFonts w:ascii="Times New Roman" w:hAnsi="Times New Roman" w:cs="Times New Roman"/>
          <w:b/>
          <w:sz w:val="24"/>
          <w:szCs w:val="24"/>
        </w:rPr>
        <w:t xml:space="preserve"> </w:t>
      </w:r>
      <w:r w:rsidR="00864BAA" w:rsidRPr="00C301AA">
        <w:rPr>
          <w:rFonts w:ascii="Times New Roman" w:hAnsi="Times New Roman" w:cs="Times New Roman"/>
          <w:b/>
          <w:sz w:val="24"/>
          <w:szCs w:val="24"/>
        </w:rPr>
        <w:t xml:space="preserve"> </w:t>
      </w:r>
      <w:r w:rsidR="00692049" w:rsidRPr="00C301AA">
        <w:rPr>
          <w:rFonts w:ascii="Times New Roman" w:hAnsi="Times New Roman" w:cs="Times New Roman"/>
          <w:sz w:val="24"/>
          <w:szCs w:val="24"/>
        </w:rPr>
        <w:t>None</w:t>
      </w:r>
    </w:p>
    <w:p w:rsidR="007E5C1B" w:rsidRDefault="007E5C1B" w:rsidP="007E5C1B">
      <w:pPr>
        <w:spacing w:after="0" w:line="240" w:lineRule="auto"/>
        <w:rPr>
          <w:rFonts w:ascii="Times New Roman" w:eastAsia="Times New Roman" w:hAnsi="Times New Roman" w:cs="Times New Roman"/>
          <w:b/>
          <w:sz w:val="24"/>
          <w:szCs w:val="24"/>
        </w:rPr>
      </w:pPr>
    </w:p>
    <w:p w:rsidR="007E5C1B" w:rsidRDefault="002C7477"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Comments:</w:t>
      </w:r>
      <w:r w:rsidRPr="00C301AA">
        <w:rPr>
          <w:rFonts w:ascii="Times New Roman" w:eastAsia="Times New Roman" w:hAnsi="Times New Roman" w:cs="Times New Roman"/>
          <w:sz w:val="24"/>
          <w:szCs w:val="24"/>
        </w:rPr>
        <w:t xml:space="preserve">  One commenter </w:t>
      </w:r>
      <w:r w:rsidR="004B553F" w:rsidRPr="00C301AA">
        <w:rPr>
          <w:rFonts w:ascii="Times New Roman" w:eastAsia="Times New Roman" w:hAnsi="Times New Roman" w:cs="Times New Roman"/>
          <w:sz w:val="24"/>
          <w:szCs w:val="24"/>
        </w:rPr>
        <w:t>stated</w:t>
      </w:r>
      <w:r w:rsidRPr="00C301AA">
        <w:rPr>
          <w:rFonts w:ascii="Times New Roman" w:eastAsia="Times New Roman" w:hAnsi="Times New Roman" w:cs="Times New Roman"/>
          <w:sz w:val="24"/>
          <w:szCs w:val="24"/>
        </w:rPr>
        <w:t xml:space="preserve"> that it might help with accuracy of reporting to remind/specify the type(s) of counseling (e.g., academic and/or psychological) in the instructions for </w:t>
      </w:r>
      <w:r w:rsidRPr="00C301AA">
        <w:rPr>
          <w:rFonts w:ascii="Times New Roman" w:eastAsia="Times New Roman" w:hAnsi="Times New Roman" w:cs="Times New Roman"/>
          <w:b/>
          <w:sz w:val="24"/>
          <w:szCs w:val="24"/>
        </w:rPr>
        <w:t>field 51.</w:t>
      </w:r>
      <w:r w:rsidRPr="00C301AA">
        <w:rPr>
          <w:rFonts w:ascii="Times New Roman" w:eastAsia="Times New Roman" w:hAnsi="Times New Roman" w:cs="Times New Roman"/>
          <w:sz w:val="24"/>
          <w:szCs w:val="24"/>
        </w:rPr>
        <w:br/>
      </w:r>
    </w:p>
    <w:p w:rsidR="002C7477" w:rsidRPr="00C301AA" w:rsidRDefault="0012389F"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t>They</w:t>
      </w:r>
      <w:r w:rsidR="002C7477" w:rsidRPr="00C301AA">
        <w:rPr>
          <w:rFonts w:ascii="Times New Roman" w:eastAsia="Times New Roman" w:hAnsi="Times New Roman" w:cs="Times New Roman"/>
          <w:sz w:val="24"/>
          <w:szCs w:val="24"/>
        </w:rPr>
        <w:t xml:space="preserve"> recommend</w:t>
      </w:r>
      <w:r w:rsidR="004B553F" w:rsidRPr="00C301AA">
        <w:rPr>
          <w:rFonts w:ascii="Times New Roman" w:eastAsia="Times New Roman" w:hAnsi="Times New Roman" w:cs="Times New Roman"/>
          <w:sz w:val="24"/>
          <w:szCs w:val="24"/>
        </w:rPr>
        <w:t>ed</w:t>
      </w:r>
      <w:r w:rsidR="002C7477" w:rsidRPr="00C301AA">
        <w:rPr>
          <w:rFonts w:ascii="Times New Roman" w:eastAsia="Times New Roman" w:hAnsi="Times New Roman" w:cs="Times New Roman"/>
          <w:sz w:val="24"/>
          <w:szCs w:val="24"/>
        </w:rPr>
        <w:t xml:space="preserve"> dividing field 52 into two fields to allow for specific reporting on these two different, but related, services; or use "or" to allow reporting on either.</w:t>
      </w:r>
      <w:r w:rsidR="00864BAA" w:rsidRPr="00C301AA">
        <w:rPr>
          <w:rFonts w:ascii="Times New Roman" w:eastAsia="Times New Roman" w:hAnsi="Times New Roman" w:cs="Times New Roman"/>
          <w:sz w:val="24"/>
          <w:szCs w:val="24"/>
        </w:rPr>
        <w:t xml:space="preserve"> </w:t>
      </w:r>
      <w:r w:rsidR="002C7477" w:rsidRPr="00C301AA">
        <w:rPr>
          <w:rFonts w:ascii="Times New Roman" w:eastAsia="Times New Roman" w:hAnsi="Times New Roman" w:cs="Times New Roman"/>
          <w:sz w:val="24"/>
          <w:szCs w:val="24"/>
        </w:rPr>
        <w:t xml:space="preserve"> </w:t>
      </w:r>
      <w:r w:rsidR="002C7477" w:rsidRPr="00C301AA">
        <w:rPr>
          <w:rFonts w:ascii="Times New Roman" w:eastAsia="Times New Roman" w:hAnsi="Times New Roman" w:cs="Times New Roman"/>
          <w:sz w:val="24"/>
          <w:szCs w:val="24"/>
        </w:rPr>
        <w:br/>
      </w:r>
      <w:r w:rsidR="002C7477" w:rsidRPr="00C301AA">
        <w:rPr>
          <w:rFonts w:ascii="Times New Roman" w:eastAsia="Times New Roman" w:hAnsi="Times New Roman" w:cs="Times New Roman"/>
          <w:sz w:val="24"/>
          <w:szCs w:val="24"/>
        </w:rPr>
        <w:br/>
      </w:r>
      <w:r w:rsidR="002C7477" w:rsidRPr="00C301AA">
        <w:rPr>
          <w:rFonts w:ascii="Times New Roman" w:eastAsia="Times New Roman" w:hAnsi="Times New Roman" w:cs="Times New Roman"/>
          <w:b/>
          <w:sz w:val="24"/>
          <w:szCs w:val="24"/>
        </w:rPr>
        <w:t>Discussion:</w:t>
      </w:r>
      <w:r w:rsidR="00692049" w:rsidRPr="00C301AA">
        <w:rPr>
          <w:rFonts w:ascii="Times New Roman" w:eastAsia="Times New Roman" w:hAnsi="Times New Roman" w:cs="Times New Roman"/>
          <w:b/>
          <w:sz w:val="24"/>
          <w:szCs w:val="24"/>
        </w:rPr>
        <w:t xml:space="preserve">  </w:t>
      </w:r>
      <w:r w:rsidR="00692049" w:rsidRPr="00C301AA">
        <w:rPr>
          <w:rFonts w:ascii="Times New Roman" w:eastAsia="Times New Roman" w:hAnsi="Times New Roman" w:cs="Times New Roman"/>
          <w:sz w:val="24"/>
          <w:szCs w:val="24"/>
        </w:rPr>
        <w:t>The service related to counseling as it appeared in the proposed APR was incorrect.  Per statute, counseling is solely related to academic counseling and not personal and/or career counseling.</w:t>
      </w:r>
    </w:p>
    <w:p w:rsidR="007E5C1B" w:rsidRDefault="007E5C1B" w:rsidP="007E5C1B">
      <w:pPr>
        <w:spacing w:after="0" w:line="240" w:lineRule="auto"/>
        <w:rPr>
          <w:rFonts w:ascii="Times New Roman" w:eastAsia="Times New Roman" w:hAnsi="Times New Roman" w:cs="Times New Roman"/>
          <w:b/>
          <w:sz w:val="24"/>
          <w:szCs w:val="24"/>
        </w:rPr>
      </w:pPr>
    </w:p>
    <w:p w:rsidR="002C7477" w:rsidRPr="00C301AA" w:rsidRDefault="002C7477"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Action Taken:</w:t>
      </w:r>
      <w:r w:rsidR="00692049" w:rsidRPr="00C301AA">
        <w:rPr>
          <w:rFonts w:ascii="Times New Roman" w:eastAsia="Times New Roman" w:hAnsi="Times New Roman" w:cs="Times New Roman"/>
          <w:b/>
          <w:sz w:val="24"/>
          <w:szCs w:val="24"/>
        </w:rPr>
        <w:t xml:space="preserve">  </w:t>
      </w:r>
      <w:r w:rsidR="00692049" w:rsidRPr="00C301AA">
        <w:rPr>
          <w:rFonts w:ascii="Times New Roman" w:eastAsia="Times New Roman" w:hAnsi="Times New Roman" w:cs="Times New Roman"/>
          <w:sz w:val="24"/>
          <w:szCs w:val="24"/>
        </w:rPr>
        <w:t>Revised the service “Counseling” to “Academic Counseling”.</w:t>
      </w:r>
    </w:p>
    <w:p w:rsidR="007E5C1B" w:rsidRDefault="007E5C1B" w:rsidP="007E5C1B">
      <w:pPr>
        <w:pStyle w:val="Heading3"/>
        <w:spacing w:after="0" w:line="240" w:lineRule="auto"/>
        <w:rPr>
          <w:rFonts w:eastAsia="Times New Roman"/>
          <w:sz w:val="24"/>
          <w:szCs w:val="24"/>
        </w:rPr>
      </w:pPr>
    </w:p>
    <w:p w:rsidR="005E7AA1" w:rsidRPr="00C301AA" w:rsidRDefault="005E7AA1" w:rsidP="007E5C1B">
      <w:pPr>
        <w:pStyle w:val="Heading3"/>
        <w:spacing w:after="0" w:line="240" w:lineRule="auto"/>
        <w:rPr>
          <w:rFonts w:eastAsia="Times New Roman"/>
          <w:sz w:val="24"/>
          <w:szCs w:val="24"/>
        </w:rPr>
      </w:pPr>
      <w:r w:rsidRPr="00C301AA">
        <w:rPr>
          <w:rFonts w:eastAsia="Times New Roman"/>
          <w:sz w:val="24"/>
          <w:szCs w:val="24"/>
        </w:rPr>
        <w:t>Stipend</w:t>
      </w:r>
      <w:r w:rsidR="008D111D" w:rsidRPr="00C301AA">
        <w:rPr>
          <w:rFonts w:eastAsia="Times New Roman"/>
          <w:sz w:val="24"/>
          <w:szCs w:val="24"/>
        </w:rPr>
        <w:t xml:space="preserve"> </w:t>
      </w:r>
    </w:p>
    <w:p w:rsidR="007E5C1B" w:rsidRDefault="007E5C1B" w:rsidP="007E5C1B">
      <w:pPr>
        <w:spacing w:after="0" w:line="240" w:lineRule="auto"/>
        <w:rPr>
          <w:rFonts w:ascii="Times New Roman" w:eastAsia="Times New Roman" w:hAnsi="Times New Roman" w:cs="Times New Roman"/>
          <w:b/>
          <w:sz w:val="24"/>
          <w:szCs w:val="24"/>
        </w:rPr>
      </w:pPr>
    </w:p>
    <w:p w:rsidR="0012389F" w:rsidRPr="00C301AA" w:rsidRDefault="005D12DD" w:rsidP="007E5C1B">
      <w:pPr>
        <w:spacing w:after="0" w:line="240" w:lineRule="auto"/>
        <w:rPr>
          <w:rFonts w:ascii="Times New Roman" w:eastAsia="Times New Roman" w:hAnsi="Times New Roman" w:cs="Times New Roman"/>
          <w:i/>
          <w:sz w:val="24"/>
          <w:szCs w:val="24"/>
        </w:rPr>
      </w:pPr>
      <w:r w:rsidRPr="00C301AA">
        <w:rPr>
          <w:rFonts w:ascii="Times New Roman" w:eastAsia="Times New Roman" w:hAnsi="Times New Roman" w:cs="Times New Roman"/>
          <w:b/>
          <w:sz w:val="24"/>
          <w:szCs w:val="24"/>
        </w:rPr>
        <w:lastRenderedPageBreak/>
        <w:t>Comments:</w:t>
      </w:r>
      <w:r w:rsidRPr="00C301AA">
        <w:rPr>
          <w:rFonts w:ascii="Times New Roman" w:eastAsia="Times New Roman" w:hAnsi="Times New Roman" w:cs="Times New Roman"/>
          <w:sz w:val="24"/>
          <w:szCs w:val="24"/>
        </w:rPr>
        <w:t xml:space="preserve">  One reviewer </w:t>
      </w:r>
      <w:r w:rsidR="004B553F" w:rsidRPr="00C301AA">
        <w:rPr>
          <w:rFonts w:ascii="Times New Roman" w:eastAsia="Times New Roman" w:hAnsi="Times New Roman" w:cs="Times New Roman"/>
          <w:sz w:val="24"/>
          <w:szCs w:val="24"/>
        </w:rPr>
        <w:t xml:space="preserve">asked the purpose of collecting stipend information (field 56) since </w:t>
      </w:r>
      <w:r w:rsidR="00677797" w:rsidRPr="00C301AA">
        <w:rPr>
          <w:rFonts w:ascii="Times New Roman" w:eastAsia="Times New Roman" w:hAnsi="Times New Roman" w:cs="Times New Roman"/>
          <w:sz w:val="24"/>
          <w:szCs w:val="24"/>
        </w:rPr>
        <w:t xml:space="preserve">the regulations do not allow </w:t>
      </w:r>
      <w:r w:rsidR="004B553F" w:rsidRPr="00C301AA">
        <w:rPr>
          <w:rFonts w:ascii="Times New Roman" w:eastAsia="Times New Roman" w:hAnsi="Times New Roman" w:cs="Times New Roman"/>
          <w:sz w:val="24"/>
          <w:szCs w:val="24"/>
        </w:rPr>
        <w:t xml:space="preserve">McNair projects </w:t>
      </w:r>
      <w:r w:rsidR="00677797" w:rsidRPr="00C301AA">
        <w:rPr>
          <w:rFonts w:ascii="Times New Roman" w:eastAsia="Times New Roman" w:hAnsi="Times New Roman" w:cs="Times New Roman"/>
          <w:sz w:val="24"/>
          <w:szCs w:val="24"/>
        </w:rPr>
        <w:t>to provide more than $2,800 per participant.</w:t>
      </w:r>
      <w:r w:rsidR="00514252" w:rsidRPr="00C301AA">
        <w:rPr>
          <w:rFonts w:ascii="Times New Roman" w:eastAsia="Times New Roman" w:hAnsi="Times New Roman" w:cs="Times New Roman"/>
          <w:sz w:val="24"/>
          <w:szCs w:val="24"/>
        </w:rPr>
        <w:t xml:space="preserve"> </w:t>
      </w:r>
      <w:r w:rsidR="00677797" w:rsidRPr="00C301AA">
        <w:rPr>
          <w:rFonts w:ascii="Times New Roman" w:eastAsia="Times New Roman" w:hAnsi="Times New Roman" w:cs="Times New Roman"/>
          <w:sz w:val="24"/>
          <w:szCs w:val="24"/>
        </w:rPr>
        <w:t xml:space="preserve"> They noted that some McNair projects do provide monetary assistance beyond the $2,800; however, these funds are not McNair dollars.</w:t>
      </w:r>
    </w:p>
    <w:p w:rsidR="007E5C1B" w:rsidRDefault="007E5C1B" w:rsidP="007E5C1B">
      <w:pPr>
        <w:spacing w:after="0" w:line="240" w:lineRule="auto"/>
        <w:rPr>
          <w:rFonts w:ascii="Times New Roman" w:eastAsia="Times New Roman" w:hAnsi="Times New Roman" w:cs="Times New Roman"/>
          <w:sz w:val="24"/>
          <w:szCs w:val="24"/>
        </w:rPr>
      </w:pPr>
    </w:p>
    <w:p w:rsidR="00A12C81" w:rsidRPr="00C301AA" w:rsidRDefault="00A12C81"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sz w:val="24"/>
          <w:szCs w:val="24"/>
        </w:rPr>
        <w:t>One commenter stron</w:t>
      </w:r>
      <w:r w:rsidR="00C301AA" w:rsidRPr="00C301AA">
        <w:rPr>
          <w:rFonts w:ascii="Times New Roman" w:eastAsia="Times New Roman" w:hAnsi="Times New Roman" w:cs="Times New Roman"/>
          <w:sz w:val="24"/>
          <w:szCs w:val="24"/>
        </w:rPr>
        <w:t xml:space="preserve">gly encouraged </w:t>
      </w:r>
      <w:r w:rsidRPr="00C301AA">
        <w:rPr>
          <w:rFonts w:ascii="Times New Roman" w:eastAsia="Times New Roman" w:hAnsi="Times New Roman" w:cs="Times New Roman"/>
          <w:sz w:val="24"/>
          <w:szCs w:val="24"/>
        </w:rPr>
        <w:t>the Department to increase the ceiling from the current $2,800 amount that scholars can be compensated to at least $3,500 or more in order to be more competitive to all the other research programs in existence across the country.  They emphasize</w:t>
      </w:r>
      <w:r w:rsidR="00C301AA" w:rsidRPr="00C301AA">
        <w:rPr>
          <w:rFonts w:ascii="Times New Roman" w:eastAsia="Times New Roman" w:hAnsi="Times New Roman" w:cs="Times New Roman"/>
          <w:sz w:val="24"/>
          <w:szCs w:val="24"/>
        </w:rPr>
        <w:t>d that</w:t>
      </w:r>
      <w:r w:rsidRPr="00C301AA">
        <w:rPr>
          <w:rFonts w:ascii="Times New Roman" w:eastAsia="Times New Roman" w:hAnsi="Times New Roman" w:cs="Times New Roman"/>
          <w:sz w:val="24"/>
          <w:szCs w:val="24"/>
        </w:rPr>
        <w:t xml:space="preserve"> they have not seen any research programs paying less than $3,500 and some go as high as $4,000. </w:t>
      </w:r>
    </w:p>
    <w:p w:rsidR="007E5C1B" w:rsidRDefault="007E5C1B" w:rsidP="007E5C1B">
      <w:pPr>
        <w:pStyle w:val="Default"/>
        <w:rPr>
          <w:rFonts w:eastAsia="Times New Roman"/>
          <w:b/>
          <w:color w:val="auto"/>
        </w:rPr>
      </w:pPr>
    </w:p>
    <w:p w:rsidR="008D111D" w:rsidRPr="00C301AA" w:rsidRDefault="005D12DD" w:rsidP="007E5C1B">
      <w:pPr>
        <w:pStyle w:val="Default"/>
        <w:rPr>
          <w:rFonts w:eastAsia="Times New Roman"/>
          <w:color w:val="auto"/>
        </w:rPr>
      </w:pPr>
      <w:r w:rsidRPr="00C301AA">
        <w:rPr>
          <w:rFonts w:eastAsia="Times New Roman"/>
          <w:b/>
          <w:color w:val="auto"/>
        </w:rPr>
        <w:t xml:space="preserve">Discussion: </w:t>
      </w:r>
      <w:r w:rsidR="005E7AA1" w:rsidRPr="00C301AA">
        <w:rPr>
          <w:rFonts w:eastAsia="Times New Roman"/>
          <w:b/>
          <w:color w:val="auto"/>
        </w:rPr>
        <w:t xml:space="preserve"> </w:t>
      </w:r>
      <w:r w:rsidR="008D111D" w:rsidRPr="00C301AA">
        <w:rPr>
          <w:rFonts w:eastAsia="Times New Roman"/>
          <w:color w:val="auto"/>
        </w:rPr>
        <w:t xml:space="preserve">The Department acknowledges fully the commenters’ concerns.  </w:t>
      </w:r>
    </w:p>
    <w:p w:rsidR="00677797" w:rsidRPr="00C301AA" w:rsidRDefault="00677797" w:rsidP="007E5C1B">
      <w:pPr>
        <w:pStyle w:val="Default"/>
        <w:rPr>
          <w:rFonts w:eastAsia="Times New Roman"/>
          <w:color w:val="auto"/>
        </w:rPr>
      </w:pPr>
    </w:p>
    <w:p w:rsidR="00DD18B6" w:rsidRPr="00C301AA" w:rsidRDefault="00DD18B6" w:rsidP="007E5C1B">
      <w:pPr>
        <w:pStyle w:val="Default"/>
        <w:rPr>
          <w:color w:val="auto"/>
        </w:rPr>
      </w:pPr>
      <w:r w:rsidRPr="00C301AA">
        <w:rPr>
          <w:color w:val="auto"/>
        </w:rPr>
        <w:t>Regarding the purpose of collecting the amount of the stipend received by participants, the Department has deleted this field from the proposed APR since it appears, based on the comments received, that most students receive the maximum allowable amount of $2,800.</w:t>
      </w:r>
    </w:p>
    <w:p w:rsidR="00DD18B6" w:rsidRPr="00C301AA" w:rsidRDefault="00DD18B6" w:rsidP="007E5C1B">
      <w:pPr>
        <w:pStyle w:val="Default"/>
        <w:rPr>
          <w:color w:val="auto"/>
        </w:rPr>
      </w:pPr>
    </w:p>
    <w:p w:rsidR="008D111D" w:rsidRPr="00C301AA" w:rsidRDefault="00DD18B6" w:rsidP="007E5C1B">
      <w:pPr>
        <w:pStyle w:val="Default"/>
        <w:rPr>
          <w:color w:val="auto"/>
        </w:rPr>
      </w:pPr>
      <w:r w:rsidRPr="00C301AA">
        <w:rPr>
          <w:color w:val="auto"/>
        </w:rPr>
        <w:t>Regarding increasing the allowable amount of $2,800 to $3,500, i</w:t>
      </w:r>
      <w:r w:rsidR="00931A2B" w:rsidRPr="00C301AA">
        <w:rPr>
          <w:color w:val="auto"/>
        </w:rPr>
        <w:t xml:space="preserve">n accordance with the McNair Program statute, </w:t>
      </w:r>
      <w:r w:rsidR="00080219" w:rsidRPr="00C301AA">
        <w:rPr>
          <w:color w:val="auto"/>
        </w:rPr>
        <w:t>20 United States Code Chapter 28, Subchapter IV, Part A</w:t>
      </w:r>
      <w:r w:rsidR="00931A2B" w:rsidRPr="00C301AA">
        <w:rPr>
          <w:color w:val="auto"/>
        </w:rPr>
        <w:t xml:space="preserve">, subpart 2, Division 1, section </w:t>
      </w:r>
      <w:r w:rsidR="00931A2B" w:rsidRPr="00C301AA">
        <w:rPr>
          <w:bCs/>
          <w:color w:val="auto"/>
        </w:rPr>
        <w:t xml:space="preserve">1070a–15, subsection </w:t>
      </w:r>
      <w:r w:rsidR="00931A2B" w:rsidRPr="00C301AA">
        <w:rPr>
          <w:color w:val="auto"/>
        </w:rPr>
        <w:t>f, “[</w:t>
      </w:r>
      <w:r w:rsidR="00080219" w:rsidRPr="00C301AA">
        <w:rPr>
          <w:color w:val="auto"/>
        </w:rPr>
        <w:t>s</w:t>
      </w:r>
      <w:r w:rsidR="00931A2B" w:rsidRPr="00C301AA">
        <w:rPr>
          <w:color w:val="auto"/>
        </w:rPr>
        <w:t>]</w:t>
      </w:r>
      <w:proofErr w:type="spellStart"/>
      <w:r w:rsidR="00080219" w:rsidRPr="00C301AA">
        <w:rPr>
          <w:color w:val="auto"/>
        </w:rPr>
        <w:t>tudents</w:t>
      </w:r>
      <w:proofErr w:type="spellEnd"/>
      <w:r w:rsidR="00080219" w:rsidRPr="00C301AA">
        <w:rPr>
          <w:color w:val="auto"/>
        </w:rPr>
        <w:t xml:space="preserve"> participating in research under a project under this sec</w:t>
      </w:r>
      <w:r w:rsidR="00D06749" w:rsidRPr="00C301AA">
        <w:rPr>
          <w:color w:val="auto"/>
        </w:rPr>
        <w:t xml:space="preserve">tion may receive an award that - </w:t>
      </w:r>
      <w:r w:rsidR="00080219" w:rsidRPr="00C301AA">
        <w:rPr>
          <w:color w:val="auto"/>
        </w:rPr>
        <w:t>(1) shall include a stipend not to exceed $2,800 per annum; and (2) may include, in addition, the costs of summer tuition, summer room and board, and transportation to summer programs.</w:t>
      </w:r>
      <w:r w:rsidR="00931A2B" w:rsidRPr="00C301AA">
        <w:rPr>
          <w:color w:val="auto"/>
        </w:rPr>
        <w:t xml:space="preserve">” </w:t>
      </w:r>
    </w:p>
    <w:p w:rsidR="008D111D" w:rsidRPr="00C301AA" w:rsidRDefault="008D111D" w:rsidP="007E5C1B">
      <w:pPr>
        <w:pStyle w:val="Default"/>
        <w:rPr>
          <w:color w:val="auto"/>
        </w:rPr>
      </w:pPr>
    </w:p>
    <w:p w:rsidR="00080219" w:rsidRPr="00C301AA" w:rsidRDefault="00931A2B" w:rsidP="007E5C1B">
      <w:pPr>
        <w:pStyle w:val="Default"/>
        <w:rPr>
          <w:color w:val="auto"/>
        </w:rPr>
      </w:pPr>
      <w:r w:rsidRPr="00C301AA">
        <w:rPr>
          <w:color w:val="auto"/>
        </w:rPr>
        <w:t>Thus, the stipend level is established by the statute and cannot be changed</w:t>
      </w:r>
      <w:r w:rsidR="00B04ADA" w:rsidRPr="00C301AA">
        <w:rPr>
          <w:color w:val="auto"/>
        </w:rPr>
        <w:t>,</w:t>
      </w:r>
      <w:r w:rsidRPr="00C301AA">
        <w:rPr>
          <w:color w:val="auto"/>
        </w:rPr>
        <w:t xml:space="preserve"> except through the process of negotiated rulemaking </w:t>
      </w:r>
      <w:r w:rsidR="00721BEC" w:rsidRPr="00C301AA">
        <w:rPr>
          <w:color w:val="auto"/>
        </w:rPr>
        <w:t xml:space="preserve">by the Department </w:t>
      </w:r>
      <w:r w:rsidRPr="00C301AA">
        <w:rPr>
          <w:color w:val="auto"/>
        </w:rPr>
        <w:t>towards statutory reauthorization</w:t>
      </w:r>
      <w:r w:rsidR="00B04ADA" w:rsidRPr="00C301AA">
        <w:rPr>
          <w:color w:val="auto"/>
        </w:rPr>
        <w:t>,</w:t>
      </w:r>
      <w:r w:rsidRPr="00C301AA">
        <w:rPr>
          <w:color w:val="auto"/>
        </w:rPr>
        <w:t xml:space="preserve"> which is not underway </w:t>
      </w:r>
      <w:r w:rsidR="00721BEC" w:rsidRPr="00C301AA">
        <w:rPr>
          <w:color w:val="auto"/>
        </w:rPr>
        <w:t>currently</w:t>
      </w:r>
      <w:r w:rsidRPr="00C301AA">
        <w:rPr>
          <w:color w:val="auto"/>
        </w:rPr>
        <w:t>.</w:t>
      </w:r>
      <w:r w:rsidR="00721BEC" w:rsidRPr="00C301AA">
        <w:rPr>
          <w:color w:val="auto"/>
        </w:rPr>
        <w:t xml:space="preserve">  </w:t>
      </w:r>
      <w:r w:rsidR="003732A2" w:rsidRPr="00C301AA">
        <w:rPr>
          <w:color w:val="auto"/>
        </w:rPr>
        <w:t>However, g</w:t>
      </w:r>
      <w:r w:rsidR="00721BEC" w:rsidRPr="00C301AA">
        <w:rPr>
          <w:color w:val="auto"/>
        </w:rPr>
        <w:t xml:space="preserve">rantees are permitted to add </w:t>
      </w:r>
      <w:r w:rsidR="003732A2" w:rsidRPr="00C301AA">
        <w:rPr>
          <w:color w:val="auto"/>
        </w:rPr>
        <w:t xml:space="preserve">as much support as possible </w:t>
      </w:r>
      <w:r w:rsidR="00721BEC" w:rsidRPr="00C301AA">
        <w:rPr>
          <w:color w:val="auto"/>
        </w:rPr>
        <w:t xml:space="preserve">to the </w:t>
      </w:r>
      <w:r w:rsidR="003732A2" w:rsidRPr="00C301AA">
        <w:rPr>
          <w:color w:val="auto"/>
        </w:rPr>
        <w:t xml:space="preserve">McNair Program </w:t>
      </w:r>
      <w:r w:rsidR="00721BEC" w:rsidRPr="00C301AA">
        <w:rPr>
          <w:color w:val="auto"/>
        </w:rPr>
        <w:t>$2</w:t>
      </w:r>
      <w:r w:rsidR="00677797" w:rsidRPr="00C301AA">
        <w:rPr>
          <w:color w:val="auto"/>
        </w:rPr>
        <w:t>,</w:t>
      </w:r>
      <w:r w:rsidR="00721BEC" w:rsidRPr="00C301AA">
        <w:rPr>
          <w:color w:val="auto"/>
        </w:rPr>
        <w:t xml:space="preserve">800 stipend amount </w:t>
      </w:r>
      <w:r w:rsidR="003732A2" w:rsidRPr="00C301AA">
        <w:rPr>
          <w:color w:val="auto"/>
        </w:rPr>
        <w:t xml:space="preserve">for each student participant </w:t>
      </w:r>
      <w:r w:rsidR="00721BEC" w:rsidRPr="00C301AA">
        <w:rPr>
          <w:color w:val="auto"/>
        </w:rPr>
        <w:t xml:space="preserve">through the use of </w:t>
      </w:r>
      <w:r w:rsidR="003732A2" w:rsidRPr="00C301AA">
        <w:rPr>
          <w:color w:val="auto"/>
        </w:rPr>
        <w:t>non-federal (</w:t>
      </w:r>
      <w:r w:rsidR="00677797" w:rsidRPr="00C301AA">
        <w:rPr>
          <w:color w:val="auto"/>
        </w:rPr>
        <w:t>e.g.,</w:t>
      </w:r>
      <w:r w:rsidR="003732A2" w:rsidRPr="00C301AA">
        <w:rPr>
          <w:color w:val="auto"/>
        </w:rPr>
        <w:t xml:space="preserve"> state</w:t>
      </w:r>
      <w:r w:rsidR="00677797" w:rsidRPr="00C301AA">
        <w:rPr>
          <w:color w:val="auto"/>
        </w:rPr>
        <w:t>, institutional, etc.</w:t>
      </w:r>
      <w:r w:rsidR="003732A2" w:rsidRPr="00C301AA">
        <w:rPr>
          <w:color w:val="auto"/>
        </w:rPr>
        <w:t xml:space="preserve">) </w:t>
      </w:r>
      <w:r w:rsidR="00721BEC" w:rsidRPr="00C301AA">
        <w:rPr>
          <w:color w:val="auto"/>
        </w:rPr>
        <w:t>funds</w:t>
      </w:r>
      <w:r w:rsidR="003732A2" w:rsidRPr="00C301AA">
        <w:rPr>
          <w:color w:val="auto"/>
        </w:rPr>
        <w:t xml:space="preserve">.  </w:t>
      </w:r>
      <w:r w:rsidRPr="00C301AA">
        <w:rPr>
          <w:color w:val="auto"/>
        </w:rPr>
        <w:t xml:space="preserve">  </w:t>
      </w:r>
    </w:p>
    <w:p w:rsidR="007E5C1B" w:rsidRDefault="007E5C1B" w:rsidP="007E5C1B">
      <w:pPr>
        <w:spacing w:after="0" w:line="240" w:lineRule="auto"/>
        <w:rPr>
          <w:rFonts w:ascii="Times New Roman" w:eastAsia="Times New Roman" w:hAnsi="Times New Roman" w:cs="Times New Roman"/>
          <w:b/>
          <w:sz w:val="24"/>
          <w:szCs w:val="24"/>
        </w:rPr>
      </w:pPr>
    </w:p>
    <w:p w:rsidR="002C7477" w:rsidRPr="00C301AA" w:rsidRDefault="005D12DD" w:rsidP="007E5C1B">
      <w:pPr>
        <w:spacing w:after="0" w:line="240" w:lineRule="auto"/>
        <w:rPr>
          <w:rFonts w:ascii="Times New Roman" w:hAnsi="Times New Roman" w:cs="Times New Roman"/>
          <w:b/>
          <w:bCs/>
          <w:sz w:val="24"/>
          <w:szCs w:val="24"/>
        </w:rPr>
      </w:pPr>
      <w:r w:rsidRPr="00C301AA">
        <w:rPr>
          <w:rFonts w:ascii="Times New Roman" w:eastAsia="Times New Roman" w:hAnsi="Times New Roman" w:cs="Times New Roman"/>
          <w:b/>
          <w:sz w:val="24"/>
          <w:szCs w:val="24"/>
        </w:rPr>
        <w:t>Action Taken:</w:t>
      </w:r>
      <w:r w:rsidR="00080219" w:rsidRPr="00C301AA">
        <w:rPr>
          <w:rFonts w:ascii="Times New Roman" w:eastAsia="Times New Roman" w:hAnsi="Times New Roman" w:cs="Times New Roman"/>
          <w:b/>
          <w:sz w:val="24"/>
          <w:szCs w:val="24"/>
        </w:rPr>
        <w:t xml:space="preserve">  </w:t>
      </w:r>
      <w:r w:rsidR="00DD18B6" w:rsidRPr="00C301AA">
        <w:rPr>
          <w:rFonts w:ascii="Times New Roman" w:eastAsia="Times New Roman" w:hAnsi="Times New Roman" w:cs="Times New Roman"/>
          <w:sz w:val="24"/>
          <w:szCs w:val="24"/>
        </w:rPr>
        <w:t>Deleted the field 56 (Stipend) from the proposed APR.</w:t>
      </w:r>
    </w:p>
    <w:p w:rsidR="007E5C1B" w:rsidRDefault="007E5C1B" w:rsidP="007E5C1B">
      <w:pPr>
        <w:spacing w:after="0" w:line="240" w:lineRule="auto"/>
        <w:rPr>
          <w:rFonts w:ascii="Times New Roman" w:eastAsia="Times New Roman" w:hAnsi="Times New Roman" w:cs="Times New Roman"/>
          <w:b/>
          <w:sz w:val="24"/>
          <w:szCs w:val="24"/>
        </w:rPr>
      </w:pPr>
    </w:p>
    <w:p w:rsidR="00BD525B" w:rsidRPr="00C301AA" w:rsidRDefault="00BD525B" w:rsidP="007E5C1B">
      <w:pPr>
        <w:spacing w:after="0" w:line="240" w:lineRule="auto"/>
        <w:rPr>
          <w:rFonts w:ascii="Times New Roman" w:eastAsia="Times New Roman" w:hAnsi="Times New Roman" w:cs="Times New Roman"/>
          <w:sz w:val="24"/>
          <w:szCs w:val="24"/>
        </w:rPr>
      </w:pPr>
      <w:r w:rsidRPr="00C301AA">
        <w:rPr>
          <w:rFonts w:ascii="Times New Roman" w:eastAsia="Times New Roman" w:hAnsi="Times New Roman" w:cs="Times New Roman"/>
          <w:b/>
          <w:sz w:val="24"/>
          <w:szCs w:val="24"/>
        </w:rPr>
        <w:t>Comment</w:t>
      </w:r>
      <w:r w:rsidRPr="00C301AA">
        <w:rPr>
          <w:rFonts w:ascii="Times New Roman" w:eastAsia="Times New Roman" w:hAnsi="Times New Roman" w:cs="Times New Roman"/>
          <w:sz w:val="24"/>
          <w:szCs w:val="24"/>
        </w:rPr>
        <w:t>:  One reviewer note</w:t>
      </w:r>
      <w:r w:rsidR="00677797" w:rsidRPr="00C301AA">
        <w:rPr>
          <w:rFonts w:ascii="Times New Roman" w:eastAsia="Times New Roman" w:hAnsi="Times New Roman" w:cs="Times New Roman"/>
          <w:sz w:val="24"/>
          <w:szCs w:val="24"/>
        </w:rPr>
        <w:t>d</w:t>
      </w:r>
      <w:r w:rsidRPr="00C301AA">
        <w:rPr>
          <w:rFonts w:ascii="Times New Roman" w:eastAsia="Times New Roman" w:hAnsi="Times New Roman" w:cs="Times New Roman"/>
          <w:sz w:val="24"/>
          <w:szCs w:val="24"/>
        </w:rPr>
        <w:t xml:space="preserve"> that many of the scholarly activities a graduate student might partake in </w:t>
      </w:r>
      <w:r w:rsidR="00677797" w:rsidRPr="00C301AA">
        <w:rPr>
          <w:rFonts w:ascii="Times New Roman" w:eastAsia="Times New Roman" w:hAnsi="Times New Roman" w:cs="Times New Roman"/>
          <w:sz w:val="24"/>
          <w:szCs w:val="24"/>
        </w:rPr>
        <w:t xml:space="preserve">that </w:t>
      </w:r>
      <w:r w:rsidRPr="00C301AA">
        <w:rPr>
          <w:rFonts w:ascii="Times New Roman" w:eastAsia="Times New Roman" w:hAnsi="Times New Roman" w:cs="Times New Roman"/>
          <w:sz w:val="24"/>
          <w:szCs w:val="24"/>
        </w:rPr>
        <w:t>are separate from research and thus could be classified as "Other"</w:t>
      </w:r>
      <w:r w:rsidR="00677797" w:rsidRPr="00C301AA">
        <w:rPr>
          <w:rFonts w:ascii="Times New Roman" w:eastAsia="Times New Roman" w:hAnsi="Times New Roman" w:cs="Times New Roman"/>
          <w:sz w:val="24"/>
          <w:szCs w:val="24"/>
        </w:rPr>
        <w:t xml:space="preserve"> (e.g., tutoring math, mentoring, etc.)</w:t>
      </w:r>
      <w:r w:rsidRPr="00C301AA">
        <w:rPr>
          <w:rFonts w:ascii="Times New Roman" w:eastAsia="Times New Roman" w:hAnsi="Times New Roman" w:cs="Times New Roman"/>
          <w:sz w:val="24"/>
          <w:szCs w:val="24"/>
        </w:rPr>
        <w:t xml:space="preserve"> are the activities that are reported as the new fields 49, 50, 51, 54, and 55.</w:t>
      </w:r>
      <w:r w:rsidR="00A0134B" w:rsidRPr="00C301AA">
        <w:rPr>
          <w:rFonts w:ascii="Times New Roman" w:eastAsia="Times New Roman" w:hAnsi="Times New Roman" w:cs="Times New Roman"/>
          <w:sz w:val="24"/>
          <w:szCs w:val="24"/>
        </w:rPr>
        <w:t xml:space="preserve"> </w:t>
      </w:r>
      <w:r w:rsidRPr="00C301AA">
        <w:rPr>
          <w:rFonts w:ascii="Times New Roman" w:eastAsia="Times New Roman" w:hAnsi="Times New Roman" w:cs="Times New Roman"/>
          <w:sz w:val="24"/>
          <w:szCs w:val="24"/>
        </w:rPr>
        <w:t xml:space="preserve"> </w:t>
      </w:r>
    </w:p>
    <w:p w:rsidR="007E5C1B" w:rsidRDefault="007E5C1B" w:rsidP="007E5C1B">
      <w:pPr>
        <w:pStyle w:val="Heading2"/>
        <w:shd w:val="clear" w:color="auto" w:fill="FFFFFF"/>
        <w:rPr>
          <w:rFonts w:eastAsia="Times New Roman" w:cs="Times New Roman"/>
          <w:u w:val="none"/>
        </w:rPr>
      </w:pPr>
    </w:p>
    <w:p w:rsidR="00DD18B6" w:rsidRPr="00C301AA" w:rsidRDefault="00BD525B" w:rsidP="007E5C1B">
      <w:pPr>
        <w:pStyle w:val="Heading2"/>
        <w:shd w:val="clear" w:color="auto" w:fill="FFFFFF"/>
        <w:rPr>
          <w:rFonts w:eastAsia="Times New Roman" w:cs="Times New Roman"/>
          <w:b w:val="0"/>
          <w:u w:val="none"/>
        </w:rPr>
      </w:pPr>
      <w:r w:rsidRPr="00C301AA">
        <w:rPr>
          <w:rFonts w:eastAsia="Times New Roman" w:cs="Times New Roman"/>
          <w:u w:val="none"/>
        </w:rPr>
        <w:t>Discussion:</w:t>
      </w:r>
      <w:r w:rsidRPr="00C301AA">
        <w:rPr>
          <w:rFonts w:eastAsia="Times New Roman" w:cs="Times New Roman"/>
          <w:b w:val="0"/>
          <w:u w:val="none"/>
        </w:rPr>
        <w:t xml:space="preserve"> </w:t>
      </w:r>
      <w:r w:rsidR="00DB32CE">
        <w:rPr>
          <w:rFonts w:eastAsia="Times New Roman" w:cs="Times New Roman"/>
          <w:b w:val="0"/>
          <w:u w:val="none"/>
        </w:rPr>
        <w:t xml:space="preserve"> </w:t>
      </w:r>
      <w:r w:rsidR="00677797" w:rsidRPr="00C301AA">
        <w:rPr>
          <w:rFonts w:eastAsia="Times New Roman" w:cs="Times New Roman"/>
          <w:b w:val="0"/>
          <w:u w:val="none"/>
        </w:rPr>
        <w:t>Per</w:t>
      </w:r>
      <w:r w:rsidR="00A0134B" w:rsidRPr="00C301AA">
        <w:rPr>
          <w:rFonts w:eastAsia="Times New Roman" w:cs="Times New Roman"/>
          <w:b w:val="0"/>
          <w:u w:val="none"/>
        </w:rPr>
        <w:t xml:space="preserve"> </w:t>
      </w:r>
      <w:r w:rsidR="00DD18B6" w:rsidRPr="00C301AA">
        <w:rPr>
          <w:rFonts w:cs="Times New Roman"/>
          <w:b w:val="0"/>
          <w:u w:val="none"/>
        </w:rPr>
        <w:t>§647.7</w:t>
      </w:r>
      <w:r w:rsidR="00677797" w:rsidRPr="00C301AA">
        <w:rPr>
          <w:rFonts w:cs="Times New Roman"/>
          <w:b w:val="0"/>
          <w:u w:val="none"/>
        </w:rPr>
        <w:t>,</w:t>
      </w:r>
      <w:r w:rsidR="00DD18B6" w:rsidRPr="00C301AA">
        <w:rPr>
          <w:rFonts w:cs="Times New Roman"/>
          <w:b w:val="0"/>
          <w:u w:val="none"/>
        </w:rPr>
        <w:t xml:space="preserve"> “other scholarly activities” </w:t>
      </w:r>
      <w:r w:rsidR="00677797" w:rsidRPr="00C301AA">
        <w:rPr>
          <w:rFonts w:cs="Times New Roman"/>
          <w:b w:val="0"/>
          <w:u w:val="none"/>
        </w:rPr>
        <w:t xml:space="preserve">is defined </w:t>
      </w:r>
      <w:r w:rsidR="00DD18B6" w:rsidRPr="00C301AA">
        <w:rPr>
          <w:rFonts w:cs="Times New Roman"/>
          <w:b w:val="0"/>
          <w:u w:val="none"/>
        </w:rPr>
        <w:t xml:space="preserve">as (1) </w:t>
      </w:r>
      <w:r w:rsidR="00DD18B6" w:rsidRPr="00C301AA">
        <w:rPr>
          <w:rFonts w:cs="Times New Roman"/>
          <w:b w:val="0"/>
          <w:u w:val="none"/>
          <w:shd w:val="clear" w:color="auto" w:fill="FFFFFF"/>
        </w:rPr>
        <w:t xml:space="preserve">an educational activity that is more rigorous than is typically available to undergraduates in a classroom setting, (2) that is definitive in its start and end dates, (3) contains appropriate benchmarks for completion of various components, and (4) is conducted under the guidance of an appropriate faculty member with experience in the relevant discipline.  Based on the regulations, tutoring and mentoring do not meet the criteria listed above and therefore are not considered </w:t>
      </w:r>
      <w:r w:rsidR="00A0134B" w:rsidRPr="00C301AA">
        <w:rPr>
          <w:rFonts w:cs="Times New Roman"/>
          <w:b w:val="0"/>
          <w:u w:val="none"/>
          <w:shd w:val="clear" w:color="auto" w:fill="FFFFFF"/>
        </w:rPr>
        <w:t>“</w:t>
      </w:r>
      <w:r w:rsidR="00DD18B6" w:rsidRPr="00C301AA">
        <w:rPr>
          <w:rFonts w:cs="Times New Roman"/>
          <w:b w:val="0"/>
          <w:u w:val="none"/>
          <w:shd w:val="clear" w:color="auto" w:fill="FFFFFF"/>
        </w:rPr>
        <w:t>scholarly activities.</w:t>
      </w:r>
      <w:r w:rsidR="00A0134B" w:rsidRPr="00C301AA">
        <w:rPr>
          <w:rFonts w:cs="Times New Roman"/>
          <w:b w:val="0"/>
          <w:u w:val="none"/>
          <w:shd w:val="clear" w:color="auto" w:fill="FFFFFF"/>
        </w:rPr>
        <w:t>”</w:t>
      </w:r>
    </w:p>
    <w:p w:rsidR="007E5C1B" w:rsidRDefault="007E5C1B" w:rsidP="007E5C1B">
      <w:pPr>
        <w:spacing w:after="0" w:line="240" w:lineRule="auto"/>
        <w:rPr>
          <w:rFonts w:ascii="Times New Roman" w:eastAsia="Times New Roman" w:hAnsi="Times New Roman" w:cs="Times New Roman"/>
          <w:b/>
          <w:sz w:val="24"/>
          <w:szCs w:val="24"/>
        </w:rPr>
      </w:pPr>
    </w:p>
    <w:p w:rsidR="000767C6" w:rsidRPr="00C301AA" w:rsidRDefault="00BD525B" w:rsidP="007E5C1B">
      <w:pPr>
        <w:spacing w:after="0" w:line="240" w:lineRule="auto"/>
        <w:rPr>
          <w:rFonts w:ascii="Times New Roman" w:eastAsia="Times New Roman" w:hAnsi="Times New Roman" w:cs="Times New Roman"/>
          <w:b/>
          <w:sz w:val="24"/>
          <w:szCs w:val="24"/>
        </w:rPr>
      </w:pPr>
      <w:r w:rsidRPr="00C301AA">
        <w:rPr>
          <w:rFonts w:ascii="Times New Roman" w:eastAsia="Times New Roman" w:hAnsi="Times New Roman" w:cs="Times New Roman"/>
          <w:b/>
          <w:sz w:val="24"/>
          <w:szCs w:val="24"/>
        </w:rPr>
        <w:t>Action Taken:</w:t>
      </w:r>
      <w:r w:rsidR="00A0134B" w:rsidRPr="00C301AA">
        <w:rPr>
          <w:rFonts w:ascii="Times New Roman" w:eastAsia="Times New Roman" w:hAnsi="Times New Roman" w:cs="Times New Roman"/>
          <w:b/>
          <w:sz w:val="24"/>
          <w:szCs w:val="24"/>
        </w:rPr>
        <w:t xml:space="preserve">  </w:t>
      </w:r>
      <w:r w:rsidR="00A0134B" w:rsidRPr="00C301AA">
        <w:rPr>
          <w:rFonts w:ascii="Times New Roman" w:eastAsia="Times New Roman" w:hAnsi="Times New Roman" w:cs="Times New Roman"/>
          <w:sz w:val="24"/>
          <w:szCs w:val="24"/>
        </w:rPr>
        <w:t>None</w:t>
      </w:r>
    </w:p>
    <w:p w:rsidR="000767C6" w:rsidRPr="00C301AA" w:rsidRDefault="000767C6" w:rsidP="007E5C1B">
      <w:pPr>
        <w:spacing w:after="0" w:line="240" w:lineRule="auto"/>
        <w:rPr>
          <w:rFonts w:ascii="Times New Roman" w:eastAsia="Times New Roman" w:hAnsi="Times New Roman" w:cs="Times New Roman"/>
          <w:b/>
        </w:rPr>
      </w:pPr>
    </w:p>
    <w:sectPr w:rsidR="000767C6" w:rsidRPr="00C301AA" w:rsidSect="000529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98" w:rsidRDefault="00D41D98" w:rsidP="00301608">
      <w:pPr>
        <w:spacing w:after="0" w:line="240" w:lineRule="auto"/>
      </w:pPr>
      <w:r>
        <w:separator/>
      </w:r>
    </w:p>
  </w:endnote>
  <w:endnote w:type="continuationSeparator" w:id="0">
    <w:p w:rsidR="00D41D98" w:rsidRDefault="00D41D98" w:rsidP="0030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3E" w:rsidRDefault="00417C3E">
    <w:pPr>
      <w:pStyle w:val="Footer"/>
      <w:pBdr>
        <w:top w:val="thinThickSmallGap" w:sz="24" w:space="1" w:color="622423" w:themeColor="accent2" w:themeShade="7F"/>
      </w:pBdr>
      <w:rPr>
        <w:rFonts w:asciiTheme="majorHAnsi" w:hAnsiTheme="majorHAnsi"/>
      </w:rPr>
    </w:pPr>
    <w:r w:rsidRPr="0063717A">
      <w:rPr>
        <w:rFonts w:asciiTheme="majorHAnsi" w:hAnsiTheme="majorHAnsi"/>
        <w:sz w:val="18"/>
        <w:szCs w:val="18"/>
      </w:rPr>
      <w:t xml:space="preserve">Summary of Comments on the </w:t>
    </w:r>
    <w:r w:rsidRPr="005E7AA1">
      <w:rPr>
        <w:rFonts w:asciiTheme="majorHAnsi" w:hAnsiTheme="majorHAnsi"/>
        <w:sz w:val="18"/>
        <w:szCs w:val="18"/>
      </w:rPr>
      <w:t>2015-16 Ron</w:t>
    </w:r>
    <w:r>
      <w:rPr>
        <w:rFonts w:asciiTheme="majorHAnsi" w:hAnsiTheme="majorHAnsi"/>
        <w:sz w:val="18"/>
        <w:szCs w:val="18"/>
      </w:rPr>
      <w:t>ald E. McNair Postbaccalaureate</w:t>
    </w:r>
    <w:r w:rsidRPr="0063717A">
      <w:rPr>
        <w:rFonts w:asciiTheme="majorHAnsi" w:hAnsiTheme="majorHAnsi"/>
        <w:sz w:val="18"/>
        <w:szCs w:val="18"/>
      </w:rPr>
      <w:t xml:space="preserve"> </w:t>
    </w:r>
    <w:r>
      <w:rPr>
        <w:rFonts w:asciiTheme="majorHAnsi" w:hAnsiTheme="majorHAnsi"/>
        <w:sz w:val="18"/>
        <w:szCs w:val="18"/>
      </w:rPr>
      <w:t>Achievement Program APR</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C5BFF" w:rsidRPr="002C5BFF">
      <w:rPr>
        <w:rFonts w:asciiTheme="majorHAnsi" w:hAnsiTheme="majorHAnsi"/>
        <w:noProof/>
      </w:rPr>
      <w:t>1</w:t>
    </w:r>
    <w:r>
      <w:rPr>
        <w:rFonts w:asciiTheme="majorHAnsi" w:hAnsiTheme="majorHAnsi"/>
        <w:noProof/>
      </w:rPr>
      <w:fldChar w:fldCharType="end"/>
    </w:r>
  </w:p>
  <w:p w:rsidR="00417C3E" w:rsidRDefault="0041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98" w:rsidRDefault="00D41D98" w:rsidP="00301608">
      <w:pPr>
        <w:spacing w:after="0" w:line="240" w:lineRule="auto"/>
      </w:pPr>
      <w:r>
        <w:separator/>
      </w:r>
    </w:p>
  </w:footnote>
  <w:footnote w:type="continuationSeparator" w:id="0">
    <w:p w:rsidR="00D41D98" w:rsidRDefault="00D41D98" w:rsidP="0030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5E7"/>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0186A"/>
    <w:multiLevelType w:val="hybridMultilevel"/>
    <w:tmpl w:val="505EBE0A"/>
    <w:lvl w:ilvl="0" w:tplc="7B38A5A6">
      <w:start w:val="1"/>
      <w:numFmt w:val="lowerLetter"/>
      <w:lvlText w:val="%1."/>
      <w:lvlJc w:val="left"/>
      <w:pPr>
        <w:ind w:left="720" w:hanging="360"/>
      </w:pPr>
      <w:rPr>
        <w:rFonts w:ascii="Arial Narrow" w:hAnsi="Arial Narrow" w:cstheme="minorBid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B4FD2"/>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45AC6"/>
    <w:multiLevelType w:val="hybridMultilevel"/>
    <w:tmpl w:val="DA742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E0083"/>
    <w:multiLevelType w:val="hybridMultilevel"/>
    <w:tmpl w:val="DFFA3382"/>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84EF3"/>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1713C"/>
    <w:multiLevelType w:val="hybridMultilevel"/>
    <w:tmpl w:val="D64C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E0B78"/>
    <w:multiLevelType w:val="hybridMultilevel"/>
    <w:tmpl w:val="590A5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F5369"/>
    <w:multiLevelType w:val="hybridMultilevel"/>
    <w:tmpl w:val="4C388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F6819"/>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3E1A7A"/>
    <w:multiLevelType w:val="hybridMultilevel"/>
    <w:tmpl w:val="C4E8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79384E"/>
    <w:multiLevelType w:val="hybridMultilevel"/>
    <w:tmpl w:val="7F0670D4"/>
    <w:lvl w:ilvl="0" w:tplc="04090001">
      <w:start w:val="1"/>
      <w:numFmt w:val="bullet"/>
      <w:lvlText w:val=""/>
      <w:lvlJc w:val="left"/>
      <w:pPr>
        <w:ind w:left="2754" w:hanging="360"/>
      </w:pPr>
      <w:rPr>
        <w:rFonts w:ascii="Symbol" w:hAnsi="Symbol" w:hint="default"/>
      </w:rPr>
    </w:lvl>
    <w:lvl w:ilvl="1" w:tplc="04090003">
      <w:start w:val="1"/>
      <w:numFmt w:val="bullet"/>
      <w:lvlText w:val="o"/>
      <w:lvlJc w:val="left"/>
      <w:pPr>
        <w:ind w:left="3474" w:hanging="360"/>
      </w:pPr>
      <w:rPr>
        <w:rFonts w:ascii="Courier New" w:hAnsi="Courier New" w:cs="Courier New" w:hint="default"/>
      </w:rPr>
    </w:lvl>
    <w:lvl w:ilvl="2" w:tplc="04090005" w:tentative="1">
      <w:start w:val="1"/>
      <w:numFmt w:val="bullet"/>
      <w:lvlText w:val=""/>
      <w:lvlJc w:val="left"/>
      <w:pPr>
        <w:ind w:left="4194" w:hanging="360"/>
      </w:pPr>
      <w:rPr>
        <w:rFonts w:ascii="Wingdings" w:hAnsi="Wingdings" w:hint="default"/>
      </w:rPr>
    </w:lvl>
    <w:lvl w:ilvl="3" w:tplc="04090001" w:tentative="1">
      <w:start w:val="1"/>
      <w:numFmt w:val="bullet"/>
      <w:lvlText w:val=""/>
      <w:lvlJc w:val="left"/>
      <w:pPr>
        <w:ind w:left="4914" w:hanging="360"/>
      </w:pPr>
      <w:rPr>
        <w:rFonts w:ascii="Symbol" w:hAnsi="Symbol" w:hint="default"/>
      </w:rPr>
    </w:lvl>
    <w:lvl w:ilvl="4" w:tplc="04090003" w:tentative="1">
      <w:start w:val="1"/>
      <w:numFmt w:val="bullet"/>
      <w:lvlText w:val="o"/>
      <w:lvlJc w:val="left"/>
      <w:pPr>
        <w:ind w:left="5634" w:hanging="360"/>
      </w:pPr>
      <w:rPr>
        <w:rFonts w:ascii="Courier New" w:hAnsi="Courier New" w:cs="Courier New" w:hint="default"/>
      </w:rPr>
    </w:lvl>
    <w:lvl w:ilvl="5" w:tplc="04090005" w:tentative="1">
      <w:start w:val="1"/>
      <w:numFmt w:val="bullet"/>
      <w:lvlText w:val=""/>
      <w:lvlJc w:val="left"/>
      <w:pPr>
        <w:ind w:left="6354" w:hanging="360"/>
      </w:pPr>
      <w:rPr>
        <w:rFonts w:ascii="Wingdings" w:hAnsi="Wingdings" w:hint="default"/>
      </w:rPr>
    </w:lvl>
    <w:lvl w:ilvl="6" w:tplc="04090001" w:tentative="1">
      <w:start w:val="1"/>
      <w:numFmt w:val="bullet"/>
      <w:lvlText w:val=""/>
      <w:lvlJc w:val="left"/>
      <w:pPr>
        <w:ind w:left="7074" w:hanging="360"/>
      </w:pPr>
      <w:rPr>
        <w:rFonts w:ascii="Symbol" w:hAnsi="Symbol" w:hint="default"/>
      </w:rPr>
    </w:lvl>
    <w:lvl w:ilvl="7" w:tplc="04090003" w:tentative="1">
      <w:start w:val="1"/>
      <w:numFmt w:val="bullet"/>
      <w:lvlText w:val="o"/>
      <w:lvlJc w:val="left"/>
      <w:pPr>
        <w:ind w:left="7794" w:hanging="360"/>
      </w:pPr>
      <w:rPr>
        <w:rFonts w:ascii="Courier New" w:hAnsi="Courier New" w:cs="Courier New" w:hint="default"/>
      </w:rPr>
    </w:lvl>
    <w:lvl w:ilvl="8" w:tplc="04090005" w:tentative="1">
      <w:start w:val="1"/>
      <w:numFmt w:val="bullet"/>
      <w:lvlText w:val=""/>
      <w:lvlJc w:val="left"/>
      <w:pPr>
        <w:ind w:left="8514" w:hanging="360"/>
      </w:pPr>
      <w:rPr>
        <w:rFonts w:ascii="Wingdings" w:hAnsi="Wingdings" w:hint="default"/>
      </w:rPr>
    </w:lvl>
  </w:abstractNum>
  <w:abstractNum w:abstractNumId="12">
    <w:nsid w:val="11FA55A7"/>
    <w:multiLevelType w:val="hybridMultilevel"/>
    <w:tmpl w:val="CA48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C2C79"/>
    <w:multiLevelType w:val="hybridMultilevel"/>
    <w:tmpl w:val="0DB2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EF1659"/>
    <w:multiLevelType w:val="hybridMultilevel"/>
    <w:tmpl w:val="26887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E07809"/>
    <w:multiLevelType w:val="hybridMultilevel"/>
    <w:tmpl w:val="BA34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BE2046"/>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820F3"/>
    <w:multiLevelType w:val="hybridMultilevel"/>
    <w:tmpl w:val="3F38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106F3"/>
    <w:multiLevelType w:val="hybridMultilevel"/>
    <w:tmpl w:val="CA48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3E74A8"/>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5A2677"/>
    <w:multiLevelType w:val="hybridMultilevel"/>
    <w:tmpl w:val="C2908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550CA"/>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B839B9"/>
    <w:multiLevelType w:val="hybridMultilevel"/>
    <w:tmpl w:val="1BFC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87770"/>
    <w:multiLevelType w:val="hybridMultilevel"/>
    <w:tmpl w:val="02D8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00FFF"/>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901C34"/>
    <w:multiLevelType w:val="hybridMultilevel"/>
    <w:tmpl w:val="7376EFB0"/>
    <w:lvl w:ilvl="0" w:tplc="CB04F452">
      <w:start w:val="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214C60"/>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580ACE"/>
    <w:multiLevelType w:val="hybridMultilevel"/>
    <w:tmpl w:val="467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644582"/>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7D22A4"/>
    <w:multiLevelType w:val="hybridMultilevel"/>
    <w:tmpl w:val="F6CC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020263"/>
    <w:multiLevelType w:val="hybridMultilevel"/>
    <w:tmpl w:val="625C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A410E4"/>
    <w:multiLevelType w:val="hybridMultilevel"/>
    <w:tmpl w:val="98BA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070742"/>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AC5764"/>
    <w:multiLevelType w:val="hybridMultilevel"/>
    <w:tmpl w:val="54E2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4B3439"/>
    <w:multiLevelType w:val="hybridMultilevel"/>
    <w:tmpl w:val="5A04B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7F1A28"/>
    <w:multiLevelType w:val="hybridMultilevel"/>
    <w:tmpl w:val="F52C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675BE1"/>
    <w:multiLevelType w:val="hybridMultilevel"/>
    <w:tmpl w:val="98BA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185CED"/>
    <w:multiLevelType w:val="hybridMultilevel"/>
    <w:tmpl w:val="F0C07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671707"/>
    <w:multiLevelType w:val="hybridMultilevel"/>
    <w:tmpl w:val="98BA9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6E1611"/>
    <w:multiLevelType w:val="hybridMultilevel"/>
    <w:tmpl w:val="D2D2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5F36BC"/>
    <w:multiLevelType w:val="hybridMultilevel"/>
    <w:tmpl w:val="DAD60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7C03DF"/>
    <w:multiLevelType w:val="hybridMultilevel"/>
    <w:tmpl w:val="883E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9C4834"/>
    <w:multiLevelType w:val="hybridMultilevel"/>
    <w:tmpl w:val="6EBA6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BA1C5C"/>
    <w:multiLevelType w:val="hybridMultilevel"/>
    <w:tmpl w:val="18C6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2A78CD"/>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7008D4"/>
    <w:multiLevelType w:val="hybridMultilevel"/>
    <w:tmpl w:val="7BE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DC3A21"/>
    <w:multiLevelType w:val="hybridMultilevel"/>
    <w:tmpl w:val="C4D4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953D2F"/>
    <w:multiLevelType w:val="hybridMultilevel"/>
    <w:tmpl w:val="505EBE0A"/>
    <w:lvl w:ilvl="0" w:tplc="7B38A5A6">
      <w:start w:val="1"/>
      <w:numFmt w:val="lowerLetter"/>
      <w:lvlText w:val="%1."/>
      <w:lvlJc w:val="left"/>
      <w:pPr>
        <w:ind w:left="720" w:hanging="360"/>
      </w:pPr>
      <w:rPr>
        <w:rFonts w:ascii="Arial Narrow" w:hAnsi="Arial Narrow" w:cstheme="minorBid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8D013C"/>
    <w:multiLevelType w:val="hybridMultilevel"/>
    <w:tmpl w:val="720EDCB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9">
    <w:nsid w:val="48982BF0"/>
    <w:multiLevelType w:val="hybridMultilevel"/>
    <w:tmpl w:val="AFC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3661C1"/>
    <w:multiLevelType w:val="hybridMultilevel"/>
    <w:tmpl w:val="0092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CE2DCF"/>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6D5F8B"/>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BF432E"/>
    <w:multiLevelType w:val="hybridMultilevel"/>
    <w:tmpl w:val="C6EC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835BE9"/>
    <w:multiLevelType w:val="hybridMultilevel"/>
    <w:tmpl w:val="EBD2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76E5260"/>
    <w:multiLevelType w:val="hybridMultilevel"/>
    <w:tmpl w:val="DA742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B81992"/>
    <w:multiLevelType w:val="hybridMultilevel"/>
    <w:tmpl w:val="DB52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C55F73"/>
    <w:multiLevelType w:val="hybridMultilevel"/>
    <w:tmpl w:val="2578B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0F163A"/>
    <w:multiLevelType w:val="hybridMultilevel"/>
    <w:tmpl w:val="CEF2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904EB5"/>
    <w:multiLevelType w:val="hybridMultilevel"/>
    <w:tmpl w:val="FF063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9A0B74"/>
    <w:multiLevelType w:val="hybridMultilevel"/>
    <w:tmpl w:val="BA34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D020D1"/>
    <w:multiLevelType w:val="hybridMultilevel"/>
    <w:tmpl w:val="79AE9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D966DE"/>
    <w:multiLevelType w:val="hybridMultilevel"/>
    <w:tmpl w:val="DEB2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E84AC4"/>
    <w:multiLevelType w:val="hybridMultilevel"/>
    <w:tmpl w:val="A8CC1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1729DA"/>
    <w:multiLevelType w:val="hybridMultilevel"/>
    <w:tmpl w:val="7B76D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6C062CF"/>
    <w:multiLevelType w:val="hybridMultilevel"/>
    <w:tmpl w:val="D5BE7F6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6">
    <w:nsid w:val="7B5E05A0"/>
    <w:multiLevelType w:val="hybridMultilevel"/>
    <w:tmpl w:val="BE92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9F4C85"/>
    <w:multiLevelType w:val="hybridMultilevel"/>
    <w:tmpl w:val="6912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AE1D15"/>
    <w:multiLevelType w:val="hybridMultilevel"/>
    <w:tmpl w:val="F574FD66"/>
    <w:lvl w:ilvl="0" w:tplc="D584C9EA">
      <w:start w:val="1"/>
      <w:numFmt w:val="decimal"/>
      <w:lvlText w:val="%1."/>
      <w:lvlJc w:val="left"/>
      <w:pPr>
        <w:ind w:left="720" w:hanging="360"/>
      </w:pPr>
      <w:rPr>
        <w:rFonts w:ascii="Arial Narrow" w:eastAsiaTheme="minorEastAsia"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5F506F"/>
    <w:multiLevelType w:val="hybridMultilevel"/>
    <w:tmpl w:val="E40E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705651"/>
    <w:multiLevelType w:val="hybridMultilevel"/>
    <w:tmpl w:val="A9D85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566653"/>
    <w:multiLevelType w:val="hybridMultilevel"/>
    <w:tmpl w:val="0CC4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7"/>
  </w:num>
  <w:num w:numId="3">
    <w:abstractNumId w:val="68"/>
  </w:num>
  <w:num w:numId="4">
    <w:abstractNumId w:val="46"/>
  </w:num>
  <w:num w:numId="5">
    <w:abstractNumId w:val="45"/>
  </w:num>
  <w:num w:numId="6">
    <w:abstractNumId w:val="54"/>
  </w:num>
  <w:num w:numId="7">
    <w:abstractNumId w:val="18"/>
  </w:num>
  <w:num w:numId="8">
    <w:abstractNumId w:val="12"/>
  </w:num>
  <w:num w:numId="9">
    <w:abstractNumId w:val="49"/>
  </w:num>
  <w:num w:numId="10">
    <w:abstractNumId w:val="67"/>
  </w:num>
  <w:num w:numId="11">
    <w:abstractNumId w:val="70"/>
  </w:num>
  <w:num w:numId="12">
    <w:abstractNumId w:val="66"/>
  </w:num>
  <w:num w:numId="13">
    <w:abstractNumId w:val="29"/>
  </w:num>
  <w:num w:numId="14">
    <w:abstractNumId w:val="17"/>
  </w:num>
  <w:num w:numId="15">
    <w:abstractNumId w:val="23"/>
  </w:num>
  <w:num w:numId="16">
    <w:abstractNumId w:val="43"/>
  </w:num>
  <w:num w:numId="17">
    <w:abstractNumId w:val="62"/>
  </w:num>
  <w:num w:numId="18">
    <w:abstractNumId w:val="69"/>
  </w:num>
  <w:num w:numId="19">
    <w:abstractNumId w:val="41"/>
  </w:num>
  <w:num w:numId="20">
    <w:abstractNumId w:val="63"/>
  </w:num>
  <w:num w:numId="21">
    <w:abstractNumId w:val="13"/>
  </w:num>
  <w:num w:numId="22">
    <w:abstractNumId w:val="20"/>
  </w:num>
  <w:num w:numId="23">
    <w:abstractNumId w:val="71"/>
  </w:num>
  <w:num w:numId="24">
    <w:abstractNumId w:val="6"/>
  </w:num>
  <w:num w:numId="25">
    <w:abstractNumId w:val="10"/>
  </w:num>
  <w:num w:numId="26">
    <w:abstractNumId w:val="25"/>
  </w:num>
  <w:num w:numId="27">
    <w:abstractNumId w:val="30"/>
  </w:num>
  <w:num w:numId="28">
    <w:abstractNumId w:val="33"/>
  </w:num>
  <w:num w:numId="29">
    <w:abstractNumId w:val="35"/>
  </w:num>
  <w:num w:numId="30">
    <w:abstractNumId w:val="22"/>
  </w:num>
  <w:num w:numId="31">
    <w:abstractNumId w:val="24"/>
  </w:num>
  <w:num w:numId="32">
    <w:abstractNumId w:val="36"/>
  </w:num>
  <w:num w:numId="33">
    <w:abstractNumId w:val="31"/>
  </w:num>
  <w:num w:numId="34">
    <w:abstractNumId w:val="2"/>
  </w:num>
  <w:num w:numId="35">
    <w:abstractNumId w:val="5"/>
  </w:num>
  <w:num w:numId="36">
    <w:abstractNumId w:val="38"/>
  </w:num>
  <w:num w:numId="37">
    <w:abstractNumId w:val="19"/>
  </w:num>
  <w:num w:numId="38">
    <w:abstractNumId w:val="44"/>
  </w:num>
  <w:num w:numId="39">
    <w:abstractNumId w:val="56"/>
  </w:num>
  <w:num w:numId="40">
    <w:abstractNumId w:val="26"/>
  </w:num>
  <w:num w:numId="41">
    <w:abstractNumId w:val="51"/>
  </w:num>
  <w:num w:numId="42">
    <w:abstractNumId w:val="32"/>
  </w:num>
  <w:num w:numId="43">
    <w:abstractNumId w:val="61"/>
  </w:num>
  <w:num w:numId="44">
    <w:abstractNumId w:val="0"/>
  </w:num>
  <w:num w:numId="45">
    <w:abstractNumId w:val="52"/>
  </w:num>
  <w:num w:numId="46">
    <w:abstractNumId w:val="40"/>
  </w:num>
  <w:num w:numId="47">
    <w:abstractNumId w:val="60"/>
  </w:num>
  <w:num w:numId="48">
    <w:abstractNumId w:val="39"/>
  </w:num>
  <w:num w:numId="49">
    <w:abstractNumId w:val="16"/>
  </w:num>
  <w:num w:numId="50">
    <w:abstractNumId w:val="37"/>
  </w:num>
  <w:num w:numId="51">
    <w:abstractNumId w:val="21"/>
  </w:num>
  <w:num w:numId="52">
    <w:abstractNumId w:val="4"/>
  </w:num>
  <w:num w:numId="53">
    <w:abstractNumId w:val="8"/>
  </w:num>
  <w:num w:numId="54">
    <w:abstractNumId w:val="7"/>
  </w:num>
  <w:num w:numId="55">
    <w:abstractNumId w:val="1"/>
  </w:num>
  <w:num w:numId="56">
    <w:abstractNumId w:val="47"/>
  </w:num>
  <w:num w:numId="57">
    <w:abstractNumId w:val="55"/>
  </w:num>
  <w:num w:numId="58">
    <w:abstractNumId w:val="3"/>
  </w:num>
  <w:num w:numId="59">
    <w:abstractNumId w:val="28"/>
  </w:num>
  <w:num w:numId="60">
    <w:abstractNumId w:val="53"/>
  </w:num>
  <w:num w:numId="61">
    <w:abstractNumId w:val="9"/>
  </w:num>
  <w:num w:numId="62">
    <w:abstractNumId w:val="59"/>
  </w:num>
  <w:num w:numId="63">
    <w:abstractNumId w:val="57"/>
  </w:num>
  <w:num w:numId="64">
    <w:abstractNumId w:val="34"/>
  </w:num>
  <w:num w:numId="65">
    <w:abstractNumId w:val="15"/>
  </w:num>
  <w:num w:numId="66">
    <w:abstractNumId w:val="14"/>
  </w:num>
  <w:num w:numId="67">
    <w:abstractNumId w:val="64"/>
  </w:num>
  <w:num w:numId="68">
    <w:abstractNumId w:val="11"/>
  </w:num>
  <w:num w:numId="69">
    <w:abstractNumId w:val="65"/>
  </w:num>
  <w:num w:numId="70">
    <w:abstractNumId w:val="50"/>
  </w:num>
  <w:num w:numId="71">
    <w:abstractNumId w:val="42"/>
  </w:num>
  <w:num w:numId="72">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93"/>
    <w:rsid w:val="00004AC3"/>
    <w:rsid w:val="00004CD1"/>
    <w:rsid w:val="000070BF"/>
    <w:rsid w:val="00011869"/>
    <w:rsid w:val="00013146"/>
    <w:rsid w:val="00015DF7"/>
    <w:rsid w:val="00017A28"/>
    <w:rsid w:val="000206D1"/>
    <w:rsid w:val="000217B1"/>
    <w:rsid w:val="00024B9F"/>
    <w:rsid w:val="00026F13"/>
    <w:rsid w:val="000306CC"/>
    <w:rsid w:val="00031953"/>
    <w:rsid w:val="0003319A"/>
    <w:rsid w:val="00034B26"/>
    <w:rsid w:val="00034D17"/>
    <w:rsid w:val="000359BE"/>
    <w:rsid w:val="000359D3"/>
    <w:rsid w:val="00035A0C"/>
    <w:rsid w:val="000360C1"/>
    <w:rsid w:val="0003686C"/>
    <w:rsid w:val="0004090A"/>
    <w:rsid w:val="00042334"/>
    <w:rsid w:val="000459D6"/>
    <w:rsid w:val="00045B71"/>
    <w:rsid w:val="000502C0"/>
    <w:rsid w:val="00050A24"/>
    <w:rsid w:val="00050FCB"/>
    <w:rsid w:val="00051BD8"/>
    <w:rsid w:val="0005208A"/>
    <w:rsid w:val="000529EB"/>
    <w:rsid w:val="00052EF2"/>
    <w:rsid w:val="000534CC"/>
    <w:rsid w:val="0006165C"/>
    <w:rsid w:val="0006231C"/>
    <w:rsid w:val="00063DD6"/>
    <w:rsid w:val="00066293"/>
    <w:rsid w:val="00066CE4"/>
    <w:rsid w:val="0007167F"/>
    <w:rsid w:val="00073C4A"/>
    <w:rsid w:val="00073DE6"/>
    <w:rsid w:val="000767C6"/>
    <w:rsid w:val="00077522"/>
    <w:rsid w:val="00080091"/>
    <w:rsid w:val="00080219"/>
    <w:rsid w:val="000805A9"/>
    <w:rsid w:val="00081EF0"/>
    <w:rsid w:val="000867F4"/>
    <w:rsid w:val="0009183F"/>
    <w:rsid w:val="0009376F"/>
    <w:rsid w:val="000948DE"/>
    <w:rsid w:val="000956BA"/>
    <w:rsid w:val="00096090"/>
    <w:rsid w:val="0009697D"/>
    <w:rsid w:val="00097412"/>
    <w:rsid w:val="00097D89"/>
    <w:rsid w:val="000A2CEA"/>
    <w:rsid w:val="000A3832"/>
    <w:rsid w:val="000A53E5"/>
    <w:rsid w:val="000A719B"/>
    <w:rsid w:val="000A7E18"/>
    <w:rsid w:val="000B0E3A"/>
    <w:rsid w:val="000B232D"/>
    <w:rsid w:val="000B332A"/>
    <w:rsid w:val="000B3984"/>
    <w:rsid w:val="000B3BC8"/>
    <w:rsid w:val="000B6011"/>
    <w:rsid w:val="000B62A1"/>
    <w:rsid w:val="000B67BE"/>
    <w:rsid w:val="000B6FBE"/>
    <w:rsid w:val="000B758D"/>
    <w:rsid w:val="000B7918"/>
    <w:rsid w:val="000B7F87"/>
    <w:rsid w:val="000C0C64"/>
    <w:rsid w:val="000C163B"/>
    <w:rsid w:val="000C3B97"/>
    <w:rsid w:val="000C4C95"/>
    <w:rsid w:val="000C6A53"/>
    <w:rsid w:val="000C6B89"/>
    <w:rsid w:val="000C731F"/>
    <w:rsid w:val="000D10A2"/>
    <w:rsid w:val="000D4868"/>
    <w:rsid w:val="000D4F3D"/>
    <w:rsid w:val="000D7BBB"/>
    <w:rsid w:val="000D7CE8"/>
    <w:rsid w:val="000E179F"/>
    <w:rsid w:val="000E27DC"/>
    <w:rsid w:val="000E511F"/>
    <w:rsid w:val="000E6FD0"/>
    <w:rsid w:val="000E7A08"/>
    <w:rsid w:val="000F05FD"/>
    <w:rsid w:val="000F44AF"/>
    <w:rsid w:val="000F7947"/>
    <w:rsid w:val="00100FB0"/>
    <w:rsid w:val="00102CF8"/>
    <w:rsid w:val="001060F5"/>
    <w:rsid w:val="00107030"/>
    <w:rsid w:val="0011179E"/>
    <w:rsid w:val="00111FE9"/>
    <w:rsid w:val="001168B8"/>
    <w:rsid w:val="00117200"/>
    <w:rsid w:val="001172C5"/>
    <w:rsid w:val="001212F5"/>
    <w:rsid w:val="00122BC9"/>
    <w:rsid w:val="0012389F"/>
    <w:rsid w:val="001314DE"/>
    <w:rsid w:val="00132353"/>
    <w:rsid w:val="001333A8"/>
    <w:rsid w:val="001339A0"/>
    <w:rsid w:val="00133BA6"/>
    <w:rsid w:val="001346E8"/>
    <w:rsid w:val="00135559"/>
    <w:rsid w:val="001368CB"/>
    <w:rsid w:val="00140BCE"/>
    <w:rsid w:val="00144B95"/>
    <w:rsid w:val="0014593C"/>
    <w:rsid w:val="00145FED"/>
    <w:rsid w:val="001509BE"/>
    <w:rsid w:val="00150A5F"/>
    <w:rsid w:val="00151D53"/>
    <w:rsid w:val="00154B9D"/>
    <w:rsid w:val="0016114A"/>
    <w:rsid w:val="0016120D"/>
    <w:rsid w:val="001626AF"/>
    <w:rsid w:val="00164BF7"/>
    <w:rsid w:val="00165F1F"/>
    <w:rsid w:val="00167730"/>
    <w:rsid w:val="0017003A"/>
    <w:rsid w:val="00171606"/>
    <w:rsid w:val="0017227B"/>
    <w:rsid w:val="001737AD"/>
    <w:rsid w:val="001747A3"/>
    <w:rsid w:val="001756AA"/>
    <w:rsid w:val="00180193"/>
    <w:rsid w:val="001809D4"/>
    <w:rsid w:val="00182CE8"/>
    <w:rsid w:val="00182FB3"/>
    <w:rsid w:val="00185936"/>
    <w:rsid w:val="00185BEE"/>
    <w:rsid w:val="001874A6"/>
    <w:rsid w:val="00190822"/>
    <w:rsid w:val="00192F67"/>
    <w:rsid w:val="001936AF"/>
    <w:rsid w:val="001941CA"/>
    <w:rsid w:val="00194A9E"/>
    <w:rsid w:val="001954C3"/>
    <w:rsid w:val="00195984"/>
    <w:rsid w:val="00195E8C"/>
    <w:rsid w:val="001A0374"/>
    <w:rsid w:val="001A1790"/>
    <w:rsid w:val="001A65F0"/>
    <w:rsid w:val="001A665F"/>
    <w:rsid w:val="001A6E31"/>
    <w:rsid w:val="001A7E84"/>
    <w:rsid w:val="001B2430"/>
    <w:rsid w:val="001B6A16"/>
    <w:rsid w:val="001C2CE3"/>
    <w:rsid w:val="001C4E3D"/>
    <w:rsid w:val="001C6CEF"/>
    <w:rsid w:val="001C6E67"/>
    <w:rsid w:val="001C7D42"/>
    <w:rsid w:val="001D22D7"/>
    <w:rsid w:val="001D52B1"/>
    <w:rsid w:val="001D67BC"/>
    <w:rsid w:val="001D6AA5"/>
    <w:rsid w:val="001E00BB"/>
    <w:rsid w:val="001E12F4"/>
    <w:rsid w:val="001E175A"/>
    <w:rsid w:val="001E50EF"/>
    <w:rsid w:val="001F1670"/>
    <w:rsid w:val="001F2207"/>
    <w:rsid w:val="001F3988"/>
    <w:rsid w:val="001F507F"/>
    <w:rsid w:val="00200D36"/>
    <w:rsid w:val="00201710"/>
    <w:rsid w:val="00202290"/>
    <w:rsid w:val="00203E87"/>
    <w:rsid w:val="00205FE7"/>
    <w:rsid w:val="00206937"/>
    <w:rsid w:val="00206C4D"/>
    <w:rsid w:val="00206F74"/>
    <w:rsid w:val="00211285"/>
    <w:rsid w:val="002138D9"/>
    <w:rsid w:val="00214D13"/>
    <w:rsid w:val="00216ABD"/>
    <w:rsid w:val="00220921"/>
    <w:rsid w:val="00224974"/>
    <w:rsid w:val="00225752"/>
    <w:rsid w:val="00226DF4"/>
    <w:rsid w:val="00227A09"/>
    <w:rsid w:val="00230635"/>
    <w:rsid w:val="00233805"/>
    <w:rsid w:val="00236B8B"/>
    <w:rsid w:val="002400A2"/>
    <w:rsid w:val="00241D23"/>
    <w:rsid w:val="00244B3B"/>
    <w:rsid w:val="00244D83"/>
    <w:rsid w:val="0024552A"/>
    <w:rsid w:val="002469A4"/>
    <w:rsid w:val="00251920"/>
    <w:rsid w:val="00252745"/>
    <w:rsid w:val="002539BD"/>
    <w:rsid w:val="00254A47"/>
    <w:rsid w:val="002551C9"/>
    <w:rsid w:val="0025564F"/>
    <w:rsid w:val="00256756"/>
    <w:rsid w:val="0025737B"/>
    <w:rsid w:val="00257F85"/>
    <w:rsid w:val="002623E6"/>
    <w:rsid w:val="0026324E"/>
    <w:rsid w:val="00263A21"/>
    <w:rsid w:val="00264644"/>
    <w:rsid w:val="0026571D"/>
    <w:rsid w:val="00266906"/>
    <w:rsid w:val="002705BD"/>
    <w:rsid w:val="00271788"/>
    <w:rsid w:val="00280B58"/>
    <w:rsid w:val="0028163E"/>
    <w:rsid w:val="0028455A"/>
    <w:rsid w:val="00284CA2"/>
    <w:rsid w:val="00284D1D"/>
    <w:rsid w:val="00287AFF"/>
    <w:rsid w:val="00290C07"/>
    <w:rsid w:val="0029759F"/>
    <w:rsid w:val="002A0370"/>
    <w:rsid w:val="002A2FFF"/>
    <w:rsid w:val="002A3B31"/>
    <w:rsid w:val="002A6840"/>
    <w:rsid w:val="002A6DB4"/>
    <w:rsid w:val="002A7381"/>
    <w:rsid w:val="002A7843"/>
    <w:rsid w:val="002B1FE1"/>
    <w:rsid w:val="002B26C4"/>
    <w:rsid w:val="002B455F"/>
    <w:rsid w:val="002B48F6"/>
    <w:rsid w:val="002B4B3C"/>
    <w:rsid w:val="002B739F"/>
    <w:rsid w:val="002C429B"/>
    <w:rsid w:val="002C435C"/>
    <w:rsid w:val="002C5886"/>
    <w:rsid w:val="002C5BFF"/>
    <w:rsid w:val="002C7477"/>
    <w:rsid w:val="002D49B7"/>
    <w:rsid w:val="002D4B6B"/>
    <w:rsid w:val="002D6648"/>
    <w:rsid w:val="002E08AB"/>
    <w:rsid w:val="002E09EA"/>
    <w:rsid w:val="002E38F6"/>
    <w:rsid w:val="002E517A"/>
    <w:rsid w:val="002F03BF"/>
    <w:rsid w:val="002F05FB"/>
    <w:rsid w:val="002F1505"/>
    <w:rsid w:val="002F24A5"/>
    <w:rsid w:val="002F2E22"/>
    <w:rsid w:val="002F306A"/>
    <w:rsid w:val="002F3DD3"/>
    <w:rsid w:val="002F4001"/>
    <w:rsid w:val="002F5174"/>
    <w:rsid w:val="002F623E"/>
    <w:rsid w:val="002F66DE"/>
    <w:rsid w:val="002F70B7"/>
    <w:rsid w:val="003012F4"/>
    <w:rsid w:val="00301608"/>
    <w:rsid w:val="00304680"/>
    <w:rsid w:val="00310EDC"/>
    <w:rsid w:val="0031207A"/>
    <w:rsid w:val="00312292"/>
    <w:rsid w:val="00312A81"/>
    <w:rsid w:val="00313049"/>
    <w:rsid w:val="00313243"/>
    <w:rsid w:val="00314D7B"/>
    <w:rsid w:val="00316B9A"/>
    <w:rsid w:val="003206EA"/>
    <w:rsid w:val="003217FE"/>
    <w:rsid w:val="003219D5"/>
    <w:rsid w:val="0032596F"/>
    <w:rsid w:val="003309CE"/>
    <w:rsid w:val="0033281B"/>
    <w:rsid w:val="00332CDC"/>
    <w:rsid w:val="00336837"/>
    <w:rsid w:val="003403C0"/>
    <w:rsid w:val="00343E65"/>
    <w:rsid w:val="003442F8"/>
    <w:rsid w:val="00344E75"/>
    <w:rsid w:val="00345F2A"/>
    <w:rsid w:val="00351874"/>
    <w:rsid w:val="00351C96"/>
    <w:rsid w:val="00351FB4"/>
    <w:rsid w:val="00356015"/>
    <w:rsid w:val="00356414"/>
    <w:rsid w:val="00357BE3"/>
    <w:rsid w:val="00366A5F"/>
    <w:rsid w:val="00366A68"/>
    <w:rsid w:val="0036792C"/>
    <w:rsid w:val="00372334"/>
    <w:rsid w:val="003732A2"/>
    <w:rsid w:val="00381BF3"/>
    <w:rsid w:val="003834FD"/>
    <w:rsid w:val="00385483"/>
    <w:rsid w:val="003859BD"/>
    <w:rsid w:val="00385BC4"/>
    <w:rsid w:val="0038627E"/>
    <w:rsid w:val="00386754"/>
    <w:rsid w:val="00386A6D"/>
    <w:rsid w:val="00386B11"/>
    <w:rsid w:val="003911C2"/>
    <w:rsid w:val="00391CA0"/>
    <w:rsid w:val="00392CD1"/>
    <w:rsid w:val="0039518C"/>
    <w:rsid w:val="0039558F"/>
    <w:rsid w:val="00397CD6"/>
    <w:rsid w:val="003A234A"/>
    <w:rsid w:val="003A3427"/>
    <w:rsid w:val="003B0B6E"/>
    <w:rsid w:val="003B1FE5"/>
    <w:rsid w:val="003B2039"/>
    <w:rsid w:val="003B22C7"/>
    <w:rsid w:val="003B2349"/>
    <w:rsid w:val="003B27FB"/>
    <w:rsid w:val="003B72C4"/>
    <w:rsid w:val="003C014A"/>
    <w:rsid w:val="003C1B56"/>
    <w:rsid w:val="003C353F"/>
    <w:rsid w:val="003C39E1"/>
    <w:rsid w:val="003C4EA5"/>
    <w:rsid w:val="003C7020"/>
    <w:rsid w:val="003D18B4"/>
    <w:rsid w:val="003D3997"/>
    <w:rsid w:val="003E0DD4"/>
    <w:rsid w:val="003E0ED8"/>
    <w:rsid w:val="003E3116"/>
    <w:rsid w:val="003E34A9"/>
    <w:rsid w:val="003E36C7"/>
    <w:rsid w:val="003E3869"/>
    <w:rsid w:val="003E3C4E"/>
    <w:rsid w:val="003E6AF5"/>
    <w:rsid w:val="0040081A"/>
    <w:rsid w:val="00400C35"/>
    <w:rsid w:val="004017A1"/>
    <w:rsid w:val="0040229E"/>
    <w:rsid w:val="00402CC2"/>
    <w:rsid w:val="00406B93"/>
    <w:rsid w:val="00410CB8"/>
    <w:rsid w:val="0041177A"/>
    <w:rsid w:val="004117A9"/>
    <w:rsid w:val="004169BB"/>
    <w:rsid w:val="00417C3E"/>
    <w:rsid w:val="0042005F"/>
    <w:rsid w:val="00420530"/>
    <w:rsid w:val="0042211F"/>
    <w:rsid w:val="00423E9A"/>
    <w:rsid w:val="00424645"/>
    <w:rsid w:val="0042502A"/>
    <w:rsid w:val="0042683B"/>
    <w:rsid w:val="00426AFF"/>
    <w:rsid w:val="0042786D"/>
    <w:rsid w:val="00431182"/>
    <w:rsid w:val="004332CD"/>
    <w:rsid w:val="004337EF"/>
    <w:rsid w:val="00435B27"/>
    <w:rsid w:val="00435F9F"/>
    <w:rsid w:val="004370B4"/>
    <w:rsid w:val="0043792D"/>
    <w:rsid w:val="0044150A"/>
    <w:rsid w:val="004419DE"/>
    <w:rsid w:val="00443068"/>
    <w:rsid w:val="00444763"/>
    <w:rsid w:val="004455E0"/>
    <w:rsid w:val="004467A9"/>
    <w:rsid w:val="00446DD2"/>
    <w:rsid w:val="00450997"/>
    <w:rsid w:val="00451B2F"/>
    <w:rsid w:val="004577B5"/>
    <w:rsid w:val="00461067"/>
    <w:rsid w:val="00461F07"/>
    <w:rsid w:val="0046353A"/>
    <w:rsid w:val="004637C1"/>
    <w:rsid w:val="00463EC8"/>
    <w:rsid w:val="00471AFF"/>
    <w:rsid w:val="0047299C"/>
    <w:rsid w:val="00477F64"/>
    <w:rsid w:val="004826B5"/>
    <w:rsid w:val="00482A91"/>
    <w:rsid w:val="004834EB"/>
    <w:rsid w:val="004838B4"/>
    <w:rsid w:val="00483DCE"/>
    <w:rsid w:val="00485214"/>
    <w:rsid w:val="00485B01"/>
    <w:rsid w:val="0049061B"/>
    <w:rsid w:val="00491690"/>
    <w:rsid w:val="00491C5D"/>
    <w:rsid w:val="00491E9F"/>
    <w:rsid w:val="004954EE"/>
    <w:rsid w:val="00495CE6"/>
    <w:rsid w:val="00496B6E"/>
    <w:rsid w:val="004A07C8"/>
    <w:rsid w:val="004A29B7"/>
    <w:rsid w:val="004A2B60"/>
    <w:rsid w:val="004A412E"/>
    <w:rsid w:val="004B2929"/>
    <w:rsid w:val="004B3C8C"/>
    <w:rsid w:val="004B4094"/>
    <w:rsid w:val="004B553F"/>
    <w:rsid w:val="004B676F"/>
    <w:rsid w:val="004B7D4A"/>
    <w:rsid w:val="004C02D3"/>
    <w:rsid w:val="004C04DC"/>
    <w:rsid w:val="004D0A67"/>
    <w:rsid w:val="004D523B"/>
    <w:rsid w:val="004D5E9F"/>
    <w:rsid w:val="004D6332"/>
    <w:rsid w:val="004D724F"/>
    <w:rsid w:val="004E0D44"/>
    <w:rsid w:val="004E2667"/>
    <w:rsid w:val="004E27FF"/>
    <w:rsid w:val="004E5292"/>
    <w:rsid w:val="004E5D4B"/>
    <w:rsid w:val="004E69AB"/>
    <w:rsid w:val="004E7C2D"/>
    <w:rsid w:val="004F2790"/>
    <w:rsid w:val="004F355B"/>
    <w:rsid w:val="004F4960"/>
    <w:rsid w:val="004F671D"/>
    <w:rsid w:val="004F6992"/>
    <w:rsid w:val="00501E39"/>
    <w:rsid w:val="00502835"/>
    <w:rsid w:val="00503E36"/>
    <w:rsid w:val="00504C90"/>
    <w:rsid w:val="00505A19"/>
    <w:rsid w:val="0050688E"/>
    <w:rsid w:val="0051138C"/>
    <w:rsid w:val="00511483"/>
    <w:rsid w:val="00514252"/>
    <w:rsid w:val="00520457"/>
    <w:rsid w:val="00520F73"/>
    <w:rsid w:val="005213DC"/>
    <w:rsid w:val="0052411F"/>
    <w:rsid w:val="0052693F"/>
    <w:rsid w:val="00531B76"/>
    <w:rsid w:val="00532CF0"/>
    <w:rsid w:val="00532ED4"/>
    <w:rsid w:val="005367A1"/>
    <w:rsid w:val="00536B97"/>
    <w:rsid w:val="00541E20"/>
    <w:rsid w:val="005437CA"/>
    <w:rsid w:val="00544153"/>
    <w:rsid w:val="00546BFF"/>
    <w:rsid w:val="005470ED"/>
    <w:rsid w:val="00551118"/>
    <w:rsid w:val="00551CE7"/>
    <w:rsid w:val="0055250E"/>
    <w:rsid w:val="00552EF0"/>
    <w:rsid w:val="005533C3"/>
    <w:rsid w:val="00553EE9"/>
    <w:rsid w:val="0055443E"/>
    <w:rsid w:val="005550D7"/>
    <w:rsid w:val="00555F3A"/>
    <w:rsid w:val="005570CF"/>
    <w:rsid w:val="00562859"/>
    <w:rsid w:val="00566133"/>
    <w:rsid w:val="0056649F"/>
    <w:rsid w:val="00567DE0"/>
    <w:rsid w:val="0057089A"/>
    <w:rsid w:val="00572556"/>
    <w:rsid w:val="005745F2"/>
    <w:rsid w:val="00574963"/>
    <w:rsid w:val="00575ACA"/>
    <w:rsid w:val="00576572"/>
    <w:rsid w:val="00577D4B"/>
    <w:rsid w:val="00580507"/>
    <w:rsid w:val="00582FCC"/>
    <w:rsid w:val="00585830"/>
    <w:rsid w:val="00591E2B"/>
    <w:rsid w:val="00592A24"/>
    <w:rsid w:val="00593A32"/>
    <w:rsid w:val="0059684A"/>
    <w:rsid w:val="00596BFA"/>
    <w:rsid w:val="00597DAF"/>
    <w:rsid w:val="005A187B"/>
    <w:rsid w:val="005A43CF"/>
    <w:rsid w:val="005A51AA"/>
    <w:rsid w:val="005A53A0"/>
    <w:rsid w:val="005A59FF"/>
    <w:rsid w:val="005B2A08"/>
    <w:rsid w:val="005B2D63"/>
    <w:rsid w:val="005B66B0"/>
    <w:rsid w:val="005B6F2A"/>
    <w:rsid w:val="005C06C6"/>
    <w:rsid w:val="005C079B"/>
    <w:rsid w:val="005C303B"/>
    <w:rsid w:val="005C55F3"/>
    <w:rsid w:val="005C7B28"/>
    <w:rsid w:val="005C7F63"/>
    <w:rsid w:val="005D0026"/>
    <w:rsid w:val="005D12DD"/>
    <w:rsid w:val="005D1840"/>
    <w:rsid w:val="005D1CE8"/>
    <w:rsid w:val="005D3B3B"/>
    <w:rsid w:val="005D4398"/>
    <w:rsid w:val="005D45A1"/>
    <w:rsid w:val="005D4BAF"/>
    <w:rsid w:val="005D50F5"/>
    <w:rsid w:val="005D63AD"/>
    <w:rsid w:val="005D6C53"/>
    <w:rsid w:val="005E1633"/>
    <w:rsid w:val="005E2931"/>
    <w:rsid w:val="005E2AA3"/>
    <w:rsid w:val="005E2C05"/>
    <w:rsid w:val="005E5173"/>
    <w:rsid w:val="005E7A28"/>
    <w:rsid w:val="005E7AA1"/>
    <w:rsid w:val="005E7BDA"/>
    <w:rsid w:val="005F4A43"/>
    <w:rsid w:val="005F4EF6"/>
    <w:rsid w:val="005F7651"/>
    <w:rsid w:val="005F7CCC"/>
    <w:rsid w:val="005F7EE3"/>
    <w:rsid w:val="006016CE"/>
    <w:rsid w:val="0060414F"/>
    <w:rsid w:val="00605B93"/>
    <w:rsid w:val="00606273"/>
    <w:rsid w:val="006103C8"/>
    <w:rsid w:val="00610569"/>
    <w:rsid w:val="00610D46"/>
    <w:rsid w:val="006112A4"/>
    <w:rsid w:val="00611947"/>
    <w:rsid w:val="0061245B"/>
    <w:rsid w:val="00614185"/>
    <w:rsid w:val="00615A52"/>
    <w:rsid w:val="00616815"/>
    <w:rsid w:val="00622FDD"/>
    <w:rsid w:val="0062314C"/>
    <w:rsid w:val="0062517B"/>
    <w:rsid w:val="00627023"/>
    <w:rsid w:val="00627303"/>
    <w:rsid w:val="00630681"/>
    <w:rsid w:val="0063231D"/>
    <w:rsid w:val="00632FFE"/>
    <w:rsid w:val="006332DB"/>
    <w:rsid w:val="00633DF2"/>
    <w:rsid w:val="00634844"/>
    <w:rsid w:val="0063717A"/>
    <w:rsid w:val="00637C6E"/>
    <w:rsid w:val="00641183"/>
    <w:rsid w:val="00641920"/>
    <w:rsid w:val="00641A0A"/>
    <w:rsid w:val="006426E8"/>
    <w:rsid w:val="00642856"/>
    <w:rsid w:val="00646778"/>
    <w:rsid w:val="00651FF8"/>
    <w:rsid w:val="0065237A"/>
    <w:rsid w:val="006534DE"/>
    <w:rsid w:val="00653E5A"/>
    <w:rsid w:val="00657612"/>
    <w:rsid w:val="00657E21"/>
    <w:rsid w:val="006613A7"/>
    <w:rsid w:val="00664AE5"/>
    <w:rsid w:val="0066745C"/>
    <w:rsid w:val="00667BA7"/>
    <w:rsid w:val="00670C6F"/>
    <w:rsid w:val="0067336D"/>
    <w:rsid w:val="006746C8"/>
    <w:rsid w:val="00674ABC"/>
    <w:rsid w:val="006751E2"/>
    <w:rsid w:val="0067561A"/>
    <w:rsid w:val="0067589E"/>
    <w:rsid w:val="00677797"/>
    <w:rsid w:val="006779E7"/>
    <w:rsid w:val="00690E27"/>
    <w:rsid w:val="00692049"/>
    <w:rsid w:val="006928E0"/>
    <w:rsid w:val="00694086"/>
    <w:rsid w:val="00694C1D"/>
    <w:rsid w:val="00696F86"/>
    <w:rsid w:val="006A22B4"/>
    <w:rsid w:val="006A4077"/>
    <w:rsid w:val="006A66B3"/>
    <w:rsid w:val="006B0C86"/>
    <w:rsid w:val="006B0E2A"/>
    <w:rsid w:val="006B4786"/>
    <w:rsid w:val="006B55D9"/>
    <w:rsid w:val="006B76CA"/>
    <w:rsid w:val="006B774D"/>
    <w:rsid w:val="006C1BA9"/>
    <w:rsid w:val="006C2919"/>
    <w:rsid w:val="006C6AB6"/>
    <w:rsid w:val="006D0048"/>
    <w:rsid w:val="006D06E0"/>
    <w:rsid w:val="006D162E"/>
    <w:rsid w:val="006D4256"/>
    <w:rsid w:val="006D4B9D"/>
    <w:rsid w:val="006D51D8"/>
    <w:rsid w:val="006E0C23"/>
    <w:rsid w:val="006E2216"/>
    <w:rsid w:val="006E6ADF"/>
    <w:rsid w:val="006E7042"/>
    <w:rsid w:val="006E7FDA"/>
    <w:rsid w:val="006F2861"/>
    <w:rsid w:val="006F44E2"/>
    <w:rsid w:val="006F483D"/>
    <w:rsid w:val="006F647C"/>
    <w:rsid w:val="006F660E"/>
    <w:rsid w:val="0070110D"/>
    <w:rsid w:val="007023B9"/>
    <w:rsid w:val="00704230"/>
    <w:rsid w:val="00711481"/>
    <w:rsid w:val="007123DD"/>
    <w:rsid w:val="007124A5"/>
    <w:rsid w:val="00712C0C"/>
    <w:rsid w:val="007159F8"/>
    <w:rsid w:val="007161D1"/>
    <w:rsid w:val="007177B5"/>
    <w:rsid w:val="007203A3"/>
    <w:rsid w:val="00721841"/>
    <w:rsid w:val="00721BEC"/>
    <w:rsid w:val="0072539D"/>
    <w:rsid w:val="00726644"/>
    <w:rsid w:val="00730006"/>
    <w:rsid w:val="0073427B"/>
    <w:rsid w:val="007358D9"/>
    <w:rsid w:val="00740ED7"/>
    <w:rsid w:val="00741538"/>
    <w:rsid w:val="00741865"/>
    <w:rsid w:val="00745E68"/>
    <w:rsid w:val="007465FA"/>
    <w:rsid w:val="00751736"/>
    <w:rsid w:val="007533A0"/>
    <w:rsid w:val="00755380"/>
    <w:rsid w:val="00755601"/>
    <w:rsid w:val="00756D7A"/>
    <w:rsid w:val="00757270"/>
    <w:rsid w:val="00765B43"/>
    <w:rsid w:val="00767692"/>
    <w:rsid w:val="007720DF"/>
    <w:rsid w:val="00772D91"/>
    <w:rsid w:val="0077320F"/>
    <w:rsid w:val="00773A62"/>
    <w:rsid w:val="007770C0"/>
    <w:rsid w:val="007831BC"/>
    <w:rsid w:val="00783EEC"/>
    <w:rsid w:val="00784A35"/>
    <w:rsid w:val="00784FAC"/>
    <w:rsid w:val="00784FCC"/>
    <w:rsid w:val="00786752"/>
    <w:rsid w:val="00787F25"/>
    <w:rsid w:val="0079069D"/>
    <w:rsid w:val="00791365"/>
    <w:rsid w:val="007916AE"/>
    <w:rsid w:val="00792DF8"/>
    <w:rsid w:val="00793568"/>
    <w:rsid w:val="00797565"/>
    <w:rsid w:val="007978B2"/>
    <w:rsid w:val="007A0272"/>
    <w:rsid w:val="007A18C6"/>
    <w:rsid w:val="007A6580"/>
    <w:rsid w:val="007B045C"/>
    <w:rsid w:val="007B0BA4"/>
    <w:rsid w:val="007B0F51"/>
    <w:rsid w:val="007B286C"/>
    <w:rsid w:val="007C1FA4"/>
    <w:rsid w:val="007C3FC5"/>
    <w:rsid w:val="007C7DBC"/>
    <w:rsid w:val="007C7F24"/>
    <w:rsid w:val="007D0C90"/>
    <w:rsid w:val="007D1377"/>
    <w:rsid w:val="007D1F8F"/>
    <w:rsid w:val="007D2D98"/>
    <w:rsid w:val="007D3EAE"/>
    <w:rsid w:val="007D59E1"/>
    <w:rsid w:val="007D640E"/>
    <w:rsid w:val="007E17A5"/>
    <w:rsid w:val="007E24F0"/>
    <w:rsid w:val="007E2DE6"/>
    <w:rsid w:val="007E4547"/>
    <w:rsid w:val="007E5BF4"/>
    <w:rsid w:val="007E5C1B"/>
    <w:rsid w:val="007F28A8"/>
    <w:rsid w:val="007F56B5"/>
    <w:rsid w:val="007F691E"/>
    <w:rsid w:val="007F6B63"/>
    <w:rsid w:val="007F6EA1"/>
    <w:rsid w:val="007F780D"/>
    <w:rsid w:val="0080001C"/>
    <w:rsid w:val="008022C8"/>
    <w:rsid w:val="008038EA"/>
    <w:rsid w:val="00803F77"/>
    <w:rsid w:val="00804444"/>
    <w:rsid w:val="0080494E"/>
    <w:rsid w:val="00804B86"/>
    <w:rsid w:val="00805157"/>
    <w:rsid w:val="00810212"/>
    <w:rsid w:val="008110CC"/>
    <w:rsid w:val="008114C9"/>
    <w:rsid w:val="008131E3"/>
    <w:rsid w:val="0081450A"/>
    <w:rsid w:val="00814D33"/>
    <w:rsid w:val="0081690D"/>
    <w:rsid w:val="00816958"/>
    <w:rsid w:val="0082090F"/>
    <w:rsid w:val="00821B03"/>
    <w:rsid w:val="008221F4"/>
    <w:rsid w:val="008276FA"/>
    <w:rsid w:val="00832C24"/>
    <w:rsid w:val="00834F87"/>
    <w:rsid w:val="00836528"/>
    <w:rsid w:val="0084066B"/>
    <w:rsid w:val="00843294"/>
    <w:rsid w:val="00844D2A"/>
    <w:rsid w:val="00846227"/>
    <w:rsid w:val="00851E96"/>
    <w:rsid w:val="008531D2"/>
    <w:rsid w:val="008540C5"/>
    <w:rsid w:val="00854653"/>
    <w:rsid w:val="00854AAD"/>
    <w:rsid w:val="0085530C"/>
    <w:rsid w:val="008579A0"/>
    <w:rsid w:val="008579D6"/>
    <w:rsid w:val="00860118"/>
    <w:rsid w:val="00863CA2"/>
    <w:rsid w:val="00864920"/>
    <w:rsid w:val="00864BAA"/>
    <w:rsid w:val="0086515C"/>
    <w:rsid w:val="00866016"/>
    <w:rsid w:val="00866036"/>
    <w:rsid w:val="00866983"/>
    <w:rsid w:val="00866C4B"/>
    <w:rsid w:val="008674B1"/>
    <w:rsid w:val="00870B26"/>
    <w:rsid w:val="00872821"/>
    <w:rsid w:val="00875DE2"/>
    <w:rsid w:val="00876C57"/>
    <w:rsid w:val="00880F20"/>
    <w:rsid w:val="0088344B"/>
    <w:rsid w:val="00884AF2"/>
    <w:rsid w:val="00886C92"/>
    <w:rsid w:val="00890ABD"/>
    <w:rsid w:val="00891364"/>
    <w:rsid w:val="008919D5"/>
    <w:rsid w:val="00892CAF"/>
    <w:rsid w:val="00892DBF"/>
    <w:rsid w:val="00894D0F"/>
    <w:rsid w:val="00894E22"/>
    <w:rsid w:val="00896A0E"/>
    <w:rsid w:val="008A13D2"/>
    <w:rsid w:val="008A3629"/>
    <w:rsid w:val="008A52B7"/>
    <w:rsid w:val="008A538C"/>
    <w:rsid w:val="008B53A4"/>
    <w:rsid w:val="008B7241"/>
    <w:rsid w:val="008C06E5"/>
    <w:rsid w:val="008C3323"/>
    <w:rsid w:val="008C4914"/>
    <w:rsid w:val="008C6945"/>
    <w:rsid w:val="008C7B2A"/>
    <w:rsid w:val="008D0563"/>
    <w:rsid w:val="008D06F2"/>
    <w:rsid w:val="008D111D"/>
    <w:rsid w:val="008D1C2A"/>
    <w:rsid w:val="008D1FB4"/>
    <w:rsid w:val="008D5D44"/>
    <w:rsid w:val="008E1092"/>
    <w:rsid w:val="008E17BD"/>
    <w:rsid w:val="008E1ADF"/>
    <w:rsid w:val="008E20AA"/>
    <w:rsid w:val="008E6829"/>
    <w:rsid w:val="008E7919"/>
    <w:rsid w:val="008F105C"/>
    <w:rsid w:val="008F12BA"/>
    <w:rsid w:val="008F32B0"/>
    <w:rsid w:val="008F544A"/>
    <w:rsid w:val="008F5F36"/>
    <w:rsid w:val="00900F7A"/>
    <w:rsid w:val="0090254C"/>
    <w:rsid w:val="009046B7"/>
    <w:rsid w:val="00906E65"/>
    <w:rsid w:val="00910E74"/>
    <w:rsid w:val="0091275E"/>
    <w:rsid w:val="00912990"/>
    <w:rsid w:val="00912A7A"/>
    <w:rsid w:val="00913BF9"/>
    <w:rsid w:val="00915FAC"/>
    <w:rsid w:val="00916A48"/>
    <w:rsid w:val="00917D61"/>
    <w:rsid w:val="00921DCC"/>
    <w:rsid w:val="009310A6"/>
    <w:rsid w:val="00931A2B"/>
    <w:rsid w:val="009339B4"/>
    <w:rsid w:val="00933B14"/>
    <w:rsid w:val="0093450A"/>
    <w:rsid w:val="00935324"/>
    <w:rsid w:val="00935475"/>
    <w:rsid w:val="009401C0"/>
    <w:rsid w:val="009403C6"/>
    <w:rsid w:val="00940A5A"/>
    <w:rsid w:val="00940E24"/>
    <w:rsid w:val="00940E26"/>
    <w:rsid w:val="00942F01"/>
    <w:rsid w:val="0094387D"/>
    <w:rsid w:val="009442AC"/>
    <w:rsid w:val="009466B6"/>
    <w:rsid w:val="0095022B"/>
    <w:rsid w:val="00951596"/>
    <w:rsid w:val="009515E5"/>
    <w:rsid w:val="00952812"/>
    <w:rsid w:val="00960D4F"/>
    <w:rsid w:val="00960F0D"/>
    <w:rsid w:val="00961DD9"/>
    <w:rsid w:val="00962B29"/>
    <w:rsid w:val="00963621"/>
    <w:rsid w:val="00963664"/>
    <w:rsid w:val="00967AEE"/>
    <w:rsid w:val="0097080A"/>
    <w:rsid w:val="00972D51"/>
    <w:rsid w:val="0097309C"/>
    <w:rsid w:val="009732F9"/>
    <w:rsid w:val="00977932"/>
    <w:rsid w:val="0098101B"/>
    <w:rsid w:val="00981D99"/>
    <w:rsid w:val="00982111"/>
    <w:rsid w:val="0098424D"/>
    <w:rsid w:val="009844E5"/>
    <w:rsid w:val="0098571E"/>
    <w:rsid w:val="00987897"/>
    <w:rsid w:val="00987CAA"/>
    <w:rsid w:val="00990227"/>
    <w:rsid w:val="0099034D"/>
    <w:rsid w:val="0099035F"/>
    <w:rsid w:val="00990849"/>
    <w:rsid w:val="0099270D"/>
    <w:rsid w:val="009A398B"/>
    <w:rsid w:val="009A570C"/>
    <w:rsid w:val="009A674D"/>
    <w:rsid w:val="009B06BD"/>
    <w:rsid w:val="009B09B4"/>
    <w:rsid w:val="009B114D"/>
    <w:rsid w:val="009B58AD"/>
    <w:rsid w:val="009B597B"/>
    <w:rsid w:val="009C215B"/>
    <w:rsid w:val="009C2CF3"/>
    <w:rsid w:val="009C3009"/>
    <w:rsid w:val="009C4463"/>
    <w:rsid w:val="009C5805"/>
    <w:rsid w:val="009D063E"/>
    <w:rsid w:val="009D2A7E"/>
    <w:rsid w:val="009D57FF"/>
    <w:rsid w:val="009D5BF8"/>
    <w:rsid w:val="009D629D"/>
    <w:rsid w:val="009D76F0"/>
    <w:rsid w:val="009E2416"/>
    <w:rsid w:val="009E2802"/>
    <w:rsid w:val="009E3150"/>
    <w:rsid w:val="009E45EF"/>
    <w:rsid w:val="009E4C75"/>
    <w:rsid w:val="009E6C96"/>
    <w:rsid w:val="009F099B"/>
    <w:rsid w:val="009F0C1A"/>
    <w:rsid w:val="009F16E9"/>
    <w:rsid w:val="009F6322"/>
    <w:rsid w:val="00A0134B"/>
    <w:rsid w:val="00A047D8"/>
    <w:rsid w:val="00A05FFA"/>
    <w:rsid w:val="00A12B1B"/>
    <w:rsid w:val="00A12C81"/>
    <w:rsid w:val="00A13441"/>
    <w:rsid w:val="00A14B4A"/>
    <w:rsid w:val="00A201C8"/>
    <w:rsid w:val="00A20656"/>
    <w:rsid w:val="00A2436D"/>
    <w:rsid w:val="00A24572"/>
    <w:rsid w:val="00A277B6"/>
    <w:rsid w:val="00A27BF8"/>
    <w:rsid w:val="00A30DCA"/>
    <w:rsid w:val="00A32000"/>
    <w:rsid w:val="00A324D3"/>
    <w:rsid w:val="00A3400B"/>
    <w:rsid w:val="00A35658"/>
    <w:rsid w:val="00A35FC4"/>
    <w:rsid w:val="00A4041B"/>
    <w:rsid w:val="00A4303B"/>
    <w:rsid w:val="00A447E6"/>
    <w:rsid w:val="00A47C48"/>
    <w:rsid w:val="00A500C7"/>
    <w:rsid w:val="00A5035B"/>
    <w:rsid w:val="00A512EF"/>
    <w:rsid w:val="00A52D07"/>
    <w:rsid w:val="00A54FB6"/>
    <w:rsid w:val="00A60B0A"/>
    <w:rsid w:val="00A62BCE"/>
    <w:rsid w:val="00A62C02"/>
    <w:rsid w:val="00A63F41"/>
    <w:rsid w:val="00A64E26"/>
    <w:rsid w:val="00A66156"/>
    <w:rsid w:val="00A66413"/>
    <w:rsid w:val="00A70536"/>
    <w:rsid w:val="00A70F47"/>
    <w:rsid w:val="00A71302"/>
    <w:rsid w:val="00A7514E"/>
    <w:rsid w:val="00A75636"/>
    <w:rsid w:val="00A767E2"/>
    <w:rsid w:val="00A779EF"/>
    <w:rsid w:val="00A82D38"/>
    <w:rsid w:val="00A83321"/>
    <w:rsid w:val="00A83B30"/>
    <w:rsid w:val="00A8497D"/>
    <w:rsid w:val="00A85F61"/>
    <w:rsid w:val="00A865B4"/>
    <w:rsid w:val="00A90241"/>
    <w:rsid w:val="00A909AE"/>
    <w:rsid w:val="00A90E23"/>
    <w:rsid w:val="00A93389"/>
    <w:rsid w:val="00A93F69"/>
    <w:rsid w:val="00A96060"/>
    <w:rsid w:val="00A96FAA"/>
    <w:rsid w:val="00A97291"/>
    <w:rsid w:val="00A973A6"/>
    <w:rsid w:val="00AA1578"/>
    <w:rsid w:val="00AA2058"/>
    <w:rsid w:val="00AA23D0"/>
    <w:rsid w:val="00AA3158"/>
    <w:rsid w:val="00AA3215"/>
    <w:rsid w:val="00AA4BF9"/>
    <w:rsid w:val="00AA5676"/>
    <w:rsid w:val="00AA5BE5"/>
    <w:rsid w:val="00AA72DB"/>
    <w:rsid w:val="00AA79BD"/>
    <w:rsid w:val="00AA7B7B"/>
    <w:rsid w:val="00AA7DCF"/>
    <w:rsid w:val="00AB11B0"/>
    <w:rsid w:val="00AB55B2"/>
    <w:rsid w:val="00AC044C"/>
    <w:rsid w:val="00AC1AE7"/>
    <w:rsid w:val="00AC1D0E"/>
    <w:rsid w:val="00AC1FDA"/>
    <w:rsid w:val="00AD0640"/>
    <w:rsid w:val="00AD0B6A"/>
    <w:rsid w:val="00AD16E0"/>
    <w:rsid w:val="00AD398F"/>
    <w:rsid w:val="00AD40A7"/>
    <w:rsid w:val="00AD4B04"/>
    <w:rsid w:val="00AD70E6"/>
    <w:rsid w:val="00AE03E1"/>
    <w:rsid w:val="00AE3385"/>
    <w:rsid w:val="00AE39FB"/>
    <w:rsid w:val="00AE4DB7"/>
    <w:rsid w:val="00AE5333"/>
    <w:rsid w:val="00AE7217"/>
    <w:rsid w:val="00AF0A4A"/>
    <w:rsid w:val="00AF0BEA"/>
    <w:rsid w:val="00AF2845"/>
    <w:rsid w:val="00AF2D9A"/>
    <w:rsid w:val="00B01A72"/>
    <w:rsid w:val="00B02131"/>
    <w:rsid w:val="00B02B34"/>
    <w:rsid w:val="00B033AA"/>
    <w:rsid w:val="00B03C06"/>
    <w:rsid w:val="00B04ADA"/>
    <w:rsid w:val="00B04FBF"/>
    <w:rsid w:val="00B113CC"/>
    <w:rsid w:val="00B12E71"/>
    <w:rsid w:val="00B14263"/>
    <w:rsid w:val="00B14804"/>
    <w:rsid w:val="00B16515"/>
    <w:rsid w:val="00B22D20"/>
    <w:rsid w:val="00B301E6"/>
    <w:rsid w:val="00B309B6"/>
    <w:rsid w:val="00B33982"/>
    <w:rsid w:val="00B34754"/>
    <w:rsid w:val="00B34C2F"/>
    <w:rsid w:val="00B37C0B"/>
    <w:rsid w:val="00B41AF0"/>
    <w:rsid w:val="00B4687A"/>
    <w:rsid w:val="00B5323F"/>
    <w:rsid w:val="00B5661C"/>
    <w:rsid w:val="00B66A64"/>
    <w:rsid w:val="00B67135"/>
    <w:rsid w:val="00B67E91"/>
    <w:rsid w:val="00B74386"/>
    <w:rsid w:val="00B74FDD"/>
    <w:rsid w:val="00B7545E"/>
    <w:rsid w:val="00B87299"/>
    <w:rsid w:val="00B910D0"/>
    <w:rsid w:val="00B92E49"/>
    <w:rsid w:val="00B967B2"/>
    <w:rsid w:val="00B96B39"/>
    <w:rsid w:val="00B97119"/>
    <w:rsid w:val="00B97C24"/>
    <w:rsid w:val="00BA15B5"/>
    <w:rsid w:val="00BA5CE6"/>
    <w:rsid w:val="00BA7F6D"/>
    <w:rsid w:val="00BB03A1"/>
    <w:rsid w:val="00BB20F7"/>
    <w:rsid w:val="00BB2957"/>
    <w:rsid w:val="00BB35FC"/>
    <w:rsid w:val="00BB3E24"/>
    <w:rsid w:val="00BB516E"/>
    <w:rsid w:val="00BB536F"/>
    <w:rsid w:val="00BB622B"/>
    <w:rsid w:val="00BB6BF8"/>
    <w:rsid w:val="00BC194A"/>
    <w:rsid w:val="00BC4FB7"/>
    <w:rsid w:val="00BC529A"/>
    <w:rsid w:val="00BC6FDA"/>
    <w:rsid w:val="00BD0E95"/>
    <w:rsid w:val="00BD11DB"/>
    <w:rsid w:val="00BD23F6"/>
    <w:rsid w:val="00BD2E09"/>
    <w:rsid w:val="00BD525B"/>
    <w:rsid w:val="00BE0F16"/>
    <w:rsid w:val="00BE26F0"/>
    <w:rsid w:val="00BF3DB4"/>
    <w:rsid w:val="00BF7B99"/>
    <w:rsid w:val="00C0015A"/>
    <w:rsid w:val="00C015A9"/>
    <w:rsid w:val="00C015EA"/>
    <w:rsid w:val="00C022ED"/>
    <w:rsid w:val="00C024BA"/>
    <w:rsid w:val="00C02685"/>
    <w:rsid w:val="00C02EF7"/>
    <w:rsid w:val="00C03300"/>
    <w:rsid w:val="00C042CC"/>
    <w:rsid w:val="00C04DE4"/>
    <w:rsid w:val="00C0582F"/>
    <w:rsid w:val="00C05C8A"/>
    <w:rsid w:val="00C106F3"/>
    <w:rsid w:val="00C1106C"/>
    <w:rsid w:val="00C11D49"/>
    <w:rsid w:val="00C133F7"/>
    <w:rsid w:val="00C13623"/>
    <w:rsid w:val="00C13EDF"/>
    <w:rsid w:val="00C169A3"/>
    <w:rsid w:val="00C17EE0"/>
    <w:rsid w:val="00C22537"/>
    <w:rsid w:val="00C2381B"/>
    <w:rsid w:val="00C24A08"/>
    <w:rsid w:val="00C2521B"/>
    <w:rsid w:val="00C254F9"/>
    <w:rsid w:val="00C26A2D"/>
    <w:rsid w:val="00C301AA"/>
    <w:rsid w:val="00C31DC2"/>
    <w:rsid w:val="00C323E2"/>
    <w:rsid w:val="00C3279F"/>
    <w:rsid w:val="00C344D9"/>
    <w:rsid w:val="00C43042"/>
    <w:rsid w:val="00C4349B"/>
    <w:rsid w:val="00C43FAE"/>
    <w:rsid w:val="00C47488"/>
    <w:rsid w:val="00C50BD5"/>
    <w:rsid w:val="00C55A72"/>
    <w:rsid w:val="00C55F7F"/>
    <w:rsid w:val="00C574DC"/>
    <w:rsid w:val="00C65A3D"/>
    <w:rsid w:val="00C661F9"/>
    <w:rsid w:val="00C66FC8"/>
    <w:rsid w:val="00C675C9"/>
    <w:rsid w:val="00C708BB"/>
    <w:rsid w:val="00C71FF6"/>
    <w:rsid w:val="00C7261C"/>
    <w:rsid w:val="00C73AEF"/>
    <w:rsid w:val="00C7492F"/>
    <w:rsid w:val="00C75620"/>
    <w:rsid w:val="00C75B23"/>
    <w:rsid w:val="00C82F96"/>
    <w:rsid w:val="00C83660"/>
    <w:rsid w:val="00C85F8D"/>
    <w:rsid w:val="00C86B5D"/>
    <w:rsid w:val="00C91472"/>
    <w:rsid w:val="00C92FBB"/>
    <w:rsid w:val="00C946C7"/>
    <w:rsid w:val="00C970E3"/>
    <w:rsid w:val="00C97E49"/>
    <w:rsid w:val="00CA29CE"/>
    <w:rsid w:val="00CA4323"/>
    <w:rsid w:val="00CA5793"/>
    <w:rsid w:val="00CA7333"/>
    <w:rsid w:val="00CA7DA3"/>
    <w:rsid w:val="00CB0130"/>
    <w:rsid w:val="00CB0A24"/>
    <w:rsid w:val="00CB13C6"/>
    <w:rsid w:val="00CB1B15"/>
    <w:rsid w:val="00CB1C01"/>
    <w:rsid w:val="00CB1D36"/>
    <w:rsid w:val="00CB429A"/>
    <w:rsid w:val="00CB4765"/>
    <w:rsid w:val="00CB4D6C"/>
    <w:rsid w:val="00CB7B67"/>
    <w:rsid w:val="00CC176D"/>
    <w:rsid w:val="00CC30E7"/>
    <w:rsid w:val="00CC3A85"/>
    <w:rsid w:val="00CC3C91"/>
    <w:rsid w:val="00CC3D05"/>
    <w:rsid w:val="00CC4F0D"/>
    <w:rsid w:val="00CC6056"/>
    <w:rsid w:val="00CC6519"/>
    <w:rsid w:val="00CC7002"/>
    <w:rsid w:val="00CD0704"/>
    <w:rsid w:val="00CD31E0"/>
    <w:rsid w:val="00CD33A5"/>
    <w:rsid w:val="00CD68D5"/>
    <w:rsid w:val="00CE3390"/>
    <w:rsid w:val="00CE35E7"/>
    <w:rsid w:val="00CE78D5"/>
    <w:rsid w:val="00CE7F23"/>
    <w:rsid w:val="00CF007F"/>
    <w:rsid w:val="00CF0E7B"/>
    <w:rsid w:val="00CF3C74"/>
    <w:rsid w:val="00CF3D7E"/>
    <w:rsid w:val="00CF4231"/>
    <w:rsid w:val="00CF4B02"/>
    <w:rsid w:val="00D01132"/>
    <w:rsid w:val="00D01ECF"/>
    <w:rsid w:val="00D02870"/>
    <w:rsid w:val="00D037C2"/>
    <w:rsid w:val="00D050B4"/>
    <w:rsid w:val="00D06749"/>
    <w:rsid w:val="00D069CF"/>
    <w:rsid w:val="00D069D4"/>
    <w:rsid w:val="00D07EB7"/>
    <w:rsid w:val="00D1028A"/>
    <w:rsid w:val="00D10419"/>
    <w:rsid w:val="00D10E22"/>
    <w:rsid w:val="00D128AE"/>
    <w:rsid w:val="00D13B4B"/>
    <w:rsid w:val="00D14048"/>
    <w:rsid w:val="00D14FBD"/>
    <w:rsid w:val="00D1509A"/>
    <w:rsid w:val="00D155C2"/>
    <w:rsid w:val="00D158D6"/>
    <w:rsid w:val="00D15C1B"/>
    <w:rsid w:val="00D1671D"/>
    <w:rsid w:val="00D2022A"/>
    <w:rsid w:val="00D272ED"/>
    <w:rsid w:val="00D34560"/>
    <w:rsid w:val="00D36C96"/>
    <w:rsid w:val="00D41B40"/>
    <w:rsid w:val="00D41D98"/>
    <w:rsid w:val="00D41EEC"/>
    <w:rsid w:val="00D425D8"/>
    <w:rsid w:val="00D44862"/>
    <w:rsid w:val="00D46331"/>
    <w:rsid w:val="00D46492"/>
    <w:rsid w:val="00D503E8"/>
    <w:rsid w:val="00D504EC"/>
    <w:rsid w:val="00D557A3"/>
    <w:rsid w:val="00D60846"/>
    <w:rsid w:val="00D60C9A"/>
    <w:rsid w:val="00D64B94"/>
    <w:rsid w:val="00D660BE"/>
    <w:rsid w:val="00D66F4E"/>
    <w:rsid w:val="00D67C61"/>
    <w:rsid w:val="00D71B0F"/>
    <w:rsid w:val="00D73836"/>
    <w:rsid w:val="00D73EDF"/>
    <w:rsid w:val="00D838A5"/>
    <w:rsid w:val="00D83BAB"/>
    <w:rsid w:val="00D867CA"/>
    <w:rsid w:val="00D90C5C"/>
    <w:rsid w:val="00DA0B55"/>
    <w:rsid w:val="00DA314F"/>
    <w:rsid w:val="00DA4F66"/>
    <w:rsid w:val="00DB182A"/>
    <w:rsid w:val="00DB1A19"/>
    <w:rsid w:val="00DB1EFE"/>
    <w:rsid w:val="00DB32CE"/>
    <w:rsid w:val="00DB6BB0"/>
    <w:rsid w:val="00DC0E5D"/>
    <w:rsid w:val="00DC150B"/>
    <w:rsid w:val="00DC1FAB"/>
    <w:rsid w:val="00DC38DB"/>
    <w:rsid w:val="00DC547A"/>
    <w:rsid w:val="00DC5B31"/>
    <w:rsid w:val="00DC7D33"/>
    <w:rsid w:val="00DD18B6"/>
    <w:rsid w:val="00DD1D86"/>
    <w:rsid w:val="00DD30E3"/>
    <w:rsid w:val="00DD407D"/>
    <w:rsid w:val="00DD6200"/>
    <w:rsid w:val="00DD756C"/>
    <w:rsid w:val="00DD775C"/>
    <w:rsid w:val="00DE0327"/>
    <w:rsid w:val="00DE0613"/>
    <w:rsid w:val="00DE11D7"/>
    <w:rsid w:val="00DE6AD1"/>
    <w:rsid w:val="00DE6C64"/>
    <w:rsid w:val="00DE7D1D"/>
    <w:rsid w:val="00DF26B9"/>
    <w:rsid w:val="00DF2BBC"/>
    <w:rsid w:val="00DF3DB6"/>
    <w:rsid w:val="00DF51C3"/>
    <w:rsid w:val="00DF58AF"/>
    <w:rsid w:val="00DF61DE"/>
    <w:rsid w:val="00DF6678"/>
    <w:rsid w:val="00E00281"/>
    <w:rsid w:val="00E00F13"/>
    <w:rsid w:val="00E0364F"/>
    <w:rsid w:val="00E0596A"/>
    <w:rsid w:val="00E05FC6"/>
    <w:rsid w:val="00E061AD"/>
    <w:rsid w:val="00E07DB1"/>
    <w:rsid w:val="00E12016"/>
    <w:rsid w:val="00E12695"/>
    <w:rsid w:val="00E14782"/>
    <w:rsid w:val="00E14DB7"/>
    <w:rsid w:val="00E155EA"/>
    <w:rsid w:val="00E16916"/>
    <w:rsid w:val="00E17CC4"/>
    <w:rsid w:val="00E23031"/>
    <w:rsid w:val="00E24AEC"/>
    <w:rsid w:val="00E27020"/>
    <w:rsid w:val="00E32135"/>
    <w:rsid w:val="00E329B3"/>
    <w:rsid w:val="00E32B5D"/>
    <w:rsid w:val="00E344BD"/>
    <w:rsid w:val="00E35388"/>
    <w:rsid w:val="00E356FE"/>
    <w:rsid w:val="00E3614B"/>
    <w:rsid w:val="00E3670F"/>
    <w:rsid w:val="00E37E8A"/>
    <w:rsid w:val="00E438AA"/>
    <w:rsid w:val="00E44DAC"/>
    <w:rsid w:val="00E45830"/>
    <w:rsid w:val="00E45E06"/>
    <w:rsid w:val="00E474CB"/>
    <w:rsid w:val="00E53391"/>
    <w:rsid w:val="00E541EF"/>
    <w:rsid w:val="00E55F4C"/>
    <w:rsid w:val="00E56685"/>
    <w:rsid w:val="00E6001B"/>
    <w:rsid w:val="00E65CEA"/>
    <w:rsid w:val="00E679DF"/>
    <w:rsid w:val="00E7155B"/>
    <w:rsid w:val="00E73DD8"/>
    <w:rsid w:val="00E74D55"/>
    <w:rsid w:val="00E759C4"/>
    <w:rsid w:val="00E80F26"/>
    <w:rsid w:val="00E84DE4"/>
    <w:rsid w:val="00E872DC"/>
    <w:rsid w:val="00E922CC"/>
    <w:rsid w:val="00E9249C"/>
    <w:rsid w:val="00E92612"/>
    <w:rsid w:val="00E927B8"/>
    <w:rsid w:val="00E93726"/>
    <w:rsid w:val="00E9737A"/>
    <w:rsid w:val="00EA1300"/>
    <w:rsid w:val="00EA14F5"/>
    <w:rsid w:val="00EA152A"/>
    <w:rsid w:val="00EA1649"/>
    <w:rsid w:val="00EA6B55"/>
    <w:rsid w:val="00EB338A"/>
    <w:rsid w:val="00EB3631"/>
    <w:rsid w:val="00EC1A32"/>
    <w:rsid w:val="00EC4920"/>
    <w:rsid w:val="00EC5582"/>
    <w:rsid w:val="00EC5680"/>
    <w:rsid w:val="00ED0033"/>
    <w:rsid w:val="00ED2203"/>
    <w:rsid w:val="00ED2D6C"/>
    <w:rsid w:val="00ED466B"/>
    <w:rsid w:val="00ED54C7"/>
    <w:rsid w:val="00ED7804"/>
    <w:rsid w:val="00ED7DCD"/>
    <w:rsid w:val="00EE4AEC"/>
    <w:rsid w:val="00EE5175"/>
    <w:rsid w:val="00EE5766"/>
    <w:rsid w:val="00EE6A50"/>
    <w:rsid w:val="00EF0523"/>
    <w:rsid w:val="00EF1A94"/>
    <w:rsid w:val="00EF1E60"/>
    <w:rsid w:val="00EF3499"/>
    <w:rsid w:val="00EF3947"/>
    <w:rsid w:val="00EF49D1"/>
    <w:rsid w:val="00EF7A19"/>
    <w:rsid w:val="00F0053B"/>
    <w:rsid w:val="00F03EF8"/>
    <w:rsid w:val="00F045A3"/>
    <w:rsid w:val="00F070EA"/>
    <w:rsid w:val="00F079EF"/>
    <w:rsid w:val="00F1191F"/>
    <w:rsid w:val="00F12022"/>
    <w:rsid w:val="00F12D21"/>
    <w:rsid w:val="00F15D44"/>
    <w:rsid w:val="00F162D4"/>
    <w:rsid w:val="00F16D7D"/>
    <w:rsid w:val="00F23785"/>
    <w:rsid w:val="00F25277"/>
    <w:rsid w:val="00F257F5"/>
    <w:rsid w:val="00F26C05"/>
    <w:rsid w:val="00F32573"/>
    <w:rsid w:val="00F33A81"/>
    <w:rsid w:val="00F34B3A"/>
    <w:rsid w:val="00F34D2C"/>
    <w:rsid w:val="00F3665C"/>
    <w:rsid w:val="00F42CC0"/>
    <w:rsid w:val="00F42E57"/>
    <w:rsid w:val="00F43554"/>
    <w:rsid w:val="00F44C61"/>
    <w:rsid w:val="00F4587B"/>
    <w:rsid w:val="00F476D1"/>
    <w:rsid w:val="00F50D54"/>
    <w:rsid w:val="00F51EE4"/>
    <w:rsid w:val="00F536E9"/>
    <w:rsid w:val="00F54682"/>
    <w:rsid w:val="00F5597A"/>
    <w:rsid w:val="00F6131C"/>
    <w:rsid w:val="00F61592"/>
    <w:rsid w:val="00F615DB"/>
    <w:rsid w:val="00F627D0"/>
    <w:rsid w:val="00F62E0A"/>
    <w:rsid w:val="00F6338B"/>
    <w:rsid w:val="00F6393D"/>
    <w:rsid w:val="00F651E5"/>
    <w:rsid w:val="00F65C1C"/>
    <w:rsid w:val="00F66B12"/>
    <w:rsid w:val="00F67AFB"/>
    <w:rsid w:val="00F70A2A"/>
    <w:rsid w:val="00F716F3"/>
    <w:rsid w:val="00F74F7B"/>
    <w:rsid w:val="00F76742"/>
    <w:rsid w:val="00F7775E"/>
    <w:rsid w:val="00F825EE"/>
    <w:rsid w:val="00F85209"/>
    <w:rsid w:val="00F86B39"/>
    <w:rsid w:val="00F87633"/>
    <w:rsid w:val="00F87F3B"/>
    <w:rsid w:val="00F910D0"/>
    <w:rsid w:val="00F92D98"/>
    <w:rsid w:val="00F968DD"/>
    <w:rsid w:val="00F96931"/>
    <w:rsid w:val="00FA6455"/>
    <w:rsid w:val="00FB10FA"/>
    <w:rsid w:val="00FB11B5"/>
    <w:rsid w:val="00FB11F3"/>
    <w:rsid w:val="00FB3D59"/>
    <w:rsid w:val="00FB4920"/>
    <w:rsid w:val="00FB70F5"/>
    <w:rsid w:val="00FB7AF3"/>
    <w:rsid w:val="00FC016D"/>
    <w:rsid w:val="00FD3C6E"/>
    <w:rsid w:val="00FD4A23"/>
    <w:rsid w:val="00FD5862"/>
    <w:rsid w:val="00FD6B4E"/>
    <w:rsid w:val="00FE1091"/>
    <w:rsid w:val="00FE1270"/>
    <w:rsid w:val="00FE15BE"/>
    <w:rsid w:val="00FE2435"/>
    <w:rsid w:val="00FE3495"/>
    <w:rsid w:val="00FE403D"/>
    <w:rsid w:val="00FE601B"/>
    <w:rsid w:val="00FE66AB"/>
    <w:rsid w:val="00FF1FDA"/>
    <w:rsid w:val="00FF23F6"/>
    <w:rsid w:val="00FF6220"/>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3146"/>
    <w:pPr>
      <w:keepNext/>
      <w:spacing w:before="100" w:beforeAutospacing="1" w:after="100" w:afterAutospacing="1"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6E7042"/>
    <w:pPr>
      <w:keepNext/>
      <w:spacing w:after="0" w:line="240" w:lineRule="auto"/>
      <w:outlineLvl w:val="1"/>
    </w:pPr>
    <w:rPr>
      <w:rFonts w:ascii="Times New Roman" w:hAnsi="Times New Roman"/>
      <w:b/>
      <w:sz w:val="24"/>
      <w:szCs w:val="24"/>
      <w:u w:val="single"/>
    </w:rPr>
  </w:style>
  <w:style w:type="paragraph" w:styleId="Heading3">
    <w:name w:val="heading 3"/>
    <w:basedOn w:val="Normal"/>
    <w:next w:val="Normal"/>
    <w:link w:val="Heading3Char"/>
    <w:uiPriority w:val="9"/>
    <w:unhideWhenUsed/>
    <w:qFormat/>
    <w:rsid w:val="000D7CE8"/>
    <w:pPr>
      <w:keepNext/>
      <w:outlineLvl w:val="2"/>
    </w:pPr>
    <w:rPr>
      <w:rFonts w:ascii="Times New Roman" w:hAnsi="Times New Roman" w:cs="Times New Roman"/>
      <w:b/>
      <w:u w:val="single"/>
    </w:rPr>
  </w:style>
  <w:style w:type="paragraph" w:styleId="Heading4">
    <w:name w:val="heading 4"/>
    <w:basedOn w:val="Normal"/>
    <w:next w:val="Normal"/>
    <w:link w:val="Heading4Char"/>
    <w:uiPriority w:val="9"/>
    <w:unhideWhenUsed/>
    <w:qFormat/>
    <w:rsid w:val="00593A32"/>
    <w:pPr>
      <w:keepNext/>
      <w:autoSpaceDE w:val="0"/>
      <w:autoSpaceDN w:val="0"/>
      <w:adjustRightInd w:val="0"/>
      <w:spacing w:after="0" w:line="240" w:lineRule="auto"/>
      <w:outlineLvl w:val="3"/>
    </w:pPr>
    <w:rPr>
      <w:rFonts w:ascii="Times New Roman" w:hAnsi="Times New Roman" w:cs="Times New Roman"/>
      <w:b/>
      <w:bCs/>
      <w:color w:val="000000"/>
      <w:u w:val="single"/>
    </w:rPr>
  </w:style>
  <w:style w:type="paragraph" w:styleId="Heading5">
    <w:name w:val="heading 5"/>
    <w:basedOn w:val="Normal"/>
    <w:link w:val="Heading5Char"/>
    <w:uiPriority w:val="9"/>
    <w:qFormat/>
    <w:rsid w:val="003564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4838B4"/>
    <w:pPr>
      <w:keepNext/>
      <w:spacing w:before="100" w:beforeAutospacing="1" w:after="100" w:afterAutospacing="1" w:line="240" w:lineRule="auto"/>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1F9"/>
    <w:rPr>
      <w:b/>
      <w:bCs/>
    </w:rPr>
  </w:style>
  <w:style w:type="paragraph" w:styleId="ListParagraph">
    <w:name w:val="List Paragraph"/>
    <w:basedOn w:val="Normal"/>
    <w:uiPriority w:val="34"/>
    <w:qFormat/>
    <w:rsid w:val="00C71FF6"/>
    <w:pPr>
      <w:ind w:left="720"/>
      <w:contextualSpacing/>
    </w:pPr>
  </w:style>
  <w:style w:type="character" w:customStyle="1" w:styleId="Heading5Char">
    <w:name w:val="Heading 5 Char"/>
    <w:basedOn w:val="DefaultParagraphFont"/>
    <w:link w:val="Heading5"/>
    <w:uiPriority w:val="9"/>
    <w:rsid w:val="00356414"/>
    <w:rPr>
      <w:rFonts w:ascii="Times New Roman" w:eastAsia="Times New Roman" w:hAnsi="Times New Roman" w:cs="Times New Roman"/>
      <w:b/>
      <w:bCs/>
      <w:sz w:val="20"/>
      <w:szCs w:val="20"/>
    </w:rPr>
  </w:style>
  <w:style w:type="paragraph" w:styleId="NoSpacing">
    <w:name w:val="No Spacing"/>
    <w:uiPriority w:val="1"/>
    <w:qFormat/>
    <w:rsid w:val="003E31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08"/>
  </w:style>
  <w:style w:type="paragraph" w:styleId="BalloonText">
    <w:name w:val="Balloon Text"/>
    <w:basedOn w:val="Normal"/>
    <w:link w:val="BalloonTextChar"/>
    <w:uiPriority w:val="99"/>
    <w:semiHidden/>
    <w:unhideWhenUsed/>
    <w:rsid w:val="003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08"/>
    <w:rPr>
      <w:rFonts w:ascii="Tahoma" w:hAnsi="Tahoma" w:cs="Tahoma"/>
      <w:sz w:val="16"/>
      <w:szCs w:val="16"/>
    </w:rPr>
  </w:style>
  <w:style w:type="table" w:styleId="TableGrid">
    <w:name w:val="Table Grid"/>
    <w:basedOn w:val="TableNormal"/>
    <w:uiPriority w:val="59"/>
    <w:rsid w:val="00A324D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047D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47D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30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680"/>
    <w:rPr>
      <w:rFonts w:ascii="Courier New" w:eastAsia="Times New Roman" w:hAnsi="Courier New" w:cs="Courier New"/>
      <w:sz w:val="20"/>
      <w:szCs w:val="20"/>
    </w:rPr>
  </w:style>
  <w:style w:type="paragraph" w:styleId="BodyTextIndent3">
    <w:name w:val="Body Text Indent 3"/>
    <w:basedOn w:val="Normal"/>
    <w:link w:val="BodyTextIndent3Char"/>
    <w:rsid w:val="008A13D2"/>
    <w:pPr>
      <w:spacing w:after="0" w:line="240" w:lineRule="atLeast"/>
      <w:ind w:left="612" w:hanging="61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13D2"/>
    <w:rPr>
      <w:rFonts w:ascii="Times New Roman" w:eastAsia="Times New Roman" w:hAnsi="Times New Roman" w:cs="Times New Roman"/>
      <w:sz w:val="24"/>
      <w:szCs w:val="24"/>
    </w:rPr>
  </w:style>
  <w:style w:type="paragraph" w:customStyle="1" w:styleId="Default">
    <w:name w:val="Default"/>
    <w:rsid w:val="006D51D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ommentText">
    <w:name w:val="annotation text"/>
    <w:basedOn w:val="Normal"/>
    <w:link w:val="CommentTextChar"/>
    <w:uiPriority w:val="99"/>
    <w:unhideWhenUsed/>
    <w:rsid w:val="00A2065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2065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79DF"/>
    <w:rPr>
      <w:sz w:val="16"/>
      <w:szCs w:val="16"/>
    </w:rPr>
  </w:style>
  <w:style w:type="paragraph" w:styleId="CommentSubject">
    <w:name w:val="annotation subject"/>
    <w:basedOn w:val="CommentText"/>
    <w:next w:val="CommentText"/>
    <w:link w:val="CommentSubjectChar"/>
    <w:uiPriority w:val="99"/>
    <w:semiHidden/>
    <w:unhideWhenUsed/>
    <w:rsid w:val="00E679D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79DF"/>
    <w:rPr>
      <w:rFonts w:ascii="Calibri" w:eastAsia="Calibri" w:hAnsi="Calibri" w:cs="Times New Roman"/>
      <w:b/>
      <w:bCs/>
      <w:sz w:val="20"/>
      <w:szCs w:val="20"/>
    </w:rPr>
  </w:style>
  <w:style w:type="character" w:styleId="Emphasis">
    <w:name w:val="Emphasis"/>
    <w:basedOn w:val="DefaultParagraphFont"/>
    <w:uiPriority w:val="20"/>
    <w:qFormat/>
    <w:rsid w:val="00A54FB6"/>
    <w:rPr>
      <w:i/>
      <w:iCs/>
    </w:rPr>
  </w:style>
  <w:style w:type="character" w:customStyle="1" w:styleId="apple-converted-space">
    <w:name w:val="apple-converted-space"/>
    <w:basedOn w:val="DefaultParagraphFont"/>
    <w:rsid w:val="00A54FB6"/>
  </w:style>
  <w:style w:type="character" w:styleId="Hyperlink">
    <w:name w:val="Hyperlink"/>
    <w:basedOn w:val="DefaultParagraphFont"/>
    <w:semiHidden/>
    <w:unhideWhenUsed/>
    <w:rsid w:val="00312292"/>
    <w:rPr>
      <w:color w:val="0000FF"/>
      <w:u w:val="single"/>
    </w:rPr>
  </w:style>
  <w:style w:type="character" w:customStyle="1" w:styleId="Heading1Char">
    <w:name w:val="Heading 1 Char"/>
    <w:basedOn w:val="DefaultParagraphFont"/>
    <w:link w:val="Heading1"/>
    <w:uiPriority w:val="9"/>
    <w:rsid w:val="0001314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6E7042"/>
    <w:rPr>
      <w:rFonts w:ascii="Times New Roman" w:hAnsi="Times New Roman"/>
      <w:b/>
      <w:sz w:val="24"/>
      <w:szCs w:val="24"/>
      <w:u w:val="single"/>
    </w:rPr>
  </w:style>
  <w:style w:type="character" w:customStyle="1" w:styleId="Heading3Char">
    <w:name w:val="Heading 3 Char"/>
    <w:basedOn w:val="DefaultParagraphFont"/>
    <w:link w:val="Heading3"/>
    <w:uiPriority w:val="9"/>
    <w:rsid w:val="000D7CE8"/>
    <w:rPr>
      <w:rFonts w:ascii="Times New Roman" w:hAnsi="Times New Roman" w:cs="Times New Roman"/>
      <w:b/>
      <w:u w:val="single"/>
    </w:rPr>
  </w:style>
  <w:style w:type="character" w:customStyle="1" w:styleId="Heading4Char">
    <w:name w:val="Heading 4 Char"/>
    <w:basedOn w:val="DefaultParagraphFont"/>
    <w:link w:val="Heading4"/>
    <w:uiPriority w:val="9"/>
    <w:rsid w:val="00593A32"/>
    <w:rPr>
      <w:rFonts w:ascii="Times New Roman" w:hAnsi="Times New Roman" w:cs="Times New Roman"/>
      <w:b/>
      <w:bCs/>
      <w:color w:val="000000"/>
      <w:u w:val="single"/>
    </w:rPr>
  </w:style>
  <w:style w:type="character" w:customStyle="1" w:styleId="Heading6Char">
    <w:name w:val="Heading 6 Char"/>
    <w:basedOn w:val="DefaultParagraphFont"/>
    <w:link w:val="Heading6"/>
    <w:uiPriority w:val="9"/>
    <w:rsid w:val="004838B4"/>
    <w:rPr>
      <w:rFonts w:ascii="Times New Roman" w:eastAsia="Times New Roman" w:hAnsi="Times New Roman" w:cs="Times New Roman"/>
      <w:b/>
    </w:rPr>
  </w:style>
  <w:style w:type="character" w:styleId="FollowedHyperlink">
    <w:name w:val="FollowedHyperlink"/>
    <w:basedOn w:val="DefaultParagraphFont"/>
    <w:uiPriority w:val="99"/>
    <w:semiHidden/>
    <w:unhideWhenUsed/>
    <w:rsid w:val="004E5292"/>
    <w:rPr>
      <w:color w:val="800080" w:themeColor="followedHyperlink"/>
      <w:u w:val="single"/>
    </w:rPr>
  </w:style>
  <w:style w:type="paragraph" w:customStyle="1" w:styleId="StyleHeading3TimesNewRoman16ptAuto">
    <w:name w:val="Style Heading 3 + Times New Roman 16 pt Auto"/>
    <w:basedOn w:val="Heading3"/>
    <w:qFormat/>
    <w:rsid w:val="000F7947"/>
    <w:pPr>
      <w:keepLines/>
      <w:spacing w:after="0" w:line="240" w:lineRule="auto"/>
    </w:pPr>
    <w:rPr>
      <w:rFonts w:eastAsia="MS Gothic"/>
      <w:bCs/>
      <w:sz w:val="24"/>
      <w:szCs w:val="24"/>
      <w:u w:val="none"/>
    </w:rPr>
  </w:style>
  <w:style w:type="paragraph" w:styleId="BodyText">
    <w:name w:val="Body Text"/>
    <w:basedOn w:val="Normal"/>
    <w:link w:val="BodyTextChar"/>
    <w:uiPriority w:val="99"/>
    <w:unhideWhenUsed/>
    <w:rsid w:val="007E5C1B"/>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7E5C1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3146"/>
    <w:pPr>
      <w:keepNext/>
      <w:spacing w:before="100" w:beforeAutospacing="1" w:after="100" w:afterAutospacing="1"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6E7042"/>
    <w:pPr>
      <w:keepNext/>
      <w:spacing w:after="0" w:line="240" w:lineRule="auto"/>
      <w:outlineLvl w:val="1"/>
    </w:pPr>
    <w:rPr>
      <w:rFonts w:ascii="Times New Roman" w:hAnsi="Times New Roman"/>
      <w:b/>
      <w:sz w:val="24"/>
      <w:szCs w:val="24"/>
      <w:u w:val="single"/>
    </w:rPr>
  </w:style>
  <w:style w:type="paragraph" w:styleId="Heading3">
    <w:name w:val="heading 3"/>
    <w:basedOn w:val="Normal"/>
    <w:next w:val="Normal"/>
    <w:link w:val="Heading3Char"/>
    <w:uiPriority w:val="9"/>
    <w:unhideWhenUsed/>
    <w:qFormat/>
    <w:rsid w:val="000D7CE8"/>
    <w:pPr>
      <w:keepNext/>
      <w:outlineLvl w:val="2"/>
    </w:pPr>
    <w:rPr>
      <w:rFonts w:ascii="Times New Roman" w:hAnsi="Times New Roman" w:cs="Times New Roman"/>
      <w:b/>
      <w:u w:val="single"/>
    </w:rPr>
  </w:style>
  <w:style w:type="paragraph" w:styleId="Heading4">
    <w:name w:val="heading 4"/>
    <w:basedOn w:val="Normal"/>
    <w:next w:val="Normal"/>
    <w:link w:val="Heading4Char"/>
    <w:uiPriority w:val="9"/>
    <w:unhideWhenUsed/>
    <w:qFormat/>
    <w:rsid w:val="00593A32"/>
    <w:pPr>
      <w:keepNext/>
      <w:autoSpaceDE w:val="0"/>
      <w:autoSpaceDN w:val="0"/>
      <w:adjustRightInd w:val="0"/>
      <w:spacing w:after="0" w:line="240" w:lineRule="auto"/>
      <w:outlineLvl w:val="3"/>
    </w:pPr>
    <w:rPr>
      <w:rFonts w:ascii="Times New Roman" w:hAnsi="Times New Roman" w:cs="Times New Roman"/>
      <w:b/>
      <w:bCs/>
      <w:color w:val="000000"/>
      <w:u w:val="single"/>
    </w:rPr>
  </w:style>
  <w:style w:type="paragraph" w:styleId="Heading5">
    <w:name w:val="heading 5"/>
    <w:basedOn w:val="Normal"/>
    <w:link w:val="Heading5Char"/>
    <w:uiPriority w:val="9"/>
    <w:qFormat/>
    <w:rsid w:val="003564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4838B4"/>
    <w:pPr>
      <w:keepNext/>
      <w:spacing w:before="100" w:beforeAutospacing="1" w:after="100" w:afterAutospacing="1" w:line="240" w:lineRule="auto"/>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1F9"/>
    <w:rPr>
      <w:b/>
      <w:bCs/>
    </w:rPr>
  </w:style>
  <w:style w:type="paragraph" w:styleId="ListParagraph">
    <w:name w:val="List Paragraph"/>
    <w:basedOn w:val="Normal"/>
    <w:uiPriority w:val="34"/>
    <w:qFormat/>
    <w:rsid w:val="00C71FF6"/>
    <w:pPr>
      <w:ind w:left="720"/>
      <w:contextualSpacing/>
    </w:pPr>
  </w:style>
  <w:style w:type="character" w:customStyle="1" w:styleId="Heading5Char">
    <w:name w:val="Heading 5 Char"/>
    <w:basedOn w:val="DefaultParagraphFont"/>
    <w:link w:val="Heading5"/>
    <w:uiPriority w:val="9"/>
    <w:rsid w:val="00356414"/>
    <w:rPr>
      <w:rFonts w:ascii="Times New Roman" w:eastAsia="Times New Roman" w:hAnsi="Times New Roman" w:cs="Times New Roman"/>
      <w:b/>
      <w:bCs/>
      <w:sz w:val="20"/>
      <w:szCs w:val="20"/>
    </w:rPr>
  </w:style>
  <w:style w:type="paragraph" w:styleId="NoSpacing">
    <w:name w:val="No Spacing"/>
    <w:uiPriority w:val="1"/>
    <w:qFormat/>
    <w:rsid w:val="003E31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08"/>
  </w:style>
  <w:style w:type="paragraph" w:styleId="Footer">
    <w:name w:val="footer"/>
    <w:basedOn w:val="Normal"/>
    <w:link w:val="FooterChar"/>
    <w:uiPriority w:val="99"/>
    <w:unhideWhenUsed/>
    <w:rsid w:val="0030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08"/>
  </w:style>
  <w:style w:type="paragraph" w:styleId="BalloonText">
    <w:name w:val="Balloon Text"/>
    <w:basedOn w:val="Normal"/>
    <w:link w:val="BalloonTextChar"/>
    <w:uiPriority w:val="99"/>
    <w:semiHidden/>
    <w:unhideWhenUsed/>
    <w:rsid w:val="0030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08"/>
    <w:rPr>
      <w:rFonts w:ascii="Tahoma" w:hAnsi="Tahoma" w:cs="Tahoma"/>
      <w:sz w:val="16"/>
      <w:szCs w:val="16"/>
    </w:rPr>
  </w:style>
  <w:style w:type="table" w:styleId="TableGrid">
    <w:name w:val="Table Grid"/>
    <w:basedOn w:val="TableNormal"/>
    <w:uiPriority w:val="59"/>
    <w:rsid w:val="00A324D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047D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047D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30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680"/>
    <w:rPr>
      <w:rFonts w:ascii="Courier New" w:eastAsia="Times New Roman" w:hAnsi="Courier New" w:cs="Courier New"/>
      <w:sz w:val="20"/>
      <w:szCs w:val="20"/>
    </w:rPr>
  </w:style>
  <w:style w:type="paragraph" w:styleId="BodyTextIndent3">
    <w:name w:val="Body Text Indent 3"/>
    <w:basedOn w:val="Normal"/>
    <w:link w:val="BodyTextIndent3Char"/>
    <w:rsid w:val="008A13D2"/>
    <w:pPr>
      <w:spacing w:after="0" w:line="240" w:lineRule="atLeast"/>
      <w:ind w:left="612" w:hanging="61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13D2"/>
    <w:rPr>
      <w:rFonts w:ascii="Times New Roman" w:eastAsia="Times New Roman" w:hAnsi="Times New Roman" w:cs="Times New Roman"/>
      <w:sz w:val="24"/>
      <w:szCs w:val="24"/>
    </w:rPr>
  </w:style>
  <w:style w:type="paragraph" w:customStyle="1" w:styleId="Default">
    <w:name w:val="Default"/>
    <w:rsid w:val="006D51D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CommentText">
    <w:name w:val="annotation text"/>
    <w:basedOn w:val="Normal"/>
    <w:link w:val="CommentTextChar"/>
    <w:uiPriority w:val="99"/>
    <w:unhideWhenUsed/>
    <w:rsid w:val="00A2065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2065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79DF"/>
    <w:rPr>
      <w:sz w:val="16"/>
      <w:szCs w:val="16"/>
    </w:rPr>
  </w:style>
  <w:style w:type="paragraph" w:styleId="CommentSubject">
    <w:name w:val="annotation subject"/>
    <w:basedOn w:val="CommentText"/>
    <w:next w:val="CommentText"/>
    <w:link w:val="CommentSubjectChar"/>
    <w:uiPriority w:val="99"/>
    <w:semiHidden/>
    <w:unhideWhenUsed/>
    <w:rsid w:val="00E679DF"/>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79DF"/>
    <w:rPr>
      <w:rFonts w:ascii="Calibri" w:eastAsia="Calibri" w:hAnsi="Calibri" w:cs="Times New Roman"/>
      <w:b/>
      <w:bCs/>
      <w:sz w:val="20"/>
      <w:szCs w:val="20"/>
    </w:rPr>
  </w:style>
  <w:style w:type="character" w:styleId="Emphasis">
    <w:name w:val="Emphasis"/>
    <w:basedOn w:val="DefaultParagraphFont"/>
    <w:uiPriority w:val="20"/>
    <w:qFormat/>
    <w:rsid w:val="00A54FB6"/>
    <w:rPr>
      <w:i/>
      <w:iCs/>
    </w:rPr>
  </w:style>
  <w:style w:type="character" w:customStyle="1" w:styleId="apple-converted-space">
    <w:name w:val="apple-converted-space"/>
    <w:basedOn w:val="DefaultParagraphFont"/>
    <w:rsid w:val="00A54FB6"/>
  </w:style>
  <w:style w:type="character" w:styleId="Hyperlink">
    <w:name w:val="Hyperlink"/>
    <w:basedOn w:val="DefaultParagraphFont"/>
    <w:semiHidden/>
    <w:unhideWhenUsed/>
    <w:rsid w:val="00312292"/>
    <w:rPr>
      <w:color w:val="0000FF"/>
      <w:u w:val="single"/>
    </w:rPr>
  </w:style>
  <w:style w:type="character" w:customStyle="1" w:styleId="Heading1Char">
    <w:name w:val="Heading 1 Char"/>
    <w:basedOn w:val="DefaultParagraphFont"/>
    <w:link w:val="Heading1"/>
    <w:uiPriority w:val="9"/>
    <w:rsid w:val="0001314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6E7042"/>
    <w:rPr>
      <w:rFonts w:ascii="Times New Roman" w:hAnsi="Times New Roman"/>
      <w:b/>
      <w:sz w:val="24"/>
      <w:szCs w:val="24"/>
      <w:u w:val="single"/>
    </w:rPr>
  </w:style>
  <w:style w:type="character" w:customStyle="1" w:styleId="Heading3Char">
    <w:name w:val="Heading 3 Char"/>
    <w:basedOn w:val="DefaultParagraphFont"/>
    <w:link w:val="Heading3"/>
    <w:uiPriority w:val="9"/>
    <w:rsid w:val="000D7CE8"/>
    <w:rPr>
      <w:rFonts w:ascii="Times New Roman" w:hAnsi="Times New Roman" w:cs="Times New Roman"/>
      <w:b/>
      <w:u w:val="single"/>
    </w:rPr>
  </w:style>
  <w:style w:type="character" w:customStyle="1" w:styleId="Heading4Char">
    <w:name w:val="Heading 4 Char"/>
    <w:basedOn w:val="DefaultParagraphFont"/>
    <w:link w:val="Heading4"/>
    <w:uiPriority w:val="9"/>
    <w:rsid w:val="00593A32"/>
    <w:rPr>
      <w:rFonts w:ascii="Times New Roman" w:hAnsi="Times New Roman" w:cs="Times New Roman"/>
      <w:b/>
      <w:bCs/>
      <w:color w:val="000000"/>
      <w:u w:val="single"/>
    </w:rPr>
  </w:style>
  <w:style w:type="character" w:customStyle="1" w:styleId="Heading6Char">
    <w:name w:val="Heading 6 Char"/>
    <w:basedOn w:val="DefaultParagraphFont"/>
    <w:link w:val="Heading6"/>
    <w:uiPriority w:val="9"/>
    <w:rsid w:val="004838B4"/>
    <w:rPr>
      <w:rFonts w:ascii="Times New Roman" w:eastAsia="Times New Roman" w:hAnsi="Times New Roman" w:cs="Times New Roman"/>
      <w:b/>
    </w:rPr>
  </w:style>
  <w:style w:type="character" w:styleId="FollowedHyperlink">
    <w:name w:val="FollowedHyperlink"/>
    <w:basedOn w:val="DefaultParagraphFont"/>
    <w:uiPriority w:val="99"/>
    <w:semiHidden/>
    <w:unhideWhenUsed/>
    <w:rsid w:val="004E5292"/>
    <w:rPr>
      <w:color w:val="800080" w:themeColor="followedHyperlink"/>
      <w:u w:val="single"/>
    </w:rPr>
  </w:style>
  <w:style w:type="paragraph" w:customStyle="1" w:styleId="StyleHeading3TimesNewRoman16ptAuto">
    <w:name w:val="Style Heading 3 + Times New Roman 16 pt Auto"/>
    <w:basedOn w:val="Heading3"/>
    <w:qFormat/>
    <w:rsid w:val="000F7947"/>
    <w:pPr>
      <w:keepLines/>
      <w:spacing w:after="0" w:line="240" w:lineRule="auto"/>
    </w:pPr>
    <w:rPr>
      <w:rFonts w:eastAsia="MS Gothic"/>
      <w:bCs/>
      <w:sz w:val="24"/>
      <w:szCs w:val="24"/>
      <w:u w:val="none"/>
    </w:rPr>
  </w:style>
  <w:style w:type="paragraph" w:styleId="BodyText">
    <w:name w:val="Body Text"/>
    <w:basedOn w:val="Normal"/>
    <w:link w:val="BodyTextChar"/>
    <w:uiPriority w:val="99"/>
    <w:unhideWhenUsed/>
    <w:rsid w:val="007E5C1B"/>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7E5C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461">
      <w:bodyDiv w:val="1"/>
      <w:marLeft w:val="0"/>
      <w:marRight w:val="0"/>
      <w:marTop w:val="0"/>
      <w:marBottom w:val="0"/>
      <w:divBdr>
        <w:top w:val="none" w:sz="0" w:space="0" w:color="auto"/>
        <w:left w:val="none" w:sz="0" w:space="0" w:color="auto"/>
        <w:bottom w:val="none" w:sz="0" w:space="0" w:color="auto"/>
        <w:right w:val="none" w:sz="0" w:space="0" w:color="auto"/>
      </w:divBdr>
    </w:div>
    <w:div w:id="95518614">
      <w:bodyDiv w:val="1"/>
      <w:marLeft w:val="0"/>
      <w:marRight w:val="0"/>
      <w:marTop w:val="0"/>
      <w:marBottom w:val="0"/>
      <w:divBdr>
        <w:top w:val="none" w:sz="0" w:space="0" w:color="auto"/>
        <w:left w:val="none" w:sz="0" w:space="0" w:color="auto"/>
        <w:bottom w:val="none" w:sz="0" w:space="0" w:color="auto"/>
        <w:right w:val="none" w:sz="0" w:space="0" w:color="auto"/>
      </w:divBdr>
    </w:div>
    <w:div w:id="107311010">
      <w:bodyDiv w:val="1"/>
      <w:marLeft w:val="0"/>
      <w:marRight w:val="0"/>
      <w:marTop w:val="0"/>
      <w:marBottom w:val="0"/>
      <w:divBdr>
        <w:top w:val="none" w:sz="0" w:space="0" w:color="auto"/>
        <w:left w:val="none" w:sz="0" w:space="0" w:color="auto"/>
        <w:bottom w:val="none" w:sz="0" w:space="0" w:color="auto"/>
        <w:right w:val="none" w:sz="0" w:space="0" w:color="auto"/>
      </w:divBdr>
    </w:div>
    <w:div w:id="319428408">
      <w:bodyDiv w:val="1"/>
      <w:marLeft w:val="0"/>
      <w:marRight w:val="0"/>
      <w:marTop w:val="0"/>
      <w:marBottom w:val="0"/>
      <w:divBdr>
        <w:top w:val="none" w:sz="0" w:space="0" w:color="auto"/>
        <w:left w:val="none" w:sz="0" w:space="0" w:color="auto"/>
        <w:bottom w:val="none" w:sz="0" w:space="0" w:color="auto"/>
        <w:right w:val="none" w:sz="0" w:space="0" w:color="auto"/>
      </w:divBdr>
    </w:div>
    <w:div w:id="346323461">
      <w:bodyDiv w:val="1"/>
      <w:marLeft w:val="0"/>
      <w:marRight w:val="0"/>
      <w:marTop w:val="0"/>
      <w:marBottom w:val="0"/>
      <w:divBdr>
        <w:top w:val="none" w:sz="0" w:space="0" w:color="auto"/>
        <w:left w:val="none" w:sz="0" w:space="0" w:color="auto"/>
        <w:bottom w:val="none" w:sz="0" w:space="0" w:color="auto"/>
        <w:right w:val="none" w:sz="0" w:space="0" w:color="auto"/>
      </w:divBdr>
    </w:div>
    <w:div w:id="383717992">
      <w:bodyDiv w:val="1"/>
      <w:marLeft w:val="0"/>
      <w:marRight w:val="0"/>
      <w:marTop w:val="0"/>
      <w:marBottom w:val="0"/>
      <w:divBdr>
        <w:top w:val="none" w:sz="0" w:space="0" w:color="auto"/>
        <w:left w:val="none" w:sz="0" w:space="0" w:color="auto"/>
        <w:bottom w:val="none" w:sz="0" w:space="0" w:color="auto"/>
        <w:right w:val="none" w:sz="0" w:space="0" w:color="auto"/>
      </w:divBdr>
    </w:div>
    <w:div w:id="511458569">
      <w:bodyDiv w:val="1"/>
      <w:marLeft w:val="0"/>
      <w:marRight w:val="0"/>
      <w:marTop w:val="0"/>
      <w:marBottom w:val="0"/>
      <w:divBdr>
        <w:top w:val="none" w:sz="0" w:space="0" w:color="auto"/>
        <w:left w:val="none" w:sz="0" w:space="0" w:color="auto"/>
        <w:bottom w:val="none" w:sz="0" w:space="0" w:color="auto"/>
        <w:right w:val="none" w:sz="0" w:space="0" w:color="auto"/>
      </w:divBdr>
    </w:div>
    <w:div w:id="754743918">
      <w:bodyDiv w:val="1"/>
      <w:marLeft w:val="0"/>
      <w:marRight w:val="0"/>
      <w:marTop w:val="0"/>
      <w:marBottom w:val="0"/>
      <w:divBdr>
        <w:top w:val="none" w:sz="0" w:space="0" w:color="auto"/>
        <w:left w:val="none" w:sz="0" w:space="0" w:color="auto"/>
        <w:bottom w:val="none" w:sz="0" w:space="0" w:color="auto"/>
        <w:right w:val="none" w:sz="0" w:space="0" w:color="auto"/>
      </w:divBdr>
      <w:divsChild>
        <w:div w:id="18895645">
          <w:marLeft w:val="907"/>
          <w:marRight w:val="0"/>
          <w:marTop w:val="0"/>
          <w:marBottom w:val="0"/>
          <w:divBdr>
            <w:top w:val="none" w:sz="0" w:space="0" w:color="auto"/>
            <w:left w:val="none" w:sz="0" w:space="0" w:color="auto"/>
            <w:bottom w:val="none" w:sz="0" w:space="0" w:color="auto"/>
            <w:right w:val="none" w:sz="0" w:space="0" w:color="auto"/>
          </w:divBdr>
        </w:div>
        <w:div w:id="421754899">
          <w:marLeft w:val="907"/>
          <w:marRight w:val="0"/>
          <w:marTop w:val="0"/>
          <w:marBottom w:val="0"/>
          <w:divBdr>
            <w:top w:val="none" w:sz="0" w:space="0" w:color="auto"/>
            <w:left w:val="none" w:sz="0" w:space="0" w:color="auto"/>
            <w:bottom w:val="none" w:sz="0" w:space="0" w:color="auto"/>
            <w:right w:val="none" w:sz="0" w:space="0" w:color="auto"/>
          </w:divBdr>
        </w:div>
      </w:divsChild>
    </w:div>
    <w:div w:id="865756874">
      <w:bodyDiv w:val="1"/>
      <w:marLeft w:val="0"/>
      <w:marRight w:val="0"/>
      <w:marTop w:val="0"/>
      <w:marBottom w:val="0"/>
      <w:divBdr>
        <w:top w:val="none" w:sz="0" w:space="0" w:color="auto"/>
        <w:left w:val="none" w:sz="0" w:space="0" w:color="auto"/>
        <w:bottom w:val="none" w:sz="0" w:space="0" w:color="auto"/>
        <w:right w:val="none" w:sz="0" w:space="0" w:color="auto"/>
      </w:divBdr>
    </w:div>
    <w:div w:id="886602298">
      <w:bodyDiv w:val="1"/>
      <w:marLeft w:val="0"/>
      <w:marRight w:val="0"/>
      <w:marTop w:val="0"/>
      <w:marBottom w:val="0"/>
      <w:divBdr>
        <w:top w:val="none" w:sz="0" w:space="0" w:color="auto"/>
        <w:left w:val="none" w:sz="0" w:space="0" w:color="auto"/>
        <w:bottom w:val="none" w:sz="0" w:space="0" w:color="auto"/>
        <w:right w:val="none" w:sz="0" w:space="0" w:color="auto"/>
      </w:divBdr>
      <w:divsChild>
        <w:div w:id="1394353472">
          <w:marLeft w:val="734"/>
          <w:marRight w:val="0"/>
          <w:marTop w:val="0"/>
          <w:marBottom w:val="0"/>
          <w:divBdr>
            <w:top w:val="none" w:sz="0" w:space="0" w:color="auto"/>
            <w:left w:val="none" w:sz="0" w:space="0" w:color="auto"/>
            <w:bottom w:val="none" w:sz="0" w:space="0" w:color="auto"/>
            <w:right w:val="none" w:sz="0" w:space="0" w:color="auto"/>
          </w:divBdr>
        </w:div>
        <w:div w:id="722949464">
          <w:marLeft w:val="734"/>
          <w:marRight w:val="0"/>
          <w:marTop w:val="0"/>
          <w:marBottom w:val="0"/>
          <w:divBdr>
            <w:top w:val="none" w:sz="0" w:space="0" w:color="auto"/>
            <w:left w:val="none" w:sz="0" w:space="0" w:color="auto"/>
            <w:bottom w:val="none" w:sz="0" w:space="0" w:color="auto"/>
            <w:right w:val="none" w:sz="0" w:space="0" w:color="auto"/>
          </w:divBdr>
        </w:div>
        <w:div w:id="1063485279">
          <w:marLeft w:val="446"/>
          <w:marRight w:val="0"/>
          <w:marTop w:val="0"/>
          <w:marBottom w:val="0"/>
          <w:divBdr>
            <w:top w:val="none" w:sz="0" w:space="0" w:color="auto"/>
            <w:left w:val="none" w:sz="0" w:space="0" w:color="auto"/>
            <w:bottom w:val="none" w:sz="0" w:space="0" w:color="auto"/>
            <w:right w:val="none" w:sz="0" w:space="0" w:color="auto"/>
          </w:divBdr>
        </w:div>
        <w:div w:id="1387145897">
          <w:marLeft w:val="907"/>
          <w:marRight w:val="0"/>
          <w:marTop w:val="0"/>
          <w:marBottom w:val="0"/>
          <w:divBdr>
            <w:top w:val="none" w:sz="0" w:space="0" w:color="auto"/>
            <w:left w:val="none" w:sz="0" w:space="0" w:color="auto"/>
            <w:bottom w:val="none" w:sz="0" w:space="0" w:color="auto"/>
            <w:right w:val="none" w:sz="0" w:space="0" w:color="auto"/>
          </w:divBdr>
        </w:div>
      </w:divsChild>
    </w:div>
    <w:div w:id="1036004973">
      <w:bodyDiv w:val="1"/>
      <w:marLeft w:val="0"/>
      <w:marRight w:val="0"/>
      <w:marTop w:val="0"/>
      <w:marBottom w:val="0"/>
      <w:divBdr>
        <w:top w:val="none" w:sz="0" w:space="0" w:color="auto"/>
        <w:left w:val="none" w:sz="0" w:space="0" w:color="auto"/>
        <w:bottom w:val="none" w:sz="0" w:space="0" w:color="auto"/>
        <w:right w:val="none" w:sz="0" w:space="0" w:color="auto"/>
      </w:divBdr>
    </w:div>
    <w:div w:id="1089429835">
      <w:bodyDiv w:val="1"/>
      <w:marLeft w:val="0"/>
      <w:marRight w:val="0"/>
      <w:marTop w:val="0"/>
      <w:marBottom w:val="0"/>
      <w:divBdr>
        <w:top w:val="none" w:sz="0" w:space="0" w:color="auto"/>
        <w:left w:val="none" w:sz="0" w:space="0" w:color="auto"/>
        <w:bottom w:val="none" w:sz="0" w:space="0" w:color="auto"/>
        <w:right w:val="none" w:sz="0" w:space="0" w:color="auto"/>
      </w:divBdr>
    </w:div>
    <w:div w:id="1102804935">
      <w:bodyDiv w:val="1"/>
      <w:marLeft w:val="0"/>
      <w:marRight w:val="0"/>
      <w:marTop w:val="0"/>
      <w:marBottom w:val="0"/>
      <w:divBdr>
        <w:top w:val="none" w:sz="0" w:space="0" w:color="auto"/>
        <w:left w:val="none" w:sz="0" w:space="0" w:color="auto"/>
        <w:bottom w:val="none" w:sz="0" w:space="0" w:color="auto"/>
        <w:right w:val="none" w:sz="0" w:space="0" w:color="auto"/>
      </w:divBdr>
    </w:div>
    <w:div w:id="1103380055">
      <w:bodyDiv w:val="1"/>
      <w:marLeft w:val="0"/>
      <w:marRight w:val="0"/>
      <w:marTop w:val="0"/>
      <w:marBottom w:val="0"/>
      <w:divBdr>
        <w:top w:val="none" w:sz="0" w:space="0" w:color="auto"/>
        <w:left w:val="none" w:sz="0" w:space="0" w:color="auto"/>
        <w:bottom w:val="none" w:sz="0" w:space="0" w:color="auto"/>
        <w:right w:val="none" w:sz="0" w:space="0" w:color="auto"/>
      </w:divBdr>
    </w:div>
    <w:div w:id="1151142987">
      <w:bodyDiv w:val="1"/>
      <w:marLeft w:val="0"/>
      <w:marRight w:val="0"/>
      <w:marTop w:val="0"/>
      <w:marBottom w:val="0"/>
      <w:divBdr>
        <w:top w:val="none" w:sz="0" w:space="0" w:color="auto"/>
        <w:left w:val="none" w:sz="0" w:space="0" w:color="auto"/>
        <w:bottom w:val="none" w:sz="0" w:space="0" w:color="auto"/>
        <w:right w:val="none" w:sz="0" w:space="0" w:color="auto"/>
      </w:divBdr>
    </w:div>
    <w:div w:id="1187519264">
      <w:bodyDiv w:val="1"/>
      <w:marLeft w:val="0"/>
      <w:marRight w:val="0"/>
      <w:marTop w:val="0"/>
      <w:marBottom w:val="0"/>
      <w:divBdr>
        <w:top w:val="none" w:sz="0" w:space="0" w:color="auto"/>
        <w:left w:val="none" w:sz="0" w:space="0" w:color="auto"/>
        <w:bottom w:val="none" w:sz="0" w:space="0" w:color="auto"/>
        <w:right w:val="none" w:sz="0" w:space="0" w:color="auto"/>
      </w:divBdr>
    </w:div>
    <w:div w:id="1228029017">
      <w:bodyDiv w:val="1"/>
      <w:marLeft w:val="0"/>
      <w:marRight w:val="0"/>
      <w:marTop w:val="0"/>
      <w:marBottom w:val="0"/>
      <w:divBdr>
        <w:top w:val="none" w:sz="0" w:space="0" w:color="auto"/>
        <w:left w:val="none" w:sz="0" w:space="0" w:color="auto"/>
        <w:bottom w:val="none" w:sz="0" w:space="0" w:color="auto"/>
        <w:right w:val="none" w:sz="0" w:space="0" w:color="auto"/>
      </w:divBdr>
    </w:div>
    <w:div w:id="1270356914">
      <w:bodyDiv w:val="1"/>
      <w:marLeft w:val="0"/>
      <w:marRight w:val="0"/>
      <w:marTop w:val="0"/>
      <w:marBottom w:val="0"/>
      <w:divBdr>
        <w:top w:val="none" w:sz="0" w:space="0" w:color="auto"/>
        <w:left w:val="none" w:sz="0" w:space="0" w:color="auto"/>
        <w:bottom w:val="none" w:sz="0" w:space="0" w:color="auto"/>
        <w:right w:val="none" w:sz="0" w:space="0" w:color="auto"/>
      </w:divBdr>
    </w:div>
    <w:div w:id="1272199829">
      <w:bodyDiv w:val="1"/>
      <w:marLeft w:val="0"/>
      <w:marRight w:val="0"/>
      <w:marTop w:val="0"/>
      <w:marBottom w:val="0"/>
      <w:divBdr>
        <w:top w:val="none" w:sz="0" w:space="0" w:color="auto"/>
        <w:left w:val="none" w:sz="0" w:space="0" w:color="auto"/>
        <w:bottom w:val="none" w:sz="0" w:space="0" w:color="auto"/>
        <w:right w:val="none" w:sz="0" w:space="0" w:color="auto"/>
      </w:divBdr>
    </w:div>
    <w:div w:id="20170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B1B9-57ED-495A-B613-1820BD66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Ingalls, Katrina</cp:lastModifiedBy>
  <cp:revision>2</cp:revision>
  <cp:lastPrinted>2013-08-07T14:36:00Z</cp:lastPrinted>
  <dcterms:created xsi:type="dcterms:W3CDTF">2016-11-04T12:06:00Z</dcterms:created>
  <dcterms:modified xsi:type="dcterms:W3CDTF">2016-11-04T12:06:00Z</dcterms:modified>
</cp:coreProperties>
</file>