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41FCB" w14:textId="77777777" w:rsidR="001F3345" w:rsidRDefault="0000636B">
      <w:pPr>
        <w:widowControl/>
        <w:tabs>
          <w:tab w:val="left" w:pos="360"/>
          <w:tab w:val="left" w:pos="720"/>
          <w:tab w:val="left" w:pos="1080"/>
        </w:tabs>
        <w:jc w:val="center"/>
        <w:rPr>
          <w:rFonts w:ascii="Times New Roman" w:hAnsi="Times New Roman"/>
          <w:b/>
        </w:rPr>
      </w:pPr>
      <w:r w:rsidRPr="00600EEB">
        <w:rPr>
          <w:rFonts w:ascii="Times New Roman" w:hAnsi="Times New Roman"/>
          <w:b/>
          <w:szCs w:val="24"/>
        </w:rPr>
        <w:t xml:space="preserve">Supporting Statement </w:t>
      </w:r>
      <w:r w:rsidR="00101EFB">
        <w:rPr>
          <w:rFonts w:ascii="Times New Roman" w:hAnsi="Times New Roman"/>
          <w:b/>
          <w:szCs w:val="24"/>
        </w:rPr>
        <w:t>A</w:t>
      </w:r>
    </w:p>
    <w:p w14:paraId="64347DB8" w14:textId="77777777" w:rsidR="006E35DB" w:rsidRDefault="006E35DB">
      <w:pPr>
        <w:widowControl/>
        <w:tabs>
          <w:tab w:val="left" w:pos="360"/>
          <w:tab w:val="left" w:pos="720"/>
          <w:tab w:val="left" w:pos="1080"/>
        </w:tabs>
        <w:jc w:val="center"/>
        <w:rPr>
          <w:rFonts w:ascii="Times New Roman" w:hAnsi="Times New Roman"/>
          <w:b/>
        </w:rPr>
      </w:pPr>
      <w:r>
        <w:rPr>
          <w:rFonts w:ascii="Times New Roman" w:hAnsi="Times New Roman"/>
          <w:b/>
        </w:rPr>
        <w:t xml:space="preserve">30 CFR </w:t>
      </w:r>
      <w:r w:rsidR="000D082D">
        <w:rPr>
          <w:rFonts w:ascii="Times New Roman" w:hAnsi="Times New Roman"/>
          <w:b/>
        </w:rPr>
        <w:t xml:space="preserve">part </w:t>
      </w:r>
      <w:r>
        <w:rPr>
          <w:rFonts w:ascii="Times New Roman" w:hAnsi="Times New Roman"/>
          <w:b/>
        </w:rPr>
        <w:t xml:space="preserve">250, </w:t>
      </w:r>
      <w:r w:rsidR="000D082D">
        <w:rPr>
          <w:rFonts w:ascii="Times New Roman" w:hAnsi="Times New Roman"/>
          <w:b/>
        </w:rPr>
        <w:t>s</w:t>
      </w:r>
      <w:r>
        <w:rPr>
          <w:rFonts w:ascii="Times New Roman" w:hAnsi="Times New Roman"/>
          <w:b/>
        </w:rPr>
        <w:t xml:space="preserve">ubpart Q, Decommissioning </w:t>
      </w:r>
      <w:r w:rsidR="007C34E5">
        <w:rPr>
          <w:rFonts w:ascii="Times New Roman" w:hAnsi="Times New Roman"/>
          <w:b/>
        </w:rPr>
        <w:t xml:space="preserve">Costs for </w:t>
      </w:r>
      <w:r w:rsidR="00E965E0">
        <w:rPr>
          <w:rFonts w:ascii="Times New Roman" w:hAnsi="Times New Roman"/>
          <w:b/>
        </w:rPr>
        <w:t>Pipeline</w:t>
      </w:r>
      <w:r w:rsidR="007C34E5">
        <w:rPr>
          <w:rFonts w:ascii="Times New Roman" w:hAnsi="Times New Roman"/>
          <w:b/>
        </w:rPr>
        <w:t>s</w:t>
      </w:r>
      <w:r w:rsidR="00E965E0">
        <w:rPr>
          <w:rFonts w:ascii="Times New Roman" w:hAnsi="Times New Roman"/>
          <w:b/>
        </w:rPr>
        <w:t xml:space="preserve"> </w:t>
      </w:r>
    </w:p>
    <w:p w14:paraId="4CC7E6EA" w14:textId="77777777" w:rsidR="006E35DB" w:rsidRDefault="006E35DB">
      <w:pPr>
        <w:widowControl/>
        <w:tabs>
          <w:tab w:val="left" w:pos="360"/>
          <w:tab w:val="left" w:pos="720"/>
          <w:tab w:val="left" w:pos="1080"/>
        </w:tabs>
        <w:jc w:val="center"/>
        <w:rPr>
          <w:rFonts w:ascii="Times New Roman" w:hAnsi="Times New Roman"/>
          <w:b/>
        </w:rPr>
      </w:pPr>
      <w:r>
        <w:rPr>
          <w:rFonts w:ascii="Times New Roman" w:hAnsi="Times New Roman"/>
          <w:b/>
        </w:rPr>
        <w:t>OMB Control Number 101</w:t>
      </w:r>
      <w:r w:rsidR="00101EFB">
        <w:rPr>
          <w:rFonts w:ascii="Times New Roman" w:hAnsi="Times New Roman"/>
          <w:b/>
        </w:rPr>
        <w:t>4</w:t>
      </w:r>
      <w:r>
        <w:rPr>
          <w:rFonts w:ascii="Times New Roman" w:hAnsi="Times New Roman"/>
          <w:b/>
        </w:rPr>
        <w:t>-</w:t>
      </w:r>
      <w:r w:rsidR="00BD62E5" w:rsidRPr="00AD309F">
        <w:rPr>
          <w:rFonts w:ascii="Times New Roman" w:hAnsi="Times New Roman"/>
          <w:b/>
        </w:rPr>
        <w:t>NEW</w:t>
      </w:r>
    </w:p>
    <w:p w14:paraId="2BF28E81" w14:textId="77777777" w:rsidR="005E2711" w:rsidRDefault="005E2711">
      <w:pPr>
        <w:widowControl/>
        <w:tabs>
          <w:tab w:val="left" w:pos="360"/>
          <w:tab w:val="left" w:pos="720"/>
          <w:tab w:val="left" w:pos="1080"/>
        </w:tabs>
        <w:jc w:val="center"/>
        <w:rPr>
          <w:rFonts w:ascii="Times New Roman" w:hAnsi="Times New Roman"/>
          <w:b/>
        </w:rPr>
      </w:pPr>
      <w:r w:rsidRPr="005E2711">
        <w:rPr>
          <w:rFonts w:ascii="Times New Roman" w:hAnsi="Times New Roman"/>
          <w:b/>
        </w:rPr>
        <w:t xml:space="preserve">OMB Expiration Date:  </w:t>
      </w:r>
      <w:r w:rsidR="00BD62E5" w:rsidRPr="00AD309F">
        <w:rPr>
          <w:rFonts w:ascii="Times New Roman" w:hAnsi="Times New Roman"/>
          <w:b/>
        </w:rPr>
        <w:t>N</w:t>
      </w:r>
      <w:r w:rsidR="000D082D" w:rsidRPr="00AD309F">
        <w:rPr>
          <w:rFonts w:ascii="Times New Roman" w:hAnsi="Times New Roman"/>
          <w:b/>
        </w:rPr>
        <w:t>EW</w:t>
      </w:r>
    </w:p>
    <w:p w14:paraId="1351A922" w14:textId="77777777" w:rsidR="00101EFB" w:rsidRDefault="00101EFB" w:rsidP="0000636B">
      <w:pPr>
        <w:widowControl/>
        <w:tabs>
          <w:tab w:val="center" w:pos="4680"/>
        </w:tabs>
        <w:rPr>
          <w:rFonts w:ascii="Times New Roman" w:hAnsi="Times New Roman"/>
          <w:b/>
        </w:rPr>
      </w:pPr>
    </w:p>
    <w:p w14:paraId="3ED22EA8" w14:textId="77777777" w:rsidR="00241C6C" w:rsidRDefault="008F300C" w:rsidP="0000636B">
      <w:pPr>
        <w:widowControl/>
        <w:tabs>
          <w:tab w:val="center" w:pos="4680"/>
        </w:tabs>
        <w:rPr>
          <w:rFonts w:ascii="Arial" w:hAnsi="Arial" w:cs="Arial"/>
          <w:b/>
          <w:sz w:val="22"/>
          <w:szCs w:val="22"/>
        </w:rPr>
      </w:pPr>
      <w:r>
        <w:rPr>
          <w:rFonts w:ascii="Arial" w:hAnsi="Arial" w:cs="Arial"/>
          <w:b/>
          <w:sz w:val="22"/>
          <w:szCs w:val="22"/>
        </w:rPr>
        <w:t xml:space="preserve">Terms of Clearance  </w:t>
      </w:r>
    </w:p>
    <w:p w14:paraId="2054AA71" w14:textId="77777777" w:rsidR="00241C6C" w:rsidRDefault="00241C6C" w:rsidP="0000636B">
      <w:pPr>
        <w:widowControl/>
        <w:tabs>
          <w:tab w:val="center" w:pos="4680"/>
        </w:tabs>
        <w:rPr>
          <w:rFonts w:ascii="Arial" w:hAnsi="Arial" w:cs="Arial"/>
          <w:b/>
          <w:sz w:val="22"/>
          <w:szCs w:val="22"/>
        </w:rPr>
      </w:pPr>
    </w:p>
    <w:p w14:paraId="6B1B687F" w14:textId="77777777" w:rsidR="00E971BB" w:rsidRDefault="00E971BB" w:rsidP="00241C6C">
      <w:pPr>
        <w:widowControl/>
        <w:tabs>
          <w:tab w:val="center" w:pos="4680"/>
        </w:tabs>
        <w:rPr>
          <w:rFonts w:ascii="Times New Roman" w:hAnsi="Times New Roman"/>
          <w:szCs w:val="24"/>
        </w:rPr>
      </w:pPr>
      <w:r>
        <w:rPr>
          <w:rFonts w:ascii="Times New Roman" w:hAnsi="Times New Roman"/>
          <w:szCs w:val="24"/>
        </w:rPr>
        <w:t>None</w:t>
      </w:r>
    </w:p>
    <w:p w14:paraId="1584B9DD" w14:textId="77777777" w:rsidR="00241C6C" w:rsidRDefault="00241C6C" w:rsidP="00241C6C">
      <w:pPr>
        <w:widowControl/>
        <w:tabs>
          <w:tab w:val="center" w:pos="4680"/>
        </w:tabs>
        <w:rPr>
          <w:rFonts w:ascii="Times New Roman" w:hAnsi="Times New Roman"/>
          <w:szCs w:val="24"/>
        </w:rPr>
      </w:pPr>
    </w:p>
    <w:p w14:paraId="1FDB1227" w14:textId="77777777" w:rsidR="008F300C" w:rsidRPr="00F362C3" w:rsidRDefault="008F300C" w:rsidP="008F300C">
      <w:pPr>
        <w:widowControl/>
        <w:tabs>
          <w:tab w:val="center" w:pos="4680"/>
        </w:tabs>
        <w:rPr>
          <w:rFonts w:ascii="Arial" w:hAnsi="Arial" w:cs="Arial"/>
          <w:b/>
          <w:sz w:val="22"/>
          <w:szCs w:val="22"/>
        </w:rPr>
      </w:pPr>
      <w:r w:rsidRPr="00F362C3">
        <w:rPr>
          <w:rFonts w:ascii="Arial" w:hAnsi="Arial" w:cs="Arial"/>
          <w:b/>
          <w:sz w:val="22"/>
          <w:szCs w:val="22"/>
        </w:rPr>
        <w:t>General Instructions</w:t>
      </w:r>
    </w:p>
    <w:p w14:paraId="325424DB" w14:textId="77777777" w:rsidR="0000636B" w:rsidRDefault="0000636B" w:rsidP="0000636B">
      <w:pPr>
        <w:widowControl/>
        <w:tabs>
          <w:tab w:val="center" w:pos="4680"/>
        </w:tabs>
        <w:rPr>
          <w:rFonts w:ascii="Times New Roman" w:hAnsi="Times New Roman"/>
          <w:b/>
        </w:rPr>
      </w:pPr>
    </w:p>
    <w:p w14:paraId="6116B25C" w14:textId="77777777" w:rsidR="0000636B" w:rsidRDefault="00D01F3B" w:rsidP="0000636B">
      <w:pPr>
        <w:widowControl/>
        <w:tabs>
          <w:tab w:val="center" w:pos="4680"/>
        </w:tabs>
        <w:rPr>
          <w:rFonts w:ascii="Times New Roman" w:hAnsi="Times New Roman"/>
        </w:rPr>
      </w:pPr>
      <w:r w:rsidRPr="00D01F3B">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14:paraId="3EC5543B" w14:textId="77777777" w:rsidR="00D01F3B" w:rsidRDefault="00D01F3B" w:rsidP="0000636B">
      <w:pPr>
        <w:widowControl/>
        <w:tabs>
          <w:tab w:val="center" w:pos="4680"/>
        </w:tabs>
        <w:rPr>
          <w:rFonts w:ascii="Times New Roman" w:hAnsi="Times New Roman"/>
        </w:rPr>
      </w:pPr>
    </w:p>
    <w:p w14:paraId="333D28FC" w14:textId="77777777" w:rsidR="0000636B" w:rsidRPr="00F362C3" w:rsidRDefault="0000636B" w:rsidP="0000636B">
      <w:pPr>
        <w:widowControl/>
        <w:tabs>
          <w:tab w:val="center" w:pos="4680"/>
        </w:tabs>
        <w:rPr>
          <w:rFonts w:ascii="Arial" w:hAnsi="Arial" w:cs="Arial"/>
          <w:b/>
          <w:sz w:val="22"/>
          <w:szCs w:val="22"/>
        </w:rPr>
      </w:pPr>
      <w:r w:rsidRPr="00F362C3">
        <w:rPr>
          <w:rFonts w:ascii="Arial" w:hAnsi="Arial" w:cs="Arial"/>
          <w:b/>
          <w:sz w:val="22"/>
          <w:szCs w:val="22"/>
        </w:rPr>
        <w:t>Specific Instructions</w:t>
      </w:r>
    </w:p>
    <w:p w14:paraId="4C5A254F" w14:textId="77777777" w:rsidR="0000636B" w:rsidRDefault="0000636B" w:rsidP="0000636B">
      <w:pPr>
        <w:widowControl/>
        <w:tabs>
          <w:tab w:val="center" w:pos="4680"/>
        </w:tabs>
        <w:rPr>
          <w:rFonts w:ascii="Times New Roman" w:hAnsi="Times New Roman"/>
          <w:b/>
        </w:rPr>
      </w:pPr>
    </w:p>
    <w:p w14:paraId="395638C4" w14:textId="77777777" w:rsidR="0000636B" w:rsidRPr="00D01F3B" w:rsidRDefault="0000636B" w:rsidP="0000636B">
      <w:pPr>
        <w:widowControl/>
        <w:tabs>
          <w:tab w:val="left" w:pos="-1080"/>
          <w:tab w:val="left" w:pos="-720"/>
          <w:tab w:val="left" w:pos="360"/>
          <w:tab w:val="left" w:pos="720"/>
        </w:tabs>
        <w:rPr>
          <w:rFonts w:ascii="Times New Roman" w:hAnsi="Times New Roman"/>
          <w:b/>
        </w:rPr>
      </w:pPr>
      <w:r w:rsidRPr="00D01F3B">
        <w:rPr>
          <w:rFonts w:ascii="Times New Roman" w:hAnsi="Times New Roman"/>
          <w:b/>
        </w:rPr>
        <w:t>Justification</w:t>
      </w:r>
    </w:p>
    <w:p w14:paraId="3BCC94B7" w14:textId="77777777" w:rsidR="0000636B" w:rsidRPr="00EB51C3" w:rsidRDefault="0000636B" w:rsidP="0000636B">
      <w:pPr>
        <w:widowControl/>
        <w:tabs>
          <w:tab w:val="left" w:pos="-1080"/>
          <w:tab w:val="left" w:pos="-720"/>
          <w:tab w:val="left" w:pos="360"/>
          <w:tab w:val="left" w:pos="720"/>
        </w:tabs>
        <w:rPr>
          <w:rFonts w:ascii="Times New Roman" w:hAnsi="Times New Roman"/>
        </w:rPr>
      </w:pPr>
    </w:p>
    <w:p w14:paraId="3271FE55" w14:textId="77777777" w:rsidR="0000636B" w:rsidRDefault="0000636B" w:rsidP="0000636B">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14:paraId="5A36D227" w14:textId="77777777" w:rsidR="006E35DB" w:rsidRDefault="006E35DB">
      <w:pPr>
        <w:widowControl/>
        <w:tabs>
          <w:tab w:val="left" w:pos="360"/>
          <w:tab w:val="left" w:pos="720"/>
        </w:tabs>
        <w:rPr>
          <w:rFonts w:ascii="Times New Roman" w:hAnsi="Times New Roman"/>
        </w:rPr>
      </w:pPr>
    </w:p>
    <w:p w14:paraId="042902C1" w14:textId="77777777" w:rsidR="006C02DC" w:rsidRDefault="006C02DC" w:rsidP="006C02DC">
      <w:pPr>
        <w:widowControl/>
        <w:tabs>
          <w:tab w:val="left" w:pos="360"/>
          <w:tab w:val="left" w:pos="720"/>
        </w:tabs>
        <w:rPr>
          <w:rFonts w:ascii="Times New Roman" w:hAnsi="Times New Roman"/>
        </w:rPr>
      </w:pPr>
      <w:r w:rsidRPr="00B6049C">
        <w:rPr>
          <w:rFonts w:ascii="Times New Roman" w:hAnsi="Times New Roman"/>
        </w:rPr>
        <w:t xml:space="preserve">The Outer Continental Shelf (OCS) Lands Act, as amended (43 U.S.C. 1331 </w:t>
      </w:r>
      <w:r w:rsidRPr="00791E85">
        <w:rPr>
          <w:rFonts w:ascii="Times New Roman" w:hAnsi="Times New Roman"/>
          <w:i/>
        </w:rPr>
        <w:t>et seq</w:t>
      </w:r>
      <w:r w:rsidRPr="00B6049C">
        <w:rPr>
          <w:rFonts w:ascii="Times New Roman" w:hAnsi="Times New Roman"/>
        </w:rPr>
        <w:t xml:space="preserve">. and 43 U.S.C. 1801 </w:t>
      </w:r>
      <w:r w:rsidRPr="00791E85">
        <w:rPr>
          <w:rFonts w:ascii="Times New Roman" w:hAnsi="Times New Roman"/>
          <w:i/>
        </w:rPr>
        <w:t>et seq</w:t>
      </w:r>
      <w:r w:rsidRPr="00B6049C">
        <w:rPr>
          <w:rFonts w:ascii="Times New Roman" w:hAnsi="Times New Roman"/>
        </w:rPr>
        <w:t xml:space="preserve">.), authorizes the Secretary of the Interior to prescribe rules and regulations necessary for the administration of the leasing provisions of that Act related to mineral resources on the OCS.  </w:t>
      </w:r>
      <w:r w:rsidR="00E213E5" w:rsidRPr="00E213E5">
        <w:rPr>
          <w:rFonts w:ascii="Times New Roman" w:hAnsi="Times New Roman"/>
        </w:rPr>
        <w:t xml:space="preserve">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14:paraId="345B5EC3" w14:textId="77777777" w:rsidR="006C02DC" w:rsidRDefault="006C02DC" w:rsidP="006C02DC">
      <w:pPr>
        <w:widowControl/>
        <w:tabs>
          <w:tab w:val="left" w:pos="360"/>
          <w:tab w:val="left" w:pos="720"/>
        </w:tabs>
        <w:rPr>
          <w:rFonts w:ascii="Times New Roman" w:hAnsi="Times New Roman"/>
        </w:rPr>
      </w:pPr>
    </w:p>
    <w:p w14:paraId="304F1E9B" w14:textId="77777777" w:rsidR="00763513" w:rsidRPr="00763513" w:rsidRDefault="00763513" w:rsidP="00763513">
      <w:pPr>
        <w:rPr>
          <w:rFonts w:ascii="Times New Roman" w:hAnsi="Times New Roman"/>
        </w:rPr>
      </w:pPr>
      <w:r w:rsidRPr="00763513">
        <w:rPr>
          <w:rFonts w:ascii="Times New Roman" w:hAnsi="Times New Roman"/>
        </w:rPr>
        <w:t xml:space="preserve">Section 1332(6) states that “operations in the [O]uter Continental Shelf should be conducted in a safe manner by well trained personnel using technology, precautions, and other techniques sufficient to prevent or minimize the likelihood of blowouts, loss of well control, fires, spillages, physical obstructions to other users of the waters or subsoil and seabed, or other occurrences which may cause damage to the environment or to property or endanger life or health.”  </w:t>
      </w:r>
    </w:p>
    <w:p w14:paraId="6655E9E3" w14:textId="77777777" w:rsidR="00763513" w:rsidRDefault="00763513" w:rsidP="006C02DC">
      <w:pPr>
        <w:widowControl/>
        <w:tabs>
          <w:tab w:val="left" w:pos="360"/>
          <w:tab w:val="left" w:pos="720"/>
        </w:tabs>
        <w:rPr>
          <w:rFonts w:ascii="Times New Roman" w:hAnsi="Times New Roman"/>
        </w:rPr>
      </w:pPr>
    </w:p>
    <w:p w14:paraId="08FA918B" w14:textId="77777777" w:rsidR="006A1B49" w:rsidRDefault="006A1B49" w:rsidP="00E213E5">
      <w:pPr>
        <w:widowControl/>
        <w:tabs>
          <w:tab w:val="left" w:pos="360"/>
          <w:tab w:val="left" w:pos="720"/>
          <w:tab w:val="left" w:pos="1080"/>
        </w:tabs>
        <w:rPr>
          <w:rFonts w:ascii="Times New Roman" w:hAnsi="Times New Roman"/>
        </w:rPr>
      </w:pPr>
      <w:r w:rsidRPr="006A1B49">
        <w:rPr>
          <w:rFonts w:ascii="Times New Roman" w:hAnsi="Times New Roman"/>
        </w:rPr>
        <w:t xml:space="preserve">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w:t>
      </w:r>
      <w:r w:rsidRPr="006A1B49">
        <w:rPr>
          <w:rFonts w:ascii="Times New Roman" w:hAnsi="Times New Roman"/>
        </w:rPr>
        <w:lastRenderedPageBreak/>
        <w:t>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14:paraId="0FAE4070" w14:textId="77777777" w:rsidR="006A1B49" w:rsidRDefault="006A1B49" w:rsidP="00E213E5">
      <w:pPr>
        <w:widowControl/>
        <w:tabs>
          <w:tab w:val="left" w:pos="360"/>
          <w:tab w:val="left" w:pos="720"/>
          <w:tab w:val="left" w:pos="1080"/>
        </w:tabs>
        <w:rPr>
          <w:rFonts w:ascii="Times New Roman" w:hAnsi="Times New Roman"/>
        </w:rPr>
      </w:pPr>
    </w:p>
    <w:p w14:paraId="2AEAD258" w14:textId="77777777" w:rsidR="006C02DC" w:rsidRDefault="006C02DC" w:rsidP="00E213E5">
      <w:pPr>
        <w:widowControl/>
        <w:tabs>
          <w:tab w:val="left" w:pos="360"/>
          <w:tab w:val="left" w:pos="720"/>
          <w:tab w:val="left" w:pos="1080"/>
        </w:tabs>
        <w:rPr>
          <w:rFonts w:ascii="Times New Roman" w:hAnsi="Times New Roman"/>
        </w:rPr>
      </w:pPr>
      <w:r>
        <w:rPr>
          <w:rFonts w:ascii="Times New Roman" w:hAnsi="Times New Roman"/>
        </w:rPr>
        <w:t xml:space="preserve">The Independent Offices Appropriations Act (31 U.S.C. 9701), the Omnibus Appropriations Bill (Pub. L. 104-133, 110 Stat. 1321, </w:t>
      </w:r>
      <w:smartTag w:uri="urn:schemas-microsoft-com:office:smarttags" w:element="date">
        <w:smartTagPr>
          <w:attr w:name="ls" w:val="trans"/>
          <w:attr w:name="Month" w:val="4"/>
          <w:attr w:name="Day" w:val="26"/>
          <w:attr w:name="Year" w:val="1996"/>
        </w:smartTagPr>
        <w:r>
          <w:rPr>
            <w:rFonts w:ascii="Times New Roman" w:hAnsi="Times New Roman"/>
          </w:rPr>
          <w:t>April 26, 1996</w:t>
        </w:r>
      </w:smartTag>
      <w:r>
        <w:rPr>
          <w:rFonts w:ascii="Times New Roman" w:hAnsi="Times New Roman"/>
        </w:rPr>
        <w:t xml:space="preserve">), and OMB Circular A-25, authorize Federal agencies to recover the full cost of services that confer special benefits.  </w:t>
      </w:r>
      <w:r w:rsidR="00E213E5" w:rsidRPr="00E213E5">
        <w:rPr>
          <w:rFonts w:ascii="Times New Roman" w:hAnsi="Times New Roman"/>
        </w:rPr>
        <w:t xml:space="preserve">Respondents pay cost recovery fees when removing a </w:t>
      </w:r>
      <w:r w:rsidR="00E213E5">
        <w:rPr>
          <w:rFonts w:ascii="Times New Roman" w:hAnsi="Times New Roman"/>
        </w:rPr>
        <w:t>platform or other facility</w:t>
      </w:r>
      <w:r w:rsidR="00E213E5" w:rsidRPr="00E213E5">
        <w:rPr>
          <w:rFonts w:ascii="Times New Roman" w:hAnsi="Times New Roman"/>
        </w:rPr>
        <w:t xml:space="preserve">, or for decommissioning a pipeline </w:t>
      </w:r>
      <w:r w:rsidR="00541FF4">
        <w:rPr>
          <w:rFonts w:ascii="Times New Roman" w:hAnsi="Times New Roman"/>
        </w:rPr>
        <w:t>l</w:t>
      </w:r>
      <w:r w:rsidR="00E213E5">
        <w:rPr>
          <w:rFonts w:ascii="Times New Roman" w:hAnsi="Times New Roman"/>
        </w:rPr>
        <w:t>eas</w:t>
      </w:r>
      <w:r w:rsidR="00541FF4">
        <w:rPr>
          <w:rFonts w:ascii="Times New Roman" w:hAnsi="Times New Roman"/>
        </w:rPr>
        <w:t>e</w:t>
      </w:r>
      <w:r w:rsidR="00E213E5">
        <w:rPr>
          <w:rFonts w:ascii="Times New Roman" w:hAnsi="Times New Roman"/>
        </w:rPr>
        <w:t xml:space="preserve"> </w:t>
      </w:r>
      <w:r w:rsidR="00541FF4">
        <w:rPr>
          <w:rFonts w:ascii="Times New Roman" w:hAnsi="Times New Roman"/>
        </w:rPr>
        <w:t>t</w:t>
      </w:r>
      <w:r w:rsidR="00E213E5">
        <w:rPr>
          <w:rFonts w:ascii="Times New Roman" w:hAnsi="Times New Roman"/>
        </w:rPr>
        <w:t>erm</w:t>
      </w:r>
      <w:r w:rsidR="00E213E5" w:rsidRPr="00E213E5">
        <w:rPr>
          <w:rFonts w:ascii="Times New Roman" w:hAnsi="Times New Roman"/>
        </w:rPr>
        <w:t xml:space="preserve"> or a </w:t>
      </w:r>
      <w:r w:rsidR="00541FF4">
        <w:rPr>
          <w:rFonts w:ascii="Times New Roman" w:hAnsi="Times New Roman"/>
        </w:rPr>
        <w:t>r</w:t>
      </w:r>
      <w:r w:rsidR="00E213E5">
        <w:rPr>
          <w:rFonts w:ascii="Times New Roman" w:hAnsi="Times New Roman"/>
        </w:rPr>
        <w:t>ight-of-</w:t>
      </w:r>
      <w:r w:rsidR="00541FF4">
        <w:rPr>
          <w:rFonts w:ascii="Times New Roman" w:hAnsi="Times New Roman"/>
        </w:rPr>
        <w:t>w</w:t>
      </w:r>
      <w:r w:rsidR="00E213E5">
        <w:rPr>
          <w:rFonts w:ascii="Times New Roman" w:hAnsi="Times New Roman"/>
        </w:rPr>
        <w:t>ay</w:t>
      </w:r>
      <w:r w:rsidR="00E213E5" w:rsidRPr="00E213E5">
        <w:rPr>
          <w:rFonts w:ascii="Times New Roman" w:hAnsi="Times New Roman"/>
        </w:rPr>
        <w:t xml:space="preserve">.  </w:t>
      </w:r>
    </w:p>
    <w:p w14:paraId="0D9442A7" w14:textId="77777777" w:rsidR="00E213E5" w:rsidRDefault="00E213E5" w:rsidP="00E213E5">
      <w:pPr>
        <w:widowControl/>
        <w:tabs>
          <w:tab w:val="left" w:pos="360"/>
          <w:tab w:val="left" w:pos="720"/>
          <w:tab w:val="left" w:pos="1080"/>
        </w:tabs>
        <w:rPr>
          <w:rFonts w:ascii="Times New Roman" w:hAnsi="Times New Roman"/>
        </w:rPr>
      </w:pPr>
    </w:p>
    <w:p w14:paraId="0BCDBB7D" w14:textId="77777777" w:rsidR="006C02DC" w:rsidRDefault="006C02DC" w:rsidP="006C02DC">
      <w:pPr>
        <w:widowControl/>
        <w:tabs>
          <w:tab w:val="left" w:pos="360"/>
          <w:tab w:val="left" w:pos="720"/>
        </w:tabs>
        <w:rPr>
          <w:rFonts w:ascii="Times New Roman" w:hAnsi="Times New Roman"/>
        </w:rPr>
      </w:pPr>
      <w:r>
        <w:rPr>
          <w:rFonts w:ascii="Times New Roman" w:hAnsi="Times New Roman"/>
        </w:rPr>
        <w:t xml:space="preserve">This authority and responsibility are among those delegated to BSEE. </w:t>
      </w:r>
      <w:r w:rsidR="006C0FC4">
        <w:rPr>
          <w:rFonts w:ascii="Times New Roman" w:hAnsi="Times New Roman"/>
        </w:rPr>
        <w:t xml:space="preserve"> </w:t>
      </w:r>
      <w:r>
        <w:rPr>
          <w:rFonts w:ascii="Times New Roman" w:hAnsi="Times New Roman"/>
        </w:rPr>
        <w:t xml:space="preserve">The regulations at 30 CFR </w:t>
      </w:r>
      <w:r w:rsidR="00F6644C">
        <w:rPr>
          <w:rFonts w:ascii="Times New Roman" w:hAnsi="Times New Roman"/>
        </w:rPr>
        <w:t>250, S</w:t>
      </w:r>
      <w:r w:rsidRPr="003D3B07">
        <w:rPr>
          <w:rFonts w:ascii="Times New Roman" w:hAnsi="Times New Roman"/>
        </w:rPr>
        <w:t>ubpart Q, concern decommissioning of platforms, wells, and pipelines, as well as site clearance and platform removal</w:t>
      </w:r>
      <w:r>
        <w:rPr>
          <w:rFonts w:ascii="Times New Roman" w:hAnsi="Times New Roman"/>
        </w:rPr>
        <w:t xml:space="preserve">.  This request covers the </w:t>
      </w:r>
      <w:r w:rsidR="00DF2B2E">
        <w:rPr>
          <w:rFonts w:ascii="Times New Roman" w:hAnsi="Times New Roman"/>
        </w:rPr>
        <w:t xml:space="preserve">proposed </w:t>
      </w:r>
      <w:r w:rsidR="00BD62E5">
        <w:rPr>
          <w:rFonts w:ascii="Times New Roman" w:hAnsi="Times New Roman"/>
        </w:rPr>
        <w:t xml:space="preserve">rulemaking that will require </w:t>
      </w:r>
      <w:r w:rsidR="00BD62E5" w:rsidRPr="00BD62E5">
        <w:rPr>
          <w:rFonts w:ascii="Times New Roman" w:hAnsi="Times New Roman"/>
        </w:rPr>
        <w:t>submit</w:t>
      </w:r>
      <w:r w:rsidR="00BD62E5">
        <w:rPr>
          <w:rFonts w:ascii="Times New Roman" w:hAnsi="Times New Roman"/>
        </w:rPr>
        <w:t xml:space="preserve">tals of a </w:t>
      </w:r>
      <w:r w:rsidR="00BD62E5" w:rsidRPr="00BD62E5">
        <w:rPr>
          <w:rFonts w:ascii="Times New Roman" w:hAnsi="Times New Roman"/>
        </w:rPr>
        <w:t xml:space="preserve">summary of actual decommissioning expenditures incurred for each </w:t>
      </w:r>
      <w:r w:rsidR="00962CAF">
        <w:rPr>
          <w:rFonts w:ascii="Times New Roman" w:hAnsi="Times New Roman"/>
        </w:rPr>
        <w:t xml:space="preserve">pipeline </w:t>
      </w:r>
      <w:r w:rsidR="00BD62E5" w:rsidRPr="00BD62E5">
        <w:rPr>
          <w:rFonts w:ascii="Times New Roman" w:hAnsi="Times New Roman"/>
        </w:rPr>
        <w:t>decommissioning activity</w:t>
      </w:r>
      <w:r w:rsidR="00BD62E5">
        <w:rPr>
          <w:rFonts w:ascii="Times New Roman" w:hAnsi="Times New Roman"/>
        </w:rPr>
        <w:t xml:space="preserve">.  </w:t>
      </w:r>
      <w:r w:rsidR="00BD62E5" w:rsidRPr="00BD62E5">
        <w:rPr>
          <w:rFonts w:ascii="Times New Roman" w:hAnsi="Times New Roman"/>
        </w:rPr>
        <w:t xml:space="preserve">Once the requirements of this rulemaking have been codified, BSEE will consolidate these additional burden hours into the primary collection for 30 CFR 250, Subpart Q, under OMB Control Number 1014-0010 (expiration </w:t>
      </w:r>
      <w:r w:rsidR="00BD62E5" w:rsidRPr="00AD309F">
        <w:rPr>
          <w:rFonts w:ascii="Times New Roman" w:hAnsi="Times New Roman"/>
        </w:rPr>
        <w:t>10/31/16</w:t>
      </w:r>
      <w:r w:rsidR="00BD62E5" w:rsidRPr="00BD62E5">
        <w:rPr>
          <w:rFonts w:ascii="Times New Roman" w:hAnsi="Times New Roman"/>
        </w:rPr>
        <w:t xml:space="preserve">; 29,437 burden hours and $2,152,644 non-hour cost burdens).   </w:t>
      </w:r>
    </w:p>
    <w:p w14:paraId="6E9E7470" w14:textId="77777777" w:rsidR="006E35DB" w:rsidRDefault="006E35DB">
      <w:pPr>
        <w:widowControl/>
        <w:tabs>
          <w:tab w:val="left" w:pos="360"/>
          <w:tab w:val="left" w:pos="720"/>
          <w:tab w:val="left" w:pos="1080"/>
        </w:tabs>
        <w:rPr>
          <w:rFonts w:ascii="Times New Roman" w:hAnsi="Times New Roman"/>
        </w:rPr>
      </w:pPr>
    </w:p>
    <w:p w14:paraId="4FE5D835" w14:textId="77777777" w:rsidR="0000636B" w:rsidRPr="00600EEB" w:rsidRDefault="0000636B" w:rsidP="0000636B">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14:paraId="3FA45C45" w14:textId="77777777" w:rsidR="0000636B" w:rsidRDefault="0000636B" w:rsidP="0000636B">
      <w:pPr>
        <w:widowControl/>
        <w:tabs>
          <w:tab w:val="left" w:pos="-1080"/>
          <w:tab w:val="left" w:pos="-720"/>
          <w:tab w:val="left" w:pos="360"/>
          <w:tab w:val="left" w:pos="720"/>
        </w:tabs>
        <w:rPr>
          <w:rFonts w:ascii="Times New Roman" w:hAnsi="Times New Roman"/>
        </w:rPr>
      </w:pPr>
    </w:p>
    <w:p w14:paraId="1F7495F0" w14:textId="77777777" w:rsidR="006E35DB" w:rsidRDefault="00BD62E5" w:rsidP="00BD62E5">
      <w:pPr>
        <w:widowControl/>
        <w:tabs>
          <w:tab w:val="left" w:pos="360"/>
          <w:tab w:val="left" w:pos="720"/>
          <w:tab w:val="left" w:pos="1080"/>
        </w:tabs>
        <w:rPr>
          <w:rFonts w:ascii="Times New Roman" w:hAnsi="Times New Roman"/>
        </w:rPr>
      </w:pPr>
      <w:r w:rsidRPr="00BD62E5">
        <w:rPr>
          <w:rFonts w:ascii="Times New Roman" w:hAnsi="Times New Roman"/>
        </w:rPr>
        <w:t>Th</w:t>
      </w:r>
      <w:r>
        <w:rPr>
          <w:rFonts w:ascii="Times New Roman" w:hAnsi="Times New Roman"/>
        </w:rPr>
        <w:t xml:space="preserve">e </w:t>
      </w:r>
      <w:r w:rsidRPr="00BD62E5">
        <w:rPr>
          <w:rFonts w:ascii="Times New Roman" w:hAnsi="Times New Roman"/>
        </w:rPr>
        <w:t>information will help BSEE better estimate future decommissioning costs for OCS leases, rights-of-way, and rights of use and easements</w:t>
      </w:r>
      <w:r w:rsidR="005F5D36">
        <w:rPr>
          <w:rFonts w:ascii="Times New Roman" w:hAnsi="Times New Roman"/>
        </w:rPr>
        <w:t xml:space="preserve"> (see A.12 for what information is being collected)</w:t>
      </w:r>
      <w:r w:rsidRPr="00BD62E5">
        <w:rPr>
          <w:rFonts w:ascii="Times New Roman" w:hAnsi="Times New Roman"/>
        </w:rPr>
        <w:t xml:space="preserve">.  BSEE’s future decommissioning cost estimates may then be used by BOEM to set necessary financial assurance levels to minimize or eliminate the possibility that the government will incur abandonment liability.  The information will assist BSEE and BOEM in meeting their stewardship responsibilities and in their roles as regulators.  </w:t>
      </w:r>
    </w:p>
    <w:p w14:paraId="56A8EDFB" w14:textId="77777777" w:rsidR="006E35DB" w:rsidRDefault="006E35DB">
      <w:pPr>
        <w:widowControl/>
        <w:tabs>
          <w:tab w:val="left" w:pos="360"/>
          <w:tab w:val="left" w:pos="720"/>
          <w:tab w:val="left" w:pos="1080"/>
        </w:tabs>
        <w:rPr>
          <w:rFonts w:ascii="Times New Roman" w:hAnsi="Times New Roman"/>
        </w:rPr>
      </w:pPr>
    </w:p>
    <w:p w14:paraId="29BE8F33" w14:textId="77777777" w:rsidR="0000636B" w:rsidRPr="00600EEB" w:rsidRDefault="0000636B" w:rsidP="0000636B">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14:paraId="0E886947" w14:textId="77777777" w:rsidR="0000636B" w:rsidRDefault="0000636B" w:rsidP="0000636B">
      <w:pPr>
        <w:widowControl/>
        <w:tabs>
          <w:tab w:val="left" w:pos="-1080"/>
          <w:tab w:val="left" w:pos="-720"/>
          <w:tab w:val="left" w:pos="360"/>
          <w:tab w:val="left" w:pos="720"/>
        </w:tabs>
        <w:rPr>
          <w:rFonts w:ascii="Times New Roman" w:hAnsi="Times New Roman"/>
        </w:rPr>
      </w:pPr>
    </w:p>
    <w:p w14:paraId="223B82CA" w14:textId="2C2495AE" w:rsidR="00962087" w:rsidRDefault="00C501FC" w:rsidP="00C501FC">
      <w:pPr>
        <w:widowControl/>
        <w:tabs>
          <w:tab w:val="left" w:pos="-1080"/>
          <w:tab w:val="left" w:pos="-720"/>
          <w:tab w:val="left" w:pos="360"/>
          <w:tab w:val="left" w:pos="720"/>
        </w:tabs>
        <w:rPr>
          <w:rFonts w:ascii="Times New Roman" w:hAnsi="Times New Roman"/>
        </w:rPr>
      </w:pPr>
      <w:r w:rsidRPr="00C501FC">
        <w:rPr>
          <w:rFonts w:ascii="Times New Roman" w:hAnsi="Times New Roman"/>
        </w:rPr>
        <w:t xml:space="preserve">Currently, BSEE receives </w:t>
      </w:r>
      <w:r>
        <w:rPr>
          <w:rFonts w:ascii="Times New Roman" w:hAnsi="Times New Roman"/>
        </w:rPr>
        <w:t>6</w:t>
      </w:r>
      <w:r w:rsidRPr="00C501FC">
        <w:rPr>
          <w:rFonts w:ascii="Times New Roman" w:hAnsi="Times New Roman"/>
        </w:rPr>
        <w:t xml:space="preserve">0 percent of all information pertaining to this collection electronically via e-mail and </w:t>
      </w:r>
      <w:proofErr w:type="spellStart"/>
      <w:proofErr w:type="gramStart"/>
      <w:r w:rsidRPr="00C501FC">
        <w:rPr>
          <w:rFonts w:ascii="Times New Roman" w:hAnsi="Times New Roman"/>
        </w:rPr>
        <w:t>eWell</w:t>
      </w:r>
      <w:proofErr w:type="spellEnd"/>
      <w:proofErr w:type="gramEnd"/>
      <w:r w:rsidRPr="00C501FC">
        <w:rPr>
          <w:rFonts w:ascii="Times New Roman" w:hAnsi="Times New Roman"/>
        </w:rPr>
        <w:t xml:space="preserve">--a secure web application.  </w:t>
      </w:r>
      <w:r w:rsidR="0000636B">
        <w:rPr>
          <w:rFonts w:ascii="Times New Roman" w:hAnsi="Times New Roman"/>
        </w:rPr>
        <w:t xml:space="preserve">.  </w:t>
      </w:r>
    </w:p>
    <w:p w14:paraId="6015497C" w14:textId="77777777" w:rsidR="00962087" w:rsidRDefault="00962087" w:rsidP="00962087">
      <w:pPr>
        <w:widowControl/>
        <w:tabs>
          <w:tab w:val="left" w:pos="-1080"/>
          <w:tab w:val="left" w:pos="-720"/>
          <w:tab w:val="left" w:pos="360"/>
          <w:tab w:val="left" w:pos="720"/>
        </w:tabs>
        <w:rPr>
          <w:rFonts w:ascii="Times New Roman" w:hAnsi="Times New Roman"/>
        </w:rPr>
      </w:pPr>
    </w:p>
    <w:p w14:paraId="2BB10C8A" w14:textId="77777777" w:rsidR="004638C2" w:rsidRPr="00600EEB" w:rsidRDefault="004638C2" w:rsidP="004638C2">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14:paraId="423AD297" w14:textId="77777777" w:rsidR="004638C2" w:rsidRDefault="004638C2">
      <w:pPr>
        <w:widowControl/>
        <w:tabs>
          <w:tab w:val="left" w:pos="360"/>
          <w:tab w:val="left" w:pos="720"/>
          <w:tab w:val="left" w:pos="1080"/>
        </w:tabs>
        <w:rPr>
          <w:rFonts w:ascii="Times New Roman" w:hAnsi="Times New Roman"/>
        </w:rPr>
      </w:pPr>
    </w:p>
    <w:p w14:paraId="65ADB721" w14:textId="681FE42F" w:rsidR="006E35DB" w:rsidRDefault="00846589">
      <w:pPr>
        <w:widowControl/>
        <w:tabs>
          <w:tab w:val="left" w:pos="360"/>
          <w:tab w:val="left" w:pos="720"/>
          <w:tab w:val="left" w:pos="1080"/>
        </w:tabs>
        <w:rPr>
          <w:rFonts w:ascii="Times New Roman" w:hAnsi="Times New Roman"/>
        </w:rPr>
      </w:pPr>
      <w:r w:rsidRPr="00846589">
        <w:rPr>
          <w:rFonts w:ascii="Times New Roman" w:hAnsi="Times New Roman"/>
        </w:rPr>
        <w:t xml:space="preserve">The information collected is unique to each lease, and similar information is not available from other sources.  The DOI and </w:t>
      </w:r>
      <w:r>
        <w:rPr>
          <w:rFonts w:ascii="Times New Roman" w:hAnsi="Times New Roman"/>
        </w:rPr>
        <w:t>other Government agencies</w:t>
      </w:r>
      <w:r w:rsidRPr="00846589">
        <w:rPr>
          <w:rFonts w:ascii="Times New Roman" w:hAnsi="Times New Roman"/>
        </w:rPr>
        <w:t xml:space="preserve"> have Memorand</w:t>
      </w:r>
      <w:r>
        <w:rPr>
          <w:rFonts w:ascii="Times New Roman" w:hAnsi="Times New Roman"/>
        </w:rPr>
        <w:t>a</w:t>
      </w:r>
      <w:r w:rsidRPr="00846589">
        <w:rPr>
          <w:rFonts w:ascii="Times New Roman" w:hAnsi="Times New Roman"/>
        </w:rPr>
        <w:t xml:space="preserve"> of Understanding that defines the responsibilities of their agencies with respect to activities in the OCS.  These are effective in avoiding duplication of regulations and reporting requirements.</w:t>
      </w:r>
      <w:r w:rsidR="00853126" w:rsidRPr="00853126">
        <w:t xml:space="preserve"> </w:t>
      </w:r>
      <w:r w:rsidR="00853126">
        <w:rPr>
          <w:rFonts w:ascii="Times New Roman" w:hAnsi="Times New Roman"/>
        </w:rPr>
        <w:t xml:space="preserve">The information collected for </w:t>
      </w:r>
      <w:r w:rsidR="00853126" w:rsidRPr="00853126">
        <w:rPr>
          <w:rFonts w:ascii="Times New Roman" w:hAnsi="Times New Roman"/>
        </w:rPr>
        <w:t xml:space="preserve">decommissioning cost estimates </w:t>
      </w:r>
      <w:r w:rsidR="00853126">
        <w:rPr>
          <w:rFonts w:ascii="Times New Roman" w:hAnsi="Times New Roman"/>
        </w:rPr>
        <w:t>will be shared with</w:t>
      </w:r>
      <w:r w:rsidR="00853126" w:rsidRPr="00853126">
        <w:rPr>
          <w:rFonts w:ascii="Times New Roman" w:hAnsi="Times New Roman"/>
        </w:rPr>
        <w:t xml:space="preserve"> BOEM to set necessary financial assurance levels to minimize or eliminate the possibility that the government will incur abandonment liability</w:t>
      </w:r>
      <w:r w:rsidR="00853126">
        <w:rPr>
          <w:rFonts w:ascii="Times New Roman" w:hAnsi="Times New Roman"/>
        </w:rPr>
        <w:t>.</w:t>
      </w:r>
    </w:p>
    <w:p w14:paraId="545769BE" w14:textId="77777777" w:rsidR="00846589" w:rsidRDefault="00846589">
      <w:pPr>
        <w:widowControl/>
        <w:tabs>
          <w:tab w:val="left" w:pos="360"/>
          <w:tab w:val="left" w:pos="720"/>
          <w:tab w:val="left" w:pos="1080"/>
        </w:tabs>
        <w:rPr>
          <w:rFonts w:ascii="Times New Roman" w:hAnsi="Times New Roman"/>
        </w:rPr>
      </w:pPr>
    </w:p>
    <w:p w14:paraId="3880886C" w14:textId="77777777" w:rsidR="004638C2" w:rsidRPr="00600EEB" w:rsidRDefault="004638C2" w:rsidP="004638C2">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14:paraId="35FE6E60" w14:textId="77777777" w:rsidR="004638C2" w:rsidRDefault="004638C2" w:rsidP="004638C2">
      <w:pPr>
        <w:widowControl/>
        <w:tabs>
          <w:tab w:val="left" w:pos="-1080"/>
          <w:tab w:val="left" w:pos="-720"/>
          <w:tab w:val="left" w:pos="360"/>
          <w:tab w:val="left" w:pos="720"/>
        </w:tabs>
        <w:rPr>
          <w:rFonts w:ascii="Times New Roman" w:hAnsi="Times New Roman"/>
        </w:rPr>
      </w:pPr>
    </w:p>
    <w:p w14:paraId="7CDD3C3A" w14:textId="77777777" w:rsidR="006E35DB" w:rsidRDefault="001A198E">
      <w:pPr>
        <w:widowControl/>
        <w:tabs>
          <w:tab w:val="left" w:pos="360"/>
          <w:tab w:val="left" w:pos="720"/>
          <w:tab w:val="left" w:pos="1080"/>
        </w:tabs>
        <w:rPr>
          <w:rFonts w:ascii="Times New Roman" w:hAnsi="Times New Roman"/>
        </w:rPr>
      </w:pPr>
      <w:r w:rsidRPr="001A198E">
        <w:rPr>
          <w:rFonts w:ascii="Times New Roman" w:hAnsi="Times New Roman"/>
        </w:rPr>
        <w:t xml:space="preserve">This collection of information </w:t>
      </w:r>
      <w:r w:rsidR="007C037C">
        <w:rPr>
          <w:rFonts w:ascii="Times New Roman" w:hAnsi="Times New Roman"/>
        </w:rPr>
        <w:t>would not</w:t>
      </w:r>
      <w:r w:rsidRPr="001A198E">
        <w:rPr>
          <w:rFonts w:ascii="Times New Roman" w:hAnsi="Times New Roman"/>
        </w:rPr>
        <w:t xml:space="preserve"> have a significant economic effect on a substantial number of small entities.  Any direct effects primarily impact the OCS lessees and operators.  However, many of the OCS lessees and operators may have less than 500 employees and would be considered small businesses as defined by the Small Business Administration. </w:t>
      </w:r>
      <w:r>
        <w:rPr>
          <w:rFonts w:ascii="Times New Roman" w:hAnsi="Times New Roman"/>
        </w:rPr>
        <w:t xml:space="preserve"> </w:t>
      </w:r>
      <w:r w:rsidR="006E35DB">
        <w:rPr>
          <w:rFonts w:ascii="Times New Roman" w:hAnsi="Times New Roman"/>
        </w:rPr>
        <w:t xml:space="preserve">With respect to </w:t>
      </w:r>
      <w:r w:rsidR="00BD62E5">
        <w:rPr>
          <w:rFonts w:ascii="Times New Roman" w:hAnsi="Times New Roman"/>
        </w:rPr>
        <w:t>decommissioning costs</w:t>
      </w:r>
      <w:r w:rsidR="006E35DB">
        <w:rPr>
          <w:rFonts w:ascii="Times New Roman" w:hAnsi="Times New Roman"/>
        </w:rPr>
        <w:t xml:space="preserve">, if these activities were not performed, </w:t>
      </w:r>
      <w:r w:rsidR="004210E9">
        <w:rPr>
          <w:rFonts w:ascii="Times New Roman" w:hAnsi="Times New Roman"/>
        </w:rPr>
        <w:t>Federal agencies</w:t>
      </w:r>
      <w:r w:rsidR="00BD62E5">
        <w:rPr>
          <w:rFonts w:ascii="Times New Roman" w:hAnsi="Times New Roman"/>
        </w:rPr>
        <w:t xml:space="preserve"> would not be able to </w:t>
      </w:r>
      <w:r w:rsidR="004210E9">
        <w:rPr>
          <w:rFonts w:ascii="Times New Roman" w:hAnsi="Times New Roman"/>
        </w:rPr>
        <w:t xml:space="preserve">set </w:t>
      </w:r>
      <w:r w:rsidR="00BD62E5">
        <w:rPr>
          <w:rFonts w:ascii="Times New Roman" w:hAnsi="Times New Roman"/>
        </w:rPr>
        <w:t xml:space="preserve">accurate financial assurance levels to the operator to minimize or eliminate the possibility of the government incurring such costs.  </w:t>
      </w:r>
    </w:p>
    <w:p w14:paraId="4E5C77BA" w14:textId="77777777" w:rsidR="00EE4120" w:rsidRDefault="00EE4120">
      <w:pPr>
        <w:widowControl/>
        <w:tabs>
          <w:tab w:val="left" w:pos="360"/>
          <w:tab w:val="left" w:pos="720"/>
          <w:tab w:val="left" w:pos="1080"/>
        </w:tabs>
        <w:rPr>
          <w:rFonts w:ascii="Times New Roman" w:hAnsi="Times New Roman"/>
        </w:rPr>
      </w:pPr>
    </w:p>
    <w:p w14:paraId="4C6A01BF" w14:textId="77777777" w:rsidR="004638C2" w:rsidRDefault="004638C2" w:rsidP="004638C2">
      <w:pPr>
        <w:widowControl/>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14:paraId="19D1DACD" w14:textId="77777777" w:rsidR="004638C2" w:rsidRDefault="004638C2" w:rsidP="004638C2">
      <w:pPr>
        <w:widowControl/>
        <w:tabs>
          <w:tab w:val="left" w:pos="-1080"/>
          <w:tab w:val="left" w:pos="-720"/>
          <w:tab w:val="left" w:pos="360"/>
          <w:tab w:val="left" w:pos="720"/>
        </w:tabs>
        <w:rPr>
          <w:rFonts w:ascii="Times New Roman" w:hAnsi="Times New Roman"/>
        </w:rPr>
      </w:pPr>
    </w:p>
    <w:p w14:paraId="22C398DB" w14:textId="77777777" w:rsidR="004210E9" w:rsidRDefault="006E35DB">
      <w:pPr>
        <w:widowControl/>
        <w:tabs>
          <w:tab w:val="left" w:pos="360"/>
          <w:tab w:val="left" w:pos="720"/>
          <w:tab w:val="left" w:pos="1080"/>
        </w:tabs>
        <w:rPr>
          <w:rFonts w:ascii="Times New Roman" w:hAnsi="Times New Roman"/>
        </w:rPr>
      </w:pPr>
      <w:r>
        <w:rPr>
          <w:rFonts w:ascii="Times New Roman" w:hAnsi="Times New Roman"/>
        </w:rPr>
        <w:t xml:space="preserve">If we did not collect the information, </w:t>
      </w:r>
      <w:r w:rsidR="004210E9" w:rsidRPr="004210E9">
        <w:rPr>
          <w:rFonts w:ascii="Times New Roman" w:hAnsi="Times New Roman"/>
        </w:rPr>
        <w:t xml:space="preserve">BSEE </w:t>
      </w:r>
      <w:r w:rsidR="004210E9">
        <w:rPr>
          <w:rFonts w:ascii="Times New Roman" w:hAnsi="Times New Roman"/>
        </w:rPr>
        <w:t xml:space="preserve">would not be able to determine accurate </w:t>
      </w:r>
      <w:r w:rsidR="004210E9" w:rsidRPr="004210E9">
        <w:rPr>
          <w:rFonts w:ascii="Times New Roman" w:hAnsi="Times New Roman"/>
        </w:rPr>
        <w:t>decommissioning cost data to analyze and estimate future decommissioning costs which BOEM will use to set the amount of required bonds and other forms of financial security.</w:t>
      </w:r>
      <w:r w:rsidR="004210E9" w:rsidDel="004210E9">
        <w:rPr>
          <w:rFonts w:ascii="Times New Roman" w:hAnsi="Times New Roman"/>
        </w:rPr>
        <w:t xml:space="preserve"> </w:t>
      </w:r>
    </w:p>
    <w:p w14:paraId="44CBCDBE" w14:textId="77777777" w:rsidR="00975CA3" w:rsidRDefault="00975CA3">
      <w:pPr>
        <w:widowControl/>
        <w:tabs>
          <w:tab w:val="left" w:pos="360"/>
          <w:tab w:val="left" w:pos="720"/>
          <w:tab w:val="left" w:pos="1080"/>
        </w:tabs>
        <w:rPr>
          <w:rFonts w:ascii="Times New Roman" w:hAnsi="Times New Roman"/>
        </w:rPr>
      </w:pPr>
    </w:p>
    <w:p w14:paraId="59A0D71A" w14:textId="77777777" w:rsidR="004638C2" w:rsidRPr="00600EEB" w:rsidRDefault="004638C2" w:rsidP="004638C2">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14:paraId="0A68DB90" w14:textId="77777777" w:rsidR="004638C2" w:rsidRDefault="004638C2" w:rsidP="004638C2">
      <w:pPr>
        <w:widowControl/>
        <w:tabs>
          <w:tab w:val="left" w:pos="-1080"/>
          <w:tab w:val="left" w:pos="-720"/>
          <w:tab w:val="left" w:pos="360"/>
          <w:tab w:val="left" w:pos="720"/>
        </w:tabs>
        <w:rPr>
          <w:rFonts w:ascii="Times New Roman" w:hAnsi="Times New Roman"/>
        </w:rPr>
      </w:pPr>
      <w:r>
        <w:rPr>
          <w:rFonts w:ascii="Times New Roman" w:hAnsi="Times New Roman"/>
        </w:rPr>
        <w:tab/>
      </w:r>
    </w:p>
    <w:p w14:paraId="73BBD1FD" w14:textId="77777777" w:rsidR="00BB767B" w:rsidRDefault="004638C2">
      <w:pPr>
        <w:widowControl/>
        <w:tabs>
          <w:tab w:val="left" w:pos="360"/>
          <w:tab w:val="left" w:pos="720"/>
          <w:tab w:val="left" w:pos="1080"/>
        </w:tabs>
        <w:rPr>
          <w:rFonts w:ascii="Times New Roman" w:hAnsi="Times New Roman"/>
        </w:rPr>
      </w:pPr>
      <w:r>
        <w:rPr>
          <w:rFonts w:ascii="Times New Roman" w:hAnsi="Times New Roman"/>
          <w:b/>
        </w:rPr>
        <w:tab/>
      </w:r>
      <w:r w:rsidRPr="00A90789">
        <w:rPr>
          <w:rFonts w:ascii="Times New Roman" w:hAnsi="Times New Roman"/>
          <w:b/>
          <w:i/>
        </w:rPr>
        <w:t>a) requiring respondents to report information to the agency more often than quarterl</w:t>
      </w:r>
      <w:r>
        <w:rPr>
          <w:rFonts w:ascii="Times New Roman" w:hAnsi="Times New Roman"/>
          <w:b/>
          <w:i/>
        </w:rPr>
        <w:t>y</w:t>
      </w:r>
      <w:r w:rsidR="005A07CF">
        <w:rPr>
          <w:rFonts w:ascii="Times New Roman" w:hAnsi="Times New Roman"/>
          <w:b/>
          <w:i/>
        </w:rPr>
        <w:t>;</w:t>
      </w:r>
    </w:p>
    <w:p w14:paraId="0773DD56" w14:textId="77777777" w:rsidR="004638C2" w:rsidRPr="00A90789" w:rsidRDefault="004638C2" w:rsidP="004638C2">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Pr="00A90789">
        <w:rPr>
          <w:rFonts w:ascii="Times New Roman" w:hAnsi="Times New Roman"/>
          <w:b/>
          <w:i/>
        </w:rPr>
        <w:t>(b) requiring respondents to prepare a written response to a collection of information in few</w:t>
      </w:r>
      <w:r>
        <w:rPr>
          <w:rFonts w:ascii="Times New Roman" w:hAnsi="Times New Roman"/>
          <w:b/>
          <w:i/>
        </w:rPr>
        <w:t>er than 30 days after receipt of it</w:t>
      </w:r>
      <w:r w:rsidR="00213B90">
        <w:rPr>
          <w:rFonts w:ascii="Times New Roman" w:hAnsi="Times New Roman"/>
          <w:b/>
          <w:i/>
        </w:rPr>
        <w:t>;</w:t>
      </w:r>
    </w:p>
    <w:p w14:paraId="02FEDAA0" w14:textId="77777777" w:rsidR="004638C2" w:rsidRPr="00A90789" w:rsidRDefault="004638C2" w:rsidP="004638C2">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 and two copies of any document</w:t>
      </w:r>
      <w:r w:rsidR="00213B90">
        <w:rPr>
          <w:rFonts w:ascii="Times New Roman" w:hAnsi="Times New Roman"/>
          <w:b/>
          <w:i/>
        </w:rPr>
        <w:t>;</w:t>
      </w:r>
    </w:p>
    <w:p w14:paraId="0615F050" w14:textId="77777777" w:rsidR="004638C2" w:rsidRPr="00A90789" w:rsidRDefault="004638C2" w:rsidP="004638C2">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w:t>
      </w:r>
      <w:r w:rsidR="00E62054">
        <w:rPr>
          <w:rFonts w:ascii="Times New Roman" w:hAnsi="Times New Roman"/>
          <w:b/>
          <w:i/>
        </w:rPr>
        <w:t xml:space="preserve"> records, for more than 3 years;</w:t>
      </w:r>
    </w:p>
    <w:p w14:paraId="12B0EBC8" w14:textId="77777777" w:rsidR="004638C2" w:rsidRPr="00B27CC7" w:rsidRDefault="004638C2" w:rsidP="004638C2">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w:t>
      </w:r>
      <w:r w:rsidR="00E62054">
        <w:rPr>
          <w:rFonts w:ascii="Times New Roman" w:hAnsi="Times New Roman"/>
          <w:b/>
          <w:i/>
        </w:rPr>
        <w:t>alized to the universe of study;</w:t>
      </w:r>
    </w:p>
    <w:p w14:paraId="28522367" w14:textId="77777777" w:rsidR="004638C2" w:rsidRPr="00B27CC7" w:rsidRDefault="004638C2" w:rsidP="004638C2">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w:t>
      </w:r>
      <w:r w:rsidR="00E62054">
        <w:rPr>
          <w:rFonts w:ascii="Times New Roman" w:hAnsi="Times New Roman"/>
          <w:b/>
          <w:i/>
        </w:rPr>
        <w:t>en reviewed and approved by OMB;</w:t>
      </w:r>
    </w:p>
    <w:p w14:paraId="7224E325" w14:textId="77777777" w:rsidR="004638C2" w:rsidRDefault="00975CA3" w:rsidP="004638C2">
      <w:pPr>
        <w:widowControl/>
        <w:tabs>
          <w:tab w:val="left" w:pos="-1080"/>
          <w:tab w:val="left" w:pos="-720"/>
          <w:tab w:val="left" w:pos="360"/>
          <w:tab w:val="left" w:pos="720"/>
        </w:tabs>
        <w:rPr>
          <w:rFonts w:ascii="Times New Roman" w:hAnsi="Times New Roman"/>
          <w:b/>
          <w:i/>
        </w:rPr>
      </w:pPr>
      <w:r>
        <w:rPr>
          <w:rFonts w:ascii="Times New Roman" w:hAnsi="Times New Roman"/>
          <w:b/>
          <w:i/>
        </w:rPr>
        <w:lastRenderedPageBreak/>
        <w:tab/>
      </w:r>
      <w:r w:rsidR="004638C2" w:rsidRPr="00B27CC7">
        <w:rPr>
          <w:rFonts w:ascii="Times New Roman" w:hAnsi="Times New Roman"/>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E62054">
        <w:rPr>
          <w:rFonts w:ascii="Times New Roman" w:hAnsi="Times New Roman"/>
          <w:b/>
          <w:i/>
        </w:rPr>
        <w:t>for compatible confidential use; or</w:t>
      </w:r>
    </w:p>
    <w:p w14:paraId="0C2AF7E5" w14:textId="77777777" w:rsidR="009E539D" w:rsidRDefault="009E539D" w:rsidP="004638C2">
      <w:pPr>
        <w:widowControl/>
        <w:tabs>
          <w:tab w:val="left" w:pos="-1080"/>
          <w:tab w:val="left" w:pos="-720"/>
          <w:tab w:val="left" w:pos="360"/>
          <w:tab w:val="left" w:pos="720"/>
        </w:tabs>
        <w:rPr>
          <w:rFonts w:ascii="Times New Roman" w:hAnsi="Times New Roman"/>
          <w:b/>
          <w:i/>
        </w:rPr>
      </w:pPr>
    </w:p>
    <w:p w14:paraId="6774C835" w14:textId="77777777" w:rsidR="009E539D" w:rsidRDefault="009E539D" w:rsidP="009E539D">
      <w:pPr>
        <w:widowControl/>
        <w:tabs>
          <w:tab w:val="left" w:pos="-1080"/>
          <w:tab w:val="left" w:pos="-720"/>
          <w:tab w:val="left" w:pos="360"/>
          <w:tab w:val="left" w:pos="720"/>
        </w:tabs>
        <w:rPr>
          <w:rFonts w:ascii="Times New Roman" w:hAnsi="Times New Roman"/>
        </w:rPr>
      </w:pPr>
      <w:r w:rsidRPr="00E62054">
        <w:rPr>
          <w:rFonts w:ascii="Times New Roman" w:hAnsi="Times New Roman"/>
        </w:rPr>
        <w:t>Not applicable in this collection.</w:t>
      </w:r>
    </w:p>
    <w:p w14:paraId="0631860E" w14:textId="77777777" w:rsidR="009E539D" w:rsidRPr="00B27CC7" w:rsidRDefault="009E539D" w:rsidP="004638C2">
      <w:pPr>
        <w:widowControl/>
        <w:tabs>
          <w:tab w:val="left" w:pos="-1080"/>
          <w:tab w:val="left" w:pos="-720"/>
          <w:tab w:val="left" w:pos="360"/>
          <w:tab w:val="left" w:pos="720"/>
        </w:tabs>
        <w:rPr>
          <w:rFonts w:ascii="Times New Roman" w:hAnsi="Times New Roman"/>
          <w:b/>
          <w:i/>
        </w:rPr>
      </w:pPr>
    </w:p>
    <w:p w14:paraId="34F070AC" w14:textId="77777777" w:rsidR="004638C2" w:rsidRDefault="004638C2" w:rsidP="004638C2">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E62054">
        <w:rPr>
          <w:rFonts w:ascii="Times New Roman" w:hAnsi="Times New Roman"/>
          <w:b/>
          <w:i/>
        </w:rPr>
        <w:t>,</w:t>
      </w:r>
      <w:r w:rsidRPr="00B27CC7">
        <w:rPr>
          <w:rFonts w:ascii="Times New Roman" w:hAnsi="Times New Roman"/>
          <w:b/>
          <w:i/>
        </w:rPr>
        <w:t xml:space="preserve"> or other confidential information</w:t>
      </w:r>
      <w:r w:rsidR="00E62054">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14:paraId="071F490F" w14:textId="77777777" w:rsidR="004210E9" w:rsidRPr="00B27CC7" w:rsidRDefault="009E539D" w:rsidP="004638C2">
      <w:pPr>
        <w:widowControl/>
        <w:tabs>
          <w:tab w:val="left" w:pos="-1080"/>
          <w:tab w:val="left" w:pos="-720"/>
          <w:tab w:val="left" w:pos="360"/>
          <w:tab w:val="left" w:pos="720"/>
        </w:tabs>
        <w:rPr>
          <w:rFonts w:ascii="Times New Roman" w:hAnsi="Times New Roman"/>
          <w:b/>
          <w:i/>
        </w:rPr>
      </w:pPr>
      <w:r w:rsidRPr="00BA3233">
        <w:rPr>
          <w:rFonts w:ascii="Times New Roman" w:hAnsi="Times New Roman"/>
        </w:rPr>
        <w:t xml:space="preserve">BSEE will protect </w:t>
      </w:r>
      <w:r>
        <w:rPr>
          <w:rFonts w:ascii="Times New Roman" w:hAnsi="Times New Roman"/>
        </w:rPr>
        <w:t xml:space="preserve">any confidential commercial or </w:t>
      </w:r>
      <w:r w:rsidRPr="00BA3233">
        <w:rPr>
          <w:rFonts w:ascii="Times New Roman" w:hAnsi="Times New Roman"/>
        </w:rPr>
        <w:t xml:space="preserve">proprietary information according to the Freedom of Information Act (5 U.S.C. 552) and </w:t>
      </w:r>
      <w:r>
        <w:rPr>
          <w:rFonts w:ascii="Times New Roman" w:hAnsi="Times New Roman"/>
        </w:rPr>
        <w:t>DOI’s</w:t>
      </w:r>
      <w:r w:rsidRPr="00BA3233">
        <w:rPr>
          <w:rFonts w:ascii="Times New Roman" w:hAnsi="Times New Roman"/>
        </w:rPr>
        <w:t xml:space="preserve"> implementing regulations (43 CFR 2); </w:t>
      </w:r>
      <w:r w:rsidRPr="00BE2E0F">
        <w:rPr>
          <w:rFonts w:ascii="Times New Roman" w:hAnsi="Times New Roman"/>
        </w:rPr>
        <w:t>section 26 of OCSLA (43 U.S.C. 1352)</w:t>
      </w:r>
      <w:r>
        <w:rPr>
          <w:rFonts w:ascii="Times New Roman" w:hAnsi="Times New Roman"/>
        </w:rPr>
        <w:t xml:space="preserve">; </w:t>
      </w:r>
      <w:r w:rsidRPr="00BA3233">
        <w:rPr>
          <w:rFonts w:ascii="Times New Roman" w:hAnsi="Times New Roman"/>
        </w:rPr>
        <w:t xml:space="preserve">30 CFR 250.197, </w:t>
      </w:r>
      <w:r w:rsidRPr="00BA3233">
        <w:rPr>
          <w:rFonts w:ascii="Times New Roman" w:hAnsi="Times New Roman"/>
          <w:i/>
        </w:rPr>
        <w:t>Data and information to be made available to the public or for limited inspection;</w:t>
      </w:r>
      <w:r w:rsidRPr="00BA3233">
        <w:rPr>
          <w:rFonts w:ascii="Times New Roman" w:hAnsi="Times New Roman"/>
        </w:rPr>
        <w:t xml:space="preserve"> and 30 CFR part 252, </w:t>
      </w:r>
      <w:r w:rsidRPr="00BA3233">
        <w:rPr>
          <w:rFonts w:ascii="Times New Roman" w:hAnsi="Times New Roman"/>
          <w:i/>
        </w:rPr>
        <w:t>OCS Oil and Gas Information Program</w:t>
      </w:r>
    </w:p>
    <w:p w14:paraId="56427E5E" w14:textId="77777777" w:rsidR="00E62054" w:rsidRDefault="00E62054" w:rsidP="004638C2">
      <w:pPr>
        <w:widowControl/>
        <w:tabs>
          <w:tab w:val="left" w:pos="-1080"/>
          <w:tab w:val="left" w:pos="-720"/>
          <w:tab w:val="left" w:pos="360"/>
          <w:tab w:val="left" w:pos="720"/>
        </w:tabs>
        <w:rPr>
          <w:rFonts w:ascii="Times New Roman" w:hAnsi="Times New Roman"/>
        </w:rPr>
      </w:pPr>
    </w:p>
    <w:p w14:paraId="4FF6C5A6" w14:textId="77777777" w:rsidR="004638C2" w:rsidRDefault="004638C2" w:rsidP="004638C2">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w:t>
      </w:r>
      <w:r>
        <w:rPr>
          <w:rFonts w:ascii="Times New Roman" w:hAnsi="Times New Roman"/>
          <w:b/>
          <w:i/>
        </w:rPr>
        <w:t>to these comments.</w:t>
      </w:r>
      <w:r w:rsidR="00050F24">
        <w:rPr>
          <w:rFonts w:ascii="Times New Roman" w:hAnsi="Times New Roman"/>
          <w:b/>
          <w:i/>
        </w:rPr>
        <w:t xml:space="preserve"> </w:t>
      </w:r>
      <w:r w:rsidRPr="00600EEB">
        <w:rPr>
          <w:rFonts w:ascii="Times New Roman" w:hAnsi="Times New Roman"/>
          <w:b/>
          <w:i/>
        </w:rPr>
        <w:t xml:space="preserve"> Specifically address comments received on cost and hour burden.  </w:t>
      </w:r>
    </w:p>
    <w:p w14:paraId="4909418D" w14:textId="77777777" w:rsidR="004638C2" w:rsidRDefault="004638C2" w:rsidP="004638C2">
      <w:pPr>
        <w:widowControl/>
        <w:tabs>
          <w:tab w:val="left" w:pos="360"/>
          <w:tab w:val="left" w:pos="720"/>
          <w:tab w:val="left" w:pos="1080"/>
        </w:tabs>
        <w:rPr>
          <w:rFonts w:ascii="Times New Roman" w:hAnsi="Times New Roman"/>
          <w:b/>
        </w:rPr>
      </w:pPr>
    </w:p>
    <w:p w14:paraId="0324ACAC" w14:textId="77777777" w:rsidR="00050F24" w:rsidRDefault="004638C2" w:rsidP="004638C2">
      <w:pPr>
        <w:widowControl/>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w:t>
      </w:r>
      <w:r w:rsidRPr="00B443E3">
        <w:rPr>
          <w:rFonts w:ascii="Times New Roman" w:hAnsi="Times New Roman"/>
          <w:b/>
          <w:i/>
        </w:rPr>
        <w:t>to obtain their views on the availability of data, frequency of collection, the clarity of instructions and recordkeeping, disclosure, or reporting format (if any), and on the data elements to be recorded, disclosed, or reported</w:t>
      </w:r>
      <w:r w:rsidRPr="00600EEB">
        <w:rPr>
          <w:rFonts w:ascii="Times New Roman" w:hAnsi="Times New Roman"/>
          <w:b/>
          <w:i/>
        </w:rPr>
        <w:t xml:space="preserve">.  </w:t>
      </w:r>
    </w:p>
    <w:p w14:paraId="3100EBEC" w14:textId="77777777" w:rsidR="00050F24" w:rsidRDefault="00050F24" w:rsidP="004638C2">
      <w:pPr>
        <w:widowControl/>
        <w:tabs>
          <w:tab w:val="left" w:pos="360"/>
          <w:tab w:val="left" w:pos="720"/>
          <w:tab w:val="left" w:pos="1080"/>
        </w:tabs>
        <w:rPr>
          <w:rFonts w:ascii="Times New Roman" w:hAnsi="Times New Roman"/>
          <w:b/>
          <w:i/>
        </w:rPr>
      </w:pPr>
    </w:p>
    <w:p w14:paraId="0B678160" w14:textId="77777777" w:rsidR="004638C2" w:rsidRDefault="004638C2" w:rsidP="004638C2">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14:paraId="1CDAF2AE" w14:textId="77777777" w:rsidR="004638C2" w:rsidRDefault="004638C2">
      <w:pPr>
        <w:widowControl/>
        <w:tabs>
          <w:tab w:val="left" w:pos="360"/>
          <w:tab w:val="left" w:pos="720"/>
          <w:tab w:val="left" w:pos="1080"/>
        </w:tabs>
        <w:rPr>
          <w:rFonts w:ascii="Times New Roman" w:hAnsi="Times New Roman"/>
        </w:rPr>
      </w:pPr>
    </w:p>
    <w:p w14:paraId="169CB689" w14:textId="77777777" w:rsidR="004210E9" w:rsidRDefault="009B202C">
      <w:pPr>
        <w:widowControl/>
        <w:tabs>
          <w:tab w:val="left" w:pos="360"/>
          <w:tab w:val="left" w:pos="720"/>
          <w:tab w:val="left" w:pos="1080"/>
        </w:tabs>
        <w:rPr>
          <w:rFonts w:ascii="Times New Roman" w:hAnsi="Times New Roman"/>
        </w:rPr>
      </w:pPr>
      <w:r w:rsidRPr="009B202C">
        <w:rPr>
          <w:rFonts w:ascii="Times New Roman" w:hAnsi="Times New Roman"/>
        </w:rPr>
        <w:t xml:space="preserve">As required in 5 CFR 1320.11, BSEE is providing the initial 60-day review and comment process through the preamble of the proposed rulemaking.  BSEE will address in the preamble to the final rulemaking any comments received and make necessary adjustments where applicable.  No individual respondents were contacted due to the proposed rulemaking nature of the collection.  </w:t>
      </w:r>
      <w:r w:rsidR="008A0493" w:rsidRPr="008A0493">
        <w:rPr>
          <w:rFonts w:ascii="Times New Roman" w:hAnsi="Times New Roman"/>
        </w:rPr>
        <w:t xml:space="preserve">  </w:t>
      </w:r>
    </w:p>
    <w:p w14:paraId="15135786" w14:textId="77777777" w:rsidR="00763513" w:rsidRDefault="00763513" w:rsidP="004638C2">
      <w:pPr>
        <w:widowControl/>
        <w:tabs>
          <w:tab w:val="left" w:pos="-1080"/>
          <w:tab w:val="left" w:pos="-720"/>
          <w:tab w:val="left" w:pos="360"/>
          <w:tab w:val="left" w:pos="720"/>
        </w:tabs>
        <w:rPr>
          <w:rFonts w:ascii="Times New Roman" w:hAnsi="Times New Roman"/>
        </w:rPr>
      </w:pPr>
    </w:p>
    <w:p w14:paraId="22117A89" w14:textId="77777777" w:rsidR="004638C2" w:rsidRDefault="004638C2" w:rsidP="004638C2">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14:paraId="13969EDB" w14:textId="77777777" w:rsidR="004638C2" w:rsidRDefault="004638C2" w:rsidP="00FE650A">
      <w:pPr>
        <w:widowControl/>
        <w:tabs>
          <w:tab w:val="left" w:pos="-1080"/>
          <w:tab w:val="left" w:pos="-720"/>
          <w:tab w:val="left" w:pos="360"/>
          <w:tab w:val="left" w:pos="720"/>
        </w:tabs>
        <w:rPr>
          <w:rFonts w:ascii="Times New Roman" w:hAnsi="Times New Roman"/>
        </w:rPr>
      </w:pPr>
    </w:p>
    <w:p w14:paraId="1458FD2C" w14:textId="77777777" w:rsidR="006E35DB" w:rsidRDefault="00F65E78">
      <w:pPr>
        <w:widowControl/>
        <w:tabs>
          <w:tab w:val="left" w:pos="360"/>
          <w:tab w:val="left" w:pos="720"/>
        </w:tabs>
        <w:rPr>
          <w:rFonts w:ascii="Times New Roman" w:hAnsi="Times New Roman"/>
        </w:rPr>
      </w:pPr>
      <w:r>
        <w:rPr>
          <w:rFonts w:ascii="Times New Roman" w:hAnsi="Times New Roman"/>
        </w:rPr>
        <w:t xml:space="preserve">BSEE </w:t>
      </w:r>
      <w:r w:rsidR="006E35DB">
        <w:rPr>
          <w:rFonts w:ascii="Times New Roman" w:hAnsi="Times New Roman"/>
        </w:rPr>
        <w:t>will not provide payments or gifts to respondents</w:t>
      </w:r>
      <w:r w:rsidR="004638C2">
        <w:rPr>
          <w:rFonts w:ascii="Times New Roman" w:hAnsi="Times New Roman"/>
        </w:rPr>
        <w:t xml:space="preserve"> in this collection</w:t>
      </w:r>
      <w:r w:rsidR="006E35DB">
        <w:rPr>
          <w:rFonts w:ascii="Times New Roman" w:hAnsi="Times New Roman"/>
        </w:rPr>
        <w:t>.</w:t>
      </w:r>
    </w:p>
    <w:p w14:paraId="34F52AA5" w14:textId="77777777" w:rsidR="006E35DB" w:rsidRDefault="006E35DB">
      <w:pPr>
        <w:widowControl/>
        <w:tabs>
          <w:tab w:val="left" w:pos="360"/>
          <w:tab w:val="left" w:pos="720"/>
        </w:tabs>
        <w:rPr>
          <w:rFonts w:ascii="Times New Roman" w:hAnsi="Times New Roman"/>
        </w:rPr>
      </w:pPr>
    </w:p>
    <w:p w14:paraId="3C71D57B" w14:textId="77777777" w:rsidR="004638C2" w:rsidRDefault="004638C2">
      <w:pPr>
        <w:widowControl/>
        <w:tabs>
          <w:tab w:val="left" w:pos="360"/>
          <w:tab w:val="left" w:pos="72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14:paraId="7617ABD8" w14:textId="77777777" w:rsidR="004638C2" w:rsidRDefault="004638C2">
      <w:pPr>
        <w:widowControl/>
        <w:tabs>
          <w:tab w:val="left" w:pos="360"/>
          <w:tab w:val="left" w:pos="720"/>
        </w:tabs>
        <w:rPr>
          <w:rFonts w:ascii="Times New Roman" w:hAnsi="Times New Roman"/>
        </w:rPr>
      </w:pPr>
    </w:p>
    <w:p w14:paraId="05286759" w14:textId="77777777" w:rsidR="006E35DB" w:rsidRPr="00BA3233" w:rsidRDefault="00BA3233" w:rsidP="00BA3233">
      <w:pPr>
        <w:tabs>
          <w:tab w:val="left" w:pos="360"/>
          <w:tab w:val="left" w:pos="720"/>
        </w:tabs>
        <w:rPr>
          <w:rFonts w:ascii="Times New Roman" w:hAnsi="Times New Roman"/>
          <w:i/>
        </w:rPr>
      </w:pPr>
      <w:r w:rsidRPr="00BA3233">
        <w:rPr>
          <w:rFonts w:ascii="Times New Roman" w:hAnsi="Times New Roman"/>
        </w:rPr>
        <w:t xml:space="preserve">BSEE will protect </w:t>
      </w:r>
      <w:r w:rsidR="001C5234">
        <w:rPr>
          <w:rFonts w:ascii="Times New Roman" w:hAnsi="Times New Roman"/>
        </w:rPr>
        <w:t xml:space="preserve">any </w:t>
      </w:r>
      <w:r w:rsidR="0049383C">
        <w:rPr>
          <w:rFonts w:ascii="Times New Roman" w:hAnsi="Times New Roman"/>
        </w:rPr>
        <w:t xml:space="preserve">confidential commercial </w:t>
      </w:r>
      <w:r w:rsidR="00BE2E0F">
        <w:rPr>
          <w:rFonts w:ascii="Times New Roman" w:hAnsi="Times New Roman"/>
        </w:rPr>
        <w:t>or</w:t>
      </w:r>
      <w:r w:rsidR="0049383C">
        <w:rPr>
          <w:rFonts w:ascii="Times New Roman" w:hAnsi="Times New Roman"/>
        </w:rPr>
        <w:t xml:space="preserve"> </w:t>
      </w:r>
      <w:r w:rsidRPr="00BA3233">
        <w:rPr>
          <w:rFonts w:ascii="Times New Roman" w:hAnsi="Times New Roman"/>
        </w:rPr>
        <w:t xml:space="preserve">proprietary information according to the Freedom of Information Act (5 U.S.C. 552) and </w:t>
      </w:r>
      <w:r w:rsidR="00B176AB">
        <w:rPr>
          <w:rFonts w:ascii="Times New Roman" w:hAnsi="Times New Roman"/>
        </w:rPr>
        <w:t>DOI’s</w:t>
      </w:r>
      <w:r w:rsidRPr="00BA3233">
        <w:rPr>
          <w:rFonts w:ascii="Times New Roman" w:hAnsi="Times New Roman"/>
        </w:rPr>
        <w:t xml:space="preserve"> implementing regulations (43 CFR 2); </w:t>
      </w:r>
      <w:r w:rsidR="00BE2E0F" w:rsidRPr="00BE2E0F">
        <w:rPr>
          <w:rFonts w:ascii="Times New Roman" w:hAnsi="Times New Roman"/>
        </w:rPr>
        <w:t>section 26 of OCSLA (43 U.S.C. 1352)</w:t>
      </w:r>
      <w:r w:rsidR="00BE2E0F">
        <w:rPr>
          <w:rFonts w:ascii="Times New Roman" w:hAnsi="Times New Roman"/>
        </w:rPr>
        <w:t xml:space="preserve">; </w:t>
      </w:r>
      <w:r w:rsidRPr="00BA3233">
        <w:rPr>
          <w:rFonts w:ascii="Times New Roman" w:hAnsi="Times New Roman"/>
        </w:rPr>
        <w:t xml:space="preserve">30 CFR 250.197, </w:t>
      </w:r>
      <w:r w:rsidRPr="00BA3233">
        <w:rPr>
          <w:rFonts w:ascii="Times New Roman" w:hAnsi="Times New Roman"/>
          <w:i/>
        </w:rPr>
        <w:t>Data and information to be made available to the public or for limited inspection;</w:t>
      </w:r>
      <w:r w:rsidRPr="00BA3233">
        <w:rPr>
          <w:rFonts w:ascii="Times New Roman" w:hAnsi="Times New Roman"/>
        </w:rPr>
        <w:t xml:space="preserve"> and 30 CFR part 252, </w:t>
      </w:r>
      <w:r w:rsidRPr="00BA3233">
        <w:rPr>
          <w:rFonts w:ascii="Times New Roman" w:hAnsi="Times New Roman"/>
          <w:i/>
        </w:rPr>
        <w:t>OCS Oil and Gas Information Program.</w:t>
      </w:r>
    </w:p>
    <w:p w14:paraId="7A1167C4" w14:textId="77777777" w:rsidR="006E35DB" w:rsidRDefault="006E35DB">
      <w:pPr>
        <w:widowControl/>
        <w:tabs>
          <w:tab w:val="left" w:pos="360"/>
          <w:tab w:val="left" w:pos="720"/>
        </w:tabs>
        <w:rPr>
          <w:rFonts w:ascii="Times New Roman" w:hAnsi="Times New Roman"/>
        </w:rPr>
      </w:pPr>
    </w:p>
    <w:p w14:paraId="08C6D161" w14:textId="77777777" w:rsidR="001F3345" w:rsidRPr="00600EEB" w:rsidRDefault="001F3345" w:rsidP="001F3345">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14:paraId="4E5B1D6D" w14:textId="77777777" w:rsidR="001F3345" w:rsidRDefault="001F3345" w:rsidP="001F3345">
      <w:pPr>
        <w:widowControl/>
        <w:tabs>
          <w:tab w:val="left" w:pos="-1080"/>
          <w:tab w:val="left" w:pos="-720"/>
          <w:tab w:val="left" w:pos="360"/>
          <w:tab w:val="left" w:pos="810"/>
        </w:tabs>
        <w:rPr>
          <w:rFonts w:ascii="Times New Roman" w:hAnsi="Times New Roman"/>
        </w:rPr>
      </w:pPr>
    </w:p>
    <w:p w14:paraId="1884B85D" w14:textId="77777777" w:rsidR="006E35DB" w:rsidRDefault="001F3345">
      <w:pPr>
        <w:widowControl/>
        <w:tabs>
          <w:tab w:val="left" w:pos="360"/>
          <w:tab w:val="left" w:pos="720"/>
        </w:tabs>
        <w:rPr>
          <w:rFonts w:ascii="Times New Roman" w:hAnsi="Times New Roman"/>
        </w:rPr>
      </w:pPr>
      <w:r>
        <w:rPr>
          <w:rFonts w:ascii="Times New Roman" w:hAnsi="Times New Roman"/>
        </w:rPr>
        <w:t>T</w:t>
      </w:r>
      <w:r w:rsidR="006E35DB">
        <w:rPr>
          <w:rFonts w:ascii="Times New Roman" w:hAnsi="Times New Roman"/>
        </w:rPr>
        <w:t>he collection does not include questions of a sensitive nature.</w:t>
      </w:r>
    </w:p>
    <w:p w14:paraId="36A1927D" w14:textId="77777777" w:rsidR="006E35DB" w:rsidRDefault="006E35DB">
      <w:pPr>
        <w:widowControl/>
        <w:tabs>
          <w:tab w:val="left" w:pos="360"/>
          <w:tab w:val="left" w:pos="720"/>
        </w:tabs>
        <w:rPr>
          <w:rFonts w:ascii="Times New Roman" w:hAnsi="Times New Roman"/>
        </w:rPr>
      </w:pPr>
    </w:p>
    <w:p w14:paraId="6F7DA2EB" w14:textId="77777777"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14:paraId="41E00596" w14:textId="77777777" w:rsidR="001F3345" w:rsidRPr="00600EEB" w:rsidRDefault="001F3345" w:rsidP="001F3345">
      <w:pPr>
        <w:widowControl/>
        <w:tabs>
          <w:tab w:val="left" w:pos="-1080"/>
          <w:tab w:val="left" w:pos="-720"/>
          <w:tab w:val="left" w:pos="360"/>
          <w:tab w:val="left" w:pos="810"/>
        </w:tabs>
        <w:rPr>
          <w:rFonts w:ascii="Times New Roman" w:hAnsi="Times New Roman"/>
          <w:b/>
          <w:i/>
        </w:rPr>
      </w:pPr>
    </w:p>
    <w:p w14:paraId="4A431AD7" w14:textId="77777777"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0B6991A9" w14:textId="77777777" w:rsidR="001F3345" w:rsidRPr="00600EEB" w:rsidRDefault="001F3345" w:rsidP="001F3345">
      <w:pPr>
        <w:widowControl/>
        <w:tabs>
          <w:tab w:val="left" w:pos="-1080"/>
          <w:tab w:val="left" w:pos="-720"/>
          <w:tab w:val="left" w:pos="360"/>
          <w:tab w:val="left" w:pos="810"/>
        </w:tabs>
        <w:rPr>
          <w:rFonts w:ascii="Times New Roman" w:hAnsi="Times New Roman"/>
          <w:b/>
          <w:i/>
        </w:rPr>
      </w:pPr>
    </w:p>
    <w:p w14:paraId="6C05B4EB" w14:textId="77777777"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14:paraId="31FA81E0" w14:textId="77777777" w:rsidR="008B3C3D" w:rsidRDefault="008B3C3D" w:rsidP="0059247E">
      <w:pPr>
        <w:widowControl/>
        <w:tabs>
          <w:tab w:val="left" w:pos="360"/>
          <w:tab w:val="left" w:pos="720"/>
          <w:tab w:val="left" w:pos="1080"/>
        </w:tabs>
        <w:rPr>
          <w:rFonts w:ascii="Times New Roman" w:hAnsi="Times New Roman"/>
        </w:rPr>
      </w:pPr>
    </w:p>
    <w:p w14:paraId="7255346E" w14:textId="77777777" w:rsidR="0059247E" w:rsidRDefault="0059247E" w:rsidP="0059247E">
      <w:pPr>
        <w:widowControl/>
        <w:tabs>
          <w:tab w:val="left" w:pos="360"/>
          <w:tab w:val="left" w:pos="720"/>
          <w:tab w:val="left" w:pos="1080"/>
        </w:tabs>
        <w:rPr>
          <w:rFonts w:ascii="Times New Roman" w:hAnsi="Times New Roman"/>
        </w:rPr>
      </w:pPr>
      <w:r w:rsidRPr="0059247E">
        <w:rPr>
          <w:rFonts w:ascii="Times New Roman" w:hAnsi="Times New Roman"/>
        </w:rPr>
        <w:t xml:space="preserve">Potential respondents include Federal OCS oil, gas, and sulphur lessees and holders of pipeline rights-of-way.  It should be noted that not all of the potential respondents will submit information in any given year and some may submit multiple times.  </w:t>
      </w:r>
      <w:r w:rsidR="00B14CDB" w:rsidRPr="00B14CDB">
        <w:rPr>
          <w:rFonts w:ascii="Times New Roman" w:hAnsi="Times New Roman"/>
        </w:rPr>
        <w:t xml:space="preserve">The burden estimates include the time for reviewing instructions, searching existing data sources, gathering and maintaining the data needed, and completing and reviewing the collection of information.  </w:t>
      </w:r>
      <w:r w:rsidR="00E61B11" w:rsidRPr="00CC1D90">
        <w:rPr>
          <w:rFonts w:ascii="Times New Roman" w:hAnsi="Times New Roman"/>
        </w:rPr>
        <w:t>Submissions are on occasion</w:t>
      </w:r>
      <w:r w:rsidR="00CC1D90" w:rsidRPr="00CC1D90">
        <w:rPr>
          <w:rFonts w:ascii="Times New Roman" w:hAnsi="Times New Roman"/>
        </w:rPr>
        <w:t>.</w:t>
      </w:r>
      <w:r w:rsidR="00CC1D90">
        <w:rPr>
          <w:rFonts w:ascii="Times New Roman" w:hAnsi="Times New Roman"/>
        </w:rPr>
        <w:t xml:space="preserve">  </w:t>
      </w:r>
      <w:r w:rsidR="00CC1D90" w:rsidRPr="00CC1D90">
        <w:rPr>
          <w:rFonts w:ascii="Times New Roman" w:hAnsi="Times New Roman"/>
        </w:rPr>
        <w:t>Responses are mandatory.</w:t>
      </w:r>
      <w:r w:rsidR="00CC1D90">
        <w:rPr>
          <w:rFonts w:ascii="Times New Roman" w:hAnsi="Times New Roman"/>
        </w:rPr>
        <w:t xml:space="preserve">  </w:t>
      </w:r>
      <w:r w:rsidRPr="0059247E">
        <w:rPr>
          <w:rFonts w:ascii="Times New Roman" w:hAnsi="Times New Roman"/>
        </w:rPr>
        <w:t xml:space="preserve">We estimate the total annual burden is </w:t>
      </w:r>
      <w:r w:rsidR="00FC65AF">
        <w:rPr>
          <w:rFonts w:ascii="Times New Roman" w:hAnsi="Times New Roman"/>
          <w:szCs w:val="24"/>
        </w:rPr>
        <w:t>500</w:t>
      </w:r>
      <w:r w:rsidR="00E7677D" w:rsidRPr="00903C91">
        <w:rPr>
          <w:rFonts w:ascii="Times New Roman" w:hAnsi="Times New Roman"/>
          <w:szCs w:val="24"/>
        </w:rPr>
        <w:t xml:space="preserve"> </w:t>
      </w:r>
      <w:r w:rsidRPr="0059247E">
        <w:rPr>
          <w:rFonts w:ascii="Times New Roman" w:hAnsi="Times New Roman"/>
        </w:rPr>
        <w:t>hours.  Refer to the following table for a breakdown of the burdens.</w:t>
      </w:r>
    </w:p>
    <w:p w14:paraId="49C959CB" w14:textId="77777777" w:rsidR="00C34036" w:rsidRDefault="00C34036" w:rsidP="0059247E">
      <w:pPr>
        <w:widowControl/>
        <w:tabs>
          <w:tab w:val="left" w:pos="360"/>
          <w:tab w:val="left" w:pos="720"/>
          <w:tab w:val="left" w:pos="1080"/>
        </w:tabs>
        <w:rPr>
          <w:rFonts w:ascii="Times New Roman" w:hAnsi="Times New Roman"/>
        </w:rPr>
      </w:pPr>
    </w:p>
    <w:p w14:paraId="4C86A812" w14:textId="77777777" w:rsidR="00FD7989" w:rsidRDefault="0059247E" w:rsidP="007C2FDD">
      <w:pPr>
        <w:widowControl/>
        <w:tabs>
          <w:tab w:val="left" w:pos="360"/>
          <w:tab w:val="left" w:pos="720"/>
          <w:tab w:val="left" w:pos="1080"/>
        </w:tabs>
        <w:jc w:val="center"/>
        <w:rPr>
          <w:rFonts w:ascii="Times New Roman" w:hAnsi="Times New Roman"/>
          <w:b/>
        </w:rPr>
      </w:pPr>
      <w:r w:rsidRPr="0059247E">
        <w:rPr>
          <w:rFonts w:ascii="Times New Roman" w:hAnsi="Times New Roman"/>
          <w:b/>
        </w:rPr>
        <w:t xml:space="preserve">Burden Breakdown     </w:t>
      </w:r>
      <w:r w:rsidR="00EA53E9">
        <w:rPr>
          <w:rFonts w:ascii="Times New Roman" w:hAnsi="Times New Roman"/>
          <w:b/>
        </w:rPr>
        <w:t xml:space="preserve"> </w:t>
      </w:r>
    </w:p>
    <w:tbl>
      <w:tblPr>
        <w:tblW w:w="8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0"/>
        <w:gridCol w:w="3570"/>
        <w:gridCol w:w="990"/>
        <w:gridCol w:w="1391"/>
        <w:gridCol w:w="931"/>
      </w:tblGrid>
      <w:tr w:rsidR="00FD7989" w:rsidRPr="00FD7989" w14:paraId="42B4BBDF" w14:textId="77777777" w:rsidTr="006C4CBA">
        <w:trPr>
          <w:tblHeader/>
        </w:trPr>
        <w:tc>
          <w:tcPr>
            <w:tcW w:w="1650" w:type="dxa"/>
            <w:vAlign w:val="center"/>
          </w:tcPr>
          <w:p w14:paraId="64EAA6E2" w14:textId="77777777" w:rsidR="00FD7989" w:rsidRPr="00FD7989" w:rsidRDefault="00FD7989" w:rsidP="00FD7989">
            <w:pPr>
              <w:widowControl/>
              <w:jc w:val="center"/>
              <w:rPr>
                <w:rFonts w:ascii="Times New Roman" w:hAnsi="Times New Roman"/>
                <w:b/>
                <w:snapToGrid/>
                <w:sz w:val="22"/>
                <w:szCs w:val="22"/>
              </w:rPr>
            </w:pPr>
            <w:r w:rsidRPr="00FD7989">
              <w:rPr>
                <w:rFonts w:ascii="Times New Roman" w:hAnsi="Times New Roman"/>
                <w:b/>
                <w:snapToGrid/>
                <w:sz w:val="22"/>
                <w:szCs w:val="22"/>
              </w:rPr>
              <w:t>Citation</w:t>
            </w:r>
          </w:p>
          <w:p w14:paraId="19111EF8" w14:textId="77777777" w:rsidR="00FD7989" w:rsidRPr="00FD7989" w:rsidRDefault="00FD7989" w:rsidP="00FD7989">
            <w:pPr>
              <w:widowControl/>
              <w:jc w:val="center"/>
              <w:rPr>
                <w:rFonts w:ascii="Times New Roman" w:hAnsi="Times New Roman"/>
                <w:b/>
                <w:snapToGrid/>
                <w:sz w:val="22"/>
                <w:szCs w:val="22"/>
              </w:rPr>
            </w:pPr>
            <w:r w:rsidRPr="00FD7989">
              <w:rPr>
                <w:rFonts w:ascii="Times New Roman" w:hAnsi="Times New Roman"/>
                <w:b/>
                <w:snapToGrid/>
                <w:sz w:val="22"/>
                <w:szCs w:val="22"/>
              </w:rPr>
              <w:t xml:space="preserve">30 CFR 250 </w:t>
            </w:r>
          </w:p>
        </w:tc>
        <w:tc>
          <w:tcPr>
            <w:tcW w:w="3570" w:type="dxa"/>
            <w:vAlign w:val="center"/>
          </w:tcPr>
          <w:p w14:paraId="40DDD507" w14:textId="77777777" w:rsidR="00FD7989" w:rsidRPr="00FD7989" w:rsidRDefault="00FD7989" w:rsidP="00FD7989">
            <w:pPr>
              <w:widowControl/>
              <w:jc w:val="center"/>
              <w:rPr>
                <w:rFonts w:ascii="Times New Roman" w:hAnsi="Times New Roman"/>
                <w:b/>
                <w:snapToGrid/>
                <w:sz w:val="22"/>
                <w:szCs w:val="22"/>
              </w:rPr>
            </w:pPr>
            <w:r w:rsidRPr="00FD7989">
              <w:rPr>
                <w:rFonts w:ascii="Times New Roman" w:hAnsi="Times New Roman"/>
                <w:b/>
                <w:snapToGrid/>
                <w:sz w:val="22"/>
                <w:szCs w:val="22"/>
              </w:rPr>
              <w:t>Reporting and Recordkeeping Requirements</w:t>
            </w:r>
          </w:p>
        </w:tc>
        <w:tc>
          <w:tcPr>
            <w:tcW w:w="990" w:type="dxa"/>
            <w:vAlign w:val="center"/>
          </w:tcPr>
          <w:p w14:paraId="19424B95" w14:textId="77777777" w:rsidR="00FD7989" w:rsidRPr="00FD7989" w:rsidRDefault="00FD7989" w:rsidP="00FD7989">
            <w:pPr>
              <w:widowControl/>
              <w:jc w:val="center"/>
              <w:rPr>
                <w:rFonts w:ascii="Times New Roman" w:hAnsi="Times New Roman"/>
                <w:b/>
                <w:snapToGrid/>
                <w:sz w:val="22"/>
                <w:szCs w:val="22"/>
              </w:rPr>
            </w:pPr>
            <w:r w:rsidRPr="00FD7989">
              <w:rPr>
                <w:rFonts w:ascii="Times New Roman" w:hAnsi="Times New Roman"/>
                <w:b/>
                <w:snapToGrid/>
                <w:sz w:val="22"/>
                <w:szCs w:val="22"/>
              </w:rPr>
              <w:t>Hour Burden</w:t>
            </w:r>
          </w:p>
        </w:tc>
        <w:tc>
          <w:tcPr>
            <w:tcW w:w="1391" w:type="dxa"/>
            <w:vAlign w:val="center"/>
          </w:tcPr>
          <w:p w14:paraId="1F5A4509" w14:textId="77777777" w:rsidR="00FD7989" w:rsidRPr="00FD7989" w:rsidRDefault="00FD7989" w:rsidP="00FD7989">
            <w:pPr>
              <w:widowControl/>
              <w:jc w:val="center"/>
              <w:rPr>
                <w:rFonts w:ascii="Times New Roman" w:hAnsi="Times New Roman"/>
                <w:b/>
                <w:snapToGrid/>
                <w:sz w:val="22"/>
                <w:szCs w:val="22"/>
              </w:rPr>
            </w:pPr>
            <w:r w:rsidRPr="00FD7989">
              <w:rPr>
                <w:rFonts w:ascii="Times New Roman" w:hAnsi="Times New Roman"/>
                <w:b/>
                <w:snapToGrid/>
                <w:sz w:val="22"/>
                <w:szCs w:val="22"/>
              </w:rPr>
              <w:t>Average No. of Annual Responses</w:t>
            </w:r>
          </w:p>
        </w:tc>
        <w:tc>
          <w:tcPr>
            <w:tcW w:w="931" w:type="dxa"/>
          </w:tcPr>
          <w:p w14:paraId="65171CB2" w14:textId="77777777" w:rsidR="00FD7989" w:rsidRPr="00FD7989" w:rsidRDefault="00FD7989" w:rsidP="00FD7989">
            <w:pPr>
              <w:widowControl/>
              <w:jc w:val="center"/>
              <w:rPr>
                <w:rFonts w:ascii="Times New Roman" w:hAnsi="Times New Roman"/>
                <w:b/>
                <w:snapToGrid/>
                <w:sz w:val="22"/>
                <w:szCs w:val="22"/>
              </w:rPr>
            </w:pPr>
            <w:r w:rsidRPr="00FD7989">
              <w:rPr>
                <w:rFonts w:ascii="Times New Roman" w:hAnsi="Times New Roman"/>
                <w:b/>
                <w:snapToGrid/>
                <w:sz w:val="22"/>
                <w:szCs w:val="22"/>
              </w:rPr>
              <w:t>Annual Burden Hours</w:t>
            </w:r>
          </w:p>
        </w:tc>
      </w:tr>
      <w:tr w:rsidR="00FD7989" w:rsidRPr="00FD7989" w14:paraId="26001061" w14:textId="77777777" w:rsidTr="004334DE">
        <w:trPr>
          <w:trHeight w:val="756"/>
        </w:trPr>
        <w:tc>
          <w:tcPr>
            <w:tcW w:w="1650" w:type="dxa"/>
          </w:tcPr>
          <w:p w14:paraId="2A98205F" w14:textId="77777777" w:rsidR="00FD7989" w:rsidRPr="00FD7989" w:rsidRDefault="00FD7989" w:rsidP="00FD7989">
            <w:pPr>
              <w:widowControl/>
              <w:rPr>
                <w:rFonts w:ascii="Times New Roman" w:hAnsi="Times New Roman"/>
                <w:i/>
                <w:snapToGrid/>
                <w:sz w:val="22"/>
                <w:szCs w:val="22"/>
              </w:rPr>
            </w:pPr>
            <w:r w:rsidRPr="00FD7989">
              <w:rPr>
                <w:rFonts w:ascii="Times New Roman" w:hAnsi="Times New Roman"/>
                <w:snapToGrid/>
                <w:sz w:val="22"/>
                <w:szCs w:val="22"/>
              </w:rPr>
              <w:t>250.1704(</w:t>
            </w:r>
            <w:proofErr w:type="spellStart"/>
            <w:r w:rsidRPr="00FD7989">
              <w:rPr>
                <w:rFonts w:ascii="Times New Roman" w:hAnsi="Times New Roman"/>
                <w:snapToGrid/>
                <w:sz w:val="22"/>
                <w:szCs w:val="22"/>
              </w:rPr>
              <w:t>i</w:t>
            </w:r>
            <w:proofErr w:type="spellEnd"/>
            <w:r w:rsidRPr="00FD7989">
              <w:rPr>
                <w:rFonts w:ascii="Times New Roman" w:hAnsi="Times New Roman"/>
                <w:snapToGrid/>
                <w:sz w:val="22"/>
                <w:szCs w:val="22"/>
              </w:rPr>
              <w:t>)</w:t>
            </w:r>
          </w:p>
        </w:tc>
        <w:tc>
          <w:tcPr>
            <w:tcW w:w="3570" w:type="dxa"/>
          </w:tcPr>
          <w:p w14:paraId="291EA57E" w14:textId="77777777" w:rsidR="00FD7989" w:rsidRPr="00FD7989" w:rsidRDefault="00FD7989" w:rsidP="00FD7989">
            <w:pPr>
              <w:widowControl/>
              <w:rPr>
                <w:rFonts w:ascii="Times New Roman" w:hAnsi="Times New Roman"/>
                <w:snapToGrid/>
                <w:sz w:val="22"/>
                <w:szCs w:val="22"/>
              </w:rPr>
            </w:pPr>
            <w:r w:rsidRPr="00FD7989">
              <w:rPr>
                <w:rFonts w:ascii="Times New Roman" w:hAnsi="Times New Roman"/>
                <w:snapToGrid/>
                <w:sz w:val="22"/>
                <w:szCs w:val="22"/>
              </w:rPr>
              <w:t xml:space="preserve">Submit to the Regional Supervisor a complete summary of expenditures incurred within 120 days after completion of each decommissioning </w:t>
            </w:r>
            <w:r w:rsidRPr="00FD7989">
              <w:rPr>
                <w:rFonts w:ascii="Times New Roman" w:hAnsi="Times New Roman"/>
                <w:snapToGrid/>
                <w:sz w:val="22"/>
                <w:szCs w:val="22"/>
              </w:rPr>
              <w:lastRenderedPageBreak/>
              <w:t>activity (including permanently plugging any well, removal of any platform or facility, decommissioning of pipelines, etc</w:t>
            </w:r>
            <w:r w:rsidRPr="00FD7989">
              <w:rPr>
                <w:rFonts w:ascii="Times New Roman" w:hAnsi="Times New Roman"/>
                <w:i/>
                <w:snapToGrid/>
                <w:sz w:val="22"/>
                <w:szCs w:val="22"/>
              </w:rPr>
              <w:t>.</w:t>
            </w:r>
            <w:r w:rsidRPr="00FD7989">
              <w:rPr>
                <w:rFonts w:ascii="Times New Roman" w:hAnsi="Times New Roman"/>
                <w:snapToGrid/>
                <w:sz w:val="22"/>
                <w:szCs w:val="22"/>
              </w:rPr>
              <w:t xml:space="preserve">).   </w:t>
            </w:r>
          </w:p>
        </w:tc>
        <w:tc>
          <w:tcPr>
            <w:tcW w:w="990" w:type="dxa"/>
          </w:tcPr>
          <w:p w14:paraId="17BFA978" w14:textId="77777777" w:rsidR="00FD7989" w:rsidRPr="00FD7989" w:rsidRDefault="00FD7989" w:rsidP="004334DE">
            <w:pPr>
              <w:widowControl/>
              <w:jc w:val="center"/>
              <w:rPr>
                <w:rFonts w:ascii="Times New Roman" w:hAnsi="Times New Roman"/>
                <w:snapToGrid/>
                <w:sz w:val="22"/>
                <w:szCs w:val="22"/>
              </w:rPr>
            </w:pPr>
            <w:r w:rsidRPr="00FD7989">
              <w:rPr>
                <w:rFonts w:ascii="Times New Roman" w:hAnsi="Times New Roman"/>
                <w:snapToGrid/>
                <w:sz w:val="22"/>
                <w:szCs w:val="22"/>
              </w:rPr>
              <w:lastRenderedPageBreak/>
              <w:t>1</w:t>
            </w:r>
          </w:p>
          <w:p w14:paraId="2ED51A24" w14:textId="77777777" w:rsidR="00FD7989" w:rsidRPr="00FD7989" w:rsidRDefault="00FD7989" w:rsidP="004334DE">
            <w:pPr>
              <w:widowControl/>
              <w:jc w:val="center"/>
              <w:rPr>
                <w:rFonts w:ascii="Times New Roman" w:hAnsi="Times New Roman"/>
                <w:snapToGrid/>
                <w:sz w:val="22"/>
                <w:szCs w:val="22"/>
              </w:rPr>
            </w:pPr>
          </w:p>
        </w:tc>
        <w:tc>
          <w:tcPr>
            <w:tcW w:w="1391" w:type="dxa"/>
          </w:tcPr>
          <w:p w14:paraId="40589DBC" w14:textId="77777777" w:rsidR="00FD7989" w:rsidRPr="00FD7989" w:rsidRDefault="00FD7989" w:rsidP="00FD7989">
            <w:pPr>
              <w:widowControl/>
              <w:rPr>
                <w:rFonts w:ascii="Times New Roman" w:hAnsi="Times New Roman"/>
                <w:snapToGrid/>
                <w:sz w:val="22"/>
                <w:szCs w:val="22"/>
              </w:rPr>
            </w:pPr>
            <w:r w:rsidRPr="00FD7989">
              <w:rPr>
                <w:rFonts w:ascii="Times New Roman" w:hAnsi="Times New Roman"/>
                <w:snapToGrid/>
                <w:sz w:val="22"/>
                <w:szCs w:val="22"/>
              </w:rPr>
              <w:t>500 pipeline summaries</w:t>
            </w:r>
          </w:p>
        </w:tc>
        <w:tc>
          <w:tcPr>
            <w:tcW w:w="931" w:type="dxa"/>
          </w:tcPr>
          <w:p w14:paraId="22A81A27" w14:textId="77777777" w:rsidR="00FD7989" w:rsidRPr="00FD7989" w:rsidRDefault="00FD7989" w:rsidP="00FD7989">
            <w:pPr>
              <w:widowControl/>
              <w:jc w:val="right"/>
              <w:rPr>
                <w:rFonts w:ascii="Times New Roman" w:hAnsi="Times New Roman"/>
                <w:snapToGrid/>
                <w:sz w:val="22"/>
                <w:szCs w:val="22"/>
              </w:rPr>
            </w:pPr>
            <w:r w:rsidRPr="00FD7989">
              <w:rPr>
                <w:rFonts w:ascii="Times New Roman" w:hAnsi="Times New Roman"/>
                <w:snapToGrid/>
                <w:sz w:val="22"/>
                <w:szCs w:val="22"/>
              </w:rPr>
              <w:t>500</w:t>
            </w:r>
          </w:p>
        </w:tc>
      </w:tr>
      <w:tr w:rsidR="00FD7989" w:rsidRPr="00FD7989" w14:paraId="76E8B342" w14:textId="77777777" w:rsidTr="006C4CBA">
        <w:tc>
          <w:tcPr>
            <w:tcW w:w="1650" w:type="dxa"/>
          </w:tcPr>
          <w:p w14:paraId="6B811448" w14:textId="77777777" w:rsidR="00FD7989" w:rsidRPr="00FD7989" w:rsidRDefault="00FD7989" w:rsidP="00FD7989">
            <w:pPr>
              <w:widowControl/>
              <w:rPr>
                <w:rFonts w:ascii="Times New Roman" w:hAnsi="Times New Roman"/>
                <w:snapToGrid/>
                <w:sz w:val="22"/>
                <w:szCs w:val="22"/>
              </w:rPr>
            </w:pPr>
            <w:r w:rsidRPr="00FD7989">
              <w:rPr>
                <w:rFonts w:ascii="Times New Roman" w:hAnsi="Times New Roman"/>
                <w:snapToGrid/>
                <w:sz w:val="22"/>
                <w:szCs w:val="22"/>
              </w:rPr>
              <w:lastRenderedPageBreak/>
              <w:t>250.1704(</w:t>
            </w:r>
            <w:proofErr w:type="spellStart"/>
            <w:r w:rsidRPr="00FD7989">
              <w:rPr>
                <w:rFonts w:ascii="Times New Roman" w:hAnsi="Times New Roman"/>
                <w:snapToGrid/>
                <w:sz w:val="22"/>
                <w:szCs w:val="22"/>
              </w:rPr>
              <w:t>i</w:t>
            </w:r>
            <w:proofErr w:type="spellEnd"/>
            <w:r w:rsidRPr="00FD7989">
              <w:rPr>
                <w:rFonts w:ascii="Times New Roman" w:hAnsi="Times New Roman"/>
                <w:snapToGrid/>
                <w:sz w:val="22"/>
                <w:szCs w:val="22"/>
              </w:rPr>
              <w:t>)</w:t>
            </w:r>
          </w:p>
        </w:tc>
        <w:tc>
          <w:tcPr>
            <w:tcW w:w="3570" w:type="dxa"/>
          </w:tcPr>
          <w:p w14:paraId="51F3ED17" w14:textId="77777777" w:rsidR="00FD7989" w:rsidRPr="00FD7989" w:rsidRDefault="00FD7989" w:rsidP="00FD7989">
            <w:pPr>
              <w:widowControl/>
              <w:rPr>
                <w:rFonts w:ascii="Times New Roman" w:hAnsi="Times New Roman"/>
                <w:snapToGrid/>
                <w:sz w:val="22"/>
                <w:szCs w:val="22"/>
              </w:rPr>
            </w:pPr>
            <w:r w:rsidRPr="00FD7989">
              <w:rPr>
                <w:rFonts w:ascii="Times New Roman" w:hAnsi="Times New Roman"/>
                <w:snapToGrid/>
                <w:sz w:val="22"/>
                <w:szCs w:val="22"/>
              </w:rPr>
              <w:t>Submit certified statement attesting to accuracy of the summary for expenditures incurred.</w:t>
            </w:r>
          </w:p>
        </w:tc>
        <w:tc>
          <w:tcPr>
            <w:tcW w:w="2381" w:type="dxa"/>
            <w:gridSpan w:val="2"/>
          </w:tcPr>
          <w:p w14:paraId="15DB6A98" w14:textId="77777777" w:rsidR="00FD7989" w:rsidRPr="00FD7989" w:rsidRDefault="00FD7989" w:rsidP="00FD7989">
            <w:pPr>
              <w:widowControl/>
              <w:rPr>
                <w:rFonts w:ascii="Times New Roman" w:hAnsi="Times New Roman"/>
                <w:snapToGrid/>
                <w:sz w:val="22"/>
                <w:szCs w:val="22"/>
              </w:rPr>
            </w:pPr>
            <w:r w:rsidRPr="00FD7989">
              <w:rPr>
                <w:rFonts w:ascii="Times New Roman" w:hAnsi="Times New Roman"/>
                <w:snapToGrid/>
                <w:sz w:val="22"/>
                <w:szCs w:val="22"/>
              </w:rPr>
              <w:t>Exempt from the PRA under 5 CFR 1320.3(</w:t>
            </w:r>
            <w:proofErr w:type="spellStart"/>
            <w:r w:rsidRPr="00FD7989">
              <w:rPr>
                <w:rFonts w:ascii="Times New Roman" w:hAnsi="Times New Roman"/>
                <w:snapToGrid/>
                <w:sz w:val="22"/>
                <w:szCs w:val="22"/>
              </w:rPr>
              <w:t>i</w:t>
            </w:r>
            <w:proofErr w:type="spellEnd"/>
            <w:proofErr w:type="gramStart"/>
            <w:r w:rsidRPr="00FD7989">
              <w:rPr>
                <w:rFonts w:ascii="Times New Roman" w:hAnsi="Times New Roman"/>
                <w:snapToGrid/>
                <w:sz w:val="22"/>
                <w:szCs w:val="22"/>
              </w:rPr>
              <w:t>)(</w:t>
            </w:r>
            <w:proofErr w:type="gramEnd"/>
            <w:r w:rsidRPr="00FD7989">
              <w:rPr>
                <w:rFonts w:ascii="Times New Roman" w:hAnsi="Times New Roman"/>
                <w:snapToGrid/>
                <w:sz w:val="22"/>
                <w:szCs w:val="22"/>
              </w:rPr>
              <w:t>1).</w:t>
            </w:r>
          </w:p>
        </w:tc>
        <w:tc>
          <w:tcPr>
            <w:tcW w:w="931" w:type="dxa"/>
          </w:tcPr>
          <w:p w14:paraId="1D94F787" w14:textId="77777777" w:rsidR="00FD7989" w:rsidRPr="00FD7989" w:rsidRDefault="00FD7989" w:rsidP="00FD7989">
            <w:pPr>
              <w:widowControl/>
              <w:jc w:val="right"/>
              <w:rPr>
                <w:rFonts w:ascii="Times New Roman" w:hAnsi="Times New Roman"/>
                <w:snapToGrid/>
                <w:sz w:val="22"/>
                <w:szCs w:val="22"/>
              </w:rPr>
            </w:pPr>
            <w:r w:rsidRPr="00FD7989">
              <w:rPr>
                <w:rFonts w:ascii="Times New Roman" w:hAnsi="Times New Roman"/>
                <w:snapToGrid/>
                <w:sz w:val="22"/>
                <w:szCs w:val="22"/>
              </w:rPr>
              <w:t>0</w:t>
            </w:r>
          </w:p>
        </w:tc>
      </w:tr>
      <w:tr w:rsidR="00FD7989" w:rsidRPr="00FD7989" w14:paraId="19489541" w14:textId="77777777" w:rsidTr="006C4CBA">
        <w:tc>
          <w:tcPr>
            <w:tcW w:w="6210" w:type="dxa"/>
            <w:gridSpan w:val="3"/>
          </w:tcPr>
          <w:p w14:paraId="5831D42D" w14:textId="77777777" w:rsidR="00FD7989" w:rsidRPr="00FD7989" w:rsidRDefault="00FD7989" w:rsidP="00FD7989">
            <w:pPr>
              <w:widowControl/>
              <w:ind w:right="-46"/>
              <w:jc w:val="right"/>
              <w:rPr>
                <w:rFonts w:ascii="Times New Roman" w:hAnsi="Times New Roman"/>
                <w:b/>
                <w:snapToGrid/>
                <w:sz w:val="22"/>
                <w:szCs w:val="22"/>
              </w:rPr>
            </w:pPr>
            <w:r w:rsidRPr="00FD7989">
              <w:rPr>
                <w:rFonts w:ascii="Times New Roman" w:hAnsi="Times New Roman"/>
                <w:b/>
                <w:snapToGrid/>
                <w:sz w:val="22"/>
                <w:szCs w:val="22"/>
              </w:rPr>
              <w:t xml:space="preserve">TOTAL </w:t>
            </w:r>
          </w:p>
        </w:tc>
        <w:tc>
          <w:tcPr>
            <w:tcW w:w="1391" w:type="dxa"/>
          </w:tcPr>
          <w:p w14:paraId="0AA59D17" w14:textId="77777777" w:rsidR="00FD7989" w:rsidRPr="00FD7989" w:rsidRDefault="00FD7989" w:rsidP="00FD7989">
            <w:pPr>
              <w:widowControl/>
              <w:rPr>
                <w:rFonts w:ascii="Times New Roman" w:hAnsi="Times New Roman"/>
                <w:b/>
                <w:snapToGrid/>
                <w:sz w:val="22"/>
                <w:szCs w:val="22"/>
              </w:rPr>
            </w:pPr>
            <w:r w:rsidRPr="00FD7989">
              <w:rPr>
                <w:rFonts w:ascii="Times New Roman" w:hAnsi="Times New Roman"/>
                <w:b/>
                <w:snapToGrid/>
                <w:sz w:val="22"/>
                <w:szCs w:val="22"/>
              </w:rPr>
              <w:t>500 Responses</w:t>
            </w:r>
          </w:p>
        </w:tc>
        <w:tc>
          <w:tcPr>
            <w:tcW w:w="931" w:type="dxa"/>
          </w:tcPr>
          <w:p w14:paraId="0E882D90" w14:textId="77777777" w:rsidR="00FD7989" w:rsidRPr="00FD7989" w:rsidRDefault="00FD7989" w:rsidP="00FD7989">
            <w:pPr>
              <w:widowControl/>
              <w:jc w:val="right"/>
              <w:rPr>
                <w:rFonts w:ascii="Times New Roman" w:hAnsi="Times New Roman"/>
                <w:b/>
                <w:snapToGrid/>
                <w:sz w:val="22"/>
                <w:szCs w:val="22"/>
              </w:rPr>
            </w:pPr>
            <w:r w:rsidRPr="00FD7989">
              <w:rPr>
                <w:rFonts w:ascii="Times New Roman" w:hAnsi="Times New Roman"/>
                <w:b/>
                <w:snapToGrid/>
                <w:sz w:val="22"/>
                <w:szCs w:val="22"/>
              </w:rPr>
              <w:t>500 Hours</w:t>
            </w:r>
          </w:p>
        </w:tc>
      </w:tr>
    </w:tbl>
    <w:p w14:paraId="10928AF9" w14:textId="77777777" w:rsidR="00FD7989" w:rsidRDefault="00FD7989" w:rsidP="007C2FDD">
      <w:pPr>
        <w:widowControl/>
        <w:tabs>
          <w:tab w:val="left" w:pos="360"/>
          <w:tab w:val="left" w:pos="720"/>
          <w:tab w:val="left" w:pos="1080"/>
        </w:tabs>
        <w:jc w:val="center"/>
        <w:rPr>
          <w:rFonts w:ascii="Times New Roman" w:hAnsi="Times New Roman"/>
          <w:b/>
        </w:rPr>
      </w:pPr>
    </w:p>
    <w:p w14:paraId="53E0A48E" w14:textId="0334FAF3" w:rsidR="00217C32" w:rsidRPr="00217C32" w:rsidRDefault="00217C32" w:rsidP="00217C32">
      <w:pPr>
        <w:widowControl/>
        <w:tabs>
          <w:tab w:val="left" w:pos="360"/>
          <w:tab w:val="left" w:pos="720"/>
          <w:tab w:val="left" w:pos="1080"/>
        </w:tabs>
        <w:rPr>
          <w:rFonts w:ascii="Times New Roman" w:hAnsi="Times New Roman"/>
        </w:rPr>
      </w:pPr>
      <w:r w:rsidRPr="00217C32">
        <w:rPr>
          <w:rFonts w:ascii="Times New Roman" w:hAnsi="Times New Roman"/>
        </w:rPr>
        <w:t>In addition, BSEE does not expect that any information that may be required on a case</w:t>
      </w:r>
      <w:r>
        <w:rPr>
          <w:rFonts w:ascii="Times New Roman" w:hAnsi="Times New Roman"/>
        </w:rPr>
        <w:t>-</w:t>
      </w:r>
      <w:r w:rsidRPr="00217C32">
        <w:rPr>
          <w:rFonts w:ascii="Times New Roman" w:hAnsi="Times New Roman"/>
        </w:rPr>
        <w:t xml:space="preserve">by-case basis under </w:t>
      </w:r>
      <w:r>
        <w:rPr>
          <w:rFonts w:ascii="Times New Roman" w:hAnsi="Times New Roman"/>
        </w:rPr>
        <w:t xml:space="preserve">§ </w:t>
      </w:r>
      <w:r w:rsidRPr="00217C32">
        <w:rPr>
          <w:rFonts w:ascii="Times New Roman" w:hAnsi="Times New Roman"/>
        </w:rPr>
        <w:t>250.1704(j) will result in any significant additional burden on any respondent given that (a) BSEE expects such request to be made infrequently; and (b) the additional information that would be requested would consist of copies of documents already in the possession of operators and readily available.</w:t>
      </w:r>
    </w:p>
    <w:p w14:paraId="60EA3A50" w14:textId="6C15B559" w:rsidR="0059247E" w:rsidRPr="00FD7989" w:rsidRDefault="0059247E" w:rsidP="00217C32">
      <w:pPr>
        <w:widowControl/>
        <w:tabs>
          <w:tab w:val="left" w:pos="360"/>
          <w:tab w:val="left" w:pos="720"/>
          <w:tab w:val="left" w:pos="1080"/>
        </w:tabs>
        <w:rPr>
          <w:rFonts w:ascii="Times New Roman" w:hAnsi="Times New Roman"/>
          <w:b/>
        </w:rPr>
      </w:pPr>
      <w:r w:rsidRPr="0059247E">
        <w:rPr>
          <w:rFonts w:ascii="Times New Roman" w:hAnsi="Times New Roman"/>
          <w:b/>
        </w:rPr>
        <w:t xml:space="preserve">                      </w:t>
      </w:r>
    </w:p>
    <w:p w14:paraId="14CBF053" w14:textId="77777777" w:rsidR="00D41C77" w:rsidRDefault="00D41C77" w:rsidP="00D41C77">
      <w:pPr>
        <w:widowControl/>
        <w:tabs>
          <w:tab w:val="left" w:pos="-1080"/>
          <w:tab w:val="left" w:pos="-720"/>
          <w:tab w:val="left" w:pos="360"/>
          <w:tab w:val="left" w:pos="810"/>
        </w:tabs>
        <w:rPr>
          <w:rFonts w:ascii="Times New Roman" w:hAnsi="Times New Roman"/>
          <w:i/>
        </w:rPr>
      </w:pP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14:paraId="6ECF4AC9" w14:textId="77777777" w:rsidR="00D41C77" w:rsidRDefault="00D41C77">
      <w:pPr>
        <w:widowControl/>
        <w:tabs>
          <w:tab w:val="left" w:pos="360"/>
          <w:tab w:val="left" w:pos="720"/>
          <w:tab w:val="left" w:pos="1080"/>
        </w:tabs>
        <w:rPr>
          <w:rFonts w:ascii="Times New Roman" w:hAnsi="Times New Roman"/>
        </w:rPr>
      </w:pPr>
    </w:p>
    <w:p w14:paraId="2174E86C" w14:textId="77777777" w:rsidR="00567704" w:rsidRPr="00567704" w:rsidRDefault="00FC031E" w:rsidP="00567704">
      <w:pPr>
        <w:rPr>
          <w:rFonts w:ascii="Calibri" w:hAnsi="Calibri"/>
          <w:snapToGrid/>
          <w:color w:val="0000FF"/>
          <w:szCs w:val="24"/>
          <w:u w:val="single"/>
        </w:rPr>
      </w:pPr>
      <w:r w:rsidRPr="00FC031E">
        <w:rPr>
          <w:rFonts w:ascii="Times New Roman" w:hAnsi="Times New Roman"/>
          <w:snapToGrid/>
        </w:rPr>
        <w:t>The average respondent cost is $1</w:t>
      </w:r>
      <w:r w:rsidR="00D40F8B">
        <w:rPr>
          <w:rFonts w:ascii="Times New Roman" w:hAnsi="Times New Roman"/>
          <w:snapToGrid/>
        </w:rPr>
        <w:t>36</w:t>
      </w:r>
      <w:r w:rsidRPr="00FC031E">
        <w:rPr>
          <w:rFonts w:ascii="Times New Roman" w:hAnsi="Times New Roman"/>
          <w:snapToGrid/>
        </w:rPr>
        <w:t xml:space="preserve">/hour.  This cost is broken out in the following table using the Society of Petroleum Engineers (SPE) data </w:t>
      </w:r>
      <w:r w:rsidR="008C4CDE">
        <w:rPr>
          <w:rFonts w:ascii="Times New Roman" w:hAnsi="Times New Roman"/>
          <w:snapToGrid/>
        </w:rPr>
        <w:t>up</w:t>
      </w:r>
      <w:r w:rsidRPr="00FC031E">
        <w:rPr>
          <w:rFonts w:ascii="Times New Roman" w:hAnsi="Times New Roman"/>
          <w:snapToGrid/>
        </w:rPr>
        <w:t xml:space="preserve">dated </w:t>
      </w:r>
      <w:r w:rsidR="008C4CDE">
        <w:rPr>
          <w:rFonts w:ascii="Times New Roman" w:hAnsi="Times New Roman"/>
          <w:snapToGrid/>
        </w:rPr>
        <w:t>2015</w:t>
      </w:r>
      <w:r w:rsidRPr="00FC031E">
        <w:rPr>
          <w:rFonts w:ascii="Times New Roman" w:hAnsi="Times New Roman"/>
          <w:snapToGrid/>
        </w:rPr>
        <w:t>.  See SPE document/website:</w:t>
      </w:r>
      <w:r w:rsidR="002F0042">
        <w:rPr>
          <w:rFonts w:ascii="Courier" w:hAnsi="Courier"/>
          <w:snapToGrid/>
        </w:rPr>
        <w:t xml:space="preserve"> </w:t>
      </w:r>
      <w:hyperlink r:id="rId8" w:history="1">
        <w:r w:rsidR="00962F48" w:rsidRPr="00962F48">
          <w:rPr>
            <w:rStyle w:val="Hyperlink"/>
            <w:rFonts w:ascii="Times New Roman" w:hAnsi="Times New Roman"/>
            <w:snapToGrid/>
          </w:rPr>
          <w:t>http://www.spe.org/industry/docs/15SalarySurveyHighlights.pdf</w:t>
        </w:r>
      </w:hyperlink>
      <w:r w:rsidR="00962F48" w:rsidRPr="00962F48">
        <w:rPr>
          <w:rFonts w:ascii="Times New Roman" w:hAnsi="Times New Roman"/>
          <w:snapToGrid/>
        </w:rPr>
        <w:t xml:space="preserve"> </w:t>
      </w:r>
    </w:p>
    <w:p w14:paraId="1D054430" w14:textId="77777777" w:rsidR="00FC031E" w:rsidRPr="002F0042" w:rsidRDefault="00FC031E" w:rsidP="00567704">
      <w:pPr>
        <w:widowControl/>
        <w:tabs>
          <w:tab w:val="left" w:pos="-1080"/>
          <w:tab w:val="left" w:pos="-720"/>
          <w:tab w:val="left" w:pos="360"/>
          <w:tab w:val="left" w:pos="810"/>
        </w:tabs>
        <w:rPr>
          <w:rFonts w:ascii="Times New Roman" w:hAnsi="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515"/>
        <w:gridCol w:w="1865"/>
        <w:gridCol w:w="1517"/>
        <w:gridCol w:w="1778"/>
      </w:tblGrid>
      <w:tr w:rsidR="00FC031E" w:rsidRPr="002F0042" w14:paraId="677198CF" w14:textId="77777777" w:rsidTr="00F5040A">
        <w:tc>
          <w:tcPr>
            <w:tcW w:w="2700" w:type="dxa"/>
            <w:vAlign w:val="center"/>
          </w:tcPr>
          <w:p w14:paraId="6E15ADD1" w14:textId="77777777" w:rsidR="00FC031E" w:rsidRPr="002F0042" w:rsidRDefault="00FC031E" w:rsidP="00FC031E">
            <w:pPr>
              <w:widowControl/>
              <w:tabs>
                <w:tab w:val="left" w:pos="360"/>
              </w:tabs>
              <w:jc w:val="center"/>
              <w:rPr>
                <w:rFonts w:ascii="Times New Roman" w:hAnsi="Times New Roman"/>
                <w:b/>
                <w:sz w:val="22"/>
                <w:szCs w:val="22"/>
              </w:rPr>
            </w:pPr>
            <w:r w:rsidRPr="002F0042">
              <w:rPr>
                <w:rFonts w:ascii="Times New Roman" w:hAnsi="Times New Roman"/>
                <w:b/>
                <w:sz w:val="22"/>
                <w:szCs w:val="22"/>
              </w:rPr>
              <w:t>Position</w:t>
            </w:r>
          </w:p>
        </w:tc>
        <w:tc>
          <w:tcPr>
            <w:tcW w:w="1530" w:type="dxa"/>
          </w:tcPr>
          <w:p w14:paraId="50BA1699" w14:textId="77777777" w:rsidR="00FC031E" w:rsidRPr="002F0042" w:rsidRDefault="00FC031E" w:rsidP="00FC031E">
            <w:pPr>
              <w:widowControl/>
              <w:tabs>
                <w:tab w:val="left" w:pos="360"/>
              </w:tabs>
              <w:jc w:val="center"/>
              <w:rPr>
                <w:rFonts w:ascii="Times New Roman" w:hAnsi="Times New Roman"/>
                <w:b/>
                <w:sz w:val="22"/>
                <w:szCs w:val="22"/>
              </w:rPr>
            </w:pPr>
            <w:r w:rsidRPr="002F0042">
              <w:rPr>
                <w:rFonts w:ascii="Times New Roman" w:hAnsi="Times New Roman"/>
                <w:b/>
                <w:sz w:val="22"/>
                <w:szCs w:val="22"/>
              </w:rPr>
              <w:t>Hourly Pay rate ($/hour estimate)</w:t>
            </w:r>
          </w:p>
        </w:tc>
        <w:tc>
          <w:tcPr>
            <w:tcW w:w="1890" w:type="dxa"/>
          </w:tcPr>
          <w:p w14:paraId="0E01C62C" w14:textId="77777777" w:rsidR="00FC031E" w:rsidRPr="002F0042" w:rsidRDefault="00FC031E" w:rsidP="00FC031E">
            <w:pPr>
              <w:widowControl/>
              <w:tabs>
                <w:tab w:val="left" w:pos="360"/>
              </w:tabs>
              <w:jc w:val="center"/>
              <w:rPr>
                <w:rFonts w:ascii="Times New Roman" w:hAnsi="Times New Roman"/>
                <w:b/>
                <w:sz w:val="22"/>
                <w:szCs w:val="22"/>
              </w:rPr>
            </w:pPr>
            <w:r w:rsidRPr="002F0042">
              <w:rPr>
                <w:rFonts w:ascii="Times New Roman" w:hAnsi="Times New Roman"/>
                <w:b/>
                <w:sz w:val="22"/>
                <w:szCs w:val="22"/>
              </w:rPr>
              <w:t>Hourly rate including benefits (1.4*  x $/hour)</w:t>
            </w:r>
          </w:p>
        </w:tc>
        <w:tc>
          <w:tcPr>
            <w:tcW w:w="1530" w:type="dxa"/>
          </w:tcPr>
          <w:p w14:paraId="751C509C" w14:textId="77777777" w:rsidR="00FC031E" w:rsidRPr="002F0042" w:rsidRDefault="00FC031E" w:rsidP="00FC031E">
            <w:pPr>
              <w:widowControl/>
              <w:tabs>
                <w:tab w:val="left" w:pos="360"/>
              </w:tabs>
              <w:jc w:val="center"/>
              <w:rPr>
                <w:rFonts w:ascii="Times New Roman" w:hAnsi="Times New Roman"/>
                <w:b/>
                <w:sz w:val="22"/>
                <w:szCs w:val="22"/>
              </w:rPr>
            </w:pPr>
            <w:r w:rsidRPr="002F0042">
              <w:rPr>
                <w:rFonts w:ascii="Times New Roman" w:hAnsi="Times New Roman"/>
                <w:b/>
                <w:sz w:val="22"/>
                <w:szCs w:val="22"/>
              </w:rPr>
              <w:t>Percent of time spent on collection</w:t>
            </w:r>
          </w:p>
        </w:tc>
        <w:tc>
          <w:tcPr>
            <w:tcW w:w="1800" w:type="dxa"/>
          </w:tcPr>
          <w:p w14:paraId="5A4D6D93" w14:textId="77777777" w:rsidR="00FC031E" w:rsidRPr="002F0042" w:rsidRDefault="00FC031E" w:rsidP="00FC031E">
            <w:pPr>
              <w:widowControl/>
              <w:tabs>
                <w:tab w:val="left" w:pos="360"/>
              </w:tabs>
              <w:jc w:val="center"/>
              <w:rPr>
                <w:rFonts w:ascii="Times New Roman" w:hAnsi="Times New Roman"/>
                <w:b/>
                <w:sz w:val="22"/>
                <w:szCs w:val="22"/>
              </w:rPr>
            </w:pPr>
            <w:r w:rsidRPr="002F0042">
              <w:rPr>
                <w:rFonts w:ascii="Times New Roman" w:hAnsi="Times New Roman"/>
                <w:b/>
                <w:sz w:val="22"/>
                <w:szCs w:val="22"/>
              </w:rPr>
              <w:t>Weighted Average ($/hour/ rounded)</w:t>
            </w:r>
          </w:p>
        </w:tc>
      </w:tr>
      <w:tr w:rsidR="00FC031E" w:rsidRPr="002F0042" w14:paraId="0C857732" w14:textId="77777777" w:rsidTr="00F5040A">
        <w:tc>
          <w:tcPr>
            <w:tcW w:w="2700" w:type="dxa"/>
          </w:tcPr>
          <w:p w14:paraId="0C00396F" w14:textId="77777777" w:rsidR="00FC031E" w:rsidRPr="002F0042" w:rsidRDefault="0008506F" w:rsidP="00FC031E">
            <w:pPr>
              <w:widowControl/>
              <w:tabs>
                <w:tab w:val="left" w:pos="360"/>
              </w:tabs>
              <w:rPr>
                <w:rFonts w:ascii="Times New Roman" w:hAnsi="Times New Roman"/>
                <w:sz w:val="22"/>
                <w:szCs w:val="22"/>
              </w:rPr>
            </w:pPr>
            <w:r w:rsidRPr="0008506F">
              <w:rPr>
                <w:rFonts w:ascii="Times New Roman" w:hAnsi="Times New Roman"/>
                <w:sz w:val="22"/>
                <w:szCs w:val="22"/>
              </w:rPr>
              <w:t>Non-Engineering Technical</w:t>
            </w:r>
          </w:p>
        </w:tc>
        <w:tc>
          <w:tcPr>
            <w:tcW w:w="1530" w:type="dxa"/>
          </w:tcPr>
          <w:p w14:paraId="7FA810F1" w14:textId="77777777" w:rsidR="00FC031E" w:rsidRPr="002F0042" w:rsidRDefault="00875C4E" w:rsidP="0008506F">
            <w:pPr>
              <w:widowControl/>
              <w:tabs>
                <w:tab w:val="left" w:pos="360"/>
              </w:tabs>
              <w:jc w:val="center"/>
              <w:rPr>
                <w:rFonts w:ascii="Times New Roman" w:hAnsi="Times New Roman"/>
                <w:sz w:val="22"/>
                <w:szCs w:val="22"/>
              </w:rPr>
            </w:pPr>
            <w:r>
              <w:rPr>
                <w:rFonts w:ascii="Times New Roman" w:hAnsi="Times New Roman"/>
                <w:sz w:val="22"/>
                <w:szCs w:val="22"/>
              </w:rPr>
              <w:t>$80.54</w:t>
            </w:r>
          </w:p>
        </w:tc>
        <w:tc>
          <w:tcPr>
            <w:tcW w:w="1890" w:type="dxa"/>
          </w:tcPr>
          <w:p w14:paraId="6D9EE18A" w14:textId="77777777" w:rsidR="00FC031E" w:rsidRPr="002F0042" w:rsidRDefault="00875C4E" w:rsidP="0008506F">
            <w:pPr>
              <w:widowControl/>
              <w:tabs>
                <w:tab w:val="left" w:pos="360"/>
              </w:tabs>
              <w:jc w:val="center"/>
              <w:rPr>
                <w:rFonts w:ascii="Times New Roman" w:hAnsi="Times New Roman"/>
                <w:sz w:val="22"/>
                <w:szCs w:val="22"/>
              </w:rPr>
            </w:pPr>
            <w:r>
              <w:rPr>
                <w:rFonts w:ascii="Times New Roman" w:hAnsi="Times New Roman"/>
                <w:sz w:val="22"/>
                <w:szCs w:val="22"/>
              </w:rPr>
              <w:t>$112.75</w:t>
            </w:r>
          </w:p>
        </w:tc>
        <w:tc>
          <w:tcPr>
            <w:tcW w:w="1530" w:type="dxa"/>
          </w:tcPr>
          <w:p w14:paraId="033F4BDF" w14:textId="77777777" w:rsidR="00FC031E" w:rsidRPr="002F0042" w:rsidRDefault="00FC031E" w:rsidP="00FC031E">
            <w:pPr>
              <w:widowControl/>
              <w:tabs>
                <w:tab w:val="left" w:pos="360"/>
              </w:tabs>
              <w:jc w:val="center"/>
              <w:rPr>
                <w:rFonts w:ascii="Times New Roman" w:hAnsi="Times New Roman"/>
                <w:sz w:val="22"/>
                <w:szCs w:val="22"/>
              </w:rPr>
            </w:pPr>
            <w:r w:rsidRPr="002F0042">
              <w:rPr>
                <w:rFonts w:ascii="Times New Roman" w:hAnsi="Times New Roman"/>
                <w:sz w:val="22"/>
                <w:szCs w:val="22"/>
              </w:rPr>
              <w:t>12%</w:t>
            </w:r>
          </w:p>
        </w:tc>
        <w:tc>
          <w:tcPr>
            <w:tcW w:w="1800" w:type="dxa"/>
          </w:tcPr>
          <w:p w14:paraId="2E4E4A4F" w14:textId="77777777" w:rsidR="00FC031E" w:rsidRPr="002F0042" w:rsidRDefault="00875C4E" w:rsidP="00567704">
            <w:pPr>
              <w:widowControl/>
              <w:tabs>
                <w:tab w:val="left" w:pos="360"/>
              </w:tabs>
              <w:jc w:val="center"/>
              <w:rPr>
                <w:rFonts w:ascii="Times New Roman" w:hAnsi="Times New Roman"/>
                <w:sz w:val="22"/>
                <w:szCs w:val="22"/>
              </w:rPr>
            </w:pPr>
            <w:r>
              <w:rPr>
                <w:rFonts w:ascii="Times New Roman" w:hAnsi="Times New Roman"/>
                <w:sz w:val="22"/>
                <w:szCs w:val="22"/>
              </w:rPr>
              <w:t>$13.53</w:t>
            </w:r>
          </w:p>
        </w:tc>
      </w:tr>
      <w:tr w:rsidR="00FC031E" w:rsidRPr="002F0042" w14:paraId="5EF90BD3" w14:textId="77777777" w:rsidTr="00F5040A">
        <w:tc>
          <w:tcPr>
            <w:tcW w:w="2700" w:type="dxa"/>
          </w:tcPr>
          <w:p w14:paraId="773A7002" w14:textId="77777777" w:rsidR="00FC031E" w:rsidRPr="002F0042" w:rsidRDefault="00FC031E" w:rsidP="00FC031E">
            <w:pPr>
              <w:widowControl/>
              <w:tabs>
                <w:tab w:val="left" w:pos="360"/>
              </w:tabs>
              <w:rPr>
                <w:rFonts w:ascii="Times New Roman" w:hAnsi="Times New Roman"/>
                <w:sz w:val="22"/>
                <w:szCs w:val="22"/>
              </w:rPr>
            </w:pPr>
            <w:r w:rsidRPr="002F0042">
              <w:rPr>
                <w:rFonts w:ascii="Times New Roman" w:hAnsi="Times New Roman"/>
                <w:sz w:val="22"/>
                <w:szCs w:val="22"/>
              </w:rPr>
              <w:t>Engineering Civil/ Construction/Facilities</w:t>
            </w:r>
          </w:p>
        </w:tc>
        <w:tc>
          <w:tcPr>
            <w:tcW w:w="1530" w:type="dxa"/>
          </w:tcPr>
          <w:p w14:paraId="17E7FB6F" w14:textId="77777777" w:rsidR="00FC031E" w:rsidRPr="002F0042" w:rsidRDefault="00875C4E" w:rsidP="0008506F">
            <w:pPr>
              <w:widowControl/>
              <w:tabs>
                <w:tab w:val="left" w:pos="360"/>
              </w:tabs>
              <w:jc w:val="center"/>
              <w:rPr>
                <w:rFonts w:ascii="Times New Roman" w:hAnsi="Times New Roman"/>
                <w:sz w:val="22"/>
                <w:szCs w:val="22"/>
              </w:rPr>
            </w:pPr>
            <w:r>
              <w:rPr>
                <w:rFonts w:ascii="Times New Roman" w:hAnsi="Times New Roman"/>
                <w:sz w:val="22"/>
                <w:szCs w:val="22"/>
              </w:rPr>
              <w:t>$97.74</w:t>
            </w:r>
          </w:p>
        </w:tc>
        <w:tc>
          <w:tcPr>
            <w:tcW w:w="1890" w:type="dxa"/>
          </w:tcPr>
          <w:p w14:paraId="39A58ACC" w14:textId="77777777" w:rsidR="00FC031E" w:rsidRPr="002F0042" w:rsidRDefault="00875C4E" w:rsidP="0008506F">
            <w:pPr>
              <w:widowControl/>
              <w:tabs>
                <w:tab w:val="left" w:pos="360"/>
              </w:tabs>
              <w:jc w:val="center"/>
              <w:rPr>
                <w:rFonts w:ascii="Times New Roman" w:hAnsi="Times New Roman"/>
                <w:sz w:val="22"/>
                <w:szCs w:val="22"/>
              </w:rPr>
            </w:pPr>
            <w:r>
              <w:rPr>
                <w:rFonts w:ascii="Times New Roman" w:hAnsi="Times New Roman"/>
                <w:sz w:val="22"/>
                <w:szCs w:val="22"/>
              </w:rPr>
              <w:t>$136.84</w:t>
            </w:r>
          </w:p>
        </w:tc>
        <w:tc>
          <w:tcPr>
            <w:tcW w:w="1530" w:type="dxa"/>
          </w:tcPr>
          <w:p w14:paraId="1ECA73CD" w14:textId="77777777" w:rsidR="00FC031E" w:rsidRPr="002F0042" w:rsidRDefault="00FC031E" w:rsidP="00FC031E">
            <w:pPr>
              <w:widowControl/>
              <w:tabs>
                <w:tab w:val="left" w:pos="360"/>
              </w:tabs>
              <w:jc w:val="center"/>
              <w:rPr>
                <w:rFonts w:ascii="Times New Roman" w:hAnsi="Times New Roman"/>
                <w:sz w:val="22"/>
                <w:szCs w:val="22"/>
              </w:rPr>
            </w:pPr>
            <w:r w:rsidRPr="002F0042">
              <w:rPr>
                <w:rFonts w:ascii="Times New Roman" w:hAnsi="Times New Roman"/>
                <w:sz w:val="22"/>
                <w:szCs w:val="22"/>
              </w:rPr>
              <w:t>63%</w:t>
            </w:r>
          </w:p>
        </w:tc>
        <w:tc>
          <w:tcPr>
            <w:tcW w:w="1800" w:type="dxa"/>
          </w:tcPr>
          <w:p w14:paraId="57C94215" w14:textId="77777777" w:rsidR="00FC031E" w:rsidRPr="002F0042" w:rsidRDefault="00875C4E" w:rsidP="00567704">
            <w:pPr>
              <w:widowControl/>
              <w:tabs>
                <w:tab w:val="left" w:pos="360"/>
              </w:tabs>
              <w:jc w:val="center"/>
              <w:rPr>
                <w:rFonts w:ascii="Times New Roman" w:hAnsi="Times New Roman"/>
                <w:sz w:val="22"/>
                <w:szCs w:val="22"/>
              </w:rPr>
            </w:pPr>
            <w:r>
              <w:rPr>
                <w:rFonts w:ascii="Times New Roman" w:hAnsi="Times New Roman"/>
                <w:sz w:val="22"/>
                <w:szCs w:val="22"/>
              </w:rPr>
              <w:t>$86.21</w:t>
            </w:r>
          </w:p>
        </w:tc>
      </w:tr>
      <w:tr w:rsidR="00FC031E" w:rsidRPr="002F0042" w14:paraId="4308CACE" w14:textId="77777777" w:rsidTr="00F5040A">
        <w:tc>
          <w:tcPr>
            <w:tcW w:w="2700" w:type="dxa"/>
          </w:tcPr>
          <w:p w14:paraId="13478295" w14:textId="77777777" w:rsidR="00FC031E" w:rsidRPr="002F0042" w:rsidRDefault="00FC031E" w:rsidP="00FC031E">
            <w:pPr>
              <w:widowControl/>
              <w:tabs>
                <w:tab w:val="left" w:pos="360"/>
              </w:tabs>
              <w:rPr>
                <w:rFonts w:ascii="Times New Roman" w:hAnsi="Times New Roman"/>
                <w:sz w:val="22"/>
                <w:szCs w:val="22"/>
              </w:rPr>
            </w:pPr>
            <w:r w:rsidRPr="002F0042">
              <w:rPr>
                <w:rFonts w:ascii="Times New Roman" w:hAnsi="Times New Roman"/>
                <w:sz w:val="22"/>
                <w:szCs w:val="22"/>
              </w:rPr>
              <w:t>Engineering - Other</w:t>
            </w:r>
          </w:p>
        </w:tc>
        <w:tc>
          <w:tcPr>
            <w:tcW w:w="1530" w:type="dxa"/>
          </w:tcPr>
          <w:p w14:paraId="39695B4E" w14:textId="77777777" w:rsidR="00FC031E" w:rsidRPr="002F0042" w:rsidRDefault="00875C4E" w:rsidP="0008506F">
            <w:pPr>
              <w:widowControl/>
              <w:tabs>
                <w:tab w:val="left" w:pos="360"/>
              </w:tabs>
              <w:jc w:val="center"/>
              <w:rPr>
                <w:rFonts w:ascii="Times New Roman" w:hAnsi="Times New Roman"/>
                <w:sz w:val="22"/>
                <w:szCs w:val="22"/>
              </w:rPr>
            </w:pPr>
            <w:r>
              <w:rPr>
                <w:rFonts w:ascii="Times New Roman" w:hAnsi="Times New Roman"/>
                <w:sz w:val="22"/>
                <w:szCs w:val="22"/>
              </w:rPr>
              <w:t>$104.23</w:t>
            </w:r>
          </w:p>
        </w:tc>
        <w:tc>
          <w:tcPr>
            <w:tcW w:w="1890" w:type="dxa"/>
          </w:tcPr>
          <w:p w14:paraId="19E09CA0" w14:textId="77777777" w:rsidR="00FC031E" w:rsidRPr="002F0042" w:rsidRDefault="00875C4E" w:rsidP="0008506F">
            <w:pPr>
              <w:widowControl/>
              <w:tabs>
                <w:tab w:val="left" w:pos="360"/>
              </w:tabs>
              <w:jc w:val="center"/>
              <w:rPr>
                <w:rFonts w:ascii="Times New Roman" w:hAnsi="Times New Roman"/>
                <w:sz w:val="22"/>
                <w:szCs w:val="22"/>
              </w:rPr>
            </w:pPr>
            <w:r>
              <w:rPr>
                <w:rFonts w:ascii="Times New Roman" w:hAnsi="Times New Roman"/>
                <w:sz w:val="22"/>
                <w:szCs w:val="22"/>
              </w:rPr>
              <w:t>$145.92</w:t>
            </w:r>
          </w:p>
        </w:tc>
        <w:tc>
          <w:tcPr>
            <w:tcW w:w="1530" w:type="dxa"/>
          </w:tcPr>
          <w:p w14:paraId="58E55F12" w14:textId="77777777" w:rsidR="00FC031E" w:rsidRPr="002F0042" w:rsidRDefault="00FC031E" w:rsidP="00FC031E">
            <w:pPr>
              <w:widowControl/>
              <w:tabs>
                <w:tab w:val="left" w:pos="360"/>
              </w:tabs>
              <w:jc w:val="center"/>
              <w:rPr>
                <w:rFonts w:ascii="Times New Roman" w:hAnsi="Times New Roman"/>
                <w:sz w:val="22"/>
                <w:szCs w:val="22"/>
              </w:rPr>
            </w:pPr>
            <w:r w:rsidRPr="002F0042">
              <w:rPr>
                <w:rFonts w:ascii="Times New Roman" w:hAnsi="Times New Roman"/>
                <w:sz w:val="22"/>
                <w:szCs w:val="22"/>
              </w:rPr>
              <w:t>25%</w:t>
            </w:r>
          </w:p>
        </w:tc>
        <w:tc>
          <w:tcPr>
            <w:tcW w:w="1800" w:type="dxa"/>
          </w:tcPr>
          <w:p w14:paraId="727D112C" w14:textId="77777777" w:rsidR="00FC031E" w:rsidRPr="002F0042" w:rsidRDefault="00875C4E" w:rsidP="00FC031E">
            <w:pPr>
              <w:widowControl/>
              <w:tabs>
                <w:tab w:val="left" w:pos="360"/>
              </w:tabs>
              <w:jc w:val="center"/>
              <w:rPr>
                <w:rFonts w:ascii="Times New Roman" w:hAnsi="Times New Roman"/>
                <w:sz w:val="22"/>
                <w:szCs w:val="22"/>
              </w:rPr>
            </w:pPr>
            <w:r>
              <w:rPr>
                <w:rFonts w:ascii="Times New Roman" w:hAnsi="Times New Roman"/>
                <w:sz w:val="22"/>
                <w:szCs w:val="22"/>
              </w:rPr>
              <w:t>$36.48</w:t>
            </w:r>
          </w:p>
        </w:tc>
      </w:tr>
      <w:tr w:rsidR="00FC031E" w:rsidRPr="002F0042" w14:paraId="19DEE887" w14:textId="77777777" w:rsidTr="00F5040A">
        <w:tc>
          <w:tcPr>
            <w:tcW w:w="7650" w:type="dxa"/>
            <w:gridSpan w:val="4"/>
          </w:tcPr>
          <w:p w14:paraId="43592A8F" w14:textId="77777777" w:rsidR="00FC031E" w:rsidRPr="002F0042" w:rsidRDefault="00FC031E" w:rsidP="00FC031E">
            <w:pPr>
              <w:widowControl/>
              <w:tabs>
                <w:tab w:val="left" w:pos="360"/>
              </w:tabs>
              <w:rPr>
                <w:rFonts w:ascii="Times New Roman" w:hAnsi="Times New Roman"/>
                <w:b/>
                <w:sz w:val="22"/>
                <w:szCs w:val="22"/>
              </w:rPr>
            </w:pPr>
            <w:r w:rsidRPr="002F0042">
              <w:rPr>
                <w:rFonts w:ascii="Times New Roman" w:hAnsi="Times New Roman"/>
                <w:b/>
                <w:sz w:val="22"/>
                <w:szCs w:val="22"/>
              </w:rPr>
              <w:t>Weighted Average ($/hour)</w:t>
            </w:r>
          </w:p>
        </w:tc>
        <w:tc>
          <w:tcPr>
            <w:tcW w:w="1800" w:type="dxa"/>
          </w:tcPr>
          <w:p w14:paraId="4EC2951A" w14:textId="77777777" w:rsidR="00FC031E" w:rsidRPr="002F0042" w:rsidRDefault="00D40F8B" w:rsidP="00567704">
            <w:pPr>
              <w:widowControl/>
              <w:tabs>
                <w:tab w:val="left" w:pos="360"/>
              </w:tabs>
              <w:jc w:val="center"/>
              <w:rPr>
                <w:rFonts w:ascii="Times New Roman" w:hAnsi="Times New Roman"/>
                <w:b/>
                <w:sz w:val="22"/>
                <w:szCs w:val="22"/>
              </w:rPr>
            </w:pPr>
            <w:r>
              <w:rPr>
                <w:rFonts w:ascii="Times New Roman" w:hAnsi="Times New Roman"/>
                <w:b/>
                <w:sz w:val="22"/>
                <w:szCs w:val="22"/>
              </w:rPr>
              <w:t>$136</w:t>
            </w:r>
          </w:p>
        </w:tc>
      </w:tr>
    </w:tbl>
    <w:p w14:paraId="178B53F8" w14:textId="77777777" w:rsidR="00FC031E" w:rsidRPr="00FC031E" w:rsidRDefault="00FC031E" w:rsidP="00FC031E">
      <w:pPr>
        <w:widowControl/>
        <w:tabs>
          <w:tab w:val="left" w:pos="0"/>
        </w:tabs>
        <w:rPr>
          <w:rFonts w:ascii="Times New Roman" w:hAnsi="Times New Roman"/>
          <w:sz w:val="20"/>
        </w:rPr>
      </w:pPr>
      <w:r w:rsidRPr="002F0042">
        <w:rPr>
          <w:rFonts w:ascii="Times New Roman" w:hAnsi="Times New Roman"/>
          <w:sz w:val="20"/>
        </w:rPr>
        <w:t xml:space="preserve">*A multiplier of 1.4 (as implied by BLS news release USDL </w:t>
      </w:r>
      <w:r w:rsidR="000F709D">
        <w:rPr>
          <w:rFonts w:ascii="Times New Roman" w:hAnsi="Times New Roman"/>
          <w:sz w:val="20"/>
        </w:rPr>
        <w:t>1</w:t>
      </w:r>
      <w:r w:rsidR="00F5040A">
        <w:rPr>
          <w:rFonts w:ascii="Times New Roman" w:hAnsi="Times New Roman"/>
          <w:sz w:val="20"/>
        </w:rPr>
        <w:t>6</w:t>
      </w:r>
      <w:r w:rsidR="000F709D">
        <w:rPr>
          <w:rFonts w:ascii="Times New Roman" w:hAnsi="Times New Roman"/>
          <w:sz w:val="20"/>
        </w:rPr>
        <w:t>-</w:t>
      </w:r>
      <w:r w:rsidR="00567704">
        <w:rPr>
          <w:rFonts w:ascii="Times New Roman" w:hAnsi="Times New Roman"/>
          <w:sz w:val="20"/>
        </w:rPr>
        <w:t>1150</w:t>
      </w:r>
      <w:r w:rsidR="00F5040A" w:rsidRPr="00FC031E">
        <w:rPr>
          <w:rFonts w:ascii="Times New Roman" w:hAnsi="Times New Roman"/>
          <w:sz w:val="20"/>
        </w:rPr>
        <w:t xml:space="preserve"> </w:t>
      </w:r>
      <w:r w:rsidR="00567704">
        <w:rPr>
          <w:rFonts w:ascii="Times New Roman" w:hAnsi="Times New Roman"/>
          <w:sz w:val="20"/>
        </w:rPr>
        <w:t>June 9</w:t>
      </w:r>
      <w:r w:rsidR="00D1734F">
        <w:rPr>
          <w:rFonts w:ascii="Times New Roman" w:hAnsi="Times New Roman"/>
          <w:sz w:val="20"/>
        </w:rPr>
        <w:t>, 201</w:t>
      </w:r>
      <w:r w:rsidR="00F5040A">
        <w:rPr>
          <w:rFonts w:ascii="Times New Roman" w:hAnsi="Times New Roman"/>
          <w:sz w:val="20"/>
        </w:rPr>
        <w:t>6</w:t>
      </w:r>
      <w:r w:rsidR="00D1734F">
        <w:rPr>
          <w:rFonts w:ascii="Times New Roman" w:hAnsi="Times New Roman"/>
          <w:sz w:val="20"/>
        </w:rPr>
        <w:t xml:space="preserve"> </w:t>
      </w:r>
      <w:r w:rsidRPr="00FC031E">
        <w:rPr>
          <w:rFonts w:ascii="Times New Roman" w:hAnsi="Times New Roman"/>
          <w:sz w:val="20"/>
        </w:rPr>
        <w:t xml:space="preserve">(see </w:t>
      </w:r>
      <w:hyperlink r:id="rId9" w:history="1">
        <w:r w:rsidRPr="00FC031E">
          <w:rPr>
            <w:rFonts w:ascii="Times New Roman" w:hAnsi="Times New Roman"/>
            <w:color w:val="0000FF"/>
            <w:sz w:val="21"/>
            <w:szCs w:val="21"/>
            <w:u w:val="single"/>
          </w:rPr>
          <w:t>http://www.bls.gov/news.release/ecec.nr0.htm</w:t>
        </w:r>
      </w:hyperlink>
      <w:r w:rsidRPr="00FC031E">
        <w:rPr>
          <w:rFonts w:ascii="Times New Roman" w:hAnsi="Times New Roman"/>
          <w:sz w:val="20"/>
        </w:rPr>
        <w:t>)) was added for benefits.</w:t>
      </w:r>
    </w:p>
    <w:p w14:paraId="57210B29" w14:textId="77777777" w:rsidR="00FC031E" w:rsidRDefault="00FC031E">
      <w:pPr>
        <w:widowControl/>
        <w:tabs>
          <w:tab w:val="left" w:pos="360"/>
          <w:tab w:val="left" w:pos="720"/>
          <w:tab w:val="left" w:pos="1080"/>
        </w:tabs>
        <w:rPr>
          <w:rFonts w:ascii="Times New Roman" w:hAnsi="Times New Roman"/>
        </w:rPr>
      </w:pPr>
    </w:p>
    <w:p w14:paraId="29B61B55" w14:textId="77777777" w:rsidR="00D41C77" w:rsidRDefault="00D41C77" w:rsidP="00D41C77">
      <w:pPr>
        <w:widowControl/>
        <w:tabs>
          <w:tab w:val="left" w:pos="360"/>
          <w:tab w:val="left" w:pos="720"/>
          <w:tab w:val="left" w:pos="1080"/>
        </w:tabs>
        <w:rPr>
          <w:rFonts w:ascii="Times New Roman" w:hAnsi="Times New Roman"/>
        </w:rPr>
      </w:pPr>
      <w:r w:rsidRPr="00457CA0">
        <w:rPr>
          <w:rFonts w:ascii="Times New Roman" w:hAnsi="Times New Roman"/>
        </w:rPr>
        <w:t>Based on a cost factor of $</w:t>
      </w:r>
      <w:r w:rsidR="00FC031E">
        <w:rPr>
          <w:rFonts w:ascii="Times New Roman" w:hAnsi="Times New Roman"/>
        </w:rPr>
        <w:t>1</w:t>
      </w:r>
      <w:r w:rsidR="00D40F8B">
        <w:rPr>
          <w:rFonts w:ascii="Times New Roman" w:hAnsi="Times New Roman"/>
        </w:rPr>
        <w:t>36</w:t>
      </w:r>
      <w:r w:rsidRPr="00457CA0">
        <w:rPr>
          <w:rFonts w:ascii="Times New Roman" w:hAnsi="Times New Roman"/>
        </w:rPr>
        <w:t xml:space="preserve"> per hour, </w:t>
      </w:r>
      <w:r w:rsidR="00A30817" w:rsidRPr="00A30817">
        <w:rPr>
          <w:rFonts w:ascii="Times New Roman" w:hAnsi="Times New Roman"/>
        </w:rPr>
        <w:t xml:space="preserve">we estimate the hour burden as a dollar equivalent is </w:t>
      </w:r>
      <w:r w:rsidRPr="00457CA0">
        <w:rPr>
          <w:rFonts w:ascii="Times New Roman" w:hAnsi="Times New Roman"/>
        </w:rPr>
        <w:t>$</w:t>
      </w:r>
      <w:r w:rsidR="00D40F8B">
        <w:rPr>
          <w:rFonts w:ascii="Times New Roman" w:hAnsi="Times New Roman"/>
          <w:szCs w:val="24"/>
        </w:rPr>
        <w:t>68,000</w:t>
      </w:r>
      <w:r w:rsidR="00D40F8B" w:rsidRPr="00457CA0">
        <w:rPr>
          <w:rFonts w:ascii="Times New Roman" w:hAnsi="Times New Roman"/>
          <w:szCs w:val="24"/>
        </w:rPr>
        <w:t xml:space="preserve"> </w:t>
      </w:r>
      <w:r w:rsidR="00FD07BE" w:rsidRPr="00457CA0">
        <w:rPr>
          <w:rFonts w:ascii="Times New Roman" w:hAnsi="Times New Roman"/>
          <w:szCs w:val="24"/>
        </w:rPr>
        <w:t>($</w:t>
      </w:r>
      <w:r w:rsidR="00FC031E">
        <w:rPr>
          <w:rFonts w:ascii="Times New Roman" w:hAnsi="Times New Roman"/>
          <w:szCs w:val="24"/>
        </w:rPr>
        <w:t>1</w:t>
      </w:r>
      <w:r w:rsidR="00D40F8B">
        <w:rPr>
          <w:rFonts w:ascii="Times New Roman" w:hAnsi="Times New Roman"/>
          <w:szCs w:val="24"/>
        </w:rPr>
        <w:t>36</w:t>
      </w:r>
      <w:r w:rsidR="00FC031E" w:rsidRPr="00457CA0">
        <w:rPr>
          <w:rFonts w:ascii="Times New Roman" w:hAnsi="Times New Roman"/>
          <w:szCs w:val="24"/>
        </w:rPr>
        <w:t xml:space="preserve"> </w:t>
      </w:r>
      <w:r w:rsidR="00FD07BE" w:rsidRPr="00457CA0">
        <w:rPr>
          <w:rFonts w:ascii="Times New Roman" w:hAnsi="Times New Roman"/>
          <w:szCs w:val="24"/>
        </w:rPr>
        <w:t xml:space="preserve">x </w:t>
      </w:r>
      <w:r w:rsidR="00FC65AF">
        <w:rPr>
          <w:rFonts w:ascii="Times New Roman" w:hAnsi="Times New Roman"/>
          <w:szCs w:val="24"/>
        </w:rPr>
        <w:t>500</w:t>
      </w:r>
      <w:r w:rsidR="00FC65AF" w:rsidRPr="008B3C3D">
        <w:rPr>
          <w:rFonts w:ascii="Times New Roman" w:hAnsi="Times New Roman"/>
          <w:szCs w:val="24"/>
        </w:rPr>
        <w:t xml:space="preserve"> </w:t>
      </w:r>
      <w:r w:rsidR="00FD07BE" w:rsidRPr="00457CA0">
        <w:rPr>
          <w:rFonts w:ascii="Times New Roman" w:hAnsi="Times New Roman"/>
          <w:szCs w:val="24"/>
        </w:rPr>
        <w:t>hours = $</w:t>
      </w:r>
      <w:r w:rsidR="00D40F8B">
        <w:rPr>
          <w:rFonts w:ascii="Times New Roman" w:hAnsi="Times New Roman"/>
          <w:szCs w:val="24"/>
        </w:rPr>
        <w:t>68,000</w:t>
      </w:r>
      <w:r w:rsidR="00FD07BE" w:rsidRPr="00457CA0">
        <w:rPr>
          <w:rFonts w:ascii="Times New Roman" w:hAnsi="Times New Roman"/>
          <w:szCs w:val="24"/>
        </w:rPr>
        <w:t>).</w:t>
      </w:r>
      <w:r w:rsidR="00FD07BE" w:rsidRPr="00FD07BE">
        <w:rPr>
          <w:rFonts w:ascii="Times New Roman" w:hAnsi="Times New Roman"/>
          <w:szCs w:val="24"/>
        </w:rPr>
        <w:t xml:space="preserve">  </w:t>
      </w:r>
    </w:p>
    <w:p w14:paraId="4A4353E2" w14:textId="77777777" w:rsidR="00D41C77" w:rsidRDefault="00D41C77">
      <w:pPr>
        <w:widowControl/>
        <w:tabs>
          <w:tab w:val="left" w:pos="360"/>
          <w:tab w:val="left" w:pos="720"/>
          <w:tab w:val="left" w:pos="1080"/>
        </w:tabs>
        <w:rPr>
          <w:rFonts w:ascii="Times New Roman" w:hAnsi="Times New Roman"/>
        </w:rPr>
      </w:pPr>
    </w:p>
    <w:p w14:paraId="13F5F44C" w14:textId="77777777"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non-hour cost burden to respondents or recordkeepers resulting from the collection of information.  (Do not include the cost of any hour burden in Item 12).</w:t>
      </w:r>
    </w:p>
    <w:p w14:paraId="5DA9D05D" w14:textId="77777777" w:rsidR="001F3345" w:rsidRPr="00600EEB" w:rsidRDefault="001F3345" w:rsidP="001F3345">
      <w:pPr>
        <w:widowControl/>
        <w:tabs>
          <w:tab w:val="left" w:pos="-1080"/>
          <w:tab w:val="left" w:pos="-720"/>
          <w:tab w:val="left" w:pos="360"/>
          <w:tab w:val="left" w:pos="810"/>
        </w:tabs>
        <w:rPr>
          <w:rFonts w:ascii="Times New Roman" w:hAnsi="Times New Roman"/>
          <w:b/>
          <w:i/>
        </w:rPr>
      </w:pPr>
    </w:p>
    <w:p w14:paraId="56AB67EF" w14:textId="77777777"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22431A">
        <w:rPr>
          <w:rFonts w:ascii="Times New Roman" w:hAnsi="Times New Roman"/>
          <w:b/>
          <w:i/>
        </w:rPr>
        <w:t>(</w:t>
      </w:r>
      <w:r w:rsidRPr="00600EEB">
        <w:rPr>
          <w:rFonts w:ascii="Times New Roman" w:hAnsi="Times New Roman"/>
          <w:b/>
          <w:i/>
        </w:rPr>
        <w:t>including filing fees paid</w:t>
      </w:r>
      <w:r w:rsidR="0022431A">
        <w:rPr>
          <w:rFonts w:ascii="Times New Roman" w:hAnsi="Times New Roman"/>
          <w:b/>
          <w:i/>
        </w:rPr>
        <w:t xml:space="preserve"> for form processing)</w:t>
      </w:r>
      <w:r w:rsidRPr="00600EEB">
        <w:rPr>
          <w:rFonts w:ascii="Times New Roman" w:hAnsi="Times New Roman"/>
          <w:b/>
          <w:i/>
        </w:rPr>
        <w:t xml:space="preserve">.  Include descriptions of methods used to estimate major cost factors including system and technology acquisition, expected useful life of capital equipment, the discount rate(s), and the time period over which costs will be </w:t>
      </w:r>
      <w:r w:rsidRPr="00600EEB">
        <w:rPr>
          <w:rFonts w:ascii="Times New Roman" w:hAnsi="Times New Roman"/>
          <w:b/>
          <w:i/>
        </w:rPr>
        <w:lastRenderedPageBreak/>
        <w:t>incurred.  Capital and start-up costs include, among other items, preparations for collecting information such as purchasing computers and software; monitoring, sampling, drilling and testing equipment; and record storage facilities.</w:t>
      </w:r>
    </w:p>
    <w:p w14:paraId="08BF2819" w14:textId="77777777" w:rsidR="001F3345" w:rsidRPr="00600EEB" w:rsidRDefault="001F3345" w:rsidP="001F3345">
      <w:pPr>
        <w:widowControl/>
        <w:tabs>
          <w:tab w:val="left" w:pos="-1080"/>
          <w:tab w:val="left" w:pos="-720"/>
          <w:tab w:val="left" w:pos="360"/>
          <w:tab w:val="left" w:pos="810"/>
        </w:tabs>
        <w:rPr>
          <w:rFonts w:ascii="Times New Roman" w:hAnsi="Times New Roman"/>
          <w:b/>
          <w:i/>
        </w:rPr>
      </w:pPr>
    </w:p>
    <w:p w14:paraId="28720C9E" w14:textId="77777777" w:rsidR="001F3345" w:rsidRDefault="001F3345" w:rsidP="001F3345">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14:paraId="3A5AD274" w14:textId="77777777" w:rsidR="0022431A" w:rsidRDefault="0022431A" w:rsidP="001F3345">
      <w:pPr>
        <w:widowControl/>
        <w:tabs>
          <w:tab w:val="left" w:pos="-1080"/>
          <w:tab w:val="left" w:pos="-720"/>
          <w:tab w:val="left" w:pos="360"/>
          <w:tab w:val="left" w:pos="810"/>
        </w:tabs>
        <w:rPr>
          <w:rFonts w:ascii="Times New Roman" w:hAnsi="Times New Roman"/>
          <w:i/>
        </w:rPr>
      </w:pPr>
    </w:p>
    <w:p w14:paraId="494889CD" w14:textId="77777777" w:rsidR="001F3345" w:rsidRPr="00600EEB" w:rsidRDefault="001F3345" w:rsidP="001F3345">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14:paraId="7EDB5942" w14:textId="77777777" w:rsidR="00C27593" w:rsidRDefault="00C27593" w:rsidP="00C27593">
      <w:pPr>
        <w:widowControl/>
        <w:tabs>
          <w:tab w:val="left" w:pos="-1080"/>
          <w:tab w:val="left" w:pos="-720"/>
          <w:tab w:val="left" w:pos="360"/>
          <w:tab w:val="left" w:pos="810"/>
        </w:tabs>
        <w:rPr>
          <w:rFonts w:ascii="Times New Roman" w:hAnsi="Times New Roman"/>
          <w:i/>
        </w:rPr>
      </w:pPr>
    </w:p>
    <w:p w14:paraId="3FFC265F" w14:textId="035E9E5F" w:rsidR="006E35DB" w:rsidRDefault="00A277E6">
      <w:pPr>
        <w:widowControl/>
        <w:tabs>
          <w:tab w:val="left" w:pos="360"/>
          <w:tab w:val="left" w:pos="720"/>
        </w:tabs>
        <w:rPr>
          <w:rFonts w:ascii="Times New Roman" w:hAnsi="Times New Roman"/>
        </w:rPr>
      </w:pPr>
      <w:r>
        <w:rPr>
          <w:rFonts w:ascii="Times New Roman" w:hAnsi="Times New Roman"/>
        </w:rPr>
        <w:t>BSEE has identified no non-hour cost burdens associated with this collection.</w:t>
      </w:r>
    </w:p>
    <w:p w14:paraId="4758EBD8" w14:textId="77777777" w:rsidR="0059247E" w:rsidRDefault="0059247E">
      <w:pPr>
        <w:widowControl/>
        <w:tabs>
          <w:tab w:val="left" w:pos="360"/>
          <w:tab w:val="left" w:pos="720"/>
        </w:tabs>
        <w:rPr>
          <w:rFonts w:ascii="Times New Roman" w:hAnsi="Times New Roman"/>
        </w:rPr>
      </w:pPr>
    </w:p>
    <w:p w14:paraId="395C956F" w14:textId="77777777"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2FDDA69B" w14:textId="77777777" w:rsidR="00693DB9" w:rsidRDefault="00693DB9" w:rsidP="001F3345">
      <w:pPr>
        <w:widowControl/>
        <w:tabs>
          <w:tab w:val="left" w:pos="-1080"/>
          <w:tab w:val="left" w:pos="-720"/>
          <w:tab w:val="left" w:pos="360"/>
          <w:tab w:val="left" w:pos="810"/>
        </w:tabs>
        <w:rPr>
          <w:rFonts w:ascii="Times New Roman" w:hAnsi="Times New Roman"/>
          <w:b/>
        </w:rPr>
      </w:pPr>
    </w:p>
    <w:p w14:paraId="654D55A2" w14:textId="11076958" w:rsidR="007C2FDD" w:rsidRPr="007C2FDD" w:rsidRDefault="007C2FDD" w:rsidP="007C2FDD">
      <w:pPr>
        <w:tabs>
          <w:tab w:val="left" w:pos="-1080"/>
          <w:tab w:val="left" w:pos="-720"/>
          <w:tab w:val="left" w:pos="360"/>
          <w:tab w:val="left" w:pos="810"/>
        </w:tabs>
        <w:rPr>
          <w:rFonts w:ascii="Times New Roman" w:hAnsi="Times New Roman"/>
        </w:rPr>
      </w:pPr>
      <w:r w:rsidRPr="007C2FDD">
        <w:rPr>
          <w:rFonts w:ascii="Times New Roman" w:hAnsi="Times New Roman"/>
        </w:rPr>
        <w:t>The average government cost is $</w:t>
      </w:r>
      <w:r w:rsidR="00295117">
        <w:rPr>
          <w:rFonts w:ascii="Times New Roman" w:hAnsi="Times New Roman"/>
        </w:rPr>
        <w:t>77</w:t>
      </w:r>
      <w:r w:rsidRPr="007C2FDD">
        <w:rPr>
          <w:rFonts w:ascii="Times New Roman" w:hAnsi="Times New Roman"/>
        </w:rPr>
        <w:t>/hour.  This cost is broken out in the below table using the current Office of Personnel Management salary data for the REST OF THE UNITED STATES (</w:t>
      </w:r>
      <w:hyperlink r:id="rId10" w:history="1">
        <w:r w:rsidRPr="007C2FDD">
          <w:rPr>
            <w:rFonts w:ascii="Times New Roman" w:hAnsi="Times New Roman"/>
            <w:color w:val="0000FF"/>
            <w:u w:val="single"/>
          </w:rPr>
          <w:t>http://www.opm.gov/policy-data-oversight/pay-leave/salaries-wages/</w:t>
        </w:r>
      </w:hyperlink>
      <w:r w:rsidRPr="007C2FDD">
        <w:rPr>
          <w:rFonts w:ascii="Times New Roman" w:hAnsi="Times New Roman"/>
        </w:rPr>
        <w:t xml:space="preserve">).   </w:t>
      </w:r>
    </w:p>
    <w:p w14:paraId="62DB1312" w14:textId="77777777" w:rsidR="007C2FDD" w:rsidRPr="007C2FDD" w:rsidRDefault="007C2FDD" w:rsidP="007C2FDD">
      <w:pPr>
        <w:tabs>
          <w:tab w:val="left" w:pos="-1080"/>
          <w:tab w:val="left" w:pos="-720"/>
          <w:tab w:val="left" w:pos="360"/>
          <w:tab w:val="left" w:pos="810"/>
        </w:tabs>
        <w:rPr>
          <w:rFonts w:ascii="Times New Roman" w:hAnsi="Times New Roman"/>
          <w:b/>
        </w:rPr>
      </w:pPr>
    </w:p>
    <w:tbl>
      <w:tblPr>
        <w:tblStyle w:val="TableGrid"/>
        <w:tblW w:w="9360" w:type="dxa"/>
        <w:tblInd w:w="108" w:type="dxa"/>
        <w:tblLook w:val="01E0" w:firstRow="1" w:lastRow="1" w:firstColumn="1" w:lastColumn="1" w:noHBand="0" w:noVBand="0"/>
      </w:tblPr>
      <w:tblGrid>
        <w:gridCol w:w="2710"/>
        <w:gridCol w:w="1086"/>
        <w:gridCol w:w="1298"/>
        <w:gridCol w:w="1642"/>
        <w:gridCol w:w="1329"/>
        <w:gridCol w:w="1295"/>
      </w:tblGrid>
      <w:tr w:rsidR="007C2FDD" w:rsidRPr="007C2FDD" w14:paraId="4321A629" w14:textId="77777777" w:rsidTr="00F5040A">
        <w:tc>
          <w:tcPr>
            <w:tcW w:w="3150" w:type="dxa"/>
            <w:vAlign w:val="center"/>
          </w:tcPr>
          <w:p w14:paraId="097796F9" w14:textId="77777777" w:rsidR="007C2FDD" w:rsidRPr="007C2FDD" w:rsidRDefault="007C2FDD" w:rsidP="007C2FDD">
            <w:pPr>
              <w:tabs>
                <w:tab w:val="left" w:pos="360"/>
              </w:tabs>
              <w:jc w:val="center"/>
              <w:rPr>
                <w:rFonts w:ascii="Times New Roman" w:hAnsi="Times New Roman"/>
                <w:b/>
                <w:szCs w:val="24"/>
              </w:rPr>
            </w:pPr>
            <w:r w:rsidRPr="007C2FDD">
              <w:rPr>
                <w:rFonts w:ascii="Times New Roman" w:hAnsi="Times New Roman"/>
                <w:b/>
                <w:szCs w:val="24"/>
              </w:rPr>
              <w:t>Position</w:t>
            </w:r>
          </w:p>
        </w:tc>
        <w:tc>
          <w:tcPr>
            <w:tcW w:w="1143" w:type="dxa"/>
            <w:vAlign w:val="center"/>
          </w:tcPr>
          <w:p w14:paraId="4BE7847B" w14:textId="77777777" w:rsidR="007C2FDD" w:rsidRPr="007C2FDD" w:rsidRDefault="007C2FDD" w:rsidP="007C2FDD">
            <w:pPr>
              <w:tabs>
                <w:tab w:val="left" w:pos="360"/>
              </w:tabs>
              <w:jc w:val="center"/>
              <w:rPr>
                <w:rFonts w:ascii="Times New Roman" w:hAnsi="Times New Roman"/>
                <w:b/>
                <w:szCs w:val="24"/>
              </w:rPr>
            </w:pPr>
            <w:r w:rsidRPr="007C2FDD">
              <w:rPr>
                <w:rFonts w:ascii="Times New Roman" w:hAnsi="Times New Roman"/>
                <w:b/>
                <w:szCs w:val="24"/>
              </w:rPr>
              <w:t>Grade</w:t>
            </w:r>
          </w:p>
        </w:tc>
        <w:tc>
          <w:tcPr>
            <w:tcW w:w="1337" w:type="dxa"/>
          </w:tcPr>
          <w:p w14:paraId="0BD23B1A" w14:textId="77777777" w:rsidR="007C2FDD" w:rsidRPr="007C2FDD" w:rsidRDefault="007C2FDD" w:rsidP="007C2FDD">
            <w:pPr>
              <w:tabs>
                <w:tab w:val="left" w:pos="360"/>
              </w:tabs>
              <w:jc w:val="center"/>
              <w:rPr>
                <w:rFonts w:ascii="Times New Roman" w:hAnsi="Times New Roman"/>
                <w:b/>
                <w:szCs w:val="24"/>
              </w:rPr>
            </w:pPr>
            <w:r w:rsidRPr="007C2FDD">
              <w:rPr>
                <w:rFonts w:ascii="Times New Roman" w:hAnsi="Times New Roman"/>
                <w:b/>
                <w:szCs w:val="24"/>
              </w:rPr>
              <w:t>Hourly Pay rate ($/hour estimate)</w:t>
            </w:r>
          </w:p>
        </w:tc>
        <w:tc>
          <w:tcPr>
            <w:tcW w:w="1765" w:type="dxa"/>
          </w:tcPr>
          <w:p w14:paraId="1B3214D0" w14:textId="646107C5" w:rsidR="007C2FDD" w:rsidRPr="007C2FDD" w:rsidRDefault="007C2FDD" w:rsidP="00A277E6">
            <w:pPr>
              <w:tabs>
                <w:tab w:val="left" w:pos="360"/>
              </w:tabs>
              <w:jc w:val="center"/>
              <w:rPr>
                <w:rFonts w:ascii="Times New Roman" w:hAnsi="Times New Roman"/>
                <w:b/>
                <w:szCs w:val="24"/>
              </w:rPr>
            </w:pPr>
            <w:r w:rsidRPr="007C2FDD">
              <w:rPr>
                <w:rFonts w:ascii="Times New Roman" w:hAnsi="Times New Roman"/>
                <w:b/>
                <w:szCs w:val="24"/>
              </w:rPr>
              <w:t>Hourly rate including benefits (1.</w:t>
            </w:r>
            <w:r w:rsidR="00A277E6">
              <w:rPr>
                <w:rFonts w:ascii="Times New Roman" w:hAnsi="Times New Roman"/>
                <w:b/>
                <w:szCs w:val="24"/>
              </w:rPr>
              <w:t>6</w:t>
            </w:r>
            <w:r w:rsidRPr="007C2FDD">
              <w:rPr>
                <w:rFonts w:ascii="Times New Roman" w:hAnsi="Times New Roman"/>
                <w:b/>
                <w:szCs w:val="24"/>
              </w:rPr>
              <w:t>* x $/hour)</w:t>
            </w:r>
            <w:bookmarkStart w:id="0" w:name="_GoBack"/>
            <w:bookmarkEnd w:id="0"/>
          </w:p>
        </w:tc>
        <w:tc>
          <w:tcPr>
            <w:tcW w:w="1366" w:type="dxa"/>
          </w:tcPr>
          <w:p w14:paraId="6B552429" w14:textId="77777777" w:rsidR="007C2FDD" w:rsidRPr="007C2FDD" w:rsidRDefault="007C2FDD" w:rsidP="007C2FDD">
            <w:pPr>
              <w:tabs>
                <w:tab w:val="left" w:pos="360"/>
              </w:tabs>
              <w:jc w:val="center"/>
              <w:rPr>
                <w:rFonts w:ascii="Times New Roman" w:hAnsi="Times New Roman"/>
                <w:b/>
                <w:szCs w:val="24"/>
              </w:rPr>
            </w:pPr>
            <w:r w:rsidRPr="007C2FDD">
              <w:rPr>
                <w:rFonts w:ascii="Times New Roman" w:hAnsi="Times New Roman"/>
                <w:b/>
                <w:szCs w:val="24"/>
              </w:rPr>
              <w:t>Percent of time spent on collection</w:t>
            </w:r>
          </w:p>
        </w:tc>
        <w:tc>
          <w:tcPr>
            <w:tcW w:w="1319" w:type="dxa"/>
          </w:tcPr>
          <w:p w14:paraId="3C59265E" w14:textId="77777777" w:rsidR="007C2FDD" w:rsidRPr="007C2FDD" w:rsidRDefault="007C2FDD" w:rsidP="007C2FDD">
            <w:pPr>
              <w:tabs>
                <w:tab w:val="left" w:pos="360"/>
              </w:tabs>
              <w:jc w:val="center"/>
              <w:rPr>
                <w:rFonts w:ascii="Times New Roman" w:hAnsi="Times New Roman"/>
                <w:b/>
                <w:szCs w:val="24"/>
              </w:rPr>
            </w:pPr>
            <w:r w:rsidRPr="007C2FDD">
              <w:rPr>
                <w:rFonts w:ascii="Times New Roman" w:hAnsi="Times New Roman"/>
                <w:b/>
                <w:szCs w:val="24"/>
              </w:rPr>
              <w:t>Weighted Average ($/hour)</w:t>
            </w:r>
          </w:p>
        </w:tc>
      </w:tr>
      <w:tr w:rsidR="007C2FDD" w:rsidRPr="007C2FDD" w14:paraId="11FDDFFC" w14:textId="77777777" w:rsidTr="00F5040A">
        <w:tc>
          <w:tcPr>
            <w:tcW w:w="3150" w:type="dxa"/>
          </w:tcPr>
          <w:p w14:paraId="7CF04DB4" w14:textId="77777777" w:rsidR="007C2FDD" w:rsidRPr="007C2FDD" w:rsidRDefault="007C2FDD" w:rsidP="007C2FDD">
            <w:pPr>
              <w:tabs>
                <w:tab w:val="left" w:pos="360"/>
              </w:tabs>
              <w:rPr>
                <w:rFonts w:ascii="Times New Roman" w:hAnsi="Times New Roman"/>
                <w:sz w:val="22"/>
                <w:szCs w:val="22"/>
              </w:rPr>
            </w:pPr>
            <w:r w:rsidRPr="007C2FDD">
              <w:rPr>
                <w:rFonts w:ascii="Times New Roman" w:hAnsi="Times New Roman"/>
                <w:sz w:val="22"/>
                <w:szCs w:val="22"/>
              </w:rPr>
              <w:t>Clerical</w:t>
            </w:r>
          </w:p>
        </w:tc>
        <w:tc>
          <w:tcPr>
            <w:tcW w:w="1143" w:type="dxa"/>
          </w:tcPr>
          <w:p w14:paraId="29E1F84A" w14:textId="77777777"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GS-7/5</w:t>
            </w:r>
          </w:p>
        </w:tc>
        <w:tc>
          <w:tcPr>
            <w:tcW w:w="1337" w:type="dxa"/>
          </w:tcPr>
          <w:p w14:paraId="5CFEF923" w14:textId="77777777"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$21</w:t>
            </w:r>
            <w:r w:rsidR="0037122C">
              <w:rPr>
                <w:rFonts w:ascii="Times New Roman" w:hAnsi="Times New Roman"/>
                <w:sz w:val="22"/>
                <w:szCs w:val="22"/>
              </w:rPr>
              <w:t>.74</w:t>
            </w:r>
          </w:p>
        </w:tc>
        <w:tc>
          <w:tcPr>
            <w:tcW w:w="1765" w:type="dxa"/>
          </w:tcPr>
          <w:p w14:paraId="3CA88DC7" w14:textId="6FD49F5D" w:rsidR="007C2FDD" w:rsidRPr="007C2FDD" w:rsidRDefault="007C2FDD" w:rsidP="00A277E6">
            <w:pPr>
              <w:tabs>
                <w:tab w:val="left" w:pos="360"/>
              </w:tabs>
              <w:jc w:val="center"/>
              <w:rPr>
                <w:rFonts w:ascii="Times New Roman" w:hAnsi="Times New Roman"/>
                <w:sz w:val="22"/>
                <w:szCs w:val="22"/>
              </w:rPr>
            </w:pPr>
            <w:r w:rsidRPr="007C2FDD">
              <w:rPr>
                <w:rFonts w:ascii="Times New Roman" w:hAnsi="Times New Roman"/>
                <w:sz w:val="22"/>
                <w:szCs w:val="22"/>
              </w:rPr>
              <w:t>$</w:t>
            </w:r>
            <w:r w:rsidR="00A277E6">
              <w:rPr>
                <w:rFonts w:ascii="Times New Roman" w:hAnsi="Times New Roman"/>
                <w:sz w:val="22"/>
                <w:szCs w:val="22"/>
              </w:rPr>
              <w:t>34.78</w:t>
            </w:r>
          </w:p>
        </w:tc>
        <w:tc>
          <w:tcPr>
            <w:tcW w:w="1366" w:type="dxa"/>
          </w:tcPr>
          <w:p w14:paraId="2953F1DF" w14:textId="77777777"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5%</w:t>
            </w:r>
          </w:p>
        </w:tc>
        <w:tc>
          <w:tcPr>
            <w:tcW w:w="1319" w:type="dxa"/>
          </w:tcPr>
          <w:p w14:paraId="1472C50A" w14:textId="4AF2A400" w:rsidR="007C2FDD" w:rsidRPr="007C2FDD" w:rsidRDefault="007C2FDD" w:rsidP="00A277E6">
            <w:pPr>
              <w:tabs>
                <w:tab w:val="left" w:pos="360"/>
              </w:tabs>
              <w:jc w:val="center"/>
              <w:rPr>
                <w:rFonts w:ascii="Times New Roman" w:hAnsi="Times New Roman"/>
                <w:sz w:val="22"/>
                <w:szCs w:val="22"/>
              </w:rPr>
            </w:pPr>
            <w:r w:rsidRPr="007C2FDD">
              <w:rPr>
                <w:rFonts w:ascii="Times New Roman" w:hAnsi="Times New Roman"/>
                <w:sz w:val="22"/>
                <w:szCs w:val="22"/>
              </w:rPr>
              <w:t>$</w:t>
            </w:r>
            <w:r w:rsidR="0037122C">
              <w:rPr>
                <w:rFonts w:ascii="Times New Roman" w:hAnsi="Times New Roman"/>
                <w:sz w:val="22"/>
                <w:szCs w:val="22"/>
              </w:rPr>
              <w:t>1.</w:t>
            </w:r>
            <w:r w:rsidR="00A277E6">
              <w:rPr>
                <w:rFonts w:ascii="Times New Roman" w:hAnsi="Times New Roman"/>
                <w:sz w:val="22"/>
                <w:szCs w:val="22"/>
              </w:rPr>
              <w:t>74</w:t>
            </w:r>
          </w:p>
        </w:tc>
      </w:tr>
      <w:tr w:rsidR="007C2FDD" w:rsidRPr="007C2FDD" w14:paraId="400D2F2C" w14:textId="77777777" w:rsidTr="00F5040A">
        <w:tc>
          <w:tcPr>
            <w:tcW w:w="3150" w:type="dxa"/>
          </w:tcPr>
          <w:p w14:paraId="538687BC" w14:textId="77777777" w:rsidR="007C2FDD" w:rsidRPr="007C2FDD" w:rsidRDefault="007C2FDD" w:rsidP="007C2FDD">
            <w:pPr>
              <w:tabs>
                <w:tab w:val="left" w:pos="360"/>
              </w:tabs>
              <w:ind w:right="-121"/>
              <w:rPr>
                <w:rFonts w:ascii="Times New Roman" w:hAnsi="Times New Roman"/>
                <w:sz w:val="22"/>
                <w:szCs w:val="22"/>
              </w:rPr>
            </w:pPr>
            <w:r w:rsidRPr="007C2FDD">
              <w:rPr>
                <w:rFonts w:ascii="Times New Roman" w:hAnsi="Times New Roman"/>
                <w:sz w:val="22"/>
                <w:szCs w:val="22"/>
              </w:rPr>
              <w:t>Petroleum Engineer</w:t>
            </w:r>
          </w:p>
        </w:tc>
        <w:tc>
          <w:tcPr>
            <w:tcW w:w="1143" w:type="dxa"/>
          </w:tcPr>
          <w:p w14:paraId="6B12122F" w14:textId="77777777"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GS-13/5</w:t>
            </w:r>
          </w:p>
        </w:tc>
        <w:tc>
          <w:tcPr>
            <w:tcW w:w="1337" w:type="dxa"/>
          </w:tcPr>
          <w:p w14:paraId="2F507B94" w14:textId="77777777"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$45</w:t>
            </w:r>
            <w:r w:rsidR="0037122C">
              <w:rPr>
                <w:rFonts w:ascii="Times New Roman" w:hAnsi="Times New Roman"/>
                <w:sz w:val="22"/>
                <w:szCs w:val="22"/>
              </w:rPr>
              <w:t>.86</w:t>
            </w:r>
          </w:p>
        </w:tc>
        <w:tc>
          <w:tcPr>
            <w:tcW w:w="1765" w:type="dxa"/>
          </w:tcPr>
          <w:p w14:paraId="3DA1A2D3" w14:textId="314B0442" w:rsidR="007C2FDD" w:rsidRPr="007C2FDD" w:rsidRDefault="007C2FDD" w:rsidP="00A277E6">
            <w:pPr>
              <w:tabs>
                <w:tab w:val="left" w:pos="360"/>
              </w:tabs>
              <w:jc w:val="center"/>
              <w:rPr>
                <w:rFonts w:ascii="Times New Roman" w:hAnsi="Times New Roman"/>
                <w:sz w:val="22"/>
                <w:szCs w:val="22"/>
              </w:rPr>
            </w:pPr>
            <w:r w:rsidRPr="007C2FDD">
              <w:rPr>
                <w:rFonts w:ascii="Times New Roman" w:hAnsi="Times New Roman"/>
                <w:sz w:val="22"/>
                <w:szCs w:val="22"/>
              </w:rPr>
              <w:t>$</w:t>
            </w:r>
            <w:r w:rsidR="00A277E6">
              <w:rPr>
                <w:rFonts w:ascii="Times New Roman" w:hAnsi="Times New Roman"/>
                <w:sz w:val="22"/>
                <w:szCs w:val="22"/>
              </w:rPr>
              <w:t>73.38</w:t>
            </w:r>
          </w:p>
        </w:tc>
        <w:tc>
          <w:tcPr>
            <w:tcW w:w="1366" w:type="dxa"/>
          </w:tcPr>
          <w:p w14:paraId="7CF04C1E" w14:textId="77777777"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75%</w:t>
            </w:r>
          </w:p>
        </w:tc>
        <w:tc>
          <w:tcPr>
            <w:tcW w:w="1319" w:type="dxa"/>
          </w:tcPr>
          <w:p w14:paraId="29A52871" w14:textId="624048A7" w:rsidR="007C2FDD" w:rsidRPr="007C2FDD" w:rsidRDefault="007C2FDD" w:rsidP="00A277E6">
            <w:pPr>
              <w:tabs>
                <w:tab w:val="left" w:pos="360"/>
              </w:tabs>
              <w:jc w:val="center"/>
              <w:rPr>
                <w:rFonts w:ascii="Times New Roman" w:hAnsi="Times New Roman"/>
                <w:sz w:val="22"/>
                <w:szCs w:val="22"/>
              </w:rPr>
            </w:pPr>
            <w:r w:rsidRPr="007C2FDD">
              <w:rPr>
                <w:rFonts w:ascii="Times New Roman" w:hAnsi="Times New Roman"/>
                <w:sz w:val="22"/>
                <w:szCs w:val="22"/>
              </w:rPr>
              <w:t>$</w:t>
            </w:r>
            <w:r w:rsidR="00A277E6">
              <w:rPr>
                <w:rFonts w:ascii="Times New Roman" w:hAnsi="Times New Roman"/>
                <w:sz w:val="22"/>
                <w:szCs w:val="22"/>
              </w:rPr>
              <w:t>55.04</w:t>
            </w:r>
          </w:p>
        </w:tc>
      </w:tr>
      <w:tr w:rsidR="007C2FDD" w:rsidRPr="007C2FDD" w14:paraId="4208D51E" w14:textId="77777777" w:rsidTr="00F5040A">
        <w:tc>
          <w:tcPr>
            <w:tcW w:w="3150" w:type="dxa"/>
          </w:tcPr>
          <w:p w14:paraId="54D786B2" w14:textId="77777777" w:rsidR="007C2FDD" w:rsidRPr="007C2FDD" w:rsidRDefault="007C2FDD" w:rsidP="007C2FDD">
            <w:pPr>
              <w:tabs>
                <w:tab w:val="left" w:pos="360"/>
              </w:tabs>
              <w:ind w:right="-121"/>
              <w:rPr>
                <w:rFonts w:ascii="Times New Roman" w:hAnsi="Times New Roman"/>
                <w:sz w:val="22"/>
                <w:szCs w:val="22"/>
              </w:rPr>
            </w:pPr>
            <w:r w:rsidRPr="007C2FDD">
              <w:rPr>
                <w:rFonts w:ascii="Times New Roman" w:hAnsi="Times New Roman"/>
                <w:sz w:val="22"/>
                <w:szCs w:val="22"/>
              </w:rPr>
              <w:t>Supv. Petroleum Engineer</w:t>
            </w:r>
          </w:p>
        </w:tc>
        <w:tc>
          <w:tcPr>
            <w:tcW w:w="1143" w:type="dxa"/>
          </w:tcPr>
          <w:p w14:paraId="6B574117" w14:textId="77777777"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GS-15/5</w:t>
            </w:r>
          </w:p>
        </w:tc>
        <w:tc>
          <w:tcPr>
            <w:tcW w:w="1337" w:type="dxa"/>
          </w:tcPr>
          <w:p w14:paraId="0D68F4D0" w14:textId="77777777"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$63</w:t>
            </w:r>
            <w:r w:rsidR="0037122C">
              <w:rPr>
                <w:rFonts w:ascii="Times New Roman" w:hAnsi="Times New Roman"/>
                <w:sz w:val="22"/>
                <w:szCs w:val="22"/>
              </w:rPr>
              <w:t>.74</w:t>
            </w:r>
          </w:p>
        </w:tc>
        <w:tc>
          <w:tcPr>
            <w:tcW w:w="1765" w:type="dxa"/>
          </w:tcPr>
          <w:p w14:paraId="0E8480F2" w14:textId="689536F7" w:rsidR="007C2FDD" w:rsidRPr="007C2FDD" w:rsidRDefault="007C2FDD" w:rsidP="00A277E6">
            <w:pPr>
              <w:tabs>
                <w:tab w:val="left" w:pos="360"/>
              </w:tabs>
              <w:jc w:val="center"/>
              <w:rPr>
                <w:rFonts w:ascii="Times New Roman" w:hAnsi="Times New Roman"/>
                <w:sz w:val="22"/>
                <w:szCs w:val="22"/>
              </w:rPr>
            </w:pPr>
            <w:r w:rsidRPr="007C2FDD">
              <w:rPr>
                <w:rFonts w:ascii="Times New Roman" w:hAnsi="Times New Roman"/>
                <w:sz w:val="22"/>
                <w:szCs w:val="22"/>
              </w:rPr>
              <w:t>$</w:t>
            </w:r>
            <w:r w:rsidR="00A277E6">
              <w:rPr>
                <w:rFonts w:ascii="Times New Roman" w:hAnsi="Times New Roman"/>
                <w:sz w:val="22"/>
                <w:szCs w:val="22"/>
              </w:rPr>
              <w:t>101.98</w:t>
            </w:r>
          </w:p>
        </w:tc>
        <w:tc>
          <w:tcPr>
            <w:tcW w:w="1366" w:type="dxa"/>
          </w:tcPr>
          <w:p w14:paraId="0C536BEE" w14:textId="77777777"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20%</w:t>
            </w:r>
          </w:p>
        </w:tc>
        <w:tc>
          <w:tcPr>
            <w:tcW w:w="1319" w:type="dxa"/>
          </w:tcPr>
          <w:p w14:paraId="77603CC9" w14:textId="7723F2E4" w:rsidR="007C2FDD" w:rsidRPr="007C2FDD" w:rsidRDefault="007C2FDD" w:rsidP="00A277E6">
            <w:pPr>
              <w:tabs>
                <w:tab w:val="left" w:pos="360"/>
              </w:tabs>
              <w:jc w:val="center"/>
              <w:rPr>
                <w:rFonts w:ascii="Times New Roman" w:hAnsi="Times New Roman"/>
                <w:sz w:val="22"/>
                <w:szCs w:val="22"/>
              </w:rPr>
            </w:pPr>
            <w:r w:rsidRPr="007C2FDD">
              <w:rPr>
                <w:rFonts w:ascii="Times New Roman" w:hAnsi="Times New Roman"/>
                <w:sz w:val="22"/>
                <w:szCs w:val="22"/>
              </w:rPr>
              <w:t>$</w:t>
            </w:r>
            <w:r w:rsidR="00A277E6">
              <w:rPr>
                <w:rFonts w:ascii="Times New Roman" w:hAnsi="Times New Roman"/>
                <w:sz w:val="22"/>
                <w:szCs w:val="22"/>
              </w:rPr>
              <w:t>20.40</w:t>
            </w:r>
          </w:p>
        </w:tc>
      </w:tr>
      <w:tr w:rsidR="007C2FDD" w:rsidRPr="007C2FDD" w14:paraId="5728EFE5" w14:textId="77777777" w:rsidTr="00F5040A">
        <w:tc>
          <w:tcPr>
            <w:tcW w:w="8761" w:type="dxa"/>
            <w:gridSpan w:val="5"/>
          </w:tcPr>
          <w:p w14:paraId="67E4C187" w14:textId="77777777" w:rsidR="007C2FDD" w:rsidRPr="007C2FDD" w:rsidRDefault="007C2FDD" w:rsidP="007C2FDD">
            <w:pPr>
              <w:tabs>
                <w:tab w:val="left" w:pos="360"/>
              </w:tabs>
              <w:rPr>
                <w:rFonts w:ascii="Times New Roman" w:hAnsi="Times New Roman"/>
                <w:b/>
                <w:szCs w:val="24"/>
              </w:rPr>
            </w:pPr>
            <w:r w:rsidRPr="007C2FDD">
              <w:rPr>
                <w:rFonts w:ascii="Times New Roman" w:hAnsi="Times New Roman"/>
                <w:b/>
                <w:szCs w:val="24"/>
              </w:rPr>
              <w:t>Weighted Average ($/hour)</w:t>
            </w:r>
          </w:p>
        </w:tc>
        <w:tc>
          <w:tcPr>
            <w:tcW w:w="1319" w:type="dxa"/>
          </w:tcPr>
          <w:p w14:paraId="4DE14BE2" w14:textId="392A18ED" w:rsidR="007C2FDD" w:rsidRPr="007C2FDD" w:rsidRDefault="007C2FDD" w:rsidP="00A277E6">
            <w:pPr>
              <w:tabs>
                <w:tab w:val="left" w:pos="360"/>
              </w:tabs>
              <w:jc w:val="center"/>
              <w:rPr>
                <w:rFonts w:ascii="Times New Roman" w:hAnsi="Times New Roman"/>
                <w:b/>
                <w:szCs w:val="24"/>
              </w:rPr>
            </w:pPr>
            <w:r w:rsidRPr="007C2FDD">
              <w:rPr>
                <w:rFonts w:ascii="Times New Roman" w:hAnsi="Times New Roman"/>
                <w:b/>
                <w:szCs w:val="24"/>
              </w:rPr>
              <w:t>$</w:t>
            </w:r>
            <w:r w:rsidR="00A277E6">
              <w:rPr>
                <w:rFonts w:ascii="Times New Roman" w:hAnsi="Times New Roman"/>
                <w:b/>
                <w:szCs w:val="24"/>
              </w:rPr>
              <w:t>77</w:t>
            </w:r>
          </w:p>
        </w:tc>
      </w:tr>
    </w:tbl>
    <w:p w14:paraId="58881961" w14:textId="1F0B1EEE" w:rsidR="007C2FDD" w:rsidRPr="007C2FDD" w:rsidRDefault="007C2FDD" w:rsidP="007C2FDD">
      <w:pPr>
        <w:tabs>
          <w:tab w:val="left" w:pos="360"/>
          <w:tab w:val="left" w:pos="720"/>
          <w:tab w:val="left" w:pos="1080"/>
        </w:tabs>
        <w:rPr>
          <w:rFonts w:ascii="Times New Roman" w:hAnsi="Times New Roman"/>
          <w:sz w:val="21"/>
          <w:szCs w:val="21"/>
        </w:rPr>
      </w:pPr>
      <w:r w:rsidRPr="007C2FDD">
        <w:rPr>
          <w:rFonts w:ascii="Times New Roman" w:hAnsi="Times New Roman"/>
          <w:sz w:val="21"/>
          <w:szCs w:val="21"/>
        </w:rPr>
        <w:t>*A multiplier of 1.</w:t>
      </w:r>
      <w:r w:rsidR="00A06D06">
        <w:rPr>
          <w:rFonts w:ascii="Times New Roman" w:hAnsi="Times New Roman"/>
          <w:sz w:val="21"/>
          <w:szCs w:val="21"/>
        </w:rPr>
        <w:t>6</w:t>
      </w:r>
      <w:r w:rsidRPr="007C2FDD">
        <w:rPr>
          <w:rFonts w:ascii="Times New Roman" w:hAnsi="Times New Roman"/>
          <w:sz w:val="21"/>
          <w:szCs w:val="21"/>
        </w:rPr>
        <w:t xml:space="preserve"> (as implied by BLS news release </w:t>
      </w:r>
      <w:r w:rsidR="00567704" w:rsidRPr="00567704">
        <w:rPr>
          <w:rFonts w:ascii="Times New Roman" w:hAnsi="Times New Roman"/>
          <w:sz w:val="20"/>
        </w:rPr>
        <w:t>USDL 16-1150 June 9, 2016</w:t>
      </w:r>
      <w:r w:rsidR="00D1734F">
        <w:rPr>
          <w:rFonts w:ascii="Times New Roman" w:hAnsi="Times New Roman"/>
          <w:sz w:val="21"/>
          <w:szCs w:val="21"/>
        </w:rPr>
        <w:t>,</w:t>
      </w:r>
      <w:r w:rsidRPr="007C2FDD">
        <w:rPr>
          <w:rFonts w:ascii="Times New Roman" w:hAnsi="Times New Roman"/>
          <w:sz w:val="21"/>
          <w:szCs w:val="21"/>
        </w:rPr>
        <w:t xml:space="preserve"> (see </w:t>
      </w:r>
      <w:hyperlink r:id="rId11" w:history="1">
        <w:r w:rsidRPr="007C2FDD">
          <w:rPr>
            <w:rFonts w:ascii="Times New Roman" w:hAnsi="Times New Roman"/>
            <w:color w:val="0000FF"/>
            <w:sz w:val="21"/>
            <w:szCs w:val="21"/>
            <w:u w:val="single"/>
          </w:rPr>
          <w:t>http://www.bls.gov/news.release/ecec.nr0.htm</w:t>
        </w:r>
      </w:hyperlink>
      <w:r w:rsidRPr="007C2FDD">
        <w:rPr>
          <w:rFonts w:ascii="Times New Roman" w:hAnsi="Times New Roman"/>
          <w:sz w:val="21"/>
          <w:szCs w:val="21"/>
        </w:rPr>
        <w:t>)) was added for benefits.</w:t>
      </w:r>
    </w:p>
    <w:p w14:paraId="78427B5F" w14:textId="77777777" w:rsidR="007C2FDD" w:rsidRPr="007C2FDD" w:rsidRDefault="007C2FDD" w:rsidP="007C2FDD">
      <w:pPr>
        <w:tabs>
          <w:tab w:val="left" w:pos="360"/>
          <w:tab w:val="left" w:pos="720"/>
          <w:tab w:val="left" w:pos="1080"/>
        </w:tabs>
        <w:rPr>
          <w:rFonts w:ascii="Times New Roman" w:hAnsi="Times New Roman"/>
          <w:sz w:val="21"/>
          <w:szCs w:val="21"/>
        </w:rPr>
      </w:pPr>
    </w:p>
    <w:p w14:paraId="2983E340" w14:textId="77777777" w:rsidR="007C2FDD" w:rsidRPr="007C2FDD" w:rsidRDefault="007C2FDD" w:rsidP="007C2FDD">
      <w:pPr>
        <w:tabs>
          <w:tab w:val="left" w:pos="360"/>
          <w:tab w:val="left" w:pos="720"/>
          <w:tab w:val="left" w:pos="1080"/>
        </w:tabs>
        <w:rPr>
          <w:rFonts w:ascii="Times New Roman" w:hAnsi="Times New Roman"/>
        </w:rPr>
      </w:pPr>
      <w:r w:rsidRPr="007C2FDD">
        <w:rPr>
          <w:rFonts w:ascii="Times New Roman" w:hAnsi="Times New Roman"/>
        </w:rPr>
        <w:t xml:space="preserve">To analyze and review the information required by 30 CFR 250, Subpart Q, we estimate the government will spend an average of 0.5 hour for each hour spent by respondents for a total of </w:t>
      </w:r>
      <w:r w:rsidR="00FE3841">
        <w:rPr>
          <w:rFonts w:ascii="Times New Roman" w:hAnsi="Times New Roman"/>
        </w:rPr>
        <w:t>250</w:t>
      </w:r>
      <w:r w:rsidR="00FE3841" w:rsidRPr="007C2FDD">
        <w:rPr>
          <w:rFonts w:ascii="Times New Roman" w:hAnsi="Times New Roman"/>
        </w:rPr>
        <w:t xml:space="preserve"> </w:t>
      </w:r>
      <w:r w:rsidRPr="007C2FDD">
        <w:rPr>
          <w:rFonts w:ascii="Times New Roman" w:hAnsi="Times New Roman"/>
        </w:rPr>
        <w:t xml:space="preserve">burden hours.  </w:t>
      </w:r>
    </w:p>
    <w:p w14:paraId="43B1CBEB" w14:textId="77777777" w:rsidR="007C2FDD" w:rsidRPr="007C2FDD" w:rsidRDefault="007C2FDD" w:rsidP="007C2FDD">
      <w:pPr>
        <w:tabs>
          <w:tab w:val="left" w:pos="-1080"/>
          <w:tab w:val="left" w:pos="-720"/>
          <w:tab w:val="left" w:pos="360"/>
          <w:tab w:val="left" w:pos="810"/>
        </w:tabs>
        <w:rPr>
          <w:rFonts w:ascii="Times New Roman" w:hAnsi="Times New Roman"/>
        </w:rPr>
      </w:pPr>
    </w:p>
    <w:p w14:paraId="16E8BCA8" w14:textId="07CAE10B" w:rsidR="007C2FDD" w:rsidRPr="007C2FDD" w:rsidRDefault="007C2FDD" w:rsidP="007C2FDD">
      <w:pPr>
        <w:tabs>
          <w:tab w:val="left" w:pos="-1080"/>
          <w:tab w:val="left" w:pos="-720"/>
          <w:tab w:val="left" w:pos="360"/>
          <w:tab w:val="left" w:pos="810"/>
        </w:tabs>
        <w:rPr>
          <w:rFonts w:ascii="Times New Roman" w:hAnsi="Times New Roman"/>
        </w:rPr>
      </w:pPr>
      <w:r w:rsidRPr="007C2FDD">
        <w:rPr>
          <w:rFonts w:ascii="Times New Roman" w:hAnsi="Times New Roman"/>
        </w:rPr>
        <w:t>Based on a cost factor of $7</w:t>
      </w:r>
      <w:r w:rsidR="00295117">
        <w:rPr>
          <w:rFonts w:ascii="Times New Roman" w:hAnsi="Times New Roman"/>
        </w:rPr>
        <w:t>7</w:t>
      </w:r>
      <w:r w:rsidRPr="007C2FDD">
        <w:rPr>
          <w:rFonts w:ascii="Times New Roman" w:hAnsi="Times New Roman"/>
        </w:rPr>
        <w:t xml:space="preserve"> per hour, we estimate the total gross annualized cost to the Government is $</w:t>
      </w:r>
      <w:r w:rsidR="00295117" w:rsidRPr="00295117">
        <w:rPr>
          <w:rFonts w:ascii="Times New Roman" w:hAnsi="Times New Roman"/>
        </w:rPr>
        <w:t>19,250</w:t>
      </w:r>
      <w:r w:rsidR="00295117" w:rsidRPr="00295117" w:rsidDel="00295117">
        <w:rPr>
          <w:rFonts w:ascii="Times New Roman" w:hAnsi="Times New Roman"/>
        </w:rPr>
        <w:t xml:space="preserve"> </w:t>
      </w:r>
      <w:r w:rsidRPr="007C2FDD">
        <w:rPr>
          <w:rFonts w:ascii="Times New Roman" w:hAnsi="Times New Roman"/>
        </w:rPr>
        <w:t>(</w:t>
      </w:r>
      <w:r w:rsidR="009C6CA8">
        <w:rPr>
          <w:rFonts w:ascii="Times New Roman" w:hAnsi="Times New Roman"/>
        </w:rPr>
        <w:t>500</w:t>
      </w:r>
      <w:r w:rsidR="009C6CA8" w:rsidRPr="007C2FDD">
        <w:rPr>
          <w:rFonts w:ascii="Times New Roman" w:hAnsi="Times New Roman"/>
        </w:rPr>
        <w:t xml:space="preserve"> </w:t>
      </w:r>
      <w:r w:rsidRPr="007C2FDD">
        <w:rPr>
          <w:rFonts w:ascii="Times New Roman" w:hAnsi="Times New Roman"/>
        </w:rPr>
        <w:t xml:space="preserve">hours x 0.5 hour = </w:t>
      </w:r>
      <w:r w:rsidR="00FE3841">
        <w:rPr>
          <w:rFonts w:ascii="Times New Roman" w:hAnsi="Times New Roman"/>
        </w:rPr>
        <w:t>250</w:t>
      </w:r>
      <w:r w:rsidR="00FE3841" w:rsidRPr="007C2FDD">
        <w:rPr>
          <w:rFonts w:ascii="Times New Roman" w:hAnsi="Times New Roman"/>
        </w:rPr>
        <w:t xml:space="preserve"> </w:t>
      </w:r>
      <w:r w:rsidRPr="007C2FDD">
        <w:rPr>
          <w:rFonts w:ascii="Times New Roman" w:hAnsi="Times New Roman"/>
        </w:rPr>
        <w:t>hours x $</w:t>
      </w:r>
      <w:r w:rsidR="00295117">
        <w:rPr>
          <w:rFonts w:ascii="Times New Roman" w:hAnsi="Times New Roman"/>
        </w:rPr>
        <w:t>77</w:t>
      </w:r>
      <w:r w:rsidR="00295117" w:rsidRPr="007C2FDD">
        <w:rPr>
          <w:rFonts w:ascii="Times New Roman" w:hAnsi="Times New Roman"/>
        </w:rPr>
        <w:t xml:space="preserve"> </w:t>
      </w:r>
      <w:r w:rsidRPr="007C2FDD">
        <w:rPr>
          <w:rFonts w:ascii="Times New Roman" w:hAnsi="Times New Roman"/>
        </w:rPr>
        <w:t>= $</w:t>
      </w:r>
      <w:r w:rsidR="00295117">
        <w:rPr>
          <w:rFonts w:ascii="Times New Roman" w:hAnsi="Times New Roman"/>
        </w:rPr>
        <w:t>19,250</w:t>
      </w:r>
      <w:r w:rsidRPr="007C2FDD">
        <w:rPr>
          <w:rFonts w:ascii="Times New Roman" w:hAnsi="Times New Roman"/>
        </w:rPr>
        <w:t xml:space="preserve">).  </w:t>
      </w:r>
    </w:p>
    <w:p w14:paraId="799A3B0A" w14:textId="77777777" w:rsidR="006E35DB" w:rsidRPr="00485333" w:rsidRDefault="006E35DB" w:rsidP="00892E5F">
      <w:pPr>
        <w:widowControl/>
        <w:tabs>
          <w:tab w:val="left" w:pos="-1080"/>
          <w:tab w:val="left" w:pos="-720"/>
          <w:tab w:val="left" w:pos="360"/>
          <w:tab w:val="left" w:pos="810"/>
        </w:tabs>
        <w:rPr>
          <w:rFonts w:ascii="Times New Roman" w:hAnsi="Times New Roman"/>
        </w:rPr>
      </w:pPr>
    </w:p>
    <w:p w14:paraId="2CD7EFD0" w14:textId="77777777" w:rsidR="001F3345" w:rsidRDefault="001F3345" w:rsidP="001F3345">
      <w:pPr>
        <w:widowControl/>
        <w:tabs>
          <w:tab w:val="left" w:pos="-1080"/>
          <w:tab w:val="left" w:pos="-720"/>
          <w:tab w:val="left" w:pos="360"/>
          <w:tab w:val="left" w:pos="810"/>
        </w:tabs>
        <w:rPr>
          <w:rFonts w:ascii="Times New Roman" w:hAnsi="Times New Roman"/>
        </w:rPr>
      </w:pPr>
      <w:r w:rsidRPr="00600EEB">
        <w:rPr>
          <w:rFonts w:ascii="Times New Roman" w:hAnsi="Times New Roman"/>
          <w:b/>
          <w:i/>
        </w:rPr>
        <w:lastRenderedPageBreak/>
        <w:t>15.</w:t>
      </w:r>
      <w:r w:rsidRPr="00600EEB">
        <w:rPr>
          <w:rFonts w:ascii="Times New Roman" w:hAnsi="Times New Roman"/>
          <w:b/>
          <w:i/>
        </w:rPr>
        <w:tab/>
        <w:t>Explain the reasons for any program changes or adjustments.</w:t>
      </w:r>
      <w:r>
        <w:rPr>
          <w:rFonts w:ascii="Times New Roman" w:hAnsi="Times New Roman"/>
        </w:rPr>
        <w:t xml:space="preserve">  </w:t>
      </w:r>
    </w:p>
    <w:p w14:paraId="7317B7BB" w14:textId="77777777" w:rsidR="00363685" w:rsidRDefault="00363685" w:rsidP="00363685">
      <w:pPr>
        <w:widowControl/>
        <w:tabs>
          <w:tab w:val="left" w:pos="-1080"/>
          <w:tab w:val="left" w:pos="-720"/>
          <w:tab w:val="left" w:pos="360"/>
          <w:tab w:val="left" w:pos="810"/>
        </w:tabs>
        <w:rPr>
          <w:rFonts w:ascii="Times New Roman" w:hAnsi="Times New Roman"/>
        </w:rPr>
      </w:pPr>
    </w:p>
    <w:p w14:paraId="6FF07179" w14:textId="77777777" w:rsidR="007C2FDD" w:rsidRDefault="007C2FDD" w:rsidP="007C2FDD">
      <w:pPr>
        <w:widowControl/>
        <w:tabs>
          <w:tab w:val="left" w:pos="-1080"/>
          <w:tab w:val="left" w:pos="-720"/>
          <w:tab w:val="left" w:pos="360"/>
          <w:tab w:val="left" w:pos="810"/>
        </w:tabs>
        <w:rPr>
          <w:rFonts w:ascii="Times New Roman" w:hAnsi="Times New Roman"/>
        </w:rPr>
      </w:pPr>
      <w:r w:rsidRPr="0042706F">
        <w:rPr>
          <w:rFonts w:ascii="Times New Roman" w:hAnsi="Times New Roman"/>
        </w:rPr>
        <w:t>This is a new collection of information</w:t>
      </w:r>
      <w:r w:rsidR="00AD309F">
        <w:rPr>
          <w:rFonts w:ascii="Times New Roman" w:hAnsi="Times New Roman"/>
        </w:rPr>
        <w:t>;</w:t>
      </w:r>
      <w:r w:rsidRPr="0042706F">
        <w:rPr>
          <w:rFonts w:ascii="Times New Roman" w:hAnsi="Times New Roman"/>
        </w:rPr>
        <w:t xml:space="preserve"> therefore, represents a program increase </w:t>
      </w:r>
      <w:r>
        <w:rPr>
          <w:rFonts w:ascii="Times New Roman" w:hAnsi="Times New Roman"/>
        </w:rPr>
        <w:t xml:space="preserve">of </w:t>
      </w:r>
      <w:r w:rsidR="003A27CA">
        <w:rPr>
          <w:rFonts w:ascii="Times New Roman" w:hAnsi="Times New Roman"/>
        </w:rPr>
        <w:t xml:space="preserve">500 </w:t>
      </w:r>
      <w:r>
        <w:rPr>
          <w:rFonts w:ascii="Times New Roman" w:hAnsi="Times New Roman"/>
        </w:rPr>
        <w:t xml:space="preserve">burden hours.  There are no non-hour cost burdens associated with this </w:t>
      </w:r>
      <w:r w:rsidR="002F0042">
        <w:rPr>
          <w:rFonts w:ascii="Times New Roman" w:hAnsi="Times New Roman"/>
        </w:rPr>
        <w:t>collection</w:t>
      </w:r>
      <w:r>
        <w:rPr>
          <w:rFonts w:ascii="Times New Roman" w:hAnsi="Times New Roman"/>
        </w:rPr>
        <w:t xml:space="preserve">.  </w:t>
      </w:r>
    </w:p>
    <w:p w14:paraId="763E2890" w14:textId="77777777" w:rsidR="007C2FDD" w:rsidRDefault="007C2FDD" w:rsidP="007C2FDD">
      <w:pPr>
        <w:widowControl/>
        <w:tabs>
          <w:tab w:val="left" w:pos="-1080"/>
          <w:tab w:val="left" w:pos="-720"/>
          <w:tab w:val="left" w:pos="360"/>
          <w:tab w:val="left" w:pos="810"/>
        </w:tabs>
        <w:rPr>
          <w:rFonts w:ascii="Times New Roman" w:hAnsi="Times New Roman"/>
        </w:rPr>
      </w:pPr>
    </w:p>
    <w:p w14:paraId="49A71506" w14:textId="77777777" w:rsidR="007C2FDD" w:rsidRDefault="007C2FDD" w:rsidP="007C2FDD">
      <w:pPr>
        <w:widowControl/>
        <w:tabs>
          <w:tab w:val="left" w:pos="360"/>
          <w:tab w:val="left" w:pos="720"/>
        </w:tabs>
        <w:rPr>
          <w:rFonts w:ascii="Times New Roman" w:hAnsi="Times New Roman"/>
        </w:rPr>
      </w:pPr>
      <w:r w:rsidRPr="00BD62E5">
        <w:rPr>
          <w:rFonts w:ascii="Times New Roman" w:hAnsi="Times New Roman"/>
        </w:rPr>
        <w:t xml:space="preserve">Once the requirements of this rulemaking have been codified, BSEE will consolidate these additional burden hours into the primary collection for 30 CFR 250, Subpart Q, under OMB Control Number 1014-0010 (expiration </w:t>
      </w:r>
      <w:r w:rsidRPr="00AD309F">
        <w:rPr>
          <w:rFonts w:ascii="Times New Roman" w:hAnsi="Times New Roman"/>
        </w:rPr>
        <w:t>10/31/16</w:t>
      </w:r>
      <w:r w:rsidRPr="00BD62E5">
        <w:rPr>
          <w:rFonts w:ascii="Times New Roman" w:hAnsi="Times New Roman"/>
        </w:rPr>
        <w:t xml:space="preserve">; 29,437 burden hours and $2,152,644 non-hour cost burdens).   </w:t>
      </w:r>
    </w:p>
    <w:p w14:paraId="29DE52A2" w14:textId="77777777" w:rsidR="00363685" w:rsidRDefault="007C2FDD" w:rsidP="00363685">
      <w:pPr>
        <w:widowControl/>
        <w:tabs>
          <w:tab w:val="left" w:pos="360"/>
          <w:tab w:val="left" w:pos="720"/>
          <w:tab w:val="left" w:pos="1080"/>
        </w:tabs>
        <w:rPr>
          <w:rFonts w:ascii="Times New Roman" w:hAnsi="Times New Roman"/>
        </w:rPr>
      </w:pPr>
      <w:r w:rsidDel="007C2FDD">
        <w:rPr>
          <w:rFonts w:ascii="Times New Roman" w:hAnsi="Times New Roman"/>
        </w:rPr>
        <w:t xml:space="preserve"> </w:t>
      </w:r>
    </w:p>
    <w:p w14:paraId="5114E751" w14:textId="77777777" w:rsidR="001F3345" w:rsidRDefault="001F3345" w:rsidP="001F3345">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14:paraId="29FAFFCB" w14:textId="77777777" w:rsidR="001F3345" w:rsidRDefault="001F3345" w:rsidP="001F3345">
      <w:pPr>
        <w:widowControl/>
        <w:tabs>
          <w:tab w:val="left" w:pos="-1080"/>
          <w:tab w:val="left" w:pos="-720"/>
          <w:tab w:val="left" w:pos="360"/>
          <w:tab w:val="left" w:pos="810"/>
        </w:tabs>
        <w:rPr>
          <w:rFonts w:ascii="Times New Roman" w:hAnsi="Times New Roman"/>
        </w:rPr>
      </w:pPr>
    </w:p>
    <w:p w14:paraId="1D33E1C5" w14:textId="0D281F18" w:rsidR="001F3345" w:rsidRDefault="006661B9" w:rsidP="001F3345">
      <w:pPr>
        <w:widowControl/>
        <w:tabs>
          <w:tab w:val="left" w:pos="-1080"/>
          <w:tab w:val="left" w:pos="-720"/>
          <w:tab w:val="left" w:pos="360"/>
          <w:tab w:val="left" w:pos="810"/>
        </w:tabs>
        <w:rPr>
          <w:rFonts w:ascii="Times New Roman" w:hAnsi="Times New Roman"/>
        </w:rPr>
      </w:pPr>
      <w:r>
        <w:rPr>
          <w:rFonts w:ascii="Times New Roman" w:hAnsi="Times New Roman"/>
        </w:rPr>
        <w:t>BSEE</w:t>
      </w:r>
      <w:r w:rsidR="001F3345">
        <w:rPr>
          <w:rFonts w:ascii="Times New Roman" w:hAnsi="Times New Roman"/>
        </w:rPr>
        <w:t xml:space="preserve"> will not tabulate or publish the data.</w:t>
      </w:r>
    </w:p>
    <w:p w14:paraId="6A68FFEE" w14:textId="77777777" w:rsidR="001F3345" w:rsidRDefault="001F3345" w:rsidP="001F3345">
      <w:pPr>
        <w:widowControl/>
        <w:tabs>
          <w:tab w:val="left" w:pos="-1080"/>
          <w:tab w:val="left" w:pos="-720"/>
          <w:tab w:val="left" w:pos="360"/>
          <w:tab w:val="left" w:pos="810"/>
        </w:tabs>
        <w:rPr>
          <w:rFonts w:ascii="Times New Roman" w:hAnsi="Times New Roman"/>
        </w:rPr>
      </w:pPr>
    </w:p>
    <w:p w14:paraId="592F4499" w14:textId="77777777" w:rsidR="001F3345" w:rsidRDefault="001F3345" w:rsidP="001F3345">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14:paraId="05677415" w14:textId="77777777" w:rsidR="001F3345" w:rsidRDefault="001F3345" w:rsidP="001F3345">
      <w:pPr>
        <w:widowControl/>
        <w:tabs>
          <w:tab w:val="left" w:pos="-1080"/>
          <w:tab w:val="left" w:pos="-720"/>
          <w:tab w:val="left" w:pos="360"/>
          <w:tab w:val="left" w:pos="810"/>
        </w:tabs>
        <w:rPr>
          <w:rFonts w:ascii="Times New Roman" w:hAnsi="Times New Roman"/>
        </w:rPr>
      </w:pPr>
    </w:p>
    <w:p w14:paraId="6CDCFC94" w14:textId="573D82C1" w:rsidR="001F3345" w:rsidRDefault="007F1D6A" w:rsidP="001F3345">
      <w:pPr>
        <w:widowControl/>
        <w:tabs>
          <w:tab w:val="left" w:pos="-1080"/>
          <w:tab w:val="left" w:pos="-720"/>
          <w:tab w:val="left" w:pos="360"/>
          <w:tab w:val="left" w:pos="810"/>
        </w:tabs>
        <w:rPr>
          <w:rFonts w:ascii="Times New Roman" w:hAnsi="Times New Roman"/>
        </w:rPr>
      </w:pPr>
      <w:r w:rsidRPr="007F1D6A">
        <w:rPr>
          <w:rFonts w:ascii="Times New Roman" w:hAnsi="Times New Roman"/>
        </w:rPr>
        <w:t>BSEE will display the OMB control number</w:t>
      </w:r>
      <w:r w:rsidR="005F2748">
        <w:rPr>
          <w:rFonts w:ascii="Times New Roman" w:hAnsi="Times New Roman"/>
        </w:rPr>
        <w:t xml:space="preserve"> </w:t>
      </w:r>
      <w:r w:rsidR="00AD309F">
        <w:rPr>
          <w:rFonts w:ascii="Times New Roman" w:hAnsi="Times New Roman"/>
        </w:rPr>
        <w:t xml:space="preserve">at </w:t>
      </w:r>
      <w:r w:rsidR="005F2748">
        <w:rPr>
          <w:rFonts w:ascii="Times New Roman" w:hAnsi="Times New Roman"/>
        </w:rPr>
        <w:t>§ 250.199</w:t>
      </w:r>
      <w:r w:rsidRPr="007F1D6A">
        <w:rPr>
          <w:rFonts w:ascii="Times New Roman" w:hAnsi="Times New Roman"/>
        </w:rPr>
        <w:t xml:space="preserve">.  </w:t>
      </w:r>
    </w:p>
    <w:p w14:paraId="74D2A762" w14:textId="77777777" w:rsidR="007F1D6A" w:rsidRDefault="007F1D6A" w:rsidP="001F3345">
      <w:pPr>
        <w:widowControl/>
        <w:tabs>
          <w:tab w:val="left" w:pos="-1080"/>
          <w:tab w:val="left" w:pos="-720"/>
          <w:tab w:val="left" w:pos="360"/>
          <w:tab w:val="left" w:pos="810"/>
        </w:tabs>
        <w:rPr>
          <w:rFonts w:ascii="Times New Roman" w:hAnsi="Times New Roman"/>
        </w:rPr>
      </w:pPr>
    </w:p>
    <w:p w14:paraId="506C50EA" w14:textId="77777777" w:rsidR="001F3345" w:rsidRDefault="001F3345" w:rsidP="001F3345">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 xml:space="preserve">Explain each exception to the </w:t>
      </w:r>
      <w:r w:rsidR="00166043">
        <w:rPr>
          <w:rFonts w:ascii="Times New Roman" w:hAnsi="Times New Roman"/>
          <w:b/>
          <w:i/>
        </w:rPr>
        <w:t xml:space="preserve">topics of the </w:t>
      </w:r>
      <w:r w:rsidRPr="00600EEB">
        <w:rPr>
          <w:rFonts w:ascii="Times New Roman" w:hAnsi="Times New Roman"/>
          <w:b/>
          <w:i/>
        </w:rPr>
        <w:t>ce</w:t>
      </w:r>
      <w:r w:rsidR="00975CA3">
        <w:rPr>
          <w:rFonts w:ascii="Times New Roman" w:hAnsi="Times New Roman"/>
          <w:b/>
          <w:i/>
        </w:rPr>
        <w:t>rtification statement</w:t>
      </w:r>
      <w:r w:rsidR="00166043">
        <w:rPr>
          <w:rFonts w:ascii="Times New Roman" w:hAnsi="Times New Roman"/>
          <w:b/>
          <w:i/>
        </w:rPr>
        <w:t xml:space="preserve"> identified in</w:t>
      </w:r>
      <w:r w:rsidRPr="00600EEB">
        <w:rPr>
          <w:rFonts w:ascii="Times New Roman" w:hAnsi="Times New Roman"/>
          <w:b/>
          <w:i/>
        </w:rPr>
        <w:t>, “Certification for Paperwork Reduction Act Submissions</w:t>
      </w:r>
      <w:r w:rsidR="00975CA3">
        <w:rPr>
          <w:rFonts w:ascii="Times New Roman" w:hAnsi="Times New Roman"/>
          <w:b/>
          <w:i/>
        </w:rPr>
        <w:t>.</w:t>
      </w:r>
      <w:r w:rsidRPr="00600EEB">
        <w:rPr>
          <w:rFonts w:ascii="Times New Roman" w:hAnsi="Times New Roman"/>
          <w:b/>
          <w:i/>
        </w:rPr>
        <w:t>”</w:t>
      </w:r>
      <w:r>
        <w:rPr>
          <w:rFonts w:ascii="Times New Roman" w:hAnsi="Times New Roman"/>
        </w:rPr>
        <w:t xml:space="preserve">  </w:t>
      </w:r>
    </w:p>
    <w:p w14:paraId="6668F3A7" w14:textId="77777777" w:rsidR="001F3345" w:rsidRDefault="001F3345" w:rsidP="001F3345">
      <w:pPr>
        <w:widowControl/>
        <w:tabs>
          <w:tab w:val="left" w:pos="-1080"/>
          <w:tab w:val="left" w:pos="-720"/>
          <w:tab w:val="left" w:pos="360"/>
          <w:tab w:val="left" w:pos="810"/>
        </w:tabs>
        <w:rPr>
          <w:rFonts w:ascii="Times New Roman" w:hAnsi="Times New Roman"/>
        </w:rPr>
      </w:pPr>
    </w:p>
    <w:p w14:paraId="635834EB" w14:textId="16873B49" w:rsidR="006E35DB" w:rsidRPr="00CD5B1C" w:rsidRDefault="00DD4907" w:rsidP="00CD5B1C">
      <w:pPr>
        <w:widowControl/>
        <w:tabs>
          <w:tab w:val="left" w:pos="-1080"/>
          <w:tab w:val="left" w:pos="-720"/>
          <w:tab w:val="left" w:pos="360"/>
          <w:tab w:val="left" w:pos="810"/>
        </w:tabs>
        <w:rPr>
          <w:rFonts w:ascii="Times New Roman" w:hAnsi="Times New Roman"/>
        </w:rPr>
      </w:pPr>
      <w:r>
        <w:rPr>
          <w:rFonts w:ascii="Times New Roman" w:hAnsi="Times New Roman"/>
        </w:rPr>
        <w:t>W</w:t>
      </w:r>
      <w:r w:rsidR="001F3345">
        <w:rPr>
          <w:rFonts w:ascii="Times New Roman" w:hAnsi="Times New Roman"/>
        </w:rPr>
        <w:t>e are not making any exceptions to the “Certification for Paperwork Reduction Act Submissions.”</w:t>
      </w:r>
    </w:p>
    <w:sectPr w:rsidR="006E35DB" w:rsidRPr="00CD5B1C" w:rsidSect="00EA53E9">
      <w:footerReference w:type="even" r:id="rId12"/>
      <w:footerReference w:type="default" r:id="rId13"/>
      <w:endnotePr>
        <w:numFmt w:val="decimal"/>
      </w:endnotePr>
      <w:pgSz w:w="12240" w:h="15840" w:code="1"/>
      <w:pgMar w:top="1440" w:right="1440" w:bottom="1440" w:left="1440" w:header="1440" w:footer="432" w:gutter="0"/>
      <w:cols w:space="720"/>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F9ADDC" w15:done="0"/>
  <w15:commentEx w15:paraId="4D8FC296" w15:paraIdParent="68F9ADDC" w15:done="0"/>
  <w15:commentEx w15:paraId="1F28E363" w15:done="0"/>
  <w15:commentEx w15:paraId="7EA82035" w15:done="0"/>
  <w15:commentEx w15:paraId="12E889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6A35D" w14:textId="77777777" w:rsidR="009338E5" w:rsidRDefault="009338E5">
      <w:r>
        <w:separator/>
      </w:r>
    </w:p>
  </w:endnote>
  <w:endnote w:type="continuationSeparator" w:id="0">
    <w:p w14:paraId="424196FA" w14:textId="77777777" w:rsidR="009338E5" w:rsidRDefault="00933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oudyOlSt BT">
    <w:altName w:val="Georgia"/>
    <w:charset w:val="00"/>
    <w:family w:val="roman"/>
    <w:pitch w:val="variable"/>
    <w:sig w:usb0="800000AF" w:usb1="1000204A"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6AF5F" w14:textId="77777777" w:rsidR="009338E5" w:rsidRDefault="009338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42A3BB" w14:textId="77777777" w:rsidR="009338E5" w:rsidRDefault="009338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7F0BD" w14:textId="77777777" w:rsidR="009338E5" w:rsidRDefault="009338E5">
    <w:pPr>
      <w:spacing w:line="240" w:lineRule="exact"/>
    </w:pPr>
  </w:p>
  <w:p w14:paraId="039B5B28" w14:textId="77777777" w:rsidR="009338E5" w:rsidRDefault="009338E5">
    <w:pPr>
      <w:framePr w:wrap="around" w:vAnchor="text" w:hAnchor="margin" w:xAlign="center" w:y="1"/>
      <w:jc w:val="center"/>
    </w:pPr>
    <w:r>
      <w:fldChar w:fldCharType="begin"/>
    </w:r>
    <w:r>
      <w:instrText xml:space="preserve">PAGE </w:instrText>
    </w:r>
    <w:r>
      <w:fldChar w:fldCharType="separate"/>
    </w:r>
    <w:r w:rsidR="00D13047">
      <w:rPr>
        <w:noProof/>
      </w:rPr>
      <w:t>8</w:t>
    </w:r>
    <w:r>
      <w:fldChar w:fldCharType="end"/>
    </w:r>
  </w:p>
  <w:p w14:paraId="7A04AE7F" w14:textId="77777777" w:rsidR="009338E5" w:rsidRDefault="009338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B1B86" w14:textId="77777777" w:rsidR="009338E5" w:rsidRDefault="009338E5">
      <w:r>
        <w:separator/>
      </w:r>
    </w:p>
  </w:footnote>
  <w:footnote w:type="continuationSeparator" w:id="0">
    <w:p w14:paraId="6D028A18" w14:textId="77777777" w:rsidR="009338E5" w:rsidRDefault="009338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36E27E"/>
    <w:lvl w:ilvl="0">
      <w:start w:val="1"/>
      <w:numFmt w:val="decimal"/>
      <w:lvlText w:val="%1."/>
      <w:lvlJc w:val="left"/>
      <w:pPr>
        <w:tabs>
          <w:tab w:val="num" w:pos="1800"/>
        </w:tabs>
        <w:ind w:left="1800" w:hanging="360"/>
      </w:pPr>
    </w:lvl>
  </w:abstractNum>
  <w:abstractNum w:abstractNumId="1">
    <w:nsid w:val="FFFFFF7D"/>
    <w:multiLevelType w:val="singleLevel"/>
    <w:tmpl w:val="D7E02334"/>
    <w:lvl w:ilvl="0">
      <w:start w:val="1"/>
      <w:numFmt w:val="decimal"/>
      <w:lvlText w:val="%1."/>
      <w:lvlJc w:val="left"/>
      <w:pPr>
        <w:tabs>
          <w:tab w:val="num" w:pos="1440"/>
        </w:tabs>
        <w:ind w:left="1440" w:hanging="360"/>
      </w:pPr>
    </w:lvl>
  </w:abstractNum>
  <w:abstractNum w:abstractNumId="2">
    <w:nsid w:val="FFFFFF7E"/>
    <w:multiLevelType w:val="singleLevel"/>
    <w:tmpl w:val="DE2CFDA6"/>
    <w:lvl w:ilvl="0">
      <w:start w:val="1"/>
      <w:numFmt w:val="decimal"/>
      <w:lvlText w:val="%1."/>
      <w:lvlJc w:val="left"/>
      <w:pPr>
        <w:tabs>
          <w:tab w:val="num" w:pos="1080"/>
        </w:tabs>
        <w:ind w:left="1080" w:hanging="360"/>
      </w:pPr>
    </w:lvl>
  </w:abstractNum>
  <w:abstractNum w:abstractNumId="3">
    <w:nsid w:val="FFFFFF7F"/>
    <w:multiLevelType w:val="singleLevel"/>
    <w:tmpl w:val="177EAE44"/>
    <w:lvl w:ilvl="0">
      <w:start w:val="1"/>
      <w:numFmt w:val="decimal"/>
      <w:lvlText w:val="%1."/>
      <w:lvlJc w:val="left"/>
      <w:pPr>
        <w:tabs>
          <w:tab w:val="num" w:pos="720"/>
        </w:tabs>
        <w:ind w:left="720" w:hanging="360"/>
      </w:pPr>
    </w:lvl>
  </w:abstractNum>
  <w:abstractNum w:abstractNumId="4">
    <w:nsid w:val="FFFFFF80"/>
    <w:multiLevelType w:val="singleLevel"/>
    <w:tmpl w:val="CE845D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7301B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8AC95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1AAED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BA4096E"/>
    <w:lvl w:ilvl="0">
      <w:start w:val="1"/>
      <w:numFmt w:val="decimal"/>
      <w:lvlText w:val="%1."/>
      <w:lvlJc w:val="left"/>
      <w:pPr>
        <w:tabs>
          <w:tab w:val="num" w:pos="360"/>
        </w:tabs>
        <w:ind w:left="360" w:hanging="360"/>
      </w:pPr>
    </w:lvl>
  </w:abstractNum>
  <w:abstractNum w:abstractNumId="9">
    <w:nsid w:val="FFFFFF89"/>
    <w:multiLevelType w:val="singleLevel"/>
    <w:tmpl w:val="63447FD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1">
    <w:nsid w:val="244F2D85"/>
    <w:multiLevelType w:val="hybridMultilevel"/>
    <w:tmpl w:val="2510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506C6E"/>
    <w:multiLevelType w:val="hybridMultilevel"/>
    <w:tmpl w:val="04CE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2228EC"/>
    <w:multiLevelType w:val="hybridMultilevel"/>
    <w:tmpl w:val="B7EA2B16"/>
    <w:lvl w:ilvl="0" w:tplc="5E7C4256">
      <w:start w:val="1"/>
      <w:numFmt w:val="bullet"/>
      <w:lvlText w:val=""/>
      <w:lvlJc w:val="left"/>
      <w:pPr>
        <w:tabs>
          <w:tab w:val="num" w:pos="648"/>
        </w:tabs>
        <w:ind w:left="648"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2"/>
      <w:lvl w:ilvl="0">
        <w:start w:val="2"/>
        <w:numFmt w:val="decimal"/>
        <w:pStyle w:val="QuickA"/>
        <w:lvlText w:val="%1."/>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460"/>
    <w:rsid w:val="00001311"/>
    <w:rsid w:val="0000636B"/>
    <w:rsid w:val="0003584C"/>
    <w:rsid w:val="00050F24"/>
    <w:rsid w:val="00050F26"/>
    <w:rsid w:val="00060CC6"/>
    <w:rsid w:val="00064548"/>
    <w:rsid w:val="0007184C"/>
    <w:rsid w:val="00073345"/>
    <w:rsid w:val="00076AD2"/>
    <w:rsid w:val="00077550"/>
    <w:rsid w:val="000830B4"/>
    <w:rsid w:val="0008506F"/>
    <w:rsid w:val="000A4EC6"/>
    <w:rsid w:val="000A5B07"/>
    <w:rsid w:val="000B5A51"/>
    <w:rsid w:val="000B67AC"/>
    <w:rsid w:val="000B7DEC"/>
    <w:rsid w:val="000C4B6E"/>
    <w:rsid w:val="000D082D"/>
    <w:rsid w:val="000E0A47"/>
    <w:rsid w:val="000E4B4B"/>
    <w:rsid w:val="000F345B"/>
    <w:rsid w:val="000F6CBF"/>
    <w:rsid w:val="000F709D"/>
    <w:rsid w:val="00101EFB"/>
    <w:rsid w:val="001020D5"/>
    <w:rsid w:val="001067FC"/>
    <w:rsid w:val="00112281"/>
    <w:rsid w:val="00127692"/>
    <w:rsid w:val="00132612"/>
    <w:rsid w:val="00132773"/>
    <w:rsid w:val="00133444"/>
    <w:rsid w:val="0013642F"/>
    <w:rsid w:val="001367C5"/>
    <w:rsid w:val="0014165F"/>
    <w:rsid w:val="0014184F"/>
    <w:rsid w:val="00147A03"/>
    <w:rsid w:val="00164F58"/>
    <w:rsid w:val="00165A68"/>
    <w:rsid w:val="00166043"/>
    <w:rsid w:val="00170E5D"/>
    <w:rsid w:val="00187ED0"/>
    <w:rsid w:val="001A198E"/>
    <w:rsid w:val="001B3343"/>
    <w:rsid w:val="001B3E94"/>
    <w:rsid w:val="001C5234"/>
    <w:rsid w:val="001C7E99"/>
    <w:rsid w:val="001D0403"/>
    <w:rsid w:val="001D07D4"/>
    <w:rsid w:val="001D728D"/>
    <w:rsid w:val="001F2E67"/>
    <w:rsid w:val="001F3345"/>
    <w:rsid w:val="001F665B"/>
    <w:rsid w:val="00213B90"/>
    <w:rsid w:val="00217C32"/>
    <w:rsid w:val="0022431A"/>
    <w:rsid w:val="002266E5"/>
    <w:rsid w:val="002271AF"/>
    <w:rsid w:val="00237E32"/>
    <w:rsid w:val="00241C6C"/>
    <w:rsid w:val="0024381D"/>
    <w:rsid w:val="00252118"/>
    <w:rsid w:val="00254CAD"/>
    <w:rsid w:val="00256EDA"/>
    <w:rsid w:val="00267DE7"/>
    <w:rsid w:val="00271589"/>
    <w:rsid w:val="00275D9E"/>
    <w:rsid w:val="002769B4"/>
    <w:rsid w:val="002829C5"/>
    <w:rsid w:val="00287B9E"/>
    <w:rsid w:val="00295117"/>
    <w:rsid w:val="002A1AEF"/>
    <w:rsid w:val="002A69DD"/>
    <w:rsid w:val="002B2C13"/>
    <w:rsid w:val="002C0EC5"/>
    <w:rsid w:val="002C25AA"/>
    <w:rsid w:val="002C571B"/>
    <w:rsid w:val="002E3311"/>
    <w:rsid w:val="002F0042"/>
    <w:rsid w:val="002F09F4"/>
    <w:rsid w:val="002F5E8B"/>
    <w:rsid w:val="00313143"/>
    <w:rsid w:val="00314C8A"/>
    <w:rsid w:val="00317527"/>
    <w:rsid w:val="003215D7"/>
    <w:rsid w:val="00322A72"/>
    <w:rsid w:val="00326E16"/>
    <w:rsid w:val="00342B6A"/>
    <w:rsid w:val="003450FA"/>
    <w:rsid w:val="0034795F"/>
    <w:rsid w:val="00361E6F"/>
    <w:rsid w:val="00363685"/>
    <w:rsid w:val="0037122C"/>
    <w:rsid w:val="00371661"/>
    <w:rsid w:val="003753D4"/>
    <w:rsid w:val="003A0344"/>
    <w:rsid w:val="003A27CA"/>
    <w:rsid w:val="003B193D"/>
    <w:rsid w:val="003B7DEA"/>
    <w:rsid w:val="003C2D79"/>
    <w:rsid w:val="003C553D"/>
    <w:rsid w:val="003D039F"/>
    <w:rsid w:val="003D3B07"/>
    <w:rsid w:val="003E088E"/>
    <w:rsid w:val="003E095F"/>
    <w:rsid w:val="003E33E1"/>
    <w:rsid w:val="00402B15"/>
    <w:rsid w:val="00403A2B"/>
    <w:rsid w:val="004210E9"/>
    <w:rsid w:val="00421C9B"/>
    <w:rsid w:val="004227A8"/>
    <w:rsid w:val="004334DE"/>
    <w:rsid w:val="00451DAB"/>
    <w:rsid w:val="004558E8"/>
    <w:rsid w:val="00457CA0"/>
    <w:rsid w:val="004638C2"/>
    <w:rsid w:val="00470B20"/>
    <w:rsid w:val="00485333"/>
    <w:rsid w:val="00487C0D"/>
    <w:rsid w:val="0049383C"/>
    <w:rsid w:val="0049504F"/>
    <w:rsid w:val="004A38E6"/>
    <w:rsid w:val="004B002C"/>
    <w:rsid w:val="004B0EAE"/>
    <w:rsid w:val="004B70E8"/>
    <w:rsid w:val="004C18A8"/>
    <w:rsid w:val="004C3AAB"/>
    <w:rsid w:val="004F08C6"/>
    <w:rsid w:val="004F0F95"/>
    <w:rsid w:val="00500857"/>
    <w:rsid w:val="00533239"/>
    <w:rsid w:val="00541FF4"/>
    <w:rsid w:val="0054288A"/>
    <w:rsid w:val="00553F6E"/>
    <w:rsid w:val="00554F81"/>
    <w:rsid w:val="00560123"/>
    <w:rsid w:val="00562104"/>
    <w:rsid w:val="00565838"/>
    <w:rsid w:val="00567704"/>
    <w:rsid w:val="0057157F"/>
    <w:rsid w:val="005765B2"/>
    <w:rsid w:val="005803D3"/>
    <w:rsid w:val="0058189D"/>
    <w:rsid w:val="0058385B"/>
    <w:rsid w:val="0059247E"/>
    <w:rsid w:val="005A07CF"/>
    <w:rsid w:val="005A2895"/>
    <w:rsid w:val="005A4B67"/>
    <w:rsid w:val="005B589C"/>
    <w:rsid w:val="005B707D"/>
    <w:rsid w:val="005C03E0"/>
    <w:rsid w:val="005C3EB9"/>
    <w:rsid w:val="005D35F0"/>
    <w:rsid w:val="005D38F4"/>
    <w:rsid w:val="005D4D1D"/>
    <w:rsid w:val="005D5370"/>
    <w:rsid w:val="005E0A56"/>
    <w:rsid w:val="005E134B"/>
    <w:rsid w:val="005E2711"/>
    <w:rsid w:val="005E2AE6"/>
    <w:rsid w:val="005E2C10"/>
    <w:rsid w:val="005E409F"/>
    <w:rsid w:val="005F2748"/>
    <w:rsid w:val="005F5D36"/>
    <w:rsid w:val="0060182B"/>
    <w:rsid w:val="00612917"/>
    <w:rsid w:val="0062243B"/>
    <w:rsid w:val="00627440"/>
    <w:rsid w:val="006275C1"/>
    <w:rsid w:val="00632D5B"/>
    <w:rsid w:val="006466BE"/>
    <w:rsid w:val="00662D4F"/>
    <w:rsid w:val="006661B9"/>
    <w:rsid w:val="00675FC1"/>
    <w:rsid w:val="00684F8A"/>
    <w:rsid w:val="00686CAD"/>
    <w:rsid w:val="00687565"/>
    <w:rsid w:val="00692E24"/>
    <w:rsid w:val="00693DB9"/>
    <w:rsid w:val="006948EC"/>
    <w:rsid w:val="0069572F"/>
    <w:rsid w:val="006963A2"/>
    <w:rsid w:val="006A1B49"/>
    <w:rsid w:val="006B073C"/>
    <w:rsid w:val="006B438F"/>
    <w:rsid w:val="006C02DC"/>
    <w:rsid w:val="006C0FC4"/>
    <w:rsid w:val="006C4CBA"/>
    <w:rsid w:val="006D61D8"/>
    <w:rsid w:val="006E1888"/>
    <w:rsid w:val="006E35DB"/>
    <w:rsid w:val="006E7D50"/>
    <w:rsid w:val="006F0C46"/>
    <w:rsid w:val="00701D7A"/>
    <w:rsid w:val="0073369E"/>
    <w:rsid w:val="00734337"/>
    <w:rsid w:val="007369BD"/>
    <w:rsid w:val="00740CE4"/>
    <w:rsid w:val="00745FFA"/>
    <w:rsid w:val="00747214"/>
    <w:rsid w:val="00751DD5"/>
    <w:rsid w:val="00756328"/>
    <w:rsid w:val="00763513"/>
    <w:rsid w:val="0077447C"/>
    <w:rsid w:val="00776301"/>
    <w:rsid w:val="00780FE3"/>
    <w:rsid w:val="00792131"/>
    <w:rsid w:val="00795ED1"/>
    <w:rsid w:val="007A57F1"/>
    <w:rsid w:val="007C037C"/>
    <w:rsid w:val="007C2FDD"/>
    <w:rsid w:val="007C34E5"/>
    <w:rsid w:val="007D56FB"/>
    <w:rsid w:val="007E4E0F"/>
    <w:rsid w:val="007F1D6A"/>
    <w:rsid w:val="00807199"/>
    <w:rsid w:val="00821497"/>
    <w:rsid w:val="00834F91"/>
    <w:rsid w:val="00840297"/>
    <w:rsid w:val="0084042F"/>
    <w:rsid w:val="00842615"/>
    <w:rsid w:val="00842EBB"/>
    <w:rsid w:val="00846589"/>
    <w:rsid w:val="00846A51"/>
    <w:rsid w:val="00853126"/>
    <w:rsid w:val="00856D98"/>
    <w:rsid w:val="00867921"/>
    <w:rsid w:val="00870C45"/>
    <w:rsid w:val="00875C4E"/>
    <w:rsid w:val="00876B9E"/>
    <w:rsid w:val="00877C39"/>
    <w:rsid w:val="00892E5F"/>
    <w:rsid w:val="00892F2E"/>
    <w:rsid w:val="00893A23"/>
    <w:rsid w:val="00893BBB"/>
    <w:rsid w:val="008A0493"/>
    <w:rsid w:val="008A35F1"/>
    <w:rsid w:val="008B3C3D"/>
    <w:rsid w:val="008C1B75"/>
    <w:rsid w:val="008C4CDE"/>
    <w:rsid w:val="008E294D"/>
    <w:rsid w:val="008F0FDF"/>
    <w:rsid w:val="008F300C"/>
    <w:rsid w:val="00903C91"/>
    <w:rsid w:val="009118AE"/>
    <w:rsid w:val="0091465D"/>
    <w:rsid w:val="0091515F"/>
    <w:rsid w:val="00926661"/>
    <w:rsid w:val="009338E5"/>
    <w:rsid w:val="00944BA8"/>
    <w:rsid w:val="00953539"/>
    <w:rsid w:val="00962087"/>
    <w:rsid w:val="00962CAF"/>
    <w:rsid w:val="00962F48"/>
    <w:rsid w:val="00971D00"/>
    <w:rsid w:val="00975CA3"/>
    <w:rsid w:val="00975D21"/>
    <w:rsid w:val="009917A4"/>
    <w:rsid w:val="00997F36"/>
    <w:rsid w:val="009A11F2"/>
    <w:rsid w:val="009B1EC6"/>
    <w:rsid w:val="009B202C"/>
    <w:rsid w:val="009B5124"/>
    <w:rsid w:val="009B526F"/>
    <w:rsid w:val="009B7258"/>
    <w:rsid w:val="009B76C0"/>
    <w:rsid w:val="009C158D"/>
    <w:rsid w:val="009C1694"/>
    <w:rsid w:val="009C2CDE"/>
    <w:rsid w:val="009C6CA8"/>
    <w:rsid w:val="009D759C"/>
    <w:rsid w:val="009E539D"/>
    <w:rsid w:val="009F6198"/>
    <w:rsid w:val="00A0368F"/>
    <w:rsid w:val="00A06D06"/>
    <w:rsid w:val="00A072B7"/>
    <w:rsid w:val="00A277E6"/>
    <w:rsid w:val="00A30817"/>
    <w:rsid w:val="00A37713"/>
    <w:rsid w:val="00A46FDF"/>
    <w:rsid w:val="00A61663"/>
    <w:rsid w:val="00A61803"/>
    <w:rsid w:val="00A82EBF"/>
    <w:rsid w:val="00A85460"/>
    <w:rsid w:val="00A85799"/>
    <w:rsid w:val="00A8624A"/>
    <w:rsid w:val="00A96231"/>
    <w:rsid w:val="00AA039F"/>
    <w:rsid w:val="00AB52DA"/>
    <w:rsid w:val="00AB61CE"/>
    <w:rsid w:val="00AC28B7"/>
    <w:rsid w:val="00AD309F"/>
    <w:rsid w:val="00AF278D"/>
    <w:rsid w:val="00B036A3"/>
    <w:rsid w:val="00B052AB"/>
    <w:rsid w:val="00B0774E"/>
    <w:rsid w:val="00B14CDB"/>
    <w:rsid w:val="00B176AB"/>
    <w:rsid w:val="00B35AFD"/>
    <w:rsid w:val="00B4219D"/>
    <w:rsid w:val="00B443E3"/>
    <w:rsid w:val="00B54E23"/>
    <w:rsid w:val="00B61375"/>
    <w:rsid w:val="00B61A5D"/>
    <w:rsid w:val="00B86FC2"/>
    <w:rsid w:val="00B91B80"/>
    <w:rsid w:val="00BA3233"/>
    <w:rsid w:val="00BA360C"/>
    <w:rsid w:val="00BB3EA6"/>
    <w:rsid w:val="00BB767B"/>
    <w:rsid w:val="00BD62E5"/>
    <w:rsid w:val="00BE0F3C"/>
    <w:rsid w:val="00BE2E0F"/>
    <w:rsid w:val="00BE5675"/>
    <w:rsid w:val="00BF1868"/>
    <w:rsid w:val="00C10354"/>
    <w:rsid w:val="00C146DF"/>
    <w:rsid w:val="00C168E2"/>
    <w:rsid w:val="00C226AA"/>
    <w:rsid w:val="00C2373E"/>
    <w:rsid w:val="00C24658"/>
    <w:rsid w:val="00C27593"/>
    <w:rsid w:val="00C34036"/>
    <w:rsid w:val="00C44E68"/>
    <w:rsid w:val="00C501FC"/>
    <w:rsid w:val="00C61478"/>
    <w:rsid w:val="00C633DE"/>
    <w:rsid w:val="00C63BB8"/>
    <w:rsid w:val="00C708F7"/>
    <w:rsid w:val="00C71FF3"/>
    <w:rsid w:val="00C7323C"/>
    <w:rsid w:val="00C82B44"/>
    <w:rsid w:val="00CA3A3C"/>
    <w:rsid w:val="00CB0442"/>
    <w:rsid w:val="00CB204C"/>
    <w:rsid w:val="00CB3811"/>
    <w:rsid w:val="00CC1D90"/>
    <w:rsid w:val="00CD5B1C"/>
    <w:rsid w:val="00CD6654"/>
    <w:rsid w:val="00CE70E6"/>
    <w:rsid w:val="00CF4208"/>
    <w:rsid w:val="00D00277"/>
    <w:rsid w:val="00D01F3B"/>
    <w:rsid w:val="00D02FAD"/>
    <w:rsid w:val="00D065D6"/>
    <w:rsid w:val="00D11C5E"/>
    <w:rsid w:val="00D13047"/>
    <w:rsid w:val="00D1734F"/>
    <w:rsid w:val="00D270A8"/>
    <w:rsid w:val="00D32725"/>
    <w:rsid w:val="00D338A3"/>
    <w:rsid w:val="00D40DF6"/>
    <w:rsid w:val="00D40F8B"/>
    <w:rsid w:val="00D41C77"/>
    <w:rsid w:val="00D543D5"/>
    <w:rsid w:val="00D5594A"/>
    <w:rsid w:val="00D63872"/>
    <w:rsid w:val="00D7562A"/>
    <w:rsid w:val="00D75CD5"/>
    <w:rsid w:val="00D82767"/>
    <w:rsid w:val="00D955F0"/>
    <w:rsid w:val="00DA3124"/>
    <w:rsid w:val="00DA46D3"/>
    <w:rsid w:val="00DC0B42"/>
    <w:rsid w:val="00DC36E6"/>
    <w:rsid w:val="00DD29E0"/>
    <w:rsid w:val="00DD4907"/>
    <w:rsid w:val="00DD781D"/>
    <w:rsid w:val="00DE152B"/>
    <w:rsid w:val="00DF2B2E"/>
    <w:rsid w:val="00DF536B"/>
    <w:rsid w:val="00E1461D"/>
    <w:rsid w:val="00E213E5"/>
    <w:rsid w:val="00E23581"/>
    <w:rsid w:val="00E3174C"/>
    <w:rsid w:val="00E3304D"/>
    <w:rsid w:val="00E34E14"/>
    <w:rsid w:val="00E35011"/>
    <w:rsid w:val="00E37A38"/>
    <w:rsid w:val="00E43C73"/>
    <w:rsid w:val="00E471CE"/>
    <w:rsid w:val="00E47582"/>
    <w:rsid w:val="00E535A9"/>
    <w:rsid w:val="00E570F9"/>
    <w:rsid w:val="00E61B11"/>
    <w:rsid w:val="00E61CC9"/>
    <w:rsid w:val="00E62054"/>
    <w:rsid w:val="00E670F1"/>
    <w:rsid w:val="00E7677D"/>
    <w:rsid w:val="00E824BC"/>
    <w:rsid w:val="00E9040F"/>
    <w:rsid w:val="00E944D7"/>
    <w:rsid w:val="00E965E0"/>
    <w:rsid w:val="00E971BB"/>
    <w:rsid w:val="00EA5089"/>
    <w:rsid w:val="00EA53E9"/>
    <w:rsid w:val="00EB46D2"/>
    <w:rsid w:val="00EB5349"/>
    <w:rsid w:val="00EC5080"/>
    <w:rsid w:val="00ED008E"/>
    <w:rsid w:val="00EE305E"/>
    <w:rsid w:val="00EE4120"/>
    <w:rsid w:val="00F03C15"/>
    <w:rsid w:val="00F118DA"/>
    <w:rsid w:val="00F16A54"/>
    <w:rsid w:val="00F17401"/>
    <w:rsid w:val="00F22172"/>
    <w:rsid w:val="00F2699C"/>
    <w:rsid w:val="00F44E08"/>
    <w:rsid w:val="00F5040A"/>
    <w:rsid w:val="00F65E78"/>
    <w:rsid w:val="00F6644C"/>
    <w:rsid w:val="00F666B6"/>
    <w:rsid w:val="00F66708"/>
    <w:rsid w:val="00F675BC"/>
    <w:rsid w:val="00F76841"/>
    <w:rsid w:val="00F8359F"/>
    <w:rsid w:val="00F918EA"/>
    <w:rsid w:val="00F959D9"/>
    <w:rsid w:val="00FC031E"/>
    <w:rsid w:val="00FC65AF"/>
    <w:rsid w:val="00FC6DD2"/>
    <w:rsid w:val="00FD07BE"/>
    <w:rsid w:val="00FD2C03"/>
    <w:rsid w:val="00FD353A"/>
    <w:rsid w:val="00FD7989"/>
    <w:rsid w:val="00FE3841"/>
    <w:rsid w:val="00FE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16C3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360" w:hanging="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D41C7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41C77"/>
    <w:rPr>
      <w:color w:val="0000FF"/>
      <w:u w:val="single"/>
    </w:rPr>
  </w:style>
  <w:style w:type="paragraph" w:styleId="BalloonText">
    <w:name w:val="Balloon Text"/>
    <w:basedOn w:val="Normal"/>
    <w:semiHidden/>
    <w:rsid w:val="00807199"/>
    <w:rPr>
      <w:rFonts w:ascii="Tahoma" w:hAnsi="Tahoma" w:cs="Tahoma"/>
      <w:sz w:val="16"/>
      <w:szCs w:val="16"/>
    </w:rPr>
  </w:style>
  <w:style w:type="character" w:styleId="CommentReference">
    <w:name w:val="annotation reference"/>
    <w:semiHidden/>
    <w:rsid w:val="00807199"/>
    <w:rPr>
      <w:sz w:val="16"/>
      <w:szCs w:val="16"/>
    </w:rPr>
  </w:style>
  <w:style w:type="paragraph" w:styleId="CommentText">
    <w:name w:val="annotation text"/>
    <w:basedOn w:val="Normal"/>
    <w:semiHidden/>
    <w:rsid w:val="00807199"/>
    <w:rPr>
      <w:sz w:val="20"/>
    </w:rPr>
  </w:style>
  <w:style w:type="paragraph" w:styleId="CommentSubject">
    <w:name w:val="annotation subject"/>
    <w:basedOn w:val="CommentText"/>
    <w:next w:val="CommentText"/>
    <w:semiHidden/>
    <w:rsid w:val="00807199"/>
    <w:rPr>
      <w:b/>
      <w:bCs/>
    </w:rPr>
  </w:style>
  <w:style w:type="paragraph" w:styleId="NormalWeb">
    <w:name w:val="Normal (Web)"/>
    <w:basedOn w:val="Normal"/>
    <w:rsid w:val="00165A68"/>
    <w:pPr>
      <w:widowControl/>
      <w:spacing w:before="100" w:beforeAutospacing="1" w:after="100" w:afterAutospacing="1"/>
    </w:pPr>
    <w:rPr>
      <w:rFonts w:ascii="Times New Roman" w:hAnsi="Times New Roman"/>
      <w:snapToGrid/>
      <w:szCs w:val="24"/>
    </w:rPr>
  </w:style>
  <w:style w:type="character" w:styleId="FollowedHyperlink">
    <w:name w:val="FollowedHyperlink"/>
    <w:rsid w:val="002266E5"/>
    <w:rPr>
      <w:color w:val="800080"/>
      <w:u w:val="single"/>
    </w:rPr>
  </w:style>
  <w:style w:type="paragraph" w:styleId="ListParagraph">
    <w:name w:val="List Paragraph"/>
    <w:basedOn w:val="Normal"/>
    <w:uiPriority w:val="34"/>
    <w:qFormat/>
    <w:rsid w:val="00763513"/>
    <w:pPr>
      <w:ind w:left="720"/>
    </w:pPr>
  </w:style>
  <w:style w:type="paragraph" w:styleId="Revision">
    <w:name w:val="Revision"/>
    <w:hidden/>
    <w:uiPriority w:val="99"/>
    <w:semiHidden/>
    <w:rsid w:val="00FC65AF"/>
    <w:rPr>
      <w:rFonts w:ascii="Courier New" w:hAnsi="Courier New"/>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360" w:hanging="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D41C7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41C77"/>
    <w:rPr>
      <w:color w:val="0000FF"/>
      <w:u w:val="single"/>
    </w:rPr>
  </w:style>
  <w:style w:type="paragraph" w:styleId="BalloonText">
    <w:name w:val="Balloon Text"/>
    <w:basedOn w:val="Normal"/>
    <w:semiHidden/>
    <w:rsid w:val="00807199"/>
    <w:rPr>
      <w:rFonts w:ascii="Tahoma" w:hAnsi="Tahoma" w:cs="Tahoma"/>
      <w:sz w:val="16"/>
      <w:szCs w:val="16"/>
    </w:rPr>
  </w:style>
  <w:style w:type="character" w:styleId="CommentReference">
    <w:name w:val="annotation reference"/>
    <w:semiHidden/>
    <w:rsid w:val="00807199"/>
    <w:rPr>
      <w:sz w:val="16"/>
      <w:szCs w:val="16"/>
    </w:rPr>
  </w:style>
  <w:style w:type="paragraph" w:styleId="CommentText">
    <w:name w:val="annotation text"/>
    <w:basedOn w:val="Normal"/>
    <w:semiHidden/>
    <w:rsid w:val="00807199"/>
    <w:rPr>
      <w:sz w:val="20"/>
    </w:rPr>
  </w:style>
  <w:style w:type="paragraph" w:styleId="CommentSubject">
    <w:name w:val="annotation subject"/>
    <w:basedOn w:val="CommentText"/>
    <w:next w:val="CommentText"/>
    <w:semiHidden/>
    <w:rsid w:val="00807199"/>
    <w:rPr>
      <w:b/>
      <w:bCs/>
    </w:rPr>
  </w:style>
  <w:style w:type="paragraph" w:styleId="NormalWeb">
    <w:name w:val="Normal (Web)"/>
    <w:basedOn w:val="Normal"/>
    <w:rsid w:val="00165A68"/>
    <w:pPr>
      <w:widowControl/>
      <w:spacing w:before="100" w:beforeAutospacing="1" w:after="100" w:afterAutospacing="1"/>
    </w:pPr>
    <w:rPr>
      <w:rFonts w:ascii="Times New Roman" w:hAnsi="Times New Roman"/>
      <w:snapToGrid/>
      <w:szCs w:val="24"/>
    </w:rPr>
  </w:style>
  <w:style w:type="character" w:styleId="FollowedHyperlink">
    <w:name w:val="FollowedHyperlink"/>
    <w:rsid w:val="002266E5"/>
    <w:rPr>
      <w:color w:val="800080"/>
      <w:u w:val="single"/>
    </w:rPr>
  </w:style>
  <w:style w:type="paragraph" w:styleId="ListParagraph">
    <w:name w:val="List Paragraph"/>
    <w:basedOn w:val="Normal"/>
    <w:uiPriority w:val="34"/>
    <w:qFormat/>
    <w:rsid w:val="00763513"/>
    <w:pPr>
      <w:ind w:left="720"/>
    </w:pPr>
  </w:style>
  <w:style w:type="paragraph" w:styleId="Revision">
    <w:name w:val="Revision"/>
    <w:hidden/>
    <w:uiPriority w:val="99"/>
    <w:semiHidden/>
    <w:rsid w:val="00FC65AF"/>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958485">
      <w:bodyDiv w:val="1"/>
      <w:marLeft w:val="0"/>
      <w:marRight w:val="0"/>
      <w:marTop w:val="0"/>
      <w:marBottom w:val="0"/>
      <w:divBdr>
        <w:top w:val="none" w:sz="0" w:space="0" w:color="auto"/>
        <w:left w:val="none" w:sz="0" w:space="0" w:color="auto"/>
        <w:bottom w:val="none" w:sz="0" w:space="0" w:color="auto"/>
        <w:right w:val="none" w:sz="0" w:space="0" w:color="auto"/>
      </w:divBdr>
    </w:div>
    <w:div w:id="203858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e.org/industry/docs/15SalarySurveyHighlights.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Isehrnfs01\orp\EXPLICIT\RegStanBR\INFORMATION%20COLLECTION\0015%20-%20M\eCFR%20as%20of%203-4-14.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3193</Words>
  <Characters>18629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21779</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5963855</vt:i4>
      </vt:variant>
      <vt:variant>
        <vt:i4>6</vt:i4>
      </vt:variant>
      <vt:variant>
        <vt:i4>0</vt:i4>
      </vt:variant>
      <vt:variant>
        <vt:i4>5</vt:i4>
      </vt:variant>
      <vt:variant>
        <vt:lpwstr>http://www.opm.gov/oca/13tables/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Mason, Kye (Nikki)</cp:lastModifiedBy>
  <cp:revision>3</cp:revision>
  <cp:lastPrinted>2013-08-20T21:35:00Z</cp:lastPrinted>
  <dcterms:created xsi:type="dcterms:W3CDTF">2016-08-05T18:26:00Z</dcterms:created>
  <dcterms:modified xsi:type="dcterms:W3CDTF">2016-08-05T18:29:00Z</dcterms:modified>
</cp:coreProperties>
</file>