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11E1" w14:textId="77777777" w:rsidR="009B633D" w:rsidRDefault="009B633D" w:rsidP="009B633D">
      <w:pPr>
        <w:jc w:val="center"/>
        <w:rPr>
          <w:sz w:val="28"/>
          <w:szCs w:val="28"/>
        </w:rPr>
      </w:pPr>
      <w:bookmarkStart w:id="0" w:name="_GoBack"/>
      <w:bookmarkEnd w:id="0"/>
    </w:p>
    <w:p w14:paraId="48E7BDFA" w14:textId="77777777" w:rsidR="009B633D" w:rsidRDefault="009B633D" w:rsidP="009B633D">
      <w:pPr>
        <w:jc w:val="center"/>
        <w:rPr>
          <w:sz w:val="28"/>
          <w:szCs w:val="28"/>
        </w:rPr>
      </w:pPr>
    </w:p>
    <w:p w14:paraId="7D700678" w14:textId="77777777" w:rsidR="009B633D" w:rsidRDefault="009B633D" w:rsidP="009B633D">
      <w:pPr>
        <w:jc w:val="center"/>
        <w:rPr>
          <w:sz w:val="28"/>
          <w:szCs w:val="28"/>
        </w:rPr>
      </w:pPr>
    </w:p>
    <w:p w14:paraId="4DB523F3" w14:textId="77777777" w:rsidR="009B633D" w:rsidRDefault="00456179" w:rsidP="009B633D">
      <w:pPr>
        <w:jc w:val="center"/>
        <w:rPr>
          <w:b/>
          <w:sz w:val="28"/>
          <w:szCs w:val="28"/>
        </w:rPr>
      </w:pPr>
      <w:r w:rsidRPr="00456179">
        <w:rPr>
          <w:b/>
          <w:sz w:val="28"/>
          <w:szCs w:val="28"/>
        </w:rPr>
        <w:t>SUPPORTING STATEMENT</w:t>
      </w:r>
    </w:p>
    <w:p w14:paraId="393112F2" w14:textId="77777777" w:rsidR="00635119" w:rsidRDefault="00635119" w:rsidP="009B633D">
      <w:pPr>
        <w:jc w:val="center"/>
        <w:rPr>
          <w:b/>
          <w:sz w:val="28"/>
          <w:szCs w:val="28"/>
        </w:rPr>
      </w:pPr>
    </w:p>
    <w:p w14:paraId="2AB09672" w14:textId="77777777" w:rsidR="009B633D" w:rsidRDefault="00456179" w:rsidP="009B633D">
      <w:pPr>
        <w:jc w:val="center"/>
        <w:rPr>
          <w:sz w:val="28"/>
          <w:szCs w:val="28"/>
        </w:rPr>
      </w:pPr>
      <w:r>
        <w:rPr>
          <w:b/>
          <w:sz w:val="28"/>
          <w:szCs w:val="28"/>
        </w:rPr>
        <w:t>Part A</w:t>
      </w:r>
    </w:p>
    <w:p w14:paraId="538866A9" w14:textId="77777777" w:rsidR="009B633D" w:rsidRDefault="009B633D" w:rsidP="009B633D">
      <w:pPr>
        <w:jc w:val="center"/>
        <w:rPr>
          <w:sz w:val="28"/>
          <w:szCs w:val="28"/>
        </w:rPr>
      </w:pPr>
    </w:p>
    <w:p w14:paraId="32D733AB" w14:textId="77777777" w:rsidR="009B633D" w:rsidRDefault="009B633D" w:rsidP="009B633D">
      <w:pPr>
        <w:jc w:val="center"/>
        <w:rPr>
          <w:sz w:val="28"/>
          <w:szCs w:val="28"/>
        </w:rPr>
      </w:pPr>
    </w:p>
    <w:p w14:paraId="04E5EB89" w14:textId="77777777" w:rsidR="009B633D" w:rsidRDefault="009B633D" w:rsidP="009B633D">
      <w:pPr>
        <w:jc w:val="center"/>
        <w:rPr>
          <w:sz w:val="28"/>
          <w:szCs w:val="28"/>
        </w:rPr>
      </w:pPr>
    </w:p>
    <w:p w14:paraId="03899408" w14:textId="77777777" w:rsidR="009B633D" w:rsidRDefault="009B633D" w:rsidP="009B633D">
      <w:pPr>
        <w:jc w:val="center"/>
        <w:rPr>
          <w:sz w:val="28"/>
          <w:szCs w:val="28"/>
        </w:rPr>
      </w:pPr>
    </w:p>
    <w:p w14:paraId="50009F4B" w14:textId="77777777" w:rsidR="009B633D" w:rsidRDefault="009B633D" w:rsidP="009B633D">
      <w:pPr>
        <w:jc w:val="center"/>
        <w:rPr>
          <w:sz w:val="28"/>
          <w:szCs w:val="28"/>
        </w:rPr>
      </w:pPr>
    </w:p>
    <w:p w14:paraId="42EBD66A" w14:textId="77777777" w:rsidR="009B633D" w:rsidRDefault="009B633D" w:rsidP="009B633D">
      <w:pPr>
        <w:jc w:val="center"/>
        <w:rPr>
          <w:sz w:val="28"/>
          <w:szCs w:val="28"/>
        </w:rPr>
      </w:pPr>
    </w:p>
    <w:p w14:paraId="6C8D7600" w14:textId="77777777" w:rsidR="009B633D" w:rsidRPr="00E775F3" w:rsidRDefault="00B34F9A" w:rsidP="009B633D">
      <w:pPr>
        <w:jc w:val="center"/>
        <w:rPr>
          <w:b/>
          <w:sz w:val="28"/>
          <w:szCs w:val="28"/>
        </w:rPr>
      </w:pPr>
      <w:r w:rsidRPr="00E775F3">
        <w:rPr>
          <w:b/>
          <w:sz w:val="28"/>
          <w:szCs w:val="28"/>
        </w:rPr>
        <w:t xml:space="preserve">Evaluation of the </w:t>
      </w:r>
      <w:r w:rsidRPr="00E775F3">
        <w:rPr>
          <w:b/>
          <w:i/>
          <w:sz w:val="28"/>
          <w:szCs w:val="28"/>
        </w:rPr>
        <w:t>Second Decade Project</w:t>
      </w:r>
      <w:r w:rsidRPr="00E775F3">
        <w:rPr>
          <w:b/>
          <w:sz w:val="28"/>
          <w:szCs w:val="28"/>
        </w:rPr>
        <w:t xml:space="preserve"> Community Planning Guide </w:t>
      </w:r>
    </w:p>
    <w:p w14:paraId="09F4C182" w14:textId="77777777" w:rsidR="009B633D" w:rsidRPr="00D10202" w:rsidRDefault="009B633D" w:rsidP="009B633D">
      <w:pPr>
        <w:jc w:val="center"/>
        <w:rPr>
          <w:i/>
          <w:sz w:val="28"/>
          <w:szCs w:val="28"/>
          <w:highlight w:val="yellow"/>
        </w:rPr>
      </w:pPr>
    </w:p>
    <w:p w14:paraId="0DB05419" w14:textId="77777777" w:rsidR="009B633D" w:rsidRPr="00D10202" w:rsidRDefault="009B633D" w:rsidP="009B633D">
      <w:pPr>
        <w:jc w:val="center"/>
        <w:rPr>
          <w:sz w:val="28"/>
          <w:szCs w:val="28"/>
          <w:highlight w:val="yellow"/>
        </w:rPr>
      </w:pPr>
    </w:p>
    <w:p w14:paraId="4096FB94" w14:textId="77777777" w:rsidR="009B633D" w:rsidRPr="00D10202" w:rsidRDefault="009B633D" w:rsidP="009B633D">
      <w:pPr>
        <w:jc w:val="center"/>
        <w:rPr>
          <w:sz w:val="28"/>
          <w:szCs w:val="28"/>
          <w:highlight w:val="yellow"/>
        </w:rPr>
      </w:pPr>
    </w:p>
    <w:p w14:paraId="7B3E34F4" w14:textId="77777777" w:rsidR="009B633D" w:rsidRPr="00D10202" w:rsidRDefault="009B633D" w:rsidP="009B633D">
      <w:pPr>
        <w:jc w:val="center"/>
        <w:rPr>
          <w:sz w:val="28"/>
          <w:szCs w:val="28"/>
          <w:highlight w:val="yellow"/>
        </w:rPr>
      </w:pPr>
    </w:p>
    <w:p w14:paraId="1C826CD4" w14:textId="1C2C1E0C" w:rsidR="009B633D" w:rsidRPr="00B95455" w:rsidRDefault="00516316" w:rsidP="00B95455">
      <w:pPr>
        <w:jc w:val="center"/>
        <w:rPr>
          <w:b/>
          <w:sz w:val="28"/>
          <w:szCs w:val="28"/>
        </w:rPr>
      </w:pPr>
      <w:r>
        <w:rPr>
          <w:b/>
          <w:sz w:val="28"/>
          <w:szCs w:val="28"/>
        </w:rPr>
        <w:t>August 23</w:t>
      </w:r>
      <w:r w:rsidR="005F4FB6">
        <w:rPr>
          <w:b/>
          <w:sz w:val="28"/>
          <w:szCs w:val="28"/>
        </w:rPr>
        <w:t>, 2016</w:t>
      </w:r>
    </w:p>
    <w:p w14:paraId="5295C1FA" w14:textId="77777777" w:rsidR="009B633D" w:rsidRDefault="009B633D" w:rsidP="009B633D">
      <w:pPr>
        <w:jc w:val="center"/>
        <w:rPr>
          <w:i/>
          <w:sz w:val="28"/>
          <w:szCs w:val="28"/>
        </w:rPr>
      </w:pPr>
    </w:p>
    <w:p w14:paraId="563F802A" w14:textId="77777777" w:rsidR="009B633D" w:rsidRDefault="009B633D" w:rsidP="009B633D">
      <w:pPr>
        <w:jc w:val="center"/>
        <w:rPr>
          <w:sz w:val="28"/>
          <w:szCs w:val="28"/>
        </w:rPr>
      </w:pPr>
    </w:p>
    <w:p w14:paraId="5D24BE1F" w14:textId="77777777" w:rsidR="009B633D" w:rsidRDefault="009B633D" w:rsidP="009B633D">
      <w:pPr>
        <w:jc w:val="center"/>
        <w:rPr>
          <w:sz w:val="28"/>
          <w:szCs w:val="28"/>
        </w:rPr>
      </w:pPr>
    </w:p>
    <w:p w14:paraId="659E968F" w14:textId="77777777" w:rsidR="009B633D" w:rsidRDefault="009B633D" w:rsidP="009B633D">
      <w:pPr>
        <w:jc w:val="center"/>
        <w:rPr>
          <w:sz w:val="28"/>
          <w:szCs w:val="28"/>
        </w:rPr>
      </w:pPr>
    </w:p>
    <w:p w14:paraId="1002C9FD" w14:textId="77777777" w:rsidR="009B633D" w:rsidRDefault="009B633D" w:rsidP="009B633D">
      <w:pPr>
        <w:jc w:val="center"/>
        <w:rPr>
          <w:sz w:val="28"/>
          <w:szCs w:val="28"/>
        </w:rPr>
      </w:pPr>
    </w:p>
    <w:p w14:paraId="560BA0D0" w14:textId="77777777" w:rsidR="009B633D" w:rsidRDefault="009B633D" w:rsidP="009B633D">
      <w:pPr>
        <w:jc w:val="center"/>
        <w:rPr>
          <w:sz w:val="28"/>
          <w:szCs w:val="28"/>
        </w:rPr>
      </w:pPr>
    </w:p>
    <w:p w14:paraId="1725245B" w14:textId="77777777" w:rsidR="009B633D" w:rsidRDefault="00B34F9A" w:rsidP="009B633D">
      <w:pPr>
        <w:jc w:val="center"/>
        <w:rPr>
          <w:sz w:val="28"/>
          <w:szCs w:val="28"/>
        </w:rPr>
      </w:pPr>
      <w:r>
        <w:rPr>
          <w:sz w:val="28"/>
          <w:szCs w:val="28"/>
        </w:rPr>
        <w:t>Office of the Assistant Secretary for Health (OASH)</w:t>
      </w:r>
    </w:p>
    <w:p w14:paraId="06F073E7" w14:textId="77777777" w:rsidR="00FB091E" w:rsidRDefault="00FB091E" w:rsidP="009B633D">
      <w:pPr>
        <w:jc w:val="center"/>
        <w:rPr>
          <w:sz w:val="28"/>
          <w:szCs w:val="28"/>
        </w:rPr>
      </w:pPr>
      <w:r>
        <w:rPr>
          <w:sz w:val="28"/>
          <w:szCs w:val="28"/>
        </w:rPr>
        <w:t>U.S. Department of Health and Human Services</w:t>
      </w:r>
    </w:p>
    <w:p w14:paraId="519B2B46" w14:textId="77777777" w:rsidR="009B633D" w:rsidRDefault="009B633D">
      <w:pPr>
        <w:rPr>
          <w:sz w:val="28"/>
          <w:szCs w:val="28"/>
        </w:rPr>
      </w:pPr>
    </w:p>
    <w:p w14:paraId="48D80BC6" w14:textId="77777777" w:rsidR="009B633D" w:rsidRDefault="00B773E3" w:rsidP="00B773E3">
      <w:pPr>
        <w:tabs>
          <w:tab w:val="left" w:pos="6420"/>
        </w:tabs>
        <w:rPr>
          <w:sz w:val="28"/>
          <w:szCs w:val="28"/>
        </w:rPr>
      </w:pPr>
      <w:r>
        <w:rPr>
          <w:sz w:val="28"/>
          <w:szCs w:val="28"/>
        </w:rPr>
        <w:tab/>
      </w:r>
    </w:p>
    <w:p w14:paraId="234881A0" w14:textId="77777777" w:rsidR="00344684" w:rsidRDefault="009B633D" w:rsidP="007B3A8E">
      <w:pPr>
        <w:tabs>
          <w:tab w:val="left" w:pos="360"/>
          <w:tab w:val="left" w:leader="dot" w:pos="8280"/>
        </w:tabs>
        <w:sectPr w:rsidR="00344684" w:rsidSect="001301B3">
          <w:footerReference w:type="even" r:id="rId9"/>
          <w:footerReference w:type="default" r:id="rId10"/>
          <w:footerReference w:type="first" r:id="rId11"/>
          <w:endnotePr>
            <w:numFmt w:val="decimal"/>
          </w:endnotePr>
          <w:pgSz w:w="12240" w:h="15840"/>
          <w:pgMar w:top="1440" w:right="1440" w:bottom="1152" w:left="1440" w:header="720" w:footer="720" w:gutter="0"/>
          <w:cols w:space="720"/>
          <w:titlePg/>
          <w:docGrid w:linePitch="360"/>
        </w:sectPr>
      </w:pPr>
      <w:r>
        <w:br w:type="page"/>
      </w:r>
    </w:p>
    <w:p w14:paraId="2FA190AC" w14:textId="77777777" w:rsidR="001301B3" w:rsidRPr="00556066" w:rsidRDefault="001301B3" w:rsidP="007B3A8E">
      <w:pPr>
        <w:tabs>
          <w:tab w:val="left" w:pos="360"/>
          <w:tab w:val="left" w:leader="dot" w:pos="8280"/>
        </w:tabs>
      </w:pPr>
    </w:p>
    <w:sdt>
      <w:sdtPr>
        <w:rPr>
          <w:rFonts w:ascii="Times New Roman" w:eastAsia="Times New Roman" w:hAnsi="Times New Roman" w:cs="Times New Roman"/>
          <w:b w:val="0"/>
          <w:bCs w:val="0"/>
          <w:color w:val="auto"/>
          <w:sz w:val="24"/>
          <w:szCs w:val="24"/>
        </w:rPr>
        <w:id w:val="38698922"/>
        <w:docPartObj>
          <w:docPartGallery w:val="Table of Contents"/>
          <w:docPartUnique/>
        </w:docPartObj>
      </w:sdtPr>
      <w:sdtEndPr/>
      <w:sdtContent>
        <w:p w14:paraId="6437DD24" w14:textId="77777777" w:rsidR="001301B3" w:rsidRDefault="001301B3">
          <w:pPr>
            <w:pStyle w:val="TOCHeading"/>
          </w:pPr>
          <w:r>
            <w:t>Table of Contents</w:t>
          </w:r>
        </w:p>
        <w:p w14:paraId="4E2B92EE" w14:textId="77777777" w:rsidR="001301B3" w:rsidRPr="001301B3" w:rsidRDefault="001301B3" w:rsidP="001301B3"/>
        <w:p w14:paraId="78B0A107" w14:textId="77777777" w:rsidR="009A0234" w:rsidRPr="00B773E3" w:rsidRDefault="00CD049A">
          <w:pPr>
            <w:pStyle w:val="TOC1"/>
            <w:tabs>
              <w:tab w:val="right" w:leader="dot" w:pos="9350"/>
            </w:tabs>
            <w:rPr>
              <w:rFonts w:asciiTheme="minorHAnsi" w:eastAsiaTheme="minorEastAsia" w:hAnsiTheme="minorHAnsi" w:cstheme="minorBidi"/>
              <w:noProof/>
              <w:sz w:val="22"/>
              <w:szCs w:val="22"/>
            </w:rPr>
          </w:pPr>
          <w:r w:rsidRPr="00B773E3">
            <w:fldChar w:fldCharType="begin"/>
          </w:r>
          <w:r w:rsidR="001301B3" w:rsidRPr="00B773E3">
            <w:instrText xml:space="preserve"> TOC \o "1-3" \h \z \u </w:instrText>
          </w:r>
          <w:r w:rsidRPr="00B773E3">
            <w:fldChar w:fldCharType="separate"/>
          </w:r>
          <w:hyperlink w:anchor="_Toc410053822" w:history="1">
            <w:r w:rsidR="009A0234" w:rsidRPr="00B773E3">
              <w:rPr>
                <w:rStyle w:val="Hyperlink"/>
                <w:noProof/>
              </w:rPr>
              <w:t>A. Justification</w:t>
            </w:r>
            <w:r w:rsidR="009A0234" w:rsidRPr="00B773E3">
              <w:rPr>
                <w:noProof/>
                <w:webHidden/>
              </w:rPr>
              <w:tab/>
            </w:r>
            <w:r w:rsidR="009A0234" w:rsidRPr="00B773E3">
              <w:rPr>
                <w:noProof/>
                <w:webHidden/>
              </w:rPr>
              <w:fldChar w:fldCharType="begin"/>
            </w:r>
            <w:r w:rsidR="009A0234" w:rsidRPr="00B773E3">
              <w:rPr>
                <w:noProof/>
                <w:webHidden/>
              </w:rPr>
              <w:instrText xml:space="preserve"> PAGEREF _Toc410053822 \h </w:instrText>
            </w:r>
            <w:r w:rsidR="009A0234" w:rsidRPr="00B773E3">
              <w:rPr>
                <w:noProof/>
                <w:webHidden/>
              </w:rPr>
            </w:r>
            <w:r w:rsidR="009A0234" w:rsidRPr="00B773E3">
              <w:rPr>
                <w:noProof/>
                <w:webHidden/>
              </w:rPr>
              <w:fldChar w:fldCharType="separate"/>
            </w:r>
            <w:r w:rsidR="001B67F6">
              <w:rPr>
                <w:noProof/>
                <w:webHidden/>
              </w:rPr>
              <w:t>3</w:t>
            </w:r>
            <w:r w:rsidR="009A0234" w:rsidRPr="00B773E3">
              <w:rPr>
                <w:noProof/>
                <w:webHidden/>
              </w:rPr>
              <w:fldChar w:fldCharType="end"/>
            </w:r>
          </w:hyperlink>
        </w:p>
        <w:p w14:paraId="2B1E9151" w14:textId="77777777" w:rsidR="009A0234" w:rsidRPr="00B773E3" w:rsidRDefault="003650AA" w:rsidP="00B773E3">
          <w:pPr>
            <w:pStyle w:val="TOC2"/>
            <w:rPr>
              <w:rFonts w:asciiTheme="minorHAnsi" w:eastAsiaTheme="minorEastAsia" w:hAnsiTheme="minorHAnsi" w:cstheme="minorBidi"/>
              <w:sz w:val="22"/>
              <w:szCs w:val="22"/>
            </w:rPr>
          </w:pPr>
          <w:hyperlink w:anchor="_Toc410053823" w:history="1">
            <w:r w:rsidR="009A0234" w:rsidRPr="00B773E3">
              <w:rPr>
                <w:rStyle w:val="Hyperlink"/>
              </w:rPr>
              <w:t>1. Circumstances that make the collection of information necessary</w:t>
            </w:r>
            <w:r w:rsidR="009A0234" w:rsidRPr="00B773E3">
              <w:rPr>
                <w:webHidden/>
              </w:rPr>
              <w:tab/>
            </w:r>
            <w:r w:rsidR="009A0234" w:rsidRPr="00B773E3">
              <w:rPr>
                <w:webHidden/>
              </w:rPr>
              <w:fldChar w:fldCharType="begin"/>
            </w:r>
            <w:r w:rsidR="009A0234" w:rsidRPr="00B773E3">
              <w:rPr>
                <w:webHidden/>
              </w:rPr>
              <w:instrText xml:space="preserve"> PAGEREF _Toc410053823 \h </w:instrText>
            </w:r>
            <w:r w:rsidR="009A0234" w:rsidRPr="00B773E3">
              <w:rPr>
                <w:webHidden/>
              </w:rPr>
            </w:r>
            <w:r w:rsidR="009A0234" w:rsidRPr="00B773E3">
              <w:rPr>
                <w:webHidden/>
              </w:rPr>
              <w:fldChar w:fldCharType="separate"/>
            </w:r>
            <w:r w:rsidR="001B67F6">
              <w:rPr>
                <w:webHidden/>
              </w:rPr>
              <w:t>3</w:t>
            </w:r>
            <w:r w:rsidR="009A0234" w:rsidRPr="00B773E3">
              <w:rPr>
                <w:webHidden/>
              </w:rPr>
              <w:fldChar w:fldCharType="end"/>
            </w:r>
          </w:hyperlink>
        </w:p>
        <w:p w14:paraId="4EB988FF" w14:textId="77777777" w:rsidR="009A0234" w:rsidRPr="00B773E3" w:rsidRDefault="003650AA" w:rsidP="00B773E3">
          <w:pPr>
            <w:pStyle w:val="TOC2"/>
            <w:rPr>
              <w:rFonts w:asciiTheme="minorHAnsi" w:eastAsiaTheme="minorEastAsia" w:hAnsiTheme="minorHAnsi" w:cstheme="minorBidi"/>
              <w:sz w:val="22"/>
              <w:szCs w:val="22"/>
            </w:rPr>
          </w:pPr>
          <w:hyperlink w:anchor="_Toc410053824" w:history="1">
            <w:r w:rsidR="009A0234" w:rsidRPr="00B773E3">
              <w:rPr>
                <w:rStyle w:val="Hyperlink"/>
              </w:rPr>
              <w:t>2. Purpose and Use of Information</w:t>
            </w:r>
            <w:r w:rsidR="009A0234" w:rsidRPr="00B773E3">
              <w:rPr>
                <w:webHidden/>
              </w:rPr>
              <w:tab/>
            </w:r>
            <w:r w:rsidR="009A0234" w:rsidRPr="00B773E3">
              <w:rPr>
                <w:webHidden/>
              </w:rPr>
              <w:fldChar w:fldCharType="begin"/>
            </w:r>
            <w:r w:rsidR="009A0234" w:rsidRPr="00B773E3">
              <w:rPr>
                <w:webHidden/>
              </w:rPr>
              <w:instrText xml:space="preserve"> PAGEREF _Toc410053824 \h </w:instrText>
            </w:r>
            <w:r w:rsidR="009A0234" w:rsidRPr="00B773E3">
              <w:rPr>
                <w:webHidden/>
              </w:rPr>
            </w:r>
            <w:r w:rsidR="009A0234" w:rsidRPr="00B773E3">
              <w:rPr>
                <w:webHidden/>
              </w:rPr>
              <w:fldChar w:fldCharType="separate"/>
            </w:r>
            <w:r w:rsidR="001B67F6">
              <w:rPr>
                <w:webHidden/>
              </w:rPr>
              <w:t>4</w:t>
            </w:r>
            <w:r w:rsidR="009A0234" w:rsidRPr="00B773E3">
              <w:rPr>
                <w:webHidden/>
              </w:rPr>
              <w:fldChar w:fldCharType="end"/>
            </w:r>
          </w:hyperlink>
        </w:p>
        <w:p w14:paraId="3EC97DCC" w14:textId="77777777" w:rsidR="009A0234" w:rsidRPr="00B773E3" w:rsidRDefault="003650AA" w:rsidP="00B773E3">
          <w:pPr>
            <w:pStyle w:val="TOC2"/>
            <w:rPr>
              <w:rFonts w:asciiTheme="minorHAnsi" w:eastAsiaTheme="minorEastAsia" w:hAnsiTheme="minorHAnsi" w:cstheme="minorBidi"/>
              <w:sz w:val="22"/>
              <w:szCs w:val="22"/>
            </w:rPr>
          </w:pPr>
          <w:hyperlink w:anchor="_Toc410053825" w:history="1">
            <w:r w:rsidR="009A0234" w:rsidRPr="00B773E3">
              <w:rPr>
                <w:rStyle w:val="Hyperlink"/>
              </w:rPr>
              <w:t>3. Use of Improved Information Technology</w:t>
            </w:r>
            <w:r w:rsidR="009A0234" w:rsidRPr="00B773E3">
              <w:rPr>
                <w:webHidden/>
              </w:rPr>
              <w:tab/>
            </w:r>
            <w:r w:rsidR="009A0234" w:rsidRPr="00B773E3">
              <w:rPr>
                <w:webHidden/>
              </w:rPr>
              <w:fldChar w:fldCharType="begin"/>
            </w:r>
            <w:r w:rsidR="009A0234" w:rsidRPr="00B773E3">
              <w:rPr>
                <w:webHidden/>
              </w:rPr>
              <w:instrText xml:space="preserve"> PAGEREF _Toc410053825 \h </w:instrText>
            </w:r>
            <w:r w:rsidR="009A0234" w:rsidRPr="00B773E3">
              <w:rPr>
                <w:webHidden/>
              </w:rPr>
            </w:r>
            <w:r w:rsidR="009A0234" w:rsidRPr="00B773E3">
              <w:rPr>
                <w:webHidden/>
              </w:rPr>
              <w:fldChar w:fldCharType="separate"/>
            </w:r>
            <w:r w:rsidR="001B67F6">
              <w:rPr>
                <w:webHidden/>
              </w:rPr>
              <w:t>4</w:t>
            </w:r>
            <w:r w:rsidR="009A0234" w:rsidRPr="00B773E3">
              <w:rPr>
                <w:webHidden/>
              </w:rPr>
              <w:fldChar w:fldCharType="end"/>
            </w:r>
          </w:hyperlink>
        </w:p>
        <w:p w14:paraId="52EBC8CF" w14:textId="77777777" w:rsidR="009A0234" w:rsidRPr="00B773E3" w:rsidRDefault="003650AA" w:rsidP="00B773E3">
          <w:pPr>
            <w:pStyle w:val="TOC2"/>
            <w:rPr>
              <w:rFonts w:asciiTheme="minorHAnsi" w:eastAsiaTheme="minorEastAsia" w:hAnsiTheme="minorHAnsi" w:cstheme="minorBidi"/>
              <w:sz w:val="22"/>
              <w:szCs w:val="22"/>
            </w:rPr>
          </w:pPr>
          <w:hyperlink w:anchor="_Toc410053826" w:history="1">
            <w:r w:rsidR="009A0234" w:rsidRPr="00B773E3">
              <w:rPr>
                <w:rStyle w:val="Hyperlink"/>
              </w:rPr>
              <w:t>4. Efforts to Identify Duplication</w:t>
            </w:r>
            <w:r w:rsidR="009A0234" w:rsidRPr="00B773E3">
              <w:rPr>
                <w:webHidden/>
              </w:rPr>
              <w:tab/>
            </w:r>
            <w:r w:rsidR="009A0234" w:rsidRPr="00B773E3">
              <w:rPr>
                <w:webHidden/>
              </w:rPr>
              <w:fldChar w:fldCharType="begin"/>
            </w:r>
            <w:r w:rsidR="009A0234" w:rsidRPr="00B773E3">
              <w:rPr>
                <w:webHidden/>
              </w:rPr>
              <w:instrText xml:space="preserve"> PAGEREF _Toc410053826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3A8394E7" w14:textId="77777777" w:rsidR="009A0234" w:rsidRPr="00B773E3" w:rsidRDefault="003650AA" w:rsidP="00B773E3">
          <w:pPr>
            <w:pStyle w:val="TOC2"/>
            <w:rPr>
              <w:rFonts w:asciiTheme="minorHAnsi" w:eastAsiaTheme="minorEastAsia" w:hAnsiTheme="minorHAnsi" w:cstheme="minorBidi"/>
              <w:sz w:val="22"/>
              <w:szCs w:val="22"/>
            </w:rPr>
          </w:pPr>
          <w:hyperlink w:anchor="_Toc410053827" w:history="1">
            <w:r w:rsidR="009A0234" w:rsidRPr="00B773E3">
              <w:rPr>
                <w:rStyle w:val="Hyperlink"/>
              </w:rPr>
              <w:t>5. Involvement of Small Entities</w:t>
            </w:r>
            <w:r w:rsidR="009A0234" w:rsidRPr="00B773E3">
              <w:rPr>
                <w:webHidden/>
              </w:rPr>
              <w:tab/>
            </w:r>
            <w:r w:rsidR="009A0234" w:rsidRPr="00B773E3">
              <w:rPr>
                <w:webHidden/>
              </w:rPr>
              <w:fldChar w:fldCharType="begin"/>
            </w:r>
            <w:r w:rsidR="009A0234" w:rsidRPr="00B773E3">
              <w:rPr>
                <w:webHidden/>
              </w:rPr>
              <w:instrText xml:space="preserve"> PAGEREF _Toc410053827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64F42461" w14:textId="77777777" w:rsidR="009A0234" w:rsidRPr="00B773E3" w:rsidRDefault="003650AA" w:rsidP="00B773E3">
          <w:pPr>
            <w:pStyle w:val="TOC2"/>
            <w:rPr>
              <w:rFonts w:asciiTheme="minorHAnsi" w:eastAsiaTheme="minorEastAsia" w:hAnsiTheme="minorHAnsi" w:cstheme="minorBidi"/>
              <w:sz w:val="22"/>
              <w:szCs w:val="22"/>
            </w:rPr>
          </w:pPr>
          <w:hyperlink w:anchor="_Toc410053828" w:history="1">
            <w:r w:rsidR="009A0234" w:rsidRPr="00B773E3">
              <w:rPr>
                <w:rStyle w:val="Hyperlink"/>
              </w:rPr>
              <w:t>6. Consequences if Information Collected Less Frequently</w:t>
            </w:r>
            <w:r w:rsidR="009A0234" w:rsidRPr="00B773E3">
              <w:rPr>
                <w:webHidden/>
              </w:rPr>
              <w:tab/>
            </w:r>
            <w:r w:rsidR="009A0234" w:rsidRPr="00B773E3">
              <w:rPr>
                <w:webHidden/>
              </w:rPr>
              <w:fldChar w:fldCharType="begin"/>
            </w:r>
            <w:r w:rsidR="009A0234" w:rsidRPr="00B773E3">
              <w:rPr>
                <w:webHidden/>
              </w:rPr>
              <w:instrText xml:space="preserve"> PAGEREF _Toc410053828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05247B81" w14:textId="77777777" w:rsidR="009A0234" w:rsidRPr="00B773E3" w:rsidRDefault="003650AA" w:rsidP="00B773E3">
          <w:pPr>
            <w:pStyle w:val="TOC2"/>
            <w:rPr>
              <w:rFonts w:asciiTheme="minorHAnsi" w:eastAsiaTheme="minorEastAsia" w:hAnsiTheme="minorHAnsi" w:cstheme="minorBidi"/>
              <w:sz w:val="22"/>
              <w:szCs w:val="22"/>
            </w:rPr>
          </w:pPr>
          <w:hyperlink w:anchor="_Toc410053829" w:history="1">
            <w:r w:rsidR="009A0234" w:rsidRPr="00B773E3">
              <w:rPr>
                <w:rStyle w:val="Hyperlink"/>
              </w:rPr>
              <w:t>7. Special Circumstances</w:t>
            </w:r>
            <w:r w:rsidR="009A0234" w:rsidRPr="00B773E3">
              <w:rPr>
                <w:webHidden/>
              </w:rPr>
              <w:tab/>
            </w:r>
            <w:r w:rsidR="009A0234" w:rsidRPr="00B773E3">
              <w:rPr>
                <w:webHidden/>
              </w:rPr>
              <w:fldChar w:fldCharType="begin"/>
            </w:r>
            <w:r w:rsidR="009A0234" w:rsidRPr="00B773E3">
              <w:rPr>
                <w:webHidden/>
              </w:rPr>
              <w:instrText xml:space="preserve"> PAGEREF _Toc410053829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63A2A44E" w14:textId="77777777" w:rsidR="009A0234" w:rsidRPr="00B773E3" w:rsidRDefault="003650AA" w:rsidP="00B773E3">
          <w:pPr>
            <w:pStyle w:val="TOC2"/>
            <w:rPr>
              <w:rFonts w:asciiTheme="minorHAnsi" w:eastAsiaTheme="minorEastAsia" w:hAnsiTheme="minorHAnsi" w:cstheme="minorBidi"/>
              <w:sz w:val="22"/>
              <w:szCs w:val="22"/>
            </w:rPr>
          </w:pPr>
          <w:hyperlink w:anchor="_Toc410053830" w:history="1">
            <w:r w:rsidR="009A0234" w:rsidRPr="00B773E3">
              <w:rPr>
                <w:rStyle w:val="Hyperlink"/>
              </w:rPr>
              <w:t>8. Federal Register Notice and Outside Consultations</w:t>
            </w:r>
            <w:r w:rsidR="009A0234" w:rsidRPr="00B773E3">
              <w:rPr>
                <w:webHidden/>
              </w:rPr>
              <w:tab/>
            </w:r>
            <w:r w:rsidR="009A0234" w:rsidRPr="00B773E3">
              <w:rPr>
                <w:webHidden/>
              </w:rPr>
              <w:fldChar w:fldCharType="begin"/>
            </w:r>
            <w:r w:rsidR="009A0234" w:rsidRPr="00B773E3">
              <w:rPr>
                <w:webHidden/>
              </w:rPr>
              <w:instrText xml:space="preserve"> PAGEREF _Toc410053830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71863720" w14:textId="77777777" w:rsidR="009A0234" w:rsidRPr="00B773E3" w:rsidRDefault="003650AA" w:rsidP="00B773E3">
          <w:pPr>
            <w:pStyle w:val="TOC2"/>
            <w:rPr>
              <w:rFonts w:asciiTheme="minorHAnsi" w:eastAsiaTheme="minorEastAsia" w:hAnsiTheme="minorHAnsi" w:cstheme="minorBidi"/>
              <w:sz w:val="22"/>
              <w:szCs w:val="22"/>
            </w:rPr>
          </w:pPr>
          <w:hyperlink w:anchor="_Toc410053831" w:history="1">
            <w:r w:rsidR="009A0234" w:rsidRPr="00B773E3">
              <w:rPr>
                <w:rStyle w:val="Hyperlink"/>
              </w:rPr>
              <w:t>9. Payments/Gifts to Respondents</w:t>
            </w:r>
            <w:r w:rsidR="009A0234" w:rsidRPr="00B773E3">
              <w:rPr>
                <w:webHidden/>
              </w:rPr>
              <w:tab/>
            </w:r>
            <w:r w:rsidR="009A0234" w:rsidRPr="00B773E3">
              <w:rPr>
                <w:webHidden/>
              </w:rPr>
              <w:fldChar w:fldCharType="begin"/>
            </w:r>
            <w:r w:rsidR="009A0234" w:rsidRPr="00B773E3">
              <w:rPr>
                <w:webHidden/>
              </w:rPr>
              <w:instrText xml:space="preserve"> PAGEREF _Toc410053831 \h </w:instrText>
            </w:r>
            <w:r w:rsidR="009A0234" w:rsidRPr="00B773E3">
              <w:rPr>
                <w:webHidden/>
              </w:rPr>
            </w:r>
            <w:r w:rsidR="009A0234" w:rsidRPr="00B773E3">
              <w:rPr>
                <w:webHidden/>
              </w:rPr>
              <w:fldChar w:fldCharType="separate"/>
            </w:r>
            <w:r w:rsidR="001B67F6">
              <w:rPr>
                <w:webHidden/>
              </w:rPr>
              <w:t>5</w:t>
            </w:r>
            <w:r w:rsidR="009A0234" w:rsidRPr="00B773E3">
              <w:rPr>
                <w:webHidden/>
              </w:rPr>
              <w:fldChar w:fldCharType="end"/>
            </w:r>
          </w:hyperlink>
        </w:p>
        <w:p w14:paraId="44FDAAF4" w14:textId="77777777" w:rsidR="009A0234" w:rsidRPr="00B773E3" w:rsidRDefault="003650AA" w:rsidP="00B773E3">
          <w:pPr>
            <w:pStyle w:val="TOC2"/>
            <w:rPr>
              <w:rFonts w:asciiTheme="minorHAnsi" w:eastAsiaTheme="minorEastAsia" w:hAnsiTheme="minorHAnsi" w:cstheme="minorBidi"/>
              <w:sz w:val="22"/>
              <w:szCs w:val="22"/>
            </w:rPr>
          </w:pPr>
          <w:hyperlink w:anchor="_Toc410053832" w:history="1">
            <w:r w:rsidR="009A0234" w:rsidRPr="00B773E3">
              <w:rPr>
                <w:rStyle w:val="Hyperlink"/>
              </w:rPr>
              <w:t>10. Assurance of Confidentiality</w:t>
            </w:r>
            <w:r w:rsidR="009A0234" w:rsidRPr="00B773E3">
              <w:rPr>
                <w:webHidden/>
              </w:rPr>
              <w:tab/>
            </w:r>
            <w:r w:rsidR="009A0234" w:rsidRPr="00B773E3">
              <w:rPr>
                <w:webHidden/>
              </w:rPr>
              <w:fldChar w:fldCharType="begin"/>
            </w:r>
            <w:r w:rsidR="009A0234" w:rsidRPr="00B773E3">
              <w:rPr>
                <w:webHidden/>
              </w:rPr>
              <w:instrText xml:space="preserve"> PAGEREF _Toc410053832 \h </w:instrText>
            </w:r>
            <w:r w:rsidR="009A0234" w:rsidRPr="00B773E3">
              <w:rPr>
                <w:webHidden/>
              </w:rPr>
            </w:r>
            <w:r w:rsidR="009A0234" w:rsidRPr="00B773E3">
              <w:rPr>
                <w:webHidden/>
              </w:rPr>
              <w:fldChar w:fldCharType="separate"/>
            </w:r>
            <w:r w:rsidR="001B67F6">
              <w:rPr>
                <w:webHidden/>
              </w:rPr>
              <w:t>6</w:t>
            </w:r>
            <w:r w:rsidR="009A0234" w:rsidRPr="00B773E3">
              <w:rPr>
                <w:webHidden/>
              </w:rPr>
              <w:fldChar w:fldCharType="end"/>
            </w:r>
          </w:hyperlink>
        </w:p>
        <w:p w14:paraId="529434DF" w14:textId="77777777" w:rsidR="009A0234" w:rsidRPr="00B773E3" w:rsidRDefault="003650AA" w:rsidP="00B773E3">
          <w:pPr>
            <w:pStyle w:val="TOC2"/>
            <w:rPr>
              <w:rFonts w:asciiTheme="minorHAnsi" w:eastAsiaTheme="minorEastAsia" w:hAnsiTheme="minorHAnsi" w:cstheme="minorBidi"/>
              <w:sz w:val="22"/>
              <w:szCs w:val="22"/>
            </w:rPr>
          </w:pPr>
          <w:hyperlink w:anchor="_Toc410053833" w:history="1">
            <w:r w:rsidR="009A0234" w:rsidRPr="00B773E3">
              <w:rPr>
                <w:rStyle w:val="Hyperlink"/>
              </w:rPr>
              <w:t>11. Questions of a Sensitive Nature</w:t>
            </w:r>
            <w:r w:rsidR="009A0234" w:rsidRPr="00B773E3">
              <w:rPr>
                <w:webHidden/>
              </w:rPr>
              <w:tab/>
            </w:r>
            <w:r w:rsidR="009A0234" w:rsidRPr="00B773E3">
              <w:rPr>
                <w:webHidden/>
              </w:rPr>
              <w:fldChar w:fldCharType="begin"/>
            </w:r>
            <w:r w:rsidR="009A0234" w:rsidRPr="00B773E3">
              <w:rPr>
                <w:webHidden/>
              </w:rPr>
              <w:instrText xml:space="preserve"> PAGEREF _Toc410053833 \h </w:instrText>
            </w:r>
            <w:r w:rsidR="009A0234" w:rsidRPr="00B773E3">
              <w:rPr>
                <w:webHidden/>
              </w:rPr>
            </w:r>
            <w:r w:rsidR="009A0234" w:rsidRPr="00B773E3">
              <w:rPr>
                <w:webHidden/>
              </w:rPr>
              <w:fldChar w:fldCharType="separate"/>
            </w:r>
            <w:r w:rsidR="001B67F6">
              <w:rPr>
                <w:webHidden/>
              </w:rPr>
              <w:t>6</w:t>
            </w:r>
            <w:r w:rsidR="009A0234" w:rsidRPr="00B773E3">
              <w:rPr>
                <w:webHidden/>
              </w:rPr>
              <w:fldChar w:fldCharType="end"/>
            </w:r>
          </w:hyperlink>
        </w:p>
        <w:p w14:paraId="1ABD2DE0" w14:textId="77777777" w:rsidR="009A0234" w:rsidRPr="00B773E3" w:rsidRDefault="003650AA" w:rsidP="00B773E3">
          <w:pPr>
            <w:pStyle w:val="TOC2"/>
            <w:rPr>
              <w:rFonts w:asciiTheme="minorHAnsi" w:eastAsiaTheme="minorEastAsia" w:hAnsiTheme="minorHAnsi" w:cstheme="minorBidi"/>
              <w:sz w:val="22"/>
              <w:szCs w:val="22"/>
            </w:rPr>
          </w:pPr>
          <w:hyperlink w:anchor="_Toc410053834" w:history="1">
            <w:r w:rsidR="009A0234" w:rsidRPr="00B773E3">
              <w:rPr>
                <w:rStyle w:val="Hyperlink"/>
              </w:rPr>
              <w:t>12. Estimates of Annualized Burden Hours and Costs</w:t>
            </w:r>
            <w:r w:rsidR="009A0234" w:rsidRPr="00B773E3">
              <w:rPr>
                <w:webHidden/>
              </w:rPr>
              <w:tab/>
            </w:r>
            <w:r w:rsidR="009A0234" w:rsidRPr="00B773E3">
              <w:rPr>
                <w:webHidden/>
              </w:rPr>
              <w:fldChar w:fldCharType="begin"/>
            </w:r>
            <w:r w:rsidR="009A0234" w:rsidRPr="00B773E3">
              <w:rPr>
                <w:webHidden/>
              </w:rPr>
              <w:instrText xml:space="preserve"> PAGEREF _Toc410053834 \h </w:instrText>
            </w:r>
            <w:r w:rsidR="009A0234" w:rsidRPr="00B773E3">
              <w:rPr>
                <w:webHidden/>
              </w:rPr>
            </w:r>
            <w:r w:rsidR="009A0234" w:rsidRPr="00B773E3">
              <w:rPr>
                <w:webHidden/>
              </w:rPr>
              <w:fldChar w:fldCharType="separate"/>
            </w:r>
            <w:r w:rsidR="001B67F6">
              <w:rPr>
                <w:webHidden/>
              </w:rPr>
              <w:t>6</w:t>
            </w:r>
            <w:r w:rsidR="009A0234" w:rsidRPr="00B773E3">
              <w:rPr>
                <w:webHidden/>
              </w:rPr>
              <w:fldChar w:fldCharType="end"/>
            </w:r>
          </w:hyperlink>
        </w:p>
        <w:p w14:paraId="66959C33" w14:textId="77777777" w:rsidR="009A0234" w:rsidRPr="00B773E3" w:rsidRDefault="003650AA" w:rsidP="00B773E3">
          <w:pPr>
            <w:pStyle w:val="TOC2"/>
            <w:rPr>
              <w:rFonts w:asciiTheme="minorHAnsi" w:eastAsiaTheme="minorEastAsia" w:hAnsiTheme="minorHAnsi" w:cstheme="minorBidi"/>
              <w:sz w:val="22"/>
              <w:szCs w:val="22"/>
            </w:rPr>
          </w:pPr>
          <w:hyperlink w:anchor="_Toc410053835" w:history="1">
            <w:r w:rsidR="009A0234" w:rsidRPr="00B773E3">
              <w:rPr>
                <w:rStyle w:val="Hyperlink"/>
              </w:rPr>
              <w:t>13. Estimates of Annualized Respondent Capital and Maintenance Costs</w:t>
            </w:r>
            <w:r w:rsidR="009A0234" w:rsidRPr="00B773E3">
              <w:rPr>
                <w:webHidden/>
              </w:rPr>
              <w:tab/>
            </w:r>
            <w:r w:rsidR="009A0234" w:rsidRPr="00B773E3">
              <w:rPr>
                <w:webHidden/>
              </w:rPr>
              <w:fldChar w:fldCharType="begin"/>
            </w:r>
            <w:r w:rsidR="009A0234" w:rsidRPr="00B773E3">
              <w:rPr>
                <w:webHidden/>
              </w:rPr>
              <w:instrText xml:space="preserve"> PAGEREF _Toc410053835 \h </w:instrText>
            </w:r>
            <w:r w:rsidR="009A0234" w:rsidRPr="00B773E3">
              <w:rPr>
                <w:webHidden/>
              </w:rPr>
            </w:r>
            <w:r w:rsidR="009A0234" w:rsidRPr="00B773E3">
              <w:rPr>
                <w:webHidden/>
              </w:rPr>
              <w:fldChar w:fldCharType="separate"/>
            </w:r>
            <w:r w:rsidR="001B67F6">
              <w:rPr>
                <w:webHidden/>
              </w:rPr>
              <w:t>7</w:t>
            </w:r>
            <w:r w:rsidR="009A0234" w:rsidRPr="00B773E3">
              <w:rPr>
                <w:webHidden/>
              </w:rPr>
              <w:fldChar w:fldCharType="end"/>
            </w:r>
          </w:hyperlink>
        </w:p>
        <w:p w14:paraId="149648B7" w14:textId="77777777" w:rsidR="009A0234" w:rsidRPr="00B773E3" w:rsidRDefault="003650AA" w:rsidP="00B773E3">
          <w:pPr>
            <w:pStyle w:val="TOC2"/>
            <w:rPr>
              <w:rFonts w:asciiTheme="minorHAnsi" w:eastAsiaTheme="minorEastAsia" w:hAnsiTheme="minorHAnsi" w:cstheme="minorBidi"/>
              <w:sz w:val="22"/>
              <w:szCs w:val="22"/>
            </w:rPr>
          </w:pPr>
          <w:hyperlink w:anchor="_Toc410053836" w:history="1">
            <w:r w:rsidR="009A0234" w:rsidRPr="00B773E3">
              <w:rPr>
                <w:rStyle w:val="Hyperlink"/>
              </w:rPr>
              <w:t>14. Estimates of Annualized Cost to the Government</w:t>
            </w:r>
            <w:r w:rsidR="009A0234" w:rsidRPr="00B773E3">
              <w:rPr>
                <w:webHidden/>
              </w:rPr>
              <w:tab/>
            </w:r>
            <w:r w:rsidR="009A0234" w:rsidRPr="00B773E3">
              <w:rPr>
                <w:webHidden/>
              </w:rPr>
              <w:fldChar w:fldCharType="begin"/>
            </w:r>
            <w:r w:rsidR="009A0234" w:rsidRPr="00B773E3">
              <w:rPr>
                <w:webHidden/>
              </w:rPr>
              <w:instrText xml:space="preserve"> PAGEREF _Toc410053836 \h </w:instrText>
            </w:r>
            <w:r w:rsidR="009A0234" w:rsidRPr="00B773E3">
              <w:rPr>
                <w:webHidden/>
              </w:rPr>
            </w:r>
            <w:r w:rsidR="009A0234" w:rsidRPr="00B773E3">
              <w:rPr>
                <w:webHidden/>
              </w:rPr>
              <w:fldChar w:fldCharType="separate"/>
            </w:r>
            <w:r w:rsidR="001B67F6">
              <w:rPr>
                <w:webHidden/>
              </w:rPr>
              <w:t>7</w:t>
            </w:r>
            <w:r w:rsidR="009A0234" w:rsidRPr="00B773E3">
              <w:rPr>
                <w:webHidden/>
              </w:rPr>
              <w:fldChar w:fldCharType="end"/>
            </w:r>
          </w:hyperlink>
        </w:p>
        <w:p w14:paraId="64705571" w14:textId="77777777" w:rsidR="009A0234" w:rsidRPr="00B773E3" w:rsidRDefault="003650AA" w:rsidP="00B773E3">
          <w:pPr>
            <w:pStyle w:val="TOC2"/>
            <w:rPr>
              <w:rFonts w:asciiTheme="minorHAnsi" w:eastAsiaTheme="minorEastAsia" w:hAnsiTheme="minorHAnsi" w:cstheme="minorBidi"/>
              <w:sz w:val="22"/>
              <w:szCs w:val="22"/>
            </w:rPr>
          </w:pPr>
          <w:hyperlink w:anchor="_Toc410053837" w:history="1">
            <w:r w:rsidR="009A0234" w:rsidRPr="00B773E3">
              <w:rPr>
                <w:rStyle w:val="Hyperlink"/>
              </w:rPr>
              <w:t>15. Changes in Hour Burden</w:t>
            </w:r>
            <w:r w:rsidR="009A0234" w:rsidRPr="00B773E3">
              <w:rPr>
                <w:webHidden/>
              </w:rPr>
              <w:tab/>
            </w:r>
            <w:r w:rsidR="009A0234" w:rsidRPr="00B773E3">
              <w:rPr>
                <w:webHidden/>
              </w:rPr>
              <w:fldChar w:fldCharType="begin"/>
            </w:r>
            <w:r w:rsidR="009A0234" w:rsidRPr="00B773E3">
              <w:rPr>
                <w:webHidden/>
              </w:rPr>
              <w:instrText xml:space="preserve"> PAGEREF _Toc410053837 \h </w:instrText>
            </w:r>
            <w:r w:rsidR="009A0234" w:rsidRPr="00B773E3">
              <w:rPr>
                <w:webHidden/>
              </w:rPr>
            </w:r>
            <w:r w:rsidR="009A0234" w:rsidRPr="00B773E3">
              <w:rPr>
                <w:webHidden/>
              </w:rPr>
              <w:fldChar w:fldCharType="separate"/>
            </w:r>
            <w:r w:rsidR="001B67F6">
              <w:rPr>
                <w:webHidden/>
              </w:rPr>
              <w:t>7</w:t>
            </w:r>
            <w:r w:rsidR="009A0234" w:rsidRPr="00B773E3">
              <w:rPr>
                <w:webHidden/>
              </w:rPr>
              <w:fldChar w:fldCharType="end"/>
            </w:r>
          </w:hyperlink>
        </w:p>
        <w:p w14:paraId="448ABC66" w14:textId="77777777" w:rsidR="009A0234" w:rsidRPr="00B773E3" w:rsidRDefault="003650AA" w:rsidP="00B773E3">
          <w:pPr>
            <w:pStyle w:val="TOC2"/>
            <w:rPr>
              <w:rFonts w:asciiTheme="minorHAnsi" w:eastAsiaTheme="minorEastAsia" w:hAnsiTheme="minorHAnsi" w:cstheme="minorBidi"/>
              <w:sz w:val="22"/>
              <w:szCs w:val="22"/>
            </w:rPr>
          </w:pPr>
          <w:hyperlink w:anchor="_Toc410053838" w:history="1">
            <w:r w:rsidR="009A0234" w:rsidRPr="00B773E3">
              <w:rPr>
                <w:rStyle w:val="Hyperlink"/>
              </w:rPr>
              <w:t>16. Time Schedule, Publication and Analysis Plans</w:t>
            </w:r>
            <w:r w:rsidR="009A0234" w:rsidRPr="00B773E3">
              <w:rPr>
                <w:webHidden/>
              </w:rPr>
              <w:tab/>
            </w:r>
            <w:r w:rsidR="009A0234" w:rsidRPr="00B773E3">
              <w:rPr>
                <w:webHidden/>
              </w:rPr>
              <w:fldChar w:fldCharType="begin"/>
            </w:r>
            <w:r w:rsidR="009A0234" w:rsidRPr="00B773E3">
              <w:rPr>
                <w:webHidden/>
              </w:rPr>
              <w:instrText xml:space="preserve"> PAGEREF _Toc410053838 \h </w:instrText>
            </w:r>
            <w:r w:rsidR="009A0234" w:rsidRPr="00B773E3">
              <w:rPr>
                <w:webHidden/>
              </w:rPr>
            </w:r>
            <w:r w:rsidR="009A0234" w:rsidRPr="00B773E3">
              <w:rPr>
                <w:webHidden/>
              </w:rPr>
              <w:fldChar w:fldCharType="separate"/>
            </w:r>
            <w:r w:rsidR="001B67F6">
              <w:rPr>
                <w:webHidden/>
              </w:rPr>
              <w:t>7</w:t>
            </w:r>
            <w:r w:rsidR="009A0234" w:rsidRPr="00B773E3">
              <w:rPr>
                <w:webHidden/>
              </w:rPr>
              <w:fldChar w:fldCharType="end"/>
            </w:r>
          </w:hyperlink>
        </w:p>
        <w:p w14:paraId="196A618F" w14:textId="77777777" w:rsidR="009A0234" w:rsidRPr="00B773E3" w:rsidRDefault="003650AA" w:rsidP="00B773E3">
          <w:pPr>
            <w:pStyle w:val="TOC2"/>
            <w:rPr>
              <w:rFonts w:asciiTheme="minorHAnsi" w:eastAsiaTheme="minorEastAsia" w:hAnsiTheme="minorHAnsi" w:cstheme="minorBidi"/>
              <w:sz w:val="22"/>
              <w:szCs w:val="22"/>
            </w:rPr>
          </w:pPr>
          <w:hyperlink w:anchor="_Toc410053839" w:history="1">
            <w:r w:rsidR="009A0234" w:rsidRPr="00B773E3">
              <w:rPr>
                <w:rStyle w:val="Hyperlink"/>
              </w:rPr>
              <w:t>17. Exemption for Display of Expiration Date</w:t>
            </w:r>
            <w:r w:rsidR="009A0234" w:rsidRPr="00B773E3">
              <w:rPr>
                <w:webHidden/>
              </w:rPr>
              <w:tab/>
            </w:r>
            <w:r w:rsidR="009A0234" w:rsidRPr="00B773E3">
              <w:rPr>
                <w:webHidden/>
              </w:rPr>
              <w:fldChar w:fldCharType="begin"/>
            </w:r>
            <w:r w:rsidR="009A0234" w:rsidRPr="00B773E3">
              <w:rPr>
                <w:webHidden/>
              </w:rPr>
              <w:instrText xml:space="preserve"> PAGEREF _Toc410053839 \h </w:instrText>
            </w:r>
            <w:r w:rsidR="009A0234" w:rsidRPr="00B773E3">
              <w:rPr>
                <w:webHidden/>
              </w:rPr>
            </w:r>
            <w:r w:rsidR="009A0234" w:rsidRPr="00B773E3">
              <w:rPr>
                <w:webHidden/>
              </w:rPr>
              <w:fldChar w:fldCharType="separate"/>
            </w:r>
            <w:r w:rsidR="001B67F6">
              <w:rPr>
                <w:webHidden/>
              </w:rPr>
              <w:t>8</w:t>
            </w:r>
            <w:r w:rsidR="009A0234" w:rsidRPr="00B773E3">
              <w:rPr>
                <w:webHidden/>
              </w:rPr>
              <w:fldChar w:fldCharType="end"/>
            </w:r>
          </w:hyperlink>
        </w:p>
        <w:p w14:paraId="212D6FE3" w14:textId="77777777" w:rsidR="009A0234" w:rsidRPr="00B773E3" w:rsidRDefault="003650AA" w:rsidP="00B773E3">
          <w:pPr>
            <w:pStyle w:val="TOC2"/>
            <w:rPr>
              <w:rFonts w:eastAsiaTheme="minorEastAsia"/>
              <w:sz w:val="22"/>
              <w:szCs w:val="22"/>
            </w:rPr>
          </w:pPr>
          <w:hyperlink w:anchor="_Toc410053840" w:history="1">
            <w:r w:rsidR="009A0234" w:rsidRPr="00B773E3">
              <w:rPr>
                <w:rStyle w:val="Hyperlink"/>
              </w:rPr>
              <w:t>List of Attachments:</w:t>
            </w:r>
            <w:r w:rsidR="009A0234" w:rsidRPr="00B773E3">
              <w:rPr>
                <w:webHidden/>
              </w:rPr>
              <w:tab/>
            </w:r>
            <w:r w:rsidR="009A0234" w:rsidRPr="00B773E3">
              <w:rPr>
                <w:webHidden/>
              </w:rPr>
              <w:fldChar w:fldCharType="begin"/>
            </w:r>
            <w:r w:rsidR="009A0234" w:rsidRPr="00B773E3">
              <w:rPr>
                <w:webHidden/>
              </w:rPr>
              <w:instrText xml:space="preserve"> PAGEREF _Toc410053840 \h </w:instrText>
            </w:r>
            <w:r w:rsidR="009A0234" w:rsidRPr="00B773E3">
              <w:rPr>
                <w:webHidden/>
              </w:rPr>
            </w:r>
            <w:r w:rsidR="009A0234" w:rsidRPr="00B773E3">
              <w:rPr>
                <w:webHidden/>
              </w:rPr>
              <w:fldChar w:fldCharType="separate"/>
            </w:r>
            <w:r w:rsidR="001B67F6">
              <w:rPr>
                <w:webHidden/>
              </w:rPr>
              <w:t>8</w:t>
            </w:r>
            <w:r w:rsidR="009A0234" w:rsidRPr="00B773E3">
              <w:rPr>
                <w:webHidden/>
              </w:rPr>
              <w:fldChar w:fldCharType="end"/>
            </w:r>
          </w:hyperlink>
        </w:p>
        <w:p w14:paraId="672A0F22" w14:textId="77777777" w:rsidR="001301B3" w:rsidRPr="00B773E3" w:rsidRDefault="00CD049A">
          <w:r w:rsidRPr="00B773E3">
            <w:fldChar w:fldCharType="end"/>
          </w:r>
        </w:p>
      </w:sdtContent>
    </w:sdt>
    <w:p w14:paraId="539389FB" w14:textId="77777777" w:rsidR="00556066" w:rsidRPr="00556066" w:rsidRDefault="00556066" w:rsidP="007B3A8E">
      <w:pPr>
        <w:tabs>
          <w:tab w:val="left" w:pos="360"/>
          <w:tab w:val="left" w:leader="dot" w:pos="8280"/>
        </w:tabs>
      </w:pPr>
      <w:r>
        <w:tab/>
      </w:r>
    </w:p>
    <w:p w14:paraId="5E213AF9" w14:textId="77777777" w:rsidR="009B633D" w:rsidRDefault="009B633D" w:rsidP="009B633D">
      <w:pPr>
        <w:jc w:val="center"/>
        <w:rPr>
          <w:b/>
        </w:rPr>
      </w:pPr>
    </w:p>
    <w:p w14:paraId="3BE045AA" w14:textId="77777777" w:rsidR="009B633D" w:rsidRDefault="00CD049A" w:rsidP="00B773E3">
      <w:pPr>
        <w:pStyle w:val="TOC2"/>
      </w:pPr>
      <w:r>
        <w:fldChar w:fldCharType="begin"/>
      </w:r>
      <w:r w:rsidR="009B633D">
        <w:instrText xml:space="preserve"> TOC \o "1-3" \h \z \u </w:instrText>
      </w:r>
      <w:r>
        <w:fldChar w:fldCharType="separate"/>
      </w:r>
    </w:p>
    <w:p w14:paraId="25DD511E" w14:textId="77777777" w:rsidR="009B633D" w:rsidRPr="001D0454" w:rsidRDefault="00CD049A" w:rsidP="009B633D">
      <w:pPr>
        <w:jc w:val="center"/>
        <w:rPr>
          <w:b/>
        </w:rPr>
      </w:pPr>
      <w:r>
        <w:rPr>
          <w:b/>
        </w:rPr>
        <w:fldChar w:fldCharType="end"/>
      </w:r>
    </w:p>
    <w:p w14:paraId="367DB4E1" w14:textId="033D1C1B" w:rsidR="009B633D" w:rsidRPr="006014DB" w:rsidRDefault="009B633D" w:rsidP="009B633D">
      <w:pPr>
        <w:pStyle w:val="Heading1"/>
        <w:rPr>
          <w:sz w:val="24"/>
          <w:szCs w:val="24"/>
        </w:rPr>
      </w:pPr>
      <w:r>
        <w:br w:type="page"/>
      </w:r>
      <w:bookmarkStart w:id="1" w:name="_Toc151782175"/>
      <w:bookmarkStart w:id="2" w:name="_Toc158526215"/>
      <w:bookmarkStart w:id="3" w:name="_Toc410053822"/>
      <w:r w:rsidRPr="006014DB">
        <w:rPr>
          <w:sz w:val="24"/>
          <w:szCs w:val="24"/>
        </w:rPr>
        <w:lastRenderedPageBreak/>
        <w:t>A. Justification</w:t>
      </w:r>
      <w:bookmarkEnd w:id="1"/>
      <w:bookmarkEnd w:id="2"/>
      <w:bookmarkEnd w:id="3"/>
      <w:r w:rsidR="00E32B23">
        <w:rPr>
          <w:sz w:val="24"/>
          <w:szCs w:val="24"/>
        </w:rPr>
        <w:t xml:space="preserve"> </w:t>
      </w:r>
    </w:p>
    <w:p w14:paraId="0F90F26F" w14:textId="77777777" w:rsidR="009B633D" w:rsidRDefault="009B633D" w:rsidP="004D171B">
      <w:pPr>
        <w:pStyle w:val="Heading2"/>
        <w:rPr>
          <w:sz w:val="24"/>
          <w:szCs w:val="24"/>
        </w:rPr>
      </w:pPr>
      <w:bookmarkStart w:id="4" w:name="_Toc151782176"/>
      <w:bookmarkStart w:id="5" w:name="_Toc158526216"/>
      <w:bookmarkStart w:id="6" w:name="_Toc410053823"/>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46B145DE" w14:textId="77777777" w:rsidR="00E36E85" w:rsidRDefault="00E36E85" w:rsidP="00820CF2">
      <w:pPr>
        <w:rPr>
          <w:b/>
        </w:rPr>
      </w:pPr>
    </w:p>
    <w:p w14:paraId="63BF469B" w14:textId="6A261A9A" w:rsidR="00C04154" w:rsidRDefault="00C04154" w:rsidP="00D10202">
      <w:pPr>
        <w:pStyle w:val="SDBodyText"/>
        <w:rPr>
          <w:rFonts w:ascii="Times New Roman" w:hAnsi="Times New Roman"/>
        </w:rPr>
      </w:pPr>
      <w:r>
        <w:rPr>
          <w:rFonts w:ascii="Times New Roman" w:hAnsi="Times New Roman"/>
        </w:rPr>
        <w:t>The purpose of t</w:t>
      </w:r>
      <w:r w:rsidRPr="00092A38">
        <w:rPr>
          <w:rFonts w:ascii="Times New Roman" w:hAnsi="Times New Roman"/>
        </w:rPr>
        <w:t>he</w:t>
      </w:r>
      <w:r w:rsidRPr="00D10202">
        <w:rPr>
          <w:rFonts w:ascii="Times New Roman" w:hAnsi="Times New Roman"/>
        </w:rPr>
        <w:t xml:space="preserve"> Guide </w:t>
      </w:r>
      <w:r>
        <w:rPr>
          <w:rFonts w:ascii="Times New Roman" w:hAnsi="Times New Roman"/>
        </w:rPr>
        <w:t xml:space="preserve">is to provide an easy to follow tool that community leaders can use to 1) establish a community coalition with broad membership, and 2) develop a community plan for improving adolescent health and well-being that includes multi-impact strategies. To understand whether and how community leaders are able to use the Guide to achieve these two goals, OASH needs information about the Guide’s utility and effectiveness. The evaluation of the </w:t>
      </w:r>
      <w:r>
        <w:rPr>
          <w:rFonts w:ascii="Times New Roman" w:hAnsi="Times New Roman"/>
          <w:i/>
        </w:rPr>
        <w:t>Second Decade Project</w:t>
      </w:r>
      <w:r>
        <w:rPr>
          <w:rFonts w:ascii="Times New Roman" w:hAnsi="Times New Roman"/>
        </w:rPr>
        <w:t xml:space="preserve"> Community Planning Guide (“the evaluation”) is intended to support the goals of OASH’s Second Decade Project of helping community leaders incorporate the needs of children, adolescents and young adults in community growth and development plans, and to improve outcomes of young adults and adolescents. </w:t>
      </w:r>
    </w:p>
    <w:p w14:paraId="19D242AC" w14:textId="77777777" w:rsidR="00D10202" w:rsidRPr="00D10202" w:rsidRDefault="00D10202" w:rsidP="00D10202">
      <w:pPr>
        <w:pStyle w:val="SDBodyText"/>
        <w:rPr>
          <w:rFonts w:ascii="Times New Roman" w:hAnsi="Times New Roman"/>
        </w:rPr>
      </w:pPr>
      <w:r w:rsidRPr="00D10202">
        <w:rPr>
          <w:rFonts w:ascii="Times New Roman" w:hAnsi="Times New Roman"/>
        </w:rPr>
        <w:t>The second decade of life, between ages 10 and 19, is a critical period when people establish healthy or risky habits that can last a lifetime.</w:t>
      </w:r>
      <w:r w:rsidRPr="00D10202">
        <w:rPr>
          <w:rFonts w:ascii="Times New Roman" w:hAnsi="Times New Roman"/>
          <w:vertAlign w:val="superscript"/>
        </w:rPr>
        <w:t>1</w:t>
      </w:r>
      <w:r w:rsidRPr="00D10202">
        <w:rPr>
          <w:rFonts w:ascii="Times New Roman" w:hAnsi="Times New Roman"/>
        </w:rPr>
        <w:t xml:space="preserve"> At the same time, peer influences increase</w:t>
      </w:r>
      <w:r w:rsidRPr="00D10202">
        <w:rPr>
          <w:rFonts w:ascii="Times New Roman" w:hAnsi="Times New Roman"/>
          <w:vertAlign w:val="superscript"/>
        </w:rPr>
        <w:t>2</w:t>
      </w:r>
      <w:r w:rsidRPr="00D10202">
        <w:rPr>
          <w:rFonts w:ascii="Times New Roman" w:hAnsi="Times New Roman"/>
        </w:rPr>
        <w:t xml:space="preserve"> and parental controls decrease,</w:t>
      </w:r>
      <w:r w:rsidRPr="00D10202">
        <w:rPr>
          <w:rFonts w:ascii="Times New Roman" w:hAnsi="Times New Roman"/>
          <w:vertAlign w:val="superscript"/>
        </w:rPr>
        <w:t>3</w:t>
      </w:r>
      <w:r w:rsidRPr="00D10202">
        <w:rPr>
          <w:rFonts w:ascii="Times New Roman" w:hAnsi="Times New Roman"/>
        </w:rPr>
        <w:t xml:space="preserve"> often before adolescents’ prefrontal cortexes mature enough for them to make the healthiest choices.</w:t>
      </w:r>
      <w:r w:rsidRPr="00D10202">
        <w:rPr>
          <w:rFonts w:ascii="Times New Roman" w:hAnsi="Times New Roman"/>
          <w:vertAlign w:val="superscript"/>
        </w:rPr>
        <w:t>4</w:t>
      </w:r>
      <w:r w:rsidRPr="00D10202">
        <w:rPr>
          <w:rFonts w:ascii="Times New Roman" w:hAnsi="Times New Roman"/>
        </w:rPr>
        <w:t xml:space="preserve"> These choices include food selection and physical activity</w:t>
      </w:r>
      <w:r w:rsidRPr="00D10202">
        <w:rPr>
          <w:rFonts w:ascii="Times New Roman" w:hAnsi="Times New Roman"/>
          <w:vertAlign w:val="superscript"/>
        </w:rPr>
        <w:t>5</w:t>
      </w:r>
      <w:r w:rsidRPr="00D10202">
        <w:rPr>
          <w:rFonts w:ascii="Times New Roman" w:hAnsi="Times New Roman"/>
        </w:rPr>
        <w:t>; alcohol, tobacco, or other drug use or misuse</w:t>
      </w:r>
      <w:r w:rsidRPr="00D10202">
        <w:rPr>
          <w:rFonts w:ascii="Times New Roman" w:hAnsi="Times New Roman"/>
          <w:vertAlign w:val="superscript"/>
        </w:rPr>
        <w:t>6</w:t>
      </w:r>
      <w:r w:rsidRPr="00D10202">
        <w:rPr>
          <w:rFonts w:ascii="Times New Roman" w:hAnsi="Times New Roman"/>
        </w:rPr>
        <w:t>; early sexual activity that could lead to sexually transmitted diseases, pregnancy, or unhealthy relationships</w:t>
      </w:r>
      <w:r w:rsidRPr="00D10202">
        <w:rPr>
          <w:rFonts w:ascii="Times New Roman" w:hAnsi="Times New Roman"/>
          <w:vertAlign w:val="superscript"/>
        </w:rPr>
        <w:t>7</w:t>
      </w:r>
      <w:r w:rsidRPr="00D10202">
        <w:rPr>
          <w:rFonts w:ascii="Times New Roman" w:hAnsi="Times New Roman"/>
        </w:rPr>
        <w:t>; and school achievement.</w:t>
      </w:r>
      <w:r w:rsidRPr="00D10202">
        <w:rPr>
          <w:rFonts w:ascii="Times New Roman" w:hAnsi="Times New Roman"/>
          <w:vertAlign w:val="superscript"/>
        </w:rPr>
        <w:t>8</w:t>
      </w:r>
      <w:r w:rsidRPr="00D10202">
        <w:rPr>
          <w:rFonts w:ascii="Times New Roman" w:hAnsi="Times New Roman"/>
        </w:rPr>
        <w:t xml:space="preserve"> Some young people risk poorer outcomes than others, when individual susceptibility interacts with negative community environments.</w:t>
      </w:r>
      <w:r w:rsidRPr="00D10202">
        <w:rPr>
          <w:rFonts w:ascii="Times New Roman" w:hAnsi="Times New Roman"/>
          <w:vertAlign w:val="superscript"/>
        </w:rPr>
        <w:t>9</w:t>
      </w:r>
      <w:r w:rsidRPr="00D10202">
        <w:rPr>
          <w:rFonts w:ascii="Times New Roman" w:hAnsi="Times New Roman"/>
        </w:rPr>
        <w:t xml:space="preserve"> Both the ecological model of child development</w:t>
      </w:r>
      <w:r w:rsidRPr="00D10202">
        <w:rPr>
          <w:rFonts w:ascii="Times New Roman" w:hAnsi="Times New Roman"/>
          <w:vertAlign w:val="superscript"/>
        </w:rPr>
        <w:t>10</w:t>
      </w:r>
      <w:r w:rsidRPr="00D10202">
        <w:rPr>
          <w:rFonts w:ascii="Times New Roman" w:hAnsi="Times New Roman"/>
        </w:rPr>
        <w:t xml:space="preserve"> and the social determinants of health model</w:t>
      </w:r>
      <w:r w:rsidRPr="00D10202">
        <w:rPr>
          <w:rFonts w:ascii="Times New Roman" w:hAnsi="Times New Roman"/>
          <w:vertAlign w:val="superscript"/>
        </w:rPr>
        <w:t>11</w:t>
      </w:r>
      <w:r w:rsidRPr="00D10202">
        <w:rPr>
          <w:rFonts w:ascii="Times New Roman" w:hAnsi="Times New Roman"/>
        </w:rPr>
        <w:t xml:space="preserve"> emphasize the strength of community influences on individual health outcomes and the potential of community-level interventions.</w:t>
      </w:r>
    </w:p>
    <w:p w14:paraId="32547EFA" w14:textId="77777777" w:rsidR="00092A38" w:rsidRDefault="00D10202" w:rsidP="00D10202">
      <w:pPr>
        <w:pStyle w:val="SDBodyText"/>
        <w:rPr>
          <w:rFonts w:ascii="Times New Roman" w:hAnsi="Times New Roman"/>
        </w:rPr>
      </w:pPr>
      <w:r w:rsidRPr="00D10202">
        <w:rPr>
          <w:rFonts w:ascii="Times New Roman" w:hAnsi="Times New Roman"/>
        </w:rPr>
        <w:t xml:space="preserve">Many evidence-based initiatives can prevent adolescent health risks and promote resilience. Information about programs that reduce risk and promote healthy development in adolescents is widely available. For example, the National Prevention Strategy includes sources of its evidence based recommendations in a detailed appendix, </w:t>
      </w:r>
      <w:r w:rsidRPr="00D10202">
        <w:rPr>
          <w:rFonts w:ascii="Times New Roman" w:hAnsi="Times New Roman"/>
          <w:vertAlign w:val="superscript"/>
        </w:rPr>
        <w:t>12</w:t>
      </w:r>
      <w:r w:rsidRPr="00D10202">
        <w:rPr>
          <w:rFonts w:ascii="Times New Roman" w:hAnsi="Times New Roman"/>
        </w:rPr>
        <w:t xml:space="preserve"> and the Office of Adolescent Health offers a searchable list of evidence-based teen pregnancy prevention programs (http://www.hhs.gov/ash/oah/oah-initiatives/teen_pregnancy/db/). The challenge for community groups trying to build an environment that promotes adolescent health is not a lack of evidence based approaches, but navigating this plethora of programs. Communities need “prevention architecture” to help them develop a coordinated and integrated approach to the multitude of challenges adolescents face. The public health prevention system, or architecture, that has proven so effective for infants and young children can serve as a model for similar guidance for adolescents. </w:t>
      </w:r>
      <w:r w:rsidRPr="00D10202">
        <w:rPr>
          <w:rFonts w:ascii="Times New Roman" w:hAnsi="Times New Roman"/>
          <w:vertAlign w:val="superscript"/>
        </w:rPr>
        <w:t>13</w:t>
      </w:r>
      <w:r w:rsidRPr="00D10202">
        <w:rPr>
          <w:rFonts w:ascii="Times New Roman" w:hAnsi="Times New Roman"/>
        </w:rPr>
        <w:t xml:space="preserve"> </w:t>
      </w:r>
      <w:r>
        <w:rPr>
          <w:rFonts w:ascii="Times New Roman" w:hAnsi="Times New Roman"/>
        </w:rPr>
        <w:t xml:space="preserve">It is within this context that </w:t>
      </w:r>
      <w:r w:rsidR="00092A38">
        <w:rPr>
          <w:rFonts w:ascii="Times New Roman" w:hAnsi="Times New Roman"/>
        </w:rPr>
        <w:t xml:space="preserve">the Office of the Assistant Secretary for Health (OASH) developed </w:t>
      </w:r>
      <w:r w:rsidR="00092A38">
        <w:rPr>
          <w:rFonts w:ascii="Times New Roman" w:hAnsi="Times New Roman"/>
          <w:i/>
        </w:rPr>
        <w:t xml:space="preserve">Promoting Health and Healthy Development in the Second Decade of Life: A Planning Guide for </w:t>
      </w:r>
      <w:r w:rsidR="00092A38" w:rsidRPr="00092A38">
        <w:rPr>
          <w:rFonts w:ascii="Times New Roman" w:hAnsi="Times New Roman"/>
        </w:rPr>
        <w:t>Communities</w:t>
      </w:r>
      <w:r w:rsidR="00092A38">
        <w:rPr>
          <w:rFonts w:ascii="Times New Roman" w:hAnsi="Times New Roman"/>
        </w:rPr>
        <w:t xml:space="preserve"> (“the Guide”). </w:t>
      </w:r>
    </w:p>
    <w:p w14:paraId="247B1406" w14:textId="6B05D2F3" w:rsidR="00B2067D" w:rsidRPr="008C211D" w:rsidRDefault="00844101" w:rsidP="008C211D">
      <w:pPr>
        <w:pStyle w:val="SDBodyText"/>
        <w:rPr>
          <w:rFonts w:ascii="Times New Roman" w:hAnsi="Times New Roman"/>
        </w:rPr>
      </w:pPr>
      <w:r>
        <w:rPr>
          <w:rFonts w:ascii="Times New Roman" w:hAnsi="Times New Roman"/>
        </w:rPr>
        <w:t xml:space="preserve">Five communities will participate in the piloting and </w:t>
      </w:r>
      <w:r w:rsidR="00BB1E99">
        <w:rPr>
          <w:rFonts w:ascii="Times New Roman" w:hAnsi="Times New Roman"/>
        </w:rPr>
        <w:t>evaluation</w:t>
      </w:r>
      <w:r>
        <w:rPr>
          <w:rFonts w:ascii="Times New Roman" w:hAnsi="Times New Roman"/>
        </w:rPr>
        <w:t xml:space="preserve"> of the Guide. </w:t>
      </w:r>
      <w:r w:rsidR="001750D9">
        <w:rPr>
          <w:rFonts w:ascii="Times New Roman" w:hAnsi="Times New Roman"/>
        </w:rPr>
        <w:t xml:space="preserve">The </w:t>
      </w:r>
      <w:r w:rsidR="00BB1E99">
        <w:rPr>
          <w:rFonts w:ascii="Times New Roman" w:hAnsi="Times New Roman"/>
        </w:rPr>
        <w:t xml:space="preserve">evaluation </w:t>
      </w:r>
      <w:r w:rsidR="001750D9">
        <w:rPr>
          <w:rFonts w:ascii="Times New Roman" w:hAnsi="Times New Roman"/>
        </w:rPr>
        <w:t>will</w:t>
      </w:r>
      <w:r>
        <w:rPr>
          <w:rFonts w:ascii="Times New Roman" w:hAnsi="Times New Roman"/>
        </w:rPr>
        <w:t xml:space="preserve"> provide OASH with critical</w:t>
      </w:r>
      <w:r w:rsidR="001750D9">
        <w:rPr>
          <w:rFonts w:ascii="Times New Roman" w:hAnsi="Times New Roman"/>
        </w:rPr>
        <w:t xml:space="preserve"> information </w:t>
      </w:r>
      <w:r>
        <w:rPr>
          <w:rFonts w:ascii="Times New Roman" w:hAnsi="Times New Roman"/>
        </w:rPr>
        <w:t xml:space="preserve">regarding </w:t>
      </w:r>
      <w:r w:rsidR="005F4FB6">
        <w:rPr>
          <w:rFonts w:ascii="Times New Roman" w:hAnsi="Times New Roman"/>
        </w:rPr>
        <w:t xml:space="preserve">the components of the Guide that community leaders found most useful and effective in accomplishing their goals of improving adolescent health and wellbeing; the compilation and inclusiveness of the coalitions implementing the Guide; and </w:t>
      </w:r>
      <w:r>
        <w:rPr>
          <w:rFonts w:ascii="Times New Roman" w:hAnsi="Times New Roman"/>
        </w:rPr>
        <w:t>the demographic and environmental context of the</w:t>
      </w:r>
      <w:r w:rsidR="00274834">
        <w:rPr>
          <w:rFonts w:ascii="Times New Roman" w:hAnsi="Times New Roman"/>
        </w:rPr>
        <w:t xml:space="preserve">se communities. While secondary data will be collected from sources such as the U.S. Census Bureau American Community Survey and Youth Risk Behavior and National Health Interview Surveys, these sources do not </w:t>
      </w:r>
      <w:r w:rsidR="00274834">
        <w:rPr>
          <w:rFonts w:ascii="Times New Roman" w:hAnsi="Times New Roman"/>
        </w:rPr>
        <w:lastRenderedPageBreak/>
        <w:t xml:space="preserve">provide nuanced information needed by OASH to understand the contexts in which the Guide is most effective. </w:t>
      </w:r>
    </w:p>
    <w:p w14:paraId="20BBF329" w14:textId="220300C0" w:rsidR="00110789" w:rsidRPr="008940E0" w:rsidRDefault="00C04154" w:rsidP="000A00D9">
      <w:r w:rsidRPr="008940E0">
        <w:t xml:space="preserve">This supporting statement is for a new </w:t>
      </w:r>
      <w:r w:rsidRPr="008940E0">
        <w:rPr>
          <w:color w:val="000000"/>
          <w:shd w:val="clear" w:color="auto" w:fill="FFFFFF"/>
        </w:rPr>
        <w:t xml:space="preserve">Information Collection Request (ICR) for the evaluation that requires OMB approval. As a preliminary step toward OMB review and approval a 60-day FRN was initiated on May 2, 2016. </w:t>
      </w:r>
    </w:p>
    <w:p w14:paraId="656C4296" w14:textId="77777777" w:rsidR="004A26A1" w:rsidRPr="00D97A7B" w:rsidRDefault="009B633D" w:rsidP="00EF102C">
      <w:pPr>
        <w:pStyle w:val="Heading2"/>
        <w:rPr>
          <w:sz w:val="24"/>
          <w:szCs w:val="24"/>
        </w:rPr>
      </w:pPr>
      <w:bookmarkStart w:id="7" w:name="_Toc151782177"/>
      <w:bookmarkStart w:id="8" w:name="_Toc158526217"/>
      <w:bookmarkStart w:id="9" w:name="_Toc410053824"/>
      <w:r w:rsidRPr="00D97A7B">
        <w:rPr>
          <w:sz w:val="24"/>
          <w:szCs w:val="24"/>
        </w:rPr>
        <w:t>2. Purpose and Use of Informatio</w:t>
      </w:r>
      <w:bookmarkEnd w:id="7"/>
      <w:bookmarkEnd w:id="8"/>
      <w:r w:rsidR="00EF102C" w:rsidRPr="00D97A7B">
        <w:rPr>
          <w:sz w:val="24"/>
          <w:szCs w:val="24"/>
        </w:rPr>
        <w:t>n</w:t>
      </w:r>
      <w:bookmarkEnd w:id="9"/>
    </w:p>
    <w:p w14:paraId="0309BA14" w14:textId="2C4166FF" w:rsidR="00617272" w:rsidRDefault="00617272" w:rsidP="00857DCC">
      <w:r>
        <w:t xml:space="preserve">The </w:t>
      </w:r>
      <w:r w:rsidR="00112FAF">
        <w:t xml:space="preserve">evaluation </w:t>
      </w:r>
      <w:r>
        <w:t>will use a range of complementary data sources to determine the extent to which the Guide was a useful and effective tool in communities</w:t>
      </w:r>
      <w:r w:rsidR="005C5E6A">
        <w:t>’</w:t>
      </w:r>
      <w:r>
        <w:t xml:space="preserve"> development of 1) a coalition with broad membership, and 2) a long-range plan with action steps to create an optimal environment for healthy development among adolescents. </w:t>
      </w:r>
      <w:r w:rsidR="008549D0">
        <w:t xml:space="preserve">The </w:t>
      </w:r>
      <w:r w:rsidR="00112FAF">
        <w:t xml:space="preserve">evaluation </w:t>
      </w:r>
      <w:r w:rsidR="008549D0">
        <w:t xml:space="preserve">will </w:t>
      </w:r>
      <w:r w:rsidR="003E0904">
        <w:t>gather</w:t>
      </w:r>
      <w:r w:rsidR="008549D0">
        <w:t xml:space="preserve"> </w:t>
      </w:r>
      <w:r w:rsidR="003E0904">
        <w:t xml:space="preserve">input from community leaders, coalition members and secondary stakeholders (adolescent health experts and state/local health department officials) to provide OASH with a comprehensive picture of communities’ experiences using the Guide. </w:t>
      </w:r>
    </w:p>
    <w:p w14:paraId="37D8A147" w14:textId="77777777" w:rsidR="00C77CA6" w:rsidRDefault="00C77CA6" w:rsidP="00857DCC"/>
    <w:p w14:paraId="0CB00593" w14:textId="6419169B" w:rsidR="00C77CA6" w:rsidRDefault="00C77CA6" w:rsidP="00857DCC">
      <w:r>
        <w:t xml:space="preserve">Specifically, the </w:t>
      </w:r>
      <w:r w:rsidR="00112FAF">
        <w:t xml:space="preserve">evaluation </w:t>
      </w:r>
      <w:r>
        <w:t>will help OASH answer the following 9 evaluation questions:</w:t>
      </w:r>
    </w:p>
    <w:p w14:paraId="4510541B" w14:textId="77777777" w:rsidR="00C77CA6" w:rsidRDefault="00C77CA6" w:rsidP="00857DCC"/>
    <w:p w14:paraId="5F601035" w14:textId="77777777" w:rsidR="00C77CA6" w:rsidRDefault="00C77CA6" w:rsidP="00C77CA6">
      <w:pPr>
        <w:pStyle w:val="ListParagraph"/>
        <w:numPr>
          <w:ilvl w:val="0"/>
          <w:numId w:val="11"/>
        </w:numPr>
      </w:pPr>
      <w:r>
        <w:t xml:space="preserve">Which sites/communities are appropriate to pilot the Guide? </w:t>
      </w:r>
    </w:p>
    <w:p w14:paraId="035AB77F" w14:textId="77777777" w:rsidR="00C77CA6" w:rsidRDefault="00C77CA6" w:rsidP="00C77CA6">
      <w:pPr>
        <w:pStyle w:val="ListParagraph"/>
        <w:numPr>
          <w:ilvl w:val="0"/>
          <w:numId w:val="11"/>
        </w:numPr>
      </w:pPr>
      <w:r>
        <w:t>How useful is the Guide to key leaders in establishing a broad and inclusive coalition?</w:t>
      </w:r>
    </w:p>
    <w:p w14:paraId="4A3E2860" w14:textId="77777777" w:rsidR="00C77CA6" w:rsidRDefault="00C77CA6" w:rsidP="00C77CA6">
      <w:pPr>
        <w:pStyle w:val="ListParagraph"/>
        <w:numPr>
          <w:ilvl w:val="0"/>
          <w:numId w:val="11"/>
        </w:numPr>
      </w:pPr>
      <w:r>
        <w:t>How effective is the Guide in helping coalition members develop a comprehensive long-term plan?</w:t>
      </w:r>
    </w:p>
    <w:p w14:paraId="4D9FCF47" w14:textId="77777777" w:rsidR="00C77CA6" w:rsidRDefault="00C77CA6" w:rsidP="00C77CA6">
      <w:pPr>
        <w:pStyle w:val="ListParagraph"/>
        <w:numPr>
          <w:ilvl w:val="0"/>
          <w:numId w:val="11"/>
        </w:numPr>
      </w:pPr>
      <w:r>
        <w:t>How comprehensive is the Guide?</w:t>
      </w:r>
    </w:p>
    <w:p w14:paraId="06DFBFEC" w14:textId="77777777" w:rsidR="00C77CA6" w:rsidRDefault="00C77CA6" w:rsidP="00C77CA6">
      <w:pPr>
        <w:pStyle w:val="ListParagraph"/>
        <w:numPr>
          <w:ilvl w:val="0"/>
          <w:numId w:val="11"/>
        </w:numPr>
      </w:pPr>
      <w:r>
        <w:t>How easy is the Guide to follow?</w:t>
      </w:r>
    </w:p>
    <w:p w14:paraId="50D26E24" w14:textId="77777777" w:rsidR="00C77CA6" w:rsidRDefault="00C77CA6" w:rsidP="00C77CA6">
      <w:pPr>
        <w:pStyle w:val="ListParagraph"/>
        <w:numPr>
          <w:ilvl w:val="0"/>
          <w:numId w:val="11"/>
        </w:numPr>
      </w:pPr>
      <w:r>
        <w:t>How can the Guide be improved?</w:t>
      </w:r>
    </w:p>
    <w:p w14:paraId="33D837C4" w14:textId="77777777" w:rsidR="00C77CA6" w:rsidRDefault="00C77CA6" w:rsidP="00C77CA6">
      <w:pPr>
        <w:pStyle w:val="ListParagraph"/>
        <w:numPr>
          <w:ilvl w:val="0"/>
          <w:numId w:val="11"/>
        </w:numPr>
      </w:pPr>
      <w:r>
        <w:t>To what extent did communities develop a quality plan using the Guide?</w:t>
      </w:r>
    </w:p>
    <w:p w14:paraId="08E02822" w14:textId="77777777" w:rsidR="00C77CA6" w:rsidRDefault="00C77CA6" w:rsidP="00C77CA6">
      <w:pPr>
        <w:pStyle w:val="ListParagraph"/>
        <w:numPr>
          <w:ilvl w:val="0"/>
          <w:numId w:val="11"/>
        </w:numPr>
      </w:pPr>
      <w:r>
        <w:t>How effective is the Guide in identifying a process and issues to inform development of comprehensive community plans?</w:t>
      </w:r>
    </w:p>
    <w:p w14:paraId="1A70503C" w14:textId="77777777" w:rsidR="00C77CA6" w:rsidRPr="00616360" w:rsidRDefault="00C77CA6" w:rsidP="00C77CA6">
      <w:pPr>
        <w:pStyle w:val="ListParagraph"/>
        <w:numPr>
          <w:ilvl w:val="0"/>
          <w:numId w:val="11"/>
        </w:numPr>
      </w:pPr>
      <w:r>
        <w:t>To what extent have communities taken concrete actions based on the plans they developed?</w:t>
      </w:r>
    </w:p>
    <w:p w14:paraId="66D1EED4" w14:textId="77777777" w:rsidR="00C77CA6" w:rsidRDefault="00C77CA6" w:rsidP="00857DCC"/>
    <w:p w14:paraId="27344FC2" w14:textId="77777777" w:rsidR="00E27E57" w:rsidRDefault="00E27E57" w:rsidP="00E27E57"/>
    <w:p w14:paraId="1CE48BB0" w14:textId="66BB3EB1" w:rsidR="00E27E57" w:rsidRPr="00D77B11" w:rsidRDefault="00E27E57" w:rsidP="00E27E57">
      <w:pPr>
        <w:rPr>
          <w:strike/>
          <w:vertAlign w:val="superscript"/>
        </w:rPr>
      </w:pPr>
      <w:r w:rsidRPr="004F17F1">
        <w:t xml:space="preserve">This </w:t>
      </w:r>
      <w:r w:rsidR="00112FAF">
        <w:t>e</w:t>
      </w:r>
      <w:r w:rsidR="00112FAF" w:rsidRPr="004F17F1">
        <w:t xml:space="preserve">valuation </w:t>
      </w:r>
      <w:r w:rsidRPr="004F17F1">
        <w:t>is being conducted by OASH through its contractor, ICF International, pursuant to OASH’s statutory authority (Section 1707 of the Public Health Service Act, 42 U.S.C. § 300u-6).</w:t>
      </w:r>
      <w:r>
        <w:rPr>
          <w:strike/>
          <w:vertAlign w:val="superscript"/>
        </w:rPr>
        <w:t xml:space="preserve"> </w:t>
      </w:r>
      <w:r>
        <w:t xml:space="preserve">Data from the Evaluation will provide OASH with both qualitative and quantitative information from each of the communities that have piloted OASH’s </w:t>
      </w:r>
      <w:r>
        <w:rPr>
          <w:i/>
        </w:rPr>
        <w:t>Second Decade Project</w:t>
      </w:r>
      <w:r>
        <w:t xml:space="preserve"> Community Planning Guide. This information will enable OASH to understand how community leaders use the Guide to identify high-priority, high-health-impact action steps that will promote healthy development among adolescents. Information from the </w:t>
      </w:r>
      <w:r w:rsidR="00112FAF">
        <w:t xml:space="preserve">evaluation </w:t>
      </w:r>
      <w:r>
        <w:t xml:space="preserve">will also help OASH revise and improve the Guide as needed to ensure that it is useful and effective for communities, thus achieving OASH’s goal of providing direction for communities working to improve adolescent health. </w:t>
      </w:r>
    </w:p>
    <w:p w14:paraId="06CFB0FD" w14:textId="77777777" w:rsidR="005843ED" w:rsidRDefault="005843ED" w:rsidP="00857DCC"/>
    <w:p w14:paraId="68C5896A" w14:textId="77777777" w:rsidR="005843ED" w:rsidRDefault="005843ED" w:rsidP="00857DCC">
      <w:r>
        <w:t>To achieve the goal of this project the following</w:t>
      </w:r>
      <w:r w:rsidR="00E30E94">
        <w:t xml:space="preserve"> two qualitative and two quantitative</w:t>
      </w:r>
      <w:r>
        <w:t xml:space="preserve"> data collection</w:t>
      </w:r>
      <w:r w:rsidR="00D54667">
        <w:t xml:space="preserve"> activities will be implemented. All instruments will be administered following receipt of OMB approval. </w:t>
      </w:r>
    </w:p>
    <w:p w14:paraId="6513C390" w14:textId="77777777" w:rsidR="009545CC" w:rsidRDefault="009545CC" w:rsidP="00857DCC"/>
    <w:p w14:paraId="42424F58" w14:textId="79DBB8BE" w:rsidR="009545CC" w:rsidRDefault="009545CC" w:rsidP="00857DCC">
      <w:r>
        <w:lastRenderedPageBreak/>
        <w:t xml:space="preserve">The qualitative activities include the </w:t>
      </w:r>
      <w:r w:rsidRPr="005843ED">
        <w:t>Community Leader Interviews (CLI)</w:t>
      </w:r>
      <w:r>
        <w:t xml:space="preserve"> and </w:t>
      </w:r>
      <w:r w:rsidRPr="005843ED">
        <w:t>Coalition Member Focus Groups</w:t>
      </w:r>
      <w:r>
        <w:t xml:space="preserve"> (CFG</w:t>
      </w:r>
      <w:r w:rsidRPr="005843ED">
        <w:t>)</w:t>
      </w:r>
      <w:r>
        <w:t xml:space="preserve">: </w:t>
      </w:r>
    </w:p>
    <w:p w14:paraId="7D35877D" w14:textId="77777777" w:rsidR="005843ED" w:rsidRDefault="005843ED" w:rsidP="00857DCC"/>
    <w:p w14:paraId="099BBA67" w14:textId="007719C1" w:rsidR="005843ED" w:rsidRPr="005843ED" w:rsidRDefault="005843ED" w:rsidP="008F2F52">
      <w:pPr>
        <w:pStyle w:val="SDBodyText"/>
        <w:numPr>
          <w:ilvl w:val="0"/>
          <w:numId w:val="15"/>
        </w:numPr>
        <w:rPr>
          <w:rFonts w:ascii="Times New Roman" w:hAnsi="Times New Roman"/>
        </w:rPr>
      </w:pPr>
      <w:r w:rsidRPr="005843ED">
        <w:rPr>
          <w:rFonts w:ascii="Times New Roman" w:hAnsi="Times New Roman"/>
        </w:rPr>
        <w:t>Community Leader Interviews (CLI)</w:t>
      </w:r>
      <w:r>
        <w:rPr>
          <w:rFonts w:ascii="Times New Roman" w:hAnsi="Times New Roman"/>
        </w:rPr>
        <w:t>—C</w:t>
      </w:r>
      <w:r w:rsidRPr="005843ED">
        <w:rPr>
          <w:rFonts w:ascii="Times New Roman" w:hAnsi="Times New Roman"/>
          <w:noProof/>
        </w:rPr>
        <w:t>ommunity Leader</w:t>
      </w:r>
      <w:r w:rsidRPr="005843ED">
        <w:rPr>
          <w:rFonts w:ascii="Times New Roman" w:hAnsi="Times New Roman"/>
        </w:rPr>
        <w:t xml:space="preserve"> Interviews (CLI) will be conducted with </w:t>
      </w:r>
      <w:r>
        <w:rPr>
          <w:rFonts w:ascii="Times New Roman" w:hAnsi="Times New Roman"/>
        </w:rPr>
        <w:t>up to 10 identified leaders in each of the</w:t>
      </w:r>
      <w:r w:rsidRPr="005843ED">
        <w:rPr>
          <w:rFonts w:ascii="Times New Roman" w:hAnsi="Times New Roman"/>
        </w:rPr>
        <w:t xml:space="preserve"> </w:t>
      </w:r>
      <w:r>
        <w:rPr>
          <w:rFonts w:ascii="Times New Roman" w:hAnsi="Times New Roman"/>
        </w:rPr>
        <w:t>pilot communities</w:t>
      </w:r>
      <w:r w:rsidRPr="005843ED">
        <w:rPr>
          <w:rFonts w:ascii="Times New Roman" w:hAnsi="Times New Roman"/>
        </w:rPr>
        <w:t xml:space="preserve"> to examine how they have defined a shared vision, and operationalized the integration of health and social services, coordinated governance, youth involvement, and community culture of health and safety. The CLI will explore how key leaders support development of a diverse coalition, raise awareness, and educate the community about the issues facing adolescents. Additionally, understanding how leaders assess community needs and readiness for change, and how they propose to coordinate and integrate existing programs, services, and supports for adolescents will be examined. The CLI will provide information on how the use of the Guide facilitated discussions and activities related to these components and on the steps taken to convene appropriate stakeholders to realize the vision</w:t>
      </w:r>
      <w:r w:rsidR="00E04DE4">
        <w:rPr>
          <w:rFonts w:ascii="Times New Roman" w:hAnsi="Times New Roman"/>
        </w:rPr>
        <w:t xml:space="preserve"> (see Attachment B)</w:t>
      </w:r>
      <w:r w:rsidRPr="005843ED">
        <w:rPr>
          <w:rFonts w:ascii="Times New Roman" w:hAnsi="Times New Roman"/>
        </w:rPr>
        <w:t xml:space="preserve">. </w:t>
      </w:r>
    </w:p>
    <w:p w14:paraId="6C12FAF7" w14:textId="0A11FBF4" w:rsidR="005843ED" w:rsidRDefault="005843ED" w:rsidP="008F2F52">
      <w:pPr>
        <w:pStyle w:val="SDBodyText"/>
        <w:numPr>
          <w:ilvl w:val="0"/>
          <w:numId w:val="15"/>
        </w:numPr>
        <w:rPr>
          <w:rFonts w:ascii="Times New Roman" w:hAnsi="Times New Roman"/>
        </w:rPr>
      </w:pPr>
      <w:r w:rsidRPr="005843ED">
        <w:rPr>
          <w:rFonts w:ascii="Times New Roman" w:hAnsi="Times New Roman"/>
        </w:rPr>
        <w:t>Coalition Member Focus Groups</w:t>
      </w:r>
      <w:r w:rsidR="00B23C0E">
        <w:rPr>
          <w:rFonts w:ascii="Times New Roman" w:hAnsi="Times New Roman"/>
        </w:rPr>
        <w:t xml:space="preserve"> (CFG</w:t>
      </w:r>
      <w:r w:rsidRPr="005843ED">
        <w:rPr>
          <w:rFonts w:ascii="Times New Roman" w:hAnsi="Times New Roman"/>
        </w:rPr>
        <w:t>)</w:t>
      </w:r>
      <w:r>
        <w:rPr>
          <w:rFonts w:ascii="Times New Roman" w:hAnsi="Times New Roman"/>
        </w:rPr>
        <w:t>—C</w:t>
      </w:r>
      <w:r w:rsidRPr="005843ED">
        <w:rPr>
          <w:rFonts w:ascii="Times New Roman" w:hAnsi="Times New Roman"/>
        </w:rPr>
        <w:t>oalition Member Focus Groups (CFG) will be conducted virtually</w:t>
      </w:r>
      <w:r w:rsidR="009545CC">
        <w:rPr>
          <w:rFonts w:ascii="Times New Roman" w:hAnsi="Times New Roman"/>
        </w:rPr>
        <w:t xml:space="preserve"> via</w:t>
      </w:r>
      <w:r w:rsidR="00987C90">
        <w:rPr>
          <w:rFonts w:ascii="Times New Roman" w:hAnsi="Times New Roman"/>
        </w:rPr>
        <w:t xml:space="preserve"> </w:t>
      </w:r>
      <w:r w:rsidR="00F26360">
        <w:rPr>
          <w:rFonts w:ascii="Times New Roman" w:hAnsi="Times New Roman"/>
        </w:rPr>
        <w:t>web-conferencing software (Adobe Connect)</w:t>
      </w:r>
      <w:r w:rsidRPr="005843ED">
        <w:rPr>
          <w:rFonts w:ascii="Times New Roman" w:hAnsi="Times New Roman"/>
        </w:rPr>
        <w:t xml:space="preserve"> with </w:t>
      </w:r>
      <w:r w:rsidR="009545CC">
        <w:rPr>
          <w:rFonts w:ascii="Times New Roman" w:hAnsi="Times New Roman"/>
        </w:rPr>
        <w:t xml:space="preserve">coalition members from </w:t>
      </w:r>
      <w:r w:rsidRPr="005843ED">
        <w:rPr>
          <w:rFonts w:ascii="Times New Roman" w:hAnsi="Times New Roman"/>
        </w:rPr>
        <w:t>each of the five pilot sites (with approximately eight people per group</w:t>
      </w:r>
      <w:r w:rsidR="009545CC">
        <w:rPr>
          <w:rFonts w:ascii="Times New Roman" w:hAnsi="Times New Roman"/>
        </w:rPr>
        <w:t xml:space="preserve">). Groups will </w:t>
      </w:r>
      <w:r w:rsidRPr="005843ED">
        <w:rPr>
          <w:rFonts w:ascii="Times New Roman" w:hAnsi="Times New Roman"/>
        </w:rPr>
        <w:t xml:space="preserve">include: the broader members of the coalition and other stakeholders (e.g., public health officials, school officials, social service agencies, the faith community, the private sector, parents). Additional groups may be conducted (up to two), depending on the size of the </w:t>
      </w:r>
      <w:r w:rsidR="009545CC">
        <w:rPr>
          <w:rFonts w:ascii="Times New Roman" w:hAnsi="Times New Roman"/>
        </w:rPr>
        <w:t xml:space="preserve">site’s </w:t>
      </w:r>
      <w:r w:rsidRPr="005843ED">
        <w:rPr>
          <w:rFonts w:ascii="Times New Roman" w:hAnsi="Times New Roman"/>
        </w:rPr>
        <w:t>coalition and number of stakeholders, to capture as many perspectives as possible. The CFG will assess how the Guide facilitated the work of the coalition to develop a comprehensive plan, using multi-impact measures and identifying high-impact, issue-specific areas that are critically important to address in the site. Groups will assess the ease of following the Guide (e.g., step-by-step approach) to help shape community change</w:t>
      </w:r>
      <w:r w:rsidR="00E04DE4">
        <w:rPr>
          <w:rFonts w:ascii="Times New Roman" w:hAnsi="Times New Roman"/>
        </w:rPr>
        <w:t xml:space="preserve"> (see Attachment D)</w:t>
      </w:r>
      <w:r w:rsidRPr="005843ED">
        <w:rPr>
          <w:rFonts w:ascii="Times New Roman" w:hAnsi="Times New Roman"/>
        </w:rPr>
        <w:t xml:space="preserve">. </w:t>
      </w:r>
    </w:p>
    <w:p w14:paraId="49C63A71" w14:textId="77777777" w:rsidR="009545CC" w:rsidRDefault="009545CC" w:rsidP="009545CC">
      <w:pPr>
        <w:pStyle w:val="ListParagraph"/>
      </w:pPr>
    </w:p>
    <w:p w14:paraId="5CEA36F2" w14:textId="68B631C2" w:rsidR="009545CC" w:rsidRDefault="009545CC" w:rsidP="009545CC">
      <w:r>
        <w:t xml:space="preserve">The quantitative activities include the </w:t>
      </w:r>
      <w:r w:rsidRPr="00E30E94">
        <w:t>Coalition Assessment Surveys (CAS)</w:t>
      </w:r>
      <w:r>
        <w:t xml:space="preserve"> and Secondary Stakeholder Surveys (SSS): </w:t>
      </w:r>
    </w:p>
    <w:p w14:paraId="7D4B3892" w14:textId="77777777" w:rsidR="009545CC" w:rsidRDefault="009545CC" w:rsidP="009545CC">
      <w:pPr>
        <w:pStyle w:val="SDBodyText"/>
        <w:rPr>
          <w:rFonts w:ascii="Times New Roman" w:hAnsi="Times New Roman"/>
        </w:rPr>
      </w:pPr>
    </w:p>
    <w:p w14:paraId="2F32B39E" w14:textId="10E48986" w:rsidR="00E30E94" w:rsidRPr="00E30E94" w:rsidRDefault="005843ED" w:rsidP="008F2F52">
      <w:pPr>
        <w:pStyle w:val="SDBodyText"/>
        <w:numPr>
          <w:ilvl w:val="0"/>
          <w:numId w:val="15"/>
        </w:numPr>
        <w:rPr>
          <w:rFonts w:ascii="Times New Roman" w:hAnsi="Times New Roman"/>
        </w:rPr>
      </w:pPr>
      <w:r w:rsidRPr="00E30E94">
        <w:rPr>
          <w:rFonts w:ascii="Times New Roman" w:hAnsi="Times New Roman"/>
        </w:rPr>
        <w:t>Coalition Assessment Surveys (CAS)</w:t>
      </w:r>
      <w:r w:rsidR="00E30E94">
        <w:rPr>
          <w:rFonts w:ascii="Times New Roman" w:hAnsi="Times New Roman"/>
        </w:rPr>
        <w:t>—A</w:t>
      </w:r>
      <w:r w:rsidR="00E30E94" w:rsidRPr="00E30E94">
        <w:rPr>
          <w:rFonts w:ascii="Times New Roman" w:hAnsi="Times New Roman"/>
        </w:rPr>
        <w:t xml:space="preserve"> web-based coalition assessment survey (CAS) will be administered through Survey Monkey with personalized links for each </w:t>
      </w:r>
      <w:r w:rsidR="009545CC">
        <w:rPr>
          <w:rFonts w:ascii="Times New Roman" w:hAnsi="Times New Roman"/>
        </w:rPr>
        <w:t xml:space="preserve">site’s </w:t>
      </w:r>
      <w:r w:rsidR="00E30E94" w:rsidRPr="00E30E94">
        <w:rPr>
          <w:rFonts w:ascii="Times New Roman" w:hAnsi="Times New Roman"/>
        </w:rPr>
        <w:t>coalition. All coalition members and primary stakeholders are eligible to participate in the survey</w:t>
      </w:r>
      <w:r w:rsidR="00F26360">
        <w:rPr>
          <w:rFonts w:ascii="Times New Roman" w:hAnsi="Times New Roman"/>
        </w:rPr>
        <w:t>; the number recruited will depend on the size of the site’s coalitions and partnerships but we assume up to 50 respondents per site</w:t>
      </w:r>
      <w:r w:rsidR="00E30E94" w:rsidRPr="00E30E94">
        <w:rPr>
          <w:rFonts w:ascii="Times New Roman" w:hAnsi="Times New Roman"/>
        </w:rPr>
        <w:t>. The CAS will assess coalition members’ perspectives on the c</w:t>
      </w:r>
      <w:r w:rsidR="00E04DE4">
        <w:rPr>
          <w:rFonts w:ascii="Times New Roman" w:hAnsi="Times New Roman"/>
        </w:rPr>
        <w:t xml:space="preserve">oalition membership (diversity, </w:t>
      </w:r>
      <w:r w:rsidR="00E30E94" w:rsidRPr="00E30E94">
        <w:rPr>
          <w:rFonts w:ascii="Times New Roman" w:hAnsi="Times New Roman"/>
        </w:rPr>
        <w:t xml:space="preserve">composition, </w:t>
      </w:r>
      <w:r w:rsidR="005C5268" w:rsidRPr="00E30E94">
        <w:rPr>
          <w:rFonts w:ascii="Times New Roman" w:hAnsi="Times New Roman"/>
        </w:rPr>
        <w:t>and inclusiveness</w:t>
      </w:r>
      <w:r w:rsidR="00E30E94" w:rsidRPr="00E30E94">
        <w:rPr>
          <w:rFonts w:ascii="Times New Roman" w:hAnsi="Times New Roman"/>
        </w:rPr>
        <w:t xml:space="preserve">), member profile (membership length, engagement), </w:t>
      </w:r>
      <w:r w:rsidR="009545CC">
        <w:rPr>
          <w:rFonts w:ascii="Times New Roman" w:hAnsi="Times New Roman"/>
        </w:rPr>
        <w:t xml:space="preserve">usefulness and ease of implementing the Guide, </w:t>
      </w:r>
      <w:r w:rsidR="00E30E94" w:rsidRPr="00E30E94">
        <w:rPr>
          <w:rFonts w:ascii="Times New Roman" w:hAnsi="Times New Roman"/>
        </w:rPr>
        <w:t xml:space="preserve">and the activities related to planning the adolescent health comprehensive plan based on the Guide. Coalition success factors will also be examined (recruitment, objectives, shared understanding, resource identification, and committee establishment).  Survey questions will be identified from validated coalition assessment instruments and piloted surveys from previous evaluations. </w:t>
      </w:r>
      <w:r w:rsidR="00B23C0E">
        <w:rPr>
          <w:rFonts w:ascii="Times New Roman" w:hAnsi="Times New Roman"/>
        </w:rPr>
        <w:t>CAS administration</w:t>
      </w:r>
      <w:r w:rsidR="00E30E94" w:rsidRPr="00E30E94">
        <w:rPr>
          <w:rFonts w:ascii="Times New Roman" w:hAnsi="Times New Roman"/>
        </w:rPr>
        <w:t xml:space="preserve"> will </w:t>
      </w:r>
      <w:r w:rsidR="00B23C0E">
        <w:rPr>
          <w:rFonts w:ascii="Times New Roman" w:hAnsi="Times New Roman"/>
        </w:rPr>
        <w:t>take place several</w:t>
      </w:r>
      <w:r w:rsidR="00E30E94" w:rsidRPr="00E30E94">
        <w:rPr>
          <w:rFonts w:ascii="Times New Roman" w:hAnsi="Times New Roman"/>
        </w:rPr>
        <w:t xml:space="preserve"> weeks after the CFG, so that coalition members who participate in both activities will not feel burdened by the data collection activities</w:t>
      </w:r>
      <w:r w:rsidR="00E04DE4">
        <w:rPr>
          <w:rFonts w:ascii="Times New Roman" w:hAnsi="Times New Roman"/>
        </w:rPr>
        <w:t xml:space="preserve"> (see Attachment F)</w:t>
      </w:r>
      <w:r w:rsidR="00E30E94" w:rsidRPr="00E30E94">
        <w:rPr>
          <w:rFonts w:ascii="Times New Roman" w:hAnsi="Times New Roman"/>
        </w:rPr>
        <w:t xml:space="preserve">. </w:t>
      </w:r>
    </w:p>
    <w:p w14:paraId="47217ECD" w14:textId="77777777" w:rsidR="005843ED" w:rsidRDefault="005843ED" w:rsidP="00857DCC"/>
    <w:p w14:paraId="6B0A6679" w14:textId="79F952C5" w:rsidR="00B23C0E" w:rsidRDefault="005843ED" w:rsidP="008F2F52">
      <w:pPr>
        <w:pStyle w:val="ListParagraph"/>
        <w:numPr>
          <w:ilvl w:val="0"/>
          <w:numId w:val="15"/>
        </w:numPr>
      </w:pPr>
      <w:r>
        <w:t>Secondary Stakeholder Surveys (SSS)</w:t>
      </w:r>
      <w:r w:rsidR="00B23C0E">
        <w:t xml:space="preserve">—Secondary stakeholders, specifically adolescent health experts and state/local health department officials, have a stake and interest in adolescent health, but may not necessarily be engaged with a community coalition. The secondary stakeholder survey (SSS) will engage </w:t>
      </w:r>
      <w:r w:rsidR="00D648FF">
        <w:t xml:space="preserve">adolescent health </w:t>
      </w:r>
      <w:r w:rsidR="00B23C0E">
        <w:t>researchers and practitioners through a web-based survey to garner additional feedback and assessment of the Guide. The selected panel will provide an expert review of the Guide on the following indicators:</w:t>
      </w:r>
    </w:p>
    <w:p w14:paraId="090A0E4C" w14:textId="13153AA4" w:rsidR="00B23C0E" w:rsidRDefault="00B23C0E" w:rsidP="00B23C0E">
      <w:pPr>
        <w:pStyle w:val="ListParagraph"/>
        <w:numPr>
          <w:ilvl w:val="0"/>
          <w:numId w:val="14"/>
        </w:numPr>
      </w:pPr>
      <w:r>
        <w:t xml:space="preserve">Utility /Capacity Building – </w:t>
      </w:r>
      <w:r w:rsidR="009545CC">
        <w:t>The extent to which t</w:t>
      </w:r>
      <w:r>
        <w:t xml:space="preserve">he </w:t>
      </w:r>
      <w:r w:rsidR="009545CC">
        <w:t>G</w:t>
      </w:r>
      <w:r>
        <w:t>uide provides the user with tools and practical steps for developing a community action plan</w:t>
      </w:r>
    </w:p>
    <w:p w14:paraId="61D32118" w14:textId="6E711DEF" w:rsidR="00B23C0E" w:rsidRDefault="00B23C0E" w:rsidP="00B23C0E">
      <w:pPr>
        <w:pStyle w:val="ListParagraph"/>
        <w:numPr>
          <w:ilvl w:val="0"/>
          <w:numId w:val="14"/>
        </w:numPr>
      </w:pPr>
      <w:r>
        <w:t xml:space="preserve">Guidance Quality – Comprehensiveness of the guidance and adequacy of the direction given to the communities; </w:t>
      </w:r>
      <w:r w:rsidR="009545CC">
        <w:t>whether</w:t>
      </w:r>
      <w:r>
        <w:t xml:space="preserve"> the steps to guide the coalition in developing a plan tailored to meet the needs and priorities of their community</w:t>
      </w:r>
      <w:r w:rsidR="009545CC">
        <w:t xml:space="preserve"> were appropriate</w:t>
      </w:r>
    </w:p>
    <w:p w14:paraId="7BA98B5A" w14:textId="0496572F" w:rsidR="00B23C0E" w:rsidRDefault="00B23C0E" w:rsidP="00B23C0E">
      <w:pPr>
        <w:pStyle w:val="ListParagraph"/>
        <w:numPr>
          <w:ilvl w:val="0"/>
          <w:numId w:val="14"/>
        </w:numPr>
      </w:pPr>
      <w:r>
        <w:t xml:space="preserve">Flexibility – The </w:t>
      </w:r>
      <w:r w:rsidR="009545CC">
        <w:t>extent to which the G</w:t>
      </w:r>
      <w:r>
        <w:t>uide allows community-specific priorities</w:t>
      </w:r>
    </w:p>
    <w:p w14:paraId="325402A4" w14:textId="77777777" w:rsidR="00B23C0E" w:rsidRDefault="00B23C0E" w:rsidP="00B23C0E"/>
    <w:p w14:paraId="5BF62CA9" w14:textId="50282D2A" w:rsidR="00D54667" w:rsidRDefault="00B23C0E" w:rsidP="00150044">
      <w:pPr>
        <w:ind w:left="720"/>
      </w:pPr>
      <w:r>
        <w:t xml:space="preserve">Secondary stakeholders will complete the web-based SSS administered </w:t>
      </w:r>
      <w:r w:rsidR="00150044">
        <w:t xml:space="preserve">online via </w:t>
      </w:r>
      <w:r>
        <w:t>Survey Monkey. Follow-up calls will be completed</w:t>
      </w:r>
      <w:r w:rsidR="00E04DE4">
        <w:t xml:space="preserve"> with Adolescent Health Experts</w:t>
      </w:r>
      <w:r w:rsidR="00150044">
        <w:t xml:space="preserve"> </w:t>
      </w:r>
      <w:r>
        <w:t>to obtain additional details and clarification on their feedback as needed</w:t>
      </w:r>
      <w:r w:rsidR="00E04DE4">
        <w:t xml:space="preserve"> (see Attachment G)</w:t>
      </w:r>
      <w:r>
        <w:t xml:space="preserve">. </w:t>
      </w:r>
    </w:p>
    <w:p w14:paraId="6C49733B" w14:textId="77777777" w:rsidR="00857DCC" w:rsidRDefault="00857DCC" w:rsidP="00B8168C">
      <w:pPr>
        <w:tabs>
          <w:tab w:val="left" w:pos="360"/>
        </w:tabs>
      </w:pPr>
    </w:p>
    <w:p w14:paraId="58D686E2" w14:textId="77777777" w:rsidR="009B633D" w:rsidRPr="00983636" w:rsidRDefault="009B633D" w:rsidP="009B633D">
      <w:pPr>
        <w:pStyle w:val="Heading2"/>
        <w:rPr>
          <w:sz w:val="24"/>
        </w:rPr>
      </w:pPr>
      <w:bookmarkStart w:id="10" w:name="_Toc151782178"/>
      <w:bookmarkStart w:id="11" w:name="_Toc158526218"/>
      <w:bookmarkStart w:id="12" w:name="_Toc410053825"/>
      <w:r w:rsidRPr="00983636">
        <w:rPr>
          <w:sz w:val="24"/>
        </w:rPr>
        <w:t>3. Use of Improved Information Technology</w:t>
      </w:r>
      <w:bookmarkEnd w:id="10"/>
      <w:bookmarkEnd w:id="11"/>
      <w:bookmarkEnd w:id="12"/>
    </w:p>
    <w:p w14:paraId="39016E09" w14:textId="4DF9667D" w:rsidR="0018019C" w:rsidRDefault="005D7ECB" w:rsidP="00E27E57">
      <w:r>
        <w:t xml:space="preserve">A mixed-methods data collection approach consisting of semi-structured telephone interviews, virtual focus groups, and online surveys will be conducted. </w:t>
      </w:r>
      <w:r w:rsidR="008C211D">
        <w:t xml:space="preserve">Every effort will be made to limit burden on individual respondents who participate in the </w:t>
      </w:r>
      <w:r w:rsidR="00D648FF">
        <w:t xml:space="preserve">evaluation </w:t>
      </w:r>
      <w:r w:rsidR="008C211D">
        <w:t>through the use of technology. Semi-structured</w:t>
      </w:r>
      <w:r w:rsidR="003E0904">
        <w:t xml:space="preserve"> telephone interview</w:t>
      </w:r>
      <w:r w:rsidR="008C211D">
        <w:t>s</w:t>
      </w:r>
      <w:r w:rsidR="003E0904">
        <w:t xml:space="preserve"> with community leaders</w:t>
      </w:r>
      <w:r w:rsidR="00133AA9">
        <w:t xml:space="preserve"> </w:t>
      </w:r>
      <w:r w:rsidR="0018160C">
        <w:t>will be conducted</w:t>
      </w:r>
      <w:r w:rsidR="005A0034">
        <w:t xml:space="preserve"> at convenient times</w:t>
      </w:r>
      <w:r w:rsidR="00300303">
        <w:t>.</w:t>
      </w:r>
      <w:r w:rsidR="0018160C">
        <w:t xml:space="preserve"> </w:t>
      </w:r>
      <w:r w:rsidR="005A0034">
        <w:t>F</w:t>
      </w:r>
      <w:r w:rsidR="003E0904">
        <w:t>ocus group</w:t>
      </w:r>
      <w:r w:rsidR="005A0034">
        <w:t>s supported by</w:t>
      </w:r>
      <w:r w:rsidR="003E0904">
        <w:t xml:space="preserve"> Adobe Connect </w:t>
      </w:r>
      <w:r w:rsidR="00F26360">
        <w:t xml:space="preserve">web conferencing </w:t>
      </w:r>
      <w:r w:rsidR="003E0904">
        <w:t>software will be conducted with coalition members</w:t>
      </w:r>
      <w:r w:rsidR="008C211D">
        <w:t>. Using Adobe Connect will reduce burden because participants do not have to travel to be a part of the focus group and instead can join from their own computers</w:t>
      </w:r>
      <w:r w:rsidR="00F26360">
        <w:t xml:space="preserve"> (</w:t>
      </w:r>
      <w:r w:rsidR="00150044">
        <w:t>and telephones</w:t>
      </w:r>
      <w:r w:rsidR="00F26360">
        <w:t>)</w:t>
      </w:r>
      <w:r w:rsidR="003E0904">
        <w:t xml:space="preserve">. Two Web-based surveys (the CAS and SSS) will be administered </w:t>
      </w:r>
      <w:r w:rsidR="00150044">
        <w:t xml:space="preserve">online </w:t>
      </w:r>
      <w:r w:rsidR="003E0904">
        <w:t xml:space="preserve">via Survey Monkey with coalition members and with secondary stakeholders, respectively. </w:t>
      </w:r>
      <w:r>
        <w:t xml:space="preserve">Nearly half of all total evaluation participants will be submitting their responses electronically, through Survey Monkey, thus reducing burden. </w:t>
      </w:r>
    </w:p>
    <w:p w14:paraId="06E71242" w14:textId="77777777" w:rsidR="0018019C" w:rsidRDefault="0018019C" w:rsidP="004A075B"/>
    <w:p w14:paraId="69B43049" w14:textId="77777777" w:rsidR="009B633D" w:rsidRDefault="009B633D" w:rsidP="009B633D">
      <w:pPr>
        <w:pStyle w:val="Heading2"/>
        <w:rPr>
          <w:sz w:val="24"/>
        </w:rPr>
      </w:pPr>
      <w:bookmarkStart w:id="13" w:name="_Toc151782179"/>
      <w:bookmarkStart w:id="14" w:name="_Toc158526219"/>
      <w:bookmarkStart w:id="15" w:name="_Toc410053826"/>
      <w:r w:rsidRPr="00983636">
        <w:rPr>
          <w:sz w:val="24"/>
        </w:rPr>
        <w:t>4. Efforts to Identify Duplication</w:t>
      </w:r>
      <w:bookmarkEnd w:id="13"/>
      <w:bookmarkEnd w:id="14"/>
      <w:bookmarkEnd w:id="15"/>
    </w:p>
    <w:p w14:paraId="40AD5735" w14:textId="7BBD1E9C" w:rsidR="00C6549E" w:rsidRPr="009D0C70" w:rsidRDefault="007B62C1" w:rsidP="00225765">
      <w:pPr>
        <w:spacing w:after="240"/>
        <w:rPr>
          <w:i/>
        </w:rPr>
      </w:pPr>
      <w:r>
        <w:t xml:space="preserve">This project will be the first time that </w:t>
      </w:r>
      <w:r w:rsidR="00D648FF">
        <w:t>communities</w:t>
      </w:r>
      <w:r w:rsidR="00B8168C">
        <w:t xml:space="preserve"> have </w:t>
      </w:r>
      <w:r>
        <w:t xml:space="preserve">piloted the </w:t>
      </w:r>
      <w:r w:rsidR="00901393">
        <w:t xml:space="preserve">complete version of the </w:t>
      </w:r>
      <w:r>
        <w:t xml:space="preserve">Guide; therefore, the information collected as part of the </w:t>
      </w:r>
      <w:r w:rsidR="00D648FF">
        <w:t>e</w:t>
      </w:r>
      <w:r>
        <w:t xml:space="preserve">valuation is not duplicative. OASH, in partnership with ICF, conducted internet searches and document reviews to ensure </w:t>
      </w:r>
      <w:r w:rsidR="00B8168C">
        <w:t>that information collected from coalition members and community leaders</w:t>
      </w:r>
      <w:r w:rsidR="005D7ECB">
        <w:t xml:space="preserve"> through the </w:t>
      </w:r>
      <w:r w:rsidR="00BB1E99">
        <w:t>evaluation</w:t>
      </w:r>
      <w:r w:rsidR="00B8168C">
        <w:t xml:space="preserve"> could not be gathered elsewhere. </w:t>
      </w:r>
    </w:p>
    <w:p w14:paraId="591616F1" w14:textId="77777777" w:rsidR="004F17F1" w:rsidRPr="004F17F1" w:rsidRDefault="009B633D" w:rsidP="004F17F1">
      <w:pPr>
        <w:pStyle w:val="Heading2"/>
        <w:rPr>
          <w:sz w:val="24"/>
        </w:rPr>
      </w:pPr>
      <w:bookmarkStart w:id="16" w:name="_Toc151782180"/>
      <w:bookmarkStart w:id="17" w:name="_Toc158526220"/>
      <w:bookmarkStart w:id="18" w:name="_Toc410053827"/>
      <w:r w:rsidRPr="004F17F1">
        <w:rPr>
          <w:sz w:val="24"/>
        </w:rPr>
        <w:t>5. Involvement of Small Entities</w:t>
      </w:r>
      <w:bookmarkEnd w:id="16"/>
      <w:bookmarkEnd w:id="17"/>
      <w:bookmarkEnd w:id="18"/>
    </w:p>
    <w:p w14:paraId="54F75B4D" w14:textId="3F7B0B92" w:rsidR="009B633D" w:rsidRPr="004F17F1" w:rsidRDefault="004F17F1" w:rsidP="004F17F1">
      <w:pPr>
        <w:pStyle w:val="NoSpacing"/>
        <w:rPr>
          <w:rFonts w:ascii="Arial" w:hAnsi="Arial" w:cs="Arial"/>
          <w:b/>
          <w:bCs/>
          <w:i/>
          <w:iCs/>
          <w:szCs w:val="28"/>
        </w:rPr>
      </w:pPr>
      <w:r w:rsidRPr="004F17F1">
        <w:t>No small businesses will be involved in this study</w:t>
      </w:r>
      <w:r w:rsidRPr="004F17F1">
        <w:rPr>
          <w:b/>
          <w:bCs/>
          <w:i/>
          <w:iCs/>
        </w:rPr>
        <w:t xml:space="preserve">. </w:t>
      </w:r>
    </w:p>
    <w:p w14:paraId="4EBFDD76" w14:textId="77777777" w:rsidR="007C356F" w:rsidRDefault="009B633D" w:rsidP="00745A90">
      <w:pPr>
        <w:pStyle w:val="Heading2"/>
      </w:pPr>
      <w:bookmarkStart w:id="19" w:name="_Toc151782181"/>
      <w:bookmarkStart w:id="20" w:name="_Toc158526221"/>
      <w:bookmarkStart w:id="21" w:name="_Toc410053828"/>
      <w:r w:rsidRPr="00983636">
        <w:rPr>
          <w:sz w:val="24"/>
        </w:rPr>
        <w:t>6. Consequences if Information Collected Less Frequently</w:t>
      </w:r>
      <w:bookmarkStart w:id="22" w:name="_Toc151782182"/>
      <w:bookmarkStart w:id="23" w:name="_Toc158526222"/>
      <w:bookmarkEnd w:id="19"/>
      <w:bookmarkEnd w:id="20"/>
      <w:bookmarkEnd w:id="21"/>
    </w:p>
    <w:p w14:paraId="319FDCDF" w14:textId="739D71AA" w:rsidR="004D7F9E" w:rsidRDefault="00BB7EA9" w:rsidP="00467EEF">
      <w:r>
        <w:t xml:space="preserve">This </w:t>
      </w:r>
      <w:r w:rsidR="00901393">
        <w:t xml:space="preserve">evaluation includes </w:t>
      </w:r>
      <w:r>
        <w:t>one-time data collection.</w:t>
      </w:r>
    </w:p>
    <w:p w14:paraId="5CE92B28" w14:textId="77777777" w:rsidR="009B633D" w:rsidRDefault="009B633D" w:rsidP="009B633D">
      <w:pPr>
        <w:pStyle w:val="Heading2"/>
        <w:rPr>
          <w:sz w:val="24"/>
        </w:rPr>
      </w:pPr>
      <w:bookmarkStart w:id="24" w:name="_Toc410053829"/>
      <w:r w:rsidRPr="00412C6F">
        <w:rPr>
          <w:sz w:val="24"/>
        </w:rPr>
        <w:lastRenderedPageBreak/>
        <w:t>7. Special Circumstances</w:t>
      </w:r>
      <w:bookmarkEnd w:id="22"/>
      <w:bookmarkEnd w:id="23"/>
      <w:bookmarkEnd w:id="24"/>
    </w:p>
    <w:p w14:paraId="782976B1" w14:textId="77777777" w:rsidR="004A4DF3" w:rsidRDefault="004A4DF3" w:rsidP="00467EEF">
      <w:r w:rsidRPr="004F03D2">
        <w:t>This request is consistent with the general inform</w:t>
      </w:r>
      <w:r w:rsidRPr="0030098D">
        <w:t xml:space="preserve">ation collection guidelines </w:t>
      </w:r>
      <w:r w:rsidRPr="005D7ECB">
        <w:t>of 5 CFR 1320.5(d)(2).  No special circumstances apply.</w:t>
      </w:r>
    </w:p>
    <w:p w14:paraId="69BB6A58" w14:textId="77777777" w:rsidR="004E3A1B" w:rsidRDefault="009B633D" w:rsidP="00467EEF">
      <w:pPr>
        <w:pStyle w:val="Heading2"/>
        <w:rPr>
          <w:sz w:val="24"/>
          <w:szCs w:val="24"/>
        </w:rPr>
      </w:pPr>
      <w:bookmarkStart w:id="25" w:name="_Toc151782183"/>
      <w:bookmarkStart w:id="26" w:name="_Toc158526223"/>
      <w:bookmarkStart w:id="27" w:name="_Toc410053830"/>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r w:rsidR="00EF6E0F">
        <w:rPr>
          <w:sz w:val="24"/>
          <w:szCs w:val="24"/>
        </w:rPr>
        <w:t xml:space="preserve"> </w:t>
      </w:r>
    </w:p>
    <w:p w14:paraId="55EBB086"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35D20BFA" w14:textId="20323EAC" w:rsidR="001A5955" w:rsidRPr="001A5955" w:rsidRDefault="006318B4" w:rsidP="001A5955">
      <w:r w:rsidRPr="00C45154">
        <w:t xml:space="preserve">As required by </w:t>
      </w:r>
      <w:r w:rsidRPr="00803E0F">
        <w:t>5 CFR 1320.8(d),</w:t>
      </w:r>
      <w:r w:rsidRPr="00C45154">
        <w:t xml:space="preserve"> </w:t>
      </w:r>
      <w:r w:rsidR="00114768">
        <w:t>a</w:t>
      </w:r>
      <w:r w:rsidR="003F0E4D">
        <w:t xml:space="preserve"> 60-day</w:t>
      </w:r>
      <w:r w:rsidR="00114768">
        <w:t xml:space="preserve"> </w:t>
      </w:r>
      <w:r w:rsidRPr="00C45154">
        <w:t>notice</w:t>
      </w:r>
      <w:r w:rsidR="00AD5141">
        <w:t xml:space="preserve"> </w:t>
      </w:r>
      <w:r w:rsidR="00003E3E">
        <w:t>w</w:t>
      </w:r>
      <w:r w:rsidR="00AD5141">
        <w:t>as</w:t>
      </w:r>
      <w:r w:rsidRPr="00C45154">
        <w:t xml:space="preserve"> published in the Federal Register </w:t>
      </w:r>
      <w:r w:rsidR="004D4FEE" w:rsidRPr="00FC1705">
        <w:t xml:space="preserve">on </w:t>
      </w:r>
      <w:r w:rsidR="001A5955">
        <w:t>May 2</w:t>
      </w:r>
      <w:r w:rsidR="003F0E4D" w:rsidRPr="00FC1705">
        <w:t>,</w:t>
      </w:r>
      <w:r w:rsidR="00B8168C" w:rsidRPr="00FC1705">
        <w:t xml:space="preserve"> 2016 Vol. </w:t>
      </w:r>
      <w:r w:rsidR="001A5955">
        <w:t>81</w:t>
      </w:r>
      <w:r w:rsidR="00B8168C" w:rsidRPr="00FC1705">
        <w:t xml:space="preserve">, No. </w:t>
      </w:r>
      <w:r w:rsidR="001A5955">
        <w:t>84</w:t>
      </w:r>
      <w:r w:rsidR="00B8168C" w:rsidRPr="00FC1705">
        <w:t xml:space="preserve">, pages </w:t>
      </w:r>
      <w:r w:rsidR="001A5955">
        <w:t>26237-26238</w:t>
      </w:r>
      <w:r w:rsidR="003F0E4D" w:rsidRPr="00FC1705">
        <w:t>.</w:t>
      </w:r>
      <w:r w:rsidR="004D4FEE" w:rsidRPr="00FC1705">
        <w:t xml:space="preserve"> </w:t>
      </w:r>
      <w:r w:rsidR="008C4E11" w:rsidRPr="00FC1705">
        <w:t xml:space="preserve"> </w:t>
      </w:r>
      <w:r w:rsidR="00516316">
        <w:t>No comments were received.</w:t>
      </w:r>
    </w:p>
    <w:p w14:paraId="5A03781E" w14:textId="77777777" w:rsidR="001A5955" w:rsidRDefault="001A5955" w:rsidP="006318B4"/>
    <w:p w14:paraId="1F34D3D4" w14:textId="77777777" w:rsidR="00B8168C" w:rsidRDefault="00B8168C" w:rsidP="001301B3">
      <w:pPr>
        <w:rPr>
          <w:rFonts w:ascii="Arial" w:hAnsi="Arial" w:cs="Arial"/>
          <w:b/>
          <w:i/>
        </w:rPr>
      </w:pPr>
    </w:p>
    <w:p w14:paraId="48AF3200" w14:textId="77777777" w:rsidR="009B633D" w:rsidRPr="00760299" w:rsidRDefault="004E3A1B" w:rsidP="001301B3">
      <w:pPr>
        <w:rPr>
          <w:rFonts w:ascii="Arial" w:hAnsi="Arial" w:cs="Arial"/>
          <w:b/>
          <w:i/>
        </w:rPr>
      </w:pPr>
      <w:r w:rsidRPr="00760299">
        <w:rPr>
          <w:rFonts w:ascii="Arial" w:hAnsi="Arial" w:cs="Arial"/>
          <w:b/>
          <w:i/>
        </w:rPr>
        <w:t>8.b.  Outside Consultations</w:t>
      </w:r>
    </w:p>
    <w:p w14:paraId="041DF681" w14:textId="77777777" w:rsidR="00F17CB6" w:rsidRDefault="00B8168C" w:rsidP="00E43D46">
      <w:bookmarkStart w:id="28" w:name="_Toc457285506"/>
      <w:bookmarkStart w:id="29" w:name="_Toc58725294"/>
      <w:bookmarkStart w:id="30" w:name="_Toc151782184"/>
      <w:bookmarkStart w:id="31" w:name="_Toc158526224"/>
      <w:r w:rsidRPr="008C211D">
        <w:t>No persons outside the agency were consulted.</w:t>
      </w:r>
    </w:p>
    <w:p w14:paraId="0C8677CD" w14:textId="77777777" w:rsidR="0038217D" w:rsidRPr="00D97A7B" w:rsidRDefault="009B633D" w:rsidP="0038217D">
      <w:pPr>
        <w:pStyle w:val="Heading2"/>
        <w:rPr>
          <w:sz w:val="24"/>
          <w:szCs w:val="24"/>
        </w:rPr>
      </w:pPr>
      <w:bookmarkStart w:id="32" w:name="_Toc410053831"/>
      <w:r w:rsidRPr="00D97A7B">
        <w:rPr>
          <w:sz w:val="24"/>
          <w:szCs w:val="24"/>
        </w:rPr>
        <w:t>9. Payments/Gifts to Respondents</w:t>
      </w:r>
      <w:bookmarkEnd w:id="28"/>
      <w:bookmarkEnd w:id="29"/>
      <w:bookmarkEnd w:id="30"/>
      <w:bookmarkEnd w:id="31"/>
      <w:bookmarkEnd w:id="32"/>
    </w:p>
    <w:p w14:paraId="65288291" w14:textId="113565A0" w:rsidR="00BB1E99" w:rsidRPr="00BB1E99" w:rsidRDefault="00EA0F04" w:rsidP="00BB1E99">
      <w:pPr>
        <w:pStyle w:val="CommentText"/>
        <w:rPr>
          <w:sz w:val="24"/>
          <w:szCs w:val="24"/>
        </w:rPr>
      </w:pPr>
      <w:r w:rsidRPr="00BB1E99">
        <w:rPr>
          <w:sz w:val="24"/>
          <w:szCs w:val="24"/>
        </w:rPr>
        <w:t xml:space="preserve">No payment or </w:t>
      </w:r>
      <w:r w:rsidR="00502815">
        <w:rPr>
          <w:sz w:val="24"/>
          <w:szCs w:val="24"/>
        </w:rPr>
        <w:t>incentive</w:t>
      </w:r>
      <w:r w:rsidR="00502815" w:rsidRPr="00BB1E99">
        <w:rPr>
          <w:sz w:val="24"/>
          <w:szCs w:val="24"/>
        </w:rPr>
        <w:t xml:space="preserve"> </w:t>
      </w:r>
      <w:r w:rsidRPr="00BB1E99">
        <w:rPr>
          <w:sz w:val="24"/>
          <w:szCs w:val="24"/>
        </w:rPr>
        <w:t xml:space="preserve">is provided to </w:t>
      </w:r>
      <w:r w:rsidR="00AC2025" w:rsidRPr="00BB1E99">
        <w:rPr>
          <w:sz w:val="24"/>
          <w:szCs w:val="24"/>
        </w:rPr>
        <w:t xml:space="preserve">individual </w:t>
      </w:r>
      <w:r w:rsidRPr="00BB1E99">
        <w:rPr>
          <w:sz w:val="24"/>
          <w:szCs w:val="24"/>
        </w:rPr>
        <w:t xml:space="preserve">respondents </w:t>
      </w:r>
      <w:r w:rsidR="00502815">
        <w:rPr>
          <w:sz w:val="24"/>
          <w:szCs w:val="24"/>
        </w:rPr>
        <w:t>or community member</w:t>
      </w:r>
      <w:r w:rsidR="00933737">
        <w:rPr>
          <w:sz w:val="24"/>
          <w:szCs w:val="24"/>
        </w:rPr>
        <w:t>s</w:t>
      </w:r>
      <w:r w:rsidR="00502815">
        <w:rPr>
          <w:sz w:val="24"/>
          <w:szCs w:val="24"/>
        </w:rPr>
        <w:t xml:space="preserve"> </w:t>
      </w:r>
      <w:r w:rsidRPr="00BB1E99">
        <w:rPr>
          <w:sz w:val="24"/>
          <w:szCs w:val="24"/>
        </w:rPr>
        <w:t xml:space="preserve">for participating in the </w:t>
      </w:r>
      <w:r w:rsidR="00901393" w:rsidRPr="00BB1E99">
        <w:rPr>
          <w:sz w:val="24"/>
          <w:szCs w:val="24"/>
        </w:rPr>
        <w:t xml:space="preserve">data collection activities associated with the </w:t>
      </w:r>
      <w:r w:rsidR="00D648FF" w:rsidRPr="00BB1E99">
        <w:rPr>
          <w:sz w:val="24"/>
          <w:szCs w:val="24"/>
        </w:rPr>
        <w:t>e</w:t>
      </w:r>
      <w:r w:rsidR="00B8168C" w:rsidRPr="00BB1E99">
        <w:rPr>
          <w:sz w:val="24"/>
          <w:szCs w:val="24"/>
        </w:rPr>
        <w:t>valuation</w:t>
      </w:r>
      <w:r w:rsidR="00502815">
        <w:rPr>
          <w:sz w:val="24"/>
          <w:szCs w:val="24"/>
        </w:rPr>
        <w:t xml:space="preserve">. </w:t>
      </w:r>
    </w:p>
    <w:p w14:paraId="50E882B5" w14:textId="77777777" w:rsidR="009B633D" w:rsidRPr="00412C6F" w:rsidRDefault="009B633D" w:rsidP="009B633D">
      <w:pPr>
        <w:pStyle w:val="Heading2"/>
        <w:rPr>
          <w:sz w:val="24"/>
        </w:rPr>
      </w:pPr>
      <w:bookmarkStart w:id="33" w:name="_Toc151782185"/>
      <w:bookmarkStart w:id="34" w:name="_Toc158526225"/>
      <w:bookmarkStart w:id="35" w:name="_Toc410053832"/>
      <w:r w:rsidRPr="00412C6F">
        <w:rPr>
          <w:sz w:val="24"/>
        </w:rPr>
        <w:t>10. Assurance of Confidentiality</w:t>
      </w:r>
      <w:bookmarkEnd w:id="33"/>
      <w:bookmarkEnd w:id="34"/>
      <w:bookmarkEnd w:id="35"/>
    </w:p>
    <w:p w14:paraId="02EB328C" w14:textId="2A5A6D8E" w:rsidR="00167AFC" w:rsidRDefault="00167AFC" w:rsidP="0052514F">
      <w:r>
        <w:t>This information collection will not involve any personal health information.  The personally identifiable information (PII) that will be collected will be minimal (only the contact information for the respondents) and no PII will be publicly disclosed.  Identifiers such as</w:t>
      </w:r>
      <w:r w:rsidRPr="00167AFC">
        <w:t xml:space="preserve"> </w:t>
      </w:r>
      <w:r>
        <w:t xml:space="preserve">name, email address, telephone number, and position will be collected </w:t>
      </w:r>
      <w:r w:rsidR="00D1330F">
        <w:t xml:space="preserve">only </w:t>
      </w:r>
      <w:r>
        <w:t>to facilitate survey</w:t>
      </w:r>
      <w:r w:rsidR="006C577C">
        <w:t xml:space="preserve"> and telephone interview</w:t>
      </w:r>
      <w:r>
        <w:t xml:space="preserve"> administration</w:t>
      </w:r>
      <w:r w:rsidRPr="00C618E9">
        <w:t xml:space="preserve">. </w:t>
      </w:r>
      <w:r w:rsidR="00AD196A">
        <w:rPr>
          <w:iCs/>
          <w:lang w:val="en-CA"/>
        </w:rPr>
        <w:t>T</w:t>
      </w:r>
      <w:r w:rsidR="00AD196A" w:rsidRPr="00F1465D">
        <w:rPr>
          <w:iCs/>
          <w:lang w:val="en-CA"/>
        </w:rPr>
        <w:t>he contact information will be entered into a password-protected database that can only be accessed by the limited number of individuals who require access (</w:t>
      </w:r>
      <w:r w:rsidR="00AD196A">
        <w:rPr>
          <w:iCs/>
          <w:lang w:val="en-CA"/>
        </w:rPr>
        <w:t xml:space="preserve">e.g., </w:t>
      </w:r>
      <w:r w:rsidR="00AD196A" w:rsidRPr="00F1465D">
        <w:rPr>
          <w:iCs/>
          <w:lang w:val="en-CA"/>
        </w:rPr>
        <w:t xml:space="preserve">selected ICF staff </w:t>
      </w:r>
      <w:r w:rsidR="00AD196A">
        <w:rPr>
          <w:iCs/>
          <w:lang w:val="en-CA"/>
        </w:rPr>
        <w:t>conducting telephone interviews and focus groups</w:t>
      </w:r>
      <w:r w:rsidR="00901393">
        <w:rPr>
          <w:iCs/>
          <w:lang w:val="en-CA"/>
        </w:rPr>
        <w:t>, sending emails with links to web-surveys</w:t>
      </w:r>
      <w:r w:rsidR="00AD196A">
        <w:rPr>
          <w:iCs/>
          <w:lang w:val="en-CA"/>
        </w:rPr>
        <w:t xml:space="preserve">). </w:t>
      </w:r>
      <w:r w:rsidR="00AD196A">
        <w:rPr>
          <w:lang w:val="en-CA"/>
        </w:rPr>
        <w:t>I</w:t>
      </w:r>
      <w:r w:rsidR="00AD196A" w:rsidRPr="00F1465D">
        <w:rPr>
          <w:lang w:val="en-CA"/>
        </w:rPr>
        <w:t>dentifying information</w:t>
      </w:r>
      <w:r w:rsidR="00AD196A">
        <w:rPr>
          <w:lang w:val="en-CA"/>
        </w:rPr>
        <w:t xml:space="preserve"> collected to facilitate the administration of surveys</w:t>
      </w:r>
      <w:r w:rsidR="00AD196A" w:rsidRPr="00F1465D">
        <w:rPr>
          <w:lang w:val="en-CA"/>
        </w:rPr>
        <w:t xml:space="preserve"> </w:t>
      </w:r>
      <w:r w:rsidR="00AD196A" w:rsidRPr="00AE3B1F">
        <w:rPr>
          <w:lang w:val="en-CA"/>
        </w:rPr>
        <w:t>will not be stored with</w:t>
      </w:r>
      <w:r w:rsidR="00AD196A" w:rsidRPr="00F1465D">
        <w:rPr>
          <w:lang w:val="en-CA"/>
        </w:rPr>
        <w:t xml:space="preserve"> survey responses</w:t>
      </w:r>
      <w:r w:rsidR="00AD196A">
        <w:rPr>
          <w:lang w:val="en-CA"/>
        </w:rPr>
        <w:t xml:space="preserve">. </w:t>
      </w:r>
      <w:r w:rsidRPr="00C618E9">
        <w:t xml:space="preserve">Once data collection is complete, </w:t>
      </w:r>
      <w:r w:rsidR="00D1330F">
        <w:t>respondent contact information</w:t>
      </w:r>
      <w:r w:rsidRPr="00C618E9">
        <w:t xml:space="preserve"> will be destroyed. </w:t>
      </w:r>
      <w:r w:rsidR="00E775F3">
        <w:t xml:space="preserve"> Data gathered from the CLI and CFG will be recorded and transcribed into a text document. All transcripts will be stored in a restricted-access network folder, accessible only by members of ICF’s team. </w:t>
      </w:r>
      <w:r w:rsidRPr="00C618E9">
        <w:t>A profile</w:t>
      </w:r>
      <w:r>
        <w:t xml:space="preserve"> of each </w:t>
      </w:r>
      <w:r w:rsidR="006C577C">
        <w:t>communities’</w:t>
      </w:r>
      <w:r>
        <w:t xml:space="preserve"> activities will be highlighted in the final </w:t>
      </w:r>
      <w:r w:rsidR="006C577C">
        <w:t>evaluation</w:t>
      </w:r>
      <w:r>
        <w:t xml:space="preserve"> report but the name/identity of POCs </w:t>
      </w:r>
      <w:r w:rsidR="005A0034">
        <w:t xml:space="preserve">and specific coalition members </w:t>
      </w:r>
      <w:r>
        <w:t>will not be included.</w:t>
      </w:r>
      <w:r w:rsidR="004B73B0">
        <w:t xml:space="preserve"> </w:t>
      </w:r>
    </w:p>
    <w:p w14:paraId="13FEE1B4" w14:textId="613888D6" w:rsidR="003B45C1" w:rsidRDefault="00FE4DA9" w:rsidP="0052514F">
      <w:r>
        <w:t xml:space="preserve"> </w:t>
      </w:r>
    </w:p>
    <w:p w14:paraId="50E674A0" w14:textId="13F6BDA5" w:rsidR="00AD196A" w:rsidRDefault="00D1330F" w:rsidP="0052514F">
      <w:r>
        <w:t xml:space="preserve"> All information collected as part of the evaluation </w:t>
      </w:r>
      <w:r>
        <w:rPr>
          <w:color w:val="1F497D"/>
        </w:rPr>
        <w:t>will be kept private to the extent allowed by law</w:t>
      </w:r>
      <w:r>
        <w:t>. The</w:t>
      </w:r>
      <w:r w:rsidR="00AD196A" w:rsidRPr="00016F35">
        <w:t xml:space="preserve"> protection of human subjects, </w:t>
      </w:r>
      <w:r w:rsidR="00AD196A">
        <w:t>t</w:t>
      </w:r>
      <w:r w:rsidR="00AD196A" w:rsidRPr="00016F35">
        <w:t xml:space="preserve">he data collection </w:t>
      </w:r>
      <w:r w:rsidR="00901393">
        <w:t>instruments</w:t>
      </w:r>
      <w:r w:rsidR="00AD196A" w:rsidRPr="00016F35">
        <w:t xml:space="preserve"> </w:t>
      </w:r>
      <w:r>
        <w:t>has been</w:t>
      </w:r>
      <w:r w:rsidR="00AD196A" w:rsidRPr="00016F35">
        <w:t xml:space="preserve"> reviewed </w:t>
      </w:r>
      <w:r>
        <w:t>by</w:t>
      </w:r>
      <w:r w:rsidRPr="00016F35">
        <w:t xml:space="preserve"> </w:t>
      </w:r>
      <w:r w:rsidR="00AD196A" w:rsidRPr="00016F35">
        <w:t xml:space="preserve">the ICF </w:t>
      </w:r>
      <w:r w:rsidR="00AD196A">
        <w:t>institutional review board (</w:t>
      </w:r>
      <w:r w:rsidR="00AD196A" w:rsidRPr="00016F35">
        <w:t>IRB</w:t>
      </w:r>
      <w:r w:rsidR="00AD196A">
        <w:t>)</w:t>
      </w:r>
      <w:r w:rsidR="00AD196A" w:rsidRPr="00016F35">
        <w:t xml:space="preserve">. </w:t>
      </w:r>
      <w:r w:rsidR="00AD196A">
        <w:t>The ICF IRB</w:t>
      </w:r>
      <w:r w:rsidR="00AD196A" w:rsidRPr="00016F35">
        <w:t xml:space="preserve"> holds a Federal wide Assurance (FWA00000845; </w:t>
      </w:r>
      <w:r w:rsidR="00AD196A">
        <w:t>E</w:t>
      </w:r>
      <w:r w:rsidR="00AD196A" w:rsidRPr="00016F35">
        <w:t>xpir</w:t>
      </w:r>
      <w:r w:rsidR="00AD196A">
        <w:t xml:space="preserve">ation, </w:t>
      </w:r>
      <w:r w:rsidR="00AD196A" w:rsidRPr="00016F35">
        <w:t>April 13, 2019) from the HHS Office for Hu</w:t>
      </w:r>
      <w:r w:rsidR="00AD196A">
        <w:t xml:space="preserve">man Research Protections (OHRP). </w:t>
      </w:r>
      <w:r w:rsidR="00AD196A" w:rsidRPr="00016F35">
        <w:t xml:space="preserve">This review ensures compliance with </w:t>
      </w:r>
      <w:r w:rsidR="00AD196A" w:rsidRPr="008368B7">
        <w:t>the spirit and letter of HHS regulations governing such projects</w:t>
      </w:r>
      <w:r>
        <w:t>; the ICF approved the evaluation on May 18, 2016</w:t>
      </w:r>
      <w:r w:rsidR="00933737">
        <w:t xml:space="preserve"> (see Attachment H for a copy of the ICF IRB approval documentation)</w:t>
      </w:r>
    </w:p>
    <w:p w14:paraId="34257CC0" w14:textId="77777777" w:rsidR="00356167" w:rsidRDefault="00356167" w:rsidP="008F0B8B">
      <w:pPr>
        <w:autoSpaceDE w:val="0"/>
        <w:autoSpaceDN w:val="0"/>
        <w:adjustRightInd w:val="0"/>
      </w:pPr>
    </w:p>
    <w:p w14:paraId="1D2FB1BC" w14:textId="77777777" w:rsidR="009B633D" w:rsidRPr="00412C6F" w:rsidRDefault="009B633D" w:rsidP="00641865">
      <w:pPr>
        <w:pStyle w:val="Heading2"/>
        <w:spacing w:before="0" w:after="0"/>
        <w:rPr>
          <w:sz w:val="24"/>
        </w:rPr>
      </w:pPr>
      <w:bookmarkStart w:id="36" w:name="_Toc151782186"/>
      <w:bookmarkStart w:id="37" w:name="_Toc158526226"/>
      <w:bookmarkStart w:id="38" w:name="_Toc410053833"/>
      <w:r w:rsidRPr="00412C6F">
        <w:rPr>
          <w:sz w:val="24"/>
        </w:rPr>
        <w:t>11. Questions of a Sensitive Nature</w:t>
      </w:r>
      <w:bookmarkEnd w:id="36"/>
      <w:bookmarkEnd w:id="37"/>
      <w:bookmarkEnd w:id="38"/>
    </w:p>
    <w:p w14:paraId="49C246EC" w14:textId="14C9A71B" w:rsidR="00BB7136" w:rsidRPr="008007F8" w:rsidRDefault="0050254A" w:rsidP="008007F8">
      <w:pPr>
        <w:spacing w:after="240"/>
      </w:pPr>
      <w:r w:rsidRPr="00005255">
        <w:t>There are no</w:t>
      </w:r>
      <w:r w:rsidR="003925C9" w:rsidRPr="00005255">
        <w:t xml:space="preserve"> questions of a sensitive nature</w:t>
      </w:r>
      <w:r w:rsidR="00901393">
        <w:t xml:space="preserve"> included in any of the data collection activities</w:t>
      </w:r>
      <w:r w:rsidR="003925C9" w:rsidRPr="00005255">
        <w:t>.</w:t>
      </w:r>
    </w:p>
    <w:p w14:paraId="3D27AC78" w14:textId="77777777" w:rsidR="009B633D" w:rsidRPr="00412C6F" w:rsidRDefault="009B633D" w:rsidP="00641865">
      <w:pPr>
        <w:pStyle w:val="Heading2"/>
        <w:spacing w:before="0" w:after="0"/>
        <w:rPr>
          <w:sz w:val="24"/>
        </w:rPr>
      </w:pPr>
      <w:bookmarkStart w:id="39" w:name="_Toc151782187"/>
      <w:bookmarkStart w:id="40" w:name="_Toc158526227"/>
      <w:bookmarkStart w:id="41" w:name="_Toc410053834"/>
      <w:r w:rsidRPr="00412C6F">
        <w:rPr>
          <w:sz w:val="24"/>
        </w:rPr>
        <w:t>12. Estimates of Annualized Burden Hours and Costs</w:t>
      </w:r>
      <w:bookmarkEnd w:id="39"/>
      <w:bookmarkEnd w:id="40"/>
      <w:bookmarkEnd w:id="41"/>
    </w:p>
    <w:p w14:paraId="36103E2D" w14:textId="77777777" w:rsidR="000837BF" w:rsidRDefault="000837BF" w:rsidP="0008300F">
      <w:pPr>
        <w:rPr>
          <w:bCs/>
          <w:sz w:val="20"/>
          <w:szCs w:val="20"/>
        </w:rPr>
      </w:pPr>
    </w:p>
    <w:p w14:paraId="6991C163" w14:textId="0C10C5F2" w:rsidR="00FD3DCD" w:rsidRDefault="00FD3DCD" w:rsidP="0008300F">
      <w:r w:rsidRPr="00FD3DCD">
        <w:lastRenderedPageBreak/>
        <w:t xml:space="preserve">Exhibit 1 </w:t>
      </w:r>
      <w:r w:rsidRPr="009E4458">
        <w:t xml:space="preserve">shows the estimated annualized burden hours for the respondents’ time to participate in data collection activities. An estimated </w:t>
      </w:r>
      <w:r w:rsidR="009E4458" w:rsidRPr="009E4458">
        <w:t xml:space="preserve">430 </w:t>
      </w:r>
      <w:r w:rsidRPr="009E4458">
        <w:t xml:space="preserve">respondents will participate. Completing the CLI will take approximately </w:t>
      </w:r>
      <w:r w:rsidR="009E4458" w:rsidRPr="009E4458">
        <w:t xml:space="preserve">60 </w:t>
      </w:r>
      <w:r w:rsidRPr="009E4458">
        <w:t xml:space="preserve">minutes, the CFG </w:t>
      </w:r>
      <w:r w:rsidR="009E4458" w:rsidRPr="009E4458">
        <w:t xml:space="preserve">60 </w:t>
      </w:r>
      <w:r w:rsidRPr="009E4458">
        <w:t xml:space="preserve">minutes, the CAS </w:t>
      </w:r>
      <w:r w:rsidR="009E4458" w:rsidRPr="009E4458">
        <w:t>15</w:t>
      </w:r>
      <w:r w:rsidRPr="009E4458">
        <w:t xml:space="preserve">minutes, and the SSS </w:t>
      </w:r>
      <w:r w:rsidR="009E4458" w:rsidRPr="009E4458">
        <w:t>30</w:t>
      </w:r>
      <w:r w:rsidRPr="009E4458">
        <w:t xml:space="preserve"> minutes. The total annual burden hours are estimated to be </w:t>
      </w:r>
      <w:r w:rsidR="009E4458" w:rsidRPr="009E4458">
        <w:t>218</w:t>
      </w:r>
      <w:r w:rsidRPr="009E4458">
        <w:t>.</w:t>
      </w:r>
    </w:p>
    <w:p w14:paraId="5565A6A4" w14:textId="77777777" w:rsidR="00C90469" w:rsidRDefault="00C90469" w:rsidP="0008300F"/>
    <w:p w14:paraId="37B6C5AF" w14:textId="1448AD55" w:rsidR="00C90469" w:rsidRDefault="00C90469" w:rsidP="0008300F">
      <w:r>
        <w:t>Up to 10 community leaders from each of the 5 pilot sites will participate in the CLI. Up to 2 focus groups consisting of up to 8 participants per group will be conducted for each of the 5 pilot sites</w:t>
      </w:r>
      <w:r w:rsidR="00DB1353">
        <w:t xml:space="preserve"> (up to 80 respondents total)</w:t>
      </w:r>
      <w:r>
        <w:t xml:space="preserve">. Up to </w:t>
      </w:r>
      <w:r w:rsidR="000E5482">
        <w:t xml:space="preserve">50 </w:t>
      </w:r>
      <w:r>
        <w:t xml:space="preserve">secondary stakeholders will participate in the SSS. </w:t>
      </w:r>
    </w:p>
    <w:p w14:paraId="58E45F6C" w14:textId="77777777" w:rsidR="00C90469" w:rsidRDefault="00C90469" w:rsidP="0008300F"/>
    <w:p w14:paraId="582BAEC5" w14:textId="77777777" w:rsidR="00FD3DCD" w:rsidRDefault="00FD3DCD" w:rsidP="0008300F"/>
    <w:p w14:paraId="6133BC0C" w14:textId="77777777" w:rsidR="00FD3DCD" w:rsidRPr="0089231D" w:rsidRDefault="00FD3DCD" w:rsidP="00FD3DCD">
      <w:r w:rsidRPr="0089231D">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1327"/>
        <w:gridCol w:w="1273"/>
        <w:gridCol w:w="1160"/>
        <w:gridCol w:w="966"/>
      </w:tblGrid>
      <w:tr w:rsidR="00FD3DCD" w:rsidRPr="00D1501D" w14:paraId="251F57DA" w14:textId="77777777" w:rsidTr="00C16CF6">
        <w:trPr>
          <w:trHeight w:val="765"/>
        </w:trPr>
        <w:tc>
          <w:tcPr>
            <w:tcW w:w="4148" w:type="dxa"/>
            <w:shd w:val="clear" w:color="auto" w:fill="auto"/>
            <w:vAlign w:val="bottom"/>
          </w:tcPr>
          <w:p w14:paraId="18C2035C" w14:textId="77777777" w:rsidR="00FD3DCD" w:rsidRPr="00D1501D" w:rsidRDefault="00FD3DCD" w:rsidP="00C16CF6">
            <w:pPr>
              <w:rPr>
                <w:b/>
                <w:color w:val="000000"/>
                <w:sz w:val="20"/>
                <w:szCs w:val="20"/>
              </w:rPr>
            </w:pPr>
            <w:r w:rsidRPr="00D1501D">
              <w:rPr>
                <w:b/>
                <w:color w:val="000000"/>
                <w:sz w:val="20"/>
                <w:szCs w:val="20"/>
              </w:rPr>
              <w:t>Form Name</w:t>
            </w:r>
            <w:r>
              <w:rPr>
                <w:b/>
                <w:color w:val="000000"/>
                <w:sz w:val="20"/>
                <w:szCs w:val="20"/>
              </w:rPr>
              <w:t xml:space="preserve"> </w:t>
            </w:r>
          </w:p>
        </w:tc>
        <w:tc>
          <w:tcPr>
            <w:tcW w:w="1327" w:type="dxa"/>
            <w:shd w:val="clear" w:color="auto" w:fill="auto"/>
            <w:vAlign w:val="bottom"/>
          </w:tcPr>
          <w:p w14:paraId="6607A295" w14:textId="77777777" w:rsidR="00FD3DCD" w:rsidRPr="00D1501D" w:rsidRDefault="00FD3DCD" w:rsidP="00C16CF6">
            <w:pPr>
              <w:jc w:val="center"/>
              <w:rPr>
                <w:b/>
                <w:color w:val="000000"/>
                <w:sz w:val="20"/>
                <w:szCs w:val="20"/>
              </w:rPr>
            </w:pPr>
            <w:r w:rsidRPr="00D1501D">
              <w:rPr>
                <w:b/>
                <w:color w:val="000000"/>
                <w:sz w:val="20"/>
                <w:szCs w:val="20"/>
              </w:rPr>
              <w:t>Number of</w:t>
            </w:r>
          </w:p>
          <w:p w14:paraId="4DF516E1" w14:textId="69083C60" w:rsidR="00FD3DCD" w:rsidRPr="00D1501D" w:rsidRDefault="00FD3DCD" w:rsidP="00FD3DCD">
            <w:pPr>
              <w:jc w:val="center"/>
              <w:rPr>
                <w:b/>
                <w:color w:val="000000"/>
                <w:sz w:val="20"/>
                <w:szCs w:val="20"/>
              </w:rPr>
            </w:pPr>
            <w:r w:rsidRPr="00D1501D">
              <w:rPr>
                <w:b/>
                <w:color w:val="000000"/>
                <w:sz w:val="20"/>
                <w:szCs w:val="20"/>
              </w:rPr>
              <w:t>respondent</w:t>
            </w:r>
            <w:r>
              <w:rPr>
                <w:b/>
                <w:color w:val="000000"/>
                <w:sz w:val="20"/>
                <w:szCs w:val="20"/>
              </w:rPr>
              <w:t>s</w:t>
            </w:r>
          </w:p>
        </w:tc>
        <w:tc>
          <w:tcPr>
            <w:tcW w:w="1273" w:type="dxa"/>
            <w:shd w:val="clear" w:color="auto" w:fill="auto"/>
            <w:vAlign w:val="bottom"/>
          </w:tcPr>
          <w:p w14:paraId="4E7B8D07" w14:textId="77777777" w:rsidR="00FD3DCD" w:rsidRPr="00D1501D" w:rsidRDefault="00FD3DCD" w:rsidP="00C16CF6">
            <w:pPr>
              <w:jc w:val="center"/>
              <w:rPr>
                <w:b/>
                <w:color w:val="000000"/>
                <w:sz w:val="20"/>
                <w:szCs w:val="20"/>
              </w:rPr>
            </w:pPr>
            <w:r w:rsidRPr="00D1501D">
              <w:rPr>
                <w:b/>
                <w:color w:val="000000"/>
                <w:sz w:val="20"/>
                <w:szCs w:val="20"/>
              </w:rPr>
              <w:t xml:space="preserve">Number of </w:t>
            </w:r>
            <w:r>
              <w:rPr>
                <w:b/>
                <w:color w:val="000000"/>
                <w:sz w:val="20"/>
                <w:szCs w:val="20"/>
              </w:rPr>
              <w:t>responses</w:t>
            </w:r>
          </w:p>
          <w:p w14:paraId="74DE36D5" w14:textId="6793C2F9" w:rsidR="00FD3DCD" w:rsidRPr="00D1501D" w:rsidRDefault="00FD3DCD" w:rsidP="00C16CF6">
            <w:pPr>
              <w:jc w:val="center"/>
              <w:rPr>
                <w:b/>
                <w:color w:val="000000"/>
                <w:sz w:val="20"/>
                <w:szCs w:val="20"/>
              </w:rPr>
            </w:pPr>
            <w:r>
              <w:rPr>
                <w:b/>
                <w:color w:val="000000"/>
                <w:sz w:val="20"/>
                <w:szCs w:val="20"/>
              </w:rPr>
              <w:t>per respondent</w:t>
            </w:r>
          </w:p>
        </w:tc>
        <w:tc>
          <w:tcPr>
            <w:tcW w:w="1160" w:type="dxa"/>
            <w:shd w:val="clear" w:color="auto" w:fill="auto"/>
            <w:vAlign w:val="bottom"/>
          </w:tcPr>
          <w:p w14:paraId="0BEA7BCC" w14:textId="77777777" w:rsidR="00FD3DCD" w:rsidRPr="00D1501D" w:rsidRDefault="00FD3DCD" w:rsidP="00C16CF6">
            <w:pPr>
              <w:jc w:val="center"/>
              <w:rPr>
                <w:b/>
                <w:color w:val="000000"/>
                <w:sz w:val="20"/>
                <w:szCs w:val="20"/>
              </w:rPr>
            </w:pPr>
            <w:r w:rsidRPr="00D1501D">
              <w:rPr>
                <w:b/>
                <w:color w:val="000000"/>
                <w:sz w:val="20"/>
                <w:szCs w:val="20"/>
              </w:rPr>
              <w:t xml:space="preserve">Hours per </w:t>
            </w:r>
            <w:r>
              <w:rPr>
                <w:b/>
                <w:color w:val="000000"/>
                <w:sz w:val="20"/>
                <w:szCs w:val="20"/>
              </w:rPr>
              <w:t xml:space="preserve">response </w:t>
            </w:r>
          </w:p>
        </w:tc>
        <w:tc>
          <w:tcPr>
            <w:tcW w:w="966" w:type="dxa"/>
            <w:shd w:val="clear" w:color="auto" w:fill="auto"/>
            <w:vAlign w:val="bottom"/>
          </w:tcPr>
          <w:p w14:paraId="3D9C02AC" w14:textId="77777777" w:rsidR="00FD3DCD" w:rsidRPr="00D1501D" w:rsidRDefault="00FD3DCD" w:rsidP="00C16CF6">
            <w:pPr>
              <w:jc w:val="center"/>
              <w:rPr>
                <w:b/>
                <w:color w:val="000000"/>
                <w:sz w:val="20"/>
                <w:szCs w:val="20"/>
              </w:rPr>
            </w:pPr>
            <w:r w:rsidRPr="00D1501D">
              <w:rPr>
                <w:b/>
                <w:color w:val="000000"/>
                <w:sz w:val="20"/>
                <w:szCs w:val="20"/>
              </w:rPr>
              <w:t>Total burden hours</w:t>
            </w:r>
          </w:p>
        </w:tc>
      </w:tr>
      <w:tr w:rsidR="00FD3DCD" w:rsidRPr="00BB5672" w14:paraId="6701CF17" w14:textId="77777777" w:rsidTr="00C16CF6">
        <w:trPr>
          <w:trHeight w:val="405"/>
        </w:trPr>
        <w:tc>
          <w:tcPr>
            <w:tcW w:w="4148" w:type="dxa"/>
            <w:shd w:val="clear" w:color="auto" w:fill="auto"/>
            <w:vAlign w:val="bottom"/>
          </w:tcPr>
          <w:p w14:paraId="3E7A1818" w14:textId="36F9F825" w:rsidR="00FD3DCD" w:rsidRPr="004A2A3D" w:rsidRDefault="00FD3DCD" w:rsidP="00C16CF6">
            <w:pPr>
              <w:rPr>
                <w:b/>
                <w:color w:val="000000"/>
                <w:sz w:val="20"/>
                <w:szCs w:val="20"/>
                <w:highlight w:val="yellow"/>
              </w:rPr>
            </w:pPr>
            <w:r>
              <w:rPr>
                <w:b/>
                <w:color w:val="000000"/>
                <w:sz w:val="20"/>
                <w:szCs w:val="20"/>
              </w:rPr>
              <w:t>Community Leader Interview (CLI)</w:t>
            </w:r>
          </w:p>
        </w:tc>
        <w:tc>
          <w:tcPr>
            <w:tcW w:w="1327" w:type="dxa"/>
            <w:shd w:val="clear" w:color="auto" w:fill="auto"/>
            <w:noWrap/>
            <w:vAlign w:val="bottom"/>
          </w:tcPr>
          <w:p w14:paraId="6CFB18A6" w14:textId="0BA0E825" w:rsidR="00FD3DCD" w:rsidRPr="002D7F75" w:rsidRDefault="00FD3DCD" w:rsidP="00C16CF6">
            <w:pPr>
              <w:jc w:val="center"/>
              <w:rPr>
                <w:color w:val="000000"/>
                <w:sz w:val="20"/>
                <w:szCs w:val="20"/>
              </w:rPr>
            </w:pPr>
            <w:r w:rsidRPr="002D7F75">
              <w:rPr>
                <w:color w:val="000000"/>
                <w:sz w:val="20"/>
                <w:szCs w:val="20"/>
              </w:rPr>
              <w:t>5</w:t>
            </w:r>
            <w:r>
              <w:rPr>
                <w:color w:val="000000"/>
                <w:sz w:val="20"/>
                <w:szCs w:val="20"/>
              </w:rPr>
              <w:t>0</w:t>
            </w:r>
          </w:p>
        </w:tc>
        <w:tc>
          <w:tcPr>
            <w:tcW w:w="1273" w:type="dxa"/>
            <w:shd w:val="clear" w:color="auto" w:fill="auto"/>
            <w:vAlign w:val="bottom"/>
          </w:tcPr>
          <w:p w14:paraId="77ED8087" w14:textId="6FC24364" w:rsidR="00FD3DCD" w:rsidRPr="002D7F75" w:rsidRDefault="00C90469" w:rsidP="00C16CF6">
            <w:pPr>
              <w:jc w:val="center"/>
              <w:rPr>
                <w:color w:val="000000"/>
                <w:sz w:val="20"/>
                <w:szCs w:val="20"/>
              </w:rPr>
            </w:pPr>
            <w:r>
              <w:rPr>
                <w:color w:val="000000"/>
                <w:sz w:val="20"/>
                <w:szCs w:val="20"/>
              </w:rPr>
              <w:t>1</w:t>
            </w:r>
          </w:p>
        </w:tc>
        <w:tc>
          <w:tcPr>
            <w:tcW w:w="1160" w:type="dxa"/>
            <w:shd w:val="clear" w:color="auto" w:fill="auto"/>
            <w:vAlign w:val="bottom"/>
          </w:tcPr>
          <w:p w14:paraId="6D68AE5B" w14:textId="1702CC4E" w:rsidR="00FD3DCD" w:rsidRPr="002D7F75" w:rsidRDefault="009871F4" w:rsidP="00C16CF6">
            <w:pPr>
              <w:jc w:val="center"/>
              <w:rPr>
                <w:color w:val="000000"/>
                <w:sz w:val="20"/>
                <w:szCs w:val="20"/>
              </w:rPr>
            </w:pPr>
            <w:r>
              <w:rPr>
                <w:color w:val="000000"/>
                <w:sz w:val="20"/>
                <w:szCs w:val="20"/>
              </w:rPr>
              <w:t>1</w:t>
            </w:r>
          </w:p>
        </w:tc>
        <w:tc>
          <w:tcPr>
            <w:tcW w:w="966" w:type="dxa"/>
            <w:shd w:val="clear" w:color="auto" w:fill="auto"/>
            <w:vAlign w:val="bottom"/>
          </w:tcPr>
          <w:p w14:paraId="63F5C7E0" w14:textId="51D39137" w:rsidR="00FD3DCD" w:rsidRPr="002D7F75" w:rsidRDefault="00F82A74" w:rsidP="00C16CF6">
            <w:pPr>
              <w:jc w:val="center"/>
              <w:rPr>
                <w:color w:val="000000"/>
                <w:sz w:val="20"/>
                <w:szCs w:val="20"/>
              </w:rPr>
            </w:pPr>
            <w:r>
              <w:rPr>
                <w:color w:val="000000"/>
                <w:sz w:val="20"/>
                <w:szCs w:val="20"/>
              </w:rPr>
              <w:t>50</w:t>
            </w:r>
          </w:p>
        </w:tc>
      </w:tr>
      <w:tr w:rsidR="00FD3DCD" w:rsidRPr="003D5ED4" w14:paraId="3FF92F32" w14:textId="77777777" w:rsidTr="00C16CF6">
        <w:trPr>
          <w:trHeight w:val="270"/>
        </w:trPr>
        <w:tc>
          <w:tcPr>
            <w:tcW w:w="4148" w:type="dxa"/>
            <w:shd w:val="clear" w:color="auto" w:fill="auto"/>
            <w:vAlign w:val="bottom"/>
          </w:tcPr>
          <w:p w14:paraId="4B7282B7" w14:textId="2BC2D8E2" w:rsidR="00FD3DCD" w:rsidRPr="003D5ED4" w:rsidRDefault="00FD3DCD" w:rsidP="00C16CF6">
            <w:pPr>
              <w:rPr>
                <w:b/>
                <w:color w:val="000000"/>
                <w:sz w:val="20"/>
                <w:szCs w:val="20"/>
              </w:rPr>
            </w:pPr>
            <w:r w:rsidRPr="003D5ED4">
              <w:rPr>
                <w:b/>
                <w:color w:val="000000"/>
                <w:sz w:val="20"/>
                <w:szCs w:val="20"/>
              </w:rPr>
              <w:t>Coalition Member Focus Group (CFG)</w:t>
            </w:r>
          </w:p>
        </w:tc>
        <w:tc>
          <w:tcPr>
            <w:tcW w:w="1327" w:type="dxa"/>
            <w:shd w:val="clear" w:color="auto" w:fill="auto"/>
            <w:noWrap/>
            <w:vAlign w:val="bottom"/>
          </w:tcPr>
          <w:p w14:paraId="030D8CC3" w14:textId="00A5C3BE" w:rsidR="00FD3DCD" w:rsidRPr="003D5ED4" w:rsidRDefault="00FD3DCD" w:rsidP="00C16CF6">
            <w:pPr>
              <w:jc w:val="center"/>
              <w:rPr>
                <w:color w:val="000000"/>
                <w:sz w:val="20"/>
                <w:szCs w:val="20"/>
              </w:rPr>
            </w:pPr>
            <w:r w:rsidRPr="003D5ED4">
              <w:rPr>
                <w:color w:val="000000"/>
                <w:sz w:val="20"/>
                <w:szCs w:val="20"/>
              </w:rPr>
              <w:t>80</w:t>
            </w:r>
          </w:p>
        </w:tc>
        <w:tc>
          <w:tcPr>
            <w:tcW w:w="1273" w:type="dxa"/>
            <w:shd w:val="clear" w:color="auto" w:fill="auto"/>
            <w:noWrap/>
            <w:vAlign w:val="bottom"/>
          </w:tcPr>
          <w:p w14:paraId="39DDC5FE" w14:textId="0AA057A8" w:rsidR="00FD3DCD" w:rsidRPr="003D5ED4" w:rsidRDefault="00C90469" w:rsidP="00C16CF6">
            <w:pPr>
              <w:jc w:val="center"/>
              <w:rPr>
                <w:color w:val="000000"/>
                <w:sz w:val="20"/>
                <w:szCs w:val="20"/>
              </w:rPr>
            </w:pPr>
            <w:r w:rsidRPr="003D5ED4">
              <w:rPr>
                <w:color w:val="000000"/>
                <w:sz w:val="20"/>
                <w:szCs w:val="20"/>
              </w:rPr>
              <w:t>1</w:t>
            </w:r>
          </w:p>
        </w:tc>
        <w:tc>
          <w:tcPr>
            <w:tcW w:w="1160" w:type="dxa"/>
            <w:shd w:val="clear" w:color="auto" w:fill="auto"/>
            <w:vAlign w:val="bottom"/>
          </w:tcPr>
          <w:p w14:paraId="0C01811D" w14:textId="3B9E7C3B" w:rsidR="00FD3DCD" w:rsidRPr="003D5ED4" w:rsidRDefault="00901393" w:rsidP="00C16CF6">
            <w:pPr>
              <w:jc w:val="center"/>
              <w:rPr>
                <w:color w:val="000000"/>
                <w:sz w:val="20"/>
                <w:szCs w:val="20"/>
              </w:rPr>
            </w:pPr>
            <w:r w:rsidRPr="003D5ED4">
              <w:rPr>
                <w:color w:val="000000"/>
                <w:sz w:val="20"/>
                <w:szCs w:val="20"/>
              </w:rPr>
              <w:t>1</w:t>
            </w:r>
          </w:p>
        </w:tc>
        <w:tc>
          <w:tcPr>
            <w:tcW w:w="966" w:type="dxa"/>
            <w:shd w:val="clear" w:color="auto" w:fill="auto"/>
            <w:noWrap/>
            <w:vAlign w:val="bottom"/>
          </w:tcPr>
          <w:p w14:paraId="30C2E5DD" w14:textId="3C76BB14" w:rsidR="00FD3DCD" w:rsidRPr="003D5ED4" w:rsidRDefault="00F82A74" w:rsidP="00C16CF6">
            <w:pPr>
              <w:jc w:val="center"/>
              <w:rPr>
                <w:color w:val="000000"/>
                <w:sz w:val="20"/>
                <w:szCs w:val="20"/>
              </w:rPr>
            </w:pPr>
            <w:r w:rsidRPr="003D5ED4">
              <w:rPr>
                <w:color w:val="000000"/>
                <w:sz w:val="20"/>
                <w:szCs w:val="20"/>
              </w:rPr>
              <w:t>80</w:t>
            </w:r>
          </w:p>
        </w:tc>
      </w:tr>
      <w:tr w:rsidR="00FD3DCD" w:rsidRPr="003D5ED4" w14:paraId="4CDAE4FF" w14:textId="77777777" w:rsidTr="00C16CF6">
        <w:trPr>
          <w:trHeight w:val="270"/>
        </w:trPr>
        <w:tc>
          <w:tcPr>
            <w:tcW w:w="4148" w:type="dxa"/>
            <w:shd w:val="clear" w:color="auto" w:fill="auto"/>
            <w:vAlign w:val="bottom"/>
          </w:tcPr>
          <w:p w14:paraId="0A55BC05" w14:textId="048FF8A3" w:rsidR="00FD3DCD" w:rsidRPr="003D5ED4" w:rsidRDefault="00FD3DCD" w:rsidP="00C16CF6">
            <w:pPr>
              <w:rPr>
                <w:b/>
                <w:color w:val="000000"/>
                <w:sz w:val="20"/>
                <w:szCs w:val="20"/>
              </w:rPr>
            </w:pPr>
            <w:r w:rsidRPr="003D5ED4">
              <w:rPr>
                <w:b/>
                <w:color w:val="000000"/>
                <w:sz w:val="20"/>
                <w:szCs w:val="20"/>
              </w:rPr>
              <w:t>Coalition Assessment Survey (CAS)</w:t>
            </w:r>
          </w:p>
        </w:tc>
        <w:tc>
          <w:tcPr>
            <w:tcW w:w="1327" w:type="dxa"/>
            <w:shd w:val="clear" w:color="auto" w:fill="auto"/>
            <w:noWrap/>
            <w:vAlign w:val="bottom"/>
          </w:tcPr>
          <w:p w14:paraId="161AC18B" w14:textId="370C098E" w:rsidR="00FD3DCD" w:rsidRPr="003D5ED4" w:rsidRDefault="000E5482" w:rsidP="00C16CF6">
            <w:pPr>
              <w:jc w:val="center"/>
              <w:rPr>
                <w:color w:val="000000"/>
                <w:sz w:val="20"/>
                <w:szCs w:val="20"/>
              </w:rPr>
            </w:pPr>
            <w:r w:rsidRPr="003D5ED4">
              <w:rPr>
                <w:color w:val="000000"/>
                <w:sz w:val="20"/>
                <w:szCs w:val="20"/>
              </w:rPr>
              <w:t>250</w:t>
            </w:r>
          </w:p>
        </w:tc>
        <w:tc>
          <w:tcPr>
            <w:tcW w:w="1273" w:type="dxa"/>
            <w:shd w:val="clear" w:color="auto" w:fill="auto"/>
            <w:noWrap/>
            <w:vAlign w:val="bottom"/>
          </w:tcPr>
          <w:p w14:paraId="1B7FAE0A" w14:textId="444F731D" w:rsidR="00FD3DCD" w:rsidRPr="003D5ED4" w:rsidRDefault="00C90469" w:rsidP="00C16CF6">
            <w:pPr>
              <w:jc w:val="center"/>
              <w:rPr>
                <w:color w:val="000000"/>
                <w:sz w:val="20"/>
                <w:szCs w:val="20"/>
              </w:rPr>
            </w:pPr>
            <w:r w:rsidRPr="003D5ED4">
              <w:rPr>
                <w:color w:val="000000"/>
                <w:sz w:val="20"/>
                <w:szCs w:val="20"/>
              </w:rPr>
              <w:t>1</w:t>
            </w:r>
          </w:p>
        </w:tc>
        <w:tc>
          <w:tcPr>
            <w:tcW w:w="1160" w:type="dxa"/>
            <w:shd w:val="clear" w:color="auto" w:fill="auto"/>
            <w:vAlign w:val="bottom"/>
          </w:tcPr>
          <w:p w14:paraId="0C44867C" w14:textId="672664A1" w:rsidR="00FD3DCD" w:rsidRPr="003D5ED4" w:rsidRDefault="000864E9" w:rsidP="00C16CF6">
            <w:pPr>
              <w:jc w:val="center"/>
              <w:rPr>
                <w:color w:val="000000"/>
                <w:sz w:val="20"/>
                <w:szCs w:val="20"/>
              </w:rPr>
            </w:pPr>
            <w:r w:rsidRPr="003D5ED4">
              <w:rPr>
                <w:color w:val="000000"/>
                <w:sz w:val="20"/>
                <w:szCs w:val="20"/>
              </w:rPr>
              <w:t>.25</w:t>
            </w:r>
          </w:p>
        </w:tc>
        <w:tc>
          <w:tcPr>
            <w:tcW w:w="966" w:type="dxa"/>
            <w:shd w:val="clear" w:color="auto" w:fill="auto"/>
            <w:noWrap/>
            <w:vAlign w:val="bottom"/>
          </w:tcPr>
          <w:p w14:paraId="3BE7F626" w14:textId="31F3CEC6" w:rsidR="00FD3DCD" w:rsidRPr="003D5ED4" w:rsidRDefault="00F82A74" w:rsidP="00C16CF6">
            <w:pPr>
              <w:jc w:val="center"/>
              <w:rPr>
                <w:color w:val="000000"/>
                <w:sz w:val="20"/>
                <w:szCs w:val="20"/>
              </w:rPr>
            </w:pPr>
            <w:r w:rsidRPr="003D5ED4">
              <w:rPr>
                <w:color w:val="000000"/>
                <w:sz w:val="20"/>
                <w:szCs w:val="20"/>
              </w:rPr>
              <w:t>63</w:t>
            </w:r>
          </w:p>
        </w:tc>
      </w:tr>
      <w:tr w:rsidR="00FD3DCD" w:rsidRPr="003D5ED4" w14:paraId="2E003C3D" w14:textId="77777777" w:rsidTr="00C16CF6">
        <w:trPr>
          <w:trHeight w:val="270"/>
        </w:trPr>
        <w:tc>
          <w:tcPr>
            <w:tcW w:w="4148" w:type="dxa"/>
            <w:shd w:val="clear" w:color="auto" w:fill="auto"/>
            <w:vAlign w:val="bottom"/>
          </w:tcPr>
          <w:p w14:paraId="47B361C9" w14:textId="5A13AAFA" w:rsidR="00FD3DCD" w:rsidRPr="003D5ED4" w:rsidRDefault="00FD3DCD" w:rsidP="00C16CF6">
            <w:pPr>
              <w:rPr>
                <w:b/>
                <w:color w:val="000000"/>
                <w:sz w:val="20"/>
                <w:szCs w:val="20"/>
              </w:rPr>
            </w:pPr>
            <w:r w:rsidRPr="003D5ED4">
              <w:rPr>
                <w:b/>
                <w:color w:val="000000"/>
                <w:sz w:val="20"/>
                <w:szCs w:val="20"/>
              </w:rPr>
              <w:t>Secondary Stakeholder Survey (SSS)</w:t>
            </w:r>
          </w:p>
        </w:tc>
        <w:tc>
          <w:tcPr>
            <w:tcW w:w="1327" w:type="dxa"/>
            <w:shd w:val="clear" w:color="auto" w:fill="auto"/>
            <w:noWrap/>
            <w:vAlign w:val="bottom"/>
          </w:tcPr>
          <w:p w14:paraId="47BB2599" w14:textId="46EF66E7" w:rsidR="00FD3DCD" w:rsidRPr="003D5ED4" w:rsidRDefault="000E5482" w:rsidP="00C16CF6">
            <w:pPr>
              <w:jc w:val="center"/>
              <w:rPr>
                <w:color w:val="000000"/>
                <w:sz w:val="20"/>
                <w:szCs w:val="20"/>
              </w:rPr>
            </w:pPr>
            <w:r w:rsidRPr="003D5ED4">
              <w:rPr>
                <w:color w:val="000000"/>
                <w:sz w:val="20"/>
                <w:szCs w:val="20"/>
              </w:rPr>
              <w:t>50</w:t>
            </w:r>
          </w:p>
        </w:tc>
        <w:tc>
          <w:tcPr>
            <w:tcW w:w="1273" w:type="dxa"/>
            <w:shd w:val="clear" w:color="auto" w:fill="auto"/>
            <w:noWrap/>
            <w:vAlign w:val="bottom"/>
          </w:tcPr>
          <w:p w14:paraId="719E46A8" w14:textId="37000A62" w:rsidR="00FD3DCD" w:rsidRPr="003D5ED4" w:rsidRDefault="00C90469" w:rsidP="00C16CF6">
            <w:pPr>
              <w:jc w:val="center"/>
              <w:rPr>
                <w:color w:val="000000"/>
                <w:sz w:val="20"/>
                <w:szCs w:val="20"/>
              </w:rPr>
            </w:pPr>
            <w:r w:rsidRPr="003D5ED4">
              <w:rPr>
                <w:color w:val="000000"/>
                <w:sz w:val="20"/>
                <w:szCs w:val="20"/>
              </w:rPr>
              <w:t>1</w:t>
            </w:r>
          </w:p>
        </w:tc>
        <w:tc>
          <w:tcPr>
            <w:tcW w:w="1160" w:type="dxa"/>
            <w:shd w:val="clear" w:color="auto" w:fill="auto"/>
            <w:vAlign w:val="bottom"/>
          </w:tcPr>
          <w:p w14:paraId="60098055" w14:textId="1370BCF8" w:rsidR="00FD3DCD" w:rsidRPr="003D5ED4" w:rsidRDefault="00F82A74" w:rsidP="00C16CF6">
            <w:pPr>
              <w:jc w:val="center"/>
              <w:rPr>
                <w:color w:val="000000"/>
                <w:sz w:val="20"/>
                <w:szCs w:val="20"/>
              </w:rPr>
            </w:pPr>
            <w:r w:rsidRPr="003D5ED4">
              <w:rPr>
                <w:color w:val="000000"/>
                <w:sz w:val="20"/>
                <w:szCs w:val="20"/>
              </w:rPr>
              <w:t>.5</w:t>
            </w:r>
          </w:p>
        </w:tc>
        <w:tc>
          <w:tcPr>
            <w:tcW w:w="966" w:type="dxa"/>
            <w:shd w:val="clear" w:color="auto" w:fill="auto"/>
            <w:noWrap/>
            <w:vAlign w:val="bottom"/>
          </w:tcPr>
          <w:p w14:paraId="678D2CE5" w14:textId="715059F8" w:rsidR="00FD3DCD" w:rsidRPr="003D5ED4" w:rsidRDefault="00F82A74" w:rsidP="00C16CF6">
            <w:pPr>
              <w:jc w:val="center"/>
              <w:rPr>
                <w:color w:val="000000"/>
                <w:sz w:val="20"/>
                <w:szCs w:val="20"/>
              </w:rPr>
            </w:pPr>
            <w:r w:rsidRPr="003D5ED4">
              <w:rPr>
                <w:color w:val="000000"/>
                <w:sz w:val="20"/>
                <w:szCs w:val="20"/>
              </w:rPr>
              <w:t>25</w:t>
            </w:r>
          </w:p>
        </w:tc>
      </w:tr>
      <w:tr w:rsidR="00C90469" w:rsidRPr="003D5ED4" w14:paraId="2177D174" w14:textId="77777777" w:rsidTr="000F31E3">
        <w:trPr>
          <w:trHeight w:val="270"/>
        </w:trPr>
        <w:tc>
          <w:tcPr>
            <w:tcW w:w="4148" w:type="dxa"/>
            <w:shd w:val="clear" w:color="auto" w:fill="auto"/>
            <w:vAlign w:val="bottom"/>
          </w:tcPr>
          <w:p w14:paraId="1A2D3BD3" w14:textId="753B5F16" w:rsidR="00C90469" w:rsidRPr="003D5ED4" w:rsidRDefault="00C90469" w:rsidP="00C16CF6">
            <w:pPr>
              <w:rPr>
                <w:b/>
                <w:color w:val="000000"/>
                <w:sz w:val="20"/>
                <w:szCs w:val="20"/>
              </w:rPr>
            </w:pPr>
            <w:r w:rsidRPr="003D5ED4">
              <w:rPr>
                <w:b/>
                <w:color w:val="000000"/>
                <w:sz w:val="20"/>
                <w:szCs w:val="20"/>
              </w:rPr>
              <w:t xml:space="preserve">Total </w:t>
            </w:r>
          </w:p>
        </w:tc>
        <w:tc>
          <w:tcPr>
            <w:tcW w:w="1327" w:type="dxa"/>
            <w:shd w:val="clear" w:color="auto" w:fill="auto"/>
            <w:noWrap/>
            <w:vAlign w:val="bottom"/>
          </w:tcPr>
          <w:p w14:paraId="545CDF8C" w14:textId="68ADCF39" w:rsidR="00C90469" w:rsidRPr="003D5ED4" w:rsidRDefault="00F82A74" w:rsidP="00C16CF6">
            <w:pPr>
              <w:jc w:val="center"/>
              <w:rPr>
                <w:color w:val="000000"/>
                <w:sz w:val="20"/>
                <w:szCs w:val="20"/>
              </w:rPr>
            </w:pPr>
            <w:r w:rsidRPr="003D5ED4">
              <w:rPr>
                <w:color w:val="000000"/>
                <w:sz w:val="20"/>
                <w:szCs w:val="20"/>
              </w:rPr>
              <w:t>430</w:t>
            </w:r>
          </w:p>
        </w:tc>
        <w:tc>
          <w:tcPr>
            <w:tcW w:w="1273" w:type="dxa"/>
            <w:shd w:val="clear" w:color="auto" w:fill="D9D9D9" w:themeFill="background1" w:themeFillShade="D9"/>
            <w:noWrap/>
            <w:vAlign w:val="bottom"/>
          </w:tcPr>
          <w:p w14:paraId="09F8EC28" w14:textId="6A459303" w:rsidR="00C90469" w:rsidRPr="003D5ED4" w:rsidRDefault="00C90469" w:rsidP="00C16CF6">
            <w:pPr>
              <w:jc w:val="center"/>
              <w:rPr>
                <w:color w:val="000000"/>
                <w:sz w:val="20"/>
                <w:szCs w:val="20"/>
              </w:rPr>
            </w:pPr>
          </w:p>
        </w:tc>
        <w:tc>
          <w:tcPr>
            <w:tcW w:w="1160" w:type="dxa"/>
            <w:shd w:val="clear" w:color="auto" w:fill="D9D9D9" w:themeFill="background1" w:themeFillShade="D9"/>
            <w:vAlign w:val="bottom"/>
          </w:tcPr>
          <w:p w14:paraId="2D887C65" w14:textId="20F82238" w:rsidR="00C90469" w:rsidRPr="003D5ED4" w:rsidRDefault="00C90469" w:rsidP="00C16CF6">
            <w:pPr>
              <w:jc w:val="center"/>
              <w:rPr>
                <w:color w:val="000000"/>
                <w:sz w:val="20"/>
                <w:szCs w:val="20"/>
              </w:rPr>
            </w:pPr>
          </w:p>
        </w:tc>
        <w:tc>
          <w:tcPr>
            <w:tcW w:w="966" w:type="dxa"/>
            <w:shd w:val="clear" w:color="auto" w:fill="auto"/>
            <w:noWrap/>
            <w:vAlign w:val="bottom"/>
          </w:tcPr>
          <w:p w14:paraId="6818FB91" w14:textId="32986958" w:rsidR="00C90469" w:rsidRPr="003D5ED4" w:rsidRDefault="00F82A74" w:rsidP="00C16CF6">
            <w:pPr>
              <w:jc w:val="center"/>
              <w:rPr>
                <w:color w:val="000000"/>
                <w:sz w:val="20"/>
                <w:szCs w:val="20"/>
              </w:rPr>
            </w:pPr>
            <w:r w:rsidRPr="003D5ED4">
              <w:rPr>
                <w:color w:val="000000"/>
                <w:sz w:val="20"/>
                <w:szCs w:val="20"/>
              </w:rPr>
              <w:t>218</w:t>
            </w:r>
          </w:p>
        </w:tc>
      </w:tr>
    </w:tbl>
    <w:p w14:paraId="11E90B19" w14:textId="77777777" w:rsidR="00FD3DCD" w:rsidRPr="003D5ED4" w:rsidRDefault="00FD3DCD" w:rsidP="0008300F"/>
    <w:p w14:paraId="484967A3" w14:textId="670E25BF" w:rsidR="00C90469" w:rsidRDefault="00C90469" w:rsidP="0008300F">
      <w:r w:rsidRPr="003D5ED4">
        <w:t>Exhibit 2 shows the estimated annualized cost burden based on the respondents’ time to complete the various data collection activities. The cost burden is estimated to be $</w:t>
      </w:r>
      <w:r w:rsidR="003D5ED4" w:rsidRPr="003D5ED4">
        <w:rPr>
          <w:color w:val="000000"/>
          <w:sz w:val="20"/>
          <w:szCs w:val="20"/>
        </w:rPr>
        <w:t>$5689</w:t>
      </w:r>
      <w:r>
        <w:t xml:space="preserve"> annually. </w:t>
      </w:r>
    </w:p>
    <w:p w14:paraId="67E597A8" w14:textId="77777777" w:rsidR="00C90469" w:rsidRDefault="00C90469" w:rsidP="0008300F"/>
    <w:p w14:paraId="19619A44" w14:textId="77777777" w:rsidR="002606A7" w:rsidRDefault="002606A7" w:rsidP="002606A7">
      <w:pPr>
        <w:rPr>
          <w:b/>
          <w:bCs/>
          <w:sz w:val="22"/>
          <w:szCs w:val="22"/>
        </w:rPr>
      </w:pPr>
      <w:r>
        <w:rPr>
          <w:b/>
          <w:bCs/>
        </w:rPr>
        <w:t>Exhibit 2.  Estimated annualized cost burden</w:t>
      </w:r>
    </w:p>
    <w:tbl>
      <w:tblPr>
        <w:tblW w:w="0" w:type="auto"/>
        <w:tblCellMar>
          <w:left w:w="0" w:type="dxa"/>
          <w:right w:w="0" w:type="dxa"/>
        </w:tblCellMar>
        <w:tblLook w:val="04A0" w:firstRow="1" w:lastRow="0" w:firstColumn="1" w:lastColumn="0" w:noHBand="0" w:noVBand="1"/>
      </w:tblPr>
      <w:tblGrid>
        <w:gridCol w:w="4248"/>
        <w:gridCol w:w="1327"/>
        <w:gridCol w:w="1260"/>
        <w:gridCol w:w="2160"/>
      </w:tblGrid>
      <w:tr w:rsidR="002606A7" w14:paraId="02D1841E" w14:textId="77777777" w:rsidTr="002606A7">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7DFB2" w14:textId="77777777" w:rsidR="002606A7" w:rsidRDefault="002606A7">
            <w:pPr>
              <w:jc w:val="center"/>
              <w:rPr>
                <w:b/>
                <w:bCs/>
              </w:rPr>
            </w:pPr>
            <w:r>
              <w:rPr>
                <w:b/>
                <w:bCs/>
                <w:color w:val="000000"/>
                <w:sz w:val="20"/>
                <w:szCs w:val="20"/>
              </w:rPr>
              <w:t>Form Name</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FD83F5" w14:textId="77777777" w:rsidR="002606A7" w:rsidRDefault="002606A7">
            <w:pPr>
              <w:jc w:val="center"/>
              <w:rPr>
                <w:b/>
                <w:bCs/>
              </w:rPr>
            </w:pPr>
            <w:r>
              <w:rPr>
                <w:b/>
                <w:bCs/>
                <w:color w:val="000000"/>
                <w:sz w:val="20"/>
                <w:szCs w:val="20"/>
              </w:rPr>
              <w:t>Total burden hours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BC351C" w14:textId="77777777" w:rsidR="002606A7" w:rsidRDefault="002606A7">
            <w:pPr>
              <w:jc w:val="center"/>
              <w:rPr>
                <w:b/>
                <w:bCs/>
              </w:rPr>
            </w:pPr>
            <w:r>
              <w:rPr>
                <w:b/>
                <w:bCs/>
                <w:color w:val="000000"/>
                <w:sz w:val="20"/>
                <w:szCs w:val="20"/>
              </w:rPr>
              <w:t>Average hourly wage rate*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E2440" w14:textId="77777777" w:rsidR="002606A7" w:rsidRDefault="002606A7">
            <w:pPr>
              <w:jc w:val="center"/>
              <w:rPr>
                <w:b/>
                <w:bCs/>
              </w:rPr>
            </w:pPr>
            <w:r>
              <w:rPr>
                <w:b/>
                <w:bCs/>
                <w:color w:val="000000"/>
                <w:sz w:val="20"/>
                <w:szCs w:val="20"/>
              </w:rPr>
              <w:t xml:space="preserve">Total Respondent cost </w:t>
            </w:r>
          </w:p>
        </w:tc>
      </w:tr>
      <w:tr w:rsidR="002606A7" w14:paraId="34F2A5F3" w14:textId="77777777" w:rsidTr="002606A7">
        <w:trPr>
          <w:trHeight w:val="412"/>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C636B6" w14:textId="77777777" w:rsidR="002606A7" w:rsidRDefault="002606A7">
            <w:pPr>
              <w:rPr>
                <w:b/>
                <w:bCs/>
                <w:color w:val="000000"/>
                <w:sz w:val="20"/>
                <w:szCs w:val="20"/>
                <w:highlight w:val="yellow"/>
              </w:rPr>
            </w:pPr>
            <w:r>
              <w:rPr>
                <w:b/>
                <w:bCs/>
                <w:color w:val="000000"/>
                <w:sz w:val="20"/>
                <w:szCs w:val="20"/>
              </w:rPr>
              <w:t>Community Leader Interview (CLI)</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2DA65B" w14:textId="77777777" w:rsidR="002606A7" w:rsidRDefault="002606A7">
            <w:pPr>
              <w:jc w:val="center"/>
              <w:rPr>
                <w:sz w:val="20"/>
                <w:szCs w:val="20"/>
              </w:rPr>
            </w:pPr>
            <w:r>
              <w:rPr>
                <w:sz w:val="20"/>
                <w:szCs w:val="20"/>
              </w:rPr>
              <w:t>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53D16B" w14:textId="77777777" w:rsidR="002606A7" w:rsidRDefault="002606A7">
            <w:pPr>
              <w:jc w:val="center"/>
              <w:rPr>
                <w:color w:val="000000"/>
                <w:sz w:val="20"/>
                <w:szCs w:val="20"/>
              </w:rPr>
            </w:pPr>
            <w:r>
              <w:rPr>
                <w:color w:val="000000"/>
                <w:sz w:val="20"/>
                <w:szCs w:val="20"/>
              </w:rPr>
              <w:t>$33.38</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95BFFA" w14:textId="77777777" w:rsidR="002606A7" w:rsidRDefault="002606A7">
            <w:pPr>
              <w:jc w:val="right"/>
              <w:rPr>
                <w:color w:val="000000"/>
                <w:sz w:val="20"/>
                <w:szCs w:val="20"/>
              </w:rPr>
            </w:pPr>
            <w:r>
              <w:rPr>
                <w:color w:val="000000"/>
                <w:sz w:val="20"/>
                <w:szCs w:val="20"/>
              </w:rPr>
              <w:t>$1669</w:t>
            </w:r>
          </w:p>
        </w:tc>
      </w:tr>
      <w:tr w:rsidR="002606A7" w14:paraId="62C09095" w14:textId="77777777" w:rsidTr="002606A7">
        <w:trPr>
          <w:trHeight w:val="196"/>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D523BB" w14:textId="77777777" w:rsidR="002606A7" w:rsidRDefault="002606A7">
            <w:pPr>
              <w:rPr>
                <w:b/>
                <w:bCs/>
                <w:color w:val="000000"/>
                <w:sz w:val="20"/>
                <w:szCs w:val="20"/>
              </w:rPr>
            </w:pPr>
            <w:r>
              <w:rPr>
                <w:b/>
                <w:bCs/>
                <w:color w:val="000000"/>
                <w:sz w:val="20"/>
                <w:szCs w:val="20"/>
              </w:rPr>
              <w:t>Coalition Member Focus Group (CFG)</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C8AF94" w14:textId="77777777" w:rsidR="002606A7" w:rsidRDefault="002606A7">
            <w:pPr>
              <w:jc w:val="center"/>
              <w:rPr>
                <w:sz w:val="20"/>
                <w:szCs w:val="20"/>
              </w:rPr>
            </w:pPr>
            <w:r>
              <w:rPr>
                <w:sz w:val="20"/>
                <w:szCs w:val="20"/>
              </w:rPr>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0470CC" w14:textId="77777777" w:rsidR="002606A7" w:rsidRDefault="002606A7">
            <w:pPr>
              <w:jc w:val="center"/>
              <w:rPr>
                <w:color w:val="000000"/>
                <w:sz w:val="20"/>
                <w:szCs w:val="20"/>
              </w:rPr>
            </w:pPr>
            <w:r>
              <w:rPr>
                <w:color w:val="000000"/>
                <w:sz w:val="20"/>
                <w:szCs w:val="20"/>
              </w:rPr>
              <w:t>$21.33</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680624" w14:textId="77777777" w:rsidR="002606A7" w:rsidRDefault="002606A7">
            <w:pPr>
              <w:jc w:val="right"/>
              <w:rPr>
                <w:color w:val="000000"/>
                <w:sz w:val="20"/>
                <w:szCs w:val="20"/>
              </w:rPr>
            </w:pPr>
            <w:r>
              <w:rPr>
                <w:color w:val="000000"/>
                <w:sz w:val="20"/>
                <w:szCs w:val="20"/>
              </w:rPr>
              <w:t>$1706</w:t>
            </w:r>
          </w:p>
        </w:tc>
      </w:tr>
      <w:tr w:rsidR="002606A7" w14:paraId="6A5BC607" w14:textId="77777777" w:rsidTr="002606A7">
        <w:trPr>
          <w:trHeight w:val="214"/>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77877D" w14:textId="77777777" w:rsidR="002606A7" w:rsidRDefault="002606A7">
            <w:pPr>
              <w:rPr>
                <w:b/>
                <w:bCs/>
                <w:color w:val="000000"/>
                <w:sz w:val="20"/>
                <w:szCs w:val="20"/>
              </w:rPr>
            </w:pPr>
            <w:r>
              <w:rPr>
                <w:b/>
                <w:bCs/>
                <w:color w:val="000000"/>
                <w:sz w:val="20"/>
                <w:szCs w:val="20"/>
              </w:rPr>
              <w:t>Coalition Assessment Survey (CAS)</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957457" w14:textId="77777777" w:rsidR="002606A7" w:rsidRDefault="002606A7">
            <w:pPr>
              <w:jc w:val="center"/>
              <w:rPr>
                <w:sz w:val="20"/>
                <w:szCs w:val="20"/>
              </w:rPr>
            </w:pPr>
            <w:r>
              <w:rPr>
                <w:sz w:val="20"/>
                <w:szCs w:val="20"/>
              </w:rPr>
              <w:t>63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9D14B6" w14:textId="77777777" w:rsidR="002606A7" w:rsidRDefault="002606A7">
            <w:pPr>
              <w:jc w:val="center"/>
              <w:rPr>
                <w:color w:val="000000"/>
                <w:sz w:val="20"/>
                <w:szCs w:val="20"/>
              </w:rPr>
            </w:pPr>
            <w:r>
              <w:rPr>
                <w:color w:val="000000"/>
                <w:sz w:val="20"/>
                <w:szCs w:val="20"/>
              </w:rPr>
              <w:t>$21.33</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303B33" w14:textId="77777777" w:rsidR="002606A7" w:rsidRDefault="002606A7">
            <w:pPr>
              <w:jc w:val="right"/>
              <w:rPr>
                <w:color w:val="000000"/>
                <w:sz w:val="20"/>
                <w:szCs w:val="20"/>
              </w:rPr>
            </w:pPr>
            <w:r>
              <w:rPr>
                <w:color w:val="000000"/>
                <w:sz w:val="20"/>
                <w:szCs w:val="20"/>
              </w:rPr>
              <w:t>$1344</w:t>
            </w:r>
          </w:p>
        </w:tc>
      </w:tr>
      <w:tr w:rsidR="002606A7" w14:paraId="10F76705" w14:textId="77777777" w:rsidTr="002606A7">
        <w:trPr>
          <w:trHeight w:val="232"/>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C8E4B7" w14:textId="77777777" w:rsidR="002606A7" w:rsidRDefault="002606A7">
            <w:pPr>
              <w:rPr>
                <w:b/>
                <w:bCs/>
                <w:color w:val="000000"/>
                <w:sz w:val="20"/>
                <w:szCs w:val="20"/>
              </w:rPr>
            </w:pPr>
            <w:r>
              <w:rPr>
                <w:b/>
                <w:bCs/>
                <w:color w:val="000000"/>
                <w:sz w:val="20"/>
                <w:szCs w:val="20"/>
              </w:rPr>
              <w:t>Secondary Stakeholder Survey (SSS)</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FB2914" w14:textId="77777777" w:rsidR="002606A7" w:rsidRDefault="002606A7">
            <w:pPr>
              <w:jc w:val="center"/>
              <w:rPr>
                <w:sz w:val="20"/>
                <w:szCs w:val="20"/>
              </w:rPr>
            </w:pPr>
            <w:r>
              <w:rPr>
                <w:sz w:val="20"/>
                <w:szCs w:val="20"/>
              </w:rPr>
              <w:t>25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63D3FD" w14:textId="77777777" w:rsidR="002606A7" w:rsidRDefault="002606A7">
            <w:pPr>
              <w:jc w:val="center"/>
              <w:rPr>
                <w:color w:val="000000"/>
                <w:sz w:val="20"/>
                <w:szCs w:val="20"/>
              </w:rPr>
            </w:pPr>
            <w:r>
              <w:rPr>
                <w:color w:val="000000"/>
                <w:sz w:val="20"/>
                <w:szCs w:val="20"/>
              </w:rPr>
              <w:t>$38.78</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C83DCC" w14:textId="77777777" w:rsidR="002606A7" w:rsidRDefault="002606A7">
            <w:pPr>
              <w:jc w:val="right"/>
              <w:rPr>
                <w:color w:val="000000"/>
                <w:sz w:val="20"/>
                <w:szCs w:val="20"/>
              </w:rPr>
            </w:pPr>
            <w:r>
              <w:rPr>
                <w:color w:val="000000"/>
                <w:sz w:val="20"/>
                <w:szCs w:val="20"/>
              </w:rPr>
              <w:t>$970</w:t>
            </w:r>
          </w:p>
        </w:tc>
      </w:tr>
      <w:tr w:rsidR="002606A7" w14:paraId="773F1851" w14:textId="77777777" w:rsidTr="002606A7">
        <w:trPr>
          <w:trHeight w:val="250"/>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37EF39" w14:textId="77777777" w:rsidR="002606A7" w:rsidRDefault="002606A7">
            <w:pPr>
              <w:rPr>
                <w:b/>
                <w:bCs/>
                <w:color w:val="000000"/>
                <w:sz w:val="20"/>
                <w:szCs w:val="20"/>
              </w:rPr>
            </w:pPr>
            <w:r>
              <w:rPr>
                <w:b/>
                <w:bCs/>
                <w:color w:val="000000"/>
                <w:sz w:val="20"/>
                <w:szCs w:val="20"/>
              </w:rPr>
              <w:t>Total</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E157B1" w14:textId="77777777" w:rsidR="002606A7" w:rsidRDefault="002606A7">
            <w:pPr>
              <w:jc w:val="center"/>
              <w:rPr>
                <w:color w:val="000000"/>
                <w:sz w:val="20"/>
                <w:szCs w:val="20"/>
              </w:rPr>
            </w:pPr>
            <w:r>
              <w:rPr>
                <w:color w:val="000000"/>
                <w:sz w:val="20"/>
                <w:szCs w:val="20"/>
              </w:rPr>
              <w:t>218</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tcPr>
          <w:p w14:paraId="59EDF00D" w14:textId="77777777" w:rsidR="002606A7" w:rsidRDefault="002606A7">
            <w:pPr>
              <w:jc w:val="center"/>
              <w:rPr>
                <w:color w:val="000000"/>
                <w:sz w:val="20"/>
                <w:szCs w:val="20"/>
                <w:highlight w:val="yellow"/>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1EF8E5" w14:textId="77777777" w:rsidR="002606A7" w:rsidRDefault="002606A7">
            <w:pPr>
              <w:jc w:val="right"/>
              <w:rPr>
                <w:color w:val="000000"/>
                <w:sz w:val="20"/>
                <w:szCs w:val="20"/>
              </w:rPr>
            </w:pPr>
            <w:r>
              <w:rPr>
                <w:color w:val="000000"/>
                <w:sz w:val="20"/>
                <w:szCs w:val="20"/>
              </w:rPr>
              <w:t>$5689</w:t>
            </w:r>
          </w:p>
        </w:tc>
      </w:tr>
    </w:tbl>
    <w:p w14:paraId="60E2DA13" w14:textId="5D599DE5" w:rsidR="00C90469" w:rsidRPr="000F31E3" w:rsidRDefault="00C90469" w:rsidP="000F31E3">
      <w:pPr>
        <w:pStyle w:val="Heading2"/>
        <w:pBdr>
          <w:bottom w:val="dotted" w:sz="6" w:space="0" w:color="666666"/>
        </w:pBdr>
        <w:shd w:val="clear" w:color="auto" w:fill="FFFFFF"/>
        <w:spacing w:before="90" w:after="105" w:line="293" w:lineRule="atLeast"/>
        <w:rPr>
          <w:rFonts w:ascii="Times New Roman" w:hAnsi="Times New Roman" w:cs="Times New Roman"/>
          <w:b w:val="0"/>
          <w:bCs w:val="0"/>
          <w:i w:val="0"/>
          <w:sz w:val="18"/>
          <w:szCs w:val="18"/>
        </w:rPr>
      </w:pPr>
      <w:r w:rsidRPr="000F31E3">
        <w:rPr>
          <w:rFonts w:ascii="Times New Roman" w:hAnsi="Times New Roman" w:cs="Times New Roman"/>
          <w:b w:val="0"/>
          <w:i w:val="0"/>
          <w:sz w:val="18"/>
          <w:szCs w:val="18"/>
        </w:rPr>
        <w:t>*The wage rate in Exhibit 2 is based on April 2016 National Industry-Specific Occupational Employment and Wage Estimates, Bureau of Labor Statistics, U.S. Dept. of Labor. The mean hourly wage for</w:t>
      </w:r>
      <w:r w:rsidR="009E4458" w:rsidRPr="000F31E3">
        <w:rPr>
          <w:rFonts w:ascii="Times New Roman" w:hAnsi="Times New Roman" w:cs="Times New Roman"/>
          <w:b w:val="0"/>
          <w:i w:val="0"/>
          <w:sz w:val="18"/>
          <w:szCs w:val="18"/>
        </w:rPr>
        <w:t xml:space="preserve"> Social and Community Service Managers, Community and Social Service Specialists, and Social Scientists</w:t>
      </w:r>
      <w:r w:rsidR="009E4458" w:rsidRPr="000F31E3" w:rsidDel="009E4458">
        <w:rPr>
          <w:rFonts w:ascii="Times New Roman" w:hAnsi="Times New Roman" w:cs="Times New Roman"/>
          <w:b w:val="0"/>
          <w:i w:val="0"/>
          <w:sz w:val="18"/>
          <w:szCs w:val="18"/>
        </w:rPr>
        <w:t xml:space="preserve"> </w:t>
      </w:r>
      <w:r w:rsidRPr="000F31E3">
        <w:rPr>
          <w:rFonts w:ascii="Times New Roman" w:hAnsi="Times New Roman" w:cs="Times New Roman"/>
          <w:b w:val="0"/>
          <w:i w:val="0"/>
          <w:sz w:val="18"/>
          <w:szCs w:val="18"/>
        </w:rPr>
        <w:t>(</w:t>
      </w:r>
      <w:r w:rsidR="009E4458" w:rsidRPr="000F31E3">
        <w:rPr>
          <w:rFonts w:ascii="Times New Roman" w:hAnsi="Times New Roman" w:cs="Times New Roman"/>
          <w:b w:val="0"/>
          <w:i w:val="0"/>
          <w:sz w:val="18"/>
          <w:szCs w:val="18"/>
        </w:rPr>
        <w:t xml:space="preserve">Social and Community Service Managers, </w:t>
      </w:r>
      <w:r w:rsidR="009E4458" w:rsidRPr="000F31E3">
        <w:rPr>
          <w:rFonts w:ascii="Times New Roman" w:hAnsi="Times New Roman" w:cs="Times New Roman"/>
          <w:b w:val="0"/>
          <w:i w:val="0"/>
          <w:sz w:val="18"/>
          <w:szCs w:val="18"/>
          <w:shd w:val="clear" w:color="auto" w:fill="FFFFFF"/>
        </w:rPr>
        <w:t xml:space="preserve">$33.38, </w:t>
      </w:r>
      <w:r w:rsidR="009E4458" w:rsidRPr="000F31E3">
        <w:rPr>
          <w:rFonts w:ascii="Times New Roman" w:hAnsi="Times New Roman" w:cs="Times New Roman"/>
          <w:b w:val="0"/>
          <w:i w:val="0"/>
          <w:sz w:val="18"/>
          <w:szCs w:val="18"/>
        </w:rPr>
        <w:t>Occupation Code</w:t>
      </w:r>
      <w:r w:rsidR="009E4458" w:rsidRPr="000F31E3">
        <w:rPr>
          <w:rFonts w:ascii="Times New Roman" w:hAnsi="Times New Roman" w:cs="Times New Roman"/>
          <w:b w:val="0"/>
          <w:bCs w:val="0"/>
          <w:i w:val="0"/>
          <w:sz w:val="18"/>
          <w:szCs w:val="18"/>
        </w:rPr>
        <w:t xml:space="preserve">, 11-9151; </w:t>
      </w:r>
      <w:r w:rsidR="009E4458" w:rsidRPr="000F31E3">
        <w:rPr>
          <w:rFonts w:ascii="Times New Roman" w:hAnsi="Times New Roman" w:cs="Times New Roman"/>
          <w:b w:val="0"/>
          <w:i w:val="0"/>
          <w:sz w:val="18"/>
          <w:szCs w:val="18"/>
        </w:rPr>
        <w:t xml:space="preserve">Community and Social Service Specialists, </w:t>
      </w:r>
      <w:r w:rsidR="009E4458" w:rsidRPr="000F31E3">
        <w:rPr>
          <w:rFonts w:ascii="Times New Roman" w:hAnsi="Times New Roman" w:cs="Times New Roman"/>
          <w:b w:val="0"/>
          <w:i w:val="0"/>
          <w:sz w:val="18"/>
          <w:szCs w:val="18"/>
          <w:shd w:val="clear" w:color="auto" w:fill="FFFFFF"/>
        </w:rPr>
        <w:t xml:space="preserve">$21.33, </w:t>
      </w:r>
      <w:r w:rsidR="009E4458" w:rsidRPr="000F31E3">
        <w:rPr>
          <w:rFonts w:ascii="Times New Roman" w:hAnsi="Times New Roman" w:cs="Times New Roman"/>
          <w:b w:val="0"/>
          <w:i w:val="0"/>
          <w:sz w:val="18"/>
          <w:szCs w:val="18"/>
        </w:rPr>
        <w:t>Occupation Code</w:t>
      </w:r>
      <w:r w:rsidR="009E4458" w:rsidRPr="000F31E3">
        <w:rPr>
          <w:rFonts w:ascii="Times New Roman" w:hAnsi="Times New Roman" w:cs="Times New Roman"/>
          <w:b w:val="0"/>
          <w:bCs w:val="0"/>
          <w:i w:val="0"/>
          <w:sz w:val="18"/>
          <w:szCs w:val="18"/>
        </w:rPr>
        <w:t xml:space="preserve"> 21-1099; </w:t>
      </w:r>
      <w:r w:rsidR="009E4458" w:rsidRPr="000F31E3">
        <w:rPr>
          <w:rFonts w:ascii="Times New Roman" w:hAnsi="Times New Roman" w:cs="Times New Roman"/>
          <w:b w:val="0"/>
          <w:i w:val="0"/>
          <w:sz w:val="18"/>
          <w:szCs w:val="18"/>
        </w:rPr>
        <w:t xml:space="preserve">Social Scientists, </w:t>
      </w:r>
      <w:r w:rsidR="009E4458" w:rsidRPr="000F31E3">
        <w:rPr>
          <w:rFonts w:ascii="Times New Roman" w:hAnsi="Times New Roman" w:cs="Times New Roman"/>
          <w:b w:val="0"/>
          <w:i w:val="0"/>
          <w:sz w:val="18"/>
          <w:szCs w:val="18"/>
          <w:shd w:val="clear" w:color="auto" w:fill="FFFFFF"/>
        </w:rPr>
        <w:t>$38.78</w:t>
      </w:r>
      <w:r w:rsidR="009E4458" w:rsidRPr="000F31E3">
        <w:rPr>
          <w:rFonts w:ascii="Times New Roman" w:hAnsi="Times New Roman" w:cs="Times New Roman"/>
          <w:b w:val="0"/>
          <w:i w:val="0"/>
          <w:sz w:val="18"/>
          <w:szCs w:val="18"/>
        </w:rPr>
        <w:t>, Occupation Code</w:t>
      </w:r>
      <w:r w:rsidR="009E4458" w:rsidRPr="000F31E3">
        <w:rPr>
          <w:rFonts w:ascii="Times New Roman" w:hAnsi="Times New Roman" w:cs="Times New Roman"/>
          <w:b w:val="0"/>
          <w:bCs w:val="0"/>
          <w:i w:val="0"/>
          <w:sz w:val="18"/>
          <w:szCs w:val="18"/>
        </w:rPr>
        <w:t xml:space="preserve"> 19-3099</w:t>
      </w:r>
      <w:r w:rsidRPr="000F31E3">
        <w:rPr>
          <w:rFonts w:ascii="Times New Roman" w:hAnsi="Times New Roman" w:cs="Times New Roman"/>
          <w:b w:val="0"/>
          <w:i w:val="0"/>
          <w:sz w:val="18"/>
          <w:szCs w:val="18"/>
        </w:rPr>
        <w:t xml:space="preserve">) is located at </w:t>
      </w:r>
      <w:hyperlink r:id="rId12" w:anchor="11-0000" w:history="1">
        <w:r w:rsidRPr="000F31E3">
          <w:rPr>
            <w:rStyle w:val="Hyperlink"/>
            <w:rFonts w:ascii="Times New Roman" w:hAnsi="Times New Roman" w:cs="Times New Roman"/>
            <w:b w:val="0"/>
            <w:i w:val="0"/>
            <w:color w:val="auto"/>
            <w:sz w:val="18"/>
            <w:szCs w:val="18"/>
          </w:rPr>
          <w:t>http://www.bls.gov/oes/current/naics4_999200.htm#11-0000</w:t>
        </w:r>
      </w:hyperlink>
      <w:r w:rsidRPr="000F31E3">
        <w:rPr>
          <w:rFonts w:ascii="Times New Roman" w:hAnsi="Times New Roman" w:cs="Times New Roman"/>
          <w:b w:val="0"/>
          <w:i w:val="0"/>
          <w:sz w:val="18"/>
          <w:szCs w:val="18"/>
        </w:rPr>
        <w:t xml:space="preserve">.  </w:t>
      </w:r>
    </w:p>
    <w:p w14:paraId="5404D11A" w14:textId="0CCA9ADA" w:rsidR="00F82A74" w:rsidRPr="00FD3DCD" w:rsidRDefault="00F82A74" w:rsidP="0008300F"/>
    <w:p w14:paraId="282E223C" w14:textId="77777777" w:rsidR="009B633D" w:rsidRPr="00412C6F" w:rsidRDefault="009B633D" w:rsidP="00A539DE">
      <w:pPr>
        <w:pStyle w:val="Heading2"/>
        <w:spacing w:after="0"/>
        <w:rPr>
          <w:sz w:val="24"/>
        </w:rPr>
      </w:pPr>
      <w:bookmarkStart w:id="42" w:name="_Toc151782188"/>
      <w:bookmarkStart w:id="43" w:name="_Toc158526228"/>
      <w:bookmarkStart w:id="44" w:name="_Toc410053835"/>
      <w:r w:rsidRPr="00412C6F">
        <w:rPr>
          <w:sz w:val="24"/>
        </w:rPr>
        <w:t>13. Estimates of Annualized Respondent Capital and Maintenance Costs</w:t>
      </w:r>
      <w:bookmarkEnd w:id="42"/>
      <w:bookmarkEnd w:id="43"/>
      <w:bookmarkEnd w:id="44"/>
    </w:p>
    <w:p w14:paraId="0CE42221" w14:textId="12DC54F1" w:rsidR="00BD3663" w:rsidRDefault="00240FEA" w:rsidP="00A539DE">
      <w:r w:rsidRPr="00005255">
        <w:t xml:space="preserve">Capital and maintenance costs include the purchase of equipment, computers or computer software or services, or storage facilities for records, as a result of complying with this data collection.  </w:t>
      </w:r>
      <w:r w:rsidR="00BD3663" w:rsidRPr="00005255">
        <w:t xml:space="preserve">There are no direct costs to respondents other than their time to participate in the </w:t>
      </w:r>
      <w:r w:rsidR="00FF74E4">
        <w:t>data collection activities associated with the Evaluation</w:t>
      </w:r>
      <w:r w:rsidR="00BD3663" w:rsidRPr="00005255">
        <w:t>.</w:t>
      </w:r>
    </w:p>
    <w:p w14:paraId="26FE06A9" w14:textId="77777777" w:rsidR="009B633D" w:rsidRDefault="009B633D" w:rsidP="00A539DE">
      <w:pPr>
        <w:pStyle w:val="Heading2"/>
        <w:spacing w:after="0"/>
        <w:rPr>
          <w:b w:val="0"/>
          <w:i w:val="0"/>
          <w:sz w:val="24"/>
        </w:rPr>
      </w:pPr>
      <w:bookmarkStart w:id="45" w:name="_Toc58725299"/>
      <w:bookmarkStart w:id="46" w:name="_Toc151782189"/>
      <w:bookmarkStart w:id="47" w:name="_Toc158526229"/>
      <w:bookmarkStart w:id="48" w:name="_Toc410053836"/>
      <w:r w:rsidRPr="00412C6F">
        <w:rPr>
          <w:sz w:val="24"/>
        </w:rPr>
        <w:lastRenderedPageBreak/>
        <w:t>14. Estimates of Annualized Cost to the Government</w:t>
      </w:r>
      <w:bookmarkEnd w:id="45"/>
      <w:bookmarkEnd w:id="46"/>
      <w:bookmarkEnd w:id="47"/>
      <w:bookmarkEnd w:id="48"/>
    </w:p>
    <w:p w14:paraId="7A523D7C" w14:textId="77777777" w:rsidR="00080BD8" w:rsidRDefault="00080BD8">
      <w:pPr>
        <w:rPr>
          <w:rFonts w:ascii="Arial" w:hAnsi="Arial" w:cs="Arial"/>
          <w:b/>
          <w:bCs/>
          <w:i/>
          <w:iCs/>
          <w:szCs w:val="28"/>
        </w:rPr>
      </w:pPr>
      <w:bookmarkStart w:id="49" w:name="_Toc151782190"/>
      <w:bookmarkStart w:id="50" w:name="_Toc158526230"/>
      <w:bookmarkStart w:id="51" w:name="_Toc410053837"/>
    </w:p>
    <w:p w14:paraId="4ED7DC35" w14:textId="4ABDB98E" w:rsidR="00A42DA0" w:rsidRPr="005778DC" w:rsidRDefault="00A42DA0" w:rsidP="00A42DA0">
      <w:r>
        <w:t>Exhibit 3 shows the estimated annualized cost to the government for developing, fielding, and reporting the results of the CLI, CFG, CAS and SSS</w:t>
      </w:r>
      <w:r w:rsidRPr="005778DC">
        <w:t>.</w:t>
      </w:r>
    </w:p>
    <w:p w14:paraId="4A27CA59" w14:textId="77777777" w:rsidR="00A42DA0" w:rsidRPr="005778DC" w:rsidRDefault="00A42DA0" w:rsidP="00A42DA0">
      <w:pPr>
        <w:rPr>
          <w:bCs/>
          <w:color w:val="000000"/>
        </w:rPr>
      </w:pPr>
    </w:p>
    <w:p w14:paraId="738AA427" w14:textId="77777777" w:rsidR="00A42DA0" w:rsidRDefault="00A42DA0" w:rsidP="00A42DA0">
      <w:pPr>
        <w:rPr>
          <w:b/>
          <w:bCs/>
          <w:color w:val="000000"/>
        </w:rPr>
      </w:pPr>
      <w:r>
        <w:rPr>
          <w:b/>
          <w:bCs/>
          <w:color w:val="000000"/>
        </w:rPr>
        <w:t xml:space="preserve">Exhibit 3. </w:t>
      </w:r>
      <w:r w:rsidRPr="00995C7C">
        <w:rPr>
          <w:b/>
          <w:bCs/>
          <w:color w:val="000000"/>
        </w:rPr>
        <w:t>Estimated Annualized Cost</w:t>
      </w:r>
    </w:p>
    <w:p w14:paraId="287F389A" w14:textId="18133A6A" w:rsidR="004510CA" w:rsidRPr="00F10EF9" w:rsidRDefault="004510CA" w:rsidP="004510CA">
      <w:pPr>
        <w:rPr>
          <w:rFonts w:ascii="Calibri" w:hAnsi="Calibri"/>
          <w:color w:val="000000"/>
          <w:sz w:val="22"/>
          <w:szCs w:val="22"/>
        </w:rPr>
      </w:pPr>
      <w:r>
        <w:t xml:space="preserve">The evaluation contract has been awarded to ICF International for evaluation of the Guide. </w:t>
      </w:r>
      <w:r w:rsidR="00A96D4A">
        <w:rPr>
          <w:color w:val="1F497D"/>
        </w:rPr>
        <w:t xml:space="preserve">The total cost to the federal government is </w:t>
      </w:r>
      <w:r w:rsidR="005778DC" w:rsidRPr="005778DC">
        <w:rPr>
          <w:bCs/>
        </w:rPr>
        <w:t>$271,176</w:t>
      </w:r>
      <w:r w:rsidRPr="0007319F">
        <w:t xml:space="preserve">. The estimated average annual cost of the contract will be </w:t>
      </w:r>
      <w:r w:rsidR="005778DC" w:rsidRPr="005778DC">
        <w:rPr>
          <w:bCs/>
        </w:rPr>
        <w:t>$180,784</w:t>
      </w:r>
      <w:r w:rsidRPr="00F10EF9">
        <w:t>.</w:t>
      </w:r>
      <w:r>
        <w:t xml:space="preserve"> Included in these costs are the expenses related to developing and monitoring the </w:t>
      </w:r>
      <w:r w:rsidR="005778DC">
        <w:t xml:space="preserve">evaluation </w:t>
      </w:r>
      <w:r>
        <w:t xml:space="preserve">including, but not limited to, developing the evaluation design; developing the evaluation instrumentation; </w:t>
      </w:r>
      <w:r w:rsidR="005778DC">
        <w:t>data collection</w:t>
      </w:r>
      <w:r>
        <w:t xml:space="preserve">; and data </w:t>
      </w:r>
      <w:r w:rsidR="005778DC">
        <w:t xml:space="preserve">processing and analysis; report development </w:t>
      </w:r>
      <w:r>
        <w:t xml:space="preserve">and </w:t>
      </w:r>
      <w:r w:rsidR="005778DC">
        <w:t>publication of results. The costs also include overall project development and program management.</w:t>
      </w:r>
    </w:p>
    <w:p w14:paraId="26E8DFA1" w14:textId="77777777" w:rsidR="00A42DA0" w:rsidRDefault="00A42DA0">
      <w:pPr>
        <w:rPr>
          <w:rFonts w:ascii="Arial" w:hAnsi="Arial" w:cs="Arial"/>
          <w:b/>
          <w:bCs/>
          <w:i/>
          <w:iCs/>
          <w:szCs w:val="28"/>
        </w:rPr>
      </w:pPr>
    </w:p>
    <w:p w14:paraId="400DB1D0" w14:textId="77777777" w:rsidR="008074A9" w:rsidRDefault="009B633D" w:rsidP="00715DB6">
      <w:pPr>
        <w:pStyle w:val="Heading2"/>
        <w:spacing w:before="0" w:after="0"/>
        <w:rPr>
          <w:sz w:val="24"/>
        </w:rPr>
      </w:pPr>
      <w:r w:rsidRPr="00412C6F">
        <w:rPr>
          <w:sz w:val="24"/>
        </w:rPr>
        <w:t>15. Changes in Hour Burden</w:t>
      </w:r>
      <w:bookmarkStart w:id="52" w:name="_Toc151782191"/>
      <w:bookmarkStart w:id="53" w:name="_Toc158526231"/>
      <w:bookmarkEnd w:id="49"/>
      <w:bookmarkEnd w:id="50"/>
      <w:bookmarkEnd w:id="51"/>
    </w:p>
    <w:p w14:paraId="686B4476" w14:textId="77777777" w:rsidR="008074A9" w:rsidRPr="008074A9" w:rsidRDefault="008074A9" w:rsidP="001301B3">
      <w:pPr>
        <w:rPr>
          <w:b/>
          <w:bCs/>
          <w:i/>
          <w:iCs/>
        </w:rPr>
      </w:pPr>
      <w:r w:rsidRPr="008074A9">
        <w:t xml:space="preserve">This is a new collection of information. </w:t>
      </w:r>
    </w:p>
    <w:p w14:paraId="762E6324" w14:textId="77777777" w:rsidR="009B633D" w:rsidRPr="00412C6F" w:rsidRDefault="009B633D" w:rsidP="002B43BC">
      <w:pPr>
        <w:pStyle w:val="Heading2"/>
        <w:spacing w:after="0"/>
        <w:rPr>
          <w:sz w:val="24"/>
        </w:rPr>
      </w:pPr>
      <w:bookmarkStart w:id="54" w:name="_Toc410053838"/>
      <w:r w:rsidRPr="00412C6F">
        <w:rPr>
          <w:sz w:val="24"/>
        </w:rPr>
        <w:t>16. Time Schedule, Publication and Analysis Plans</w:t>
      </w:r>
      <w:bookmarkEnd w:id="52"/>
      <w:bookmarkEnd w:id="53"/>
      <w:bookmarkEnd w:id="54"/>
    </w:p>
    <w:p w14:paraId="6C9E5B14" w14:textId="07FCBD78" w:rsidR="00A65897" w:rsidRPr="002112A0" w:rsidRDefault="00A65897" w:rsidP="00A65897">
      <w:bookmarkStart w:id="55" w:name="_Toc151782192"/>
      <w:r>
        <w:t xml:space="preserve">As soon as OMB approval is received, </w:t>
      </w:r>
      <w:r w:rsidR="006C577C">
        <w:t>data collection via the Community Leader Interviews, Coalition Member Focus Groups, and Secondary Stakeholder Surveys will begin.</w:t>
      </w:r>
      <w:r w:rsidR="00964E41">
        <w:t xml:space="preserve"> Administration of the Coalition Assessment Survey will take place several weeks after the Coalition Member Focus Groups to reduce burden for coalition members who participate in both data collection activities.</w:t>
      </w:r>
      <w:r w:rsidR="006C577C">
        <w:t xml:space="preserve"> </w:t>
      </w:r>
      <w:r>
        <w:t xml:space="preserve">Information for the </w:t>
      </w:r>
      <w:r w:rsidR="00BB1E99">
        <w:t>e</w:t>
      </w:r>
      <w:r w:rsidR="00964E41">
        <w:t>valuation</w:t>
      </w:r>
      <w:r>
        <w:t xml:space="preserve"> </w:t>
      </w:r>
      <w:r w:rsidR="000E5482">
        <w:t>will be</w:t>
      </w:r>
      <w:r>
        <w:t xml:space="preserve"> collected by </w:t>
      </w:r>
      <w:r w:rsidR="00964E41">
        <w:t>OASH through its contractor, ICF International</w:t>
      </w:r>
      <w:r w:rsidR="00966B3E" w:rsidRPr="009A3770">
        <w:t xml:space="preserve">. </w:t>
      </w:r>
      <w:r w:rsidRPr="00A03CC5">
        <w:t>The estimated time to conduct these</w:t>
      </w:r>
      <w:r w:rsidRPr="002112A0">
        <w:t xml:space="preserve"> activities is shown below:</w:t>
      </w:r>
    </w:p>
    <w:p w14:paraId="121909FA" w14:textId="77777777" w:rsidR="00A65897" w:rsidRDefault="00A65897" w:rsidP="004D171B"/>
    <w:p w14:paraId="65A06B19" w14:textId="09FEF16D" w:rsidR="0089241E" w:rsidRDefault="00950F8D" w:rsidP="00A65897">
      <w:pPr>
        <w:pStyle w:val="ListParagraph"/>
        <w:numPr>
          <w:ilvl w:val="0"/>
          <w:numId w:val="6"/>
        </w:numPr>
      </w:pPr>
      <w:r>
        <w:t>Finalize</w:t>
      </w:r>
      <w:r w:rsidR="0089241E">
        <w:t xml:space="preserve"> introductory</w:t>
      </w:r>
      <w:r w:rsidR="007257FC">
        <w:t>/recruitment</w:t>
      </w:r>
      <w:r w:rsidR="0089241E">
        <w:t xml:space="preserve"> letter</w:t>
      </w:r>
      <w:r w:rsidR="00080BD8">
        <w:t>s</w:t>
      </w:r>
      <w:r w:rsidR="0089241E">
        <w:t xml:space="preserve"> </w:t>
      </w:r>
      <w:r>
        <w:t>(draft</w:t>
      </w:r>
      <w:r w:rsidR="00080BD8">
        <w:t>s</w:t>
      </w:r>
      <w:r w:rsidR="004510CA">
        <w:t xml:space="preserve"> shown as Attachment A</w:t>
      </w:r>
      <w:r>
        <w:t xml:space="preserve">) </w:t>
      </w:r>
      <w:r w:rsidR="0089241E">
        <w:t xml:space="preserve">to </w:t>
      </w:r>
      <w:r w:rsidR="00964E41">
        <w:t>community leaders, coalition members and secondary stakeholders (adolescent health experts and state/local health department officials)</w:t>
      </w:r>
      <w:r w:rsidR="0089241E">
        <w:t xml:space="preserve"> (</w:t>
      </w:r>
      <w:r w:rsidR="00964E41">
        <w:t>1 week</w:t>
      </w:r>
      <w:r w:rsidR="005D606E">
        <w:t xml:space="preserve"> following OMB approval</w:t>
      </w:r>
      <w:r w:rsidR="0089241E">
        <w:t>)</w:t>
      </w:r>
    </w:p>
    <w:p w14:paraId="56398F86" w14:textId="61A1BE68" w:rsidR="00A65897" w:rsidRPr="004A7F49" w:rsidRDefault="0089241E" w:rsidP="00A65897">
      <w:pPr>
        <w:pStyle w:val="ListParagraph"/>
        <w:numPr>
          <w:ilvl w:val="0"/>
          <w:numId w:val="6"/>
        </w:numPr>
      </w:pPr>
      <w:r>
        <w:t xml:space="preserve">Recruit </w:t>
      </w:r>
      <w:r w:rsidR="00964E41">
        <w:t>participants for each data collection activity</w:t>
      </w:r>
      <w:r>
        <w:t xml:space="preserve"> (</w:t>
      </w:r>
      <w:r w:rsidRPr="004A7F49">
        <w:t xml:space="preserve">3 </w:t>
      </w:r>
      <w:r w:rsidR="00964E41">
        <w:t>weeks</w:t>
      </w:r>
      <w:r w:rsidR="005D606E">
        <w:t xml:space="preserve"> following OMB approval</w:t>
      </w:r>
      <w:r w:rsidRPr="004A7F49">
        <w:t>)</w:t>
      </w:r>
      <w:r w:rsidR="00966B3E" w:rsidRPr="004A7F49">
        <w:t xml:space="preserve"> </w:t>
      </w:r>
    </w:p>
    <w:p w14:paraId="7943E1AA" w14:textId="723E6589" w:rsidR="0089241E" w:rsidRPr="004A7F49" w:rsidRDefault="0089241E" w:rsidP="00A65897">
      <w:pPr>
        <w:pStyle w:val="ListParagraph"/>
        <w:numPr>
          <w:ilvl w:val="0"/>
          <w:numId w:val="6"/>
        </w:numPr>
      </w:pPr>
      <w:r>
        <w:t>D</w:t>
      </w:r>
      <w:r w:rsidR="00966B3E" w:rsidRPr="009A3770">
        <w:t xml:space="preserve">ata </w:t>
      </w:r>
      <w:r w:rsidR="005D606E">
        <w:t xml:space="preserve">collection </w:t>
      </w:r>
      <w:r>
        <w:t xml:space="preserve">and analysis </w:t>
      </w:r>
      <w:r w:rsidR="002670A7">
        <w:t>(</w:t>
      </w:r>
      <w:r w:rsidR="00964E41">
        <w:t>3</w:t>
      </w:r>
      <w:r w:rsidRPr="004A7F49">
        <w:t xml:space="preserve"> months</w:t>
      </w:r>
      <w:r w:rsidR="005D606E">
        <w:t xml:space="preserve"> following OMB approval</w:t>
      </w:r>
      <w:r w:rsidRPr="004A7F49">
        <w:t>)</w:t>
      </w:r>
    </w:p>
    <w:p w14:paraId="3C353CBB" w14:textId="05FD5201" w:rsidR="009F45A1" w:rsidRDefault="0089241E" w:rsidP="00357E9C">
      <w:pPr>
        <w:pStyle w:val="ListParagraph"/>
        <w:numPr>
          <w:ilvl w:val="0"/>
          <w:numId w:val="6"/>
        </w:numPr>
      </w:pPr>
      <w:r>
        <w:t xml:space="preserve">Produce </w:t>
      </w:r>
      <w:r w:rsidR="00BB1E99">
        <w:t>e</w:t>
      </w:r>
      <w:r w:rsidR="00964E41">
        <w:t xml:space="preserve">valuation of the </w:t>
      </w:r>
      <w:r w:rsidR="00964E41" w:rsidRPr="00964E41">
        <w:rPr>
          <w:i/>
        </w:rPr>
        <w:t>Second Decade Project</w:t>
      </w:r>
      <w:r w:rsidR="00964E41">
        <w:t xml:space="preserve"> Community Planning Guide Report</w:t>
      </w:r>
      <w:r>
        <w:t xml:space="preserve"> (</w:t>
      </w:r>
      <w:r w:rsidR="00B929DB">
        <w:t>5</w:t>
      </w:r>
      <w:r w:rsidR="00654734" w:rsidRPr="004A7F49">
        <w:t xml:space="preserve"> </w:t>
      </w:r>
      <w:r w:rsidRPr="004A7F49">
        <w:t>months</w:t>
      </w:r>
      <w:r w:rsidR="005D606E">
        <w:t xml:space="preserve"> following OMB approval</w:t>
      </w:r>
      <w:r w:rsidRPr="004A7F49">
        <w:t>)</w:t>
      </w:r>
      <w:r w:rsidR="00964E41">
        <w:t>.</w:t>
      </w:r>
      <w:r w:rsidR="005D606E">
        <w:t xml:space="preserve"> A PowerPoint presentation summarizing evaluation findings will be produced. </w:t>
      </w:r>
      <w:r w:rsidR="004F17F1">
        <w:t xml:space="preserve">Electronic copies of the report and the PowerPoint presentation will distributed to OASH and the pilot sites. OASH will further distribute the final report to other federal and non-federal adolescent health stakeholders. </w:t>
      </w:r>
    </w:p>
    <w:p w14:paraId="06D84FD0" w14:textId="3CB394B8" w:rsidR="005D606E" w:rsidRDefault="005D606E" w:rsidP="00357E9C">
      <w:pPr>
        <w:pStyle w:val="ListParagraph"/>
        <w:numPr>
          <w:ilvl w:val="0"/>
          <w:numId w:val="6"/>
        </w:numPr>
      </w:pPr>
      <w:r>
        <w:t xml:space="preserve">Develop manuscript </w:t>
      </w:r>
      <w:r w:rsidR="00B802E2">
        <w:t>for peer review (</w:t>
      </w:r>
      <w:r w:rsidR="00B929DB">
        <w:t xml:space="preserve">6 </w:t>
      </w:r>
      <w:r w:rsidR="00B802E2">
        <w:t>months following OMB approval).</w:t>
      </w:r>
    </w:p>
    <w:p w14:paraId="6167A314" w14:textId="77777777" w:rsidR="00964E41" w:rsidRDefault="00964E41" w:rsidP="00964E41">
      <w:pPr>
        <w:pStyle w:val="ListParagraph"/>
      </w:pPr>
    </w:p>
    <w:p w14:paraId="5FE82B9A" w14:textId="623FA6AF" w:rsidR="009F45A1" w:rsidRDefault="008665BD" w:rsidP="009F45A1">
      <w:r>
        <w:t xml:space="preserve">Quantitative data elements from the </w:t>
      </w:r>
      <w:r w:rsidR="00964E41">
        <w:t>SSS and the CAS</w:t>
      </w:r>
      <w:r>
        <w:t xml:space="preserve"> will be </w:t>
      </w:r>
      <w:r w:rsidR="00D036B4">
        <w:t xml:space="preserve">saved and exported to SPSS </w:t>
      </w:r>
      <w:r w:rsidR="000F31E3">
        <w:t xml:space="preserve">for analysis; </w:t>
      </w:r>
      <w:r w:rsidR="00D036B4">
        <w:t xml:space="preserve">primarily </w:t>
      </w:r>
      <w:r>
        <w:t>descriptive statistics (e.g., mean, median, distribution)</w:t>
      </w:r>
      <w:r w:rsidR="008E74C9">
        <w:t xml:space="preserve"> will be performed</w:t>
      </w:r>
      <w:r>
        <w:t xml:space="preserve">. Qualitative, narrative data from the </w:t>
      </w:r>
      <w:r w:rsidR="00964E41">
        <w:t xml:space="preserve">CLI and CFG </w:t>
      </w:r>
      <w:r>
        <w:t xml:space="preserve">will be </w:t>
      </w:r>
      <w:r w:rsidR="006F04C7">
        <w:t xml:space="preserve">analyzed for major themes </w:t>
      </w:r>
      <w:r w:rsidR="007B56BF">
        <w:t>that are directly related to specific evaluation questions</w:t>
      </w:r>
      <w:r w:rsidR="00B802E2">
        <w:t>, both by site and at the aggregate level</w:t>
      </w:r>
      <w:r>
        <w:t xml:space="preserve">. </w:t>
      </w:r>
      <w:r w:rsidR="00156056">
        <w:t>These</w:t>
      </w:r>
      <w:r w:rsidR="001B640C">
        <w:t xml:space="preserve"> data will then be</w:t>
      </w:r>
      <w:r>
        <w:t xml:space="preserve"> </w:t>
      </w:r>
      <w:r w:rsidR="00156056">
        <w:t xml:space="preserve">used to produce </w:t>
      </w:r>
      <w:r w:rsidR="00964E41">
        <w:t xml:space="preserve">an </w:t>
      </w:r>
      <w:r w:rsidR="00BB1E99">
        <w:t>e</w:t>
      </w:r>
      <w:r w:rsidR="00964E41">
        <w:t xml:space="preserve">valuation of the </w:t>
      </w:r>
      <w:r w:rsidR="00964E41" w:rsidRPr="00964E41">
        <w:rPr>
          <w:i/>
        </w:rPr>
        <w:t>Second Decade Project</w:t>
      </w:r>
      <w:r w:rsidR="00964E41">
        <w:t xml:space="preserve"> </w:t>
      </w:r>
      <w:r w:rsidR="00B802E2">
        <w:t xml:space="preserve">Community Planning Guide Report, PowerPoint presentation and manuscript </w:t>
      </w:r>
      <w:r w:rsidR="001B640C" w:rsidRPr="001B640C">
        <w:t xml:space="preserve">presenting </w:t>
      </w:r>
      <w:r w:rsidR="00964E41">
        <w:t xml:space="preserve">evaluation findings. </w:t>
      </w:r>
    </w:p>
    <w:p w14:paraId="68DD9E04" w14:textId="77777777" w:rsidR="009B633D" w:rsidRPr="00424E6E" w:rsidRDefault="009B633D" w:rsidP="002B43BC">
      <w:pPr>
        <w:pStyle w:val="Heading2"/>
        <w:spacing w:after="0"/>
        <w:rPr>
          <w:sz w:val="24"/>
        </w:rPr>
      </w:pPr>
      <w:bookmarkStart w:id="56" w:name="_Toc151782196"/>
      <w:bookmarkStart w:id="57" w:name="_Toc158526232"/>
      <w:bookmarkStart w:id="58" w:name="_Toc410053839"/>
      <w:bookmarkEnd w:id="55"/>
      <w:r w:rsidRPr="00424E6E">
        <w:rPr>
          <w:sz w:val="24"/>
        </w:rPr>
        <w:t>17. Exemption for Display of Expiration Date</w:t>
      </w:r>
      <w:bookmarkEnd w:id="56"/>
      <w:bookmarkEnd w:id="57"/>
      <w:bookmarkEnd w:id="58"/>
    </w:p>
    <w:p w14:paraId="1903EEF3" w14:textId="77777777" w:rsidR="009B633D" w:rsidRDefault="006C577C" w:rsidP="009B633D">
      <w:r>
        <w:t>OASH</w:t>
      </w:r>
      <w:r w:rsidR="009B633D" w:rsidRPr="00136069">
        <w:t xml:space="preserve"> does not seek this exemption.</w:t>
      </w:r>
    </w:p>
    <w:p w14:paraId="46F29E8B" w14:textId="77777777" w:rsidR="008007A8" w:rsidRDefault="008007A8">
      <w:pPr>
        <w:rPr>
          <w:rFonts w:ascii="Arial" w:hAnsi="Arial" w:cs="Arial"/>
          <w:b/>
        </w:rPr>
      </w:pPr>
    </w:p>
    <w:p w14:paraId="64B91229" w14:textId="77777777" w:rsidR="008C4DE8" w:rsidRDefault="008C4DE8">
      <w:pPr>
        <w:rPr>
          <w:rFonts w:ascii="Arial" w:hAnsi="Arial" w:cs="Arial"/>
          <w:b/>
        </w:rPr>
      </w:pPr>
    </w:p>
    <w:p w14:paraId="2AFA9CAB" w14:textId="77777777" w:rsidR="00F24C7F" w:rsidRDefault="00581639" w:rsidP="00F24C7F">
      <w:pPr>
        <w:pStyle w:val="NormalWeb"/>
        <w:spacing w:before="0" w:beforeAutospacing="0" w:after="0" w:afterAutospacing="0"/>
        <w:outlineLvl w:val="1"/>
        <w:rPr>
          <w:rFonts w:ascii="Arial" w:hAnsi="Arial" w:cs="Arial"/>
          <w:b/>
        </w:rPr>
      </w:pPr>
      <w:bookmarkStart w:id="59" w:name="_Toc410053840"/>
      <w:r>
        <w:rPr>
          <w:rFonts w:ascii="Arial" w:hAnsi="Arial" w:cs="Arial"/>
          <w:b/>
        </w:rPr>
        <w:t xml:space="preserve">List of </w:t>
      </w:r>
      <w:r w:rsidR="00016560" w:rsidRPr="00016560">
        <w:rPr>
          <w:rFonts w:ascii="Arial" w:hAnsi="Arial" w:cs="Arial"/>
          <w:b/>
        </w:rPr>
        <w:t>Attachments:</w:t>
      </w:r>
      <w:bookmarkStart w:id="60" w:name="_Toc286400852"/>
      <w:bookmarkEnd w:id="59"/>
    </w:p>
    <w:bookmarkEnd w:id="60"/>
    <w:p w14:paraId="6B590391" w14:textId="77777777" w:rsidR="00F24C7F" w:rsidRDefault="00F24C7F" w:rsidP="00F24C7F">
      <w:pPr>
        <w:pStyle w:val="NormalWeb"/>
        <w:spacing w:before="0" w:beforeAutospacing="0" w:after="0" w:afterAutospacing="0"/>
        <w:outlineLvl w:val="1"/>
        <w:rPr>
          <w:rFonts w:ascii="Arial" w:hAnsi="Arial" w:cs="Arial"/>
          <w:b/>
        </w:rPr>
      </w:pPr>
    </w:p>
    <w:p w14:paraId="7E848850" w14:textId="2EDC091B" w:rsidR="00B93D4C" w:rsidRPr="00DC2692" w:rsidRDefault="00DC2692" w:rsidP="00DC2692">
      <w:pPr>
        <w:pStyle w:val="NormalWeb"/>
        <w:numPr>
          <w:ilvl w:val="0"/>
          <w:numId w:val="17"/>
        </w:numPr>
        <w:spacing w:before="0" w:beforeAutospacing="0" w:after="0" w:afterAutospacing="0"/>
        <w:outlineLvl w:val="1"/>
      </w:pPr>
      <w:r>
        <w:t xml:space="preserve">Attachment A: </w:t>
      </w:r>
      <w:r w:rsidR="00690C1E">
        <w:t>OASH Introductory Letters</w:t>
      </w:r>
      <w:r w:rsidRPr="00DC2692">
        <w:t xml:space="preserve"> </w:t>
      </w:r>
    </w:p>
    <w:p w14:paraId="12115C14" w14:textId="39C23325" w:rsidR="00B93D4C" w:rsidRPr="00DC2692" w:rsidRDefault="00DC2692" w:rsidP="00DC2692">
      <w:pPr>
        <w:pStyle w:val="ListParagraph"/>
        <w:numPr>
          <w:ilvl w:val="0"/>
          <w:numId w:val="17"/>
        </w:numPr>
        <w:rPr>
          <w:color w:val="000000"/>
        </w:rPr>
      </w:pPr>
      <w:r>
        <w:t xml:space="preserve">Attachment B: </w:t>
      </w:r>
      <w:r w:rsidR="00B93D4C" w:rsidRPr="00DC2692">
        <w:rPr>
          <w:color w:val="000000"/>
        </w:rPr>
        <w:t>Community Leader Interview (CLI)</w:t>
      </w:r>
    </w:p>
    <w:p w14:paraId="4624F809" w14:textId="6E506115" w:rsidR="00B93D4C" w:rsidRPr="00DC2692" w:rsidRDefault="00DC2692" w:rsidP="00DC2692">
      <w:pPr>
        <w:pStyle w:val="ListParagraph"/>
        <w:numPr>
          <w:ilvl w:val="0"/>
          <w:numId w:val="17"/>
        </w:numPr>
        <w:rPr>
          <w:color w:val="000000"/>
        </w:rPr>
      </w:pPr>
      <w:r>
        <w:t xml:space="preserve">Attachment C: </w:t>
      </w:r>
      <w:r w:rsidR="00B93D4C" w:rsidRPr="00DC2692">
        <w:rPr>
          <w:color w:val="000000"/>
        </w:rPr>
        <w:t>List of interview topics for Community Leader Interview (CLI)</w:t>
      </w:r>
    </w:p>
    <w:p w14:paraId="3F06318C" w14:textId="24FA287A" w:rsidR="00B93D4C" w:rsidRPr="00DC2692" w:rsidRDefault="00DC2692" w:rsidP="00DC2692">
      <w:pPr>
        <w:pStyle w:val="ListParagraph"/>
        <w:numPr>
          <w:ilvl w:val="0"/>
          <w:numId w:val="17"/>
        </w:numPr>
        <w:rPr>
          <w:color w:val="000000"/>
        </w:rPr>
      </w:pPr>
      <w:r>
        <w:t xml:space="preserve">Attachment D: </w:t>
      </w:r>
      <w:r w:rsidR="00B93D4C" w:rsidRPr="00DC2692">
        <w:rPr>
          <w:color w:val="000000"/>
        </w:rPr>
        <w:t>Coalition Member Focus Group (CFG)</w:t>
      </w:r>
    </w:p>
    <w:p w14:paraId="6861AFC5" w14:textId="203B084A" w:rsidR="00B93D4C" w:rsidRPr="00DC2692" w:rsidRDefault="00DC2692" w:rsidP="00DC2692">
      <w:pPr>
        <w:pStyle w:val="ListParagraph"/>
        <w:numPr>
          <w:ilvl w:val="0"/>
          <w:numId w:val="17"/>
        </w:numPr>
        <w:rPr>
          <w:color w:val="000000"/>
        </w:rPr>
      </w:pPr>
      <w:r>
        <w:t xml:space="preserve">Attachment E: </w:t>
      </w:r>
      <w:r w:rsidR="00B93D4C" w:rsidRPr="00DC2692">
        <w:rPr>
          <w:color w:val="000000"/>
        </w:rPr>
        <w:t>List of topics for Coalition Member Focus Group (CFG)</w:t>
      </w:r>
    </w:p>
    <w:p w14:paraId="29753F7D" w14:textId="5996FB94" w:rsidR="00B93D4C" w:rsidRDefault="00DC2692" w:rsidP="00DC2692">
      <w:pPr>
        <w:pStyle w:val="NormalWeb"/>
        <w:numPr>
          <w:ilvl w:val="0"/>
          <w:numId w:val="17"/>
        </w:numPr>
        <w:spacing w:before="0" w:beforeAutospacing="0" w:after="0" w:afterAutospacing="0"/>
        <w:outlineLvl w:val="1"/>
        <w:rPr>
          <w:color w:val="000000"/>
        </w:rPr>
      </w:pPr>
      <w:r>
        <w:t xml:space="preserve">Attachment F: </w:t>
      </w:r>
      <w:r w:rsidR="00B93D4C" w:rsidRPr="00DC2692">
        <w:rPr>
          <w:color w:val="000000"/>
        </w:rPr>
        <w:t>Coalition Assessment Survey (CAS)</w:t>
      </w:r>
    </w:p>
    <w:p w14:paraId="3DBB5B97" w14:textId="19185ECD" w:rsidR="00722738" w:rsidRDefault="00722738" w:rsidP="00DC2692">
      <w:pPr>
        <w:pStyle w:val="NormalWeb"/>
        <w:numPr>
          <w:ilvl w:val="0"/>
          <w:numId w:val="17"/>
        </w:numPr>
        <w:spacing w:before="0" w:beforeAutospacing="0" w:after="0" w:afterAutospacing="0"/>
        <w:outlineLvl w:val="1"/>
        <w:rPr>
          <w:color w:val="000000"/>
        </w:rPr>
      </w:pPr>
      <w:r>
        <w:t xml:space="preserve">Attachment G: </w:t>
      </w:r>
      <w:r w:rsidRPr="00DC2692">
        <w:rPr>
          <w:color w:val="000000"/>
        </w:rPr>
        <w:t xml:space="preserve">Coalition Assessment Survey </w:t>
      </w:r>
      <w:r>
        <w:rPr>
          <w:color w:val="000000"/>
        </w:rPr>
        <w:t>- Web Screenshots</w:t>
      </w:r>
    </w:p>
    <w:p w14:paraId="6B28A0E8" w14:textId="63A1B268" w:rsidR="00933737" w:rsidRPr="00DC2692" w:rsidRDefault="00933737" w:rsidP="00DC2692">
      <w:pPr>
        <w:pStyle w:val="NormalWeb"/>
        <w:numPr>
          <w:ilvl w:val="0"/>
          <w:numId w:val="17"/>
        </w:numPr>
        <w:spacing w:before="0" w:beforeAutospacing="0" w:after="0" w:afterAutospacing="0"/>
        <w:outlineLvl w:val="1"/>
        <w:rPr>
          <w:color w:val="000000"/>
        </w:rPr>
      </w:pPr>
      <w:r>
        <w:t>Attachment H: ICF IRB Approval Documentation</w:t>
      </w:r>
    </w:p>
    <w:p w14:paraId="11250370" w14:textId="5056E5EA" w:rsidR="00B93D4C" w:rsidRPr="00722738" w:rsidRDefault="00722738" w:rsidP="00DC2692">
      <w:pPr>
        <w:pStyle w:val="NormalWeb"/>
        <w:numPr>
          <w:ilvl w:val="0"/>
          <w:numId w:val="17"/>
        </w:numPr>
        <w:spacing w:before="0" w:beforeAutospacing="0" w:after="0" w:afterAutospacing="0"/>
        <w:outlineLvl w:val="1"/>
      </w:pPr>
      <w:r>
        <w:t xml:space="preserve">Attachment </w:t>
      </w:r>
      <w:r w:rsidR="00933737">
        <w:t>I</w:t>
      </w:r>
      <w:r w:rsidR="00DC2692">
        <w:t xml:space="preserve">: </w:t>
      </w:r>
      <w:r w:rsidR="00B93D4C" w:rsidRPr="00DC2692">
        <w:rPr>
          <w:color w:val="000000"/>
        </w:rPr>
        <w:t>Secondary Stakeholder Survey (SSS)</w:t>
      </w:r>
    </w:p>
    <w:p w14:paraId="4FF02997" w14:textId="30BF2FDB" w:rsidR="00722738" w:rsidRPr="00DC2692" w:rsidRDefault="00722738" w:rsidP="00722738">
      <w:pPr>
        <w:pStyle w:val="NormalWeb"/>
        <w:numPr>
          <w:ilvl w:val="0"/>
          <w:numId w:val="17"/>
        </w:numPr>
        <w:spacing w:before="0" w:beforeAutospacing="0" w:after="0" w:afterAutospacing="0"/>
        <w:outlineLvl w:val="1"/>
      </w:pPr>
      <w:r>
        <w:t xml:space="preserve">Attachment </w:t>
      </w:r>
      <w:r w:rsidR="00933737">
        <w:t>J</w:t>
      </w:r>
      <w:r>
        <w:t xml:space="preserve">: </w:t>
      </w:r>
      <w:r w:rsidRPr="00DC2692">
        <w:rPr>
          <w:color w:val="000000"/>
        </w:rPr>
        <w:t>S</w:t>
      </w:r>
      <w:r>
        <w:rPr>
          <w:color w:val="000000"/>
        </w:rPr>
        <w:t>econdary Stakeholder Survey - Web Screenshots</w:t>
      </w:r>
    </w:p>
    <w:p w14:paraId="0EF7B53A" w14:textId="77777777" w:rsidR="00722738" w:rsidRPr="00DC2692" w:rsidRDefault="00722738" w:rsidP="00722738">
      <w:pPr>
        <w:pStyle w:val="NormalWeb"/>
        <w:spacing w:before="0" w:beforeAutospacing="0" w:after="0" w:afterAutospacing="0"/>
        <w:ind w:left="720"/>
        <w:outlineLvl w:val="1"/>
      </w:pPr>
    </w:p>
    <w:sectPr w:rsidR="00722738" w:rsidRPr="00DC2692" w:rsidSect="001301B3">
      <w:headerReference w:type="even" r:id="rId13"/>
      <w:headerReference w:type="default" r:id="rId14"/>
      <w:footerReference w:type="default" r:id="rId15"/>
      <w:headerReference w:type="first" r:id="rId16"/>
      <w:footerReference w:type="first" r:id="rId17"/>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9F9E1" w14:textId="77777777" w:rsidR="008648B9" w:rsidRDefault="008648B9">
      <w:r>
        <w:separator/>
      </w:r>
    </w:p>
  </w:endnote>
  <w:endnote w:type="continuationSeparator" w:id="0">
    <w:p w14:paraId="01FA6EAE" w14:textId="77777777" w:rsidR="008648B9" w:rsidRDefault="008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EC060" w14:textId="77777777" w:rsidR="007A66E7" w:rsidRDefault="007A66E7"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6FB83" w14:textId="77777777" w:rsidR="007A66E7" w:rsidRDefault="007A6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7575" w14:textId="77777777" w:rsidR="007A66E7" w:rsidRDefault="007A66E7">
    <w:pPr>
      <w:pStyle w:val="Footer"/>
    </w:pPr>
    <w:r>
      <w:t xml:space="preserve">DRAFT </w:t>
    </w:r>
    <w:r w:rsidR="005D3C69">
      <w:t>1</w:t>
    </w:r>
    <w:r>
      <w:t>-</w:t>
    </w:r>
    <w:r w:rsidR="00C231CC">
      <w:t>20</w:t>
    </w:r>
    <w:r>
      <w:t>-201</w:t>
    </w:r>
    <w:r w:rsidR="00377E24">
      <w:t>5</w:t>
    </w:r>
  </w:p>
  <w:p w14:paraId="5AF4DFBF" w14:textId="77777777" w:rsidR="007A66E7" w:rsidRDefault="007A6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2A37" w14:textId="77777777" w:rsidR="007A66E7" w:rsidRDefault="007A66E7" w:rsidP="0064518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A3AD" w14:textId="77777777" w:rsidR="00C65276" w:rsidRDefault="00C65276" w:rsidP="00D727E5">
    <w:pPr>
      <w:pStyle w:val="Footer"/>
    </w:pPr>
  </w:p>
  <w:p w14:paraId="5DC4FC69" w14:textId="77777777" w:rsidR="00D727E5" w:rsidRDefault="003650AA" w:rsidP="00D727E5">
    <w:pPr>
      <w:pStyle w:val="Footer"/>
      <w:jc w:val="center"/>
    </w:pPr>
    <w:sdt>
      <w:sdtPr>
        <w:id w:val="996690263"/>
        <w:docPartObj>
          <w:docPartGallery w:val="Page Numbers (Bottom of Page)"/>
          <w:docPartUnique/>
        </w:docPartObj>
      </w:sdtPr>
      <w:sdtEndPr>
        <w:rPr>
          <w:noProof/>
        </w:rPr>
      </w:sdtEndPr>
      <w:sdtContent>
        <w:r w:rsidR="00D727E5">
          <w:fldChar w:fldCharType="begin"/>
        </w:r>
        <w:r w:rsidR="00D727E5">
          <w:instrText xml:space="preserve"> PAGE   \* MERGEFORMAT </w:instrText>
        </w:r>
        <w:r w:rsidR="00D727E5">
          <w:fldChar w:fldCharType="separate"/>
        </w:r>
        <w:r>
          <w:rPr>
            <w:noProof/>
          </w:rPr>
          <w:t>10</w:t>
        </w:r>
        <w:r w:rsidR="00D727E5">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AEE1E" w14:textId="77777777" w:rsidR="00D727E5" w:rsidRDefault="003650AA" w:rsidP="00E12CAA">
    <w:pPr>
      <w:pStyle w:val="Footer"/>
    </w:pPr>
    <w:sdt>
      <w:sdtPr>
        <w:id w:val="1986654379"/>
        <w:docPartObj>
          <w:docPartGallery w:val="Page Numbers (Bottom of Page)"/>
          <w:docPartUnique/>
        </w:docPartObj>
      </w:sdtPr>
      <w:sdtEndPr>
        <w:rPr>
          <w:noProof/>
        </w:rPr>
      </w:sdtEndPr>
      <w:sdtContent>
        <w:r w:rsidR="00D727E5">
          <w:fldChar w:fldCharType="begin"/>
        </w:r>
        <w:r w:rsidR="00D727E5">
          <w:instrText xml:space="preserve"> PAGE   \* MERGEFORMAT </w:instrText>
        </w:r>
        <w:r w:rsidR="00D727E5">
          <w:fldChar w:fldCharType="separate"/>
        </w:r>
        <w:r>
          <w:rPr>
            <w:noProof/>
          </w:rPr>
          <w:t>2</w:t>
        </w:r>
        <w:r w:rsidR="00D727E5">
          <w:rPr>
            <w:noProof/>
          </w:rPr>
          <w:fldChar w:fldCharType="end"/>
        </w:r>
      </w:sdtContent>
    </w:sdt>
  </w:p>
  <w:p w14:paraId="25DD9F89" w14:textId="77777777" w:rsidR="007A66E7" w:rsidRPr="008C4DE8" w:rsidRDefault="007A66E7" w:rsidP="008C4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4DA63" w14:textId="77777777" w:rsidR="008648B9" w:rsidRDefault="008648B9">
      <w:r>
        <w:separator/>
      </w:r>
    </w:p>
  </w:footnote>
  <w:footnote w:type="continuationSeparator" w:id="0">
    <w:p w14:paraId="47CD145D" w14:textId="77777777" w:rsidR="008648B9" w:rsidRDefault="0086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CFB4" w14:textId="77777777" w:rsidR="007A66E7" w:rsidRDefault="007A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04A2" w14:textId="77777777" w:rsidR="007A66E7" w:rsidRDefault="007A6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DA3EB" w14:textId="77777777" w:rsidR="007A66E7" w:rsidRDefault="007A6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62A1168"/>
    <w:lvl w:ilvl="0">
      <w:start w:val="1"/>
      <w:numFmt w:val="decimal"/>
      <w:lvlText w:val="%1."/>
      <w:lvlJc w:val="left"/>
      <w:pPr>
        <w:tabs>
          <w:tab w:val="num" w:pos="1440"/>
        </w:tabs>
        <w:ind w:left="1440" w:hanging="360"/>
      </w:pPr>
    </w:lvl>
  </w:abstractNum>
  <w:abstractNum w:abstractNumId="1">
    <w:nsid w:val="035E5FD6"/>
    <w:multiLevelType w:val="hybridMultilevel"/>
    <w:tmpl w:val="C5CC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0E849DB"/>
    <w:multiLevelType w:val="hybridMultilevel"/>
    <w:tmpl w:val="1D18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6195D"/>
    <w:multiLevelType w:val="hybridMultilevel"/>
    <w:tmpl w:val="E7B0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B0ABF"/>
    <w:multiLevelType w:val="hybridMultilevel"/>
    <w:tmpl w:val="0AA01D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724D9"/>
    <w:multiLevelType w:val="hybridMultilevel"/>
    <w:tmpl w:val="A7141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350D08"/>
    <w:multiLevelType w:val="hybridMultilevel"/>
    <w:tmpl w:val="4A725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C0963"/>
    <w:multiLevelType w:val="hybridMultilevel"/>
    <w:tmpl w:val="98BE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F940CA"/>
    <w:multiLevelType w:val="hybridMultilevel"/>
    <w:tmpl w:val="A7B2FB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2">
    <w:nsid w:val="60001C2E"/>
    <w:multiLevelType w:val="hybridMultilevel"/>
    <w:tmpl w:val="744E7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996237"/>
    <w:multiLevelType w:val="hybridMultilevel"/>
    <w:tmpl w:val="631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E2632E"/>
    <w:multiLevelType w:val="hybridMultilevel"/>
    <w:tmpl w:val="3C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7479BF"/>
    <w:multiLevelType w:val="hybridMultilevel"/>
    <w:tmpl w:val="6640103A"/>
    <w:lvl w:ilvl="0" w:tplc="D1427C3A">
      <w:start w:val="1"/>
      <w:numFmt w:val="bullet"/>
      <w:pStyle w:val="SDBullet1"/>
      <w:lvlText w:val=""/>
      <w:lvlJc w:val="left"/>
      <w:pPr>
        <w:ind w:left="360" w:hanging="360"/>
      </w:pPr>
      <w:rPr>
        <w:rFonts w:ascii="Wingdings" w:hAnsi="Wingdings" w:hint="default"/>
        <w:color w:val="227A9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7">
    <w:nsid w:val="7F995552"/>
    <w:multiLevelType w:val="hybridMultilevel"/>
    <w:tmpl w:val="B7BC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13"/>
  </w:num>
  <w:num w:numId="5">
    <w:abstractNumId w:val="10"/>
  </w:num>
  <w:num w:numId="6">
    <w:abstractNumId w:val="8"/>
  </w:num>
  <w:num w:numId="7">
    <w:abstractNumId w:val="7"/>
  </w:num>
  <w:num w:numId="8">
    <w:abstractNumId w:val="17"/>
  </w:num>
  <w:num w:numId="9">
    <w:abstractNumId w:val="5"/>
  </w:num>
  <w:num w:numId="10">
    <w:abstractNumId w:val="3"/>
  </w:num>
  <w:num w:numId="11">
    <w:abstractNumId w:val="1"/>
  </w:num>
  <w:num w:numId="12">
    <w:abstractNumId w:val="0"/>
  </w:num>
  <w:num w:numId="13">
    <w:abstractNumId w:val="15"/>
  </w:num>
  <w:num w:numId="14">
    <w:abstractNumId w:val="12"/>
  </w:num>
  <w:num w:numId="15">
    <w:abstractNumId w:val="4"/>
  </w:num>
  <w:num w:numId="16">
    <w:abstractNumId w:val="2"/>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42C"/>
    <w:rsid w:val="00003962"/>
    <w:rsid w:val="00003E3E"/>
    <w:rsid w:val="00005255"/>
    <w:rsid w:val="000057FF"/>
    <w:rsid w:val="000065E7"/>
    <w:rsid w:val="00010294"/>
    <w:rsid w:val="0001156F"/>
    <w:rsid w:val="0001186B"/>
    <w:rsid w:val="00011E85"/>
    <w:rsid w:val="00012FB9"/>
    <w:rsid w:val="00013049"/>
    <w:rsid w:val="00014522"/>
    <w:rsid w:val="00015647"/>
    <w:rsid w:val="00015679"/>
    <w:rsid w:val="00016560"/>
    <w:rsid w:val="000203D0"/>
    <w:rsid w:val="00022483"/>
    <w:rsid w:val="0002294E"/>
    <w:rsid w:val="00023E65"/>
    <w:rsid w:val="00024B88"/>
    <w:rsid w:val="00024FEE"/>
    <w:rsid w:val="00025017"/>
    <w:rsid w:val="0002634A"/>
    <w:rsid w:val="00026E55"/>
    <w:rsid w:val="0003097A"/>
    <w:rsid w:val="00037998"/>
    <w:rsid w:val="00040F88"/>
    <w:rsid w:val="000419CF"/>
    <w:rsid w:val="00041D30"/>
    <w:rsid w:val="00042883"/>
    <w:rsid w:val="00043473"/>
    <w:rsid w:val="00043FE5"/>
    <w:rsid w:val="00045959"/>
    <w:rsid w:val="00045AE5"/>
    <w:rsid w:val="000462B0"/>
    <w:rsid w:val="00046359"/>
    <w:rsid w:val="00054906"/>
    <w:rsid w:val="0005540A"/>
    <w:rsid w:val="00056604"/>
    <w:rsid w:val="0006207D"/>
    <w:rsid w:val="0006451C"/>
    <w:rsid w:val="00065221"/>
    <w:rsid w:val="00070966"/>
    <w:rsid w:val="00073D6F"/>
    <w:rsid w:val="000746C6"/>
    <w:rsid w:val="000748CA"/>
    <w:rsid w:val="000756AE"/>
    <w:rsid w:val="000779A9"/>
    <w:rsid w:val="00080BD8"/>
    <w:rsid w:val="00080D3F"/>
    <w:rsid w:val="00082047"/>
    <w:rsid w:val="00082699"/>
    <w:rsid w:val="000826CA"/>
    <w:rsid w:val="0008300F"/>
    <w:rsid w:val="000837BF"/>
    <w:rsid w:val="00085450"/>
    <w:rsid w:val="000857DA"/>
    <w:rsid w:val="00086471"/>
    <w:rsid w:val="000864E9"/>
    <w:rsid w:val="00092A38"/>
    <w:rsid w:val="00094242"/>
    <w:rsid w:val="00094648"/>
    <w:rsid w:val="00095659"/>
    <w:rsid w:val="00097B17"/>
    <w:rsid w:val="000A00D9"/>
    <w:rsid w:val="000A1090"/>
    <w:rsid w:val="000A140E"/>
    <w:rsid w:val="000A1CC7"/>
    <w:rsid w:val="000A3475"/>
    <w:rsid w:val="000B1C6A"/>
    <w:rsid w:val="000B22DE"/>
    <w:rsid w:val="000B2A89"/>
    <w:rsid w:val="000B5F58"/>
    <w:rsid w:val="000B78CB"/>
    <w:rsid w:val="000C01BB"/>
    <w:rsid w:val="000C0577"/>
    <w:rsid w:val="000C12EE"/>
    <w:rsid w:val="000C35DC"/>
    <w:rsid w:val="000C5499"/>
    <w:rsid w:val="000C6712"/>
    <w:rsid w:val="000C7850"/>
    <w:rsid w:val="000D04D7"/>
    <w:rsid w:val="000D429E"/>
    <w:rsid w:val="000D4B46"/>
    <w:rsid w:val="000D7935"/>
    <w:rsid w:val="000E01D1"/>
    <w:rsid w:val="000E1455"/>
    <w:rsid w:val="000E5482"/>
    <w:rsid w:val="000E7BA3"/>
    <w:rsid w:val="000F12A0"/>
    <w:rsid w:val="000F1328"/>
    <w:rsid w:val="000F27E5"/>
    <w:rsid w:val="000F2A5F"/>
    <w:rsid w:val="000F2B59"/>
    <w:rsid w:val="000F31E3"/>
    <w:rsid w:val="000F5001"/>
    <w:rsid w:val="000F52C2"/>
    <w:rsid w:val="000F75B8"/>
    <w:rsid w:val="000F7A00"/>
    <w:rsid w:val="0010259B"/>
    <w:rsid w:val="00103051"/>
    <w:rsid w:val="00104094"/>
    <w:rsid w:val="0010436B"/>
    <w:rsid w:val="00104853"/>
    <w:rsid w:val="00106185"/>
    <w:rsid w:val="00107C1D"/>
    <w:rsid w:val="00110748"/>
    <w:rsid w:val="00110789"/>
    <w:rsid w:val="00112553"/>
    <w:rsid w:val="00112DF2"/>
    <w:rsid w:val="00112FAF"/>
    <w:rsid w:val="00114768"/>
    <w:rsid w:val="00122F9C"/>
    <w:rsid w:val="0012485D"/>
    <w:rsid w:val="00124917"/>
    <w:rsid w:val="001266D9"/>
    <w:rsid w:val="00126C26"/>
    <w:rsid w:val="00127114"/>
    <w:rsid w:val="00127341"/>
    <w:rsid w:val="001301B3"/>
    <w:rsid w:val="00131443"/>
    <w:rsid w:val="00133AA9"/>
    <w:rsid w:val="00134680"/>
    <w:rsid w:val="00135845"/>
    <w:rsid w:val="00136069"/>
    <w:rsid w:val="00146292"/>
    <w:rsid w:val="00146DEA"/>
    <w:rsid w:val="00150044"/>
    <w:rsid w:val="0015274F"/>
    <w:rsid w:val="00153687"/>
    <w:rsid w:val="00154AA8"/>
    <w:rsid w:val="00155DA1"/>
    <w:rsid w:val="00156056"/>
    <w:rsid w:val="001562A9"/>
    <w:rsid w:val="0016087F"/>
    <w:rsid w:val="001629AC"/>
    <w:rsid w:val="001638B6"/>
    <w:rsid w:val="00164627"/>
    <w:rsid w:val="001648D2"/>
    <w:rsid w:val="00166A69"/>
    <w:rsid w:val="0016737A"/>
    <w:rsid w:val="00167AFC"/>
    <w:rsid w:val="00170673"/>
    <w:rsid w:val="00174751"/>
    <w:rsid w:val="001750D9"/>
    <w:rsid w:val="0017598A"/>
    <w:rsid w:val="001763E2"/>
    <w:rsid w:val="0018019C"/>
    <w:rsid w:val="00180F79"/>
    <w:rsid w:val="0018160C"/>
    <w:rsid w:val="00181991"/>
    <w:rsid w:val="00186F6B"/>
    <w:rsid w:val="00187A50"/>
    <w:rsid w:val="00190A45"/>
    <w:rsid w:val="00194AB1"/>
    <w:rsid w:val="00194B77"/>
    <w:rsid w:val="001960BB"/>
    <w:rsid w:val="001977D4"/>
    <w:rsid w:val="00197BAE"/>
    <w:rsid w:val="001A0EAC"/>
    <w:rsid w:val="001A1376"/>
    <w:rsid w:val="001A28C0"/>
    <w:rsid w:val="001A33EA"/>
    <w:rsid w:val="001A3432"/>
    <w:rsid w:val="001A5955"/>
    <w:rsid w:val="001A5996"/>
    <w:rsid w:val="001B1C61"/>
    <w:rsid w:val="001B1EBE"/>
    <w:rsid w:val="001B2CCD"/>
    <w:rsid w:val="001B5C4F"/>
    <w:rsid w:val="001B5EAC"/>
    <w:rsid w:val="001B640C"/>
    <w:rsid w:val="001B672E"/>
    <w:rsid w:val="001B67F6"/>
    <w:rsid w:val="001C0A4A"/>
    <w:rsid w:val="001C3E42"/>
    <w:rsid w:val="001C46D3"/>
    <w:rsid w:val="001C59E4"/>
    <w:rsid w:val="001C65C8"/>
    <w:rsid w:val="001D1F0C"/>
    <w:rsid w:val="001D21CB"/>
    <w:rsid w:val="001D3EDF"/>
    <w:rsid w:val="001D493B"/>
    <w:rsid w:val="001D64A4"/>
    <w:rsid w:val="001D6B6C"/>
    <w:rsid w:val="001D73D8"/>
    <w:rsid w:val="001E4D98"/>
    <w:rsid w:val="001F0F72"/>
    <w:rsid w:val="001F18BC"/>
    <w:rsid w:val="001F29F7"/>
    <w:rsid w:val="001F2AA4"/>
    <w:rsid w:val="001F4C3B"/>
    <w:rsid w:val="001F523E"/>
    <w:rsid w:val="001F528A"/>
    <w:rsid w:val="00200A31"/>
    <w:rsid w:val="00200CD0"/>
    <w:rsid w:val="00202836"/>
    <w:rsid w:val="0020385B"/>
    <w:rsid w:val="00204952"/>
    <w:rsid w:val="00205181"/>
    <w:rsid w:val="0020635E"/>
    <w:rsid w:val="00206B08"/>
    <w:rsid w:val="0021115D"/>
    <w:rsid w:val="00211170"/>
    <w:rsid w:val="002204B9"/>
    <w:rsid w:val="002205F3"/>
    <w:rsid w:val="00220E56"/>
    <w:rsid w:val="0022366A"/>
    <w:rsid w:val="002252D9"/>
    <w:rsid w:val="0022547C"/>
    <w:rsid w:val="00225765"/>
    <w:rsid w:val="00227434"/>
    <w:rsid w:val="00233554"/>
    <w:rsid w:val="00240485"/>
    <w:rsid w:val="002405C0"/>
    <w:rsid w:val="00240FEA"/>
    <w:rsid w:val="00244921"/>
    <w:rsid w:val="0024642A"/>
    <w:rsid w:val="00247333"/>
    <w:rsid w:val="00250847"/>
    <w:rsid w:val="00253844"/>
    <w:rsid w:val="00255877"/>
    <w:rsid w:val="00256991"/>
    <w:rsid w:val="00257616"/>
    <w:rsid w:val="00260430"/>
    <w:rsid w:val="002606A7"/>
    <w:rsid w:val="002613DB"/>
    <w:rsid w:val="002614A7"/>
    <w:rsid w:val="002618DD"/>
    <w:rsid w:val="00263DC7"/>
    <w:rsid w:val="0026424E"/>
    <w:rsid w:val="0026479B"/>
    <w:rsid w:val="00265DE1"/>
    <w:rsid w:val="002670A7"/>
    <w:rsid w:val="00267613"/>
    <w:rsid w:val="00270F07"/>
    <w:rsid w:val="00271AD8"/>
    <w:rsid w:val="00272E29"/>
    <w:rsid w:val="0027337A"/>
    <w:rsid w:val="00273C77"/>
    <w:rsid w:val="00274834"/>
    <w:rsid w:val="00277424"/>
    <w:rsid w:val="00277969"/>
    <w:rsid w:val="00277F1A"/>
    <w:rsid w:val="00280923"/>
    <w:rsid w:val="00283766"/>
    <w:rsid w:val="00284784"/>
    <w:rsid w:val="00285FFB"/>
    <w:rsid w:val="00291B73"/>
    <w:rsid w:val="00291E75"/>
    <w:rsid w:val="00295F47"/>
    <w:rsid w:val="00296C20"/>
    <w:rsid w:val="0029734C"/>
    <w:rsid w:val="002A1250"/>
    <w:rsid w:val="002A1BB4"/>
    <w:rsid w:val="002A3C9C"/>
    <w:rsid w:val="002B1B1D"/>
    <w:rsid w:val="002B382B"/>
    <w:rsid w:val="002B43BC"/>
    <w:rsid w:val="002B5382"/>
    <w:rsid w:val="002B584D"/>
    <w:rsid w:val="002C0F56"/>
    <w:rsid w:val="002C12B3"/>
    <w:rsid w:val="002C2A53"/>
    <w:rsid w:val="002C47FA"/>
    <w:rsid w:val="002C4CF9"/>
    <w:rsid w:val="002C508F"/>
    <w:rsid w:val="002C7821"/>
    <w:rsid w:val="002D1EC8"/>
    <w:rsid w:val="002D207A"/>
    <w:rsid w:val="002D5C17"/>
    <w:rsid w:val="002D7F01"/>
    <w:rsid w:val="002D7F75"/>
    <w:rsid w:val="002E2419"/>
    <w:rsid w:val="002E54EF"/>
    <w:rsid w:val="002E556E"/>
    <w:rsid w:val="002F0538"/>
    <w:rsid w:val="002F385C"/>
    <w:rsid w:val="002F4DE8"/>
    <w:rsid w:val="00300303"/>
    <w:rsid w:val="0030098D"/>
    <w:rsid w:val="003023F9"/>
    <w:rsid w:val="00304E56"/>
    <w:rsid w:val="00310D96"/>
    <w:rsid w:val="00316A7C"/>
    <w:rsid w:val="00322058"/>
    <w:rsid w:val="003224B1"/>
    <w:rsid w:val="003259A0"/>
    <w:rsid w:val="00325B9C"/>
    <w:rsid w:val="00326A6C"/>
    <w:rsid w:val="0032749F"/>
    <w:rsid w:val="003308B8"/>
    <w:rsid w:val="00330E52"/>
    <w:rsid w:val="00331662"/>
    <w:rsid w:val="003360EB"/>
    <w:rsid w:val="00336D99"/>
    <w:rsid w:val="00340D97"/>
    <w:rsid w:val="00341365"/>
    <w:rsid w:val="00343098"/>
    <w:rsid w:val="00343EA3"/>
    <w:rsid w:val="00344684"/>
    <w:rsid w:val="00344CB4"/>
    <w:rsid w:val="00347329"/>
    <w:rsid w:val="003504B0"/>
    <w:rsid w:val="00351E92"/>
    <w:rsid w:val="003530DD"/>
    <w:rsid w:val="00356167"/>
    <w:rsid w:val="00356CDF"/>
    <w:rsid w:val="00361D2C"/>
    <w:rsid w:val="00361F52"/>
    <w:rsid w:val="003650AA"/>
    <w:rsid w:val="00366A34"/>
    <w:rsid w:val="00367C9F"/>
    <w:rsid w:val="00367D6C"/>
    <w:rsid w:val="00371E70"/>
    <w:rsid w:val="0037218F"/>
    <w:rsid w:val="00372E4F"/>
    <w:rsid w:val="0037427A"/>
    <w:rsid w:val="00375659"/>
    <w:rsid w:val="00376917"/>
    <w:rsid w:val="00376EA0"/>
    <w:rsid w:val="00377301"/>
    <w:rsid w:val="0037771B"/>
    <w:rsid w:val="00377E24"/>
    <w:rsid w:val="00377E43"/>
    <w:rsid w:val="003807A8"/>
    <w:rsid w:val="003813A1"/>
    <w:rsid w:val="0038217D"/>
    <w:rsid w:val="003859F1"/>
    <w:rsid w:val="00386201"/>
    <w:rsid w:val="0038632A"/>
    <w:rsid w:val="00387B84"/>
    <w:rsid w:val="00387D79"/>
    <w:rsid w:val="003925C9"/>
    <w:rsid w:val="00392DE5"/>
    <w:rsid w:val="003948AA"/>
    <w:rsid w:val="0039557B"/>
    <w:rsid w:val="00396D14"/>
    <w:rsid w:val="00397925"/>
    <w:rsid w:val="003A1D22"/>
    <w:rsid w:val="003B32AD"/>
    <w:rsid w:val="003B45C1"/>
    <w:rsid w:val="003B4B9A"/>
    <w:rsid w:val="003B5859"/>
    <w:rsid w:val="003B6AC1"/>
    <w:rsid w:val="003B6B41"/>
    <w:rsid w:val="003B7722"/>
    <w:rsid w:val="003C2908"/>
    <w:rsid w:val="003C5C0A"/>
    <w:rsid w:val="003C60BD"/>
    <w:rsid w:val="003C65E2"/>
    <w:rsid w:val="003C7AD7"/>
    <w:rsid w:val="003D21A7"/>
    <w:rsid w:val="003D2EDF"/>
    <w:rsid w:val="003D3C35"/>
    <w:rsid w:val="003D5ED4"/>
    <w:rsid w:val="003D73D8"/>
    <w:rsid w:val="003E0284"/>
    <w:rsid w:val="003E0904"/>
    <w:rsid w:val="003E0CAF"/>
    <w:rsid w:val="003E0D65"/>
    <w:rsid w:val="003E47A4"/>
    <w:rsid w:val="003E4D79"/>
    <w:rsid w:val="003E5839"/>
    <w:rsid w:val="003E5BFE"/>
    <w:rsid w:val="003E7F85"/>
    <w:rsid w:val="003F0322"/>
    <w:rsid w:val="003F0E4D"/>
    <w:rsid w:val="003F5921"/>
    <w:rsid w:val="003F729B"/>
    <w:rsid w:val="003F73D3"/>
    <w:rsid w:val="003F77F1"/>
    <w:rsid w:val="0040020E"/>
    <w:rsid w:val="00400F46"/>
    <w:rsid w:val="00401AF5"/>
    <w:rsid w:val="00401EAD"/>
    <w:rsid w:val="00402FEE"/>
    <w:rsid w:val="0041093D"/>
    <w:rsid w:val="0041125F"/>
    <w:rsid w:val="00413ED9"/>
    <w:rsid w:val="00414C80"/>
    <w:rsid w:val="004155E1"/>
    <w:rsid w:val="00415B27"/>
    <w:rsid w:val="00420FEF"/>
    <w:rsid w:val="0042344B"/>
    <w:rsid w:val="00424F8C"/>
    <w:rsid w:val="00425974"/>
    <w:rsid w:val="0042623A"/>
    <w:rsid w:val="004300C1"/>
    <w:rsid w:val="00430BC8"/>
    <w:rsid w:val="0043596B"/>
    <w:rsid w:val="00440077"/>
    <w:rsid w:val="00440BC8"/>
    <w:rsid w:val="00441C05"/>
    <w:rsid w:val="0044281C"/>
    <w:rsid w:val="00443022"/>
    <w:rsid w:val="00444DB8"/>
    <w:rsid w:val="004454C1"/>
    <w:rsid w:val="00446ED7"/>
    <w:rsid w:val="0044769A"/>
    <w:rsid w:val="004501E7"/>
    <w:rsid w:val="00450538"/>
    <w:rsid w:val="004510CA"/>
    <w:rsid w:val="00452268"/>
    <w:rsid w:val="0045326D"/>
    <w:rsid w:val="00456179"/>
    <w:rsid w:val="00456AEF"/>
    <w:rsid w:val="0046080F"/>
    <w:rsid w:val="0046096C"/>
    <w:rsid w:val="0046321F"/>
    <w:rsid w:val="004635F1"/>
    <w:rsid w:val="0046576E"/>
    <w:rsid w:val="004660F2"/>
    <w:rsid w:val="00467163"/>
    <w:rsid w:val="00467EEF"/>
    <w:rsid w:val="0047504D"/>
    <w:rsid w:val="004750C1"/>
    <w:rsid w:val="00476CFC"/>
    <w:rsid w:val="004811AD"/>
    <w:rsid w:val="00483611"/>
    <w:rsid w:val="0048384E"/>
    <w:rsid w:val="00483D33"/>
    <w:rsid w:val="00484D1B"/>
    <w:rsid w:val="00484F7D"/>
    <w:rsid w:val="00490185"/>
    <w:rsid w:val="00490A3A"/>
    <w:rsid w:val="00492A65"/>
    <w:rsid w:val="0049331F"/>
    <w:rsid w:val="004935A2"/>
    <w:rsid w:val="004939C0"/>
    <w:rsid w:val="0049421F"/>
    <w:rsid w:val="00495895"/>
    <w:rsid w:val="00496FFA"/>
    <w:rsid w:val="004A075B"/>
    <w:rsid w:val="004A26A1"/>
    <w:rsid w:val="004A2A3D"/>
    <w:rsid w:val="004A4629"/>
    <w:rsid w:val="004A4DF3"/>
    <w:rsid w:val="004A624D"/>
    <w:rsid w:val="004A7F49"/>
    <w:rsid w:val="004B0745"/>
    <w:rsid w:val="004B41E5"/>
    <w:rsid w:val="004B5A1B"/>
    <w:rsid w:val="004B73B0"/>
    <w:rsid w:val="004C1938"/>
    <w:rsid w:val="004C1C79"/>
    <w:rsid w:val="004C3BA7"/>
    <w:rsid w:val="004C4A74"/>
    <w:rsid w:val="004C4D65"/>
    <w:rsid w:val="004C4E59"/>
    <w:rsid w:val="004C5D83"/>
    <w:rsid w:val="004D04EA"/>
    <w:rsid w:val="004D171B"/>
    <w:rsid w:val="004D4FC8"/>
    <w:rsid w:val="004D4FEE"/>
    <w:rsid w:val="004D72BE"/>
    <w:rsid w:val="004D7EED"/>
    <w:rsid w:val="004D7F9E"/>
    <w:rsid w:val="004E2235"/>
    <w:rsid w:val="004E2F81"/>
    <w:rsid w:val="004E3A1B"/>
    <w:rsid w:val="004E5B93"/>
    <w:rsid w:val="004E5C1F"/>
    <w:rsid w:val="004F0011"/>
    <w:rsid w:val="004F0120"/>
    <w:rsid w:val="004F17F1"/>
    <w:rsid w:val="004F3695"/>
    <w:rsid w:val="004F3EFE"/>
    <w:rsid w:val="004F5318"/>
    <w:rsid w:val="004F5A16"/>
    <w:rsid w:val="004F5C60"/>
    <w:rsid w:val="004F709C"/>
    <w:rsid w:val="004F732C"/>
    <w:rsid w:val="004F77E9"/>
    <w:rsid w:val="004F7838"/>
    <w:rsid w:val="005001A3"/>
    <w:rsid w:val="0050109E"/>
    <w:rsid w:val="00501D54"/>
    <w:rsid w:val="0050254A"/>
    <w:rsid w:val="00502815"/>
    <w:rsid w:val="00504473"/>
    <w:rsid w:val="00505B99"/>
    <w:rsid w:val="00510909"/>
    <w:rsid w:val="005126CB"/>
    <w:rsid w:val="005135C3"/>
    <w:rsid w:val="005154CC"/>
    <w:rsid w:val="00515542"/>
    <w:rsid w:val="00516316"/>
    <w:rsid w:val="00520CE0"/>
    <w:rsid w:val="005231FD"/>
    <w:rsid w:val="00523B6B"/>
    <w:rsid w:val="00524902"/>
    <w:rsid w:val="0052514F"/>
    <w:rsid w:val="00525BD5"/>
    <w:rsid w:val="00527F66"/>
    <w:rsid w:val="00530519"/>
    <w:rsid w:val="00530548"/>
    <w:rsid w:val="00530F76"/>
    <w:rsid w:val="00531857"/>
    <w:rsid w:val="0053212A"/>
    <w:rsid w:val="00532425"/>
    <w:rsid w:val="005332D4"/>
    <w:rsid w:val="005344B1"/>
    <w:rsid w:val="00534946"/>
    <w:rsid w:val="00534C95"/>
    <w:rsid w:val="00535B56"/>
    <w:rsid w:val="005410DC"/>
    <w:rsid w:val="00541F76"/>
    <w:rsid w:val="0054325C"/>
    <w:rsid w:val="0054386B"/>
    <w:rsid w:val="005448C7"/>
    <w:rsid w:val="00544B7F"/>
    <w:rsid w:val="0054630E"/>
    <w:rsid w:val="00547600"/>
    <w:rsid w:val="00556066"/>
    <w:rsid w:val="00556742"/>
    <w:rsid w:val="005653D6"/>
    <w:rsid w:val="00565D02"/>
    <w:rsid w:val="00567968"/>
    <w:rsid w:val="005703D1"/>
    <w:rsid w:val="00576CDB"/>
    <w:rsid w:val="005778DC"/>
    <w:rsid w:val="00581639"/>
    <w:rsid w:val="00581FD2"/>
    <w:rsid w:val="00582043"/>
    <w:rsid w:val="0058246C"/>
    <w:rsid w:val="00583995"/>
    <w:rsid w:val="005843ED"/>
    <w:rsid w:val="00586DF7"/>
    <w:rsid w:val="005871CA"/>
    <w:rsid w:val="00593712"/>
    <w:rsid w:val="005937A7"/>
    <w:rsid w:val="005955D8"/>
    <w:rsid w:val="005964FF"/>
    <w:rsid w:val="00596BCE"/>
    <w:rsid w:val="005A0034"/>
    <w:rsid w:val="005A0375"/>
    <w:rsid w:val="005A1122"/>
    <w:rsid w:val="005A1F93"/>
    <w:rsid w:val="005A6707"/>
    <w:rsid w:val="005A7A3F"/>
    <w:rsid w:val="005B04E9"/>
    <w:rsid w:val="005B0871"/>
    <w:rsid w:val="005B10CD"/>
    <w:rsid w:val="005B1F2E"/>
    <w:rsid w:val="005B2955"/>
    <w:rsid w:val="005B3C01"/>
    <w:rsid w:val="005B5016"/>
    <w:rsid w:val="005B62CF"/>
    <w:rsid w:val="005B6FAA"/>
    <w:rsid w:val="005C0BAF"/>
    <w:rsid w:val="005C134D"/>
    <w:rsid w:val="005C5268"/>
    <w:rsid w:val="005C5E6A"/>
    <w:rsid w:val="005D2C85"/>
    <w:rsid w:val="005D3C69"/>
    <w:rsid w:val="005D590E"/>
    <w:rsid w:val="005D606E"/>
    <w:rsid w:val="005D7ECB"/>
    <w:rsid w:val="005E164E"/>
    <w:rsid w:val="005E2D4E"/>
    <w:rsid w:val="005E340F"/>
    <w:rsid w:val="005E49B8"/>
    <w:rsid w:val="005E53B1"/>
    <w:rsid w:val="005E6614"/>
    <w:rsid w:val="005F016E"/>
    <w:rsid w:val="005F0B31"/>
    <w:rsid w:val="005F0BF3"/>
    <w:rsid w:val="005F1AFC"/>
    <w:rsid w:val="005F24E3"/>
    <w:rsid w:val="005F2C82"/>
    <w:rsid w:val="005F4B12"/>
    <w:rsid w:val="005F4FB6"/>
    <w:rsid w:val="0060047D"/>
    <w:rsid w:val="006010DF"/>
    <w:rsid w:val="006014DB"/>
    <w:rsid w:val="00603881"/>
    <w:rsid w:val="00606400"/>
    <w:rsid w:val="00613653"/>
    <w:rsid w:val="00613C05"/>
    <w:rsid w:val="006155AD"/>
    <w:rsid w:val="00616360"/>
    <w:rsid w:val="0061699B"/>
    <w:rsid w:val="00617272"/>
    <w:rsid w:val="00620CA3"/>
    <w:rsid w:val="006221F3"/>
    <w:rsid w:val="00624797"/>
    <w:rsid w:val="00625C1B"/>
    <w:rsid w:val="006318B4"/>
    <w:rsid w:val="00631C81"/>
    <w:rsid w:val="00633572"/>
    <w:rsid w:val="00635119"/>
    <w:rsid w:val="00636A0C"/>
    <w:rsid w:val="006417D2"/>
    <w:rsid w:val="00641865"/>
    <w:rsid w:val="0064518F"/>
    <w:rsid w:val="00645E00"/>
    <w:rsid w:val="006512F0"/>
    <w:rsid w:val="006527F9"/>
    <w:rsid w:val="006531AF"/>
    <w:rsid w:val="00654734"/>
    <w:rsid w:val="00655A17"/>
    <w:rsid w:val="0066130B"/>
    <w:rsid w:val="006620A9"/>
    <w:rsid w:val="00664775"/>
    <w:rsid w:val="00665010"/>
    <w:rsid w:val="00665051"/>
    <w:rsid w:val="00665A80"/>
    <w:rsid w:val="006670B3"/>
    <w:rsid w:val="00670293"/>
    <w:rsid w:val="00673146"/>
    <w:rsid w:val="00674639"/>
    <w:rsid w:val="0067515D"/>
    <w:rsid w:val="00676CC3"/>
    <w:rsid w:val="006778B9"/>
    <w:rsid w:val="006803AF"/>
    <w:rsid w:val="00682132"/>
    <w:rsid w:val="0068316A"/>
    <w:rsid w:val="00683FAD"/>
    <w:rsid w:val="00686EE6"/>
    <w:rsid w:val="00690C1E"/>
    <w:rsid w:val="00691B26"/>
    <w:rsid w:val="00693556"/>
    <w:rsid w:val="00696A08"/>
    <w:rsid w:val="006979DA"/>
    <w:rsid w:val="006A0E84"/>
    <w:rsid w:val="006A28E1"/>
    <w:rsid w:val="006A33FA"/>
    <w:rsid w:val="006A4D4E"/>
    <w:rsid w:val="006B2DC1"/>
    <w:rsid w:val="006B3DEE"/>
    <w:rsid w:val="006B489A"/>
    <w:rsid w:val="006C1969"/>
    <w:rsid w:val="006C21D4"/>
    <w:rsid w:val="006C2F9D"/>
    <w:rsid w:val="006C375D"/>
    <w:rsid w:val="006C405A"/>
    <w:rsid w:val="006C4D8A"/>
    <w:rsid w:val="006C577C"/>
    <w:rsid w:val="006D1C5E"/>
    <w:rsid w:val="006E0832"/>
    <w:rsid w:val="006E09DA"/>
    <w:rsid w:val="006E3F9B"/>
    <w:rsid w:val="006E6B0C"/>
    <w:rsid w:val="006F04C7"/>
    <w:rsid w:val="006F1056"/>
    <w:rsid w:val="006F6B6D"/>
    <w:rsid w:val="0070072D"/>
    <w:rsid w:val="00703573"/>
    <w:rsid w:val="007035B1"/>
    <w:rsid w:val="00703608"/>
    <w:rsid w:val="007109B1"/>
    <w:rsid w:val="007118F6"/>
    <w:rsid w:val="00712CF7"/>
    <w:rsid w:val="00715D6F"/>
    <w:rsid w:val="00715DB6"/>
    <w:rsid w:val="007211B7"/>
    <w:rsid w:val="00722397"/>
    <w:rsid w:val="007224AF"/>
    <w:rsid w:val="00722738"/>
    <w:rsid w:val="007227D6"/>
    <w:rsid w:val="00723075"/>
    <w:rsid w:val="007234CC"/>
    <w:rsid w:val="00723B05"/>
    <w:rsid w:val="007257FC"/>
    <w:rsid w:val="007345A3"/>
    <w:rsid w:val="00734A13"/>
    <w:rsid w:val="0073558C"/>
    <w:rsid w:val="0074174F"/>
    <w:rsid w:val="00742218"/>
    <w:rsid w:val="00744D19"/>
    <w:rsid w:val="00745A90"/>
    <w:rsid w:val="00746B39"/>
    <w:rsid w:val="00747A7E"/>
    <w:rsid w:val="00747D2F"/>
    <w:rsid w:val="00750A2B"/>
    <w:rsid w:val="00753CEB"/>
    <w:rsid w:val="00760299"/>
    <w:rsid w:val="007636F1"/>
    <w:rsid w:val="00763B96"/>
    <w:rsid w:val="00763EC4"/>
    <w:rsid w:val="007652E9"/>
    <w:rsid w:val="0076562D"/>
    <w:rsid w:val="00765D1A"/>
    <w:rsid w:val="0076666E"/>
    <w:rsid w:val="00767217"/>
    <w:rsid w:val="007700A7"/>
    <w:rsid w:val="00770B5E"/>
    <w:rsid w:val="007721F3"/>
    <w:rsid w:val="007750C9"/>
    <w:rsid w:val="00775B7B"/>
    <w:rsid w:val="00776BAF"/>
    <w:rsid w:val="00777185"/>
    <w:rsid w:val="00786105"/>
    <w:rsid w:val="00787800"/>
    <w:rsid w:val="007925C2"/>
    <w:rsid w:val="007932F4"/>
    <w:rsid w:val="00795EF4"/>
    <w:rsid w:val="007A080A"/>
    <w:rsid w:val="007A086F"/>
    <w:rsid w:val="007A0C93"/>
    <w:rsid w:val="007A629E"/>
    <w:rsid w:val="007A66E7"/>
    <w:rsid w:val="007A7196"/>
    <w:rsid w:val="007B0CF3"/>
    <w:rsid w:val="007B1B8A"/>
    <w:rsid w:val="007B3A8E"/>
    <w:rsid w:val="007B53E5"/>
    <w:rsid w:val="007B56BF"/>
    <w:rsid w:val="007B62C1"/>
    <w:rsid w:val="007B6CB0"/>
    <w:rsid w:val="007B7C6C"/>
    <w:rsid w:val="007B7D60"/>
    <w:rsid w:val="007C00A9"/>
    <w:rsid w:val="007C1ECB"/>
    <w:rsid w:val="007C1F74"/>
    <w:rsid w:val="007C356F"/>
    <w:rsid w:val="007C4350"/>
    <w:rsid w:val="007C4F0F"/>
    <w:rsid w:val="007C53AA"/>
    <w:rsid w:val="007D2622"/>
    <w:rsid w:val="007D4872"/>
    <w:rsid w:val="007D4F9F"/>
    <w:rsid w:val="007D51E3"/>
    <w:rsid w:val="007E1F15"/>
    <w:rsid w:val="007E3BAF"/>
    <w:rsid w:val="007E4359"/>
    <w:rsid w:val="007E4A88"/>
    <w:rsid w:val="007E4B33"/>
    <w:rsid w:val="007E5EC4"/>
    <w:rsid w:val="007F0332"/>
    <w:rsid w:val="007F2198"/>
    <w:rsid w:val="007F6272"/>
    <w:rsid w:val="007F665F"/>
    <w:rsid w:val="007F7FBE"/>
    <w:rsid w:val="008007A8"/>
    <w:rsid w:val="008007F8"/>
    <w:rsid w:val="00800CE4"/>
    <w:rsid w:val="00802226"/>
    <w:rsid w:val="00803E0F"/>
    <w:rsid w:val="00804DD8"/>
    <w:rsid w:val="00805D64"/>
    <w:rsid w:val="0080612B"/>
    <w:rsid w:val="00806D1A"/>
    <w:rsid w:val="008074A9"/>
    <w:rsid w:val="00810E31"/>
    <w:rsid w:val="00814E72"/>
    <w:rsid w:val="00817A92"/>
    <w:rsid w:val="00817DA0"/>
    <w:rsid w:val="008204CF"/>
    <w:rsid w:val="00820CF2"/>
    <w:rsid w:val="008214ED"/>
    <w:rsid w:val="00821866"/>
    <w:rsid w:val="00822440"/>
    <w:rsid w:val="0082393A"/>
    <w:rsid w:val="00825A82"/>
    <w:rsid w:val="00825DA9"/>
    <w:rsid w:val="0082603C"/>
    <w:rsid w:val="00826644"/>
    <w:rsid w:val="008313CD"/>
    <w:rsid w:val="00832511"/>
    <w:rsid w:val="00833B81"/>
    <w:rsid w:val="00836340"/>
    <w:rsid w:val="0083690F"/>
    <w:rsid w:val="0084194A"/>
    <w:rsid w:val="00844101"/>
    <w:rsid w:val="008450C0"/>
    <w:rsid w:val="00847DC3"/>
    <w:rsid w:val="008528E4"/>
    <w:rsid w:val="008549D0"/>
    <w:rsid w:val="008563B0"/>
    <w:rsid w:val="00857DCC"/>
    <w:rsid w:val="00860E61"/>
    <w:rsid w:val="0086138A"/>
    <w:rsid w:val="008614B7"/>
    <w:rsid w:val="00861E61"/>
    <w:rsid w:val="008648B9"/>
    <w:rsid w:val="008665BD"/>
    <w:rsid w:val="00870E00"/>
    <w:rsid w:val="00873F74"/>
    <w:rsid w:val="008740B5"/>
    <w:rsid w:val="00877946"/>
    <w:rsid w:val="00880DFE"/>
    <w:rsid w:val="00887CE9"/>
    <w:rsid w:val="00887DA6"/>
    <w:rsid w:val="00887F65"/>
    <w:rsid w:val="0089231D"/>
    <w:rsid w:val="0089241E"/>
    <w:rsid w:val="00892655"/>
    <w:rsid w:val="008940E0"/>
    <w:rsid w:val="00896D08"/>
    <w:rsid w:val="008A30B9"/>
    <w:rsid w:val="008A3277"/>
    <w:rsid w:val="008A38EC"/>
    <w:rsid w:val="008B593F"/>
    <w:rsid w:val="008B63E6"/>
    <w:rsid w:val="008C0061"/>
    <w:rsid w:val="008C211D"/>
    <w:rsid w:val="008C4AC6"/>
    <w:rsid w:val="008C4DE8"/>
    <w:rsid w:val="008C4E11"/>
    <w:rsid w:val="008C580E"/>
    <w:rsid w:val="008C745F"/>
    <w:rsid w:val="008C7620"/>
    <w:rsid w:val="008D1A56"/>
    <w:rsid w:val="008D21FF"/>
    <w:rsid w:val="008D244A"/>
    <w:rsid w:val="008D2461"/>
    <w:rsid w:val="008D262F"/>
    <w:rsid w:val="008D34A2"/>
    <w:rsid w:val="008D3A1D"/>
    <w:rsid w:val="008D4291"/>
    <w:rsid w:val="008D46F4"/>
    <w:rsid w:val="008D7AF0"/>
    <w:rsid w:val="008E567E"/>
    <w:rsid w:val="008E6A7C"/>
    <w:rsid w:val="008E74C9"/>
    <w:rsid w:val="008E7810"/>
    <w:rsid w:val="008F0B8B"/>
    <w:rsid w:val="008F1CFB"/>
    <w:rsid w:val="008F2DC1"/>
    <w:rsid w:val="008F2F52"/>
    <w:rsid w:val="008F3B7E"/>
    <w:rsid w:val="008F40CA"/>
    <w:rsid w:val="008F4CE2"/>
    <w:rsid w:val="008F4FC8"/>
    <w:rsid w:val="008F6AA9"/>
    <w:rsid w:val="008F7FE0"/>
    <w:rsid w:val="009005DD"/>
    <w:rsid w:val="00900EDC"/>
    <w:rsid w:val="00901393"/>
    <w:rsid w:val="0090432C"/>
    <w:rsid w:val="009153C2"/>
    <w:rsid w:val="00916D93"/>
    <w:rsid w:val="00922ABA"/>
    <w:rsid w:val="00922DA7"/>
    <w:rsid w:val="009236B0"/>
    <w:rsid w:val="00923E8A"/>
    <w:rsid w:val="00924BC1"/>
    <w:rsid w:val="00926868"/>
    <w:rsid w:val="009274EF"/>
    <w:rsid w:val="00933737"/>
    <w:rsid w:val="009374DF"/>
    <w:rsid w:val="00944FE3"/>
    <w:rsid w:val="009475BD"/>
    <w:rsid w:val="00950CD6"/>
    <w:rsid w:val="00950F32"/>
    <w:rsid w:val="00950F8D"/>
    <w:rsid w:val="0095187B"/>
    <w:rsid w:val="00953692"/>
    <w:rsid w:val="009545CC"/>
    <w:rsid w:val="00957D89"/>
    <w:rsid w:val="00957F9F"/>
    <w:rsid w:val="0096018C"/>
    <w:rsid w:val="00964E41"/>
    <w:rsid w:val="00966B3E"/>
    <w:rsid w:val="009673F7"/>
    <w:rsid w:val="00970BA5"/>
    <w:rsid w:val="009712B7"/>
    <w:rsid w:val="009718FE"/>
    <w:rsid w:val="009746A1"/>
    <w:rsid w:val="009748AD"/>
    <w:rsid w:val="00975337"/>
    <w:rsid w:val="00976F18"/>
    <w:rsid w:val="00983416"/>
    <w:rsid w:val="009849FE"/>
    <w:rsid w:val="0098614E"/>
    <w:rsid w:val="009871F4"/>
    <w:rsid w:val="00987C90"/>
    <w:rsid w:val="009900F9"/>
    <w:rsid w:val="00990416"/>
    <w:rsid w:val="00990E89"/>
    <w:rsid w:val="00992C78"/>
    <w:rsid w:val="00993B61"/>
    <w:rsid w:val="009943E2"/>
    <w:rsid w:val="009943E4"/>
    <w:rsid w:val="00994B97"/>
    <w:rsid w:val="00994C16"/>
    <w:rsid w:val="00995C7C"/>
    <w:rsid w:val="009A0234"/>
    <w:rsid w:val="009A146A"/>
    <w:rsid w:val="009A198A"/>
    <w:rsid w:val="009A237A"/>
    <w:rsid w:val="009A3005"/>
    <w:rsid w:val="009A3770"/>
    <w:rsid w:val="009A49A7"/>
    <w:rsid w:val="009A709B"/>
    <w:rsid w:val="009B04F9"/>
    <w:rsid w:val="009B0E75"/>
    <w:rsid w:val="009B0FB1"/>
    <w:rsid w:val="009B345D"/>
    <w:rsid w:val="009B599B"/>
    <w:rsid w:val="009B633D"/>
    <w:rsid w:val="009B796D"/>
    <w:rsid w:val="009C0777"/>
    <w:rsid w:val="009C0B4E"/>
    <w:rsid w:val="009C148B"/>
    <w:rsid w:val="009C4881"/>
    <w:rsid w:val="009C5C5A"/>
    <w:rsid w:val="009C6957"/>
    <w:rsid w:val="009C7F17"/>
    <w:rsid w:val="009D0C70"/>
    <w:rsid w:val="009D3992"/>
    <w:rsid w:val="009D3DBB"/>
    <w:rsid w:val="009D58F1"/>
    <w:rsid w:val="009D5A6D"/>
    <w:rsid w:val="009D72CD"/>
    <w:rsid w:val="009E2BEE"/>
    <w:rsid w:val="009E4458"/>
    <w:rsid w:val="009E720E"/>
    <w:rsid w:val="009F0D40"/>
    <w:rsid w:val="009F2A79"/>
    <w:rsid w:val="009F2C2E"/>
    <w:rsid w:val="009F3D0C"/>
    <w:rsid w:val="009F45A1"/>
    <w:rsid w:val="009F4C58"/>
    <w:rsid w:val="009F597D"/>
    <w:rsid w:val="009F69CA"/>
    <w:rsid w:val="009F6C2E"/>
    <w:rsid w:val="00A000F1"/>
    <w:rsid w:val="00A03296"/>
    <w:rsid w:val="00A067DA"/>
    <w:rsid w:val="00A072C4"/>
    <w:rsid w:val="00A10D42"/>
    <w:rsid w:val="00A12048"/>
    <w:rsid w:val="00A13D8D"/>
    <w:rsid w:val="00A15D49"/>
    <w:rsid w:val="00A164C6"/>
    <w:rsid w:val="00A200CD"/>
    <w:rsid w:val="00A21B23"/>
    <w:rsid w:val="00A26662"/>
    <w:rsid w:val="00A268B9"/>
    <w:rsid w:val="00A27C58"/>
    <w:rsid w:val="00A30D9A"/>
    <w:rsid w:val="00A31DD1"/>
    <w:rsid w:val="00A334C1"/>
    <w:rsid w:val="00A33610"/>
    <w:rsid w:val="00A355D5"/>
    <w:rsid w:val="00A40521"/>
    <w:rsid w:val="00A4115E"/>
    <w:rsid w:val="00A420D1"/>
    <w:rsid w:val="00A42DA0"/>
    <w:rsid w:val="00A42DE4"/>
    <w:rsid w:val="00A43077"/>
    <w:rsid w:val="00A46246"/>
    <w:rsid w:val="00A4694A"/>
    <w:rsid w:val="00A539DE"/>
    <w:rsid w:val="00A55C9D"/>
    <w:rsid w:val="00A560BA"/>
    <w:rsid w:val="00A60B33"/>
    <w:rsid w:val="00A625B1"/>
    <w:rsid w:val="00A63E9C"/>
    <w:rsid w:val="00A65897"/>
    <w:rsid w:val="00A660E5"/>
    <w:rsid w:val="00A668C1"/>
    <w:rsid w:val="00A669D5"/>
    <w:rsid w:val="00A67A9B"/>
    <w:rsid w:val="00A70E76"/>
    <w:rsid w:val="00A73824"/>
    <w:rsid w:val="00A73882"/>
    <w:rsid w:val="00A74B0E"/>
    <w:rsid w:val="00A75E82"/>
    <w:rsid w:val="00A80650"/>
    <w:rsid w:val="00A8135C"/>
    <w:rsid w:val="00A821DB"/>
    <w:rsid w:val="00A835E4"/>
    <w:rsid w:val="00A83DF0"/>
    <w:rsid w:val="00A84A54"/>
    <w:rsid w:val="00A85E57"/>
    <w:rsid w:val="00A87351"/>
    <w:rsid w:val="00A905D8"/>
    <w:rsid w:val="00A93CA4"/>
    <w:rsid w:val="00A94219"/>
    <w:rsid w:val="00A9632A"/>
    <w:rsid w:val="00A96816"/>
    <w:rsid w:val="00A96D4A"/>
    <w:rsid w:val="00AA1DDC"/>
    <w:rsid w:val="00AA3F0B"/>
    <w:rsid w:val="00AA5070"/>
    <w:rsid w:val="00AA5F00"/>
    <w:rsid w:val="00AA788A"/>
    <w:rsid w:val="00AA7D17"/>
    <w:rsid w:val="00AB5806"/>
    <w:rsid w:val="00AB75B9"/>
    <w:rsid w:val="00AC124B"/>
    <w:rsid w:val="00AC2025"/>
    <w:rsid w:val="00AC3940"/>
    <w:rsid w:val="00AC46FA"/>
    <w:rsid w:val="00AC785F"/>
    <w:rsid w:val="00AD196A"/>
    <w:rsid w:val="00AD35F0"/>
    <w:rsid w:val="00AD42A5"/>
    <w:rsid w:val="00AD4E5E"/>
    <w:rsid w:val="00AD5125"/>
    <w:rsid w:val="00AD5141"/>
    <w:rsid w:val="00AD5ABB"/>
    <w:rsid w:val="00AD5E9C"/>
    <w:rsid w:val="00AD6516"/>
    <w:rsid w:val="00AD66D0"/>
    <w:rsid w:val="00AE2B45"/>
    <w:rsid w:val="00AE4702"/>
    <w:rsid w:val="00AE5800"/>
    <w:rsid w:val="00AF1505"/>
    <w:rsid w:val="00AF7743"/>
    <w:rsid w:val="00B0129B"/>
    <w:rsid w:val="00B0142E"/>
    <w:rsid w:val="00B031F3"/>
    <w:rsid w:val="00B03688"/>
    <w:rsid w:val="00B037E4"/>
    <w:rsid w:val="00B04DCF"/>
    <w:rsid w:val="00B11964"/>
    <w:rsid w:val="00B1245D"/>
    <w:rsid w:val="00B130D5"/>
    <w:rsid w:val="00B14084"/>
    <w:rsid w:val="00B16C9F"/>
    <w:rsid w:val="00B2067D"/>
    <w:rsid w:val="00B2223F"/>
    <w:rsid w:val="00B2284F"/>
    <w:rsid w:val="00B238AD"/>
    <w:rsid w:val="00B23C0E"/>
    <w:rsid w:val="00B257FE"/>
    <w:rsid w:val="00B27EC2"/>
    <w:rsid w:val="00B307AB"/>
    <w:rsid w:val="00B340C9"/>
    <w:rsid w:val="00B34F9A"/>
    <w:rsid w:val="00B352BF"/>
    <w:rsid w:val="00B40CA4"/>
    <w:rsid w:val="00B42D28"/>
    <w:rsid w:val="00B43989"/>
    <w:rsid w:val="00B440AF"/>
    <w:rsid w:val="00B502A5"/>
    <w:rsid w:val="00B52533"/>
    <w:rsid w:val="00B547C5"/>
    <w:rsid w:val="00B56E37"/>
    <w:rsid w:val="00B62687"/>
    <w:rsid w:val="00B62CF3"/>
    <w:rsid w:val="00B63041"/>
    <w:rsid w:val="00B645ED"/>
    <w:rsid w:val="00B64829"/>
    <w:rsid w:val="00B65461"/>
    <w:rsid w:val="00B66F2C"/>
    <w:rsid w:val="00B671F3"/>
    <w:rsid w:val="00B67AF3"/>
    <w:rsid w:val="00B704E6"/>
    <w:rsid w:val="00B705A8"/>
    <w:rsid w:val="00B720EC"/>
    <w:rsid w:val="00B73D55"/>
    <w:rsid w:val="00B74168"/>
    <w:rsid w:val="00B74E06"/>
    <w:rsid w:val="00B754A1"/>
    <w:rsid w:val="00B762E0"/>
    <w:rsid w:val="00B773E3"/>
    <w:rsid w:val="00B802E2"/>
    <w:rsid w:val="00B8168C"/>
    <w:rsid w:val="00B825D0"/>
    <w:rsid w:val="00B83929"/>
    <w:rsid w:val="00B83B12"/>
    <w:rsid w:val="00B87519"/>
    <w:rsid w:val="00B87D58"/>
    <w:rsid w:val="00B915F1"/>
    <w:rsid w:val="00B923EA"/>
    <w:rsid w:val="00B929DB"/>
    <w:rsid w:val="00B92B5A"/>
    <w:rsid w:val="00B93D4C"/>
    <w:rsid w:val="00B95455"/>
    <w:rsid w:val="00B97E89"/>
    <w:rsid w:val="00BA0CD4"/>
    <w:rsid w:val="00BA2C61"/>
    <w:rsid w:val="00BA2E29"/>
    <w:rsid w:val="00BA4D5A"/>
    <w:rsid w:val="00BA5C94"/>
    <w:rsid w:val="00BA788A"/>
    <w:rsid w:val="00BB1C2F"/>
    <w:rsid w:val="00BB1E99"/>
    <w:rsid w:val="00BB2479"/>
    <w:rsid w:val="00BB5672"/>
    <w:rsid w:val="00BB62E5"/>
    <w:rsid w:val="00BB7136"/>
    <w:rsid w:val="00BB7E9F"/>
    <w:rsid w:val="00BB7EA9"/>
    <w:rsid w:val="00BC02D9"/>
    <w:rsid w:val="00BC130C"/>
    <w:rsid w:val="00BC2D53"/>
    <w:rsid w:val="00BC6784"/>
    <w:rsid w:val="00BD1A86"/>
    <w:rsid w:val="00BD1C50"/>
    <w:rsid w:val="00BD1D37"/>
    <w:rsid w:val="00BD357C"/>
    <w:rsid w:val="00BD3663"/>
    <w:rsid w:val="00BD3AF3"/>
    <w:rsid w:val="00BD4F1C"/>
    <w:rsid w:val="00BD506C"/>
    <w:rsid w:val="00BD7007"/>
    <w:rsid w:val="00BD77A9"/>
    <w:rsid w:val="00BD7FA7"/>
    <w:rsid w:val="00BE0430"/>
    <w:rsid w:val="00BE6269"/>
    <w:rsid w:val="00BF05F8"/>
    <w:rsid w:val="00BF33CF"/>
    <w:rsid w:val="00BF4E47"/>
    <w:rsid w:val="00BF585F"/>
    <w:rsid w:val="00BF6CBF"/>
    <w:rsid w:val="00BF735E"/>
    <w:rsid w:val="00C02F2B"/>
    <w:rsid w:val="00C04154"/>
    <w:rsid w:val="00C05C33"/>
    <w:rsid w:val="00C0644C"/>
    <w:rsid w:val="00C1013F"/>
    <w:rsid w:val="00C103FF"/>
    <w:rsid w:val="00C14527"/>
    <w:rsid w:val="00C15998"/>
    <w:rsid w:val="00C205C8"/>
    <w:rsid w:val="00C21211"/>
    <w:rsid w:val="00C214A0"/>
    <w:rsid w:val="00C231CC"/>
    <w:rsid w:val="00C26D3E"/>
    <w:rsid w:val="00C339D0"/>
    <w:rsid w:val="00C35012"/>
    <w:rsid w:val="00C37544"/>
    <w:rsid w:val="00C37A21"/>
    <w:rsid w:val="00C37F42"/>
    <w:rsid w:val="00C4006D"/>
    <w:rsid w:val="00C43E90"/>
    <w:rsid w:val="00C45154"/>
    <w:rsid w:val="00C54179"/>
    <w:rsid w:val="00C60315"/>
    <w:rsid w:val="00C606B3"/>
    <w:rsid w:val="00C60E35"/>
    <w:rsid w:val="00C60FE1"/>
    <w:rsid w:val="00C618E9"/>
    <w:rsid w:val="00C65276"/>
    <w:rsid w:val="00C6549E"/>
    <w:rsid w:val="00C6658C"/>
    <w:rsid w:val="00C70984"/>
    <w:rsid w:val="00C716CA"/>
    <w:rsid w:val="00C72A72"/>
    <w:rsid w:val="00C73F08"/>
    <w:rsid w:val="00C759A8"/>
    <w:rsid w:val="00C76A40"/>
    <w:rsid w:val="00C77433"/>
    <w:rsid w:val="00C77CA6"/>
    <w:rsid w:val="00C804F9"/>
    <w:rsid w:val="00C81193"/>
    <w:rsid w:val="00C84911"/>
    <w:rsid w:val="00C8793B"/>
    <w:rsid w:val="00C90469"/>
    <w:rsid w:val="00C90E0F"/>
    <w:rsid w:val="00C91F60"/>
    <w:rsid w:val="00C922AD"/>
    <w:rsid w:val="00C929D4"/>
    <w:rsid w:val="00C933ED"/>
    <w:rsid w:val="00CA0783"/>
    <w:rsid w:val="00CA136B"/>
    <w:rsid w:val="00CA6209"/>
    <w:rsid w:val="00CA7470"/>
    <w:rsid w:val="00CC0CBE"/>
    <w:rsid w:val="00CC271B"/>
    <w:rsid w:val="00CD049A"/>
    <w:rsid w:val="00CD1D12"/>
    <w:rsid w:val="00CD5019"/>
    <w:rsid w:val="00CE16E0"/>
    <w:rsid w:val="00CE3171"/>
    <w:rsid w:val="00CE37AF"/>
    <w:rsid w:val="00CE5516"/>
    <w:rsid w:val="00CE56C7"/>
    <w:rsid w:val="00CE6C28"/>
    <w:rsid w:val="00CF2CE4"/>
    <w:rsid w:val="00CF3861"/>
    <w:rsid w:val="00CF6AD3"/>
    <w:rsid w:val="00D002A3"/>
    <w:rsid w:val="00D003AE"/>
    <w:rsid w:val="00D01E2F"/>
    <w:rsid w:val="00D036B4"/>
    <w:rsid w:val="00D043B7"/>
    <w:rsid w:val="00D04EAF"/>
    <w:rsid w:val="00D055AD"/>
    <w:rsid w:val="00D0660C"/>
    <w:rsid w:val="00D07C51"/>
    <w:rsid w:val="00D10202"/>
    <w:rsid w:val="00D12C1F"/>
    <w:rsid w:val="00D1330F"/>
    <w:rsid w:val="00D1501D"/>
    <w:rsid w:val="00D150A9"/>
    <w:rsid w:val="00D15E73"/>
    <w:rsid w:val="00D215C8"/>
    <w:rsid w:val="00D218C5"/>
    <w:rsid w:val="00D23248"/>
    <w:rsid w:val="00D23AB1"/>
    <w:rsid w:val="00D2521F"/>
    <w:rsid w:val="00D27D52"/>
    <w:rsid w:val="00D3163C"/>
    <w:rsid w:val="00D340F6"/>
    <w:rsid w:val="00D47B3A"/>
    <w:rsid w:val="00D5162E"/>
    <w:rsid w:val="00D536F0"/>
    <w:rsid w:val="00D543D5"/>
    <w:rsid w:val="00D54667"/>
    <w:rsid w:val="00D55B7D"/>
    <w:rsid w:val="00D5749F"/>
    <w:rsid w:val="00D605BE"/>
    <w:rsid w:val="00D614F9"/>
    <w:rsid w:val="00D62D25"/>
    <w:rsid w:val="00D648FF"/>
    <w:rsid w:val="00D64EBF"/>
    <w:rsid w:val="00D65A8B"/>
    <w:rsid w:val="00D66412"/>
    <w:rsid w:val="00D66E74"/>
    <w:rsid w:val="00D67409"/>
    <w:rsid w:val="00D727E5"/>
    <w:rsid w:val="00D739B4"/>
    <w:rsid w:val="00D73A82"/>
    <w:rsid w:val="00D77B11"/>
    <w:rsid w:val="00D80450"/>
    <w:rsid w:val="00D81A7B"/>
    <w:rsid w:val="00D82A40"/>
    <w:rsid w:val="00D82B1C"/>
    <w:rsid w:val="00D83224"/>
    <w:rsid w:val="00D843ED"/>
    <w:rsid w:val="00D84E89"/>
    <w:rsid w:val="00D85A07"/>
    <w:rsid w:val="00D9016D"/>
    <w:rsid w:val="00D9040A"/>
    <w:rsid w:val="00D93054"/>
    <w:rsid w:val="00D95D5D"/>
    <w:rsid w:val="00D9654E"/>
    <w:rsid w:val="00D97A7B"/>
    <w:rsid w:val="00DA07D3"/>
    <w:rsid w:val="00DA0870"/>
    <w:rsid w:val="00DA097F"/>
    <w:rsid w:val="00DA11A6"/>
    <w:rsid w:val="00DA2FAB"/>
    <w:rsid w:val="00DA563D"/>
    <w:rsid w:val="00DA73A3"/>
    <w:rsid w:val="00DB01B1"/>
    <w:rsid w:val="00DB1179"/>
    <w:rsid w:val="00DB1353"/>
    <w:rsid w:val="00DB1C87"/>
    <w:rsid w:val="00DB3948"/>
    <w:rsid w:val="00DB49A0"/>
    <w:rsid w:val="00DB56DD"/>
    <w:rsid w:val="00DB5F01"/>
    <w:rsid w:val="00DB61E9"/>
    <w:rsid w:val="00DC0790"/>
    <w:rsid w:val="00DC2692"/>
    <w:rsid w:val="00DC4091"/>
    <w:rsid w:val="00DD0862"/>
    <w:rsid w:val="00DD2DC1"/>
    <w:rsid w:val="00DD5EF2"/>
    <w:rsid w:val="00DD68FB"/>
    <w:rsid w:val="00DD6D42"/>
    <w:rsid w:val="00DE279F"/>
    <w:rsid w:val="00DF2351"/>
    <w:rsid w:val="00DF4918"/>
    <w:rsid w:val="00DF4F3C"/>
    <w:rsid w:val="00DF6300"/>
    <w:rsid w:val="00E002F7"/>
    <w:rsid w:val="00E04848"/>
    <w:rsid w:val="00E04DE4"/>
    <w:rsid w:val="00E05F17"/>
    <w:rsid w:val="00E07055"/>
    <w:rsid w:val="00E07E20"/>
    <w:rsid w:val="00E11C41"/>
    <w:rsid w:val="00E12CAA"/>
    <w:rsid w:val="00E13D6F"/>
    <w:rsid w:val="00E14289"/>
    <w:rsid w:val="00E14FC3"/>
    <w:rsid w:val="00E15D51"/>
    <w:rsid w:val="00E20B6D"/>
    <w:rsid w:val="00E21DEA"/>
    <w:rsid w:val="00E2592B"/>
    <w:rsid w:val="00E268A3"/>
    <w:rsid w:val="00E26F16"/>
    <w:rsid w:val="00E27E57"/>
    <w:rsid w:val="00E30E94"/>
    <w:rsid w:val="00E329EE"/>
    <w:rsid w:val="00E32B23"/>
    <w:rsid w:val="00E33E9C"/>
    <w:rsid w:val="00E341F3"/>
    <w:rsid w:val="00E343FE"/>
    <w:rsid w:val="00E34B01"/>
    <w:rsid w:val="00E36694"/>
    <w:rsid w:val="00E36E85"/>
    <w:rsid w:val="00E37930"/>
    <w:rsid w:val="00E42655"/>
    <w:rsid w:val="00E43213"/>
    <w:rsid w:val="00E43D46"/>
    <w:rsid w:val="00E44BD1"/>
    <w:rsid w:val="00E47712"/>
    <w:rsid w:val="00E47851"/>
    <w:rsid w:val="00E50618"/>
    <w:rsid w:val="00E51A40"/>
    <w:rsid w:val="00E52235"/>
    <w:rsid w:val="00E52E0B"/>
    <w:rsid w:val="00E53737"/>
    <w:rsid w:val="00E54525"/>
    <w:rsid w:val="00E57233"/>
    <w:rsid w:val="00E6629D"/>
    <w:rsid w:val="00E706B3"/>
    <w:rsid w:val="00E7284A"/>
    <w:rsid w:val="00E73D7A"/>
    <w:rsid w:val="00E7422B"/>
    <w:rsid w:val="00E754FF"/>
    <w:rsid w:val="00E775F3"/>
    <w:rsid w:val="00E855B2"/>
    <w:rsid w:val="00E85E2E"/>
    <w:rsid w:val="00E93C89"/>
    <w:rsid w:val="00E954F0"/>
    <w:rsid w:val="00E95C39"/>
    <w:rsid w:val="00E974EB"/>
    <w:rsid w:val="00E97584"/>
    <w:rsid w:val="00EA01FB"/>
    <w:rsid w:val="00EA0355"/>
    <w:rsid w:val="00EA0696"/>
    <w:rsid w:val="00EA0F04"/>
    <w:rsid w:val="00EB58F3"/>
    <w:rsid w:val="00EC0801"/>
    <w:rsid w:val="00EC744F"/>
    <w:rsid w:val="00ED0EBB"/>
    <w:rsid w:val="00ED1F96"/>
    <w:rsid w:val="00ED43AE"/>
    <w:rsid w:val="00EE1BF9"/>
    <w:rsid w:val="00EE1C93"/>
    <w:rsid w:val="00EE4455"/>
    <w:rsid w:val="00EF00D4"/>
    <w:rsid w:val="00EF0379"/>
    <w:rsid w:val="00EF102C"/>
    <w:rsid w:val="00EF24FF"/>
    <w:rsid w:val="00EF2A05"/>
    <w:rsid w:val="00EF3249"/>
    <w:rsid w:val="00EF6E0F"/>
    <w:rsid w:val="00EF7327"/>
    <w:rsid w:val="00EF7A6E"/>
    <w:rsid w:val="00F04055"/>
    <w:rsid w:val="00F0634D"/>
    <w:rsid w:val="00F07098"/>
    <w:rsid w:val="00F10697"/>
    <w:rsid w:val="00F111C6"/>
    <w:rsid w:val="00F11FE1"/>
    <w:rsid w:val="00F122B9"/>
    <w:rsid w:val="00F1259C"/>
    <w:rsid w:val="00F12A0E"/>
    <w:rsid w:val="00F13DA4"/>
    <w:rsid w:val="00F13DC8"/>
    <w:rsid w:val="00F14155"/>
    <w:rsid w:val="00F15E4E"/>
    <w:rsid w:val="00F1687E"/>
    <w:rsid w:val="00F17CB6"/>
    <w:rsid w:val="00F21CD9"/>
    <w:rsid w:val="00F21F0B"/>
    <w:rsid w:val="00F24C7F"/>
    <w:rsid w:val="00F26360"/>
    <w:rsid w:val="00F27EED"/>
    <w:rsid w:val="00F3207F"/>
    <w:rsid w:val="00F320DB"/>
    <w:rsid w:val="00F322DA"/>
    <w:rsid w:val="00F33058"/>
    <w:rsid w:val="00F33159"/>
    <w:rsid w:val="00F33AF7"/>
    <w:rsid w:val="00F3541A"/>
    <w:rsid w:val="00F42849"/>
    <w:rsid w:val="00F45F8E"/>
    <w:rsid w:val="00F46275"/>
    <w:rsid w:val="00F51DF5"/>
    <w:rsid w:val="00F52A86"/>
    <w:rsid w:val="00F5664E"/>
    <w:rsid w:val="00F5665F"/>
    <w:rsid w:val="00F56B04"/>
    <w:rsid w:val="00F57514"/>
    <w:rsid w:val="00F602E7"/>
    <w:rsid w:val="00F60488"/>
    <w:rsid w:val="00F611C7"/>
    <w:rsid w:val="00F61417"/>
    <w:rsid w:val="00F63132"/>
    <w:rsid w:val="00F631B6"/>
    <w:rsid w:val="00F63BC0"/>
    <w:rsid w:val="00F640FB"/>
    <w:rsid w:val="00F67860"/>
    <w:rsid w:val="00F70F22"/>
    <w:rsid w:val="00F719B8"/>
    <w:rsid w:val="00F71DF3"/>
    <w:rsid w:val="00F72026"/>
    <w:rsid w:val="00F73DC8"/>
    <w:rsid w:val="00F766F5"/>
    <w:rsid w:val="00F8067A"/>
    <w:rsid w:val="00F8231E"/>
    <w:rsid w:val="00F82A74"/>
    <w:rsid w:val="00F82F96"/>
    <w:rsid w:val="00F90687"/>
    <w:rsid w:val="00F91730"/>
    <w:rsid w:val="00F91C24"/>
    <w:rsid w:val="00F926D2"/>
    <w:rsid w:val="00F931EC"/>
    <w:rsid w:val="00F94AD8"/>
    <w:rsid w:val="00F94B00"/>
    <w:rsid w:val="00F967AA"/>
    <w:rsid w:val="00F9759A"/>
    <w:rsid w:val="00F97DD8"/>
    <w:rsid w:val="00FA0232"/>
    <w:rsid w:val="00FA03AD"/>
    <w:rsid w:val="00FA128D"/>
    <w:rsid w:val="00FA2E89"/>
    <w:rsid w:val="00FA3732"/>
    <w:rsid w:val="00FA4545"/>
    <w:rsid w:val="00FB091E"/>
    <w:rsid w:val="00FB1931"/>
    <w:rsid w:val="00FB2C69"/>
    <w:rsid w:val="00FB5FAD"/>
    <w:rsid w:val="00FB6500"/>
    <w:rsid w:val="00FB75CA"/>
    <w:rsid w:val="00FB7FAD"/>
    <w:rsid w:val="00FC0DB9"/>
    <w:rsid w:val="00FC1705"/>
    <w:rsid w:val="00FC34CE"/>
    <w:rsid w:val="00FC430C"/>
    <w:rsid w:val="00FC4780"/>
    <w:rsid w:val="00FC7332"/>
    <w:rsid w:val="00FC7C07"/>
    <w:rsid w:val="00FD01E3"/>
    <w:rsid w:val="00FD0BA0"/>
    <w:rsid w:val="00FD1E01"/>
    <w:rsid w:val="00FD2307"/>
    <w:rsid w:val="00FD3DCD"/>
    <w:rsid w:val="00FD7496"/>
    <w:rsid w:val="00FE08AD"/>
    <w:rsid w:val="00FE1FCF"/>
    <w:rsid w:val="00FE4DA9"/>
    <w:rsid w:val="00FE7DD1"/>
    <w:rsid w:val="00FF3ED8"/>
    <w:rsid w:val="00FF6352"/>
    <w:rsid w:val="00FF7037"/>
    <w:rsid w:val="00FF72D5"/>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DB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B773E3"/>
    <w:pPr>
      <w:tabs>
        <w:tab w:val="right" w:leader="dot" w:pos="9350"/>
      </w:tabs>
      <w:ind w:left="240"/>
    </w:pPr>
    <w:rPr>
      <w:noProof/>
    </w:r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paragraph" w:customStyle="1" w:styleId="SDBodyText">
    <w:name w:val="SD Body Text"/>
    <w:link w:val="SDBodyTextChar"/>
    <w:qFormat/>
    <w:rsid w:val="00D10202"/>
    <w:pPr>
      <w:spacing w:after="200"/>
      <w:jc w:val="both"/>
    </w:pPr>
    <w:rPr>
      <w:rFonts w:ascii="Arial Narrow" w:eastAsia="Calibri" w:hAnsi="Arial Narrow"/>
      <w:sz w:val="24"/>
      <w:szCs w:val="22"/>
    </w:rPr>
  </w:style>
  <w:style w:type="character" w:customStyle="1" w:styleId="SDBodyTextChar">
    <w:name w:val="SD Body Text Char"/>
    <w:link w:val="SDBodyText"/>
    <w:rsid w:val="00D10202"/>
    <w:rPr>
      <w:rFonts w:ascii="Arial Narrow" w:eastAsia="Calibri" w:hAnsi="Arial Narrow"/>
      <w:sz w:val="24"/>
      <w:szCs w:val="22"/>
    </w:rPr>
  </w:style>
  <w:style w:type="paragraph" w:customStyle="1" w:styleId="SDBullet1">
    <w:name w:val="SD Bullet 1"/>
    <w:qFormat/>
    <w:rsid w:val="005843ED"/>
    <w:pPr>
      <w:numPr>
        <w:numId w:val="13"/>
      </w:numPr>
      <w:spacing w:after="60"/>
    </w:pPr>
    <w:rPr>
      <w:rFonts w:ascii="Arial Narrow" w:eastAsia="Calibri" w:hAnsi="Arial Narrow"/>
      <w:sz w:val="24"/>
      <w:szCs w:val="22"/>
    </w:rPr>
  </w:style>
  <w:style w:type="paragraph" w:customStyle="1" w:styleId="SDTextBoxHeading">
    <w:name w:val="SD Text Box Heading"/>
    <w:qFormat/>
    <w:rsid w:val="005843ED"/>
    <w:pPr>
      <w:jc w:val="center"/>
    </w:pPr>
    <w:rPr>
      <w:rFonts w:ascii="Arial Narrow" w:eastAsia="Calibri" w:hAnsi="Arial Narrow"/>
      <w:b/>
      <w:szCs w:val="22"/>
    </w:rPr>
  </w:style>
  <w:style w:type="paragraph" w:styleId="NoSpacing">
    <w:name w:val="No Spacing"/>
    <w:uiPriority w:val="1"/>
    <w:qFormat/>
    <w:rsid w:val="004F17F1"/>
    <w:rPr>
      <w:sz w:val="24"/>
      <w:szCs w:val="24"/>
    </w:rPr>
  </w:style>
  <w:style w:type="character" w:customStyle="1" w:styleId="apple-converted-space">
    <w:name w:val="apple-converted-space"/>
    <w:basedOn w:val="DefaultParagraphFont"/>
    <w:rsid w:val="00A27C58"/>
  </w:style>
  <w:style w:type="paragraph" w:styleId="HTMLPreformatted">
    <w:name w:val="HTML Preformatted"/>
    <w:basedOn w:val="Normal"/>
    <w:link w:val="HTMLPreformattedChar"/>
    <w:uiPriority w:val="99"/>
    <w:semiHidden/>
    <w:unhideWhenUsed/>
    <w:rsid w:val="001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595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B773E3"/>
    <w:pPr>
      <w:tabs>
        <w:tab w:val="right" w:leader="dot" w:pos="9350"/>
      </w:tabs>
      <w:ind w:left="240"/>
    </w:pPr>
    <w:rPr>
      <w:noProof/>
    </w:r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paragraph" w:customStyle="1" w:styleId="SDBodyText">
    <w:name w:val="SD Body Text"/>
    <w:link w:val="SDBodyTextChar"/>
    <w:qFormat/>
    <w:rsid w:val="00D10202"/>
    <w:pPr>
      <w:spacing w:after="200"/>
      <w:jc w:val="both"/>
    </w:pPr>
    <w:rPr>
      <w:rFonts w:ascii="Arial Narrow" w:eastAsia="Calibri" w:hAnsi="Arial Narrow"/>
      <w:sz w:val="24"/>
      <w:szCs w:val="22"/>
    </w:rPr>
  </w:style>
  <w:style w:type="character" w:customStyle="1" w:styleId="SDBodyTextChar">
    <w:name w:val="SD Body Text Char"/>
    <w:link w:val="SDBodyText"/>
    <w:rsid w:val="00D10202"/>
    <w:rPr>
      <w:rFonts w:ascii="Arial Narrow" w:eastAsia="Calibri" w:hAnsi="Arial Narrow"/>
      <w:sz w:val="24"/>
      <w:szCs w:val="22"/>
    </w:rPr>
  </w:style>
  <w:style w:type="paragraph" w:customStyle="1" w:styleId="SDBullet1">
    <w:name w:val="SD Bullet 1"/>
    <w:qFormat/>
    <w:rsid w:val="005843ED"/>
    <w:pPr>
      <w:numPr>
        <w:numId w:val="13"/>
      </w:numPr>
      <w:spacing w:after="60"/>
    </w:pPr>
    <w:rPr>
      <w:rFonts w:ascii="Arial Narrow" w:eastAsia="Calibri" w:hAnsi="Arial Narrow"/>
      <w:sz w:val="24"/>
      <w:szCs w:val="22"/>
    </w:rPr>
  </w:style>
  <w:style w:type="paragraph" w:customStyle="1" w:styleId="SDTextBoxHeading">
    <w:name w:val="SD Text Box Heading"/>
    <w:qFormat/>
    <w:rsid w:val="005843ED"/>
    <w:pPr>
      <w:jc w:val="center"/>
    </w:pPr>
    <w:rPr>
      <w:rFonts w:ascii="Arial Narrow" w:eastAsia="Calibri" w:hAnsi="Arial Narrow"/>
      <w:b/>
      <w:szCs w:val="22"/>
    </w:rPr>
  </w:style>
  <w:style w:type="paragraph" w:styleId="NoSpacing">
    <w:name w:val="No Spacing"/>
    <w:uiPriority w:val="1"/>
    <w:qFormat/>
    <w:rsid w:val="004F17F1"/>
    <w:rPr>
      <w:sz w:val="24"/>
      <w:szCs w:val="24"/>
    </w:rPr>
  </w:style>
  <w:style w:type="character" w:customStyle="1" w:styleId="apple-converted-space">
    <w:name w:val="apple-converted-space"/>
    <w:basedOn w:val="DefaultParagraphFont"/>
    <w:rsid w:val="00A27C58"/>
  </w:style>
  <w:style w:type="paragraph" w:styleId="HTMLPreformatted">
    <w:name w:val="HTML Preformatted"/>
    <w:basedOn w:val="Normal"/>
    <w:link w:val="HTMLPreformattedChar"/>
    <w:uiPriority w:val="99"/>
    <w:semiHidden/>
    <w:unhideWhenUsed/>
    <w:rsid w:val="001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595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601">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5346984">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659">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660178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932737977">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98257287">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347340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91809924">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07757736">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55067268">
      <w:bodyDiv w:val="1"/>
      <w:marLeft w:val="0"/>
      <w:marRight w:val="0"/>
      <w:marTop w:val="0"/>
      <w:marBottom w:val="0"/>
      <w:divBdr>
        <w:top w:val="none" w:sz="0" w:space="0" w:color="auto"/>
        <w:left w:val="none" w:sz="0" w:space="0" w:color="auto"/>
        <w:bottom w:val="none" w:sz="0" w:space="0" w:color="auto"/>
        <w:right w:val="none" w:sz="0" w:space="0" w:color="auto"/>
      </w:divBdr>
    </w:div>
    <w:div w:id="1943339181">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166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999200.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3A01-3A84-4A6E-82C8-537C1829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3299</Words>
  <Characters>20681</Characters>
  <Application>Microsoft Office Word</Application>
  <DocSecurity>4</DocSecurity>
  <Lines>172</Lines>
  <Paragraphs>47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23933</CharactersWithSpaces>
  <SharedDoc>false</SharedDoc>
  <HLinks>
    <vt:vector size="12" baseType="variant">
      <vt:variant>
        <vt:i4>721013</vt:i4>
      </vt:variant>
      <vt:variant>
        <vt:i4>6</vt:i4>
      </vt:variant>
      <vt:variant>
        <vt:i4>0</vt:i4>
      </vt:variant>
      <vt:variant>
        <vt:i4>5</vt:i4>
      </vt:variant>
      <vt:variant>
        <vt:lpwstr>http://www.bls.gov/oes/2008/may/naics3_622000.htm</vt:lpwstr>
      </vt:variant>
      <vt:variant>
        <vt:lpwstr/>
      </vt:variant>
      <vt:variant>
        <vt:i4>3080251</vt:i4>
      </vt:variant>
      <vt:variant>
        <vt:i4>3</vt:i4>
      </vt:variant>
      <vt:variant>
        <vt:i4>0</vt:i4>
      </vt:variant>
      <vt:variant>
        <vt:i4>5</vt:i4>
      </vt:variant>
      <vt:variant>
        <vt:lpwstr>http://www.ahrq.gov/qual/hospsurvey09/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2</cp:revision>
  <cp:lastPrinted>2015-12-11T19:00:00Z</cp:lastPrinted>
  <dcterms:created xsi:type="dcterms:W3CDTF">2017-01-19T18:39:00Z</dcterms:created>
  <dcterms:modified xsi:type="dcterms:W3CDTF">2017-01-19T18:39:00Z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