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5" w:rsidRPr="002C4F75" w:rsidRDefault="002C4F75" w:rsidP="002C4F75">
      <w:pPr>
        <w:jc w:val="center"/>
        <w:rPr>
          <w:rFonts w:ascii="Arial" w:hAnsi="Arial" w:cs="Arial"/>
          <w:b/>
        </w:rPr>
      </w:pPr>
      <w:bookmarkStart w:id="0" w:name="_GoBack"/>
      <w:bookmarkEnd w:id="0"/>
    </w:p>
    <w:p w:rsidR="002C4F75" w:rsidRPr="002C4F75" w:rsidRDefault="002C4F75" w:rsidP="002C4F75">
      <w:pPr>
        <w:pStyle w:val="ReportCover-Title"/>
        <w:rPr>
          <w:rFonts w:ascii="Arial" w:hAnsi="Arial" w:cs="Arial"/>
          <w:color w:val="auto"/>
        </w:rPr>
      </w:pPr>
    </w:p>
    <w:p w:rsidR="002C4F75" w:rsidRPr="002C4F75" w:rsidRDefault="00ED7931" w:rsidP="002C4F75">
      <w:pPr>
        <w:pStyle w:val="ReportCover-Title"/>
        <w:jc w:val="center"/>
        <w:rPr>
          <w:rFonts w:ascii="Arial" w:hAnsi="Arial" w:cs="Arial"/>
          <w:color w:val="auto"/>
        </w:rPr>
      </w:pPr>
      <w:r>
        <w:rPr>
          <w:rFonts w:ascii="Arial" w:eastAsia="Arial Unicode MS" w:hAnsi="Arial" w:cs="Arial"/>
          <w:noProof/>
          <w:color w:val="auto"/>
        </w:rPr>
        <w:t>Pretest of the Annual Survey of Refugees</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RDefault="002C4F75" w:rsidP="002C4F75">
      <w:pPr>
        <w:pStyle w:val="ReportCover-Title"/>
        <w:jc w:val="center"/>
        <w:rPr>
          <w:rFonts w:ascii="Arial" w:hAnsi="Arial" w:cs="Arial"/>
          <w:color w:val="auto"/>
          <w:sz w:val="32"/>
          <w:szCs w:val="32"/>
        </w:rPr>
      </w:pPr>
      <w:r w:rsidRPr="00ED7931">
        <w:rPr>
          <w:rFonts w:ascii="Arial" w:hAnsi="Arial" w:cs="Arial"/>
          <w:color w:val="auto"/>
          <w:sz w:val="32"/>
          <w:szCs w:val="32"/>
        </w:rPr>
        <w:t xml:space="preserve">0970 - </w:t>
      </w:r>
      <w:r w:rsidR="00ED7931" w:rsidRPr="00ED7931">
        <w:rPr>
          <w:rFonts w:ascii="Arial" w:hAnsi="Arial" w:cs="Arial"/>
          <w:color w:val="auto"/>
          <w:sz w:val="32"/>
          <w:szCs w:val="32"/>
        </w:rPr>
        <w:t>0355</w:t>
      </w:r>
    </w:p>
    <w:p w:rsidR="002C4F75" w:rsidRPr="002C4F75" w:rsidRDefault="002C4F75" w:rsidP="002C4F75">
      <w:pPr>
        <w:rPr>
          <w:rFonts w:ascii="Arial" w:hAnsi="Arial" w:cs="Arial"/>
          <w:szCs w:val="22"/>
        </w:rPr>
      </w:pP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RDefault="00ED7931" w:rsidP="002C4F75">
      <w:pPr>
        <w:pStyle w:val="ReportCover-Date"/>
        <w:jc w:val="center"/>
        <w:rPr>
          <w:rFonts w:ascii="Arial" w:hAnsi="Arial" w:cs="Arial"/>
          <w:color w:val="auto"/>
        </w:rPr>
      </w:pPr>
      <w:r w:rsidRPr="002D4008">
        <w:rPr>
          <w:rFonts w:ascii="Arial" w:hAnsi="Arial" w:cs="Arial"/>
          <w:color w:val="auto"/>
        </w:rPr>
        <w:t>August 2017</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RDefault="002C4F75" w:rsidP="002C4F75">
      <w:pPr>
        <w:jc w:val="center"/>
        <w:rPr>
          <w:rFonts w:ascii="Arial" w:hAnsi="Arial" w:cs="Arial"/>
        </w:rPr>
      </w:pPr>
    </w:p>
    <w:p w:rsidR="00ED7931" w:rsidRDefault="0093331F" w:rsidP="0093331F">
      <w:pPr>
        <w:jc w:val="center"/>
        <w:rPr>
          <w:rFonts w:ascii="Arial" w:hAnsi="Arial" w:cs="Arial"/>
        </w:rPr>
      </w:pPr>
      <w:r>
        <w:rPr>
          <w:rFonts w:ascii="Arial" w:hAnsi="Arial" w:cs="Arial"/>
        </w:rPr>
        <w:t xml:space="preserve">ACF Point of Contact: </w:t>
      </w:r>
    </w:p>
    <w:p w:rsidR="00BE7952" w:rsidRPr="00ED7931" w:rsidRDefault="007B3E17" w:rsidP="00ED7931">
      <w:pPr>
        <w:jc w:val="center"/>
        <w:rPr>
          <w:b/>
        </w:rPr>
      </w:pPr>
      <w:r>
        <w:rPr>
          <w:rFonts w:ascii="Arial" w:hAnsi="Arial" w:cs="Arial"/>
          <w:b/>
        </w:rPr>
        <w:t>Molly Jones</w:t>
      </w:r>
    </w:p>
    <w:p w:rsidR="00945CD6" w:rsidRPr="000D53DF" w:rsidRDefault="00374DAB" w:rsidP="00436F5E">
      <w:pPr>
        <w:spacing w:after="120"/>
        <w:rPr>
          <w:b/>
        </w:rPr>
      </w:pPr>
      <w:r w:rsidRPr="00ED7931">
        <w:rPr>
          <w:b/>
        </w:rPr>
        <w:br w:type="page"/>
      </w:r>
      <w:r w:rsidR="00292B70" w:rsidRPr="00ED7931">
        <w:rPr>
          <w:b/>
        </w:rPr>
        <w:lastRenderedPageBreak/>
        <w:t xml:space="preserve">A1. </w:t>
      </w:r>
      <w:r w:rsidR="00945CD6" w:rsidRPr="00ED7931">
        <w:rPr>
          <w:b/>
        </w:rPr>
        <w:t>Necessity for the Data Collection</w:t>
      </w:r>
    </w:p>
    <w:p w:rsidR="00AF5CF1" w:rsidRDefault="00110FC6" w:rsidP="00ED7931">
      <w:pPr>
        <w:rPr>
          <w:sz w:val="22"/>
          <w:szCs w:val="22"/>
        </w:rPr>
      </w:pPr>
      <w:r>
        <w:rPr>
          <w:sz w:val="22"/>
          <w:szCs w:val="22"/>
        </w:rPr>
        <w:t>This information collection request is to conduct a pretest of the Annual Survey of Refugees (ASR), to be conducted by the</w:t>
      </w:r>
      <w:r w:rsidR="00FC6E76">
        <w:rPr>
          <w:sz w:val="22"/>
          <w:szCs w:val="22"/>
        </w:rPr>
        <w:t xml:space="preserve"> Urban Institute under contract with the</w:t>
      </w:r>
      <w:r>
        <w:rPr>
          <w:sz w:val="22"/>
          <w:szCs w:val="22"/>
        </w:rPr>
        <w:t xml:space="preserve"> </w:t>
      </w:r>
      <w:r w:rsidR="001E1A9E" w:rsidRPr="001E1A9E">
        <w:rPr>
          <w:sz w:val="22"/>
          <w:szCs w:val="22"/>
        </w:rPr>
        <w:t xml:space="preserve">Office of the Assistant Secretary for Planning and Evaluation </w:t>
      </w:r>
      <w:r>
        <w:rPr>
          <w:sz w:val="22"/>
          <w:szCs w:val="22"/>
        </w:rPr>
        <w:t>(</w:t>
      </w:r>
      <w:r w:rsidR="001E1A9E">
        <w:rPr>
          <w:sz w:val="22"/>
          <w:szCs w:val="22"/>
        </w:rPr>
        <w:t>ASPE</w:t>
      </w:r>
      <w:r>
        <w:rPr>
          <w:sz w:val="22"/>
          <w:szCs w:val="22"/>
        </w:rPr>
        <w:t>)</w:t>
      </w:r>
      <w:r w:rsidR="00FC6E76">
        <w:rPr>
          <w:sz w:val="22"/>
          <w:szCs w:val="22"/>
        </w:rPr>
        <w:t>, U.S. Department of Health and Human Services (HHS),</w:t>
      </w:r>
      <w:r>
        <w:rPr>
          <w:sz w:val="22"/>
          <w:szCs w:val="22"/>
        </w:rPr>
        <w:t xml:space="preserve"> </w:t>
      </w:r>
      <w:r w:rsidR="00FC6E76">
        <w:rPr>
          <w:sz w:val="22"/>
          <w:szCs w:val="22"/>
        </w:rPr>
        <w:t>in partnership with the Office of Planning, Research and Evaluation (OPRE) and</w:t>
      </w:r>
      <w:r>
        <w:rPr>
          <w:sz w:val="22"/>
          <w:szCs w:val="22"/>
        </w:rPr>
        <w:t xml:space="preserve"> the Office of Refugee Resettlement (ORR)</w:t>
      </w:r>
      <w:r w:rsidR="00FC6E76">
        <w:rPr>
          <w:sz w:val="22"/>
          <w:szCs w:val="22"/>
        </w:rPr>
        <w:t xml:space="preserve"> under the Administration for Children and Families (ACF), HHS.  This request</w:t>
      </w:r>
      <w:r w:rsidR="00984CA2" w:rsidRPr="000517EA">
        <w:rPr>
          <w:sz w:val="22"/>
          <w:szCs w:val="22"/>
        </w:rPr>
        <w:t xml:space="preserve"> seeks approval </w:t>
      </w:r>
      <w:r w:rsidR="007F5A76">
        <w:rPr>
          <w:sz w:val="22"/>
          <w:szCs w:val="22"/>
        </w:rPr>
        <w:t xml:space="preserve">to </w:t>
      </w:r>
      <w:r w:rsidR="00FC6E76">
        <w:rPr>
          <w:sz w:val="22"/>
          <w:szCs w:val="22"/>
        </w:rPr>
        <w:t>pretest a revised ASR</w:t>
      </w:r>
      <w:r w:rsidR="007F5A76">
        <w:rPr>
          <w:sz w:val="22"/>
          <w:szCs w:val="22"/>
        </w:rPr>
        <w:t xml:space="preserve"> with 112 refugees</w:t>
      </w:r>
      <w:r w:rsidR="00A411B8">
        <w:rPr>
          <w:sz w:val="22"/>
          <w:szCs w:val="22"/>
        </w:rPr>
        <w:t xml:space="preserve"> and refugee service providers in two sites</w:t>
      </w:r>
      <w:r w:rsidR="007F5A76">
        <w:rPr>
          <w:sz w:val="22"/>
          <w:szCs w:val="22"/>
        </w:rPr>
        <w:t xml:space="preserve"> in order to </w:t>
      </w:r>
      <w:r w:rsidR="00ED7931" w:rsidRPr="00ED7931">
        <w:rPr>
          <w:sz w:val="22"/>
          <w:szCs w:val="22"/>
        </w:rPr>
        <w:t xml:space="preserve">identify questionnaire and procedural problems, suggest solutions, and </w:t>
      </w:r>
      <w:r w:rsidR="008B28BB" w:rsidRPr="00ED7931">
        <w:rPr>
          <w:sz w:val="22"/>
          <w:szCs w:val="22"/>
        </w:rPr>
        <w:t>measur</w:t>
      </w:r>
      <w:r w:rsidR="008B28BB">
        <w:rPr>
          <w:sz w:val="22"/>
          <w:szCs w:val="22"/>
        </w:rPr>
        <w:t>e</w:t>
      </w:r>
      <w:r w:rsidR="008B28BB" w:rsidRPr="00ED7931">
        <w:rPr>
          <w:sz w:val="22"/>
          <w:szCs w:val="22"/>
        </w:rPr>
        <w:t xml:space="preserve"> </w:t>
      </w:r>
      <w:r w:rsidR="00ED7931" w:rsidRPr="00ED7931">
        <w:rPr>
          <w:sz w:val="22"/>
          <w:szCs w:val="22"/>
        </w:rPr>
        <w:t>the relative effectiveness of alternative solutions</w:t>
      </w:r>
      <w:r w:rsidR="00ED7931">
        <w:rPr>
          <w:sz w:val="22"/>
          <w:szCs w:val="22"/>
        </w:rPr>
        <w:t xml:space="preserve">. </w:t>
      </w:r>
      <w:r w:rsidR="00AF5CF1" w:rsidRPr="00AF5CF1">
        <w:rPr>
          <w:sz w:val="22"/>
          <w:szCs w:val="22"/>
        </w:rPr>
        <w:t xml:space="preserve"> </w:t>
      </w:r>
    </w:p>
    <w:p w:rsidR="00AF5CF1" w:rsidRDefault="00AF5CF1" w:rsidP="00ED7931">
      <w:pPr>
        <w:rPr>
          <w:sz w:val="22"/>
          <w:szCs w:val="22"/>
        </w:rPr>
      </w:pPr>
    </w:p>
    <w:p w:rsidR="00ED7931" w:rsidRDefault="00ED7931" w:rsidP="00ED7931">
      <w:pPr>
        <w:rPr>
          <w:sz w:val="22"/>
          <w:szCs w:val="22"/>
        </w:rPr>
      </w:pPr>
      <w:r>
        <w:rPr>
          <w:sz w:val="22"/>
          <w:szCs w:val="22"/>
        </w:rPr>
        <w:t xml:space="preserve">The pretest is necessary to </w:t>
      </w:r>
      <w:r w:rsidR="008B28BB">
        <w:rPr>
          <w:sz w:val="22"/>
          <w:szCs w:val="22"/>
        </w:rPr>
        <w:t>assess</w:t>
      </w:r>
      <w:r>
        <w:rPr>
          <w:sz w:val="22"/>
          <w:szCs w:val="22"/>
        </w:rPr>
        <w:t xml:space="preserve"> the</w:t>
      </w:r>
      <w:r w:rsidR="008B28BB">
        <w:rPr>
          <w:sz w:val="22"/>
          <w:szCs w:val="22"/>
        </w:rPr>
        <w:t xml:space="preserve"> effectiveness of</w:t>
      </w:r>
      <w:r>
        <w:rPr>
          <w:sz w:val="22"/>
          <w:szCs w:val="22"/>
        </w:rPr>
        <w:t xml:space="preserve"> the revised survey instrument, </w:t>
      </w:r>
      <w:r w:rsidR="007F5A76">
        <w:rPr>
          <w:sz w:val="22"/>
          <w:szCs w:val="22"/>
        </w:rPr>
        <w:t xml:space="preserve">supporting </w:t>
      </w:r>
      <w:r>
        <w:rPr>
          <w:sz w:val="22"/>
          <w:szCs w:val="22"/>
        </w:rPr>
        <w:t>survey materials, and field protocols</w:t>
      </w:r>
      <w:r w:rsidR="008B28BB">
        <w:rPr>
          <w:sz w:val="22"/>
          <w:szCs w:val="22"/>
        </w:rPr>
        <w:t xml:space="preserve"> for capturing</w:t>
      </w:r>
      <w:r w:rsidR="00EC7FB8">
        <w:rPr>
          <w:sz w:val="22"/>
          <w:szCs w:val="22"/>
        </w:rPr>
        <w:t xml:space="preserve"> </w:t>
      </w:r>
      <w:r>
        <w:rPr>
          <w:sz w:val="22"/>
          <w:szCs w:val="22"/>
        </w:rPr>
        <w:t xml:space="preserve">high quality data from this special population.  </w:t>
      </w:r>
    </w:p>
    <w:p w:rsidR="00ED7931" w:rsidRDefault="00ED7931" w:rsidP="00ED7931">
      <w:pPr>
        <w:rPr>
          <w:sz w:val="22"/>
          <w:szCs w:val="22"/>
        </w:rPr>
      </w:pPr>
    </w:p>
    <w:p w:rsidR="00984CA2" w:rsidRPr="00ED7931" w:rsidRDefault="00984CA2" w:rsidP="00ED7931">
      <w:pPr>
        <w:rPr>
          <w:b/>
          <w:i/>
          <w:sz w:val="22"/>
          <w:szCs w:val="22"/>
        </w:rPr>
      </w:pPr>
      <w:r w:rsidRPr="00ED7931">
        <w:rPr>
          <w:b/>
          <w:i/>
        </w:rPr>
        <w:t xml:space="preserve">Study Background </w:t>
      </w:r>
    </w:p>
    <w:p w:rsidR="00ED7931" w:rsidRDefault="00ED7931" w:rsidP="00ED7931">
      <w:pPr>
        <w:rPr>
          <w:sz w:val="22"/>
          <w:szCs w:val="22"/>
        </w:rPr>
      </w:pPr>
      <w:r w:rsidRPr="00ED7931">
        <w:rPr>
          <w:sz w:val="22"/>
          <w:szCs w:val="22"/>
        </w:rPr>
        <w:t xml:space="preserve">The Office of Refugee Resettlement (ORR) is charged with </w:t>
      </w:r>
      <w:r w:rsidR="00594729">
        <w:rPr>
          <w:sz w:val="22"/>
          <w:szCs w:val="22"/>
        </w:rPr>
        <w:t>helping</w:t>
      </w:r>
      <w:r w:rsidRPr="00ED7931">
        <w:rPr>
          <w:sz w:val="22"/>
          <w:szCs w:val="22"/>
        </w:rPr>
        <w:t xml:space="preserve"> refugees become effectively resettled in the U.S., with the primary goal of rapid self-sufficiency and adjustment. Since 1975, when Southeast Asian refugees first began arriving in the United States, ORR (and its predecessors) has commissioned periodic surveys of the refugee population.  A primary purpose of the</w:t>
      </w:r>
      <w:r>
        <w:rPr>
          <w:sz w:val="22"/>
          <w:szCs w:val="22"/>
        </w:rPr>
        <w:t xml:space="preserve"> Annual Survey of Refugees</w:t>
      </w:r>
      <w:r w:rsidRPr="00ED7931">
        <w:rPr>
          <w:sz w:val="22"/>
          <w:szCs w:val="22"/>
        </w:rPr>
        <w:t xml:space="preserve"> has been to </w:t>
      </w:r>
      <w:r w:rsidR="00240893">
        <w:rPr>
          <w:sz w:val="22"/>
          <w:szCs w:val="22"/>
        </w:rPr>
        <w:t>help inform</w:t>
      </w:r>
      <w:r w:rsidRPr="00ED7931">
        <w:rPr>
          <w:sz w:val="22"/>
          <w:szCs w:val="22"/>
        </w:rPr>
        <w:t xml:space="preserve"> </w:t>
      </w:r>
      <w:r>
        <w:rPr>
          <w:sz w:val="22"/>
          <w:szCs w:val="22"/>
        </w:rPr>
        <w:t>a</w:t>
      </w:r>
      <w:r w:rsidRPr="00ED7931">
        <w:rPr>
          <w:sz w:val="22"/>
          <w:szCs w:val="22"/>
        </w:rPr>
        <w:t xml:space="preserve"> </w:t>
      </w:r>
      <w:r w:rsidR="00240893">
        <w:rPr>
          <w:sz w:val="22"/>
          <w:szCs w:val="22"/>
        </w:rPr>
        <w:t xml:space="preserve">statutory </w:t>
      </w:r>
      <w:r w:rsidRPr="00ED7931">
        <w:rPr>
          <w:sz w:val="22"/>
          <w:szCs w:val="22"/>
        </w:rPr>
        <w:t>reporting requirement to Congress. The Refugee Act of 1980 (Section 413(a) of the Immigration and Nationality Act) requires the Secretary of Health and Human Services</w:t>
      </w:r>
      <w:r w:rsidR="00FE6DDB">
        <w:rPr>
          <w:sz w:val="22"/>
          <w:szCs w:val="22"/>
        </w:rPr>
        <w:t xml:space="preserve"> to</w:t>
      </w:r>
      <w:r w:rsidRPr="00ED7931">
        <w:rPr>
          <w:sz w:val="22"/>
          <w:szCs w:val="22"/>
        </w:rPr>
        <w:t xml:space="preserve"> submit an Annual Report to Congress that "shall contain an updated profile of the employment and labor force statistics for refugees who have entered the United States within the five fiscal-year period immediately preceding the fiscal year within which the report is to be made…as well as a description of the extent to which refugees received the forms of assistance or services under this chapter during that period." </w:t>
      </w:r>
      <w:r>
        <w:rPr>
          <w:sz w:val="22"/>
          <w:szCs w:val="22"/>
        </w:rPr>
        <w:t xml:space="preserve"> </w:t>
      </w:r>
    </w:p>
    <w:p w:rsidR="00ED7931" w:rsidRDefault="00ED7931" w:rsidP="00ED7931">
      <w:pPr>
        <w:rPr>
          <w:sz w:val="22"/>
          <w:szCs w:val="22"/>
        </w:rPr>
      </w:pPr>
    </w:p>
    <w:p w:rsidR="00ED7931" w:rsidRPr="00ED7931" w:rsidRDefault="007A2258" w:rsidP="00ED7931">
      <w:pPr>
        <w:rPr>
          <w:sz w:val="22"/>
          <w:szCs w:val="22"/>
        </w:rPr>
      </w:pPr>
      <w:r>
        <w:rPr>
          <w:sz w:val="22"/>
          <w:szCs w:val="22"/>
        </w:rPr>
        <w:t>Since the 1980s t</w:t>
      </w:r>
      <w:r w:rsidR="00ED7931">
        <w:rPr>
          <w:sz w:val="22"/>
          <w:szCs w:val="22"/>
        </w:rPr>
        <w:t xml:space="preserve">he ASR </w:t>
      </w:r>
      <w:r>
        <w:rPr>
          <w:sz w:val="22"/>
          <w:szCs w:val="22"/>
        </w:rPr>
        <w:t xml:space="preserve">has </w:t>
      </w:r>
      <w:r w:rsidR="00ED7931">
        <w:rPr>
          <w:sz w:val="22"/>
          <w:szCs w:val="22"/>
        </w:rPr>
        <w:t>c</w:t>
      </w:r>
      <w:r>
        <w:rPr>
          <w:sz w:val="22"/>
          <w:szCs w:val="22"/>
        </w:rPr>
        <w:t>aptured</w:t>
      </w:r>
      <w:r w:rsidR="00ED7931">
        <w:rPr>
          <w:sz w:val="22"/>
          <w:szCs w:val="22"/>
        </w:rPr>
        <w:t xml:space="preserve"> data</w:t>
      </w:r>
      <w:r w:rsidR="00ED7931" w:rsidRPr="00ED7931">
        <w:rPr>
          <w:sz w:val="22"/>
          <w:szCs w:val="22"/>
        </w:rPr>
        <w:t xml:space="preserve"> on the economic adjustment of refugees entering the United States.  </w:t>
      </w:r>
      <w:r>
        <w:rPr>
          <w:sz w:val="22"/>
          <w:szCs w:val="22"/>
        </w:rPr>
        <w:t>The focus of the survey has been</w:t>
      </w:r>
      <w:r w:rsidR="00ED7931" w:rsidRPr="00ED7931">
        <w:rPr>
          <w:sz w:val="22"/>
          <w:szCs w:val="22"/>
        </w:rPr>
        <w:t xml:space="preserve"> on income, employment and labor force data, English language ability, </w:t>
      </w:r>
      <w:r>
        <w:rPr>
          <w:sz w:val="22"/>
          <w:szCs w:val="22"/>
        </w:rPr>
        <w:t xml:space="preserve">education, </w:t>
      </w:r>
      <w:r w:rsidR="00ED7931" w:rsidRPr="00ED7931">
        <w:rPr>
          <w:sz w:val="22"/>
          <w:szCs w:val="22"/>
        </w:rPr>
        <w:t xml:space="preserve">and the utilization of </w:t>
      </w:r>
      <w:r w:rsidR="00FE6DDB">
        <w:rPr>
          <w:sz w:val="22"/>
          <w:szCs w:val="22"/>
        </w:rPr>
        <w:t>g</w:t>
      </w:r>
      <w:r w:rsidR="00FE6DDB" w:rsidRPr="00ED7931">
        <w:rPr>
          <w:sz w:val="22"/>
          <w:szCs w:val="22"/>
        </w:rPr>
        <w:t xml:space="preserve">overnment </w:t>
      </w:r>
      <w:r w:rsidR="00ED7931" w:rsidRPr="00ED7931">
        <w:rPr>
          <w:sz w:val="22"/>
          <w:szCs w:val="22"/>
        </w:rPr>
        <w:t>services.</w:t>
      </w:r>
      <w:r w:rsidR="00ED7931">
        <w:rPr>
          <w:sz w:val="22"/>
          <w:szCs w:val="22"/>
        </w:rPr>
        <w:t xml:space="preserve"> A</w:t>
      </w:r>
      <w:r w:rsidR="00ED7931" w:rsidRPr="00ED7931">
        <w:rPr>
          <w:sz w:val="22"/>
          <w:szCs w:val="22"/>
        </w:rPr>
        <w:t xml:space="preserve">ggregate findings of the </w:t>
      </w:r>
      <w:r>
        <w:rPr>
          <w:sz w:val="22"/>
          <w:szCs w:val="22"/>
        </w:rPr>
        <w:t xml:space="preserve">survey data appear in </w:t>
      </w:r>
      <w:r w:rsidR="00FE6DDB">
        <w:rPr>
          <w:sz w:val="22"/>
          <w:szCs w:val="22"/>
        </w:rPr>
        <w:t xml:space="preserve">the Office of Refugee Resettlement’s Annual Report to Congress </w:t>
      </w:r>
      <w:r>
        <w:rPr>
          <w:sz w:val="22"/>
          <w:szCs w:val="22"/>
        </w:rPr>
        <w:t>and</w:t>
      </w:r>
      <w:r w:rsidR="00ED7931">
        <w:rPr>
          <w:sz w:val="22"/>
          <w:szCs w:val="22"/>
        </w:rPr>
        <w:t xml:space="preserve"> are </w:t>
      </w:r>
      <w:r w:rsidR="00ED7931" w:rsidRPr="00ED7931">
        <w:rPr>
          <w:sz w:val="22"/>
          <w:szCs w:val="22"/>
        </w:rPr>
        <w:t>available to the general public</w:t>
      </w:r>
      <w:r>
        <w:rPr>
          <w:sz w:val="22"/>
          <w:szCs w:val="22"/>
        </w:rPr>
        <w:t>.  T</w:t>
      </w:r>
      <w:r w:rsidR="00ED7931">
        <w:rPr>
          <w:sz w:val="22"/>
          <w:szCs w:val="22"/>
        </w:rPr>
        <w:t>he</w:t>
      </w:r>
      <w:r w:rsidR="00ED7931" w:rsidRPr="00ED7931">
        <w:rPr>
          <w:sz w:val="22"/>
          <w:szCs w:val="22"/>
        </w:rPr>
        <w:t xml:space="preserve"> findings </w:t>
      </w:r>
      <w:r>
        <w:rPr>
          <w:sz w:val="22"/>
          <w:szCs w:val="22"/>
        </w:rPr>
        <w:t>are used in combination</w:t>
      </w:r>
      <w:r w:rsidR="00FE6DDB">
        <w:rPr>
          <w:sz w:val="22"/>
          <w:szCs w:val="22"/>
        </w:rPr>
        <w:t xml:space="preserve"> with</w:t>
      </w:r>
      <w:r>
        <w:rPr>
          <w:sz w:val="22"/>
          <w:szCs w:val="22"/>
        </w:rPr>
        <w:t xml:space="preserve"> federal administrative data (which are not a part of the ASR) to </w:t>
      </w:r>
      <w:r w:rsidR="00ED7931">
        <w:rPr>
          <w:sz w:val="22"/>
          <w:szCs w:val="22"/>
        </w:rPr>
        <w:t>facilitate</w:t>
      </w:r>
      <w:r w:rsidR="00ED7931" w:rsidRPr="00ED7931">
        <w:rPr>
          <w:sz w:val="22"/>
          <w:szCs w:val="22"/>
        </w:rPr>
        <w:t xml:space="preserve"> an overall </w:t>
      </w:r>
      <w:r w:rsidR="00ED7931">
        <w:rPr>
          <w:sz w:val="22"/>
          <w:szCs w:val="22"/>
        </w:rPr>
        <w:t>assessment</w:t>
      </w:r>
      <w:r w:rsidR="00ED7931" w:rsidRPr="00ED7931">
        <w:rPr>
          <w:sz w:val="22"/>
          <w:szCs w:val="22"/>
        </w:rPr>
        <w:t xml:space="preserve"> of the </w:t>
      </w:r>
      <w:r>
        <w:rPr>
          <w:sz w:val="22"/>
          <w:szCs w:val="22"/>
        </w:rPr>
        <w:t xml:space="preserve">refugee resettlement </w:t>
      </w:r>
      <w:r w:rsidR="00ED7931" w:rsidRPr="00ED7931">
        <w:rPr>
          <w:sz w:val="22"/>
          <w:szCs w:val="22"/>
        </w:rPr>
        <w:t xml:space="preserve">program’s success in effectively resettling refugees, </w:t>
      </w:r>
      <w:r w:rsidR="008B28BB">
        <w:rPr>
          <w:sz w:val="22"/>
          <w:szCs w:val="22"/>
        </w:rPr>
        <w:t xml:space="preserve">and </w:t>
      </w:r>
      <w:r w:rsidR="00ED7931" w:rsidRPr="00ED7931">
        <w:rPr>
          <w:sz w:val="22"/>
          <w:szCs w:val="22"/>
        </w:rPr>
        <w:t xml:space="preserve">for purposes of program planning, policy-making, and future budgeting processes. </w:t>
      </w:r>
    </w:p>
    <w:p w:rsidR="00ED7931" w:rsidRPr="00ED7931" w:rsidRDefault="00ED7931" w:rsidP="00ED7931">
      <w:pPr>
        <w:rPr>
          <w:sz w:val="22"/>
          <w:szCs w:val="22"/>
        </w:rPr>
      </w:pPr>
    </w:p>
    <w:p w:rsidR="00ED7931" w:rsidRPr="00ED7931" w:rsidRDefault="00565B7E" w:rsidP="00ED7931">
      <w:pPr>
        <w:rPr>
          <w:sz w:val="22"/>
          <w:szCs w:val="22"/>
        </w:rPr>
      </w:pPr>
      <w:r>
        <w:rPr>
          <w:sz w:val="22"/>
          <w:szCs w:val="22"/>
        </w:rPr>
        <w:t xml:space="preserve">The ASR </w:t>
      </w:r>
      <w:r w:rsidR="00CB23FB" w:rsidRPr="00CB23FB">
        <w:rPr>
          <w:sz w:val="22"/>
          <w:szCs w:val="22"/>
        </w:rPr>
        <w:t>was last updated in 1993, when the survey population was expanded from just Southeast Asian refugees to include all refugees</w:t>
      </w:r>
      <w:r w:rsidR="00CB23FB">
        <w:rPr>
          <w:sz w:val="22"/>
          <w:szCs w:val="22"/>
        </w:rPr>
        <w:t xml:space="preserve">. </w:t>
      </w:r>
      <w:r w:rsidR="00CB23FB" w:rsidRPr="00CB23FB">
        <w:rPr>
          <w:sz w:val="22"/>
          <w:szCs w:val="22"/>
        </w:rPr>
        <w:t xml:space="preserve">A recent review by HHS revealed a number of concerns about the design, implementation, and performance of the ASR. Shortcomings included an outdated questionnaire, an ineffective sampling approach, weighting errors, ineffective tracing methods, insufficient documentation, and limited language coverage. These concerns led to an initiative to take a fresh look at the ASR, its goals and measures, and its design and methods. </w:t>
      </w:r>
      <w:r w:rsidR="00CB23FB">
        <w:rPr>
          <w:sz w:val="22"/>
          <w:szCs w:val="22"/>
        </w:rPr>
        <w:t xml:space="preserve">Because of this, </w:t>
      </w:r>
      <w:r w:rsidR="001E1A9E">
        <w:rPr>
          <w:sz w:val="22"/>
          <w:szCs w:val="22"/>
        </w:rPr>
        <w:t>ASPE</w:t>
      </w:r>
      <w:r w:rsidR="00CB23FB">
        <w:rPr>
          <w:sz w:val="22"/>
          <w:szCs w:val="22"/>
        </w:rPr>
        <w:t xml:space="preserve"> – in partnership with OPRE and ORR – is </w:t>
      </w:r>
      <w:r w:rsidR="007A2258">
        <w:rPr>
          <w:sz w:val="22"/>
          <w:szCs w:val="22"/>
        </w:rPr>
        <w:t xml:space="preserve">spearheading a redesign of the ASR </w:t>
      </w:r>
      <w:r w:rsidR="00CB23FB">
        <w:rPr>
          <w:sz w:val="22"/>
          <w:szCs w:val="22"/>
        </w:rPr>
        <w:t xml:space="preserve">based substantially on this </w:t>
      </w:r>
      <w:r w:rsidR="00FE6DDB">
        <w:rPr>
          <w:sz w:val="22"/>
          <w:szCs w:val="22"/>
        </w:rPr>
        <w:t>pretest of proposed new survey questions and methods</w:t>
      </w:r>
      <w:r w:rsidR="00CB23FB">
        <w:rPr>
          <w:sz w:val="22"/>
          <w:szCs w:val="22"/>
        </w:rPr>
        <w:t xml:space="preserve"> that</w:t>
      </w:r>
      <w:r w:rsidR="00FE6DDB">
        <w:rPr>
          <w:sz w:val="22"/>
          <w:szCs w:val="22"/>
        </w:rPr>
        <w:t xml:space="preserve"> is </w:t>
      </w:r>
      <w:r w:rsidR="00AF5CF1">
        <w:rPr>
          <w:sz w:val="22"/>
          <w:szCs w:val="22"/>
        </w:rPr>
        <w:t>the subject of this information collection request.</w:t>
      </w:r>
    </w:p>
    <w:p w:rsidR="00ED7931" w:rsidRDefault="00ED7931" w:rsidP="00436F5E">
      <w:pPr>
        <w:pStyle w:val="Heading4"/>
        <w:numPr>
          <w:ilvl w:val="3"/>
          <w:numId w:val="0"/>
        </w:numPr>
        <w:tabs>
          <w:tab w:val="num" w:pos="180"/>
        </w:tabs>
        <w:spacing w:before="60" w:line="264" w:lineRule="auto"/>
        <w:rPr>
          <w:rFonts w:ascii="Times New Roman" w:hAnsi="Times New Roman"/>
          <w:i/>
          <w:sz w:val="24"/>
          <w:szCs w:val="24"/>
        </w:rPr>
      </w:pPr>
    </w:p>
    <w:p w:rsidR="00984CA2" w:rsidRDefault="00984CA2" w:rsidP="00436F5E">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7A2258" w:rsidRDefault="007A2258" w:rsidP="007A2258">
      <w:pPr>
        <w:rPr>
          <w:sz w:val="22"/>
          <w:szCs w:val="22"/>
        </w:rPr>
      </w:pPr>
      <w:r w:rsidRPr="007A2258">
        <w:rPr>
          <w:sz w:val="22"/>
          <w:szCs w:val="22"/>
        </w:rPr>
        <w:t xml:space="preserve">There are no legal or administrative requirements that necessitate the collection. </w:t>
      </w:r>
      <w:r>
        <w:rPr>
          <w:sz w:val="22"/>
          <w:szCs w:val="22"/>
        </w:rPr>
        <w:t>T</w:t>
      </w:r>
      <w:r w:rsidRPr="007A2258">
        <w:rPr>
          <w:sz w:val="22"/>
          <w:szCs w:val="22"/>
        </w:rPr>
        <w:t>h</w:t>
      </w:r>
      <w:r>
        <w:rPr>
          <w:sz w:val="22"/>
          <w:szCs w:val="22"/>
        </w:rPr>
        <w:t>is pretest data</w:t>
      </w:r>
      <w:r w:rsidRPr="007A2258">
        <w:rPr>
          <w:sz w:val="22"/>
          <w:szCs w:val="22"/>
        </w:rPr>
        <w:t xml:space="preserve"> collection </w:t>
      </w:r>
      <w:r>
        <w:rPr>
          <w:sz w:val="22"/>
          <w:szCs w:val="22"/>
        </w:rPr>
        <w:t xml:space="preserve">is being taken </w:t>
      </w:r>
      <w:r w:rsidRPr="007A2258">
        <w:rPr>
          <w:sz w:val="22"/>
          <w:szCs w:val="22"/>
        </w:rPr>
        <w:t>at the discretion of the agency.</w:t>
      </w:r>
    </w:p>
    <w:p w:rsidR="007A2258" w:rsidRDefault="007A2258" w:rsidP="007A2258">
      <w:pPr>
        <w:rPr>
          <w:sz w:val="22"/>
          <w:szCs w:val="22"/>
        </w:rPr>
      </w:pPr>
    </w:p>
    <w:p w:rsidR="007A2258" w:rsidRDefault="007A2258" w:rsidP="007A2258">
      <w:pPr>
        <w:rPr>
          <w:sz w:val="22"/>
          <w:szCs w:val="22"/>
        </w:rPr>
      </w:pPr>
    </w:p>
    <w:p w:rsidR="00945CD6" w:rsidRPr="0072204D" w:rsidRDefault="00292B70" w:rsidP="007A2258">
      <w:pPr>
        <w:spacing w:after="120"/>
        <w:rPr>
          <w:b/>
        </w:rPr>
      </w:pPr>
      <w:r>
        <w:rPr>
          <w:b/>
        </w:rPr>
        <w:t xml:space="preserve">A2. </w:t>
      </w:r>
      <w:r w:rsidR="00945CD6" w:rsidRPr="0072204D">
        <w:rPr>
          <w:b/>
        </w:rPr>
        <w:t xml:space="preserve">Purpose of Survey </w:t>
      </w:r>
      <w:r w:rsidR="007A2258">
        <w:rPr>
          <w:b/>
        </w:rPr>
        <w:t xml:space="preserve">Pretest </w:t>
      </w:r>
      <w:r w:rsidR="00945CD6" w:rsidRPr="0072204D">
        <w:rPr>
          <w:b/>
        </w:rPr>
        <w:t>and Data Collection Procedures</w:t>
      </w:r>
    </w:p>
    <w:p w:rsidR="00984CA2" w:rsidRDefault="00984CA2" w:rsidP="00436F5E">
      <w:pPr>
        <w:spacing w:after="60"/>
        <w:rPr>
          <w:b/>
          <w:i/>
        </w:rPr>
      </w:pPr>
      <w:r w:rsidRPr="00177982">
        <w:rPr>
          <w:b/>
          <w:i/>
        </w:rPr>
        <w:t>Overview of Purpose and Approach</w:t>
      </w:r>
    </w:p>
    <w:p w:rsidR="00AF5CF1" w:rsidRDefault="007A2258" w:rsidP="00AF5CF1">
      <w:pPr>
        <w:rPr>
          <w:sz w:val="22"/>
          <w:szCs w:val="22"/>
        </w:rPr>
      </w:pPr>
      <w:r w:rsidRPr="007A2258">
        <w:rPr>
          <w:sz w:val="22"/>
          <w:szCs w:val="22"/>
        </w:rPr>
        <w:t xml:space="preserve">The </w:t>
      </w:r>
      <w:r>
        <w:rPr>
          <w:sz w:val="22"/>
          <w:szCs w:val="22"/>
        </w:rPr>
        <w:t xml:space="preserve">objectives of this </w:t>
      </w:r>
      <w:r w:rsidRPr="007A2258">
        <w:rPr>
          <w:sz w:val="22"/>
          <w:szCs w:val="22"/>
        </w:rPr>
        <w:t xml:space="preserve">pretest </w:t>
      </w:r>
      <w:r>
        <w:rPr>
          <w:sz w:val="22"/>
          <w:szCs w:val="22"/>
        </w:rPr>
        <w:t xml:space="preserve">are to </w:t>
      </w:r>
      <w:r w:rsidRPr="007A2258">
        <w:rPr>
          <w:sz w:val="22"/>
          <w:szCs w:val="22"/>
        </w:rPr>
        <w:t>identify questio</w:t>
      </w:r>
      <w:r>
        <w:rPr>
          <w:sz w:val="22"/>
          <w:szCs w:val="22"/>
        </w:rPr>
        <w:t>nnaire and procedural problems and to identify</w:t>
      </w:r>
      <w:r w:rsidRPr="007A2258">
        <w:rPr>
          <w:sz w:val="22"/>
          <w:szCs w:val="22"/>
        </w:rPr>
        <w:t xml:space="preserve"> solutions</w:t>
      </w:r>
      <w:r>
        <w:rPr>
          <w:sz w:val="22"/>
          <w:szCs w:val="22"/>
        </w:rPr>
        <w:t xml:space="preserve"> to those problems. </w:t>
      </w:r>
      <w:r w:rsidRPr="007A2258">
        <w:rPr>
          <w:sz w:val="22"/>
          <w:szCs w:val="22"/>
        </w:rPr>
        <w:t>Th</w:t>
      </w:r>
      <w:r>
        <w:rPr>
          <w:sz w:val="22"/>
          <w:szCs w:val="22"/>
        </w:rPr>
        <w:t xml:space="preserve">is includes </w:t>
      </w:r>
      <w:r w:rsidR="001E1A9E">
        <w:rPr>
          <w:sz w:val="22"/>
          <w:szCs w:val="22"/>
        </w:rPr>
        <w:t>revising the questionnaire so that</w:t>
      </w:r>
      <w:r w:rsidRPr="007A2258">
        <w:rPr>
          <w:sz w:val="22"/>
          <w:szCs w:val="22"/>
        </w:rPr>
        <w:t xml:space="preserve"> respondents</w:t>
      </w:r>
      <w:r w:rsidR="001E1A9E">
        <w:rPr>
          <w:sz w:val="22"/>
          <w:szCs w:val="22"/>
        </w:rPr>
        <w:t xml:space="preserve"> can more accurately comprehend and respond to questions, and </w:t>
      </w:r>
      <w:r>
        <w:rPr>
          <w:sz w:val="22"/>
          <w:szCs w:val="22"/>
        </w:rPr>
        <w:t>interviewers</w:t>
      </w:r>
      <w:r w:rsidR="001E1A9E">
        <w:rPr>
          <w:sz w:val="22"/>
          <w:szCs w:val="22"/>
        </w:rPr>
        <w:t xml:space="preserve"> can more easily administer</w:t>
      </w:r>
      <w:r w:rsidR="008B28BB">
        <w:rPr>
          <w:sz w:val="22"/>
          <w:szCs w:val="22"/>
        </w:rPr>
        <w:t xml:space="preserve"> it</w:t>
      </w:r>
      <w:r w:rsidRPr="007A2258">
        <w:rPr>
          <w:sz w:val="22"/>
          <w:szCs w:val="22"/>
        </w:rPr>
        <w:t>, reduc</w:t>
      </w:r>
      <w:r>
        <w:rPr>
          <w:sz w:val="22"/>
          <w:szCs w:val="22"/>
        </w:rPr>
        <w:t>ing</w:t>
      </w:r>
      <w:r w:rsidRPr="007A2258">
        <w:rPr>
          <w:sz w:val="22"/>
          <w:szCs w:val="22"/>
        </w:rPr>
        <w:t xml:space="preserve"> burden, </w:t>
      </w:r>
      <w:r>
        <w:rPr>
          <w:sz w:val="22"/>
          <w:szCs w:val="22"/>
        </w:rPr>
        <w:t xml:space="preserve">increasing </w:t>
      </w:r>
      <w:r w:rsidR="008B28BB">
        <w:rPr>
          <w:sz w:val="22"/>
          <w:szCs w:val="22"/>
        </w:rPr>
        <w:t>response rate</w:t>
      </w:r>
      <w:r>
        <w:rPr>
          <w:sz w:val="22"/>
          <w:szCs w:val="22"/>
        </w:rPr>
        <w:t xml:space="preserve">, </w:t>
      </w:r>
      <w:r w:rsidRPr="007A2258">
        <w:rPr>
          <w:sz w:val="22"/>
          <w:szCs w:val="22"/>
        </w:rPr>
        <w:t>and improv</w:t>
      </w:r>
      <w:r>
        <w:rPr>
          <w:sz w:val="22"/>
          <w:szCs w:val="22"/>
        </w:rPr>
        <w:t>ing</w:t>
      </w:r>
      <w:r w:rsidRPr="007A2258">
        <w:rPr>
          <w:sz w:val="22"/>
          <w:szCs w:val="22"/>
        </w:rPr>
        <w:t xml:space="preserve"> the </w:t>
      </w:r>
      <w:r w:rsidR="001E1A9E">
        <w:rPr>
          <w:sz w:val="22"/>
          <w:szCs w:val="22"/>
        </w:rPr>
        <w:t xml:space="preserve">overall </w:t>
      </w:r>
      <w:r w:rsidRPr="007A2258">
        <w:rPr>
          <w:sz w:val="22"/>
          <w:szCs w:val="22"/>
        </w:rPr>
        <w:t xml:space="preserve">quality </w:t>
      </w:r>
      <w:r w:rsidR="001E1A9E">
        <w:rPr>
          <w:sz w:val="22"/>
          <w:szCs w:val="22"/>
        </w:rPr>
        <w:t xml:space="preserve">and efficiency </w:t>
      </w:r>
      <w:r w:rsidRPr="007A2258">
        <w:rPr>
          <w:sz w:val="22"/>
          <w:szCs w:val="22"/>
        </w:rPr>
        <w:t xml:space="preserve">of </w:t>
      </w:r>
      <w:r>
        <w:rPr>
          <w:sz w:val="22"/>
          <w:szCs w:val="22"/>
        </w:rPr>
        <w:t>the survey</w:t>
      </w:r>
      <w:r w:rsidRPr="007A2258">
        <w:rPr>
          <w:sz w:val="22"/>
          <w:szCs w:val="22"/>
        </w:rPr>
        <w:t xml:space="preserve"> </w:t>
      </w:r>
      <w:r w:rsidR="001E1A9E">
        <w:rPr>
          <w:sz w:val="22"/>
          <w:szCs w:val="22"/>
        </w:rPr>
        <w:t>data collected</w:t>
      </w:r>
      <w:r>
        <w:rPr>
          <w:sz w:val="22"/>
          <w:szCs w:val="22"/>
        </w:rPr>
        <w:t xml:space="preserve">. </w:t>
      </w:r>
      <w:r w:rsidR="008A6CC5">
        <w:rPr>
          <w:sz w:val="22"/>
          <w:szCs w:val="22"/>
        </w:rPr>
        <w:t>HHS</w:t>
      </w:r>
      <w:r w:rsidR="00AF5CF1" w:rsidRPr="00AF5CF1">
        <w:rPr>
          <w:sz w:val="22"/>
          <w:szCs w:val="22"/>
        </w:rPr>
        <w:t xml:space="preserve"> will use the</w:t>
      </w:r>
      <w:r w:rsidR="00AF5CF1">
        <w:rPr>
          <w:sz w:val="22"/>
          <w:szCs w:val="22"/>
        </w:rPr>
        <w:t xml:space="preserve"> pretest data </w:t>
      </w:r>
      <w:r w:rsidR="00FE6DDB">
        <w:rPr>
          <w:sz w:val="22"/>
          <w:szCs w:val="22"/>
        </w:rPr>
        <w:t xml:space="preserve">to </w:t>
      </w:r>
      <w:r w:rsidR="00AF5CF1">
        <w:rPr>
          <w:sz w:val="22"/>
          <w:szCs w:val="22"/>
        </w:rPr>
        <w:t>refine the ASR</w:t>
      </w:r>
      <w:r w:rsidR="00AF5CF1" w:rsidRPr="00AF5CF1">
        <w:rPr>
          <w:sz w:val="22"/>
          <w:szCs w:val="22"/>
        </w:rPr>
        <w:t xml:space="preserve"> questionnaire and </w:t>
      </w:r>
      <w:r w:rsidR="00AF5CF1">
        <w:rPr>
          <w:sz w:val="22"/>
          <w:szCs w:val="22"/>
        </w:rPr>
        <w:t xml:space="preserve">field </w:t>
      </w:r>
      <w:r w:rsidR="00AF5CF1" w:rsidRPr="00AF5CF1">
        <w:rPr>
          <w:sz w:val="22"/>
          <w:szCs w:val="22"/>
        </w:rPr>
        <w:t>procedures</w:t>
      </w:r>
      <w:r w:rsidR="008A6CC5">
        <w:rPr>
          <w:sz w:val="22"/>
          <w:szCs w:val="22"/>
        </w:rPr>
        <w:t xml:space="preserve"> as </w:t>
      </w:r>
      <w:r w:rsidR="008B28BB">
        <w:rPr>
          <w:sz w:val="22"/>
          <w:szCs w:val="22"/>
        </w:rPr>
        <w:t>part of finalization of an instrument to be submitted to OMB for approval for use in the annual data collection</w:t>
      </w:r>
      <w:r w:rsidR="00AF5CF1" w:rsidRPr="00AF5CF1">
        <w:rPr>
          <w:sz w:val="22"/>
          <w:szCs w:val="22"/>
        </w:rPr>
        <w:t xml:space="preserve">. </w:t>
      </w:r>
      <w:r w:rsidR="00AF5CF1">
        <w:rPr>
          <w:sz w:val="22"/>
          <w:szCs w:val="22"/>
        </w:rPr>
        <w:t>Assessment</w:t>
      </w:r>
      <w:r w:rsidR="00AF5CF1" w:rsidRPr="00AF5CF1">
        <w:rPr>
          <w:sz w:val="22"/>
          <w:szCs w:val="22"/>
        </w:rPr>
        <w:t xml:space="preserve"> of </w:t>
      </w:r>
      <w:r w:rsidR="008B28BB">
        <w:rPr>
          <w:sz w:val="22"/>
          <w:szCs w:val="22"/>
        </w:rPr>
        <w:t>the</w:t>
      </w:r>
      <w:r w:rsidR="00AF5CF1" w:rsidRPr="00AF5CF1">
        <w:rPr>
          <w:sz w:val="22"/>
          <w:szCs w:val="22"/>
        </w:rPr>
        <w:t xml:space="preserve"> questionnaire and procedures is the main objective of the activities in this clearance. </w:t>
      </w:r>
    </w:p>
    <w:p w:rsidR="00AF5CF1" w:rsidRDefault="00AF5CF1" w:rsidP="00AF5CF1">
      <w:pPr>
        <w:rPr>
          <w:sz w:val="22"/>
          <w:szCs w:val="22"/>
        </w:rPr>
      </w:pPr>
    </w:p>
    <w:p w:rsidR="00AF5CF1" w:rsidRDefault="00CE131D" w:rsidP="00AF5CF1">
      <w:pPr>
        <w:rPr>
          <w:sz w:val="22"/>
          <w:szCs w:val="22"/>
        </w:rPr>
      </w:pPr>
      <w:r>
        <w:rPr>
          <w:sz w:val="22"/>
          <w:szCs w:val="22"/>
        </w:rPr>
        <w:t>HHS</w:t>
      </w:r>
      <w:r w:rsidR="00AF5CF1" w:rsidRPr="00AF5CF1">
        <w:rPr>
          <w:sz w:val="22"/>
          <w:szCs w:val="22"/>
        </w:rPr>
        <w:t xml:space="preserve"> will use the </w:t>
      </w:r>
      <w:r w:rsidR="000D0D95">
        <w:rPr>
          <w:sz w:val="22"/>
          <w:szCs w:val="22"/>
        </w:rPr>
        <w:t>pretest findings</w:t>
      </w:r>
      <w:r w:rsidR="00AF5CF1" w:rsidRPr="00AF5CF1">
        <w:rPr>
          <w:sz w:val="22"/>
          <w:szCs w:val="22"/>
        </w:rPr>
        <w:t xml:space="preserve"> internally to inform </w:t>
      </w:r>
      <w:r w:rsidR="000D0D95">
        <w:rPr>
          <w:sz w:val="22"/>
          <w:szCs w:val="22"/>
        </w:rPr>
        <w:t xml:space="preserve">the ASR redesign effort as well as </w:t>
      </w:r>
      <w:r w:rsidR="00AF5CF1" w:rsidRPr="00AF5CF1">
        <w:rPr>
          <w:sz w:val="22"/>
          <w:szCs w:val="22"/>
        </w:rPr>
        <w:t xml:space="preserve">subsequent </w:t>
      </w:r>
      <w:r w:rsidR="00AF5CF1">
        <w:rPr>
          <w:sz w:val="22"/>
          <w:szCs w:val="22"/>
        </w:rPr>
        <w:t xml:space="preserve">ASR </w:t>
      </w:r>
      <w:r w:rsidR="00AF5CF1" w:rsidRPr="00AF5CF1">
        <w:rPr>
          <w:sz w:val="22"/>
          <w:szCs w:val="22"/>
        </w:rPr>
        <w:t>information collection requests. Results of the</w:t>
      </w:r>
      <w:r w:rsidR="00AF5CF1">
        <w:rPr>
          <w:sz w:val="22"/>
          <w:szCs w:val="22"/>
        </w:rPr>
        <w:t xml:space="preserve"> pretest </w:t>
      </w:r>
      <w:r w:rsidR="00AF5CF1" w:rsidRPr="00AF5CF1">
        <w:rPr>
          <w:sz w:val="22"/>
          <w:szCs w:val="22"/>
        </w:rPr>
        <w:t xml:space="preserve">may be made public through methodological appendices or footnotes, reports on instrument development, instrument user guides, descriptions of respondent behavior, and other publications describing findings of methodological interest. </w:t>
      </w:r>
      <w:r w:rsidR="00AF5CF1">
        <w:rPr>
          <w:sz w:val="22"/>
          <w:szCs w:val="22"/>
        </w:rPr>
        <w:t>As</w:t>
      </w:r>
      <w:r w:rsidR="00AF5CF1" w:rsidRPr="00AF5CF1">
        <w:rPr>
          <w:sz w:val="22"/>
          <w:szCs w:val="22"/>
        </w:rPr>
        <w:t xml:space="preserve"> </w:t>
      </w:r>
      <w:r w:rsidR="000D0D95">
        <w:rPr>
          <w:sz w:val="22"/>
          <w:szCs w:val="22"/>
        </w:rPr>
        <w:t>appropriate</w:t>
      </w:r>
      <w:r w:rsidR="00AF5CF1" w:rsidRPr="00AF5CF1">
        <w:rPr>
          <w:sz w:val="22"/>
          <w:szCs w:val="22"/>
        </w:rPr>
        <w:t xml:space="preserve">, </w:t>
      </w:r>
      <w:r w:rsidR="00AF5CF1">
        <w:rPr>
          <w:sz w:val="22"/>
          <w:szCs w:val="22"/>
        </w:rPr>
        <w:t xml:space="preserve">pretest </w:t>
      </w:r>
      <w:r w:rsidR="00AF5CF1" w:rsidRPr="00AF5CF1">
        <w:rPr>
          <w:sz w:val="22"/>
          <w:szCs w:val="22"/>
        </w:rPr>
        <w:t xml:space="preserve">results will be labeled as exploratory in nature. The </w:t>
      </w:r>
      <w:r w:rsidR="00AF5CF1">
        <w:rPr>
          <w:sz w:val="22"/>
          <w:szCs w:val="22"/>
        </w:rPr>
        <w:t xml:space="preserve">pretest </w:t>
      </w:r>
      <w:r w:rsidR="00AF5CF1" w:rsidRPr="00AF5CF1">
        <w:rPr>
          <w:sz w:val="22"/>
          <w:szCs w:val="22"/>
        </w:rPr>
        <w:t>data collected will not be presented as findings on the</w:t>
      </w:r>
      <w:r w:rsidR="00FE6DDB">
        <w:rPr>
          <w:sz w:val="22"/>
          <w:szCs w:val="22"/>
        </w:rPr>
        <w:t xml:space="preserve"> outcomes of</w:t>
      </w:r>
      <w:r w:rsidR="00AF5CF1" w:rsidRPr="00AF5CF1">
        <w:rPr>
          <w:sz w:val="22"/>
          <w:szCs w:val="22"/>
        </w:rPr>
        <w:t xml:space="preserve"> </w:t>
      </w:r>
      <w:r w:rsidR="00AF5CF1">
        <w:rPr>
          <w:sz w:val="22"/>
          <w:szCs w:val="22"/>
        </w:rPr>
        <w:t>refugee resettlement</w:t>
      </w:r>
      <w:r>
        <w:rPr>
          <w:sz w:val="22"/>
          <w:szCs w:val="22"/>
        </w:rPr>
        <w:t xml:space="preserve"> or as generally representative of the refugee population</w:t>
      </w:r>
      <w:r w:rsidR="00AF5CF1" w:rsidRPr="00AF5CF1">
        <w:rPr>
          <w:sz w:val="22"/>
          <w:szCs w:val="22"/>
        </w:rPr>
        <w:t xml:space="preserve">. </w:t>
      </w:r>
    </w:p>
    <w:p w:rsidR="00AF5CF1" w:rsidRPr="00AF5CF1" w:rsidRDefault="00AF5CF1" w:rsidP="00AF5CF1">
      <w:pPr>
        <w:rPr>
          <w:sz w:val="22"/>
          <w:szCs w:val="22"/>
        </w:rPr>
      </w:pPr>
    </w:p>
    <w:p w:rsidR="001962D7" w:rsidRDefault="001962D7" w:rsidP="00AF5CF1">
      <w:pPr>
        <w:rPr>
          <w:sz w:val="22"/>
          <w:szCs w:val="22"/>
        </w:rPr>
      </w:pPr>
      <w:r>
        <w:rPr>
          <w:sz w:val="22"/>
          <w:szCs w:val="22"/>
        </w:rPr>
        <w:t xml:space="preserve">The approach </w:t>
      </w:r>
      <w:r w:rsidR="000D0D95">
        <w:rPr>
          <w:sz w:val="22"/>
          <w:szCs w:val="22"/>
        </w:rPr>
        <w:t>involves two collection components – one involving refugees, and the other involving individuals who interact with refugees in the receiving communities.  The refugee component calls for c</w:t>
      </w:r>
      <w:r>
        <w:rPr>
          <w:sz w:val="22"/>
          <w:szCs w:val="22"/>
        </w:rPr>
        <w:t>ollect</w:t>
      </w:r>
      <w:r w:rsidR="000D0D95">
        <w:rPr>
          <w:sz w:val="22"/>
          <w:szCs w:val="22"/>
        </w:rPr>
        <w:t>ing pretest survey interviews with</w:t>
      </w:r>
      <w:r>
        <w:rPr>
          <w:sz w:val="22"/>
          <w:szCs w:val="22"/>
        </w:rPr>
        <w:t xml:space="preserve"> refugees</w:t>
      </w:r>
      <w:r w:rsidR="000D0D95">
        <w:rPr>
          <w:sz w:val="22"/>
          <w:szCs w:val="22"/>
        </w:rPr>
        <w:t xml:space="preserve"> using a revised survey questionnaire and a specific factorial design. Additionally</w:t>
      </w:r>
      <w:r>
        <w:rPr>
          <w:sz w:val="22"/>
          <w:szCs w:val="22"/>
        </w:rPr>
        <w:t>,</w:t>
      </w:r>
      <w:r w:rsidR="000D0D95">
        <w:rPr>
          <w:sz w:val="22"/>
          <w:szCs w:val="22"/>
        </w:rPr>
        <w:t xml:space="preserve"> these interviewed refugees</w:t>
      </w:r>
      <w:r>
        <w:rPr>
          <w:sz w:val="22"/>
          <w:szCs w:val="22"/>
        </w:rPr>
        <w:t xml:space="preserve"> </w:t>
      </w:r>
      <w:r w:rsidR="000D0D95">
        <w:rPr>
          <w:sz w:val="22"/>
          <w:szCs w:val="22"/>
        </w:rPr>
        <w:t xml:space="preserve">would also </w:t>
      </w:r>
      <w:r>
        <w:rPr>
          <w:sz w:val="22"/>
          <w:szCs w:val="22"/>
        </w:rPr>
        <w:t xml:space="preserve">undergo </w:t>
      </w:r>
      <w:r w:rsidR="00E2587E">
        <w:rPr>
          <w:sz w:val="22"/>
          <w:szCs w:val="22"/>
        </w:rPr>
        <w:t xml:space="preserve">either </w:t>
      </w:r>
      <w:r>
        <w:rPr>
          <w:sz w:val="22"/>
          <w:szCs w:val="22"/>
        </w:rPr>
        <w:t>cognitive interviewing</w:t>
      </w:r>
      <w:r w:rsidR="000D0D95">
        <w:rPr>
          <w:sz w:val="22"/>
          <w:szCs w:val="22"/>
        </w:rPr>
        <w:t xml:space="preserve"> or an in-depth interview (but not both).  In the second component</w:t>
      </w:r>
      <w:r>
        <w:rPr>
          <w:sz w:val="22"/>
          <w:szCs w:val="22"/>
        </w:rPr>
        <w:t xml:space="preserve">, two site visits would be conducted in cities </w:t>
      </w:r>
      <w:r w:rsidR="00F95605">
        <w:rPr>
          <w:sz w:val="22"/>
          <w:szCs w:val="22"/>
        </w:rPr>
        <w:t>with refugee populations</w:t>
      </w:r>
      <w:r>
        <w:rPr>
          <w:sz w:val="22"/>
          <w:szCs w:val="22"/>
        </w:rPr>
        <w:t xml:space="preserve">.  Resettlement </w:t>
      </w:r>
      <w:r w:rsidR="000D0D95">
        <w:rPr>
          <w:sz w:val="22"/>
          <w:szCs w:val="22"/>
        </w:rPr>
        <w:t xml:space="preserve">agency </w:t>
      </w:r>
      <w:r>
        <w:rPr>
          <w:sz w:val="22"/>
          <w:szCs w:val="22"/>
        </w:rPr>
        <w:t xml:space="preserve">staff and </w:t>
      </w:r>
      <w:r w:rsidR="00FE6DDB">
        <w:rPr>
          <w:sz w:val="22"/>
          <w:szCs w:val="22"/>
        </w:rPr>
        <w:t xml:space="preserve">other </w:t>
      </w:r>
      <w:r>
        <w:rPr>
          <w:sz w:val="22"/>
          <w:szCs w:val="22"/>
        </w:rPr>
        <w:t xml:space="preserve">community </w:t>
      </w:r>
      <w:r w:rsidR="00FE6DDB">
        <w:rPr>
          <w:sz w:val="22"/>
          <w:szCs w:val="22"/>
        </w:rPr>
        <w:t xml:space="preserve">stakeholders </w:t>
      </w:r>
      <w:r>
        <w:rPr>
          <w:sz w:val="22"/>
          <w:szCs w:val="22"/>
        </w:rPr>
        <w:t xml:space="preserve">would </w:t>
      </w:r>
      <w:r w:rsidR="000D0D95">
        <w:rPr>
          <w:sz w:val="22"/>
          <w:szCs w:val="22"/>
        </w:rPr>
        <w:t>undergo</w:t>
      </w:r>
      <w:r>
        <w:rPr>
          <w:sz w:val="22"/>
          <w:szCs w:val="22"/>
        </w:rPr>
        <w:t xml:space="preserve"> in-depth interviews about their </w:t>
      </w:r>
      <w:r w:rsidR="002F750D">
        <w:rPr>
          <w:sz w:val="22"/>
          <w:szCs w:val="22"/>
        </w:rPr>
        <w:t>perspectives on</w:t>
      </w:r>
      <w:r>
        <w:rPr>
          <w:sz w:val="22"/>
          <w:szCs w:val="22"/>
        </w:rPr>
        <w:t xml:space="preserve"> refugee</w:t>
      </w:r>
      <w:r w:rsidR="002F750D">
        <w:rPr>
          <w:sz w:val="22"/>
          <w:szCs w:val="22"/>
        </w:rPr>
        <w:t xml:space="preserve"> experiences</w:t>
      </w:r>
      <w:r>
        <w:rPr>
          <w:sz w:val="22"/>
          <w:szCs w:val="22"/>
        </w:rPr>
        <w:t xml:space="preserve"> to add their </w:t>
      </w:r>
      <w:r w:rsidR="002F750D">
        <w:rPr>
          <w:sz w:val="22"/>
          <w:szCs w:val="22"/>
        </w:rPr>
        <w:t xml:space="preserve">viewpoint </w:t>
      </w:r>
      <w:r>
        <w:rPr>
          <w:sz w:val="22"/>
          <w:szCs w:val="22"/>
        </w:rPr>
        <w:t xml:space="preserve">and validate the constructs being captured in the survey instrument. </w:t>
      </w:r>
    </w:p>
    <w:p w:rsidR="001962D7" w:rsidRDefault="001962D7" w:rsidP="00AF5CF1">
      <w:pPr>
        <w:rPr>
          <w:sz w:val="22"/>
          <w:szCs w:val="22"/>
        </w:rPr>
      </w:pPr>
    </w:p>
    <w:p w:rsidR="00AF5CF1" w:rsidRDefault="00AF5CF1" w:rsidP="00AF5CF1">
      <w:pPr>
        <w:rPr>
          <w:sz w:val="22"/>
          <w:szCs w:val="22"/>
        </w:rPr>
      </w:pPr>
      <w:r w:rsidRPr="00AF5CF1">
        <w:rPr>
          <w:sz w:val="22"/>
          <w:szCs w:val="22"/>
        </w:rPr>
        <w:t xml:space="preserve">All </w:t>
      </w:r>
      <w:r w:rsidR="000D0D95">
        <w:rPr>
          <w:sz w:val="22"/>
          <w:szCs w:val="22"/>
        </w:rPr>
        <w:t xml:space="preserve">survey </w:t>
      </w:r>
      <w:r>
        <w:rPr>
          <w:sz w:val="22"/>
          <w:szCs w:val="22"/>
        </w:rPr>
        <w:t xml:space="preserve">data collected from the pretest </w:t>
      </w:r>
      <w:r w:rsidR="00E2587E">
        <w:rPr>
          <w:sz w:val="22"/>
          <w:szCs w:val="22"/>
        </w:rPr>
        <w:t xml:space="preserve">with refugees </w:t>
      </w:r>
      <w:r>
        <w:rPr>
          <w:sz w:val="22"/>
          <w:szCs w:val="22"/>
        </w:rPr>
        <w:t xml:space="preserve">will be generated from </w:t>
      </w:r>
      <w:r w:rsidRPr="00AF5CF1">
        <w:rPr>
          <w:sz w:val="22"/>
          <w:szCs w:val="22"/>
        </w:rPr>
        <w:t xml:space="preserve">purposive samples of </w:t>
      </w:r>
      <w:r>
        <w:rPr>
          <w:sz w:val="22"/>
          <w:szCs w:val="22"/>
        </w:rPr>
        <w:t xml:space="preserve">refugees </w:t>
      </w:r>
      <w:r w:rsidR="00FE6DDB">
        <w:rPr>
          <w:sz w:val="22"/>
          <w:szCs w:val="22"/>
        </w:rPr>
        <w:t>admitted to the U.S</w:t>
      </w:r>
      <w:r>
        <w:rPr>
          <w:sz w:val="22"/>
          <w:szCs w:val="22"/>
        </w:rPr>
        <w:t>.</w:t>
      </w:r>
      <w:r w:rsidR="00E12399">
        <w:rPr>
          <w:sz w:val="22"/>
          <w:szCs w:val="22"/>
        </w:rPr>
        <w:t xml:space="preserve"> between FY2011 and FY2015.</w:t>
      </w:r>
      <w:r>
        <w:rPr>
          <w:sz w:val="22"/>
          <w:szCs w:val="22"/>
        </w:rPr>
        <w:t xml:space="preserve">  Qualitative data will be collected from both refugees</w:t>
      </w:r>
      <w:r w:rsidR="001E1A9E">
        <w:rPr>
          <w:sz w:val="22"/>
          <w:szCs w:val="22"/>
        </w:rPr>
        <w:t xml:space="preserve"> (via in-depth interviews and cognitive interviews)</w:t>
      </w:r>
      <w:r>
        <w:rPr>
          <w:sz w:val="22"/>
          <w:szCs w:val="22"/>
        </w:rPr>
        <w:t xml:space="preserve"> and stakeholders such as staff from resettlement </w:t>
      </w:r>
      <w:r w:rsidR="00E12399">
        <w:rPr>
          <w:sz w:val="22"/>
          <w:szCs w:val="22"/>
        </w:rPr>
        <w:t xml:space="preserve">agencies </w:t>
      </w:r>
      <w:r>
        <w:rPr>
          <w:sz w:val="22"/>
          <w:szCs w:val="22"/>
        </w:rPr>
        <w:t xml:space="preserve">in two sites.  </w:t>
      </w:r>
      <w:r w:rsidRPr="00AF5CF1">
        <w:rPr>
          <w:sz w:val="22"/>
          <w:szCs w:val="22"/>
        </w:rPr>
        <w:t>All information collection activities conducted under this generic clea</w:t>
      </w:r>
      <w:r>
        <w:rPr>
          <w:sz w:val="22"/>
          <w:szCs w:val="22"/>
        </w:rPr>
        <w:t xml:space="preserve">rance will be voluntary and low </w:t>
      </w:r>
      <w:r w:rsidRPr="00AF5CF1">
        <w:rPr>
          <w:sz w:val="22"/>
          <w:szCs w:val="22"/>
        </w:rPr>
        <w:t>burden</w:t>
      </w:r>
      <w:r>
        <w:rPr>
          <w:sz w:val="22"/>
          <w:szCs w:val="22"/>
        </w:rPr>
        <w:t xml:space="preserve"> on the </w:t>
      </w:r>
      <w:r w:rsidR="00E746F3">
        <w:rPr>
          <w:sz w:val="22"/>
          <w:szCs w:val="22"/>
        </w:rPr>
        <w:t>respondents</w:t>
      </w:r>
      <w:r w:rsidR="001E1A9E">
        <w:rPr>
          <w:sz w:val="22"/>
          <w:szCs w:val="22"/>
        </w:rPr>
        <w:t xml:space="preserve">. </w:t>
      </w:r>
      <w:r>
        <w:rPr>
          <w:sz w:val="22"/>
          <w:szCs w:val="22"/>
        </w:rPr>
        <w:t xml:space="preserve"> </w:t>
      </w:r>
    </w:p>
    <w:p w:rsidR="007A2258" w:rsidRDefault="007A2258" w:rsidP="00436F5E">
      <w:pPr>
        <w:spacing w:after="60"/>
        <w:rPr>
          <w:sz w:val="22"/>
          <w:szCs w:val="22"/>
        </w:rPr>
      </w:pPr>
    </w:p>
    <w:p w:rsidR="001962D7" w:rsidRPr="001962D7" w:rsidRDefault="00A44209" w:rsidP="001962D7">
      <w:pPr>
        <w:spacing w:after="120"/>
        <w:rPr>
          <w:b/>
          <w:i/>
        </w:rPr>
      </w:pPr>
      <w:r>
        <w:rPr>
          <w:b/>
          <w:i/>
        </w:rPr>
        <w:t>Research Questions</w:t>
      </w:r>
    </w:p>
    <w:p w:rsidR="00CC4C71" w:rsidRDefault="00CC4C71" w:rsidP="001A5601">
      <w:pPr>
        <w:pStyle w:val="BodyText"/>
        <w:spacing w:after="0" w:line="240" w:lineRule="auto"/>
        <w:rPr>
          <w:rFonts w:ascii="Times New Roman" w:hAnsi="Times New Roman"/>
        </w:rPr>
      </w:pPr>
      <w:r w:rsidRPr="00CC4C71">
        <w:rPr>
          <w:rFonts w:ascii="Times New Roman" w:hAnsi="Times New Roman"/>
        </w:rPr>
        <w:t>Th</w:t>
      </w:r>
      <w:r>
        <w:rPr>
          <w:rFonts w:ascii="Times New Roman" w:hAnsi="Times New Roman"/>
        </w:rPr>
        <w:t>e ASR</w:t>
      </w:r>
      <w:r w:rsidRPr="00CC4C71">
        <w:rPr>
          <w:rFonts w:ascii="Times New Roman" w:hAnsi="Times New Roman"/>
        </w:rPr>
        <w:t xml:space="preserve"> pretest </w:t>
      </w:r>
      <w:r>
        <w:rPr>
          <w:rFonts w:ascii="Times New Roman" w:hAnsi="Times New Roman"/>
        </w:rPr>
        <w:t xml:space="preserve">– the subject of this information collection request </w:t>
      </w:r>
      <w:r w:rsidR="00D02166">
        <w:rPr>
          <w:rFonts w:ascii="Times New Roman" w:hAnsi="Times New Roman"/>
        </w:rPr>
        <w:t>–</w:t>
      </w:r>
      <w:r>
        <w:rPr>
          <w:rFonts w:ascii="Times New Roman" w:hAnsi="Times New Roman"/>
        </w:rPr>
        <w:t xml:space="preserve"> </w:t>
      </w:r>
      <w:r w:rsidRPr="00CC4C71">
        <w:rPr>
          <w:rFonts w:ascii="Times New Roman" w:hAnsi="Times New Roman"/>
        </w:rPr>
        <w:t xml:space="preserve">will produce both conceptual and operational information to help inform decisions about </w:t>
      </w:r>
      <w:r w:rsidR="00E2587E">
        <w:rPr>
          <w:rFonts w:ascii="Times New Roman" w:hAnsi="Times New Roman"/>
        </w:rPr>
        <w:t>a</w:t>
      </w:r>
      <w:r w:rsidRPr="00CC4C71">
        <w:rPr>
          <w:rFonts w:ascii="Times New Roman" w:hAnsi="Times New Roman"/>
        </w:rPr>
        <w:t xml:space="preserve"> redesigned ASR. Table 1 details how the </w:t>
      </w:r>
      <w:r>
        <w:rPr>
          <w:rFonts w:ascii="Times New Roman" w:hAnsi="Times New Roman"/>
        </w:rPr>
        <w:t xml:space="preserve">pretest </w:t>
      </w:r>
      <w:r w:rsidRPr="00CC4C71">
        <w:rPr>
          <w:rFonts w:ascii="Times New Roman" w:hAnsi="Times New Roman"/>
        </w:rPr>
        <w:t xml:space="preserve">components will cover </w:t>
      </w:r>
      <w:r>
        <w:rPr>
          <w:rFonts w:ascii="Times New Roman" w:hAnsi="Times New Roman"/>
        </w:rPr>
        <w:t>the specific</w:t>
      </w:r>
      <w:r w:rsidRPr="00CC4C71">
        <w:rPr>
          <w:rFonts w:ascii="Times New Roman" w:hAnsi="Times New Roman"/>
        </w:rPr>
        <w:t xml:space="preserve"> research objectives.</w:t>
      </w:r>
    </w:p>
    <w:p w:rsidR="00C16862" w:rsidRPr="00CC4C71" w:rsidRDefault="00C16862" w:rsidP="001A5601">
      <w:pPr>
        <w:pStyle w:val="BodyText"/>
        <w:spacing w:after="0" w:line="240" w:lineRule="auto"/>
        <w:rPr>
          <w:rFonts w:ascii="Times New Roman" w:hAnsi="Times New Roman"/>
        </w:rPr>
      </w:pPr>
    </w:p>
    <w:p w:rsidR="00CC4C71" w:rsidRDefault="00CC4C71" w:rsidP="00CC4C71">
      <w:pPr>
        <w:pStyle w:val="BodyTextFirstIndent"/>
        <w:rPr>
          <w:rFonts w:ascii="Lato" w:hAnsi="Lato"/>
          <w:sz w:val="22"/>
          <w:szCs w:val="22"/>
        </w:rPr>
      </w:pPr>
    </w:p>
    <w:p w:rsidR="00CC4C71" w:rsidRDefault="00CC4C71" w:rsidP="00CC4C71">
      <w:pPr>
        <w:spacing w:after="120"/>
        <w:rPr>
          <w:b/>
          <w:i/>
        </w:rPr>
      </w:pPr>
      <w:r>
        <w:rPr>
          <w:b/>
          <w:i/>
        </w:rPr>
        <w:t>Study Design</w:t>
      </w:r>
    </w:p>
    <w:p w:rsidR="00CC4C71" w:rsidRDefault="00700E96" w:rsidP="00CC4C71">
      <w:pPr>
        <w:pStyle w:val="BodyTextFirstIndent"/>
        <w:ind w:firstLine="0"/>
        <w:rPr>
          <w:sz w:val="22"/>
          <w:szCs w:val="22"/>
        </w:rPr>
      </w:pPr>
      <w:r w:rsidRPr="00700E96">
        <w:rPr>
          <w:sz w:val="22"/>
          <w:szCs w:val="22"/>
        </w:rPr>
        <w:t>The</w:t>
      </w:r>
      <w:r w:rsidRPr="00CC4C71">
        <w:rPr>
          <w:sz w:val="22"/>
          <w:szCs w:val="22"/>
        </w:rPr>
        <w:t xml:space="preserve"> </w:t>
      </w:r>
      <w:r>
        <w:rPr>
          <w:sz w:val="22"/>
          <w:szCs w:val="22"/>
        </w:rPr>
        <w:t>study design was developed to maximize insights within the constraints of</w:t>
      </w:r>
      <w:r w:rsidR="00426FE5">
        <w:rPr>
          <w:sz w:val="22"/>
          <w:szCs w:val="22"/>
        </w:rPr>
        <w:t xml:space="preserve"> the</w:t>
      </w:r>
      <w:r>
        <w:rPr>
          <w:sz w:val="22"/>
          <w:szCs w:val="22"/>
        </w:rPr>
        <w:t xml:space="preserve"> limited budget and time line. </w:t>
      </w:r>
      <w:r w:rsidR="00CC4C71" w:rsidRPr="00CC4C71">
        <w:rPr>
          <w:sz w:val="22"/>
          <w:szCs w:val="22"/>
        </w:rPr>
        <w:t>The pre-test plan includes two design</w:t>
      </w:r>
      <w:r w:rsidR="00917836">
        <w:rPr>
          <w:sz w:val="22"/>
          <w:szCs w:val="22"/>
        </w:rPr>
        <w:t xml:space="preserve"> components: (1)</w:t>
      </w:r>
      <w:r w:rsidR="00CC4C71" w:rsidRPr="00CC4C71">
        <w:rPr>
          <w:sz w:val="22"/>
          <w:szCs w:val="22"/>
        </w:rPr>
        <w:t xml:space="preserve"> telephone interviews of refugee respondents testing the revised instrument and capturing </w:t>
      </w:r>
      <w:r w:rsidR="00917836">
        <w:rPr>
          <w:sz w:val="22"/>
          <w:szCs w:val="22"/>
        </w:rPr>
        <w:t xml:space="preserve">the </w:t>
      </w:r>
      <w:r w:rsidR="00CC4C71" w:rsidRPr="00CC4C71">
        <w:rPr>
          <w:sz w:val="22"/>
          <w:szCs w:val="22"/>
        </w:rPr>
        <w:t xml:space="preserve">experience of </w:t>
      </w:r>
      <w:r w:rsidR="00917836">
        <w:rPr>
          <w:sz w:val="22"/>
          <w:szCs w:val="22"/>
        </w:rPr>
        <w:t xml:space="preserve">being administered </w:t>
      </w:r>
      <w:r w:rsidR="00CC4C71" w:rsidRPr="00CC4C71">
        <w:rPr>
          <w:sz w:val="22"/>
          <w:szCs w:val="22"/>
        </w:rPr>
        <w:t xml:space="preserve">the revised survey instrument </w:t>
      </w:r>
      <w:r w:rsidR="00917836">
        <w:rPr>
          <w:sz w:val="22"/>
          <w:szCs w:val="22"/>
        </w:rPr>
        <w:t xml:space="preserve">as well as capturing refugee </w:t>
      </w:r>
      <w:r w:rsidR="00CC4C71" w:rsidRPr="00CC4C71">
        <w:rPr>
          <w:sz w:val="22"/>
          <w:szCs w:val="22"/>
        </w:rPr>
        <w:t>self-sufficiency and integration</w:t>
      </w:r>
      <w:r w:rsidR="00917836">
        <w:rPr>
          <w:sz w:val="22"/>
          <w:szCs w:val="22"/>
        </w:rPr>
        <w:t xml:space="preserve"> experiences</w:t>
      </w:r>
      <w:r w:rsidR="00E2587E">
        <w:rPr>
          <w:sz w:val="22"/>
          <w:szCs w:val="22"/>
        </w:rPr>
        <w:t>;</w:t>
      </w:r>
      <w:r w:rsidR="00CC4C71" w:rsidRPr="00CC4C71">
        <w:rPr>
          <w:sz w:val="22"/>
          <w:szCs w:val="22"/>
        </w:rPr>
        <w:t xml:space="preserve"> and (2) site visits </w:t>
      </w:r>
      <w:r w:rsidR="00E12399">
        <w:rPr>
          <w:sz w:val="22"/>
          <w:szCs w:val="22"/>
        </w:rPr>
        <w:t xml:space="preserve">to </w:t>
      </w:r>
      <w:r w:rsidR="00C16862">
        <w:rPr>
          <w:sz w:val="22"/>
          <w:szCs w:val="22"/>
        </w:rPr>
        <w:t xml:space="preserve">conduct qualitative </w:t>
      </w:r>
      <w:r w:rsidR="00606180">
        <w:rPr>
          <w:sz w:val="22"/>
          <w:szCs w:val="22"/>
        </w:rPr>
        <w:t>interview</w:t>
      </w:r>
      <w:r w:rsidR="00C16862">
        <w:rPr>
          <w:sz w:val="22"/>
          <w:szCs w:val="22"/>
        </w:rPr>
        <w:t>s with</w:t>
      </w:r>
      <w:r w:rsidR="00E12399">
        <w:rPr>
          <w:sz w:val="22"/>
          <w:szCs w:val="22"/>
        </w:rPr>
        <w:t xml:space="preserve"> </w:t>
      </w:r>
      <w:r w:rsidR="00CC4C71" w:rsidRPr="00CC4C71">
        <w:rPr>
          <w:sz w:val="22"/>
          <w:szCs w:val="22"/>
        </w:rPr>
        <w:t>service providers and community stakeholders to understand priority topics for refugee self-sufficiency and integration</w:t>
      </w:r>
      <w:r w:rsidR="00606180">
        <w:rPr>
          <w:sz w:val="22"/>
          <w:szCs w:val="22"/>
        </w:rPr>
        <w:t>,</w:t>
      </w:r>
      <w:r w:rsidR="00CC4C71" w:rsidRPr="00CC4C71">
        <w:rPr>
          <w:sz w:val="22"/>
          <w:szCs w:val="22"/>
        </w:rPr>
        <w:t xml:space="preserve"> and effective strategies to engage refugee respondents and effectively implement the ASR.</w:t>
      </w:r>
    </w:p>
    <w:p w:rsidR="00CC4C71" w:rsidRPr="00700E96" w:rsidRDefault="00CC4C71" w:rsidP="00CC4C71">
      <w:pPr>
        <w:pStyle w:val="BodyTextFirstIndent"/>
        <w:ind w:firstLine="0"/>
        <w:rPr>
          <w:i/>
          <w:sz w:val="22"/>
          <w:szCs w:val="22"/>
        </w:rPr>
      </w:pPr>
    </w:p>
    <w:p w:rsidR="00CC4C71" w:rsidRPr="00700E96" w:rsidRDefault="00CC4C71" w:rsidP="00700E96">
      <w:pPr>
        <w:pStyle w:val="BodyTextFirstIndent"/>
        <w:ind w:firstLine="0"/>
        <w:rPr>
          <w:sz w:val="22"/>
          <w:szCs w:val="22"/>
        </w:rPr>
      </w:pPr>
    </w:p>
    <w:p w:rsidR="00CC4C71" w:rsidRPr="00D969C6" w:rsidRDefault="00CC4C71" w:rsidP="00CC4C71">
      <w:pPr>
        <w:pStyle w:val="BodyTextFirstIndent"/>
        <w:rPr>
          <w:rFonts w:ascii="Lato" w:hAnsi="Lato"/>
          <w:sz w:val="22"/>
          <w:szCs w:val="22"/>
        </w:rPr>
      </w:pPr>
    </w:p>
    <w:p w:rsidR="00CC4C71" w:rsidRPr="00CC4C71" w:rsidRDefault="00CC4C71" w:rsidP="00CC4C71">
      <w:pPr>
        <w:pStyle w:val="BodyTextFirstIndent"/>
        <w:ind w:firstLine="0"/>
        <w:rPr>
          <w:b/>
          <w:sz w:val="22"/>
          <w:szCs w:val="22"/>
        </w:rPr>
      </w:pPr>
      <w:r w:rsidRPr="00CC4C71">
        <w:rPr>
          <w:b/>
          <w:sz w:val="22"/>
          <w:szCs w:val="22"/>
        </w:rPr>
        <w:t>Table 1.  Pretest Research Objectives and Sources</w:t>
      </w:r>
    </w:p>
    <w:tbl>
      <w:tblPr>
        <w:tblW w:w="9918" w:type="dxa"/>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6750"/>
        <w:gridCol w:w="1368"/>
        <w:gridCol w:w="1800"/>
      </w:tblGrid>
      <w:tr w:rsidR="003377DD" w:rsidRPr="00CC4C71" w:rsidTr="00917836">
        <w:trPr>
          <w:trHeight w:val="917"/>
          <w:jc w:val="center"/>
        </w:trPr>
        <w:tc>
          <w:tcPr>
            <w:tcW w:w="6750" w:type="dxa"/>
            <w:tcBorders>
              <w:bottom w:val="single" w:sz="12" w:space="0" w:color="95B3D7"/>
            </w:tcBorders>
            <w:shd w:val="clear" w:color="auto" w:fill="BFBFBF"/>
          </w:tcPr>
          <w:p w:rsidR="00CC4C71" w:rsidRPr="003377DD" w:rsidRDefault="00CC4C71" w:rsidP="00917836">
            <w:pPr>
              <w:rPr>
                <w:rFonts w:eastAsia="Calibri"/>
                <w:b/>
                <w:bCs/>
                <w:sz w:val="22"/>
                <w:szCs w:val="22"/>
              </w:rPr>
            </w:pPr>
          </w:p>
          <w:p w:rsidR="00CC4C71" w:rsidRPr="003377DD" w:rsidRDefault="00CC4C71" w:rsidP="00917836">
            <w:pPr>
              <w:rPr>
                <w:rFonts w:eastAsia="Calibri"/>
                <w:b/>
                <w:bCs/>
                <w:sz w:val="22"/>
                <w:szCs w:val="22"/>
              </w:rPr>
            </w:pPr>
            <w:r w:rsidRPr="003377DD">
              <w:rPr>
                <w:rFonts w:eastAsia="Calibri"/>
                <w:b/>
                <w:bCs/>
                <w:sz w:val="22"/>
                <w:szCs w:val="22"/>
              </w:rPr>
              <w:t>Research objectives</w:t>
            </w:r>
          </w:p>
        </w:tc>
        <w:tc>
          <w:tcPr>
            <w:tcW w:w="1368" w:type="dxa"/>
            <w:tcBorders>
              <w:bottom w:val="single" w:sz="12" w:space="0" w:color="95B3D7"/>
            </w:tcBorders>
            <w:shd w:val="clear" w:color="auto" w:fill="BFBFBF"/>
          </w:tcPr>
          <w:p w:rsidR="00CC4C71" w:rsidRPr="003377DD" w:rsidRDefault="00CC4C71" w:rsidP="00917836">
            <w:pPr>
              <w:rPr>
                <w:rFonts w:eastAsia="Calibri"/>
                <w:b/>
                <w:bCs/>
                <w:sz w:val="22"/>
                <w:szCs w:val="22"/>
              </w:rPr>
            </w:pPr>
            <w:r w:rsidRPr="003377DD">
              <w:rPr>
                <w:rFonts w:eastAsia="Calibri"/>
                <w:b/>
                <w:bCs/>
                <w:sz w:val="22"/>
                <w:szCs w:val="22"/>
              </w:rPr>
              <w:t>Telephone Interviews</w:t>
            </w:r>
            <w:r w:rsidR="00BA03C0" w:rsidRPr="003377DD">
              <w:rPr>
                <w:rFonts w:eastAsia="Calibri"/>
                <w:b/>
                <w:bCs/>
                <w:sz w:val="22"/>
                <w:szCs w:val="22"/>
              </w:rPr>
              <w:t xml:space="preserve"> of Refugees</w:t>
            </w:r>
          </w:p>
        </w:tc>
        <w:tc>
          <w:tcPr>
            <w:tcW w:w="1800" w:type="dxa"/>
            <w:tcBorders>
              <w:bottom w:val="single" w:sz="12" w:space="0" w:color="95B3D7"/>
            </w:tcBorders>
            <w:shd w:val="clear" w:color="auto" w:fill="BFBFBF"/>
          </w:tcPr>
          <w:p w:rsidR="00CC4C71" w:rsidRPr="003377DD" w:rsidRDefault="00CC4C71" w:rsidP="00917836">
            <w:pPr>
              <w:rPr>
                <w:rFonts w:eastAsia="Calibri"/>
                <w:b/>
                <w:bCs/>
                <w:sz w:val="22"/>
                <w:szCs w:val="22"/>
              </w:rPr>
            </w:pPr>
            <w:r w:rsidRPr="003377DD">
              <w:rPr>
                <w:rFonts w:eastAsia="Calibri"/>
                <w:b/>
                <w:bCs/>
                <w:sz w:val="22"/>
                <w:szCs w:val="22"/>
              </w:rPr>
              <w:t>Site Visits</w:t>
            </w:r>
            <w:r w:rsidR="00BA03C0" w:rsidRPr="003377DD">
              <w:rPr>
                <w:rFonts w:eastAsia="Calibri"/>
                <w:b/>
                <w:bCs/>
                <w:sz w:val="22"/>
                <w:szCs w:val="22"/>
              </w:rPr>
              <w:t xml:space="preserve"> </w:t>
            </w:r>
            <w:r w:rsidR="002F750D">
              <w:rPr>
                <w:rFonts w:eastAsia="Calibri"/>
                <w:b/>
                <w:bCs/>
                <w:sz w:val="22"/>
                <w:szCs w:val="22"/>
              </w:rPr>
              <w:t xml:space="preserve">with </w:t>
            </w:r>
            <w:r w:rsidR="00BA03C0" w:rsidRPr="003377DD">
              <w:rPr>
                <w:rFonts w:eastAsia="Calibri"/>
                <w:b/>
                <w:bCs/>
                <w:sz w:val="22"/>
                <w:szCs w:val="22"/>
              </w:rPr>
              <w:t>Agency Staff &amp; Stakeholders</w:t>
            </w: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Verify that the survey instrument captures accurate policy- and community-relevant information</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r>
      <w:tr w:rsidR="003377DD" w:rsidRPr="00CC4C71" w:rsidTr="00917836">
        <w:trPr>
          <w:jc w:val="center"/>
        </w:trPr>
        <w:tc>
          <w:tcPr>
            <w:tcW w:w="6750" w:type="dxa"/>
            <w:shd w:val="clear" w:color="auto" w:fill="auto"/>
          </w:tcPr>
          <w:p w:rsidR="00CC4C71" w:rsidRPr="003377DD" w:rsidRDefault="00CC4C71" w:rsidP="003377DD">
            <w:pPr>
              <w:pStyle w:val="BulletedList"/>
              <w:numPr>
                <w:ilvl w:val="0"/>
                <w:numId w:val="0"/>
              </w:numPr>
              <w:rPr>
                <w:b/>
                <w:bCs/>
                <w:sz w:val="20"/>
                <w:szCs w:val="20"/>
              </w:rPr>
            </w:pPr>
            <w:r w:rsidRPr="003377DD">
              <w:rPr>
                <w:bCs/>
                <w:sz w:val="20"/>
                <w:szCs w:val="20"/>
              </w:rPr>
              <w:t>Identify survey questions in need of revision due to structural or conceptual issues</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 xml:space="preserve">Validate comprehension and assess respondent cognitive burden </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Measure the length and cost of administration for various languages and refugee subgroup</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F8284E">
            <w:pPr>
              <w:rPr>
                <w:rFonts w:eastAsia="Calibri"/>
                <w:sz w:val="20"/>
                <w:szCs w:val="20"/>
              </w:rPr>
            </w:pP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Explore cultural relevance and sensitivity issues</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Explore mobility, locating, and other issues related to longitudinal survey implementation</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Explore ways of securing better participation and acceptance</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r>
      <w:tr w:rsidR="003377DD" w:rsidRPr="00CC4C71" w:rsidTr="00917836">
        <w:trPr>
          <w:jc w:val="center"/>
        </w:trPr>
        <w:tc>
          <w:tcPr>
            <w:tcW w:w="6750" w:type="dxa"/>
            <w:shd w:val="clear" w:color="auto" w:fill="auto"/>
          </w:tcPr>
          <w:p w:rsidR="00CC4C71" w:rsidRPr="003377DD" w:rsidRDefault="00CC4C71" w:rsidP="00F8284E">
            <w:pPr>
              <w:rPr>
                <w:rFonts w:eastAsia="Calibri"/>
                <w:b/>
                <w:bCs/>
                <w:sz w:val="20"/>
                <w:szCs w:val="20"/>
              </w:rPr>
            </w:pPr>
            <w:r w:rsidRPr="003377DD">
              <w:rPr>
                <w:rFonts w:eastAsia="Calibri"/>
                <w:bCs/>
                <w:sz w:val="20"/>
                <w:szCs w:val="20"/>
              </w:rPr>
              <w:t>Explore how government sponsorship might affect participation, trust, anxiety, veracity</w:t>
            </w:r>
          </w:p>
        </w:tc>
        <w:tc>
          <w:tcPr>
            <w:tcW w:w="1368"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c>
          <w:tcPr>
            <w:tcW w:w="1800" w:type="dxa"/>
            <w:shd w:val="clear" w:color="auto" w:fill="auto"/>
          </w:tcPr>
          <w:p w:rsidR="00CC4C71" w:rsidRPr="003377DD" w:rsidRDefault="00CC4C71" w:rsidP="003377DD">
            <w:pPr>
              <w:jc w:val="center"/>
              <w:rPr>
                <w:rFonts w:eastAsia="Calibri"/>
                <w:sz w:val="20"/>
                <w:szCs w:val="20"/>
              </w:rPr>
            </w:pPr>
            <w:r w:rsidRPr="003377DD">
              <w:rPr>
                <w:rFonts w:eastAsia="Calibri"/>
                <w:sz w:val="20"/>
                <w:szCs w:val="20"/>
              </w:rPr>
              <w:t>X</w:t>
            </w:r>
          </w:p>
        </w:tc>
      </w:tr>
    </w:tbl>
    <w:p w:rsidR="00A44209" w:rsidRDefault="00A44209" w:rsidP="00436F5E">
      <w:pPr>
        <w:spacing w:after="60"/>
        <w:rPr>
          <w:sz w:val="22"/>
          <w:szCs w:val="22"/>
        </w:rPr>
      </w:pPr>
    </w:p>
    <w:p w:rsidR="00CC4C71" w:rsidRDefault="00CC4C71" w:rsidP="00436F5E">
      <w:pPr>
        <w:spacing w:after="60"/>
        <w:rPr>
          <w:sz w:val="22"/>
          <w:szCs w:val="22"/>
        </w:rPr>
      </w:pPr>
    </w:p>
    <w:p w:rsidR="00CC4C71" w:rsidRDefault="00917836" w:rsidP="00436F5E">
      <w:pPr>
        <w:spacing w:after="60"/>
        <w:rPr>
          <w:sz w:val="22"/>
          <w:szCs w:val="22"/>
        </w:rPr>
      </w:pPr>
      <w:r w:rsidRPr="00917836">
        <w:rPr>
          <w:i/>
          <w:sz w:val="22"/>
          <w:szCs w:val="22"/>
        </w:rPr>
        <w:t>Refugee Collection Design Component.</w:t>
      </w:r>
      <w:r>
        <w:rPr>
          <w:sz w:val="22"/>
          <w:szCs w:val="22"/>
        </w:rPr>
        <w:t xml:space="preserve">  </w:t>
      </w:r>
      <w:r w:rsidR="00F01E40">
        <w:rPr>
          <w:sz w:val="22"/>
          <w:szCs w:val="22"/>
        </w:rPr>
        <w:t xml:space="preserve">Pretest interviews are to be completed with </w:t>
      </w:r>
      <w:r w:rsidR="00E12399">
        <w:rPr>
          <w:sz w:val="22"/>
          <w:szCs w:val="22"/>
        </w:rPr>
        <w:t>1</w:t>
      </w:r>
      <w:r w:rsidR="00E12399" w:rsidRPr="00CC4C71">
        <w:rPr>
          <w:sz w:val="22"/>
          <w:szCs w:val="22"/>
        </w:rPr>
        <w:t xml:space="preserve">12 </w:t>
      </w:r>
      <w:r w:rsidR="00F01E40">
        <w:rPr>
          <w:sz w:val="22"/>
          <w:szCs w:val="22"/>
        </w:rPr>
        <w:t>refugees</w:t>
      </w:r>
      <w:r>
        <w:rPr>
          <w:sz w:val="22"/>
          <w:szCs w:val="22"/>
        </w:rPr>
        <w:t xml:space="preserve"> following a factorial design which establishes quotas for interviews by language, year of arrival, </w:t>
      </w:r>
      <w:r w:rsidR="00EC7FB8">
        <w:rPr>
          <w:sz w:val="22"/>
          <w:szCs w:val="22"/>
        </w:rPr>
        <w:t>sex</w:t>
      </w:r>
      <w:r w:rsidR="00E12399">
        <w:rPr>
          <w:sz w:val="22"/>
          <w:szCs w:val="22"/>
        </w:rPr>
        <w:t xml:space="preserve"> </w:t>
      </w:r>
      <w:r>
        <w:rPr>
          <w:sz w:val="22"/>
          <w:szCs w:val="22"/>
        </w:rPr>
        <w:t>and family status</w:t>
      </w:r>
      <w:r w:rsidR="00F01E40">
        <w:rPr>
          <w:sz w:val="22"/>
          <w:szCs w:val="22"/>
        </w:rPr>
        <w:t>.</w:t>
      </w:r>
      <w:r w:rsidR="004B008B">
        <w:rPr>
          <w:sz w:val="22"/>
          <w:szCs w:val="22"/>
        </w:rPr>
        <w:t xml:space="preserve">  See P</w:t>
      </w:r>
      <w:r>
        <w:rPr>
          <w:sz w:val="22"/>
          <w:szCs w:val="22"/>
        </w:rPr>
        <w:t>art B for the explicit design matrix and sample size allocation to cells.  The rational</w:t>
      </w:r>
      <w:r w:rsidR="004B008B">
        <w:rPr>
          <w:sz w:val="22"/>
          <w:szCs w:val="22"/>
        </w:rPr>
        <w:t>e</w:t>
      </w:r>
      <w:r>
        <w:rPr>
          <w:sz w:val="22"/>
          <w:szCs w:val="22"/>
        </w:rPr>
        <w:t xml:space="preserve"> is to capture the variation in survey administrative experience across factors that influence length of interview, cultural sensitivities, and self-sufficiency</w:t>
      </w:r>
      <w:r w:rsidR="00E12399">
        <w:rPr>
          <w:sz w:val="22"/>
          <w:szCs w:val="22"/>
        </w:rPr>
        <w:t xml:space="preserve"> and integration</w:t>
      </w:r>
      <w:r>
        <w:rPr>
          <w:sz w:val="22"/>
          <w:szCs w:val="22"/>
        </w:rPr>
        <w:t xml:space="preserve"> trajectories.  </w:t>
      </w:r>
    </w:p>
    <w:p w:rsidR="00917836" w:rsidRDefault="00917836" w:rsidP="00436F5E">
      <w:pPr>
        <w:spacing w:after="60"/>
        <w:rPr>
          <w:sz w:val="22"/>
          <w:szCs w:val="22"/>
        </w:rPr>
      </w:pPr>
    </w:p>
    <w:p w:rsidR="00917836" w:rsidRDefault="004B008B" w:rsidP="00436F5E">
      <w:pPr>
        <w:spacing w:after="60"/>
        <w:rPr>
          <w:sz w:val="22"/>
          <w:szCs w:val="22"/>
        </w:rPr>
      </w:pPr>
      <w:r>
        <w:rPr>
          <w:sz w:val="22"/>
          <w:szCs w:val="22"/>
        </w:rPr>
        <w:t xml:space="preserve">Under this design, equal samples of 56 will be allocated to: males vs females, to families vs single entrants, and to entrants </w:t>
      </w:r>
      <w:r w:rsidR="00E12399">
        <w:rPr>
          <w:sz w:val="22"/>
          <w:szCs w:val="22"/>
        </w:rPr>
        <w:t xml:space="preserve">who arrived </w:t>
      </w:r>
      <w:r>
        <w:rPr>
          <w:sz w:val="22"/>
          <w:szCs w:val="22"/>
        </w:rPr>
        <w:t>2-3 years ago vs 4-6 years ago.  With re</w:t>
      </w:r>
      <w:r w:rsidR="00BE7289">
        <w:rPr>
          <w:sz w:val="22"/>
          <w:szCs w:val="22"/>
        </w:rPr>
        <w:t xml:space="preserve">gard to languages, </w:t>
      </w:r>
      <w:r w:rsidR="00606180">
        <w:rPr>
          <w:sz w:val="22"/>
          <w:szCs w:val="22"/>
        </w:rPr>
        <w:t>three</w:t>
      </w:r>
      <w:r w:rsidR="00BE7289">
        <w:rPr>
          <w:sz w:val="22"/>
          <w:szCs w:val="22"/>
        </w:rPr>
        <w:t xml:space="preserve"> of the five</w:t>
      </w:r>
      <w:r>
        <w:rPr>
          <w:sz w:val="22"/>
          <w:szCs w:val="22"/>
        </w:rPr>
        <w:t xml:space="preserve"> languages will be allocated 16 interviews (</w:t>
      </w:r>
      <w:r w:rsidR="00E12399">
        <w:rPr>
          <w:sz w:val="22"/>
          <w:szCs w:val="22"/>
        </w:rPr>
        <w:t xml:space="preserve">Somali, Kiswahili, and </w:t>
      </w:r>
      <w:r>
        <w:rPr>
          <w:sz w:val="22"/>
          <w:szCs w:val="22"/>
        </w:rPr>
        <w:t xml:space="preserve">2 dialects of Arabic), while 24 interviews each will be allocated to Nepali and Sgaw Karen. No English interviews will be pretested since this language is </w:t>
      </w:r>
      <w:r w:rsidR="008432BA">
        <w:rPr>
          <w:sz w:val="22"/>
          <w:szCs w:val="22"/>
        </w:rPr>
        <w:t xml:space="preserve">seldom </w:t>
      </w:r>
      <w:r>
        <w:rPr>
          <w:sz w:val="22"/>
          <w:szCs w:val="22"/>
        </w:rPr>
        <w:t xml:space="preserve">used in the ASR. </w:t>
      </w:r>
    </w:p>
    <w:p w:rsidR="004B008B" w:rsidRDefault="004B008B" w:rsidP="00436F5E">
      <w:pPr>
        <w:spacing w:after="60"/>
        <w:rPr>
          <w:sz w:val="22"/>
          <w:szCs w:val="22"/>
        </w:rPr>
      </w:pPr>
    </w:p>
    <w:p w:rsidR="004B008B" w:rsidRDefault="004B008B" w:rsidP="00436F5E">
      <w:pPr>
        <w:spacing w:after="60"/>
        <w:rPr>
          <w:sz w:val="22"/>
          <w:szCs w:val="22"/>
        </w:rPr>
      </w:pPr>
      <w:r>
        <w:rPr>
          <w:sz w:val="22"/>
          <w:szCs w:val="22"/>
        </w:rPr>
        <w:t xml:space="preserve">The refugee </w:t>
      </w:r>
      <w:r w:rsidR="0079771B">
        <w:rPr>
          <w:sz w:val="22"/>
          <w:szCs w:val="22"/>
        </w:rPr>
        <w:t xml:space="preserve">pretest </w:t>
      </w:r>
      <w:r>
        <w:rPr>
          <w:sz w:val="22"/>
          <w:szCs w:val="22"/>
        </w:rPr>
        <w:t xml:space="preserve">sample will be drawn from </w:t>
      </w:r>
      <w:r w:rsidR="0079771B">
        <w:rPr>
          <w:sz w:val="22"/>
          <w:szCs w:val="22"/>
        </w:rPr>
        <w:t>a list of the</w:t>
      </w:r>
      <w:r>
        <w:rPr>
          <w:sz w:val="22"/>
          <w:szCs w:val="22"/>
        </w:rPr>
        <w:t xml:space="preserve"> most recent ASR</w:t>
      </w:r>
      <w:r w:rsidR="0079771B" w:rsidRPr="0079771B">
        <w:rPr>
          <w:sz w:val="22"/>
          <w:szCs w:val="22"/>
        </w:rPr>
        <w:t xml:space="preserve"> </w:t>
      </w:r>
      <w:r w:rsidR="0079771B">
        <w:rPr>
          <w:sz w:val="22"/>
          <w:szCs w:val="22"/>
        </w:rPr>
        <w:t>participants</w:t>
      </w:r>
      <w:r>
        <w:rPr>
          <w:sz w:val="22"/>
          <w:szCs w:val="22"/>
        </w:rPr>
        <w:t>, conducted in 2017.</w:t>
      </w:r>
      <w:r w:rsidR="002568C0">
        <w:rPr>
          <w:sz w:val="22"/>
          <w:szCs w:val="22"/>
        </w:rPr>
        <w:t xml:space="preserve"> </w:t>
      </w:r>
      <w:r w:rsidR="0079771B">
        <w:rPr>
          <w:sz w:val="22"/>
          <w:szCs w:val="22"/>
        </w:rPr>
        <w:t xml:space="preserve">A random sample is neither necessary nor desired given the research objectives of this pretest.  The costs of tracing and securing participation from a fresh sample would be prohibitive and </w:t>
      </w:r>
      <w:r w:rsidR="00BE7289">
        <w:rPr>
          <w:sz w:val="22"/>
          <w:szCs w:val="22"/>
        </w:rPr>
        <w:t xml:space="preserve">the </w:t>
      </w:r>
      <w:r w:rsidR="00426FE5">
        <w:rPr>
          <w:sz w:val="22"/>
          <w:szCs w:val="22"/>
        </w:rPr>
        <w:t>information</w:t>
      </w:r>
      <w:r w:rsidR="00BE7289">
        <w:rPr>
          <w:sz w:val="22"/>
          <w:szCs w:val="22"/>
        </w:rPr>
        <w:t xml:space="preserve"> collected from this more expensive approach would </w:t>
      </w:r>
      <w:r w:rsidR="0079771B">
        <w:rPr>
          <w:sz w:val="22"/>
          <w:szCs w:val="22"/>
        </w:rPr>
        <w:t>no</w:t>
      </w:r>
      <w:r w:rsidR="00E12399">
        <w:rPr>
          <w:sz w:val="22"/>
          <w:szCs w:val="22"/>
        </w:rPr>
        <w:t>t</w:t>
      </w:r>
      <w:r w:rsidR="0079771B">
        <w:rPr>
          <w:sz w:val="22"/>
          <w:szCs w:val="22"/>
        </w:rPr>
        <w:t xml:space="preserve"> </w:t>
      </w:r>
      <w:r w:rsidR="00BE7289">
        <w:rPr>
          <w:sz w:val="22"/>
          <w:szCs w:val="22"/>
        </w:rPr>
        <w:t xml:space="preserve">be expected to provide better quality data </w:t>
      </w:r>
      <w:r w:rsidR="0079771B">
        <w:rPr>
          <w:sz w:val="22"/>
          <w:szCs w:val="22"/>
        </w:rPr>
        <w:t xml:space="preserve">such as timing </w:t>
      </w:r>
      <w:r w:rsidR="00E12399">
        <w:rPr>
          <w:sz w:val="22"/>
          <w:szCs w:val="22"/>
        </w:rPr>
        <w:t xml:space="preserve">of </w:t>
      </w:r>
      <w:r w:rsidR="0079771B">
        <w:rPr>
          <w:sz w:val="22"/>
          <w:szCs w:val="22"/>
        </w:rPr>
        <w:t>survey administration or comprehension of the questions</w:t>
      </w:r>
      <w:r w:rsidR="00BE7289">
        <w:rPr>
          <w:sz w:val="22"/>
          <w:szCs w:val="22"/>
        </w:rPr>
        <w:t xml:space="preserve"> relative to the proposed sampling approach.</w:t>
      </w:r>
    </w:p>
    <w:p w:rsidR="002568C0" w:rsidRDefault="002568C0" w:rsidP="00436F5E">
      <w:pPr>
        <w:spacing w:after="60"/>
        <w:rPr>
          <w:sz w:val="22"/>
          <w:szCs w:val="22"/>
        </w:rPr>
      </w:pPr>
    </w:p>
    <w:p w:rsidR="00206A18" w:rsidRDefault="00BE7289" w:rsidP="00436F5E">
      <w:pPr>
        <w:spacing w:after="60"/>
        <w:rPr>
          <w:sz w:val="22"/>
          <w:szCs w:val="22"/>
        </w:rPr>
      </w:pPr>
      <w:r w:rsidRPr="00BE7289">
        <w:rPr>
          <w:sz w:val="22"/>
          <w:szCs w:val="22"/>
        </w:rPr>
        <w:t>Data will be collected through three methods: a questionnai</w:t>
      </w:r>
      <w:r>
        <w:rPr>
          <w:sz w:val="22"/>
          <w:szCs w:val="22"/>
        </w:rPr>
        <w:t>re, cognitive interviews and in-</w:t>
      </w:r>
      <w:r w:rsidRPr="00BE7289">
        <w:rPr>
          <w:sz w:val="22"/>
          <w:szCs w:val="22"/>
        </w:rPr>
        <w:t>depth interviews. (See A</w:t>
      </w:r>
      <w:r w:rsidR="00BC783D">
        <w:rPr>
          <w:sz w:val="22"/>
          <w:szCs w:val="22"/>
        </w:rPr>
        <w:t>ttachments</w:t>
      </w:r>
      <w:r w:rsidRPr="00BE7289">
        <w:rPr>
          <w:sz w:val="22"/>
          <w:szCs w:val="22"/>
        </w:rPr>
        <w:t xml:space="preserve"> A, B, and C.)</w:t>
      </w:r>
      <w:r>
        <w:rPr>
          <w:sz w:val="22"/>
          <w:szCs w:val="22"/>
        </w:rPr>
        <w:t xml:space="preserve">  Each are discussed below, in turn.</w:t>
      </w:r>
    </w:p>
    <w:p w:rsidR="00BE7289" w:rsidRDefault="00BE7289" w:rsidP="00BE7289">
      <w:pPr>
        <w:ind w:left="720"/>
        <w:rPr>
          <w:sz w:val="22"/>
          <w:szCs w:val="22"/>
        </w:rPr>
      </w:pPr>
      <w:r w:rsidRPr="00BE7289">
        <w:rPr>
          <w:i/>
          <w:sz w:val="22"/>
          <w:szCs w:val="22"/>
        </w:rPr>
        <w:t>Questionnaire.</w:t>
      </w:r>
      <w:r>
        <w:rPr>
          <w:sz w:val="22"/>
          <w:szCs w:val="22"/>
        </w:rPr>
        <w:t xml:space="preserve"> </w:t>
      </w:r>
      <w:r w:rsidR="00206A18">
        <w:rPr>
          <w:sz w:val="22"/>
          <w:szCs w:val="22"/>
        </w:rPr>
        <w:t xml:space="preserve">The data we gather from the survey administration will be critical to the ASR redesign process.  The </w:t>
      </w:r>
      <w:r w:rsidR="00606180">
        <w:rPr>
          <w:sz w:val="22"/>
          <w:szCs w:val="22"/>
        </w:rPr>
        <w:t>pretest</w:t>
      </w:r>
      <w:r w:rsidR="00206A18">
        <w:rPr>
          <w:sz w:val="22"/>
          <w:szCs w:val="22"/>
        </w:rPr>
        <w:t xml:space="preserve"> will allow a concise calculation of respondent burden and identify pro</w:t>
      </w:r>
      <w:r w:rsidR="00563A8C">
        <w:rPr>
          <w:sz w:val="22"/>
          <w:szCs w:val="22"/>
        </w:rPr>
        <w:t>blematic questions (e.g., question wording, cultural relevance</w:t>
      </w:r>
      <w:r w:rsidR="00E26030">
        <w:rPr>
          <w:sz w:val="22"/>
          <w:szCs w:val="22"/>
        </w:rPr>
        <w:t xml:space="preserve"> or sensi</w:t>
      </w:r>
      <w:r w:rsidR="00426FE5">
        <w:rPr>
          <w:sz w:val="22"/>
          <w:szCs w:val="22"/>
        </w:rPr>
        <w:t>ti</w:t>
      </w:r>
      <w:r w:rsidR="00E26030">
        <w:rPr>
          <w:sz w:val="22"/>
          <w:szCs w:val="22"/>
        </w:rPr>
        <w:t>vity</w:t>
      </w:r>
      <w:r w:rsidR="00563A8C">
        <w:rPr>
          <w:sz w:val="22"/>
          <w:szCs w:val="22"/>
        </w:rPr>
        <w:t>,</w:t>
      </w:r>
      <w:r w:rsidR="00E26030">
        <w:rPr>
          <w:sz w:val="22"/>
          <w:szCs w:val="22"/>
        </w:rPr>
        <w:t xml:space="preserve"> skip patterns, reporting on other household members</w:t>
      </w:r>
      <w:r w:rsidR="00563A8C">
        <w:rPr>
          <w:sz w:val="22"/>
          <w:szCs w:val="22"/>
        </w:rPr>
        <w:t xml:space="preserve">).  </w:t>
      </w:r>
    </w:p>
    <w:p w:rsidR="00BE7289" w:rsidRDefault="00BE7289" w:rsidP="00BE7289">
      <w:pPr>
        <w:ind w:left="720"/>
        <w:rPr>
          <w:sz w:val="22"/>
          <w:szCs w:val="22"/>
        </w:rPr>
      </w:pPr>
    </w:p>
    <w:p w:rsidR="002F750D" w:rsidRDefault="00BE7289" w:rsidP="00BE7289">
      <w:pPr>
        <w:ind w:left="720"/>
        <w:rPr>
          <w:sz w:val="22"/>
          <w:szCs w:val="22"/>
        </w:rPr>
      </w:pPr>
      <w:r w:rsidRPr="00BE7289">
        <w:rPr>
          <w:i/>
          <w:sz w:val="22"/>
          <w:szCs w:val="22"/>
        </w:rPr>
        <w:t>Cognitive interview.</w:t>
      </w:r>
      <w:r>
        <w:rPr>
          <w:sz w:val="22"/>
          <w:szCs w:val="22"/>
        </w:rPr>
        <w:t xml:space="preserve"> </w:t>
      </w:r>
      <w:r w:rsidR="00563A8C">
        <w:rPr>
          <w:sz w:val="22"/>
          <w:szCs w:val="22"/>
        </w:rPr>
        <w:t>The cognitive interviews will p</w:t>
      </w:r>
      <w:r w:rsidR="00606180">
        <w:rPr>
          <w:sz w:val="22"/>
          <w:szCs w:val="22"/>
        </w:rPr>
        <w:t>rovide</w:t>
      </w:r>
      <w:r w:rsidR="00563A8C">
        <w:rPr>
          <w:sz w:val="22"/>
          <w:szCs w:val="22"/>
        </w:rPr>
        <w:t xml:space="preserve"> </w:t>
      </w:r>
      <w:r w:rsidR="00E12399">
        <w:rPr>
          <w:sz w:val="22"/>
          <w:szCs w:val="22"/>
        </w:rPr>
        <w:t>an understanding of</w:t>
      </w:r>
      <w:r>
        <w:rPr>
          <w:sz w:val="22"/>
          <w:szCs w:val="22"/>
        </w:rPr>
        <w:t xml:space="preserve"> </w:t>
      </w:r>
      <w:r w:rsidR="00563A8C">
        <w:rPr>
          <w:sz w:val="22"/>
          <w:szCs w:val="22"/>
        </w:rPr>
        <w:t xml:space="preserve">the specific questions or concepts that </w:t>
      </w:r>
      <w:r w:rsidR="00E12399">
        <w:rPr>
          <w:sz w:val="22"/>
          <w:szCs w:val="22"/>
        </w:rPr>
        <w:t>respondents</w:t>
      </w:r>
      <w:r w:rsidR="0053752C">
        <w:rPr>
          <w:sz w:val="22"/>
          <w:szCs w:val="22"/>
        </w:rPr>
        <w:t xml:space="preserve"> find difficult to </w:t>
      </w:r>
      <w:r w:rsidR="002F750D">
        <w:rPr>
          <w:sz w:val="22"/>
          <w:szCs w:val="22"/>
        </w:rPr>
        <w:t xml:space="preserve">comprehend or </w:t>
      </w:r>
      <w:r w:rsidR="0053752C">
        <w:rPr>
          <w:sz w:val="22"/>
          <w:szCs w:val="22"/>
        </w:rPr>
        <w:t>handle.</w:t>
      </w:r>
      <w:r w:rsidR="00563A8C">
        <w:rPr>
          <w:sz w:val="22"/>
          <w:szCs w:val="22"/>
        </w:rPr>
        <w:t xml:space="preserve">  </w:t>
      </w:r>
      <w:r>
        <w:rPr>
          <w:sz w:val="22"/>
          <w:szCs w:val="22"/>
        </w:rPr>
        <w:t>The cognitive interviews will provide feedback on ways to better capture information being request</w:t>
      </w:r>
      <w:r w:rsidR="00606180">
        <w:rPr>
          <w:sz w:val="22"/>
          <w:szCs w:val="22"/>
        </w:rPr>
        <w:t>ed</w:t>
      </w:r>
      <w:r>
        <w:rPr>
          <w:sz w:val="22"/>
          <w:szCs w:val="22"/>
        </w:rPr>
        <w:t xml:space="preserve"> by understanding how this population thinks about the measures being requested in the survey.</w:t>
      </w:r>
    </w:p>
    <w:p w:rsidR="00BE7289" w:rsidRDefault="00BE7289" w:rsidP="00BE7289">
      <w:pPr>
        <w:ind w:left="720"/>
        <w:rPr>
          <w:sz w:val="22"/>
          <w:szCs w:val="22"/>
        </w:rPr>
      </w:pPr>
    </w:p>
    <w:p w:rsidR="00563A8C" w:rsidRDefault="00BE7289" w:rsidP="00BE7289">
      <w:pPr>
        <w:ind w:left="720"/>
        <w:rPr>
          <w:sz w:val="22"/>
          <w:szCs w:val="22"/>
        </w:rPr>
      </w:pPr>
      <w:r w:rsidRPr="00BE7289">
        <w:rPr>
          <w:i/>
          <w:sz w:val="22"/>
          <w:szCs w:val="22"/>
        </w:rPr>
        <w:t>In-depth interview.</w:t>
      </w:r>
      <w:r>
        <w:rPr>
          <w:sz w:val="22"/>
          <w:szCs w:val="22"/>
        </w:rPr>
        <w:t xml:space="preserve">  </w:t>
      </w:r>
      <w:r w:rsidR="0053752C">
        <w:rPr>
          <w:sz w:val="22"/>
          <w:szCs w:val="22"/>
        </w:rPr>
        <w:t>T</w:t>
      </w:r>
      <w:r w:rsidR="00563A8C">
        <w:rPr>
          <w:sz w:val="22"/>
          <w:szCs w:val="22"/>
        </w:rPr>
        <w:t>he i</w:t>
      </w:r>
      <w:r w:rsidR="00206A18" w:rsidRPr="00206A18">
        <w:rPr>
          <w:sz w:val="22"/>
          <w:szCs w:val="22"/>
        </w:rPr>
        <w:t>n-depth interviews will allow refugees to tell their own</w:t>
      </w:r>
      <w:r w:rsidR="00E12399">
        <w:rPr>
          <w:sz w:val="22"/>
          <w:szCs w:val="22"/>
        </w:rPr>
        <w:t xml:space="preserve"> self-sufficiency and</w:t>
      </w:r>
      <w:r w:rsidR="00206A18" w:rsidRPr="00206A18">
        <w:rPr>
          <w:sz w:val="22"/>
          <w:szCs w:val="22"/>
        </w:rPr>
        <w:t xml:space="preserve"> integration stories and thus </w:t>
      </w:r>
      <w:r w:rsidR="00606180">
        <w:rPr>
          <w:sz w:val="22"/>
          <w:szCs w:val="22"/>
        </w:rPr>
        <w:t>inform</w:t>
      </w:r>
      <w:r w:rsidR="00206A18" w:rsidRPr="00206A18">
        <w:rPr>
          <w:sz w:val="22"/>
          <w:szCs w:val="22"/>
        </w:rPr>
        <w:t xml:space="preserve"> us </w:t>
      </w:r>
      <w:r w:rsidR="00606180">
        <w:rPr>
          <w:sz w:val="22"/>
          <w:szCs w:val="22"/>
        </w:rPr>
        <w:t>as to</w:t>
      </w:r>
      <w:r w:rsidR="00206A18" w:rsidRPr="00206A18">
        <w:rPr>
          <w:sz w:val="22"/>
          <w:szCs w:val="22"/>
        </w:rPr>
        <w:t xml:space="preserve"> what may be missing in the revised questionnaire and suggest recommendations for </w:t>
      </w:r>
      <w:r w:rsidR="00606180">
        <w:rPr>
          <w:sz w:val="22"/>
          <w:szCs w:val="22"/>
        </w:rPr>
        <w:t>a</w:t>
      </w:r>
      <w:r w:rsidR="00206A18" w:rsidRPr="00206A18">
        <w:rPr>
          <w:sz w:val="22"/>
          <w:szCs w:val="22"/>
        </w:rPr>
        <w:t xml:space="preserve"> future ASR</w:t>
      </w:r>
      <w:r w:rsidR="00563A8C">
        <w:rPr>
          <w:sz w:val="22"/>
          <w:szCs w:val="22"/>
        </w:rPr>
        <w:t xml:space="preserve">. They will also </w:t>
      </w:r>
      <w:r w:rsidR="00606180">
        <w:rPr>
          <w:sz w:val="22"/>
          <w:szCs w:val="22"/>
        </w:rPr>
        <w:t xml:space="preserve">help </w:t>
      </w:r>
      <w:r w:rsidR="00563A8C">
        <w:rPr>
          <w:sz w:val="22"/>
          <w:szCs w:val="22"/>
        </w:rPr>
        <w:t xml:space="preserve">validate </w:t>
      </w:r>
      <w:r w:rsidR="00206A18" w:rsidRPr="00206A18">
        <w:rPr>
          <w:sz w:val="22"/>
          <w:szCs w:val="22"/>
        </w:rPr>
        <w:t xml:space="preserve">whether </w:t>
      </w:r>
      <w:r w:rsidR="00563A8C">
        <w:rPr>
          <w:sz w:val="22"/>
          <w:szCs w:val="22"/>
        </w:rPr>
        <w:t xml:space="preserve">or not </w:t>
      </w:r>
      <w:r w:rsidR="00206A18" w:rsidRPr="00206A18">
        <w:rPr>
          <w:sz w:val="22"/>
          <w:szCs w:val="22"/>
        </w:rPr>
        <w:t xml:space="preserve">the information we are collecting is </w:t>
      </w:r>
      <w:r w:rsidR="00563A8C">
        <w:rPr>
          <w:sz w:val="22"/>
          <w:szCs w:val="22"/>
        </w:rPr>
        <w:t xml:space="preserve">accurate and meaningful to the respondent. </w:t>
      </w:r>
    </w:p>
    <w:p w:rsidR="00BE7289" w:rsidRDefault="00BE7289" w:rsidP="00BE7289">
      <w:pPr>
        <w:ind w:left="720"/>
        <w:rPr>
          <w:sz w:val="22"/>
          <w:szCs w:val="22"/>
        </w:rPr>
      </w:pPr>
    </w:p>
    <w:p w:rsidR="00563A8C" w:rsidRDefault="00563A8C" w:rsidP="00BE7289">
      <w:pPr>
        <w:ind w:left="720"/>
        <w:rPr>
          <w:sz w:val="22"/>
          <w:szCs w:val="22"/>
        </w:rPr>
      </w:pPr>
      <w:r>
        <w:rPr>
          <w:sz w:val="22"/>
          <w:szCs w:val="22"/>
        </w:rPr>
        <w:t xml:space="preserve">The </w:t>
      </w:r>
      <w:r w:rsidRPr="00563A8C">
        <w:rPr>
          <w:sz w:val="22"/>
          <w:szCs w:val="22"/>
        </w:rPr>
        <w:t xml:space="preserve">in-depth interviews </w:t>
      </w:r>
      <w:r>
        <w:rPr>
          <w:sz w:val="22"/>
          <w:szCs w:val="22"/>
        </w:rPr>
        <w:t>will explore refugee</w:t>
      </w:r>
      <w:r w:rsidRPr="00563A8C">
        <w:rPr>
          <w:sz w:val="22"/>
          <w:szCs w:val="22"/>
        </w:rPr>
        <w:t xml:space="preserve"> reactions to </w:t>
      </w:r>
      <w:r w:rsidR="00D4008C">
        <w:rPr>
          <w:sz w:val="22"/>
          <w:szCs w:val="22"/>
        </w:rPr>
        <w:t>various</w:t>
      </w:r>
      <w:r w:rsidRPr="00563A8C">
        <w:rPr>
          <w:sz w:val="22"/>
          <w:szCs w:val="22"/>
        </w:rPr>
        <w:t xml:space="preserve"> outreach </w:t>
      </w:r>
      <w:r w:rsidR="00D4008C">
        <w:rPr>
          <w:sz w:val="22"/>
          <w:szCs w:val="22"/>
        </w:rPr>
        <w:t>strategies</w:t>
      </w:r>
      <w:r w:rsidR="00606180">
        <w:rPr>
          <w:sz w:val="22"/>
          <w:szCs w:val="22"/>
        </w:rPr>
        <w:t xml:space="preserve"> intended to improve participation</w:t>
      </w:r>
      <w:r w:rsidR="00D4008C">
        <w:rPr>
          <w:sz w:val="22"/>
          <w:szCs w:val="22"/>
        </w:rPr>
        <w:t xml:space="preserve"> </w:t>
      </w:r>
      <w:r w:rsidRPr="00563A8C">
        <w:rPr>
          <w:sz w:val="22"/>
          <w:szCs w:val="22"/>
        </w:rPr>
        <w:t>(e.g.,</w:t>
      </w:r>
      <w:r>
        <w:rPr>
          <w:sz w:val="22"/>
          <w:szCs w:val="22"/>
        </w:rPr>
        <w:t xml:space="preserve"> advance</w:t>
      </w:r>
      <w:r w:rsidRPr="00563A8C">
        <w:rPr>
          <w:sz w:val="22"/>
          <w:szCs w:val="22"/>
        </w:rPr>
        <w:t xml:space="preserve"> letter, postcard, phone calls, incentives)</w:t>
      </w:r>
      <w:r>
        <w:rPr>
          <w:sz w:val="22"/>
          <w:szCs w:val="22"/>
        </w:rPr>
        <w:t>,</w:t>
      </w:r>
      <w:r w:rsidRPr="00563A8C">
        <w:rPr>
          <w:sz w:val="22"/>
          <w:szCs w:val="22"/>
        </w:rPr>
        <w:t xml:space="preserve"> including</w:t>
      </w:r>
      <w:r>
        <w:rPr>
          <w:sz w:val="22"/>
          <w:szCs w:val="22"/>
        </w:rPr>
        <w:t xml:space="preserve"> </w:t>
      </w:r>
      <w:r w:rsidR="00E26030">
        <w:rPr>
          <w:sz w:val="22"/>
          <w:szCs w:val="22"/>
        </w:rPr>
        <w:t>potential</w:t>
      </w:r>
      <w:r w:rsidRPr="00563A8C">
        <w:rPr>
          <w:sz w:val="22"/>
          <w:szCs w:val="22"/>
        </w:rPr>
        <w:t xml:space="preserve"> different modes of survey administration</w:t>
      </w:r>
      <w:r w:rsidR="00E26030">
        <w:rPr>
          <w:sz w:val="22"/>
          <w:szCs w:val="22"/>
        </w:rPr>
        <w:t xml:space="preserve"> (e.g., internet/smart phone, telephone)</w:t>
      </w:r>
      <w:r>
        <w:rPr>
          <w:sz w:val="22"/>
          <w:szCs w:val="22"/>
        </w:rPr>
        <w:t>.  Finally, the in-depth interviews will help</w:t>
      </w:r>
      <w:r w:rsidRPr="00563A8C">
        <w:rPr>
          <w:sz w:val="22"/>
          <w:szCs w:val="22"/>
        </w:rPr>
        <w:t xml:space="preserve"> explore </w:t>
      </w:r>
      <w:r>
        <w:rPr>
          <w:sz w:val="22"/>
          <w:szCs w:val="22"/>
        </w:rPr>
        <w:t>the extent to which</w:t>
      </w:r>
      <w:r w:rsidRPr="00563A8C">
        <w:rPr>
          <w:sz w:val="22"/>
          <w:szCs w:val="22"/>
        </w:rPr>
        <w:t xml:space="preserve"> government </w:t>
      </w:r>
      <w:r>
        <w:rPr>
          <w:sz w:val="22"/>
          <w:szCs w:val="22"/>
        </w:rPr>
        <w:t xml:space="preserve">survey </w:t>
      </w:r>
      <w:r w:rsidRPr="00563A8C">
        <w:rPr>
          <w:sz w:val="22"/>
          <w:szCs w:val="22"/>
        </w:rPr>
        <w:t xml:space="preserve">sponsorship </w:t>
      </w:r>
      <w:r>
        <w:rPr>
          <w:sz w:val="22"/>
          <w:szCs w:val="22"/>
        </w:rPr>
        <w:t>might have</w:t>
      </w:r>
      <w:r w:rsidRPr="00563A8C">
        <w:rPr>
          <w:sz w:val="22"/>
          <w:szCs w:val="22"/>
        </w:rPr>
        <w:t xml:space="preserve"> </w:t>
      </w:r>
      <w:r w:rsidR="00E12399">
        <w:rPr>
          <w:sz w:val="22"/>
          <w:szCs w:val="22"/>
        </w:rPr>
        <w:t xml:space="preserve">an effect </w:t>
      </w:r>
      <w:r w:rsidRPr="00563A8C">
        <w:rPr>
          <w:sz w:val="22"/>
          <w:szCs w:val="22"/>
        </w:rPr>
        <w:t xml:space="preserve">on </w:t>
      </w:r>
      <w:r>
        <w:rPr>
          <w:sz w:val="22"/>
          <w:szCs w:val="22"/>
        </w:rPr>
        <w:t>refugee</w:t>
      </w:r>
      <w:r w:rsidRPr="00563A8C">
        <w:rPr>
          <w:sz w:val="22"/>
          <w:szCs w:val="22"/>
        </w:rPr>
        <w:t xml:space="preserve"> likelihood to participate and shed light on their perspectives of </w:t>
      </w:r>
      <w:r w:rsidR="00E26030">
        <w:rPr>
          <w:sz w:val="22"/>
          <w:szCs w:val="22"/>
        </w:rPr>
        <w:t>such</w:t>
      </w:r>
      <w:r>
        <w:rPr>
          <w:sz w:val="22"/>
          <w:szCs w:val="22"/>
        </w:rPr>
        <w:t xml:space="preserve"> </w:t>
      </w:r>
      <w:r w:rsidRPr="00563A8C">
        <w:rPr>
          <w:sz w:val="22"/>
          <w:szCs w:val="22"/>
        </w:rPr>
        <w:t>government</w:t>
      </w:r>
      <w:r w:rsidR="00E26030">
        <w:rPr>
          <w:sz w:val="22"/>
          <w:szCs w:val="22"/>
        </w:rPr>
        <w:t>-sponsored surveys</w:t>
      </w:r>
      <w:r>
        <w:rPr>
          <w:sz w:val="22"/>
          <w:szCs w:val="22"/>
        </w:rPr>
        <w:t xml:space="preserve">. Insights will </w:t>
      </w:r>
      <w:r w:rsidR="00E26030">
        <w:rPr>
          <w:sz w:val="22"/>
          <w:szCs w:val="22"/>
        </w:rPr>
        <w:t xml:space="preserve">also </w:t>
      </w:r>
      <w:r>
        <w:rPr>
          <w:sz w:val="22"/>
          <w:szCs w:val="22"/>
        </w:rPr>
        <w:t xml:space="preserve">be gained on </w:t>
      </w:r>
      <w:r w:rsidRPr="00563A8C">
        <w:rPr>
          <w:sz w:val="22"/>
          <w:szCs w:val="22"/>
        </w:rPr>
        <w:t>who refugees regularly communicate with and trust</w:t>
      </w:r>
      <w:r>
        <w:rPr>
          <w:sz w:val="22"/>
          <w:szCs w:val="22"/>
        </w:rPr>
        <w:t>.  This will help</w:t>
      </w:r>
      <w:r w:rsidRPr="00563A8C">
        <w:rPr>
          <w:sz w:val="22"/>
          <w:szCs w:val="22"/>
        </w:rPr>
        <w:t xml:space="preserve"> to inform future ASR outreach strategy</w:t>
      </w:r>
      <w:r>
        <w:rPr>
          <w:sz w:val="22"/>
          <w:szCs w:val="22"/>
        </w:rPr>
        <w:t>.</w:t>
      </w:r>
    </w:p>
    <w:p w:rsidR="0079771B" w:rsidRDefault="0079771B" w:rsidP="00436F5E">
      <w:pPr>
        <w:spacing w:after="60"/>
        <w:rPr>
          <w:sz w:val="22"/>
          <w:szCs w:val="22"/>
        </w:rPr>
      </w:pPr>
    </w:p>
    <w:p w:rsidR="00D743BD" w:rsidRDefault="0079771B" w:rsidP="00D4008C">
      <w:pPr>
        <w:rPr>
          <w:sz w:val="22"/>
          <w:szCs w:val="22"/>
        </w:rPr>
      </w:pPr>
      <w:r w:rsidRPr="00D743BD">
        <w:rPr>
          <w:i/>
          <w:sz w:val="22"/>
          <w:szCs w:val="22"/>
        </w:rPr>
        <w:t>Site visit design component.</w:t>
      </w:r>
      <w:r>
        <w:rPr>
          <w:sz w:val="22"/>
          <w:szCs w:val="22"/>
        </w:rPr>
        <w:t xml:space="preserve">  </w:t>
      </w:r>
      <w:r w:rsidR="00D743BD">
        <w:rPr>
          <w:sz w:val="22"/>
          <w:szCs w:val="22"/>
        </w:rPr>
        <w:t>Two s</w:t>
      </w:r>
      <w:r w:rsidR="00D743BD" w:rsidRPr="00D743BD">
        <w:rPr>
          <w:sz w:val="22"/>
          <w:szCs w:val="22"/>
        </w:rPr>
        <w:t xml:space="preserve">ite visits will </w:t>
      </w:r>
      <w:r w:rsidR="00D743BD">
        <w:rPr>
          <w:sz w:val="22"/>
          <w:szCs w:val="22"/>
        </w:rPr>
        <w:t xml:space="preserve">be used to </w:t>
      </w:r>
      <w:r w:rsidR="00D743BD" w:rsidRPr="00D743BD">
        <w:rPr>
          <w:sz w:val="22"/>
          <w:szCs w:val="22"/>
        </w:rPr>
        <w:t xml:space="preserve">collect perspectives of service providers and stakeholders in communities where refugees </w:t>
      </w:r>
      <w:r w:rsidR="00F47E8F">
        <w:rPr>
          <w:sz w:val="22"/>
          <w:szCs w:val="22"/>
        </w:rPr>
        <w:t>live</w:t>
      </w:r>
      <w:r w:rsidR="00D743BD" w:rsidRPr="00D743BD">
        <w:rPr>
          <w:sz w:val="22"/>
          <w:szCs w:val="22"/>
        </w:rPr>
        <w:t xml:space="preserve">. Interviews and focus groups </w:t>
      </w:r>
      <w:r w:rsidR="00D743BD">
        <w:rPr>
          <w:sz w:val="22"/>
          <w:szCs w:val="22"/>
        </w:rPr>
        <w:t>will be conducted to</w:t>
      </w:r>
      <w:r w:rsidR="00D743BD" w:rsidRPr="00D743BD">
        <w:rPr>
          <w:sz w:val="22"/>
          <w:szCs w:val="22"/>
        </w:rPr>
        <w:t xml:space="preserve"> collect perspectives on refugee self-sufficiency and integration </w:t>
      </w:r>
      <w:r w:rsidR="00D743BD">
        <w:rPr>
          <w:sz w:val="22"/>
          <w:szCs w:val="22"/>
        </w:rPr>
        <w:t>and to</w:t>
      </w:r>
      <w:r w:rsidR="00D743BD" w:rsidRPr="00D743BD">
        <w:rPr>
          <w:sz w:val="22"/>
          <w:szCs w:val="22"/>
        </w:rPr>
        <w:t xml:space="preserve"> </w:t>
      </w:r>
      <w:r w:rsidR="00D743BD">
        <w:rPr>
          <w:sz w:val="22"/>
          <w:szCs w:val="22"/>
        </w:rPr>
        <w:t>gather insights about</w:t>
      </w:r>
      <w:r w:rsidR="00D743BD" w:rsidRPr="00D743BD">
        <w:rPr>
          <w:sz w:val="22"/>
          <w:szCs w:val="22"/>
        </w:rPr>
        <w:t xml:space="preserve"> how to </w:t>
      </w:r>
      <w:r w:rsidR="00D743BD">
        <w:rPr>
          <w:sz w:val="22"/>
          <w:szCs w:val="22"/>
        </w:rPr>
        <w:t xml:space="preserve">more </w:t>
      </w:r>
      <w:r w:rsidR="00D743BD" w:rsidRPr="00D743BD">
        <w:rPr>
          <w:sz w:val="22"/>
          <w:szCs w:val="22"/>
        </w:rPr>
        <w:t xml:space="preserve">effectively reach and communicate with </w:t>
      </w:r>
      <w:r w:rsidR="00D743BD">
        <w:rPr>
          <w:sz w:val="22"/>
          <w:szCs w:val="22"/>
        </w:rPr>
        <w:t>refugees. A key objective of the site visit</w:t>
      </w:r>
      <w:r w:rsidR="00F47E8F">
        <w:rPr>
          <w:sz w:val="22"/>
          <w:szCs w:val="22"/>
        </w:rPr>
        <w:t>s</w:t>
      </w:r>
      <w:r w:rsidR="00D743BD" w:rsidRPr="00D743BD">
        <w:rPr>
          <w:sz w:val="22"/>
          <w:szCs w:val="22"/>
        </w:rPr>
        <w:t xml:space="preserve"> is to understand how ASR survey administration might better leverage established relationships between refugees and service providers to reduce survey non-response and</w:t>
      </w:r>
      <w:r w:rsidR="00D743BD">
        <w:rPr>
          <w:sz w:val="22"/>
          <w:szCs w:val="22"/>
        </w:rPr>
        <w:t xml:space="preserve"> thereby</w:t>
      </w:r>
      <w:r w:rsidR="00D743BD" w:rsidRPr="00D743BD">
        <w:rPr>
          <w:sz w:val="22"/>
          <w:szCs w:val="22"/>
        </w:rPr>
        <w:t xml:space="preserve"> increase the cost-effectiveness and efficiency of administration. </w:t>
      </w:r>
    </w:p>
    <w:p w:rsidR="00D4008C" w:rsidRPr="00D743BD" w:rsidRDefault="00D4008C" w:rsidP="00D4008C">
      <w:pPr>
        <w:rPr>
          <w:sz w:val="22"/>
          <w:szCs w:val="22"/>
        </w:rPr>
      </w:pPr>
    </w:p>
    <w:p w:rsidR="00D743BD" w:rsidRDefault="00D743BD" w:rsidP="00D4008C">
      <w:pPr>
        <w:rPr>
          <w:sz w:val="22"/>
          <w:szCs w:val="22"/>
        </w:rPr>
      </w:pPr>
      <w:r w:rsidRPr="00D743BD">
        <w:rPr>
          <w:sz w:val="22"/>
          <w:szCs w:val="22"/>
        </w:rPr>
        <w:t xml:space="preserve">On the conceptual side, </w:t>
      </w:r>
      <w:r>
        <w:rPr>
          <w:sz w:val="22"/>
          <w:szCs w:val="22"/>
        </w:rPr>
        <w:t xml:space="preserve">the qualitative data collection </w:t>
      </w:r>
      <w:r w:rsidR="00805D65">
        <w:rPr>
          <w:sz w:val="22"/>
          <w:szCs w:val="22"/>
        </w:rPr>
        <w:t>from the site visits</w:t>
      </w:r>
      <w:r>
        <w:rPr>
          <w:sz w:val="22"/>
          <w:szCs w:val="22"/>
        </w:rPr>
        <w:t xml:space="preserve"> will facilitate a better understanding of</w:t>
      </w:r>
      <w:r w:rsidRPr="00D743BD">
        <w:rPr>
          <w:sz w:val="22"/>
          <w:szCs w:val="22"/>
        </w:rPr>
        <w:t xml:space="preserve"> </w:t>
      </w:r>
      <w:r w:rsidR="00F47E8F">
        <w:rPr>
          <w:sz w:val="22"/>
          <w:szCs w:val="22"/>
        </w:rPr>
        <w:t xml:space="preserve">what </w:t>
      </w:r>
      <w:r w:rsidRPr="00D743BD">
        <w:rPr>
          <w:sz w:val="22"/>
          <w:szCs w:val="22"/>
        </w:rPr>
        <w:t xml:space="preserve">self-sufficiency and integration mean from the perspectives of service providers, stakeholders, and communities </w:t>
      </w:r>
      <w:r>
        <w:rPr>
          <w:sz w:val="22"/>
          <w:szCs w:val="22"/>
        </w:rPr>
        <w:t>who</w:t>
      </w:r>
      <w:r w:rsidRPr="00D743BD">
        <w:rPr>
          <w:sz w:val="22"/>
          <w:szCs w:val="22"/>
        </w:rPr>
        <w:t xml:space="preserve"> host and interact with refugees </w:t>
      </w:r>
      <w:r>
        <w:rPr>
          <w:sz w:val="22"/>
          <w:szCs w:val="22"/>
        </w:rPr>
        <w:t>on a day-</w:t>
      </w:r>
      <w:r w:rsidRPr="00D743BD">
        <w:rPr>
          <w:sz w:val="22"/>
          <w:szCs w:val="22"/>
        </w:rPr>
        <w:t>to</w:t>
      </w:r>
      <w:r>
        <w:rPr>
          <w:sz w:val="22"/>
          <w:szCs w:val="22"/>
        </w:rPr>
        <w:t>-</w:t>
      </w:r>
      <w:r w:rsidRPr="00D743BD">
        <w:rPr>
          <w:sz w:val="22"/>
          <w:szCs w:val="22"/>
        </w:rPr>
        <w:t>day</w:t>
      </w:r>
      <w:r>
        <w:rPr>
          <w:sz w:val="22"/>
          <w:szCs w:val="22"/>
        </w:rPr>
        <w:t xml:space="preserve"> basis</w:t>
      </w:r>
      <w:r w:rsidRPr="00D743BD">
        <w:rPr>
          <w:sz w:val="22"/>
          <w:szCs w:val="22"/>
        </w:rPr>
        <w:t xml:space="preserve">. The site visit conversations </w:t>
      </w:r>
      <w:r>
        <w:rPr>
          <w:sz w:val="22"/>
          <w:szCs w:val="22"/>
        </w:rPr>
        <w:t>(both focus groups and in-depth interviews</w:t>
      </w:r>
      <w:r w:rsidR="00441870">
        <w:rPr>
          <w:sz w:val="22"/>
          <w:szCs w:val="22"/>
        </w:rPr>
        <w:t>; see A</w:t>
      </w:r>
      <w:r w:rsidR="00BC783D">
        <w:rPr>
          <w:sz w:val="22"/>
          <w:szCs w:val="22"/>
        </w:rPr>
        <w:t>ttachment</w:t>
      </w:r>
      <w:r w:rsidR="00441870">
        <w:rPr>
          <w:sz w:val="22"/>
          <w:szCs w:val="22"/>
        </w:rPr>
        <w:t>s D and E</w:t>
      </w:r>
      <w:r>
        <w:rPr>
          <w:sz w:val="22"/>
          <w:szCs w:val="22"/>
        </w:rPr>
        <w:t xml:space="preserve">) </w:t>
      </w:r>
      <w:r w:rsidRPr="00D743BD">
        <w:rPr>
          <w:sz w:val="22"/>
          <w:szCs w:val="22"/>
        </w:rPr>
        <w:t xml:space="preserve">will explore key factors for self-sufficiency and integration, including understanding of the greatest barriers and facilitators to self-sufficiency; the impact of pre-resettlement experiences; the role of the local community context; the role that children play for refugee parents and families; how long integration takes </w:t>
      </w:r>
      <w:r w:rsidR="00441870">
        <w:rPr>
          <w:sz w:val="22"/>
          <w:szCs w:val="22"/>
        </w:rPr>
        <w:t>with different refugees</w:t>
      </w:r>
      <w:r w:rsidRPr="00D743BD">
        <w:rPr>
          <w:sz w:val="22"/>
          <w:szCs w:val="22"/>
        </w:rPr>
        <w:t xml:space="preserve">; and other on-the-ground perspectives that may inform priorities for the ASR.  </w:t>
      </w:r>
    </w:p>
    <w:p w:rsidR="00D4008C" w:rsidRPr="00D743BD" w:rsidRDefault="00D4008C" w:rsidP="00D4008C">
      <w:pPr>
        <w:rPr>
          <w:sz w:val="22"/>
          <w:szCs w:val="22"/>
        </w:rPr>
      </w:pPr>
    </w:p>
    <w:p w:rsidR="0079771B" w:rsidRDefault="002F750D" w:rsidP="00D4008C">
      <w:pPr>
        <w:rPr>
          <w:sz w:val="22"/>
          <w:szCs w:val="22"/>
        </w:rPr>
      </w:pPr>
      <w:r>
        <w:rPr>
          <w:sz w:val="22"/>
          <w:szCs w:val="22"/>
        </w:rPr>
        <w:t>On the operational side, t</w:t>
      </w:r>
      <w:r w:rsidR="00D743BD" w:rsidRPr="00D743BD">
        <w:rPr>
          <w:sz w:val="22"/>
          <w:szCs w:val="22"/>
        </w:rPr>
        <w:t xml:space="preserve">he site visit conversations </w:t>
      </w:r>
      <w:r w:rsidR="00D743BD">
        <w:rPr>
          <w:sz w:val="22"/>
          <w:szCs w:val="22"/>
        </w:rPr>
        <w:t xml:space="preserve">are </w:t>
      </w:r>
      <w:r w:rsidR="005431E5">
        <w:rPr>
          <w:sz w:val="22"/>
          <w:szCs w:val="22"/>
        </w:rPr>
        <w:t xml:space="preserve">also </w:t>
      </w:r>
      <w:r w:rsidR="00D743BD">
        <w:rPr>
          <w:sz w:val="22"/>
          <w:szCs w:val="22"/>
        </w:rPr>
        <w:t>expected to</w:t>
      </w:r>
      <w:r w:rsidR="00D743BD" w:rsidRPr="00D743BD">
        <w:rPr>
          <w:sz w:val="22"/>
          <w:szCs w:val="22"/>
        </w:rPr>
        <w:t xml:space="preserve"> reveal insights about the points of contact community actors </w:t>
      </w:r>
      <w:r w:rsidR="005431E5">
        <w:rPr>
          <w:sz w:val="22"/>
          <w:szCs w:val="22"/>
        </w:rPr>
        <w:t xml:space="preserve">may </w:t>
      </w:r>
      <w:r w:rsidR="00D743BD" w:rsidRPr="00D743BD">
        <w:rPr>
          <w:sz w:val="22"/>
          <w:szCs w:val="22"/>
        </w:rPr>
        <w:t>have with refugees after their init</w:t>
      </w:r>
      <w:r w:rsidR="00D743BD">
        <w:rPr>
          <w:sz w:val="22"/>
          <w:szCs w:val="22"/>
        </w:rPr>
        <w:t xml:space="preserve">ial resettlement services end; </w:t>
      </w:r>
      <w:r w:rsidR="00D743BD" w:rsidRPr="00D743BD">
        <w:rPr>
          <w:sz w:val="22"/>
          <w:szCs w:val="22"/>
        </w:rPr>
        <w:t xml:space="preserve">practices that </w:t>
      </w:r>
      <w:r w:rsidR="005431E5">
        <w:rPr>
          <w:sz w:val="22"/>
          <w:szCs w:val="22"/>
        </w:rPr>
        <w:t xml:space="preserve">could </w:t>
      </w:r>
      <w:r w:rsidR="00D743BD" w:rsidRPr="00D743BD">
        <w:rPr>
          <w:sz w:val="22"/>
          <w:szCs w:val="22"/>
        </w:rPr>
        <w:t>help maintain updated contact information and effective outreach strategies; potential use of technology such as smart phones and the internet; sources of sensitivity for different groups; and refugee perceptions of government</w:t>
      </w:r>
      <w:r w:rsidR="005431E5">
        <w:rPr>
          <w:sz w:val="22"/>
          <w:szCs w:val="22"/>
        </w:rPr>
        <w:t xml:space="preserve"> and other community stakeholders</w:t>
      </w:r>
      <w:r w:rsidR="00D743BD" w:rsidRPr="00D743BD">
        <w:rPr>
          <w:sz w:val="22"/>
          <w:szCs w:val="22"/>
        </w:rPr>
        <w:t xml:space="preserve">. The visits will also obtain information about the </w:t>
      </w:r>
      <w:r w:rsidR="005431E5">
        <w:rPr>
          <w:sz w:val="22"/>
          <w:szCs w:val="22"/>
        </w:rPr>
        <w:t>capacity of</w:t>
      </w:r>
      <w:r w:rsidR="00D743BD" w:rsidRPr="00D743BD">
        <w:rPr>
          <w:sz w:val="22"/>
          <w:szCs w:val="22"/>
        </w:rPr>
        <w:t xml:space="preserve"> service providers to provide information from administrative data and contact information available for refugee clients and/or participate in ASR survey collection.</w:t>
      </w:r>
      <w:r w:rsidR="002568C0">
        <w:rPr>
          <w:sz w:val="22"/>
          <w:szCs w:val="22"/>
        </w:rPr>
        <w:t xml:space="preserve"> </w:t>
      </w:r>
    </w:p>
    <w:p w:rsidR="00D743BD" w:rsidRDefault="00D743BD" w:rsidP="00D4008C">
      <w:pPr>
        <w:rPr>
          <w:sz w:val="22"/>
          <w:szCs w:val="22"/>
        </w:rPr>
      </w:pPr>
    </w:p>
    <w:p w:rsidR="00D743BD" w:rsidRDefault="002568C0" w:rsidP="00D4008C">
      <w:pPr>
        <w:rPr>
          <w:sz w:val="22"/>
          <w:szCs w:val="22"/>
        </w:rPr>
      </w:pPr>
      <w:r>
        <w:rPr>
          <w:sz w:val="22"/>
          <w:szCs w:val="22"/>
        </w:rPr>
        <w:t>For this qualitative component, one</w:t>
      </w:r>
      <w:r w:rsidR="00D743BD">
        <w:rPr>
          <w:sz w:val="22"/>
          <w:szCs w:val="22"/>
        </w:rPr>
        <w:t xml:space="preserve"> site</w:t>
      </w:r>
      <w:r w:rsidR="00D743BD" w:rsidRPr="00D743BD">
        <w:rPr>
          <w:sz w:val="22"/>
          <w:szCs w:val="22"/>
        </w:rPr>
        <w:t xml:space="preserve"> will be in the</w:t>
      </w:r>
      <w:r>
        <w:rPr>
          <w:sz w:val="22"/>
          <w:szCs w:val="22"/>
        </w:rPr>
        <w:t xml:space="preserve"> greater</w:t>
      </w:r>
      <w:r w:rsidR="00D743BD" w:rsidRPr="00D743BD">
        <w:rPr>
          <w:sz w:val="22"/>
          <w:szCs w:val="22"/>
        </w:rPr>
        <w:t xml:space="preserve"> Washington, DC metropolitan </w:t>
      </w:r>
      <w:r w:rsidR="00D743BD">
        <w:rPr>
          <w:sz w:val="22"/>
          <w:szCs w:val="22"/>
        </w:rPr>
        <w:t>area</w:t>
      </w:r>
      <w:r>
        <w:rPr>
          <w:sz w:val="22"/>
          <w:szCs w:val="22"/>
        </w:rPr>
        <w:t xml:space="preserve"> (including DC suburbs in MD and VA as well as Baltimore)</w:t>
      </w:r>
      <w:r w:rsidR="00D743BD">
        <w:rPr>
          <w:sz w:val="22"/>
          <w:szCs w:val="22"/>
        </w:rPr>
        <w:t xml:space="preserve">, which is </w:t>
      </w:r>
      <w:r w:rsidR="00D743BD" w:rsidRPr="00D743BD">
        <w:rPr>
          <w:sz w:val="22"/>
          <w:szCs w:val="22"/>
        </w:rPr>
        <w:t>home to a large and diverse refugee community</w:t>
      </w:r>
      <w:r w:rsidR="00D743BD">
        <w:rPr>
          <w:sz w:val="22"/>
          <w:szCs w:val="22"/>
        </w:rPr>
        <w:t xml:space="preserve">.  </w:t>
      </w:r>
      <w:r w:rsidR="00D743BD" w:rsidRPr="00D743BD">
        <w:rPr>
          <w:sz w:val="22"/>
          <w:szCs w:val="22"/>
        </w:rPr>
        <w:t xml:space="preserve">Among recent arrivals, suburban Maryland and Virginia have received refugees from Bhutan, Congo, Iran, Iraq, Ethiopia, Syria, Afghanistan and Burma (Myanmar). Baltimore, MD </w:t>
      </w:r>
      <w:r>
        <w:rPr>
          <w:sz w:val="22"/>
          <w:szCs w:val="22"/>
        </w:rPr>
        <w:t xml:space="preserve">also received </w:t>
      </w:r>
      <w:r w:rsidR="00D743BD" w:rsidRPr="00D743BD">
        <w:rPr>
          <w:sz w:val="22"/>
          <w:szCs w:val="22"/>
        </w:rPr>
        <w:t>refugees</w:t>
      </w:r>
      <w:r>
        <w:rPr>
          <w:sz w:val="22"/>
          <w:szCs w:val="22"/>
        </w:rPr>
        <w:t xml:space="preserve"> </w:t>
      </w:r>
      <w:r w:rsidR="00BD7071">
        <w:rPr>
          <w:sz w:val="22"/>
          <w:szCs w:val="22"/>
        </w:rPr>
        <w:t xml:space="preserve">from </w:t>
      </w:r>
      <w:r w:rsidR="00D743BD" w:rsidRPr="00D743BD">
        <w:rPr>
          <w:sz w:val="22"/>
          <w:szCs w:val="22"/>
        </w:rPr>
        <w:t>Southeast Asia, Bosnia, Ethiopia, Eritrea and other African nations</w:t>
      </w:r>
      <w:r w:rsidR="00D743BD">
        <w:rPr>
          <w:sz w:val="22"/>
          <w:szCs w:val="22"/>
        </w:rPr>
        <w:t xml:space="preserve">.  The second site will be </w:t>
      </w:r>
      <w:r w:rsidR="00D743BD" w:rsidRPr="00D743BD">
        <w:rPr>
          <w:sz w:val="22"/>
          <w:szCs w:val="22"/>
        </w:rPr>
        <w:t>Boise, Idaho, a medium-sized metropolitan area and a more recent destination for refugees</w:t>
      </w:r>
      <w:r w:rsidR="00D743BD">
        <w:rPr>
          <w:sz w:val="22"/>
          <w:szCs w:val="22"/>
        </w:rPr>
        <w:t xml:space="preserve">.  </w:t>
      </w:r>
      <w:r w:rsidR="00F47E8F" w:rsidRPr="00F47E8F">
        <w:rPr>
          <w:sz w:val="22"/>
          <w:szCs w:val="22"/>
        </w:rPr>
        <w:t>Boise has had a d</w:t>
      </w:r>
      <w:r w:rsidR="002F750D">
        <w:rPr>
          <w:sz w:val="22"/>
          <w:szCs w:val="22"/>
        </w:rPr>
        <w:t>ifferent experience and history</w:t>
      </w:r>
      <w:r w:rsidR="00F47E8F" w:rsidRPr="00F47E8F">
        <w:rPr>
          <w:sz w:val="22"/>
          <w:szCs w:val="22"/>
        </w:rPr>
        <w:t xml:space="preserve"> regarding refugee reception and institutional infrastructure. </w:t>
      </w:r>
      <w:r w:rsidR="00D743BD" w:rsidRPr="00D743BD">
        <w:rPr>
          <w:sz w:val="22"/>
          <w:szCs w:val="22"/>
        </w:rPr>
        <w:t xml:space="preserve">In the past 5 years, Boise has received the vast majority of Idaho’s refugees, with </w:t>
      </w:r>
      <w:r w:rsidRPr="00D743BD">
        <w:rPr>
          <w:sz w:val="22"/>
          <w:szCs w:val="22"/>
        </w:rPr>
        <w:t>Somalis</w:t>
      </w:r>
      <w:r>
        <w:rPr>
          <w:sz w:val="22"/>
          <w:szCs w:val="22"/>
        </w:rPr>
        <w:t>,</w:t>
      </w:r>
      <w:r w:rsidRPr="00D743BD">
        <w:rPr>
          <w:sz w:val="22"/>
          <w:szCs w:val="22"/>
        </w:rPr>
        <w:t xml:space="preserve"> </w:t>
      </w:r>
      <w:r w:rsidR="00D743BD" w:rsidRPr="00D743BD">
        <w:rPr>
          <w:sz w:val="22"/>
          <w:szCs w:val="22"/>
        </w:rPr>
        <w:t xml:space="preserve">Congolese, Burmese and </w:t>
      </w:r>
      <w:r w:rsidRPr="00D743BD">
        <w:rPr>
          <w:sz w:val="22"/>
          <w:szCs w:val="22"/>
        </w:rPr>
        <w:t xml:space="preserve">Iraqi </w:t>
      </w:r>
      <w:r w:rsidR="00D743BD" w:rsidRPr="00D743BD">
        <w:rPr>
          <w:sz w:val="22"/>
          <w:szCs w:val="22"/>
        </w:rPr>
        <w:t xml:space="preserve">making up two-thirds of the recently resettled. </w:t>
      </w:r>
      <w:r>
        <w:rPr>
          <w:sz w:val="22"/>
          <w:szCs w:val="22"/>
        </w:rPr>
        <w:t xml:space="preserve"> It is important to capture the perspectives of resettlement staff and stakeholders from different geographic locations, as regional/local U.S. </w:t>
      </w:r>
      <w:r w:rsidR="00E6098A">
        <w:rPr>
          <w:sz w:val="22"/>
          <w:szCs w:val="22"/>
        </w:rPr>
        <w:t xml:space="preserve">communities </w:t>
      </w:r>
      <w:r>
        <w:rPr>
          <w:sz w:val="22"/>
          <w:szCs w:val="22"/>
        </w:rPr>
        <w:t>and economies can affect refugee</w:t>
      </w:r>
      <w:r w:rsidR="00541AA0">
        <w:rPr>
          <w:sz w:val="22"/>
          <w:szCs w:val="22"/>
        </w:rPr>
        <w:t>s’</w:t>
      </w:r>
      <w:r>
        <w:rPr>
          <w:sz w:val="22"/>
          <w:szCs w:val="22"/>
        </w:rPr>
        <w:t xml:space="preserve"> path</w:t>
      </w:r>
      <w:r w:rsidR="00541AA0">
        <w:rPr>
          <w:sz w:val="22"/>
          <w:szCs w:val="22"/>
        </w:rPr>
        <w:t>s</w:t>
      </w:r>
      <w:r>
        <w:rPr>
          <w:sz w:val="22"/>
          <w:szCs w:val="22"/>
        </w:rPr>
        <w:t xml:space="preserve"> to self-sufficiency. </w:t>
      </w:r>
    </w:p>
    <w:p w:rsidR="00AE1E11" w:rsidRDefault="00AE1E11" w:rsidP="00D4008C">
      <w:pPr>
        <w:rPr>
          <w:sz w:val="22"/>
          <w:szCs w:val="22"/>
        </w:rPr>
      </w:pPr>
    </w:p>
    <w:p w:rsidR="003060DD" w:rsidRDefault="003060DD" w:rsidP="00D4008C">
      <w:pPr>
        <w:rPr>
          <w:sz w:val="22"/>
          <w:szCs w:val="22"/>
        </w:rPr>
      </w:pPr>
      <w:r w:rsidRPr="002366DF">
        <w:rPr>
          <w:sz w:val="22"/>
          <w:szCs w:val="22"/>
        </w:rPr>
        <w:t xml:space="preserve">Site visits will </w:t>
      </w:r>
      <w:r w:rsidR="00E953EB">
        <w:rPr>
          <w:sz w:val="22"/>
          <w:szCs w:val="22"/>
        </w:rPr>
        <w:t>provide</w:t>
      </w:r>
      <w:r w:rsidRPr="002366DF">
        <w:rPr>
          <w:sz w:val="22"/>
          <w:szCs w:val="22"/>
        </w:rPr>
        <w:t xml:space="preserve"> contact with service-providers and </w:t>
      </w:r>
      <w:r w:rsidR="00433C85">
        <w:rPr>
          <w:sz w:val="22"/>
          <w:szCs w:val="22"/>
        </w:rPr>
        <w:t xml:space="preserve">community </w:t>
      </w:r>
      <w:r w:rsidRPr="002366DF">
        <w:rPr>
          <w:sz w:val="22"/>
          <w:szCs w:val="22"/>
        </w:rPr>
        <w:t xml:space="preserve">stakeholders who interact with refugees </w:t>
      </w:r>
      <w:r w:rsidR="00E6098A">
        <w:rPr>
          <w:sz w:val="22"/>
          <w:szCs w:val="22"/>
        </w:rPr>
        <w:t>regularly</w:t>
      </w:r>
      <w:r w:rsidR="00E953EB">
        <w:rPr>
          <w:sz w:val="22"/>
          <w:szCs w:val="22"/>
        </w:rPr>
        <w:t>. Focus groups and in-depth interviews will be vehicles for participants to</w:t>
      </w:r>
      <w:r w:rsidRPr="002366DF">
        <w:rPr>
          <w:sz w:val="22"/>
          <w:szCs w:val="22"/>
        </w:rPr>
        <w:t xml:space="preserve"> share reflections on cultural sensitivities</w:t>
      </w:r>
      <w:r w:rsidR="00E953EB">
        <w:rPr>
          <w:sz w:val="22"/>
          <w:szCs w:val="22"/>
        </w:rPr>
        <w:t>, experiences</w:t>
      </w:r>
      <w:r w:rsidRPr="002366DF">
        <w:rPr>
          <w:sz w:val="22"/>
          <w:szCs w:val="22"/>
        </w:rPr>
        <w:t xml:space="preserve"> and issues </w:t>
      </w:r>
      <w:r w:rsidR="00E953EB">
        <w:rPr>
          <w:sz w:val="22"/>
          <w:szCs w:val="22"/>
        </w:rPr>
        <w:t>related to refugee resettlement</w:t>
      </w:r>
      <w:r w:rsidRPr="002366DF">
        <w:rPr>
          <w:sz w:val="22"/>
          <w:szCs w:val="22"/>
        </w:rPr>
        <w:t xml:space="preserve"> that </w:t>
      </w:r>
      <w:r w:rsidR="00284C9C">
        <w:rPr>
          <w:sz w:val="22"/>
          <w:szCs w:val="22"/>
        </w:rPr>
        <w:t>can</w:t>
      </w:r>
      <w:r w:rsidRPr="002366DF">
        <w:rPr>
          <w:sz w:val="22"/>
          <w:szCs w:val="22"/>
        </w:rPr>
        <w:t xml:space="preserve"> inform ASR operations</w:t>
      </w:r>
      <w:r w:rsidR="00E6098A">
        <w:rPr>
          <w:sz w:val="22"/>
          <w:szCs w:val="22"/>
        </w:rPr>
        <w:t>,</w:t>
      </w:r>
      <w:r w:rsidRPr="002366DF">
        <w:rPr>
          <w:sz w:val="22"/>
          <w:szCs w:val="22"/>
        </w:rPr>
        <w:t xml:space="preserve"> as well as questionnaire revisions</w:t>
      </w:r>
      <w:r>
        <w:rPr>
          <w:sz w:val="22"/>
          <w:szCs w:val="22"/>
        </w:rPr>
        <w:t xml:space="preserve">. This includes </w:t>
      </w:r>
      <w:r w:rsidRPr="003060DD">
        <w:rPr>
          <w:sz w:val="22"/>
          <w:szCs w:val="22"/>
        </w:rPr>
        <w:t xml:space="preserve">their experiences maintaining contact with refugees, how their experience is similar or different from other populations, </w:t>
      </w:r>
      <w:r w:rsidR="00541AA0">
        <w:rPr>
          <w:sz w:val="22"/>
          <w:szCs w:val="22"/>
        </w:rPr>
        <w:t xml:space="preserve">and </w:t>
      </w:r>
      <w:r w:rsidR="00284C9C">
        <w:rPr>
          <w:sz w:val="22"/>
          <w:szCs w:val="22"/>
        </w:rPr>
        <w:t xml:space="preserve">their perceptions about </w:t>
      </w:r>
      <w:r w:rsidRPr="003060DD">
        <w:rPr>
          <w:sz w:val="22"/>
          <w:szCs w:val="22"/>
        </w:rPr>
        <w:t xml:space="preserve">best </w:t>
      </w:r>
      <w:r w:rsidR="00284C9C">
        <w:rPr>
          <w:sz w:val="22"/>
          <w:szCs w:val="22"/>
        </w:rPr>
        <w:t xml:space="preserve">contact/communication </w:t>
      </w:r>
      <w:r w:rsidRPr="003060DD">
        <w:rPr>
          <w:sz w:val="22"/>
          <w:szCs w:val="22"/>
        </w:rPr>
        <w:t xml:space="preserve">strategies </w:t>
      </w:r>
      <w:r w:rsidR="00284C9C">
        <w:rPr>
          <w:sz w:val="22"/>
          <w:szCs w:val="22"/>
        </w:rPr>
        <w:t>related to</w:t>
      </w:r>
      <w:r w:rsidRPr="003060DD">
        <w:rPr>
          <w:sz w:val="22"/>
          <w:szCs w:val="22"/>
        </w:rPr>
        <w:t xml:space="preserve"> technology</w:t>
      </w:r>
      <w:r w:rsidR="00433C85">
        <w:rPr>
          <w:sz w:val="22"/>
          <w:szCs w:val="22"/>
        </w:rPr>
        <w:t xml:space="preserve"> (e.g., texting on cell phones)</w:t>
      </w:r>
      <w:r>
        <w:rPr>
          <w:sz w:val="22"/>
          <w:szCs w:val="22"/>
        </w:rPr>
        <w:t xml:space="preserve">.  </w:t>
      </w:r>
      <w:r w:rsidR="00433C85">
        <w:rPr>
          <w:sz w:val="22"/>
          <w:szCs w:val="22"/>
        </w:rPr>
        <w:t>S</w:t>
      </w:r>
      <w:r>
        <w:rPr>
          <w:sz w:val="22"/>
          <w:szCs w:val="22"/>
        </w:rPr>
        <w:t xml:space="preserve">ite visit </w:t>
      </w:r>
      <w:r w:rsidR="00433C85">
        <w:rPr>
          <w:sz w:val="22"/>
          <w:szCs w:val="22"/>
        </w:rPr>
        <w:t xml:space="preserve">qualitative data </w:t>
      </w:r>
      <w:r>
        <w:rPr>
          <w:sz w:val="22"/>
          <w:szCs w:val="22"/>
        </w:rPr>
        <w:t xml:space="preserve">will </w:t>
      </w:r>
      <w:r w:rsidR="00433C85">
        <w:rPr>
          <w:sz w:val="22"/>
          <w:szCs w:val="22"/>
        </w:rPr>
        <w:t>be used to</w:t>
      </w:r>
      <w:r>
        <w:rPr>
          <w:sz w:val="22"/>
          <w:szCs w:val="22"/>
        </w:rPr>
        <w:t xml:space="preserve"> i</w:t>
      </w:r>
      <w:r w:rsidR="00284C9C">
        <w:rPr>
          <w:sz w:val="22"/>
          <w:szCs w:val="22"/>
        </w:rPr>
        <w:t>nform</w:t>
      </w:r>
      <w:r w:rsidRPr="003060DD">
        <w:rPr>
          <w:sz w:val="22"/>
          <w:szCs w:val="22"/>
        </w:rPr>
        <w:t xml:space="preserve"> strategies </w:t>
      </w:r>
      <w:r>
        <w:rPr>
          <w:sz w:val="22"/>
          <w:szCs w:val="22"/>
        </w:rPr>
        <w:t>for</w:t>
      </w:r>
      <w:r w:rsidRPr="003060DD">
        <w:rPr>
          <w:sz w:val="22"/>
          <w:szCs w:val="22"/>
        </w:rPr>
        <w:t xml:space="preserve"> approach</w:t>
      </w:r>
      <w:r>
        <w:rPr>
          <w:sz w:val="22"/>
          <w:szCs w:val="22"/>
        </w:rPr>
        <w:t>ing</w:t>
      </w:r>
      <w:r w:rsidRPr="003060DD">
        <w:rPr>
          <w:sz w:val="22"/>
          <w:szCs w:val="22"/>
        </w:rPr>
        <w:t xml:space="preserve"> refugees (e.g., incentives, mail or email communication)</w:t>
      </w:r>
      <w:r>
        <w:rPr>
          <w:sz w:val="22"/>
          <w:szCs w:val="22"/>
        </w:rPr>
        <w:t xml:space="preserve">.  The visits will gauge </w:t>
      </w:r>
      <w:r w:rsidRPr="003060DD">
        <w:rPr>
          <w:sz w:val="22"/>
          <w:szCs w:val="22"/>
        </w:rPr>
        <w:t>providers’ interest</w:t>
      </w:r>
      <w:r>
        <w:rPr>
          <w:sz w:val="22"/>
          <w:szCs w:val="22"/>
        </w:rPr>
        <w:t>s</w:t>
      </w:r>
      <w:r w:rsidRPr="003060DD">
        <w:rPr>
          <w:sz w:val="22"/>
          <w:szCs w:val="22"/>
        </w:rPr>
        <w:t xml:space="preserve"> and capacit</w:t>
      </w:r>
      <w:r>
        <w:rPr>
          <w:sz w:val="22"/>
          <w:szCs w:val="22"/>
        </w:rPr>
        <w:t>ies</w:t>
      </w:r>
      <w:r w:rsidRPr="003060DD">
        <w:rPr>
          <w:sz w:val="22"/>
          <w:szCs w:val="22"/>
        </w:rPr>
        <w:t xml:space="preserve"> to support ASR data collection (e.g. through onboarding of participants</w:t>
      </w:r>
      <w:r>
        <w:rPr>
          <w:sz w:val="22"/>
          <w:szCs w:val="22"/>
        </w:rPr>
        <w:t xml:space="preserve"> or disseminating information about the legitimacy and utility of </w:t>
      </w:r>
      <w:r w:rsidR="00F47E8F">
        <w:rPr>
          <w:sz w:val="22"/>
          <w:szCs w:val="22"/>
        </w:rPr>
        <w:t xml:space="preserve">the </w:t>
      </w:r>
      <w:r>
        <w:rPr>
          <w:sz w:val="22"/>
          <w:szCs w:val="22"/>
        </w:rPr>
        <w:t>ASR</w:t>
      </w:r>
      <w:r w:rsidRPr="003060DD">
        <w:rPr>
          <w:sz w:val="22"/>
          <w:szCs w:val="22"/>
        </w:rPr>
        <w:t>) and identify trusted organizations that may serve as effective intermediaries to reach refugee respondents</w:t>
      </w:r>
      <w:r>
        <w:rPr>
          <w:sz w:val="22"/>
          <w:szCs w:val="22"/>
        </w:rPr>
        <w:t>.</w:t>
      </w:r>
    </w:p>
    <w:p w:rsidR="003060DD" w:rsidRDefault="003060DD" w:rsidP="00D4008C">
      <w:pPr>
        <w:rPr>
          <w:sz w:val="22"/>
          <w:szCs w:val="22"/>
        </w:rPr>
      </w:pPr>
    </w:p>
    <w:p w:rsidR="00563A8C" w:rsidRDefault="003D7A08" w:rsidP="00D4008C">
      <w:pPr>
        <w:rPr>
          <w:sz w:val="22"/>
          <w:szCs w:val="22"/>
        </w:rPr>
      </w:pPr>
      <w:r>
        <w:rPr>
          <w:sz w:val="22"/>
          <w:szCs w:val="22"/>
        </w:rPr>
        <w:t>Qualitative data from the site visit</w:t>
      </w:r>
      <w:r w:rsidR="00F47E8F">
        <w:rPr>
          <w:sz w:val="22"/>
          <w:szCs w:val="22"/>
        </w:rPr>
        <w:t>s</w:t>
      </w:r>
      <w:r>
        <w:rPr>
          <w:sz w:val="22"/>
          <w:szCs w:val="22"/>
        </w:rPr>
        <w:t xml:space="preserve"> will provide a useful </w:t>
      </w:r>
      <w:r w:rsidR="002366DF">
        <w:rPr>
          <w:sz w:val="22"/>
          <w:szCs w:val="22"/>
        </w:rPr>
        <w:t>window</w:t>
      </w:r>
      <w:r>
        <w:rPr>
          <w:sz w:val="22"/>
          <w:szCs w:val="22"/>
        </w:rPr>
        <w:t xml:space="preserve"> into </w:t>
      </w:r>
      <w:r w:rsidRPr="003D7A08">
        <w:rPr>
          <w:sz w:val="22"/>
          <w:szCs w:val="22"/>
        </w:rPr>
        <w:t>refugee integration and self-sufficiency</w:t>
      </w:r>
      <w:r>
        <w:rPr>
          <w:sz w:val="22"/>
          <w:szCs w:val="22"/>
        </w:rPr>
        <w:t xml:space="preserve"> from the per</w:t>
      </w:r>
      <w:r w:rsidR="002366DF">
        <w:rPr>
          <w:sz w:val="22"/>
          <w:szCs w:val="22"/>
        </w:rPr>
        <w:t xml:space="preserve">spective of the service </w:t>
      </w:r>
      <w:r w:rsidR="00F47E8F">
        <w:rPr>
          <w:sz w:val="22"/>
          <w:szCs w:val="22"/>
        </w:rPr>
        <w:t xml:space="preserve">provider </w:t>
      </w:r>
      <w:r w:rsidR="002366DF">
        <w:rPr>
          <w:sz w:val="22"/>
          <w:szCs w:val="22"/>
        </w:rPr>
        <w:t xml:space="preserve">staff and the receiving community.  </w:t>
      </w:r>
      <w:r w:rsidR="00433C85">
        <w:rPr>
          <w:sz w:val="22"/>
          <w:szCs w:val="22"/>
        </w:rPr>
        <w:t>It will be used to identify</w:t>
      </w:r>
      <w:r w:rsidR="002366DF">
        <w:rPr>
          <w:sz w:val="22"/>
          <w:szCs w:val="22"/>
        </w:rPr>
        <w:t xml:space="preserve"> barriers, facilitators and mediating factors that </w:t>
      </w:r>
      <w:r w:rsidR="00433C85">
        <w:rPr>
          <w:sz w:val="22"/>
          <w:szCs w:val="22"/>
        </w:rPr>
        <w:t xml:space="preserve">may </w:t>
      </w:r>
      <w:r w:rsidR="00284C9C">
        <w:rPr>
          <w:sz w:val="22"/>
          <w:szCs w:val="22"/>
        </w:rPr>
        <w:t>be different from those</w:t>
      </w:r>
      <w:r w:rsidR="002366DF">
        <w:rPr>
          <w:sz w:val="22"/>
          <w:szCs w:val="22"/>
        </w:rPr>
        <w:t xml:space="preserve"> recognized by</w:t>
      </w:r>
      <w:r w:rsidR="00433C85">
        <w:rPr>
          <w:sz w:val="22"/>
          <w:szCs w:val="22"/>
        </w:rPr>
        <w:t xml:space="preserve"> refugees</w:t>
      </w:r>
      <w:r w:rsidR="002366DF">
        <w:rPr>
          <w:sz w:val="22"/>
          <w:szCs w:val="22"/>
        </w:rPr>
        <w:t xml:space="preserve">. The qualitative data collections will also </w:t>
      </w:r>
      <w:r w:rsidR="00433C85">
        <w:rPr>
          <w:sz w:val="22"/>
          <w:szCs w:val="22"/>
        </w:rPr>
        <w:t>provide</w:t>
      </w:r>
      <w:r w:rsidR="002366DF">
        <w:rPr>
          <w:sz w:val="22"/>
          <w:szCs w:val="22"/>
        </w:rPr>
        <w:t xml:space="preserve"> feedback on perceived ASR</w:t>
      </w:r>
      <w:r w:rsidRPr="003D7A08">
        <w:rPr>
          <w:sz w:val="22"/>
          <w:szCs w:val="22"/>
        </w:rPr>
        <w:t xml:space="preserve"> priorities, and how to </w:t>
      </w:r>
      <w:r w:rsidR="00284C9C">
        <w:rPr>
          <w:sz w:val="22"/>
          <w:szCs w:val="22"/>
        </w:rPr>
        <w:t xml:space="preserve">better allow </w:t>
      </w:r>
      <w:r w:rsidRPr="003D7A08">
        <w:rPr>
          <w:sz w:val="22"/>
          <w:szCs w:val="22"/>
        </w:rPr>
        <w:t xml:space="preserve">stakeholder </w:t>
      </w:r>
      <w:r w:rsidR="00284C9C">
        <w:rPr>
          <w:sz w:val="22"/>
          <w:szCs w:val="22"/>
        </w:rPr>
        <w:t>input to and support of</w:t>
      </w:r>
      <w:r w:rsidRPr="003D7A08">
        <w:rPr>
          <w:sz w:val="22"/>
          <w:szCs w:val="22"/>
        </w:rPr>
        <w:t xml:space="preserve"> the ASR</w:t>
      </w:r>
      <w:r w:rsidR="002366DF">
        <w:rPr>
          <w:sz w:val="22"/>
          <w:szCs w:val="22"/>
        </w:rPr>
        <w:t xml:space="preserve">.  </w:t>
      </w:r>
    </w:p>
    <w:p w:rsidR="00AE1E11" w:rsidRDefault="00AE1E11" w:rsidP="00D4008C">
      <w:pPr>
        <w:rPr>
          <w:sz w:val="22"/>
          <w:szCs w:val="22"/>
        </w:rPr>
      </w:pPr>
    </w:p>
    <w:p w:rsidR="006652B9" w:rsidRDefault="00224C0C" w:rsidP="00D4008C">
      <w:pPr>
        <w:rPr>
          <w:sz w:val="22"/>
          <w:szCs w:val="22"/>
        </w:rPr>
      </w:pPr>
      <w:r w:rsidRPr="00224C0C">
        <w:rPr>
          <w:i/>
          <w:sz w:val="22"/>
          <w:szCs w:val="22"/>
        </w:rPr>
        <w:t xml:space="preserve">Balancing </w:t>
      </w:r>
      <w:r w:rsidR="005C1CB8">
        <w:rPr>
          <w:i/>
          <w:sz w:val="22"/>
          <w:szCs w:val="22"/>
        </w:rPr>
        <w:t>insight</w:t>
      </w:r>
      <w:r w:rsidRPr="00224C0C">
        <w:rPr>
          <w:i/>
          <w:sz w:val="22"/>
          <w:szCs w:val="22"/>
        </w:rPr>
        <w:t xml:space="preserve"> and limitations</w:t>
      </w:r>
      <w:r w:rsidR="002B3483">
        <w:rPr>
          <w:i/>
          <w:sz w:val="22"/>
          <w:szCs w:val="22"/>
        </w:rPr>
        <w:t>,</w:t>
      </w:r>
      <w:r w:rsidR="005C1CB8">
        <w:rPr>
          <w:i/>
          <w:sz w:val="22"/>
          <w:szCs w:val="22"/>
        </w:rPr>
        <w:t xml:space="preserve"> subject to resources</w:t>
      </w:r>
      <w:r w:rsidRPr="00224C0C">
        <w:rPr>
          <w:i/>
          <w:sz w:val="22"/>
          <w:szCs w:val="22"/>
        </w:rPr>
        <w:t xml:space="preserve">. </w:t>
      </w:r>
      <w:r w:rsidR="005C1CB8">
        <w:rPr>
          <w:sz w:val="22"/>
          <w:szCs w:val="22"/>
        </w:rPr>
        <w:t xml:space="preserve">This pretest is being conducted to support redesign work </w:t>
      </w:r>
      <w:r w:rsidR="00DD02DC">
        <w:rPr>
          <w:sz w:val="22"/>
          <w:szCs w:val="22"/>
        </w:rPr>
        <w:t>of</w:t>
      </w:r>
      <w:r w:rsidR="005C1CB8">
        <w:rPr>
          <w:sz w:val="22"/>
          <w:szCs w:val="22"/>
        </w:rPr>
        <w:t xml:space="preserve"> the ASR. </w:t>
      </w:r>
      <w:r w:rsidR="00DD02DC">
        <w:rPr>
          <w:sz w:val="22"/>
          <w:szCs w:val="22"/>
        </w:rPr>
        <w:t>The pretest will field and evaluate a</w:t>
      </w:r>
      <w:r w:rsidR="005C1CB8">
        <w:rPr>
          <w:sz w:val="22"/>
          <w:szCs w:val="22"/>
        </w:rPr>
        <w:t xml:space="preserve"> refine</w:t>
      </w:r>
      <w:r w:rsidR="00DD02DC">
        <w:rPr>
          <w:sz w:val="22"/>
          <w:szCs w:val="22"/>
        </w:rPr>
        <w:t>d</w:t>
      </w:r>
      <w:r w:rsidR="005C1CB8">
        <w:rPr>
          <w:sz w:val="22"/>
          <w:szCs w:val="22"/>
        </w:rPr>
        <w:t xml:space="preserve"> survey instrument, validate measures being captured, measure respondent burden, and improve strategies to maximize survey participation. </w:t>
      </w:r>
      <w:r w:rsidR="002B3483">
        <w:rPr>
          <w:sz w:val="22"/>
          <w:szCs w:val="22"/>
        </w:rPr>
        <w:t>Yet</w:t>
      </w:r>
      <w:r w:rsidR="005C1CB8">
        <w:rPr>
          <w:sz w:val="22"/>
          <w:szCs w:val="22"/>
        </w:rPr>
        <w:t xml:space="preserve"> resources are limited. The proposed design</w:t>
      </w:r>
      <w:r w:rsidR="00DA0DAB">
        <w:rPr>
          <w:sz w:val="22"/>
          <w:szCs w:val="22"/>
        </w:rPr>
        <w:t xml:space="preserve"> leverages available resources to </w:t>
      </w:r>
      <w:r w:rsidR="005C1CB8">
        <w:rPr>
          <w:sz w:val="22"/>
          <w:szCs w:val="22"/>
        </w:rPr>
        <w:t>address the research objectives</w:t>
      </w:r>
      <w:r w:rsidR="00222798">
        <w:rPr>
          <w:sz w:val="22"/>
          <w:szCs w:val="22"/>
        </w:rPr>
        <w:t xml:space="preserve">, although some </w:t>
      </w:r>
      <w:r w:rsidR="005C1CB8">
        <w:rPr>
          <w:sz w:val="22"/>
          <w:szCs w:val="22"/>
        </w:rPr>
        <w:t>limitations</w:t>
      </w:r>
      <w:r w:rsidR="00DA0DAB">
        <w:rPr>
          <w:sz w:val="22"/>
          <w:szCs w:val="22"/>
        </w:rPr>
        <w:t xml:space="preserve"> </w:t>
      </w:r>
      <w:r w:rsidR="00222798">
        <w:rPr>
          <w:sz w:val="22"/>
          <w:szCs w:val="22"/>
        </w:rPr>
        <w:t>are unavoidable and noted here</w:t>
      </w:r>
      <w:r w:rsidR="005C1CB8">
        <w:rPr>
          <w:sz w:val="22"/>
          <w:szCs w:val="22"/>
        </w:rPr>
        <w:t xml:space="preserve">. </w:t>
      </w:r>
      <w:r w:rsidR="00DA0DAB">
        <w:rPr>
          <w:sz w:val="22"/>
          <w:szCs w:val="22"/>
        </w:rPr>
        <w:t>On the one hand, a</w:t>
      </w:r>
      <w:r w:rsidRPr="00224C0C">
        <w:rPr>
          <w:sz w:val="22"/>
          <w:szCs w:val="22"/>
        </w:rPr>
        <w:t xml:space="preserve">dvantages of this </w:t>
      </w:r>
      <w:r w:rsidR="005C1CB8">
        <w:rPr>
          <w:sz w:val="22"/>
          <w:szCs w:val="22"/>
        </w:rPr>
        <w:t>design</w:t>
      </w:r>
      <w:r w:rsidRPr="00224C0C">
        <w:rPr>
          <w:sz w:val="22"/>
          <w:szCs w:val="22"/>
        </w:rPr>
        <w:t xml:space="preserve"> are </w:t>
      </w:r>
      <w:r w:rsidR="00DA0DAB">
        <w:rPr>
          <w:sz w:val="22"/>
          <w:szCs w:val="22"/>
        </w:rPr>
        <w:t xml:space="preserve">maximization of pretest sample size given the cost.  This is achieved by using a subjective sample of refugees from the pool of </w:t>
      </w:r>
      <w:r w:rsidR="005C1CB8">
        <w:rPr>
          <w:sz w:val="22"/>
          <w:szCs w:val="22"/>
        </w:rPr>
        <w:t xml:space="preserve">respondents </w:t>
      </w:r>
      <w:r w:rsidR="00DA0DAB">
        <w:rPr>
          <w:sz w:val="22"/>
          <w:szCs w:val="22"/>
        </w:rPr>
        <w:t>who</w:t>
      </w:r>
      <w:r w:rsidR="005C1CB8">
        <w:rPr>
          <w:sz w:val="22"/>
          <w:szCs w:val="22"/>
        </w:rPr>
        <w:t xml:space="preserve"> participat</w:t>
      </w:r>
      <w:r w:rsidR="00DA0DAB">
        <w:rPr>
          <w:sz w:val="22"/>
          <w:szCs w:val="22"/>
        </w:rPr>
        <w:t>ed</w:t>
      </w:r>
      <w:r w:rsidR="005C1CB8">
        <w:rPr>
          <w:sz w:val="22"/>
          <w:szCs w:val="22"/>
        </w:rPr>
        <w:t xml:space="preserve"> in the 2017 ASR</w:t>
      </w:r>
      <w:r w:rsidR="00DA0DAB">
        <w:rPr>
          <w:sz w:val="22"/>
          <w:szCs w:val="22"/>
        </w:rPr>
        <w:t>.  These individuals</w:t>
      </w:r>
      <w:r w:rsidR="005C1CB8">
        <w:rPr>
          <w:sz w:val="22"/>
          <w:szCs w:val="22"/>
        </w:rPr>
        <w:t xml:space="preserve"> have been</w:t>
      </w:r>
      <w:r w:rsidRPr="00224C0C">
        <w:rPr>
          <w:sz w:val="22"/>
          <w:szCs w:val="22"/>
        </w:rPr>
        <w:t xml:space="preserve"> </w:t>
      </w:r>
      <w:r w:rsidR="00DA0DAB">
        <w:rPr>
          <w:sz w:val="22"/>
          <w:szCs w:val="22"/>
        </w:rPr>
        <w:t xml:space="preserve">found/located, </w:t>
      </w:r>
      <w:r w:rsidRPr="00224C0C">
        <w:rPr>
          <w:sz w:val="22"/>
          <w:szCs w:val="22"/>
        </w:rPr>
        <w:t>contacted</w:t>
      </w:r>
      <w:r w:rsidR="00DA0DAB">
        <w:rPr>
          <w:sz w:val="22"/>
          <w:szCs w:val="22"/>
        </w:rPr>
        <w:t xml:space="preserve">, and were willing to participate in the ASR </w:t>
      </w:r>
      <w:r w:rsidR="005C1CB8">
        <w:rPr>
          <w:sz w:val="22"/>
          <w:szCs w:val="22"/>
        </w:rPr>
        <w:t>about</w:t>
      </w:r>
      <w:r w:rsidRPr="00224C0C">
        <w:rPr>
          <w:sz w:val="22"/>
          <w:szCs w:val="22"/>
        </w:rPr>
        <w:t xml:space="preserve"> 8 months prior to </w:t>
      </w:r>
      <w:r w:rsidR="00DA0DAB">
        <w:rPr>
          <w:sz w:val="22"/>
          <w:szCs w:val="22"/>
        </w:rPr>
        <w:t xml:space="preserve">the scheduled </w:t>
      </w:r>
      <w:r w:rsidRPr="00224C0C">
        <w:rPr>
          <w:sz w:val="22"/>
          <w:szCs w:val="22"/>
        </w:rPr>
        <w:t>pretest administration</w:t>
      </w:r>
      <w:r w:rsidR="00DA0DAB">
        <w:rPr>
          <w:sz w:val="22"/>
          <w:szCs w:val="22"/>
        </w:rPr>
        <w:t xml:space="preserve">.  As such, </w:t>
      </w:r>
      <w:r w:rsidR="005C1CB8">
        <w:rPr>
          <w:sz w:val="22"/>
          <w:szCs w:val="22"/>
        </w:rPr>
        <w:t xml:space="preserve">the </w:t>
      </w:r>
      <w:r w:rsidR="00DA0DAB">
        <w:rPr>
          <w:sz w:val="22"/>
          <w:szCs w:val="22"/>
        </w:rPr>
        <w:t>per unit</w:t>
      </w:r>
      <w:r w:rsidR="005C1CB8">
        <w:rPr>
          <w:sz w:val="22"/>
          <w:szCs w:val="22"/>
        </w:rPr>
        <w:t xml:space="preserve"> costs of locating them and securing their participation </w:t>
      </w:r>
      <w:r w:rsidR="00DA0DAB">
        <w:rPr>
          <w:sz w:val="22"/>
          <w:szCs w:val="22"/>
        </w:rPr>
        <w:t xml:space="preserve">(a key driver of survey costs) </w:t>
      </w:r>
      <w:r w:rsidR="005C1CB8">
        <w:rPr>
          <w:sz w:val="22"/>
          <w:szCs w:val="22"/>
        </w:rPr>
        <w:t xml:space="preserve">will be </w:t>
      </w:r>
      <w:r w:rsidR="00DA0DAB">
        <w:rPr>
          <w:sz w:val="22"/>
          <w:szCs w:val="22"/>
        </w:rPr>
        <w:t xml:space="preserve">substantially reduced.  Moreover, the most recent ASR </w:t>
      </w:r>
      <w:r w:rsidRPr="00224C0C">
        <w:rPr>
          <w:sz w:val="22"/>
          <w:szCs w:val="22"/>
        </w:rPr>
        <w:t xml:space="preserve">survey interviewers </w:t>
      </w:r>
      <w:r w:rsidR="00DA0DAB">
        <w:rPr>
          <w:sz w:val="22"/>
          <w:szCs w:val="22"/>
        </w:rPr>
        <w:t xml:space="preserve">would be used in this pretest.  These interviewers </w:t>
      </w:r>
      <w:r w:rsidRPr="00224C0C">
        <w:rPr>
          <w:sz w:val="22"/>
          <w:szCs w:val="22"/>
        </w:rPr>
        <w:t xml:space="preserve">have </w:t>
      </w:r>
      <w:r w:rsidR="00DA0DAB">
        <w:rPr>
          <w:sz w:val="22"/>
          <w:szCs w:val="22"/>
        </w:rPr>
        <w:t xml:space="preserve">already </w:t>
      </w:r>
      <w:r w:rsidRPr="00224C0C">
        <w:rPr>
          <w:sz w:val="22"/>
          <w:szCs w:val="22"/>
        </w:rPr>
        <w:t>gained the trust and acceptance</w:t>
      </w:r>
      <w:r w:rsidR="00DA0DAB">
        <w:rPr>
          <w:sz w:val="22"/>
          <w:szCs w:val="22"/>
        </w:rPr>
        <w:t xml:space="preserve"> of the pretest subjects, which is another barrier to survey participation</w:t>
      </w:r>
      <w:r w:rsidRPr="00224C0C">
        <w:rPr>
          <w:sz w:val="22"/>
          <w:szCs w:val="22"/>
        </w:rPr>
        <w:t xml:space="preserve">. </w:t>
      </w:r>
      <w:r w:rsidR="00DA0DAB">
        <w:rPr>
          <w:sz w:val="22"/>
          <w:szCs w:val="22"/>
        </w:rPr>
        <w:t xml:space="preserve">This should engender more truthful and thorough responses from pretest participants to the survey, the cognitive interviews and the in-depth interviews. </w:t>
      </w:r>
      <w:r w:rsidR="00222798">
        <w:rPr>
          <w:sz w:val="22"/>
          <w:szCs w:val="22"/>
        </w:rPr>
        <w:t>T</w:t>
      </w:r>
      <w:r w:rsidR="00DA0DAB">
        <w:rPr>
          <w:sz w:val="22"/>
          <w:szCs w:val="22"/>
        </w:rPr>
        <w:t xml:space="preserve">he </w:t>
      </w:r>
      <w:r w:rsidR="00546FDB">
        <w:rPr>
          <w:sz w:val="22"/>
          <w:szCs w:val="22"/>
        </w:rPr>
        <w:t>period of time</w:t>
      </w:r>
      <w:r w:rsidR="00DA0DAB">
        <w:rPr>
          <w:sz w:val="22"/>
          <w:szCs w:val="22"/>
        </w:rPr>
        <w:t xml:space="preserve"> between </w:t>
      </w:r>
      <w:r w:rsidR="00F47E8F">
        <w:rPr>
          <w:sz w:val="22"/>
          <w:szCs w:val="22"/>
        </w:rPr>
        <w:t xml:space="preserve">the </w:t>
      </w:r>
      <w:r w:rsidR="00DA0DAB">
        <w:rPr>
          <w:sz w:val="22"/>
          <w:szCs w:val="22"/>
        </w:rPr>
        <w:t>ASR and the pretest administrations is sufficiently long that the timing</w:t>
      </w:r>
      <w:r w:rsidR="00546FDB">
        <w:rPr>
          <w:sz w:val="22"/>
          <w:szCs w:val="22"/>
        </w:rPr>
        <w:t xml:space="preserve"> of survey administration</w:t>
      </w:r>
      <w:r w:rsidR="00DA0DAB">
        <w:rPr>
          <w:sz w:val="22"/>
          <w:szCs w:val="22"/>
        </w:rPr>
        <w:t xml:space="preserve"> and </w:t>
      </w:r>
      <w:r w:rsidR="00546FDB">
        <w:rPr>
          <w:sz w:val="22"/>
          <w:szCs w:val="22"/>
        </w:rPr>
        <w:t xml:space="preserve">the </w:t>
      </w:r>
      <w:r w:rsidR="00DA0DAB">
        <w:rPr>
          <w:sz w:val="22"/>
          <w:szCs w:val="22"/>
        </w:rPr>
        <w:t>cognitive interviewing measures should not be</w:t>
      </w:r>
      <w:r w:rsidR="00DD02DC">
        <w:rPr>
          <w:sz w:val="22"/>
          <w:szCs w:val="22"/>
        </w:rPr>
        <w:t xml:space="preserve"> adversely</w:t>
      </w:r>
      <w:r w:rsidR="00DA0DAB">
        <w:rPr>
          <w:sz w:val="22"/>
          <w:szCs w:val="22"/>
        </w:rPr>
        <w:t xml:space="preserve"> affected</w:t>
      </w:r>
      <w:r w:rsidR="00DD02DC">
        <w:rPr>
          <w:sz w:val="22"/>
          <w:szCs w:val="22"/>
        </w:rPr>
        <w:t>;</w:t>
      </w:r>
      <w:r w:rsidR="00DA0DAB">
        <w:rPr>
          <w:sz w:val="22"/>
          <w:szCs w:val="22"/>
        </w:rPr>
        <w:t xml:space="preserve"> that is, the respondents will not remember the </w:t>
      </w:r>
      <w:r w:rsidR="00DD02DC">
        <w:rPr>
          <w:sz w:val="22"/>
          <w:szCs w:val="22"/>
        </w:rPr>
        <w:t xml:space="preserve">previous ASR </w:t>
      </w:r>
      <w:r w:rsidR="00DA0DAB">
        <w:rPr>
          <w:sz w:val="22"/>
          <w:szCs w:val="22"/>
        </w:rPr>
        <w:t>question wording</w:t>
      </w:r>
      <w:r w:rsidR="00DA64EB">
        <w:rPr>
          <w:sz w:val="22"/>
          <w:szCs w:val="22"/>
        </w:rPr>
        <w:t xml:space="preserve"> well enough</w:t>
      </w:r>
      <w:r w:rsidR="00DA0DAB">
        <w:rPr>
          <w:sz w:val="22"/>
          <w:szCs w:val="22"/>
        </w:rPr>
        <w:t xml:space="preserve"> to measurably affect </w:t>
      </w:r>
      <w:r w:rsidR="00DD02DC">
        <w:rPr>
          <w:sz w:val="22"/>
          <w:szCs w:val="22"/>
        </w:rPr>
        <w:t>pretest</w:t>
      </w:r>
      <w:r w:rsidR="00DA0DAB">
        <w:rPr>
          <w:sz w:val="22"/>
          <w:szCs w:val="22"/>
        </w:rPr>
        <w:t xml:space="preserve"> administration </w:t>
      </w:r>
      <w:r w:rsidR="00343243">
        <w:rPr>
          <w:sz w:val="22"/>
          <w:szCs w:val="22"/>
        </w:rPr>
        <w:t>in te</w:t>
      </w:r>
      <w:r w:rsidR="00DA64EB">
        <w:rPr>
          <w:sz w:val="22"/>
          <w:szCs w:val="22"/>
        </w:rPr>
        <w:t>r</w:t>
      </w:r>
      <w:r w:rsidR="00343243">
        <w:rPr>
          <w:sz w:val="22"/>
          <w:szCs w:val="22"/>
        </w:rPr>
        <w:t xml:space="preserve">ms of how long it takes to complete the revised survey or </w:t>
      </w:r>
      <w:r w:rsidR="00DA0DAB">
        <w:rPr>
          <w:sz w:val="22"/>
          <w:szCs w:val="22"/>
        </w:rPr>
        <w:t>comprehension</w:t>
      </w:r>
      <w:r w:rsidR="00343243">
        <w:rPr>
          <w:sz w:val="22"/>
          <w:szCs w:val="22"/>
        </w:rPr>
        <w:t xml:space="preserve"> of questions and terms</w:t>
      </w:r>
      <w:r w:rsidR="00DA0DAB">
        <w:rPr>
          <w:sz w:val="22"/>
          <w:szCs w:val="22"/>
        </w:rPr>
        <w:t xml:space="preserve">.  </w:t>
      </w:r>
    </w:p>
    <w:p w:rsidR="006652B9" w:rsidRDefault="006652B9" w:rsidP="00D743BD">
      <w:pPr>
        <w:spacing w:after="60"/>
        <w:rPr>
          <w:sz w:val="22"/>
          <w:szCs w:val="22"/>
        </w:rPr>
      </w:pPr>
    </w:p>
    <w:p w:rsidR="006D659A" w:rsidRDefault="00DA0DAB" w:rsidP="006D659A">
      <w:pPr>
        <w:rPr>
          <w:sz w:val="22"/>
          <w:szCs w:val="22"/>
        </w:rPr>
      </w:pPr>
      <w:r>
        <w:rPr>
          <w:sz w:val="22"/>
          <w:szCs w:val="22"/>
        </w:rPr>
        <w:t>On the other hand,</w:t>
      </w:r>
      <w:r w:rsidR="00224C0C" w:rsidRPr="00224C0C">
        <w:rPr>
          <w:sz w:val="22"/>
          <w:szCs w:val="22"/>
        </w:rPr>
        <w:t xml:space="preserve"> </w:t>
      </w:r>
      <w:r w:rsidR="00222798">
        <w:rPr>
          <w:sz w:val="22"/>
          <w:szCs w:val="22"/>
        </w:rPr>
        <w:t xml:space="preserve">a </w:t>
      </w:r>
      <w:r w:rsidR="00224C0C" w:rsidRPr="00224C0C">
        <w:rPr>
          <w:sz w:val="22"/>
          <w:szCs w:val="22"/>
        </w:rPr>
        <w:t xml:space="preserve">disadvantage </w:t>
      </w:r>
      <w:r w:rsidR="00DD02DC">
        <w:rPr>
          <w:sz w:val="22"/>
          <w:szCs w:val="22"/>
        </w:rPr>
        <w:t>with this sampling frame</w:t>
      </w:r>
      <w:r w:rsidR="00222798">
        <w:rPr>
          <w:sz w:val="22"/>
          <w:szCs w:val="22"/>
        </w:rPr>
        <w:t xml:space="preserve"> is the absence of more recent arrivals to the U.S., specifically those who arrived within the last two years.  Use of the most recent ASR participants in the pretest limits refugees to those arriving </w:t>
      </w:r>
      <w:r w:rsidR="00F47E8F">
        <w:rPr>
          <w:sz w:val="22"/>
          <w:szCs w:val="22"/>
        </w:rPr>
        <w:t xml:space="preserve">to the U.S. </w:t>
      </w:r>
      <w:r w:rsidR="00222798">
        <w:rPr>
          <w:sz w:val="22"/>
          <w:szCs w:val="22"/>
        </w:rPr>
        <w:t xml:space="preserve">between two and six years </w:t>
      </w:r>
      <w:r w:rsidR="00F47E8F">
        <w:rPr>
          <w:sz w:val="22"/>
          <w:szCs w:val="22"/>
        </w:rPr>
        <w:t>before survey administration</w:t>
      </w:r>
      <w:r w:rsidR="00222798">
        <w:rPr>
          <w:sz w:val="22"/>
          <w:szCs w:val="22"/>
        </w:rPr>
        <w:t xml:space="preserve">.  The risk is that refugees arriving one year ago may comprehend survey questions </w:t>
      </w:r>
      <w:r w:rsidR="00222798" w:rsidRPr="00546FDB">
        <w:rPr>
          <w:sz w:val="22"/>
          <w:szCs w:val="22"/>
        </w:rPr>
        <w:t xml:space="preserve">differently than refugees who </w:t>
      </w:r>
      <w:r w:rsidR="006652B9" w:rsidRPr="00546FDB">
        <w:rPr>
          <w:sz w:val="22"/>
          <w:szCs w:val="22"/>
        </w:rPr>
        <w:t>arrived</w:t>
      </w:r>
      <w:r w:rsidR="00222798" w:rsidRPr="00546FDB">
        <w:rPr>
          <w:sz w:val="22"/>
          <w:szCs w:val="22"/>
        </w:rPr>
        <w:t xml:space="preserve"> in the U.S. two or more years</w:t>
      </w:r>
      <w:r w:rsidR="006652B9" w:rsidRPr="00546FDB">
        <w:rPr>
          <w:sz w:val="22"/>
          <w:szCs w:val="22"/>
        </w:rPr>
        <w:t xml:space="preserve"> ago</w:t>
      </w:r>
      <w:r w:rsidR="00222798" w:rsidRPr="00546FDB">
        <w:rPr>
          <w:sz w:val="22"/>
          <w:szCs w:val="22"/>
        </w:rPr>
        <w:t xml:space="preserve">. </w:t>
      </w:r>
      <w:r w:rsidR="006652B9" w:rsidRPr="00546FDB">
        <w:rPr>
          <w:sz w:val="22"/>
          <w:szCs w:val="22"/>
        </w:rPr>
        <w:t xml:space="preserve"> This risk is acknowledged, but expected to be low</w:t>
      </w:r>
      <w:r w:rsidR="006D659A">
        <w:rPr>
          <w:sz w:val="22"/>
          <w:szCs w:val="22"/>
        </w:rPr>
        <w:t xml:space="preserve"> because human comprehension does not change dramatically from one year to the next (absent of a medical/health condition)</w:t>
      </w:r>
      <w:r w:rsidR="006652B9" w:rsidRPr="00546FDB">
        <w:rPr>
          <w:sz w:val="22"/>
          <w:szCs w:val="22"/>
        </w:rPr>
        <w:t xml:space="preserve">. </w:t>
      </w:r>
      <w:r w:rsidR="006D659A">
        <w:rPr>
          <w:sz w:val="22"/>
          <w:szCs w:val="22"/>
        </w:rPr>
        <w:t xml:space="preserve"> Also, note that the accuracy of retrospective response is of no consequence since the objective is assessing </w:t>
      </w:r>
      <w:r w:rsidR="006D659A" w:rsidRPr="006D659A">
        <w:rPr>
          <w:i/>
          <w:sz w:val="22"/>
          <w:szCs w:val="22"/>
        </w:rPr>
        <w:t>comprehension</w:t>
      </w:r>
      <w:r w:rsidR="006D659A">
        <w:rPr>
          <w:sz w:val="22"/>
          <w:szCs w:val="22"/>
        </w:rPr>
        <w:t xml:space="preserve">, not </w:t>
      </w:r>
      <w:r w:rsidR="006D659A" w:rsidRPr="006D659A">
        <w:rPr>
          <w:i/>
          <w:sz w:val="22"/>
          <w:szCs w:val="22"/>
        </w:rPr>
        <w:t>recall</w:t>
      </w:r>
      <w:r w:rsidR="006D659A">
        <w:rPr>
          <w:sz w:val="22"/>
          <w:szCs w:val="22"/>
        </w:rPr>
        <w:t>.  Moreover</w:t>
      </w:r>
      <w:r w:rsidR="00224C0C" w:rsidRPr="00224C0C">
        <w:rPr>
          <w:sz w:val="22"/>
          <w:szCs w:val="22"/>
        </w:rPr>
        <w:t xml:space="preserve">, the site visits will </w:t>
      </w:r>
      <w:r w:rsidR="006652B9">
        <w:rPr>
          <w:sz w:val="22"/>
          <w:szCs w:val="22"/>
        </w:rPr>
        <w:t>capture</w:t>
      </w:r>
      <w:r w:rsidR="00224C0C" w:rsidRPr="00224C0C">
        <w:rPr>
          <w:sz w:val="22"/>
          <w:szCs w:val="22"/>
        </w:rPr>
        <w:t xml:space="preserve"> the perspectives of service providers and stakeholders on the experiences of first-year and more recent arrivals. </w:t>
      </w:r>
    </w:p>
    <w:p w:rsidR="006D659A" w:rsidRDefault="006D659A" w:rsidP="006D659A">
      <w:pPr>
        <w:rPr>
          <w:sz w:val="22"/>
          <w:szCs w:val="22"/>
        </w:rPr>
      </w:pPr>
    </w:p>
    <w:p w:rsidR="00AE1E11" w:rsidRDefault="00224C0C" w:rsidP="006D659A">
      <w:pPr>
        <w:rPr>
          <w:sz w:val="22"/>
          <w:szCs w:val="22"/>
        </w:rPr>
      </w:pPr>
      <w:r w:rsidRPr="00224C0C">
        <w:rPr>
          <w:sz w:val="22"/>
          <w:szCs w:val="22"/>
        </w:rPr>
        <w:t>A second disadvantage of re-interviewing the 201</w:t>
      </w:r>
      <w:r w:rsidR="006652B9">
        <w:rPr>
          <w:sz w:val="22"/>
          <w:szCs w:val="22"/>
        </w:rPr>
        <w:t xml:space="preserve">6 ASR respondents is that the ASR nonresponders </w:t>
      </w:r>
      <w:r w:rsidRPr="00224C0C">
        <w:rPr>
          <w:sz w:val="22"/>
          <w:szCs w:val="22"/>
        </w:rPr>
        <w:t>may be systematically different from those who did participate</w:t>
      </w:r>
      <w:r w:rsidR="006652B9">
        <w:rPr>
          <w:sz w:val="22"/>
          <w:szCs w:val="22"/>
        </w:rPr>
        <w:t>.  I</w:t>
      </w:r>
      <w:r w:rsidRPr="00224C0C">
        <w:rPr>
          <w:sz w:val="22"/>
          <w:szCs w:val="22"/>
        </w:rPr>
        <w:t xml:space="preserve">t </w:t>
      </w:r>
      <w:r w:rsidR="003D472F">
        <w:rPr>
          <w:sz w:val="22"/>
          <w:szCs w:val="22"/>
        </w:rPr>
        <w:t>may be</w:t>
      </w:r>
      <w:r w:rsidRPr="00224C0C">
        <w:rPr>
          <w:sz w:val="22"/>
          <w:szCs w:val="22"/>
        </w:rPr>
        <w:t xml:space="preserve"> that those respondents who either were not able to be traced for current contact information or who were </w:t>
      </w:r>
      <w:r w:rsidR="00F8284E">
        <w:rPr>
          <w:sz w:val="22"/>
          <w:szCs w:val="22"/>
        </w:rPr>
        <w:t>located but</w:t>
      </w:r>
      <w:r w:rsidRPr="00224C0C">
        <w:rPr>
          <w:sz w:val="22"/>
          <w:szCs w:val="22"/>
        </w:rPr>
        <w:t xml:space="preserve"> </w:t>
      </w:r>
      <w:r w:rsidR="00F8284E">
        <w:rPr>
          <w:sz w:val="22"/>
          <w:szCs w:val="22"/>
        </w:rPr>
        <w:t>declined to</w:t>
      </w:r>
      <w:r w:rsidRPr="00224C0C">
        <w:rPr>
          <w:sz w:val="22"/>
          <w:szCs w:val="22"/>
        </w:rPr>
        <w:t xml:space="preserve"> participate may be</w:t>
      </w:r>
      <w:r w:rsidR="00F8284E">
        <w:rPr>
          <w:sz w:val="22"/>
          <w:szCs w:val="22"/>
        </w:rPr>
        <w:t xml:space="preserve"> systematically</w:t>
      </w:r>
      <w:r w:rsidRPr="00224C0C">
        <w:rPr>
          <w:sz w:val="22"/>
          <w:szCs w:val="22"/>
        </w:rPr>
        <w:t xml:space="preserve"> different from </w:t>
      </w:r>
      <w:r w:rsidR="00F8284E">
        <w:rPr>
          <w:sz w:val="22"/>
          <w:szCs w:val="22"/>
        </w:rPr>
        <w:t>ASR survey participants i</w:t>
      </w:r>
      <w:r w:rsidRPr="00224C0C">
        <w:rPr>
          <w:sz w:val="22"/>
          <w:szCs w:val="22"/>
        </w:rPr>
        <w:t>n key ways</w:t>
      </w:r>
      <w:r w:rsidR="00F8284E">
        <w:rPr>
          <w:sz w:val="22"/>
          <w:szCs w:val="22"/>
        </w:rPr>
        <w:t>:</w:t>
      </w:r>
      <w:r w:rsidRPr="00224C0C">
        <w:rPr>
          <w:sz w:val="22"/>
          <w:szCs w:val="22"/>
        </w:rPr>
        <w:t xml:space="preserve"> they may have low literacy, complicated family or employment situations, or other features that make them harder to reach. </w:t>
      </w:r>
      <w:r w:rsidR="00F8284E">
        <w:rPr>
          <w:sz w:val="22"/>
          <w:szCs w:val="22"/>
        </w:rPr>
        <w:t>A</w:t>
      </w:r>
      <w:r w:rsidR="002B73E1">
        <w:rPr>
          <w:sz w:val="22"/>
          <w:szCs w:val="22"/>
        </w:rPr>
        <w:t xml:space="preserve"> </w:t>
      </w:r>
      <w:r w:rsidR="002B73E1" w:rsidRPr="002B73E1">
        <w:rPr>
          <w:sz w:val="22"/>
          <w:szCs w:val="22"/>
        </w:rPr>
        <w:t>Chi-square Automatic Interaction Detector (CHAID)</w:t>
      </w:r>
      <w:r w:rsidR="002B73E1">
        <w:rPr>
          <w:sz w:val="22"/>
          <w:szCs w:val="22"/>
        </w:rPr>
        <w:t xml:space="preserve"> analysis of</w:t>
      </w:r>
      <w:r w:rsidR="00F8284E">
        <w:rPr>
          <w:sz w:val="22"/>
          <w:szCs w:val="22"/>
        </w:rPr>
        <w:t xml:space="preserve"> </w:t>
      </w:r>
      <w:r w:rsidR="002B73E1">
        <w:rPr>
          <w:sz w:val="22"/>
          <w:szCs w:val="22"/>
        </w:rPr>
        <w:t>nonresponse to the most recent ASR suggested that nonresponse bias could be mitigated via weighting adjustments using information on the sampling frame. These factors were built into the pretest design matrix for sampling, so it is expected that the threat of the nonrespondent risk for the pretest will be mitigated.  Moreover, t</w:t>
      </w:r>
      <w:r w:rsidRPr="00224C0C">
        <w:rPr>
          <w:sz w:val="22"/>
          <w:szCs w:val="22"/>
        </w:rPr>
        <w:t xml:space="preserve">he site visits </w:t>
      </w:r>
      <w:r w:rsidR="002B73E1">
        <w:rPr>
          <w:sz w:val="22"/>
          <w:szCs w:val="22"/>
        </w:rPr>
        <w:t>will</w:t>
      </w:r>
      <w:r w:rsidRPr="00224C0C">
        <w:rPr>
          <w:sz w:val="22"/>
          <w:szCs w:val="22"/>
        </w:rPr>
        <w:t xml:space="preserve"> help fill some of those gaps, as we hear from service providers about strategies they use to contact and communicate with the hardest to reach</w:t>
      </w:r>
      <w:r w:rsidR="002B73E1">
        <w:rPr>
          <w:sz w:val="22"/>
          <w:szCs w:val="22"/>
        </w:rPr>
        <w:t xml:space="preserve"> refugees</w:t>
      </w:r>
      <w:r w:rsidRPr="00224C0C">
        <w:rPr>
          <w:sz w:val="22"/>
          <w:szCs w:val="22"/>
        </w:rPr>
        <w:t>.</w:t>
      </w:r>
    </w:p>
    <w:p w:rsidR="00433C85" w:rsidRDefault="00433C85" w:rsidP="00D4008C">
      <w:pPr>
        <w:rPr>
          <w:sz w:val="22"/>
          <w:szCs w:val="22"/>
        </w:rPr>
      </w:pPr>
    </w:p>
    <w:p w:rsidR="00984CA2" w:rsidRDefault="00984CA2" w:rsidP="00D4008C">
      <w:pPr>
        <w:rPr>
          <w:b/>
          <w:i/>
        </w:rPr>
      </w:pPr>
      <w:r>
        <w:rPr>
          <w:b/>
          <w:i/>
        </w:rPr>
        <w:t>Universe of Data Collection Efforts</w:t>
      </w:r>
    </w:p>
    <w:p w:rsidR="00F01E40" w:rsidRPr="00F01E40" w:rsidRDefault="00F01E40" w:rsidP="00D4008C">
      <w:pPr>
        <w:rPr>
          <w:sz w:val="22"/>
          <w:szCs w:val="22"/>
        </w:rPr>
      </w:pPr>
      <w:r>
        <w:rPr>
          <w:sz w:val="22"/>
          <w:szCs w:val="22"/>
        </w:rPr>
        <w:t xml:space="preserve">Data collection efforts under this information collection request will involve a combination of survey pretest interviews, cognitive interviews and in-depth interviews from refugees, as well as in-depth interviews of </w:t>
      </w:r>
      <w:r w:rsidR="00F47E8F">
        <w:rPr>
          <w:sz w:val="22"/>
          <w:szCs w:val="22"/>
        </w:rPr>
        <w:t xml:space="preserve">resettlement </w:t>
      </w:r>
      <w:r>
        <w:rPr>
          <w:sz w:val="22"/>
          <w:szCs w:val="22"/>
        </w:rPr>
        <w:t>agency staff and community stakeholders.  These are detailed below.</w:t>
      </w:r>
    </w:p>
    <w:p w:rsidR="00F01E40" w:rsidRDefault="00F01E40" w:rsidP="00D4008C">
      <w:pPr>
        <w:rPr>
          <w:i/>
          <w:sz w:val="22"/>
          <w:szCs w:val="22"/>
        </w:rPr>
      </w:pPr>
    </w:p>
    <w:p w:rsidR="00F01E40" w:rsidRDefault="00F01E40" w:rsidP="00D4008C">
      <w:pPr>
        <w:rPr>
          <w:sz w:val="22"/>
          <w:szCs w:val="22"/>
        </w:rPr>
      </w:pPr>
      <w:r w:rsidRPr="00700E96">
        <w:rPr>
          <w:i/>
          <w:sz w:val="22"/>
          <w:szCs w:val="22"/>
        </w:rPr>
        <w:t>Pretest interviews</w:t>
      </w:r>
      <w:r>
        <w:rPr>
          <w:i/>
          <w:sz w:val="22"/>
          <w:szCs w:val="22"/>
        </w:rPr>
        <w:t xml:space="preserve"> of refugees</w:t>
      </w:r>
      <w:r>
        <w:rPr>
          <w:sz w:val="22"/>
          <w:szCs w:val="22"/>
        </w:rPr>
        <w:t xml:space="preserve">. </w:t>
      </w:r>
      <w:r w:rsidRPr="00CC4C71">
        <w:rPr>
          <w:sz w:val="22"/>
          <w:szCs w:val="22"/>
        </w:rPr>
        <w:t xml:space="preserve"> </w:t>
      </w:r>
      <w:r>
        <w:rPr>
          <w:sz w:val="22"/>
          <w:szCs w:val="22"/>
        </w:rPr>
        <w:t xml:space="preserve">A key component of the pretest study design is the use of pretest survey interviews.  A revised questionnaire has been developed to reduce cognitive and time burden on the survey respondents.  This pretest will </w:t>
      </w:r>
      <w:r w:rsidR="00D4008C">
        <w:rPr>
          <w:sz w:val="22"/>
          <w:szCs w:val="22"/>
        </w:rPr>
        <w:t>yield estimates of</w:t>
      </w:r>
      <w:r>
        <w:rPr>
          <w:sz w:val="22"/>
          <w:szCs w:val="22"/>
        </w:rPr>
        <w:t xml:space="preserve"> </w:t>
      </w:r>
      <w:r w:rsidR="00D4008C">
        <w:rPr>
          <w:sz w:val="22"/>
          <w:szCs w:val="22"/>
        </w:rPr>
        <w:t xml:space="preserve">the </w:t>
      </w:r>
      <w:r>
        <w:rPr>
          <w:sz w:val="22"/>
          <w:szCs w:val="22"/>
        </w:rPr>
        <w:t>timing of questionnaire</w:t>
      </w:r>
      <w:r w:rsidR="00D4008C">
        <w:rPr>
          <w:sz w:val="22"/>
          <w:szCs w:val="22"/>
        </w:rPr>
        <w:t xml:space="preserve"> administration</w:t>
      </w:r>
      <w:r>
        <w:rPr>
          <w:sz w:val="22"/>
          <w:szCs w:val="22"/>
        </w:rPr>
        <w:t xml:space="preserve"> </w:t>
      </w:r>
      <w:r w:rsidR="00D4008C">
        <w:rPr>
          <w:sz w:val="22"/>
          <w:szCs w:val="22"/>
        </w:rPr>
        <w:t>as well as</w:t>
      </w:r>
      <w:r>
        <w:rPr>
          <w:sz w:val="22"/>
          <w:szCs w:val="22"/>
        </w:rPr>
        <w:t xml:space="preserve"> the identification of problems with specific questions or concepts. The questionnaire will be translated into five languages</w:t>
      </w:r>
      <w:r w:rsidR="00D4008C">
        <w:rPr>
          <w:sz w:val="22"/>
          <w:szCs w:val="22"/>
        </w:rPr>
        <w:t xml:space="preserve"> (including two dialects)</w:t>
      </w:r>
      <w:r>
        <w:rPr>
          <w:sz w:val="22"/>
          <w:szCs w:val="22"/>
        </w:rPr>
        <w:t xml:space="preserve"> that have high prevalence among the pool of refugees arriving in the U.S. to capture variation in timing and comprehension across a wide array of refugees.</w:t>
      </w:r>
    </w:p>
    <w:p w:rsidR="0099212E" w:rsidRDefault="0099212E" w:rsidP="00D4008C">
      <w:pPr>
        <w:rPr>
          <w:sz w:val="22"/>
          <w:szCs w:val="22"/>
        </w:rPr>
      </w:pPr>
    </w:p>
    <w:p w:rsidR="00E73AC4" w:rsidRPr="00E73AC4" w:rsidRDefault="0099212E" w:rsidP="00E73AC4">
      <w:pPr>
        <w:rPr>
          <w:sz w:val="22"/>
          <w:szCs w:val="22"/>
        </w:rPr>
      </w:pPr>
      <w:r w:rsidRPr="00E73AC4">
        <w:rPr>
          <w:sz w:val="22"/>
          <w:szCs w:val="22"/>
        </w:rPr>
        <w:t xml:space="preserve">The revised survey instrument to be pretested appears in </w:t>
      </w:r>
      <w:r w:rsidR="00A712A5">
        <w:rPr>
          <w:sz w:val="22"/>
          <w:szCs w:val="22"/>
        </w:rPr>
        <w:t>Attachment</w:t>
      </w:r>
      <w:r w:rsidRPr="00E73AC4">
        <w:rPr>
          <w:sz w:val="22"/>
          <w:szCs w:val="22"/>
        </w:rPr>
        <w:t xml:space="preserve"> A.</w:t>
      </w:r>
      <w:r w:rsidR="00E73AC4" w:rsidRPr="00E73AC4">
        <w:rPr>
          <w:sz w:val="22"/>
          <w:szCs w:val="22"/>
        </w:rPr>
        <w:t xml:space="preserve">  A number of questions in the survey questionnaire are from the current Annual Survey of Refugees (see </w:t>
      </w:r>
      <w:r w:rsidR="00A712A5">
        <w:rPr>
          <w:sz w:val="22"/>
          <w:szCs w:val="22"/>
        </w:rPr>
        <w:t>Attachment</w:t>
      </w:r>
      <w:r w:rsidR="00E73AC4" w:rsidRPr="00E73AC4">
        <w:rPr>
          <w:sz w:val="22"/>
          <w:szCs w:val="22"/>
        </w:rPr>
        <w:t xml:space="preserve"> A, in which these questions appear in emboldened text), with minor revision to reduce cognitive burden and improve validity. New survey questions were drawn from a variety of validated reference surveys, with modifications and improvements made to language to customize for the target population of refugees. The reference surveys for these new questions include:</w:t>
      </w:r>
    </w:p>
    <w:p w:rsidR="00E73AC4" w:rsidRPr="00E73AC4" w:rsidRDefault="00E73AC4" w:rsidP="00E73AC4">
      <w:pPr>
        <w:rPr>
          <w:sz w:val="22"/>
          <w:szCs w:val="22"/>
        </w:rPr>
      </w:pPr>
    </w:p>
    <w:p w:rsidR="00E73AC4" w:rsidRPr="00E73AC4" w:rsidRDefault="00E73AC4" w:rsidP="00E73AC4">
      <w:pPr>
        <w:numPr>
          <w:ilvl w:val="0"/>
          <w:numId w:val="18"/>
        </w:numPr>
        <w:rPr>
          <w:sz w:val="22"/>
          <w:szCs w:val="22"/>
        </w:rPr>
      </w:pPr>
      <w:r w:rsidRPr="00E73AC4">
        <w:rPr>
          <w:sz w:val="22"/>
          <w:szCs w:val="22"/>
        </w:rPr>
        <w:t>American Community Survey (Census Bureau)</w:t>
      </w:r>
    </w:p>
    <w:p w:rsidR="00E73AC4" w:rsidRPr="00E73AC4" w:rsidRDefault="00E73AC4" w:rsidP="00E73AC4">
      <w:pPr>
        <w:numPr>
          <w:ilvl w:val="0"/>
          <w:numId w:val="18"/>
        </w:numPr>
        <w:rPr>
          <w:sz w:val="22"/>
          <w:szCs w:val="22"/>
        </w:rPr>
      </w:pPr>
      <w:r w:rsidRPr="00E73AC4">
        <w:rPr>
          <w:sz w:val="22"/>
          <w:szCs w:val="22"/>
        </w:rPr>
        <w:t>Current Population Survey (Census Bureau)</w:t>
      </w:r>
    </w:p>
    <w:p w:rsidR="00E73AC4" w:rsidRPr="00E73AC4" w:rsidRDefault="00E73AC4" w:rsidP="00E73AC4">
      <w:pPr>
        <w:numPr>
          <w:ilvl w:val="0"/>
          <w:numId w:val="18"/>
        </w:numPr>
        <w:rPr>
          <w:sz w:val="22"/>
          <w:szCs w:val="22"/>
        </w:rPr>
      </w:pPr>
      <w:r w:rsidRPr="00E73AC4">
        <w:rPr>
          <w:sz w:val="22"/>
          <w:szCs w:val="22"/>
        </w:rPr>
        <w:t>American Housing Survey (Census Bureau)</w:t>
      </w:r>
    </w:p>
    <w:p w:rsidR="00E73AC4" w:rsidRPr="00E73AC4" w:rsidRDefault="00E73AC4" w:rsidP="00E73AC4">
      <w:pPr>
        <w:numPr>
          <w:ilvl w:val="0"/>
          <w:numId w:val="18"/>
        </w:numPr>
        <w:rPr>
          <w:sz w:val="22"/>
          <w:szCs w:val="22"/>
        </w:rPr>
      </w:pPr>
      <w:r w:rsidRPr="00E73AC4">
        <w:rPr>
          <w:sz w:val="22"/>
          <w:szCs w:val="22"/>
        </w:rPr>
        <w:t>National Health Interview Survey (Centers for Disease Control and Prevention)</w:t>
      </w:r>
    </w:p>
    <w:p w:rsidR="00E73AC4" w:rsidRPr="00E73AC4" w:rsidRDefault="00E73AC4" w:rsidP="00E73AC4">
      <w:pPr>
        <w:numPr>
          <w:ilvl w:val="0"/>
          <w:numId w:val="18"/>
        </w:numPr>
        <w:rPr>
          <w:sz w:val="22"/>
          <w:szCs w:val="22"/>
        </w:rPr>
      </w:pPr>
      <w:r w:rsidRPr="00E73AC4">
        <w:rPr>
          <w:sz w:val="22"/>
          <w:szCs w:val="22"/>
        </w:rPr>
        <w:t>Behavioral Risk Factor Surveillance System (Centers for Disease Control and Prevention)</w:t>
      </w:r>
    </w:p>
    <w:p w:rsidR="00E73AC4" w:rsidRPr="00E73AC4" w:rsidRDefault="00E73AC4" w:rsidP="00E73AC4">
      <w:pPr>
        <w:numPr>
          <w:ilvl w:val="0"/>
          <w:numId w:val="18"/>
        </w:numPr>
        <w:rPr>
          <w:sz w:val="22"/>
          <w:szCs w:val="22"/>
        </w:rPr>
      </w:pPr>
      <w:r w:rsidRPr="00E73AC4">
        <w:rPr>
          <w:sz w:val="22"/>
          <w:szCs w:val="22"/>
        </w:rPr>
        <w:t>National Household Education Survey (Department of Education)</w:t>
      </w:r>
    </w:p>
    <w:p w:rsidR="00E73AC4" w:rsidRPr="00E73AC4" w:rsidRDefault="00E73AC4" w:rsidP="00E73AC4">
      <w:pPr>
        <w:numPr>
          <w:ilvl w:val="0"/>
          <w:numId w:val="18"/>
        </w:numPr>
        <w:rPr>
          <w:sz w:val="22"/>
          <w:szCs w:val="22"/>
        </w:rPr>
      </w:pPr>
      <w:r w:rsidRPr="00E73AC4">
        <w:rPr>
          <w:sz w:val="22"/>
          <w:szCs w:val="22"/>
        </w:rPr>
        <w:t>National Agricultural Workers Survey (Department of Labor)</w:t>
      </w:r>
    </w:p>
    <w:p w:rsidR="00E73AC4" w:rsidRPr="00E73AC4" w:rsidRDefault="00E73AC4" w:rsidP="00E73AC4">
      <w:pPr>
        <w:numPr>
          <w:ilvl w:val="0"/>
          <w:numId w:val="18"/>
        </w:numPr>
        <w:rPr>
          <w:sz w:val="22"/>
          <w:szCs w:val="22"/>
        </w:rPr>
      </w:pPr>
      <w:r w:rsidRPr="00E73AC4">
        <w:rPr>
          <w:sz w:val="22"/>
          <w:szCs w:val="22"/>
        </w:rPr>
        <w:t>Settlement Outcomes of New Arrivals (Australia Department of Immigrant and Border Protection)</w:t>
      </w:r>
    </w:p>
    <w:p w:rsidR="00E73AC4" w:rsidRPr="00E73AC4" w:rsidRDefault="00E73AC4" w:rsidP="00E73AC4">
      <w:pPr>
        <w:numPr>
          <w:ilvl w:val="0"/>
          <w:numId w:val="18"/>
        </w:numPr>
        <w:rPr>
          <w:sz w:val="22"/>
          <w:szCs w:val="22"/>
        </w:rPr>
      </w:pPr>
      <w:r w:rsidRPr="00E73AC4">
        <w:rPr>
          <w:sz w:val="22"/>
          <w:szCs w:val="22"/>
        </w:rPr>
        <w:t>Longitudinal Survey of Immigrants to Canada (Statistics Canada)</w:t>
      </w:r>
    </w:p>
    <w:p w:rsidR="00E73AC4" w:rsidRPr="00E73AC4" w:rsidRDefault="00E73AC4" w:rsidP="00E73AC4">
      <w:pPr>
        <w:numPr>
          <w:ilvl w:val="0"/>
          <w:numId w:val="18"/>
        </w:numPr>
        <w:rPr>
          <w:sz w:val="22"/>
          <w:szCs w:val="22"/>
        </w:rPr>
      </w:pPr>
      <w:r w:rsidRPr="00E73AC4">
        <w:rPr>
          <w:sz w:val="22"/>
          <w:szCs w:val="22"/>
        </w:rPr>
        <w:t>DC Promise Neighborhood Initiative Survey (Urban Institute)</w:t>
      </w:r>
    </w:p>
    <w:p w:rsidR="00E73AC4" w:rsidRPr="00E73AC4" w:rsidRDefault="00E73AC4" w:rsidP="00E73AC4">
      <w:pPr>
        <w:numPr>
          <w:ilvl w:val="0"/>
          <w:numId w:val="18"/>
        </w:numPr>
        <w:rPr>
          <w:sz w:val="22"/>
          <w:szCs w:val="22"/>
        </w:rPr>
      </w:pPr>
      <w:r w:rsidRPr="00E73AC4">
        <w:rPr>
          <w:sz w:val="22"/>
          <w:szCs w:val="22"/>
        </w:rPr>
        <w:t>New Immigrant Survey (Princeton University)</w:t>
      </w:r>
    </w:p>
    <w:p w:rsidR="00E73AC4" w:rsidRPr="00E73AC4" w:rsidRDefault="00E73AC4" w:rsidP="00E73AC4">
      <w:pPr>
        <w:numPr>
          <w:ilvl w:val="0"/>
          <w:numId w:val="18"/>
        </w:numPr>
        <w:rPr>
          <w:sz w:val="22"/>
          <w:szCs w:val="22"/>
        </w:rPr>
      </w:pPr>
      <w:r w:rsidRPr="00E73AC4">
        <w:rPr>
          <w:sz w:val="22"/>
          <w:szCs w:val="22"/>
        </w:rPr>
        <w:t>Children of Immigrants Longitudinal Survey (Portes and Rumbaut 1991-2006)</w:t>
      </w:r>
    </w:p>
    <w:p w:rsidR="00E73AC4" w:rsidRPr="00E73AC4" w:rsidRDefault="00E73AC4" w:rsidP="00E73AC4">
      <w:pPr>
        <w:numPr>
          <w:ilvl w:val="0"/>
          <w:numId w:val="18"/>
        </w:numPr>
        <w:rPr>
          <w:sz w:val="22"/>
          <w:szCs w:val="22"/>
        </w:rPr>
      </w:pPr>
      <w:r w:rsidRPr="00E73AC4">
        <w:rPr>
          <w:sz w:val="22"/>
          <w:szCs w:val="22"/>
        </w:rPr>
        <w:t>Survey of Refugee Integration (Northwestern University)</w:t>
      </w:r>
    </w:p>
    <w:p w:rsidR="00E73AC4" w:rsidRPr="00E73AC4" w:rsidRDefault="00E73AC4" w:rsidP="00E73AC4">
      <w:pPr>
        <w:numPr>
          <w:ilvl w:val="0"/>
          <w:numId w:val="18"/>
        </w:numPr>
        <w:rPr>
          <w:sz w:val="22"/>
          <w:szCs w:val="22"/>
        </w:rPr>
      </w:pPr>
      <w:r w:rsidRPr="00E73AC4">
        <w:rPr>
          <w:sz w:val="22"/>
          <w:szCs w:val="22"/>
        </w:rPr>
        <w:t>Refugee Integration Survey and Evaluation (Colorado Department of Human Services)</w:t>
      </w:r>
    </w:p>
    <w:p w:rsidR="00E73AC4" w:rsidRPr="00E73AC4" w:rsidRDefault="00E73AC4" w:rsidP="00E73AC4">
      <w:pPr>
        <w:numPr>
          <w:ilvl w:val="0"/>
          <w:numId w:val="18"/>
        </w:numPr>
        <w:rPr>
          <w:sz w:val="22"/>
          <w:szCs w:val="22"/>
        </w:rPr>
      </w:pPr>
      <w:r w:rsidRPr="00E73AC4">
        <w:rPr>
          <w:sz w:val="22"/>
          <w:szCs w:val="22"/>
        </w:rPr>
        <w:t>Survey of College-Educated Immigrants in the United States (IMPRINT and World Education Services)</w:t>
      </w:r>
    </w:p>
    <w:p w:rsidR="00E73AC4" w:rsidRPr="00E73AC4" w:rsidRDefault="00E73AC4" w:rsidP="00E73AC4">
      <w:pPr>
        <w:numPr>
          <w:ilvl w:val="0"/>
          <w:numId w:val="18"/>
        </w:numPr>
        <w:rPr>
          <w:color w:val="FF0000"/>
          <w:sz w:val="22"/>
          <w:szCs w:val="22"/>
        </w:rPr>
      </w:pPr>
      <w:r w:rsidRPr="00E73AC4">
        <w:rPr>
          <w:sz w:val="22"/>
          <w:szCs w:val="22"/>
        </w:rPr>
        <w:t>Refugee Integration Scale (Beversluis et al. 2017)</w:t>
      </w:r>
    </w:p>
    <w:p w:rsidR="0099212E" w:rsidRDefault="0099212E" w:rsidP="00D4008C">
      <w:pPr>
        <w:rPr>
          <w:sz w:val="22"/>
          <w:szCs w:val="22"/>
        </w:rPr>
      </w:pPr>
    </w:p>
    <w:p w:rsidR="00F01E40" w:rsidRDefault="00F01E40" w:rsidP="00D4008C">
      <w:pPr>
        <w:rPr>
          <w:sz w:val="22"/>
          <w:szCs w:val="22"/>
        </w:rPr>
      </w:pPr>
    </w:p>
    <w:p w:rsidR="00F01E40" w:rsidRDefault="00F01E40" w:rsidP="00D4008C">
      <w:pPr>
        <w:rPr>
          <w:sz w:val="22"/>
          <w:szCs w:val="22"/>
        </w:rPr>
      </w:pPr>
      <w:r w:rsidRPr="00700E96">
        <w:rPr>
          <w:i/>
          <w:sz w:val="22"/>
          <w:szCs w:val="22"/>
        </w:rPr>
        <w:t>Cognitive interviews</w:t>
      </w:r>
      <w:r>
        <w:rPr>
          <w:i/>
          <w:sz w:val="22"/>
          <w:szCs w:val="22"/>
        </w:rPr>
        <w:t xml:space="preserve"> of refugees</w:t>
      </w:r>
      <w:r w:rsidRPr="00700E96">
        <w:rPr>
          <w:i/>
          <w:sz w:val="22"/>
          <w:szCs w:val="22"/>
        </w:rPr>
        <w:t>.</w:t>
      </w:r>
      <w:r>
        <w:rPr>
          <w:sz w:val="22"/>
          <w:szCs w:val="22"/>
        </w:rPr>
        <w:t xml:space="preserve"> </w:t>
      </w:r>
      <w:r w:rsidR="002B73E1">
        <w:rPr>
          <w:sz w:val="22"/>
          <w:szCs w:val="22"/>
        </w:rPr>
        <w:t>After completing the survey, roughly 60%</w:t>
      </w:r>
      <w:r>
        <w:rPr>
          <w:sz w:val="22"/>
          <w:szCs w:val="22"/>
        </w:rPr>
        <w:t xml:space="preserve"> of the refugee pretest participants will undergo cognitive interviews.  These will provide insights into cultural and cognitive issues associated with specific questions in the revised survey instrument</w:t>
      </w:r>
      <w:r w:rsidR="00BC783D">
        <w:rPr>
          <w:sz w:val="22"/>
          <w:szCs w:val="22"/>
        </w:rPr>
        <w:t xml:space="preserve"> and</w:t>
      </w:r>
      <w:r>
        <w:rPr>
          <w:sz w:val="22"/>
          <w:szCs w:val="22"/>
        </w:rPr>
        <w:t xml:space="preserve"> will be useful for identifying more easily understandable </w:t>
      </w:r>
      <w:r w:rsidR="00BC783D">
        <w:rPr>
          <w:sz w:val="22"/>
          <w:szCs w:val="22"/>
        </w:rPr>
        <w:t>language or terminology</w:t>
      </w:r>
      <w:r>
        <w:rPr>
          <w:sz w:val="22"/>
          <w:szCs w:val="22"/>
        </w:rPr>
        <w:t xml:space="preserve"> to capture the information being requested in the survey.</w:t>
      </w:r>
    </w:p>
    <w:p w:rsidR="0034751A" w:rsidRDefault="0034751A" w:rsidP="00D4008C">
      <w:pPr>
        <w:rPr>
          <w:sz w:val="22"/>
          <w:szCs w:val="22"/>
        </w:rPr>
      </w:pPr>
    </w:p>
    <w:p w:rsidR="00F01E40" w:rsidRDefault="0034751A" w:rsidP="00D4008C">
      <w:pPr>
        <w:rPr>
          <w:sz w:val="22"/>
          <w:szCs w:val="22"/>
        </w:rPr>
      </w:pPr>
      <w:r>
        <w:rPr>
          <w:sz w:val="22"/>
          <w:szCs w:val="22"/>
        </w:rPr>
        <w:t xml:space="preserve">The cognitive interview protocol </w:t>
      </w:r>
      <w:r w:rsidR="00BD590E">
        <w:rPr>
          <w:sz w:val="22"/>
          <w:szCs w:val="22"/>
        </w:rPr>
        <w:t>is provided in</w:t>
      </w:r>
      <w:r>
        <w:rPr>
          <w:sz w:val="22"/>
          <w:szCs w:val="22"/>
        </w:rPr>
        <w:t xml:space="preserve"> </w:t>
      </w:r>
      <w:r w:rsidR="00A712A5">
        <w:rPr>
          <w:sz w:val="22"/>
          <w:szCs w:val="22"/>
        </w:rPr>
        <w:t>Attachment</w:t>
      </w:r>
      <w:r>
        <w:rPr>
          <w:sz w:val="22"/>
          <w:szCs w:val="22"/>
        </w:rPr>
        <w:t xml:space="preserve"> B.</w:t>
      </w:r>
    </w:p>
    <w:p w:rsidR="0034751A" w:rsidRDefault="0034751A" w:rsidP="00D4008C">
      <w:pPr>
        <w:rPr>
          <w:sz w:val="22"/>
          <w:szCs w:val="22"/>
        </w:rPr>
      </w:pPr>
    </w:p>
    <w:p w:rsidR="00984CA2" w:rsidRDefault="00F01E40" w:rsidP="00D4008C">
      <w:pPr>
        <w:rPr>
          <w:sz w:val="22"/>
          <w:szCs w:val="22"/>
        </w:rPr>
      </w:pPr>
      <w:r w:rsidRPr="00700E96">
        <w:rPr>
          <w:i/>
          <w:sz w:val="22"/>
          <w:szCs w:val="22"/>
        </w:rPr>
        <w:t>In-</w:t>
      </w:r>
      <w:r w:rsidR="00DA64EB">
        <w:rPr>
          <w:i/>
          <w:sz w:val="22"/>
          <w:szCs w:val="22"/>
        </w:rPr>
        <w:t>d</w:t>
      </w:r>
      <w:r w:rsidRPr="00700E96">
        <w:rPr>
          <w:i/>
          <w:sz w:val="22"/>
          <w:szCs w:val="22"/>
        </w:rPr>
        <w:t>epth interviews</w:t>
      </w:r>
      <w:r>
        <w:rPr>
          <w:i/>
          <w:sz w:val="22"/>
          <w:szCs w:val="22"/>
        </w:rPr>
        <w:t xml:space="preserve"> of refugees</w:t>
      </w:r>
      <w:r w:rsidRPr="00700E96">
        <w:rPr>
          <w:i/>
          <w:sz w:val="22"/>
          <w:szCs w:val="22"/>
        </w:rPr>
        <w:t>.</w:t>
      </w:r>
      <w:r>
        <w:rPr>
          <w:sz w:val="22"/>
          <w:szCs w:val="22"/>
        </w:rPr>
        <w:t xml:space="preserve">  The </w:t>
      </w:r>
      <w:r w:rsidR="002B73E1">
        <w:rPr>
          <w:sz w:val="22"/>
          <w:szCs w:val="22"/>
        </w:rPr>
        <w:t>remainder</w:t>
      </w:r>
      <w:r>
        <w:rPr>
          <w:sz w:val="22"/>
          <w:szCs w:val="22"/>
        </w:rPr>
        <w:t xml:space="preserve"> of the pretest participants (i.e., those not doing the cognitive interview) will undertake an in-depth semi-structured interview. </w:t>
      </w:r>
      <w:r w:rsidRPr="009400AC">
        <w:rPr>
          <w:sz w:val="22"/>
          <w:szCs w:val="22"/>
        </w:rPr>
        <w:t>In-depth interviews will be audio-recorded (with permission of the respondent), transcribed, and translated into English.</w:t>
      </w:r>
    </w:p>
    <w:p w:rsidR="00F01E40" w:rsidRDefault="00F01E40" w:rsidP="00D4008C">
      <w:pPr>
        <w:rPr>
          <w:sz w:val="22"/>
          <w:szCs w:val="22"/>
        </w:rPr>
      </w:pPr>
    </w:p>
    <w:p w:rsidR="0034751A" w:rsidRDefault="0034751A" w:rsidP="00D4008C">
      <w:pPr>
        <w:rPr>
          <w:sz w:val="22"/>
          <w:szCs w:val="22"/>
        </w:rPr>
      </w:pPr>
      <w:r w:rsidRPr="0034751A">
        <w:rPr>
          <w:sz w:val="22"/>
          <w:szCs w:val="22"/>
        </w:rPr>
        <w:t xml:space="preserve">The </w:t>
      </w:r>
      <w:r>
        <w:rPr>
          <w:sz w:val="22"/>
          <w:szCs w:val="22"/>
        </w:rPr>
        <w:t>in-depth refugee</w:t>
      </w:r>
      <w:r w:rsidRPr="0034751A">
        <w:rPr>
          <w:sz w:val="22"/>
          <w:szCs w:val="22"/>
        </w:rPr>
        <w:t xml:space="preserve"> interview protocol </w:t>
      </w:r>
      <w:r w:rsidR="00BD590E">
        <w:rPr>
          <w:sz w:val="22"/>
          <w:szCs w:val="22"/>
        </w:rPr>
        <w:t>is provided in</w:t>
      </w:r>
      <w:r w:rsidRPr="0034751A">
        <w:rPr>
          <w:sz w:val="22"/>
          <w:szCs w:val="22"/>
        </w:rPr>
        <w:t xml:space="preserve"> </w:t>
      </w:r>
      <w:r w:rsidR="00A712A5">
        <w:rPr>
          <w:sz w:val="22"/>
          <w:szCs w:val="22"/>
        </w:rPr>
        <w:t>Attachment</w:t>
      </w:r>
      <w:r w:rsidRPr="0034751A">
        <w:rPr>
          <w:sz w:val="22"/>
          <w:szCs w:val="22"/>
        </w:rPr>
        <w:t xml:space="preserve"> </w:t>
      </w:r>
      <w:r>
        <w:rPr>
          <w:sz w:val="22"/>
          <w:szCs w:val="22"/>
        </w:rPr>
        <w:t>C</w:t>
      </w:r>
      <w:r w:rsidRPr="0034751A">
        <w:rPr>
          <w:sz w:val="22"/>
          <w:szCs w:val="22"/>
        </w:rPr>
        <w:t>.</w:t>
      </w:r>
    </w:p>
    <w:p w:rsidR="0034751A" w:rsidRDefault="0034751A" w:rsidP="00F01E40">
      <w:pPr>
        <w:spacing w:after="60"/>
        <w:rPr>
          <w:sz w:val="22"/>
          <w:szCs w:val="22"/>
        </w:rPr>
      </w:pPr>
    </w:p>
    <w:p w:rsidR="00F01E40" w:rsidRPr="00F01E40" w:rsidRDefault="00F01E40" w:rsidP="00F01E40">
      <w:pPr>
        <w:spacing w:after="60"/>
        <w:rPr>
          <w:sz w:val="22"/>
          <w:szCs w:val="22"/>
        </w:rPr>
      </w:pPr>
      <w:r>
        <w:rPr>
          <w:i/>
          <w:sz w:val="22"/>
          <w:szCs w:val="22"/>
        </w:rPr>
        <w:t>In-depth interviews</w:t>
      </w:r>
      <w:r w:rsidR="002B73E1">
        <w:rPr>
          <w:i/>
          <w:sz w:val="22"/>
          <w:szCs w:val="22"/>
        </w:rPr>
        <w:t xml:space="preserve"> and focus groups</w:t>
      </w:r>
      <w:r>
        <w:rPr>
          <w:i/>
          <w:sz w:val="22"/>
          <w:szCs w:val="22"/>
        </w:rPr>
        <w:t xml:space="preserve"> of </w:t>
      </w:r>
      <w:r w:rsidR="00381723">
        <w:rPr>
          <w:i/>
          <w:sz w:val="22"/>
          <w:szCs w:val="22"/>
        </w:rPr>
        <w:t xml:space="preserve">refugee resettlement agency </w:t>
      </w:r>
      <w:r>
        <w:rPr>
          <w:i/>
          <w:sz w:val="22"/>
          <w:szCs w:val="22"/>
        </w:rPr>
        <w:t>staff and community stakeholders.</w:t>
      </w:r>
      <w:r>
        <w:rPr>
          <w:sz w:val="22"/>
          <w:szCs w:val="22"/>
        </w:rPr>
        <w:t xml:space="preserve">  </w:t>
      </w:r>
      <w:r w:rsidR="00415F31">
        <w:rPr>
          <w:sz w:val="22"/>
          <w:szCs w:val="22"/>
        </w:rPr>
        <w:t xml:space="preserve">Focus groups and in-depth interviews will be conducted in two sites with </w:t>
      </w:r>
      <w:r w:rsidR="00415F31" w:rsidRPr="00415F31">
        <w:rPr>
          <w:sz w:val="22"/>
          <w:szCs w:val="22"/>
        </w:rPr>
        <w:t>refugee resettlement service providers, community and faith-based organizations, non-refugee-specific service providers, school district and other municipal and state level officials, ethnic media, and other stakeholders such as major refugee employers at each site.</w:t>
      </w:r>
      <w:r w:rsidR="00415F31">
        <w:rPr>
          <w:sz w:val="22"/>
          <w:szCs w:val="22"/>
        </w:rPr>
        <w:t xml:space="preserve">  This qualitative data collection will collect information from service provider</w:t>
      </w:r>
      <w:r w:rsidR="00BD590E">
        <w:rPr>
          <w:sz w:val="22"/>
          <w:szCs w:val="22"/>
        </w:rPr>
        <w:t>s</w:t>
      </w:r>
      <w:r w:rsidR="00415F31">
        <w:rPr>
          <w:sz w:val="22"/>
          <w:szCs w:val="22"/>
        </w:rPr>
        <w:t xml:space="preserve"> and </w:t>
      </w:r>
      <w:r w:rsidR="00BD590E">
        <w:rPr>
          <w:sz w:val="22"/>
          <w:szCs w:val="22"/>
        </w:rPr>
        <w:t xml:space="preserve">capture </w:t>
      </w:r>
      <w:r w:rsidR="00415F31">
        <w:rPr>
          <w:sz w:val="22"/>
          <w:szCs w:val="22"/>
        </w:rPr>
        <w:t>community</w:t>
      </w:r>
      <w:r w:rsidR="00415F31" w:rsidRPr="00415F31">
        <w:rPr>
          <w:sz w:val="22"/>
          <w:szCs w:val="22"/>
        </w:rPr>
        <w:t xml:space="preserve"> </w:t>
      </w:r>
      <w:r w:rsidR="00415F31">
        <w:rPr>
          <w:sz w:val="22"/>
          <w:szCs w:val="22"/>
        </w:rPr>
        <w:t>perspectives and experiences about</w:t>
      </w:r>
      <w:r w:rsidR="00415F31" w:rsidRPr="00415F31">
        <w:rPr>
          <w:sz w:val="22"/>
          <w:szCs w:val="22"/>
        </w:rPr>
        <w:t xml:space="preserve"> refugee integration and self-sufficiency</w:t>
      </w:r>
      <w:r w:rsidR="00415F31">
        <w:rPr>
          <w:sz w:val="22"/>
          <w:szCs w:val="22"/>
        </w:rPr>
        <w:t xml:space="preserve">, </w:t>
      </w:r>
      <w:r w:rsidR="00415F31" w:rsidRPr="00415F31">
        <w:rPr>
          <w:sz w:val="22"/>
          <w:szCs w:val="22"/>
        </w:rPr>
        <w:t>cultural sensitivities</w:t>
      </w:r>
      <w:r w:rsidR="00415F31">
        <w:rPr>
          <w:sz w:val="22"/>
          <w:szCs w:val="22"/>
        </w:rPr>
        <w:t>, communication and engagement strategies, and perspectives on barriers and</w:t>
      </w:r>
      <w:r w:rsidR="0099212E">
        <w:rPr>
          <w:sz w:val="22"/>
          <w:szCs w:val="22"/>
        </w:rPr>
        <w:t xml:space="preserve"> facilitators to resettlement.</w:t>
      </w:r>
    </w:p>
    <w:p w:rsidR="00F01E40" w:rsidRDefault="00F01E40" w:rsidP="00F01E40">
      <w:pPr>
        <w:spacing w:after="60"/>
        <w:rPr>
          <w:sz w:val="22"/>
          <w:szCs w:val="22"/>
        </w:rPr>
      </w:pPr>
    </w:p>
    <w:p w:rsidR="0034751A" w:rsidRDefault="0034751A" w:rsidP="00F01E40">
      <w:pPr>
        <w:spacing w:after="60"/>
        <w:rPr>
          <w:sz w:val="22"/>
          <w:szCs w:val="22"/>
        </w:rPr>
      </w:pPr>
      <w:r w:rsidRPr="0034751A">
        <w:rPr>
          <w:sz w:val="22"/>
          <w:szCs w:val="22"/>
        </w:rPr>
        <w:t xml:space="preserve">The </w:t>
      </w:r>
      <w:r>
        <w:rPr>
          <w:sz w:val="22"/>
          <w:szCs w:val="22"/>
        </w:rPr>
        <w:t>in-depth</w:t>
      </w:r>
      <w:r w:rsidRPr="0034751A">
        <w:rPr>
          <w:sz w:val="22"/>
          <w:szCs w:val="22"/>
        </w:rPr>
        <w:t xml:space="preserve"> interview protocol </w:t>
      </w:r>
      <w:r>
        <w:rPr>
          <w:sz w:val="22"/>
          <w:szCs w:val="22"/>
        </w:rPr>
        <w:t xml:space="preserve">and focus group protocol are designed to elicit similar information </w:t>
      </w:r>
      <w:r w:rsidR="00BD590E">
        <w:rPr>
          <w:sz w:val="22"/>
          <w:szCs w:val="22"/>
        </w:rPr>
        <w:t xml:space="preserve">from these different respondents </w:t>
      </w:r>
      <w:r>
        <w:rPr>
          <w:sz w:val="22"/>
          <w:szCs w:val="22"/>
        </w:rPr>
        <w:t xml:space="preserve">and </w:t>
      </w:r>
      <w:r w:rsidR="00BD590E">
        <w:rPr>
          <w:sz w:val="22"/>
          <w:szCs w:val="22"/>
        </w:rPr>
        <w:t>are provided in</w:t>
      </w:r>
      <w:r w:rsidRPr="0034751A">
        <w:rPr>
          <w:sz w:val="22"/>
          <w:szCs w:val="22"/>
        </w:rPr>
        <w:t xml:space="preserve"> </w:t>
      </w:r>
      <w:r w:rsidR="00A712A5">
        <w:rPr>
          <w:sz w:val="22"/>
          <w:szCs w:val="22"/>
        </w:rPr>
        <w:t>Attachment</w:t>
      </w:r>
      <w:r w:rsidR="00BD590E">
        <w:rPr>
          <w:sz w:val="22"/>
          <w:szCs w:val="22"/>
        </w:rPr>
        <w:t>s</w:t>
      </w:r>
      <w:r w:rsidRPr="0034751A">
        <w:rPr>
          <w:sz w:val="22"/>
          <w:szCs w:val="22"/>
        </w:rPr>
        <w:t xml:space="preserve"> </w:t>
      </w:r>
      <w:r>
        <w:rPr>
          <w:sz w:val="22"/>
          <w:szCs w:val="22"/>
        </w:rPr>
        <w:t>D and</w:t>
      </w:r>
      <w:r w:rsidR="00A712A5">
        <w:rPr>
          <w:sz w:val="22"/>
          <w:szCs w:val="22"/>
        </w:rPr>
        <w:t xml:space="preserve"> </w:t>
      </w:r>
      <w:r>
        <w:rPr>
          <w:sz w:val="22"/>
          <w:szCs w:val="22"/>
        </w:rPr>
        <w:t>E, respectively</w:t>
      </w:r>
      <w:r w:rsidRPr="0034751A">
        <w:rPr>
          <w:sz w:val="22"/>
          <w:szCs w:val="22"/>
        </w:rPr>
        <w:t>.</w:t>
      </w:r>
    </w:p>
    <w:p w:rsidR="004554B1" w:rsidRDefault="004554B1" w:rsidP="00D90EF6"/>
    <w:p w:rsidR="0034751A" w:rsidRDefault="0034751A" w:rsidP="00D90EF6"/>
    <w:p w:rsidR="00945CD6" w:rsidRDefault="00292B70" w:rsidP="00436F5E">
      <w:pPr>
        <w:spacing w:after="120"/>
        <w:rPr>
          <w:b/>
        </w:rPr>
      </w:pPr>
      <w:r>
        <w:rPr>
          <w:b/>
        </w:rPr>
        <w:t xml:space="preserve">A3. </w:t>
      </w:r>
      <w:r w:rsidR="00945CD6" w:rsidRPr="0072204D">
        <w:rPr>
          <w:b/>
        </w:rPr>
        <w:t>Improved Information Technology to Reduce Burden</w:t>
      </w:r>
    </w:p>
    <w:p w:rsidR="0034751A" w:rsidRDefault="0034751A" w:rsidP="00436F5E">
      <w:pPr>
        <w:spacing w:after="120"/>
        <w:rPr>
          <w:sz w:val="22"/>
          <w:szCs w:val="22"/>
        </w:rPr>
      </w:pPr>
      <w:r>
        <w:rPr>
          <w:sz w:val="22"/>
          <w:szCs w:val="22"/>
        </w:rPr>
        <w:t xml:space="preserve">This pretest is intended to collect information about how refugees navigate orally administered pretest survey questions in terms of comprehension, burden and timing. It is therefore unnecessary and would be highly inefficient from both cost and labor perspectives to program the pretest survey instrument into a Computer Assisted Telephone Interview system. Nor is this feasible given the available resources and schedule.  Interviews will be completed in hard copy using experienced interviewers who have participated in the most recent ASR.  </w:t>
      </w:r>
    </w:p>
    <w:p w:rsidR="005046F0" w:rsidRDefault="0034751A" w:rsidP="00B616BB">
      <w:pPr>
        <w:spacing w:after="120"/>
        <w:rPr>
          <w:sz w:val="22"/>
          <w:szCs w:val="22"/>
        </w:rPr>
      </w:pPr>
      <w:r>
        <w:rPr>
          <w:sz w:val="22"/>
          <w:szCs w:val="22"/>
        </w:rPr>
        <w:t xml:space="preserve">The qualitative information being gathered will be collected via written notes onto laptops and will be </w:t>
      </w:r>
      <w:r w:rsidR="00381723">
        <w:rPr>
          <w:sz w:val="22"/>
          <w:szCs w:val="22"/>
        </w:rPr>
        <w:t>audio</w:t>
      </w:r>
      <w:r w:rsidR="00D4008C">
        <w:rPr>
          <w:sz w:val="22"/>
          <w:szCs w:val="22"/>
        </w:rPr>
        <w:t>-</w:t>
      </w:r>
      <w:r w:rsidR="00381723">
        <w:rPr>
          <w:sz w:val="22"/>
          <w:szCs w:val="22"/>
        </w:rPr>
        <w:t xml:space="preserve">recorded </w:t>
      </w:r>
      <w:r>
        <w:rPr>
          <w:sz w:val="22"/>
          <w:szCs w:val="22"/>
        </w:rPr>
        <w:t xml:space="preserve">and transcribed (and translated into English when </w:t>
      </w:r>
      <w:r w:rsidR="00B616BB">
        <w:rPr>
          <w:sz w:val="22"/>
          <w:szCs w:val="22"/>
        </w:rPr>
        <w:t>collected in a non-English language).</w:t>
      </w:r>
    </w:p>
    <w:p w:rsidR="00B616BB" w:rsidRDefault="00B616BB" w:rsidP="00B616BB">
      <w:pPr>
        <w:spacing w:after="120"/>
      </w:pPr>
    </w:p>
    <w:p w:rsidR="00945CD6" w:rsidRDefault="00292B70" w:rsidP="00436F5E">
      <w:pPr>
        <w:spacing w:after="120"/>
        <w:rPr>
          <w:b/>
        </w:rPr>
      </w:pPr>
      <w:r>
        <w:rPr>
          <w:b/>
        </w:rPr>
        <w:t xml:space="preserve">A4. </w:t>
      </w:r>
      <w:r w:rsidR="00945CD6" w:rsidRPr="0072204D">
        <w:rPr>
          <w:b/>
        </w:rPr>
        <w:t>Efforts to Identify Duplication</w:t>
      </w:r>
    </w:p>
    <w:p w:rsidR="005046F0" w:rsidRDefault="00B616BB" w:rsidP="00B616BB">
      <w:pPr>
        <w:spacing w:after="120"/>
      </w:pPr>
      <w:r w:rsidRPr="00B616BB">
        <w:rPr>
          <w:sz w:val="22"/>
          <w:szCs w:val="22"/>
        </w:rPr>
        <w:t>No similar data are avail</w:t>
      </w:r>
      <w:r>
        <w:rPr>
          <w:sz w:val="22"/>
          <w:szCs w:val="22"/>
        </w:rPr>
        <w:t xml:space="preserve">able from other sources. </w:t>
      </w:r>
      <w:r w:rsidR="00381723">
        <w:rPr>
          <w:sz w:val="22"/>
          <w:szCs w:val="22"/>
        </w:rPr>
        <w:t>T</w:t>
      </w:r>
      <w:r w:rsidRPr="00B616BB">
        <w:rPr>
          <w:sz w:val="22"/>
          <w:szCs w:val="22"/>
        </w:rPr>
        <w:t>here are no available</w:t>
      </w:r>
      <w:r w:rsidR="00381723">
        <w:rPr>
          <w:sz w:val="22"/>
          <w:szCs w:val="22"/>
        </w:rPr>
        <w:t xml:space="preserve"> national</w:t>
      </w:r>
      <w:r w:rsidRPr="00B616BB">
        <w:rPr>
          <w:sz w:val="22"/>
          <w:szCs w:val="22"/>
        </w:rPr>
        <w:t xml:space="preserve"> data </w:t>
      </w:r>
      <w:r>
        <w:rPr>
          <w:sz w:val="22"/>
          <w:szCs w:val="22"/>
        </w:rPr>
        <w:t>on refugee</w:t>
      </w:r>
      <w:r w:rsidRPr="00B616BB">
        <w:rPr>
          <w:sz w:val="22"/>
          <w:szCs w:val="22"/>
        </w:rPr>
        <w:t xml:space="preserve"> </w:t>
      </w:r>
      <w:r w:rsidR="00381723">
        <w:rPr>
          <w:sz w:val="22"/>
          <w:szCs w:val="22"/>
        </w:rPr>
        <w:t xml:space="preserve">self-sufficiency and integration </w:t>
      </w:r>
      <w:r w:rsidRPr="00B616BB">
        <w:rPr>
          <w:sz w:val="22"/>
          <w:szCs w:val="22"/>
        </w:rPr>
        <w:t xml:space="preserve">in the U.S over the five-year period after arrival. </w:t>
      </w:r>
      <w:r w:rsidR="00CA360F">
        <w:rPr>
          <w:sz w:val="22"/>
          <w:szCs w:val="22"/>
        </w:rPr>
        <w:t>Th</w:t>
      </w:r>
      <w:r w:rsidR="00E4010F">
        <w:rPr>
          <w:sz w:val="22"/>
          <w:szCs w:val="22"/>
        </w:rPr>
        <w:t>is work</w:t>
      </w:r>
      <w:r w:rsidR="006D659A">
        <w:rPr>
          <w:sz w:val="22"/>
          <w:szCs w:val="22"/>
        </w:rPr>
        <w:t xml:space="preserve"> </w:t>
      </w:r>
      <w:r w:rsidR="00CA360F">
        <w:rPr>
          <w:sz w:val="22"/>
          <w:szCs w:val="22"/>
        </w:rPr>
        <w:t>provides critical information to help ORR respond to its statutorily required Annual Report to Congress, a</w:t>
      </w:r>
      <w:r>
        <w:rPr>
          <w:sz w:val="22"/>
          <w:szCs w:val="22"/>
        </w:rPr>
        <w:t xml:space="preserve">nd this pretest information collection request is part of </w:t>
      </w:r>
      <w:r w:rsidR="00CA360F">
        <w:rPr>
          <w:sz w:val="22"/>
          <w:szCs w:val="22"/>
        </w:rPr>
        <w:t xml:space="preserve">HHS’ efforts </w:t>
      </w:r>
      <w:r>
        <w:rPr>
          <w:sz w:val="22"/>
          <w:szCs w:val="22"/>
        </w:rPr>
        <w:t>to explore ways to collect accurate, relevant and statistically valid data in future ASR iterations.</w:t>
      </w:r>
    </w:p>
    <w:p w:rsidR="00436F5E" w:rsidRDefault="00436F5E" w:rsidP="00436F5E">
      <w:pPr>
        <w:spacing w:after="120"/>
        <w:rPr>
          <w:b/>
        </w:rPr>
      </w:pPr>
    </w:p>
    <w:p w:rsidR="00945CD6" w:rsidRDefault="00292B70" w:rsidP="00436F5E">
      <w:pPr>
        <w:spacing w:after="120"/>
        <w:rPr>
          <w:b/>
        </w:rPr>
      </w:pPr>
      <w:r>
        <w:rPr>
          <w:b/>
        </w:rPr>
        <w:t xml:space="preserve">A5. </w:t>
      </w:r>
      <w:r w:rsidR="00945CD6" w:rsidRPr="0072204D">
        <w:rPr>
          <w:b/>
        </w:rPr>
        <w:t>Involvement of Small Organizations</w:t>
      </w:r>
    </w:p>
    <w:p w:rsidR="00B616BB" w:rsidRDefault="00B616BB" w:rsidP="00436F5E">
      <w:pPr>
        <w:spacing w:after="120"/>
        <w:rPr>
          <w:sz w:val="22"/>
          <w:szCs w:val="22"/>
        </w:rPr>
      </w:pPr>
      <w:r>
        <w:rPr>
          <w:sz w:val="22"/>
          <w:szCs w:val="22"/>
        </w:rPr>
        <w:t xml:space="preserve">There is </w:t>
      </w:r>
      <w:r w:rsidR="003D0E03">
        <w:rPr>
          <w:sz w:val="22"/>
          <w:szCs w:val="22"/>
        </w:rPr>
        <w:t xml:space="preserve">some </w:t>
      </w:r>
      <w:r>
        <w:rPr>
          <w:sz w:val="22"/>
          <w:szCs w:val="22"/>
        </w:rPr>
        <w:t>involvement of small organizations under this request</w:t>
      </w:r>
      <w:r w:rsidR="003D0E03">
        <w:rPr>
          <w:sz w:val="22"/>
          <w:szCs w:val="22"/>
        </w:rPr>
        <w:t>.  In-depth interviews and/or focus groups will be conducted with refugee resettlement offices</w:t>
      </w:r>
      <w:r>
        <w:rPr>
          <w:sz w:val="22"/>
          <w:szCs w:val="22"/>
        </w:rPr>
        <w:t xml:space="preserve">, </w:t>
      </w:r>
      <w:r w:rsidR="003D0E03">
        <w:rPr>
          <w:sz w:val="22"/>
          <w:szCs w:val="22"/>
        </w:rPr>
        <w:t xml:space="preserve">local community based organizations that serve refugees, and other stakeholder organizations such as small businesses that hire refugees, representatives from local churches patronized by refugees, and so on.  </w:t>
      </w:r>
      <w:r w:rsidR="00B50C9A">
        <w:rPr>
          <w:sz w:val="22"/>
          <w:szCs w:val="22"/>
        </w:rPr>
        <w:t xml:space="preserve">All data collection involving small organizations will be scheduled for </w:t>
      </w:r>
      <w:r w:rsidR="0093331F">
        <w:rPr>
          <w:sz w:val="22"/>
          <w:szCs w:val="22"/>
        </w:rPr>
        <w:t xml:space="preserve">the </w:t>
      </w:r>
      <w:r w:rsidR="00B50C9A">
        <w:rPr>
          <w:sz w:val="22"/>
          <w:szCs w:val="22"/>
        </w:rPr>
        <w:t xml:space="preserve">convenience of the participants. </w:t>
      </w:r>
    </w:p>
    <w:p w:rsidR="00B616BB" w:rsidRDefault="00B616BB" w:rsidP="00436F5E">
      <w:pPr>
        <w:spacing w:after="120"/>
        <w:rPr>
          <w:sz w:val="22"/>
          <w:szCs w:val="22"/>
        </w:rPr>
      </w:pPr>
    </w:p>
    <w:p w:rsidR="00945CD6" w:rsidRDefault="00292B70" w:rsidP="00436F5E">
      <w:pPr>
        <w:spacing w:after="120"/>
        <w:rPr>
          <w:b/>
        </w:rPr>
      </w:pPr>
      <w:r>
        <w:rPr>
          <w:b/>
        </w:rPr>
        <w:t xml:space="preserve">A6. </w:t>
      </w:r>
      <w:r w:rsidR="00945CD6" w:rsidRPr="0072204D">
        <w:rPr>
          <w:b/>
        </w:rPr>
        <w:t>Consequences of Less Frequent Data Collection</w:t>
      </w:r>
    </w:p>
    <w:p w:rsidR="00B616BB" w:rsidRDefault="00B616BB" w:rsidP="00436F5E">
      <w:pPr>
        <w:spacing w:after="120"/>
        <w:rPr>
          <w:sz w:val="22"/>
          <w:szCs w:val="22"/>
        </w:rPr>
      </w:pPr>
      <w:r>
        <w:rPr>
          <w:sz w:val="22"/>
          <w:szCs w:val="22"/>
        </w:rPr>
        <w:t>As a request to conduct a pretest, this issue is not applicable.  Pretests of this importance and magnitude are conducted occasionally.  The last redesign of the ASR occurred in 1993.</w:t>
      </w:r>
    </w:p>
    <w:p w:rsidR="005046F0" w:rsidRDefault="005046F0" w:rsidP="005046F0">
      <w:pPr>
        <w:ind w:left="360"/>
      </w:pPr>
    </w:p>
    <w:p w:rsidR="00B616BB" w:rsidRPr="00B616BB" w:rsidRDefault="00292B70" w:rsidP="00B616BB">
      <w:pPr>
        <w:rPr>
          <w:b/>
        </w:rPr>
      </w:pPr>
      <w:r>
        <w:rPr>
          <w:b/>
        </w:rPr>
        <w:t xml:space="preserve">A7. </w:t>
      </w:r>
      <w:r w:rsidR="00945CD6" w:rsidRPr="0072204D">
        <w:rPr>
          <w:b/>
        </w:rPr>
        <w:t>Special Circumstances</w:t>
      </w:r>
    </w:p>
    <w:p w:rsidR="00945CD6" w:rsidRDefault="00B616BB" w:rsidP="00436F5E">
      <w:pPr>
        <w:spacing w:after="120"/>
        <w:rPr>
          <w:sz w:val="22"/>
          <w:szCs w:val="22"/>
        </w:rPr>
      </w:pPr>
      <w:r w:rsidRPr="00B616BB">
        <w:rPr>
          <w:sz w:val="22"/>
          <w:szCs w:val="22"/>
        </w:rPr>
        <w:t>There are no special circumstances for the proposed data collection efforts</w:t>
      </w:r>
      <w:r>
        <w:rPr>
          <w:sz w:val="22"/>
          <w:szCs w:val="22"/>
        </w:rPr>
        <w:t>.</w:t>
      </w:r>
    </w:p>
    <w:p w:rsidR="00D90EF6" w:rsidRDefault="00D90EF6" w:rsidP="00D90EF6">
      <w:pPr>
        <w:rPr>
          <w:b/>
        </w:rPr>
      </w:pPr>
    </w:p>
    <w:p w:rsidR="00D90EF6" w:rsidRDefault="00292B70" w:rsidP="00436F5E">
      <w:pPr>
        <w:spacing w:after="120"/>
        <w:rPr>
          <w:b/>
        </w:rPr>
      </w:pPr>
      <w:r w:rsidRPr="000D53DF">
        <w:rPr>
          <w:b/>
        </w:rPr>
        <w:t xml:space="preserve">A8. </w:t>
      </w:r>
      <w:r w:rsidR="00945CD6" w:rsidRPr="000D53DF">
        <w:rPr>
          <w:b/>
        </w:rPr>
        <w:t>Federal Register Notice and Consultation</w:t>
      </w:r>
    </w:p>
    <w:p w:rsidR="00B91D97" w:rsidRPr="00B91D97" w:rsidRDefault="00B91D97" w:rsidP="00436F5E">
      <w:pPr>
        <w:spacing w:after="60"/>
        <w:rPr>
          <w:b/>
          <w:i/>
        </w:rPr>
      </w:pPr>
      <w:r w:rsidRPr="004B63ED">
        <w:rPr>
          <w:b/>
          <w:i/>
        </w:rPr>
        <w:t>Federal Register Notice and Comments</w:t>
      </w:r>
    </w:p>
    <w:p w:rsidR="008F10A2" w:rsidRDefault="00322AB4" w:rsidP="00465816">
      <w:r w:rsidRPr="00322AB4">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September 15, 2014, (vol. 79, no. 178, p. 54985) and provided a 60-day period for public comment. ACF did not receive any comments in response to this notice. </w:t>
      </w:r>
      <w:r w:rsidR="00465816">
        <w:t xml:space="preserve"> </w:t>
      </w:r>
    </w:p>
    <w:p w:rsidR="00B91D97" w:rsidRDefault="00B91D97" w:rsidP="00436F5E">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4509A2" w:rsidRPr="004509A2" w:rsidRDefault="004509A2" w:rsidP="00465816">
      <w:pPr>
        <w:rPr>
          <w:sz w:val="22"/>
          <w:szCs w:val="22"/>
        </w:rPr>
      </w:pPr>
      <w:r>
        <w:rPr>
          <w:sz w:val="22"/>
          <w:szCs w:val="22"/>
        </w:rPr>
        <w:t xml:space="preserve">A two-day roundtable convening of </w:t>
      </w:r>
      <w:r w:rsidR="00541AA0">
        <w:rPr>
          <w:sz w:val="22"/>
          <w:szCs w:val="22"/>
        </w:rPr>
        <w:t xml:space="preserve">forty </w:t>
      </w:r>
      <w:r>
        <w:rPr>
          <w:sz w:val="22"/>
          <w:szCs w:val="22"/>
        </w:rPr>
        <w:t>outside experts in refugee research and survey design was conducted to review the existing ASR survey design, survey instrument</w:t>
      </w:r>
      <w:r w:rsidR="00957ABD">
        <w:rPr>
          <w:sz w:val="22"/>
          <w:szCs w:val="22"/>
        </w:rPr>
        <w:t>at</w:t>
      </w:r>
      <w:r>
        <w:rPr>
          <w:sz w:val="22"/>
          <w:szCs w:val="22"/>
        </w:rPr>
        <w:t xml:space="preserve">ion and </w:t>
      </w:r>
      <w:r w:rsidR="00541AA0">
        <w:rPr>
          <w:sz w:val="22"/>
          <w:szCs w:val="22"/>
        </w:rPr>
        <w:t xml:space="preserve">existing </w:t>
      </w:r>
      <w:r>
        <w:rPr>
          <w:sz w:val="22"/>
          <w:szCs w:val="22"/>
        </w:rPr>
        <w:t xml:space="preserve">data resources.  </w:t>
      </w:r>
      <w:r w:rsidR="00541AA0">
        <w:rPr>
          <w:sz w:val="22"/>
          <w:szCs w:val="22"/>
        </w:rPr>
        <w:t>In addition to a number of federal government staff, t</w:t>
      </w:r>
      <w:r>
        <w:rPr>
          <w:sz w:val="22"/>
          <w:szCs w:val="22"/>
        </w:rPr>
        <w:t>he list of attendees included the following:</w:t>
      </w:r>
    </w:p>
    <w:p w:rsidR="004509A2" w:rsidRPr="004509A2" w:rsidRDefault="004509A2" w:rsidP="004509A2">
      <w:pPr>
        <w:rPr>
          <w:b/>
          <w:sz w:val="22"/>
          <w:szCs w:val="22"/>
          <w:u w:val="single"/>
        </w:rPr>
      </w:pPr>
    </w:p>
    <w:p w:rsidR="00F95605" w:rsidRPr="004509A2" w:rsidRDefault="00F95605" w:rsidP="004509A2">
      <w:pPr>
        <w:numPr>
          <w:ilvl w:val="0"/>
          <w:numId w:val="17"/>
        </w:numPr>
        <w:rPr>
          <w:bCs/>
          <w:sz w:val="22"/>
          <w:szCs w:val="22"/>
        </w:rPr>
      </w:pPr>
      <w:r w:rsidRPr="004509A2">
        <w:rPr>
          <w:b/>
          <w:bCs/>
          <w:sz w:val="22"/>
          <w:szCs w:val="22"/>
        </w:rPr>
        <w:t xml:space="preserve">Abigail Fisher Williamson, </w:t>
      </w:r>
      <w:r w:rsidRPr="004509A2">
        <w:rPr>
          <w:bCs/>
          <w:sz w:val="22"/>
          <w:szCs w:val="22"/>
        </w:rPr>
        <w:t>Trinity College</w:t>
      </w:r>
      <w:r>
        <w:rPr>
          <w:bCs/>
          <w:sz w:val="22"/>
          <w:szCs w:val="22"/>
        </w:rPr>
        <w:t xml:space="preserve"> </w:t>
      </w:r>
    </w:p>
    <w:p w:rsidR="00F95605" w:rsidRPr="004509A2" w:rsidRDefault="00F95605" w:rsidP="004509A2">
      <w:pPr>
        <w:numPr>
          <w:ilvl w:val="0"/>
          <w:numId w:val="17"/>
        </w:numPr>
        <w:rPr>
          <w:bCs/>
          <w:sz w:val="22"/>
          <w:szCs w:val="22"/>
        </w:rPr>
      </w:pPr>
      <w:r w:rsidRPr="004509A2">
        <w:rPr>
          <w:b/>
          <w:sz w:val="22"/>
          <w:szCs w:val="22"/>
        </w:rPr>
        <w:t xml:space="preserve">Aryah Somers Landsberger, </w:t>
      </w:r>
      <w:r w:rsidRPr="004509A2">
        <w:rPr>
          <w:sz w:val="22"/>
          <w:szCs w:val="22"/>
        </w:rPr>
        <w:t>Grantmakers Concerned with Immigrants and Refugees (GCIR)</w:t>
      </w:r>
    </w:p>
    <w:p w:rsidR="00F95605" w:rsidRPr="004509A2" w:rsidRDefault="00F95605" w:rsidP="004509A2">
      <w:pPr>
        <w:numPr>
          <w:ilvl w:val="0"/>
          <w:numId w:val="17"/>
        </w:numPr>
        <w:rPr>
          <w:bCs/>
          <w:sz w:val="22"/>
          <w:szCs w:val="22"/>
        </w:rPr>
      </w:pPr>
      <w:r w:rsidRPr="004509A2">
        <w:rPr>
          <w:b/>
          <w:bCs/>
          <w:sz w:val="22"/>
          <w:szCs w:val="22"/>
        </w:rPr>
        <w:t>David Kallick,</w:t>
      </w:r>
      <w:r w:rsidRPr="004509A2">
        <w:rPr>
          <w:bCs/>
          <w:sz w:val="22"/>
          <w:szCs w:val="22"/>
        </w:rPr>
        <w:t xml:space="preserve"> Fiscal Policy Institute (FPI)</w:t>
      </w:r>
    </w:p>
    <w:p w:rsidR="00F95605" w:rsidRPr="004509A2" w:rsidRDefault="00F95605" w:rsidP="004509A2">
      <w:pPr>
        <w:numPr>
          <w:ilvl w:val="0"/>
          <w:numId w:val="17"/>
        </w:numPr>
        <w:rPr>
          <w:bCs/>
          <w:sz w:val="22"/>
          <w:szCs w:val="22"/>
        </w:rPr>
      </w:pPr>
      <w:r w:rsidRPr="004509A2">
        <w:rPr>
          <w:b/>
          <w:bCs/>
          <w:sz w:val="22"/>
          <w:szCs w:val="22"/>
        </w:rPr>
        <w:t xml:space="preserve">Devin Keithley, </w:t>
      </w:r>
      <w:r w:rsidRPr="004509A2">
        <w:rPr>
          <w:bCs/>
          <w:sz w:val="22"/>
          <w:szCs w:val="22"/>
        </w:rPr>
        <w:t>Researcher on Central Ohio Refugee Report</w:t>
      </w:r>
      <w:r>
        <w:rPr>
          <w:bCs/>
          <w:sz w:val="22"/>
          <w:szCs w:val="22"/>
        </w:rPr>
        <w:t xml:space="preserve"> </w:t>
      </w:r>
    </w:p>
    <w:p w:rsidR="00F95605" w:rsidRPr="004509A2" w:rsidRDefault="00F95605" w:rsidP="004509A2">
      <w:pPr>
        <w:numPr>
          <w:ilvl w:val="0"/>
          <w:numId w:val="17"/>
        </w:numPr>
        <w:rPr>
          <w:bCs/>
          <w:sz w:val="22"/>
          <w:szCs w:val="22"/>
        </w:rPr>
      </w:pPr>
      <w:r w:rsidRPr="004509A2">
        <w:rPr>
          <w:b/>
          <w:bCs/>
          <w:sz w:val="22"/>
          <w:szCs w:val="22"/>
        </w:rPr>
        <w:t xml:space="preserve">Dina Birman, </w:t>
      </w:r>
      <w:r w:rsidRPr="004509A2">
        <w:rPr>
          <w:bCs/>
          <w:sz w:val="22"/>
          <w:szCs w:val="22"/>
        </w:rPr>
        <w:t>University of Miami</w:t>
      </w:r>
    </w:p>
    <w:p w:rsidR="00F95605" w:rsidRPr="004509A2" w:rsidRDefault="00F95605" w:rsidP="004509A2">
      <w:pPr>
        <w:numPr>
          <w:ilvl w:val="0"/>
          <w:numId w:val="17"/>
        </w:numPr>
        <w:rPr>
          <w:bCs/>
          <w:sz w:val="22"/>
          <w:szCs w:val="22"/>
        </w:rPr>
      </w:pPr>
      <w:r w:rsidRPr="004509A2">
        <w:rPr>
          <w:b/>
          <w:bCs/>
          <w:sz w:val="22"/>
          <w:szCs w:val="22"/>
        </w:rPr>
        <w:t xml:space="preserve">Duncan Lawrence, </w:t>
      </w:r>
      <w:r w:rsidRPr="004509A2">
        <w:rPr>
          <w:bCs/>
          <w:sz w:val="22"/>
          <w:szCs w:val="22"/>
        </w:rPr>
        <w:t>Stanford Immigration Policy Lab</w:t>
      </w:r>
    </w:p>
    <w:p w:rsidR="00F95605" w:rsidRPr="00F95605" w:rsidRDefault="00F95605" w:rsidP="004509A2">
      <w:pPr>
        <w:numPr>
          <w:ilvl w:val="0"/>
          <w:numId w:val="17"/>
        </w:numPr>
        <w:rPr>
          <w:bCs/>
          <w:sz w:val="22"/>
          <w:szCs w:val="22"/>
        </w:rPr>
      </w:pPr>
      <w:r>
        <w:rPr>
          <w:b/>
          <w:bCs/>
          <w:sz w:val="22"/>
          <w:szCs w:val="22"/>
        </w:rPr>
        <w:t>Erol Kekic</w:t>
      </w:r>
      <w:r w:rsidRPr="00F95605">
        <w:rPr>
          <w:bCs/>
          <w:sz w:val="22"/>
          <w:szCs w:val="22"/>
        </w:rPr>
        <w:t>, Church World Service</w:t>
      </w:r>
    </w:p>
    <w:p w:rsidR="00F95605" w:rsidRPr="004509A2" w:rsidRDefault="00F95605" w:rsidP="004509A2">
      <w:pPr>
        <w:numPr>
          <w:ilvl w:val="0"/>
          <w:numId w:val="17"/>
        </w:numPr>
        <w:rPr>
          <w:bCs/>
          <w:sz w:val="22"/>
          <w:szCs w:val="22"/>
        </w:rPr>
      </w:pPr>
      <w:r w:rsidRPr="004509A2">
        <w:rPr>
          <w:b/>
          <w:bCs/>
          <w:sz w:val="22"/>
          <w:szCs w:val="22"/>
        </w:rPr>
        <w:t xml:space="preserve">Galya Ruffer, </w:t>
      </w:r>
      <w:r w:rsidRPr="004509A2">
        <w:rPr>
          <w:bCs/>
          <w:sz w:val="22"/>
          <w:szCs w:val="22"/>
        </w:rPr>
        <w:t>Northwestern University, Center for Forced Migration Studies</w:t>
      </w:r>
      <w:r>
        <w:rPr>
          <w:bCs/>
          <w:sz w:val="22"/>
          <w:szCs w:val="22"/>
        </w:rPr>
        <w:t xml:space="preserve"> </w:t>
      </w:r>
    </w:p>
    <w:p w:rsidR="00F95605" w:rsidRPr="00F95605" w:rsidRDefault="00F95605" w:rsidP="004509A2">
      <w:pPr>
        <w:numPr>
          <w:ilvl w:val="0"/>
          <w:numId w:val="17"/>
        </w:numPr>
        <w:rPr>
          <w:bCs/>
          <w:sz w:val="22"/>
          <w:szCs w:val="22"/>
        </w:rPr>
      </w:pPr>
      <w:r>
        <w:rPr>
          <w:b/>
          <w:bCs/>
          <w:sz w:val="22"/>
          <w:szCs w:val="22"/>
        </w:rPr>
        <w:t>Graeme Rodgers</w:t>
      </w:r>
      <w:r w:rsidRPr="00F95605">
        <w:rPr>
          <w:bCs/>
          <w:sz w:val="22"/>
          <w:szCs w:val="22"/>
        </w:rPr>
        <w:t>,</w:t>
      </w:r>
      <w:r>
        <w:rPr>
          <w:b/>
          <w:bCs/>
          <w:sz w:val="22"/>
          <w:szCs w:val="22"/>
        </w:rPr>
        <w:t xml:space="preserve"> </w:t>
      </w:r>
      <w:r w:rsidRPr="00F95605">
        <w:rPr>
          <w:bCs/>
          <w:sz w:val="22"/>
          <w:szCs w:val="22"/>
        </w:rPr>
        <w:t>International Rescue Committee</w:t>
      </w:r>
    </w:p>
    <w:p w:rsidR="00F95605" w:rsidRPr="004509A2" w:rsidRDefault="00F95605" w:rsidP="004509A2">
      <w:pPr>
        <w:numPr>
          <w:ilvl w:val="0"/>
          <w:numId w:val="17"/>
        </w:numPr>
        <w:rPr>
          <w:bCs/>
          <w:sz w:val="22"/>
          <w:szCs w:val="22"/>
        </w:rPr>
      </w:pPr>
      <w:r w:rsidRPr="004509A2">
        <w:rPr>
          <w:b/>
          <w:bCs/>
          <w:sz w:val="22"/>
          <w:szCs w:val="22"/>
        </w:rPr>
        <w:t>Jennifer Cochran,</w:t>
      </w:r>
      <w:r w:rsidRPr="004509A2">
        <w:rPr>
          <w:bCs/>
          <w:sz w:val="22"/>
          <w:szCs w:val="22"/>
        </w:rPr>
        <w:t xml:space="preserve"> Massachusetts Department of Public Health</w:t>
      </w:r>
    </w:p>
    <w:p w:rsidR="00F95605" w:rsidRPr="004509A2" w:rsidRDefault="00F95605" w:rsidP="004509A2">
      <w:pPr>
        <w:numPr>
          <w:ilvl w:val="0"/>
          <w:numId w:val="17"/>
        </w:numPr>
        <w:rPr>
          <w:bCs/>
          <w:sz w:val="22"/>
          <w:szCs w:val="22"/>
        </w:rPr>
      </w:pPr>
      <w:r w:rsidRPr="004509A2">
        <w:rPr>
          <w:b/>
          <w:bCs/>
          <w:sz w:val="22"/>
          <w:szCs w:val="22"/>
        </w:rPr>
        <w:t xml:space="preserve">Jeremy Ferwerda, </w:t>
      </w:r>
      <w:r w:rsidRPr="004509A2">
        <w:rPr>
          <w:bCs/>
          <w:sz w:val="22"/>
          <w:szCs w:val="22"/>
        </w:rPr>
        <w:t>Dartmouth College and Stanford Immigration Policy Lab</w:t>
      </w:r>
      <w:r>
        <w:rPr>
          <w:bCs/>
          <w:sz w:val="22"/>
          <w:szCs w:val="22"/>
        </w:rPr>
        <w:t xml:space="preserve"> </w:t>
      </w:r>
    </w:p>
    <w:p w:rsidR="00F95605" w:rsidRPr="00F95605" w:rsidRDefault="00F95605" w:rsidP="004509A2">
      <w:pPr>
        <w:numPr>
          <w:ilvl w:val="0"/>
          <w:numId w:val="17"/>
        </w:numPr>
        <w:rPr>
          <w:bCs/>
          <w:sz w:val="22"/>
          <w:szCs w:val="22"/>
        </w:rPr>
      </w:pPr>
      <w:r>
        <w:rPr>
          <w:b/>
          <w:bCs/>
          <w:sz w:val="22"/>
          <w:szCs w:val="22"/>
        </w:rPr>
        <w:t>Kay Bellor</w:t>
      </w:r>
      <w:r w:rsidRPr="00F95605">
        <w:rPr>
          <w:bCs/>
          <w:sz w:val="22"/>
          <w:szCs w:val="22"/>
        </w:rPr>
        <w:t>,</w:t>
      </w:r>
      <w:r>
        <w:rPr>
          <w:b/>
          <w:bCs/>
          <w:sz w:val="22"/>
          <w:szCs w:val="22"/>
        </w:rPr>
        <w:t xml:space="preserve"> </w:t>
      </w:r>
      <w:r w:rsidRPr="00F95605">
        <w:rPr>
          <w:bCs/>
          <w:sz w:val="22"/>
          <w:szCs w:val="22"/>
        </w:rPr>
        <w:t>Lutheran Immigration and Refugee Services</w:t>
      </w:r>
    </w:p>
    <w:p w:rsidR="00F95605" w:rsidRDefault="00F95605" w:rsidP="004509A2">
      <w:pPr>
        <w:numPr>
          <w:ilvl w:val="0"/>
          <w:numId w:val="17"/>
        </w:numPr>
        <w:rPr>
          <w:bCs/>
          <w:sz w:val="22"/>
          <w:szCs w:val="22"/>
        </w:rPr>
      </w:pPr>
      <w:r w:rsidRPr="004509A2">
        <w:rPr>
          <w:b/>
          <w:bCs/>
          <w:sz w:val="22"/>
          <w:szCs w:val="22"/>
        </w:rPr>
        <w:t xml:space="preserve">Larry Yungk, </w:t>
      </w:r>
      <w:r w:rsidRPr="004509A2">
        <w:rPr>
          <w:bCs/>
          <w:sz w:val="22"/>
          <w:szCs w:val="22"/>
        </w:rPr>
        <w:t>United Nations High Commissioner for Refugees (UNHCR)</w:t>
      </w:r>
    </w:p>
    <w:p w:rsidR="00F95605" w:rsidRPr="004509A2" w:rsidRDefault="00F95605" w:rsidP="004509A2">
      <w:pPr>
        <w:numPr>
          <w:ilvl w:val="0"/>
          <w:numId w:val="17"/>
        </w:numPr>
        <w:rPr>
          <w:bCs/>
          <w:sz w:val="22"/>
          <w:szCs w:val="22"/>
        </w:rPr>
      </w:pPr>
      <w:r w:rsidRPr="004509A2">
        <w:rPr>
          <w:b/>
          <w:bCs/>
          <w:sz w:val="22"/>
          <w:szCs w:val="22"/>
        </w:rPr>
        <w:t xml:space="preserve">Lyn Morland, </w:t>
      </w:r>
      <w:r w:rsidRPr="004509A2">
        <w:rPr>
          <w:bCs/>
          <w:sz w:val="22"/>
          <w:szCs w:val="22"/>
        </w:rPr>
        <w:t>McGill University</w:t>
      </w:r>
      <w:r>
        <w:rPr>
          <w:bCs/>
          <w:sz w:val="22"/>
          <w:szCs w:val="22"/>
        </w:rPr>
        <w:t xml:space="preserve"> </w:t>
      </w:r>
    </w:p>
    <w:p w:rsidR="00F95605" w:rsidRDefault="00F95605" w:rsidP="004509A2">
      <w:pPr>
        <w:numPr>
          <w:ilvl w:val="0"/>
          <w:numId w:val="17"/>
        </w:numPr>
        <w:rPr>
          <w:bCs/>
          <w:sz w:val="22"/>
          <w:szCs w:val="22"/>
        </w:rPr>
      </w:pPr>
      <w:r w:rsidRPr="00F95605">
        <w:rPr>
          <w:b/>
          <w:bCs/>
          <w:sz w:val="22"/>
          <w:szCs w:val="22"/>
        </w:rPr>
        <w:t>Margaret Gibbon</w:t>
      </w:r>
      <w:r>
        <w:rPr>
          <w:bCs/>
          <w:sz w:val="22"/>
          <w:szCs w:val="22"/>
        </w:rPr>
        <w:t>, International Rescue Committee</w:t>
      </w:r>
    </w:p>
    <w:p w:rsidR="00F95605" w:rsidRDefault="00F95605" w:rsidP="004509A2">
      <w:pPr>
        <w:numPr>
          <w:ilvl w:val="0"/>
          <w:numId w:val="17"/>
        </w:numPr>
        <w:rPr>
          <w:bCs/>
          <w:sz w:val="22"/>
          <w:szCs w:val="22"/>
        </w:rPr>
      </w:pPr>
      <w:r w:rsidRPr="00F95605">
        <w:rPr>
          <w:b/>
          <w:bCs/>
          <w:sz w:val="22"/>
          <w:szCs w:val="22"/>
        </w:rPr>
        <w:t>Melanie Nezer</w:t>
      </w:r>
      <w:r>
        <w:rPr>
          <w:bCs/>
          <w:sz w:val="22"/>
          <w:szCs w:val="22"/>
        </w:rPr>
        <w:t>, Hebrew Immigrant Aid Society</w:t>
      </w:r>
    </w:p>
    <w:p w:rsidR="00F95605" w:rsidRDefault="00F95605" w:rsidP="004509A2">
      <w:pPr>
        <w:numPr>
          <w:ilvl w:val="0"/>
          <w:numId w:val="17"/>
        </w:numPr>
        <w:rPr>
          <w:bCs/>
          <w:sz w:val="22"/>
          <w:szCs w:val="22"/>
        </w:rPr>
      </w:pPr>
      <w:r w:rsidRPr="00F95605">
        <w:rPr>
          <w:b/>
          <w:bCs/>
          <w:sz w:val="22"/>
          <w:szCs w:val="22"/>
        </w:rPr>
        <w:t>Mike Mitchell</w:t>
      </w:r>
      <w:r>
        <w:rPr>
          <w:bCs/>
          <w:sz w:val="22"/>
          <w:szCs w:val="22"/>
        </w:rPr>
        <w:t>, Hebrew Immigrant Aid Society</w:t>
      </w:r>
    </w:p>
    <w:p w:rsidR="00F95605" w:rsidRPr="004509A2" w:rsidRDefault="00F95605" w:rsidP="004509A2">
      <w:pPr>
        <w:numPr>
          <w:ilvl w:val="0"/>
          <w:numId w:val="17"/>
        </w:numPr>
        <w:rPr>
          <w:bCs/>
          <w:sz w:val="22"/>
          <w:szCs w:val="22"/>
        </w:rPr>
      </w:pPr>
      <w:r w:rsidRPr="004509A2">
        <w:rPr>
          <w:b/>
          <w:bCs/>
          <w:sz w:val="22"/>
          <w:szCs w:val="22"/>
        </w:rPr>
        <w:t xml:space="preserve">Ngoan Le, </w:t>
      </w:r>
      <w:r w:rsidRPr="004509A2">
        <w:rPr>
          <w:bCs/>
          <w:sz w:val="22"/>
          <w:szCs w:val="22"/>
        </w:rPr>
        <w:t>Illinois State Refugee Coordinator</w:t>
      </w:r>
    </w:p>
    <w:p w:rsidR="00F95605" w:rsidRPr="004509A2" w:rsidRDefault="00F95605" w:rsidP="004509A2">
      <w:pPr>
        <w:numPr>
          <w:ilvl w:val="0"/>
          <w:numId w:val="17"/>
        </w:numPr>
        <w:rPr>
          <w:bCs/>
          <w:sz w:val="22"/>
          <w:szCs w:val="22"/>
        </w:rPr>
      </w:pPr>
      <w:r w:rsidRPr="004509A2">
        <w:rPr>
          <w:b/>
          <w:sz w:val="22"/>
          <w:szCs w:val="22"/>
        </w:rPr>
        <w:t xml:space="preserve">Paul Stein, </w:t>
      </w:r>
      <w:r w:rsidRPr="004509A2">
        <w:rPr>
          <w:sz w:val="22"/>
          <w:szCs w:val="22"/>
        </w:rPr>
        <w:t>Independent Consultant and Former Colorado State Refugee Coordinator</w:t>
      </w:r>
      <w:r>
        <w:rPr>
          <w:sz w:val="22"/>
          <w:szCs w:val="22"/>
        </w:rPr>
        <w:t xml:space="preserve"> </w:t>
      </w:r>
    </w:p>
    <w:p w:rsidR="00F95605" w:rsidRPr="004509A2" w:rsidRDefault="00F95605" w:rsidP="004509A2">
      <w:pPr>
        <w:numPr>
          <w:ilvl w:val="0"/>
          <w:numId w:val="17"/>
        </w:numPr>
        <w:rPr>
          <w:bCs/>
          <w:sz w:val="22"/>
          <w:szCs w:val="22"/>
        </w:rPr>
      </w:pPr>
      <w:r w:rsidRPr="004509A2">
        <w:rPr>
          <w:b/>
          <w:bCs/>
          <w:sz w:val="22"/>
          <w:szCs w:val="22"/>
        </w:rPr>
        <w:t xml:space="preserve">Phillip Connor, </w:t>
      </w:r>
      <w:r w:rsidRPr="004509A2">
        <w:rPr>
          <w:bCs/>
          <w:sz w:val="22"/>
          <w:szCs w:val="22"/>
        </w:rPr>
        <w:t>Pew Research Center</w:t>
      </w:r>
      <w:r>
        <w:rPr>
          <w:bCs/>
          <w:sz w:val="22"/>
          <w:szCs w:val="22"/>
        </w:rPr>
        <w:t xml:space="preserve"> </w:t>
      </w:r>
    </w:p>
    <w:p w:rsidR="00F95605" w:rsidRPr="004509A2" w:rsidRDefault="00F95605" w:rsidP="004509A2">
      <w:pPr>
        <w:numPr>
          <w:ilvl w:val="0"/>
          <w:numId w:val="17"/>
        </w:numPr>
        <w:rPr>
          <w:bCs/>
          <w:sz w:val="22"/>
          <w:szCs w:val="22"/>
        </w:rPr>
      </w:pPr>
      <w:r w:rsidRPr="004509A2">
        <w:rPr>
          <w:b/>
          <w:bCs/>
          <w:sz w:val="22"/>
          <w:szCs w:val="22"/>
        </w:rPr>
        <w:t xml:space="preserve">Rachel Peric, </w:t>
      </w:r>
      <w:r w:rsidRPr="004509A2">
        <w:rPr>
          <w:bCs/>
          <w:sz w:val="22"/>
          <w:szCs w:val="22"/>
        </w:rPr>
        <w:t>Welcoming America</w:t>
      </w:r>
      <w:r>
        <w:rPr>
          <w:bCs/>
          <w:sz w:val="22"/>
          <w:szCs w:val="22"/>
        </w:rPr>
        <w:t xml:space="preserve"> </w:t>
      </w:r>
    </w:p>
    <w:p w:rsidR="00F95605" w:rsidRPr="004509A2" w:rsidRDefault="00F95605" w:rsidP="004509A2">
      <w:pPr>
        <w:numPr>
          <w:ilvl w:val="0"/>
          <w:numId w:val="17"/>
        </w:numPr>
        <w:rPr>
          <w:bCs/>
          <w:sz w:val="22"/>
          <w:szCs w:val="22"/>
        </w:rPr>
      </w:pPr>
      <w:r w:rsidRPr="004509A2">
        <w:rPr>
          <w:b/>
          <w:bCs/>
          <w:sz w:val="22"/>
          <w:szCs w:val="22"/>
        </w:rPr>
        <w:t xml:space="preserve">Rami Arafah, </w:t>
      </w:r>
      <w:r w:rsidRPr="004509A2">
        <w:rPr>
          <w:bCs/>
          <w:sz w:val="22"/>
          <w:szCs w:val="22"/>
        </w:rPr>
        <w:t>Harder+Company</w:t>
      </w:r>
    </w:p>
    <w:p w:rsidR="00F95605" w:rsidRPr="004509A2" w:rsidRDefault="00F95605" w:rsidP="004509A2">
      <w:pPr>
        <w:numPr>
          <w:ilvl w:val="0"/>
          <w:numId w:val="17"/>
        </w:numPr>
        <w:rPr>
          <w:bCs/>
          <w:sz w:val="22"/>
          <w:szCs w:val="22"/>
        </w:rPr>
      </w:pPr>
      <w:r w:rsidRPr="004509A2">
        <w:rPr>
          <w:b/>
          <w:bCs/>
          <w:sz w:val="22"/>
          <w:szCs w:val="22"/>
        </w:rPr>
        <w:t xml:space="preserve">Randy Capps, </w:t>
      </w:r>
      <w:r w:rsidRPr="004509A2">
        <w:rPr>
          <w:bCs/>
          <w:sz w:val="22"/>
          <w:szCs w:val="22"/>
        </w:rPr>
        <w:t xml:space="preserve">Migration Policy Institute </w:t>
      </w:r>
    </w:p>
    <w:p w:rsidR="00F95605" w:rsidRDefault="00F95605" w:rsidP="004509A2">
      <w:pPr>
        <w:numPr>
          <w:ilvl w:val="0"/>
          <w:numId w:val="17"/>
        </w:numPr>
        <w:rPr>
          <w:bCs/>
          <w:sz w:val="22"/>
          <w:szCs w:val="22"/>
        </w:rPr>
      </w:pPr>
      <w:r w:rsidRPr="00F95605">
        <w:rPr>
          <w:b/>
          <w:bCs/>
          <w:sz w:val="22"/>
          <w:szCs w:val="22"/>
        </w:rPr>
        <w:t>Rebecca Hailemeskel</w:t>
      </w:r>
      <w:r>
        <w:rPr>
          <w:bCs/>
          <w:sz w:val="22"/>
          <w:szCs w:val="22"/>
        </w:rPr>
        <w:t>, Ethiopian Community Development Council</w:t>
      </w:r>
    </w:p>
    <w:p w:rsidR="00F95605" w:rsidRPr="004509A2" w:rsidRDefault="00F95605" w:rsidP="004509A2">
      <w:pPr>
        <w:numPr>
          <w:ilvl w:val="0"/>
          <w:numId w:val="17"/>
        </w:numPr>
        <w:rPr>
          <w:bCs/>
          <w:sz w:val="22"/>
          <w:szCs w:val="22"/>
        </w:rPr>
      </w:pPr>
      <w:r w:rsidRPr="004509A2">
        <w:rPr>
          <w:b/>
          <w:bCs/>
          <w:sz w:val="22"/>
          <w:szCs w:val="22"/>
        </w:rPr>
        <w:t xml:space="preserve">Robin Koralek, </w:t>
      </w:r>
      <w:r w:rsidRPr="004509A2">
        <w:rPr>
          <w:bCs/>
          <w:sz w:val="22"/>
          <w:szCs w:val="22"/>
        </w:rPr>
        <w:t>Abt Associates</w:t>
      </w:r>
    </w:p>
    <w:p w:rsidR="00F95605" w:rsidRPr="004509A2" w:rsidRDefault="00F95605" w:rsidP="004509A2">
      <w:pPr>
        <w:numPr>
          <w:ilvl w:val="0"/>
          <w:numId w:val="17"/>
        </w:numPr>
        <w:rPr>
          <w:bCs/>
          <w:sz w:val="22"/>
          <w:szCs w:val="22"/>
        </w:rPr>
      </w:pPr>
      <w:r w:rsidRPr="004509A2">
        <w:rPr>
          <w:b/>
          <w:bCs/>
          <w:sz w:val="22"/>
          <w:szCs w:val="22"/>
        </w:rPr>
        <w:t xml:space="preserve">Sam Elkin, </w:t>
      </w:r>
      <w:r w:rsidRPr="004509A2">
        <w:rPr>
          <w:bCs/>
          <w:sz w:val="22"/>
          <w:szCs w:val="22"/>
        </w:rPr>
        <w:t>MEF Associates</w:t>
      </w:r>
    </w:p>
    <w:p w:rsidR="00F95605" w:rsidRDefault="00F95605" w:rsidP="004509A2">
      <w:pPr>
        <w:numPr>
          <w:ilvl w:val="0"/>
          <w:numId w:val="17"/>
        </w:numPr>
        <w:rPr>
          <w:bCs/>
          <w:sz w:val="22"/>
          <w:szCs w:val="22"/>
        </w:rPr>
      </w:pPr>
      <w:r w:rsidRPr="00F95605">
        <w:rPr>
          <w:b/>
          <w:bCs/>
          <w:sz w:val="22"/>
          <w:szCs w:val="22"/>
        </w:rPr>
        <w:t>Sandra Vines</w:t>
      </w:r>
      <w:r>
        <w:rPr>
          <w:bCs/>
          <w:sz w:val="22"/>
          <w:szCs w:val="22"/>
        </w:rPr>
        <w:t>, International Rescue Committee</w:t>
      </w:r>
    </w:p>
    <w:p w:rsidR="00F95605" w:rsidRPr="004509A2" w:rsidRDefault="00F95605" w:rsidP="004509A2">
      <w:pPr>
        <w:numPr>
          <w:ilvl w:val="0"/>
          <w:numId w:val="17"/>
        </w:numPr>
        <w:rPr>
          <w:bCs/>
          <w:sz w:val="22"/>
          <w:szCs w:val="22"/>
        </w:rPr>
      </w:pPr>
      <w:r w:rsidRPr="004509A2">
        <w:rPr>
          <w:b/>
          <w:bCs/>
          <w:sz w:val="22"/>
          <w:szCs w:val="22"/>
        </w:rPr>
        <w:t xml:space="preserve">Sanja Bebic, </w:t>
      </w:r>
      <w:r w:rsidRPr="004509A2">
        <w:rPr>
          <w:bCs/>
          <w:sz w:val="22"/>
          <w:szCs w:val="22"/>
        </w:rPr>
        <w:t>Center for Applied Linguistics</w:t>
      </w:r>
    </w:p>
    <w:p w:rsidR="00F95605" w:rsidRDefault="00F95605" w:rsidP="00F95605">
      <w:pPr>
        <w:numPr>
          <w:ilvl w:val="0"/>
          <w:numId w:val="17"/>
        </w:numPr>
        <w:rPr>
          <w:bCs/>
          <w:sz w:val="22"/>
          <w:szCs w:val="22"/>
        </w:rPr>
      </w:pPr>
      <w:r w:rsidRPr="00F95605">
        <w:rPr>
          <w:b/>
          <w:bCs/>
          <w:sz w:val="22"/>
          <w:szCs w:val="22"/>
        </w:rPr>
        <w:t>Tsehaya Teferra</w:t>
      </w:r>
      <w:r>
        <w:rPr>
          <w:bCs/>
          <w:sz w:val="22"/>
          <w:szCs w:val="22"/>
        </w:rPr>
        <w:t>, Ethiopian Community Development Council</w:t>
      </w:r>
    </w:p>
    <w:p w:rsidR="00F95605" w:rsidRPr="004509A2" w:rsidRDefault="00F95605" w:rsidP="00F95605">
      <w:pPr>
        <w:ind w:left="720"/>
        <w:rPr>
          <w:bCs/>
          <w:sz w:val="22"/>
          <w:szCs w:val="22"/>
        </w:rPr>
      </w:pPr>
    </w:p>
    <w:p w:rsidR="00436F5E" w:rsidRPr="00E72E9A" w:rsidRDefault="004509A2" w:rsidP="004509A2">
      <w:pPr>
        <w:rPr>
          <w:highlight w:val="yellow"/>
        </w:rPr>
      </w:pPr>
      <w:r>
        <w:rPr>
          <w:sz w:val="22"/>
          <w:szCs w:val="22"/>
        </w:rPr>
        <w:t xml:space="preserve">Findings from the expert input were used to revise the survey instrument to be pretested.  Discussions with the experts also impacted the design of the pretest, including the use of site visits to gather stakeholder feedback. </w:t>
      </w:r>
    </w:p>
    <w:p w:rsidR="00D90EF6" w:rsidRDefault="00D90EF6" w:rsidP="00292B70">
      <w:pPr>
        <w:rPr>
          <w:b/>
        </w:rPr>
      </w:pPr>
    </w:p>
    <w:p w:rsidR="00945CD6" w:rsidRDefault="00292B70" w:rsidP="00436F5E">
      <w:pPr>
        <w:spacing w:after="120"/>
        <w:rPr>
          <w:b/>
        </w:rPr>
      </w:pPr>
      <w:r>
        <w:rPr>
          <w:b/>
        </w:rPr>
        <w:t xml:space="preserve">A9. </w:t>
      </w:r>
      <w:r w:rsidR="00B66874">
        <w:rPr>
          <w:b/>
        </w:rPr>
        <w:t>Incentives for</w:t>
      </w:r>
      <w:r w:rsidR="00945CD6" w:rsidRPr="0072204D">
        <w:rPr>
          <w:b/>
        </w:rPr>
        <w:t xml:space="preserve"> Respondents</w:t>
      </w:r>
    </w:p>
    <w:p w:rsidR="004509A2" w:rsidRDefault="004509A2" w:rsidP="00436F5E">
      <w:pPr>
        <w:spacing w:after="120"/>
        <w:rPr>
          <w:sz w:val="22"/>
          <w:szCs w:val="22"/>
        </w:rPr>
      </w:pPr>
      <w:r>
        <w:rPr>
          <w:sz w:val="22"/>
          <w:szCs w:val="22"/>
        </w:rPr>
        <w:t>Refugee pretest participants are being asked to participate in one of two sets of activities:</w:t>
      </w:r>
    </w:p>
    <w:p w:rsidR="004509A2" w:rsidRDefault="004509A2" w:rsidP="004509A2">
      <w:pPr>
        <w:numPr>
          <w:ilvl w:val="0"/>
          <w:numId w:val="17"/>
        </w:numPr>
        <w:spacing w:after="120"/>
        <w:rPr>
          <w:sz w:val="22"/>
          <w:szCs w:val="22"/>
        </w:rPr>
      </w:pPr>
      <w:r>
        <w:rPr>
          <w:sz w:val="22"/>
          <w:szCs w:val="22"/>
        </w:rPr>
        <w:t>A survey pretest interview, followed by a cognitive interview; or</w:t>
      </w:r>
    </w:p>
    <w:p w:rsidR="004509A2" w:rsidRDefault="004509A2" w:rsidP="004509A2">
      <w:pPr>
        <w:numPr>
          <w:ilvl w:val="0"/>
          <w:numId w:val="17"/>
        </w:numPr>
        <w:spacing w:after="120"/>
        <w:rPr>
          <w:sz w:val="22"/>
          <w:szCs w:val="22"/>
        </w:rPr>
      </w:pPr>
      <w:r>
        <w:rPr>
          <w:sz w:val="22"/>
          <w:szCs w:val="22"/>
        </w:rPr>
        <w:t xml:space="preserve">A survey pretest interview, followed by an in-depth interview. </w:t>
      </w:r>
    </w:p>
    <w:p w:rsidR="00DF49B9" w:rsidRDefault="00957ABD" w:rsidP="00DF49B9">
      <w:pPr>
        <w:rPr>
          <w:sz w:val="22"/>
          <w:szCs w:val="22"/>
        </w:rPr>
      </w:pPr>
      <w:r>
        <w:rPr>
          <w:sz w:val="22"/>
          <w:szCs w:val="22"/>
        </w:rPr>
        <w:t>Given the burden of the survey administration (</w:t>
      </w:r>
      <w:r w:rsidR="00BF622B">
        <w:rPr>
          <w:sz w:val="22"/>
          <w:szCs w:val="22"/>
        </w:rPr>
        <w:t>1 hour</w:t>
      </w:r>
      <w:r>
        <w:rPr>
          <w:sz w:val="22"/>
          <w:szCs w:val="22"/>
        </w:rPr>
        <w:t xml:space="preserve">) as well as the request for a second collection (a cognitive interview or an in-depth interview, each expected to </w:t>
      </w:r>
      <w:r w:rsidR="00BF622B">
        <w:rPr>
          <w:sz w:val="22"/>
          <w:szCs w:val="22"/>
        </w:rPr>
        <w:t>entail 1 hour</w:t>
      </w:r>
      <w:r>
        <w:rPr>
          <w:sz w:val="22"/>
          <w:szCs w:val="22"/>
        </w:rPr>
        <w:t>),</w:t>
      </w:r>
      <w:r w:rsidR="00D4008C">
        <w:rPr>
          <w:sz w:val="22"/>
          <w:szCs w:val="22"/>
        </w:rPr>
        <w:t xml:space="preserve"> </w:t>
      </w:r>
      <w:r w:rsidR="00D4008C" w:rsidRPr="00D4008C">
        <w:rPr>
          <w:sz w:val="22"/>
          <w:szCs w:val="22"/>
        </w:rPr>
        <w:t>an incentive is conventional for such research activity</w:t>
      </w:r>
      <w:r w:rsidR="00D4008C">
        <w:rPr>
          <w:sz w:val="22"/>
          <w:szCs w:val="22"/>
        </w:rPr>
        <w:t xml:space="preserve"> and will be provided.</w:t>
      </w:r>
      <w:r w:rsidR="00DF49B9" w:rsidRPr="00DF49B9">
        <w:rPr>
          <w:sz w:val="22"/>
          <w:szCs w:val="22"/>
        </w:rPr>
        <w:t xml:space="preserve"> </w:t>
      </w:r>
      <w:r w:rsidR="00DF49B9">
        <w:rPr>
          <w:sz w:val="22"/>
          <w:szCs w:val="22"/>
        </w:rPr>
        <w:t>Note that the use of incentives of this size are conventional.  For instance</w:t>
      </w:r>
      <w:r w:rsidR="0063772B">
        <w:rPr>
          <w:sz w:val="22"/>
          <w:szCs w:val="22"/>
        </w:rPr>
        <w:t>, a</w:t>
      </w:r>
      <w:r w:rsidR="00DF49B9">
        <w:rPr>
          <w:sz w:val="22"/>
          <w:szCs w:val="22"/>
        </w:rPr>
        <w:t xml:space="preserve"> $45 incentive</w:t>
      </w:r>
      <w:r w:rsidR="0063772B">
        <w:rPr>
          <w:sz w:val="22"/>
          <w:szCs w:val="22"/>
        </w:rPr>
        <w:t xml:space="preserve"> wa</w:t>
      </w:r>
      <w:r w:rsidR="00DF49B9">
        <w:rPr>
          <w:sz w:val="22"/>
          <w:szCs w:val="22"/>
        </w:rPr>
        <w:t>s used in a U.S. Department of Education study involving cognitive interviews</w:t>
      </w:r>
      <w:r w:rsidR="0063772B">
        <w:rPr>
          <w:sz w:val="22"/>
          <w:szCs w:val="22"/>
        </w:rPr>
        <w:t xml:space="preserve">.  </w:t>
      </w:r>
    </w:p>
    <w:p w:rsidR="00DF49B9" w:rsidRDefault="00DF49B9" w:rsidP="00DF49B9">
      <w:pPr>
        <w:rPr>
          <w:sz w:val="22"/>
          <w:szCs w:val="22"/>
        </w:rPr>
      </w:pPr>
      <w:r>
        <w:rPr>
          <w:sz w:val="22"/>
          <w:szCs w:val="22"/>
        </w:rPr>
        <w:t xml:space="preserve">(See: </w:t>
      </w:r>
      <w:hyperlink r:id="rId13" w:history="1">
        <w:r w:rsidRPr="000D4FAC">
          <w:rPr>
            <w:rStyle w:val="Hyperlink"/>
            <w:sz w:val="22"/>
            <w:szCs w:val="22"/>
          </w:rPr>
          <w:t>https://nces.ed.gov/surveys/gemena/pdf/FINAL_ATES_cog_int_report_Dec_18_2013.pdf</w:t>
        </w:r>
      </w:hyperlink>
      <w:r>
        <w:rPr>
          <w:sz w:val="22"/>
          <w:szCs w:val="22"/>
        </w:rPr>
        <w:t xml:space="preserve"> ) </w:t>
      </w:r>
    </w:p>
    <w:p w:rsidR="00DF49B9" w:rsidRDefault="00DF49B9" w:rsidP="00DF49B9">
      <w:pPr>
        <w:rPr>
          <w:sz w:val="22"/>
          <w:szCs w:val="22"/>
        </w:rPr>
      </w:pPr>
      <w:r>
        <w:rPr>
          <w:sz w:val="22"/>
          <w:szCs w:val="22"/>
        </w:rPr>
        <w:t xml:space="preserve"> </w:t>
      </w:r>
    </w:p>
    <w:p w:rsidR="00BF622B" w:rsidRDefault="00DF49B9" w:rsidP="004509A2">
      <w:pPr>
        <w:spacing w:after="120"/>
        <w:rPr>
          <w:sz w:val="22"/>
          <w:szCs w:val="22"/>
        </w:rPr>
      </w:pPr>
      <w:r>
        <w:rPr>
          <w:sz w:val="22"/>
          <w:szCs w:val="22"/>
        </w:rPr>
        <w:t>More</w:t>
      </w:r>
      <w:r w:rsidR="0063772B">
        <w:rPr>
          <w:sz w:val="22"/>
          <w:szCs w:val="22"/>
        </w:rPr>
        <w:t xml:space="preserve"> importantly, </w:t>
      </w:r>
      <w:r>
        <w:rPr>
          <w:sz w:val="22"/>
          <w:szCs w:val="22"/>
        </w:rPr>
        <w:t xml:space="preserve">participant incentives are needed for both quality and cost reasons. The pretest design is complex and utilizes a full factorial design with limited numbers of potential respondents within cells.  It is important to secure the participation of refugees from those design cells and incentives will facilitate securing cooperation.  </w:t>
      </w:r>
      <w:r w:rsidR="0063772B">
        <w:rPr>
          <w:sz w:val="22"/>
          <w:szCs w:val="22"/>
        </w:rPr>
        <w:t xml:space="preserve">Failing to achieve those cell sizes will reduce the insight and utility of the pretest.  The costs of recruitment will increase considerably if no incentive is offered given the burden being asked of participants.  The reason is that many more attempts at our reach to additional subjects will be required to secure a cooperating respondent.  </w:t>
      </w:r>
    </w:p>
    <w:p w:rsidR="0063772B" w:rsidRDefault="00BF622B" w:rsidP="00DF49B9">
      <w:pPr>
        <w:rPr>
          <w:sz w:val="22"/>
          <w:szCs w:val="22"/>
        </w:rPr>
      </w:pPr>
      <w:r w:rsidRPr="00BF622B">
        <w:rPr>
          <w:sz w:val="22"/>
          <w:szCs w:val="22"/>
        </w:rPr>
        <w:t>R</w:t>
      </w:r>
      <w:r w:rsidR="001A5601">
        <w:rPr>
          <w:sz w:val="22"/>
          <w:szCs w:val="22"/>
        </w:rPr>
        <w:t>efugee pretest participants</w:t>
      </w:r>
      <w:r w:rsidRPr="00BF622B">
        <w:rPr>
          <w:sz w:val="22"/>
          <w:szCs w:val="22"/>
        </w:rPr>
        <w:t xml:space="preserve"> will be sent a $40 gift card as a thank you for participating after completion of the interview and either cognitive interview or in-depth interview.</w:t>
      </w:r>
      <w:r w:rsidR="001A5601">
        <w:rPr>
          <w:sz w:val="22"/>
          <w:szCs w:val="22"/>
        </w:rPr>
        <w:t xml:space="preserve"> </w:t>
      </w:r>
      <w:r w:rsidR="00B71B58">
        <w:rPr>
          <w:sz w:val="22"/>
          <w:szCs w:val="22"/>
        </w:rPr>
        <w:t xml:space="preserve"> The pretest survey and implementation plan </w:t>
      </w:r>
      <w:r w:rsidR="003D0E03">
        <w:rPr>
          <w:sz w:val="22"/>
          <w:szCs w:val="22"/>
        </w:rPr>
        <w:t>will</w:t>
      </w:r>
      <w:r w:rsidR="00B71B58">
        <w:rPr>
          <w:sz w:val="22"/>
          <w:szCs w:val="22"/>
        </w:rPr>
        <w:t xml:space="preserve"> be reviewed and </w:t>
      </w:r>
      <w:r w:rsidR="00B71B58" w:rsidRPr="00B71B58">
        <w:rPr>
          <w:sz w:val="22"/>
          <w:szCs w:val="22"/>
        </w:rPr>
        <w:t>approved by the Urban Institute’s Institutional Review Board</w:t>
      </w:r>
      <w:r w:rsidR="003D0E03">
        <w:rPr>
          <w:sz w:val="22"/>
          <w:szCs w:val="22"/>
        </w:rPr>
        <w:t xml:space="preserve"> prior to launching the field data collection</w:t>
      </w:r>
      <w:r w:rsidR="00B71B58" w:rsidRPr="00B71B58">
        <w:rPr>
          <w:sz w:val="22"/>
          <w:szCs w:val="22"/>
        </w:rPr>
        <w:t xml:space="preserve">. </w:t>
      </w:r>
    </w:p>
    <w:p w:rsidR="004509A2" w:rsidRDefault="00B71B58" w:rsidP="00DF49B9">
      <w:pPr>
        <w:rPr>
          <w:sz w:val="22"/>
          <w:szCs w:val="22"/>
        </w:rPr>
      </w:pPr>
      <w:r w:rsidRPr="00B71B58">
        <w:rPr>
          <w:sz w:val="22"/>
          <w:szCs w:val="22"/>
        </w:rPr>
        <w:t xml:space="preserve"> </w:t>
      </w:r>
    </w:p>
    <w:p w:rsidR="00875033" w:rsidRDefault="00875033" w:rsidP="00D4008C">
      <w:pPr>
        <w:rPr>
          <w:sz w:val="22"/>
          <w:szCs w:val="22"/>
        </w:rPr>
      </w:pPr>
      <w:r>
        <w:rPr>
          <w:sz w:val="22"/>
          <w:szCs w:val="22"/>
        </w:rPr>
        <w:t>I</w:t>
      </w:r>
      <w:r w:rsidRPr="00875033">
        <w:rPr>
          <w:sz w:val="22"/>
          <w:szCs w:val="22"/>
        </w:rPr>
        <w:t xml:space="preserve">ncentives will </w:t>
      </w:r>
      <w:r>
        <w:rPr>
          <w:sz w:val="22"/>
          <w:szCs w:val="22"/>
        </w:rPr>
        <w:t xml:space="preserve">not </w:t>
      </w:r>
      <w:r w:rsidRPr="00875033">
        <w:rPr>
          <w:sz w:val="22"/>
          <w:szCs w:val="22"/>
        </w:rPr>
        <w:t>be provided to stakeholders (refugee resettlement agency sta</w:t>
      </w:r>
      <w:r>
        <w:rPr>
          <w:sz w:val="22"/>
          <w:szCs w:val="22"/>
        </w:rPr>
        <w:t xml:space="preserve">ff, community representatives) under </w:t>
      </w:r>
      <w:r w:rsidRPr="00875033">
        <w:rPr>
          <w:sz w:val="22"/>
          <w:szCs w:val="22"/>
        </w:rPr>
        <w:t>this information collection</w:t>
      </w:r>
      <w:r>
        <w:rPr>
          <w:sz w:val="22"/>
          <w:szCs w:val="22"/>
        </w:rPr>
        <w:t xml:space="preserve"> request for their participation in either focus groups or in-depth interviews.</w:t>
      </w:r>
    </w:p>
    <w:p w:rsidR="00875033" w:rsidRDefault="00875033" w:rsidP="00D4008C"/>
    <w:p w:rsidR="004222F8" w:rsidRPr="0072204D" w:rsidRDefault="004222F8" w:rsidP="00D4008C">
      <w:pPr>
        <w:spacing w:after="120"/>
        <w:rPr>
          <w:b/>
        </w:rPr>
      </w:pPr>
      <w:r>
        <w:rPr>
          <w:b/>
        </w:rPr>
        <w:t>A10. Privacy</w:t>
      </w:r>
      <w:r w:rsidRPr="0072204D">
        <w:rPr>
          <w:b/>
        </w:rPr>
        <w:t xml:space="preserve"> of Respondents</w:t>
      </w:r>
    </w:p>
    <w:p w:rsidR="004222F8" w:rsidRDefault="00436F5E" w:rsidP="00D4008C">
      <w:pPr>
        <w:widowControl w:val="0"/>
        <w:autoSpaceDE w:val="0"/>
        <w:autoSpaceDN w:val="0"/>
        <w:adjustRightInd w:val="0"/>
        <w:rPr>
          <w:sz w:val="22"/>
          <w:szCs w:val="22"/>
        </w:rPr>
      </w:pPr>
      <w:r w:rsidRPr="001A5601">
        <w:rPr>
          <w:sz w:val="22"/>
          <w:szCs w:val="22"/>
        </w:rPr>
        <w:t>Information collected will be kept private to the extent permitted by law. Respondents will be informed of all planned uses of data, that their participation is voluntary, and that their information will be kept private to the extent permitted by law</w:t>
      </w:r>
      <w:r w:rsidR="00875033" w:rsidRPr="001A5601">
        <w:rPr>
          <w:sz w:val="22"/>
          <w:szCs w:val="22"/>
        </w:rPr>
        <w:t>.</w:t>
      </w:r>
      <w:r w:rsidR="00A75940">
        <w:rPr>
          <w:sz w:val="22"/>
          <w:szCs w:val="22"/>
        </w:rPr>
        <w:t xml:space="preserve"> Explicit consent will be obtained for audio recording</w:t>
      </w:r>
      <w:r w:rsidR="007E1101">
        <w:rPr>
          <w:sz w:val="22"/>
          <w:szCs w:val="22"/>
        </w:rPr>
        <w:t xml:space="preserve"> being requested for refugee surveys, cognitive interviews and in-depth interviews</w:t>
      </w:r>
      <w:r w:rsidR="00A75940">
        <w:rPr>
          <w:sz w:val="22"/>
          <w:szCs w:val="22"/>
        </w:rPr>
        <w:t xml:space="preserve">; if declined, the collection will proceed with only note taking by the field staff. </w:t>
      </w:r>
      <w:r w:rsidR="007E1101">
        <w:rPr>
          <w:sz w:val="22"/>
          <w:szCs w:val="22"/>
        </w:rPr>
        <w:t>Site visit focus groups and in-depth interviews will not be audio recorded.</w:t>
      </w:r>
    </w:p>
    <w:p w:rsidR="00ED2131" w:rsidRPr="001A5601" w:rsidRDefault="00ED2131" w:rsidP="00D4008C">
      <w:pPr>
        <w:widowControl w:val="0"/>
        <w:autoSpaceDE w:val="0"/>
        <w:autoSpaceDN w:val="0"/>
        <w:adjustRightInd w:val="0"/>
        <w:rPr>
          <w:sz w:val="22"/>
          <w:szCs w:val="22"/>
        </w:rPr>
      </w:pPr>
    </w:p>
    <w:p w:rsidR="004222F8" w:rsidRPr="001A5601" w:rsidRDefault="004222F8" w:rsidP="00D4008C">
      <w:pPr>
        <w:widowControl w:val="0"/>
        <w:autoSpaceDE w:val="0"/>
        <w:autoSpaceDN w:val="0"/>
        <w:adjustRightInd w:val="0"/>
        <w:rPr>
          <w:sz w:val="22"/>
          <w:szCs w:val="22"/>
        </w:rPr>
      </w:pPr>
      <w:r w:rsidRPr="001A5601">
        <w:rPr>
          <w:sz w:val="22"/>
          <w:szCs w:val="22"/>
        </w:rPr>
        <w:t>As specified in the contract, the Contractor shall protect respondent privacy to the extent permitted by law and will comply with all Federal and Departmental regula</w:t>
      </w:r>
      <w:r w:rsidR="00875033" w:rsidRPr="001A5601">
        <w:rPr>
          <w:sz w:val="22"/>
          <w:szCs w:val="22"/>
        </w:rPr>
        <w:t>tions for private information.  The Contractor has developed and will abide by a Data Safety and Monitoring Plan that assesses all protections of respondents’ personally identifiable information.  A Human Subjects Protection plan will be reviewed and approved by the Contractor’s Institutional Review Board (IRB) prior to the commencement of data collection.  The Contractor will</w:t>
      </w:r>
      <w:r w:rsidRPr="001A5601">
        <w:rPr>
          <w:sz w:val="22"/>
          <w:szCs w:val="22"/>
        </w:rPr>
        <w:t xml:space="preserve"> ensure that employees, subcontractors (at all tiers), and employees of each subcontractor, who perform work under this contract/subcontract, are trained on data privacy issues and comply with the above requirements.</w:t>
      </w:r>
    </w:p>
    <w:p w:rsidR="004222F8" w:rsidRPr="001A5601" w:rsidRDefault="004222F8" w:rsidP="008C78B4">
      <w:pPr>
        <w:widowControl w:val="0"/>
        <w:autoSpaceDE w:val="0"/>
        <w:autoSpaceDN w:val="0"/>
        <w:adjustRightInd w:val="0"/>
        <w:ind w:left="360"/>
        <w:rPr>
          <w:sz w:val="22"/>
          <w:szCs w:val="22"/>
        </w:rPr>
      </w:pPr>
    </w:p>
    <w:p w:rsidR="00436F5E" w:rsidRPr="001A5601" w:rsidRDefault="00436F5E" w:rsidP="00436F5E">
      <w:pPr>
        <w:widowControl w:val="0"/>
        <w:autoSpaceDE w:val="0"/>
        <w:autoSpaceDN w:val="0"/>
        <w:adjustRightInd w:val="0"/>
        <w:rPr>
          <w:sz w:val="22"/>
          <w:szCs w:val="22"/>
        </w:rPr>
      </w:pPr>
      <w:r w:rsidRPr="001A5601">
        <w:rPr>
          <w:sz w:val="22"/>
          <w:szCs w:val="22"/>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t>
      </w:r>
      <w:r w:rsidR="00875033" w:rsidRPr="001A5601">
        <w:rPr>
          <w:sz w:val="22"/>
          <w:szCs w:val="22"/>
        </w:rPr>
        <w:t>will</w:t>
      </w:r>
      <w:r w:rsidRPr="001A5601">
        <w:rPr>
          <w:sz w:val="22"/>
          <w:szCs w:val="22"/>
        </w:rPr>
        <w:t xml:space="preserve">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r w:rsidR="007E1101">
        <w:rPr>
          <w:sz w:val="22"/>
          <w:szCs w:val="22"/>
        </w:rPr>
        <w:t>All audio recordings will be destroyed at the end of the pretest study.</w:t>
      </w:r>
    </w:p>
    <w:p w:rsidR="00436F5E" w:rsidRPr="00436F5E" w:rsidRDefault="00436F5E" w:rsidP="00436F5E">
      <w:pPr>
        <w:widowControl w:val="0"/>
        <w:autoSpaceDE w:val="0"/>
        <w:autoSpaceDN w:val="0"/>
        <w:adjustRightInd w:val="0"/>
      </w:pPr>
    </w:p>
    <w:p w:rsidR="003D0E03" w:rsidRPr="001A5601" w:rsidRDefault="003D0E03" w:rsidP="00436F5E">
      <w:pPr>
        <w:rPr>
          <w:sz w:val="22"/>
          <w:szCs w:val="22"/>
        </w:rPr>
      </w:pPr>
    </w:p>
    <w:p w:rsidR="00436F5E" w:rsidRDefault="00436F5E" w:rsidP="00436F5E"/>
    <w:p w:rsidR="00945CD6" w:rsidRDefault="00292B70" w:rsidP="00436F5E">
      <w:pPr>
        <w:spacing w:after="120"/>
        <w:rPr>
          <w:b/>
        </w:rPr>
      </w:pPr>
      <w:r>
        <w:rPr>
          <w:b/>
        </w:rPr>
        <w:t xml:space="preserve">A11. </w:t>
      </w:r>
      <w:r w:rsidR="00945CD6" w:rsidRPr="0072204D">
        <w:rPr>
          <w:b/>
        </w:rPr>
        <w:t>Sensitive Questions</w:t>
      </w:r>
    </w:p>
    <w:p w:rsidR="005E235C" w:rsidRDefault="005E235C" w:rsidP="005E235C">
      <w:pPr>
        <w:spacing w:after="120"/>
      </w:pPr>
      <w:r>
        <w:rPr>
          <w:sz w:val="22"/>
          <w:szCs w:val="22"/>
        </w:rPr>
        <w:t xml:space="preserve">There are no sensitive questions in this data collection in terms of divulging risky or illicit behaviors.  However, </w:t>
      </w:r>
      <w:r w:rsidR="00781AC5">
        <w:rPr>
          <w:sz w:val="22"/>
          <w:szCs w:val="22"/>
        </w:rPr>
        <w:t>some</w:t>
      </w:r>
      <w:r>
        <w:rPr>
          <w:sz w:val="22"/>
          <w:szCs w:val="22"/>
        </w:rPr>
        <w:t xml:space="preserve"> refugees may consider some question</w:t>
      </w:r>
      <w:r w:rsidR="00781AC5">
        <w:rPr>
          <w:sz w:val="22"/>
          <w:szCs w:val="22"/>
        </w:rPr>
        <w:t>s</w:t>
      </w:r>
      <w:r>
        <w:rPr>
          <w:sz w:val="22"/>
          <w:szCs w:val="22"/>
        </w:rPr>
        <w:t xml:space="preserve"> to be sensitive, such as questions about </w:t>
      </w:r>
      <w:r w:rsidR="001819A1">
        <w:rPr>
          <w:sz w:val="22"/>
          <w:szCs w:val="22"/>
        </w:rPr>
        <w:t>experiences of flight from their home countries</w:t>
      </w:r>
      <w:r>
        <w:rPr>
          <w:sz w:val="22"/>
          <w:szCs w:val="22"/>
        </w:rPr>
        <w:t>, income</w:t>
      </w:r>
      <w:r w:rsidR="001819A1">
        <w:rPr>
          <w:sz w:val="22"/>
          <w:szCs w:val="22"/>
        </w:rPr>
        <w:t xml:space="preserve"> and barriers to employment, health, and the experiences of their children</w:t>
      </w:r>
      <w:r>
        <w:rPr>
          <w:sz w:val="22"/>
          <w:szCs w:val="22"/>
        </w:rPr>
        <w:t>. To the extent that these are perceived as sensitive by this population, interviewers have been trained to reassure subject</w:t>
      </w:r>
      <w:r w:rsidR="00ED2131">
        <w:rPr>
          <w:sz w:val="22"/>
          <w:szCs w:val="22"/>
        </w:rPr>
        <w:t>s</w:t>
      </w:r>
      <w:r>
        <w:rPr>
          <w:sz w:val="22"/>
          <w:szCs w:val="22"/>
        </w:rPr>
        <w:t xml:space="preserve"> of the p</w:t>
      </w:r>
      <w:r w:rsidR="00ED2131">
        <w:rPr>
          <w:sz w:val="22"/>
          <w:szCs w:val="22"/>
        </w:rPr>
        <w:t>rivacy of their reported data under</w:t>
      </w:r>
      <w:r>
        <w:rPr>
          <w:sz w:val="22"/>
          <w:szCs w:val="22"/>
        </w:rPr>
        <w:t xml:space="preserve"> federal law. </w:t>
      </w:r>
    </w:p>
    <w:p w:rsidR="003D0E03" w:rsidRDefault="003D0E03" w:rsidP="003D0E03">
      <w:pPr>
        <w:spacing w:after="120"/>
        <w:rPr>
          <w:b/>
        </w:rPr>
      </w:pPr>
    </w:p>
    <w:p w:rsidR="005E235C" w:rsidRDefault="00292B70" w:rsidP="003D0E03">
      <w:pPr>
        <w:spacing w:after="120"/>
      </w:pPr>
      <w:r>
        <w:rPr>
          <w:b/>
        </w:rPr>
        <w:t xml:space="preserve">A12. </w:t>
      </w:r>
      <w:r w:rsidR="00945CD6" w:rsidRPr="0072204D">
        <w:rPr>
          <w:b/>
        </w:rPr>
        <w:t>Estimation of Information Collection Burden</w:t>
      </w:r>
    </w:p>
    <w:p w:rsidR="008C48FB" w:rsidRDefault="008C48FB" w:rsidP="005E235C">
      <w:pPr>
        <w:spacing w:after="60"/>
        <w:rPr>
          <w:sz w:val="22"/>
          <w:szCs w:val="22"/>
        </w:rPr>
      </w:pPr>
      <w:r w:rsidRPr="00A75940">
        <w:rPr>
          <w:sz w:val="22"/>
          <w:szCs w:val="22"/>
        </w:rPr>
        <w:t>We request approval of 224 total burden hours for refugees taking the pretest survey and cognitive or in-depth interview.  We expect the pretest survey plus a cognitive or in-depth interview will take 2 hours for each of the 112 refugee respondents.  We also request approval of 52 total burden hours for the focus groups (32 hours) and in-depth interviews (20 hours) at the two sites (Washington, DC, and Boise, ID).</w:t>
      </w:r>
    </w:p>
    <w:p w:rsidR="004218E0" w:rsidRDefault="004218E0" w:rsidP="005E235C">
      <w:pPr>
        <w:spacing w:after="60"/>
        <w:rPr>
          <w:sz w:val="22"/>
          <w:szCs w:val="22"/>
        </w:rPr>
      </w:pPr>
    </w:p>
    <w:p w:rsidR="004218E0" w:rsidRDefault="004218E0" w:rsidP="004218E0">
      <w:pPr>
        <w:spacing w:after="60"/>
        <w:rPr>
          <w:b/>
          <w:i/>
        </w:rPr>
      </w:pPr>
      <w:r w:rsidRPr="002F3EDE">
        <w:rPr>
          <w:b/>
          <w:i/>
        </w:rPr>
        <w:t>Total Annual Cost</w:t>
      </w:r>
    </w:p>
    <w:p w:rsidR="004218E0" w:rsidRDefault="004218E0" w:rsidP="004218E0">
      <w:pPr>
        <w:rPr>
          <w:sz w:val="22"/>
          <w:szCs w:val="22"/>
        </w:rPr>
      </w:pPr>
      <w:r>
        <w:rPr>
          <w:sz w:val="22"/>
          <w:szCs w:val="22"/>
        </w:rPr>
        <w:t xml:space="preserve">The total participant cost of this pretest across refugees and stakeholders is estimated to be $3,832.  </w:t>
      </w:r>
    </w:p>
    <w:p w:rsidR="004218E0" w:rsidRDefault="004218E0" w:rsidP="004218E0">
      <w:pPr>
        <w:rPr>
          <w:sz w:val="22"/>
          <w:szCs w:val="22"/>
        </w:rPr>
      </w:pPr>
    </w:p>
    <w:p w:rsidR="004218E0" w:rsidRDefault="004218E0" w:rsidP="004218E0">
      <w:pPr>
        <w:rPr>
          <w:sz w:val="22"/>
          <w:szCs w:val="22"/>
        </w:rPr>
      </w:pPr>
      <w:r w:rsidRPr="00D4008C">
        <w:rPr>
          <w:i/>
          <w:sz w:val="22"/>
          <w:szCs w:val="22"/>
        </w:rPr>
        <w:t>Refugee Cost:</w:t>
      </w:r>
      <w:r>
        <w:rPr>
          <w:sz w:val="22"/>
          <w:szCs w:val="22"/>
        </w:rPr>
        <w:t xml:space="preserve"> The cost to refugees was determined by multiplying the </w:t>
      </w:r>
      <w:r w:rsidRPr="00D4008C">
        <w:rPr>
          <w:i/>
          <w:sz w:val="22"/>
          <w:szCs w:val="22"/>
        </w:rPr>
        <w:t>total annual burden hours</w:t>
      </w:r>
      <w:r>
        <w:rPr>
          <w:sz w:val="22"/>
          <w:szCs w:val="22"/>
        </w:rPr>
        <w:t xml:space="preserve"> of refugees (Rows 1 and 4 of Column D) (128 + 96 = 224) by the </w:t>
      </w:r>
      <w:r w:rsidRPr="00D4008C">
        <w:rPr>
          <w:i/>
          <w:sz w:val="22"/>
          <w:szCs w:val="22"/>
        </w:rPr>
        <w:t xml:space="preserve">average hourly wage </w:t>
      </w:r>
      <w:r>
        <w:rPr>
          <w:sz w:val="22"/>
          <w:szCs w:val="22"/>
        </w:rPr>
        <w:t xml:space="preserve">of refugees ($12) (Column E) based data on wages among refugees 18 or over who are employed from the 2017 Annual Survey of Refugees.  Thus, the total cost associated with refugee burden is (224 x $12) = </w:t>
      </w:r>
      <w:r w:rsidRPr="00BC11C3">
        <w:rPr>
          <w:b/>
          <w:sz w:val="22"/>
          <w:szCs w:val="22"/>
        </w:rPr>
        <w:t>$2,688.</w:t>
      </w:r>
    </w:p>
    <w:p w:rsidR="004218E0" w:rsidRDefault="004218E0" w:rsidP="004218E0">
      <w:pPr>
        <w:rPr>
          <w:sz w:val="22"/>
          <w:szCs w:val="22"/>
        </w:rPr>
      </w:pPr>
    </w:p>
    <w:p w:rsidR="004218E0" w:rsidRDefault="004218E0" w:rsidP="004218E0">
      <w:pPr>
        <w:rPr>
          <w:sz w:val="22"/>
          <w:szCs w:val="22"/>
        </w:rPr>
      </w:pPr>
      <w:r w:rsidRPr="00D4008C">
        <w:rPr>
          <w:i/>
          <w:sz w:val="22"/>
          <w:szCs w:val="22"/>
        </w:rPr>
        <w:t>Stakeholder Cost:</w:t>
      </w:r>
      <w:r>
        <w:rPr>
          <w:sz w:val="22"/>
          <w:szCs w:val="22"/>
        </w:rPr>
        <w:t xml:space="preserve"> For Stakeholders, the total burden hours (Rows 7 and 8</w:t>
      </w:r>
      <w:r w:rsidRPr="00BC11C3">
        <w:rPr>
          <w:sz w:val="22"/>
          <w:szCs w:val="22"/>
        </w:rPr>
        <w:t xml:space="preserve"> of Column </w:t>
      </w:r>
      <w:r>
        <w:rPr>
          <w:sz w:val="22"/>
          <w:szCs w:val="22"/>
        </w:rPr>
        <w:t>D</w:t>
      </w:r>
      <w:r w:rsidRPr="00BC11C3">
        <w:rPr>
          <w:sz w:val="22"/>
          <w:szCs w:val="22"/>
        </w:rPr>
        <w:t xml:space="preserve">) </w:t>
      </w:r>
      <w:r>
        <w:rPr>
          <w:sz w:val="22"/>
          <w:szCs w:val="22"/>
        </w:rPr>
        <w:t xml:space="preserve"> (32+20 = 52) was multiplied by the July 2017 US average hourly wage of $22 (Column E) to produce a total Stakeholder cost of  (52 x $22) = </w:t>
      </w:r>
      <w:r w:rsidRPr="00BC11C3">
        <w:rPr>
          <w:b/>
          <w:sz w:val="22"/>
          <w:szCs w:val="22"/>
        </w:rPr>
        <w:t>$1,144</w:t>
      </w:r>
      <w:r>
        <w:rPr>
          <w:sz w:val="22"/>
          <w:szCs w:val="22"/>
        </w:rPr>
        <w:t>.</w:t>
      </w:r>
    </w:p>
    <w:p w:rsidR="004218E0" w:rsidRDefault="004218E0" w:rsidP="004218E0">
      <w:pPr>
        <w:rPr>
          <w:sz w:val="22"/>
          <w:szCs w:val="22"/>
        </w:rPr>
      </w:pPr>
    </w:p>
    <w:p w:rsidR="004218E0" w:rsidRDefault="004218E0" w:rsidP="004218E0">
      <w:r>
        <w:rPr>
          <w:sz w:val="22"/>
          <w:szCs w:val="22"/>
        </w:rPr>
        <w:t xml:space="preserve">Summing the </w:t>
      </w:r>
      <w:r w:rsidRPr="00BC11C3">
        <w:rPr>
          <w:i/>
          <w:sz w:val="22"/>
          <w:szCs w:val="22"/>
        </w:rPr>
        <w:t>Refugee</w:t>
      </w:r>
      <w:r>
        <w:rPr>
          <w:sz w:val="22"/>
          <w:szCs w:val="22"/>
        </w:rPr>
        <w:t xml:space="preserve"> and </w:t>
      </w:r>
      <w:r w:rsidRPr="00BC11C3">
        <w:rPr>
          <w:i/>
          <w:sz w:val="22"/>
          <w:szCs w:val="22"/>
        </w:rPr>
        <w:t>Stakeholder</w:t>
      </w:r>
      <w:r>
        <w:rPr>
          <w:sz w:val="22"/>
          <w:szCs w:val="22"/>
        </w:rPr>
        <w:t xml:space="preserve"> costs yields the </w:t>
      </w:r>
      <w:r w:rsidRPr="00BC11C3">
        <w:rPr>
          <w:i/>
          <w:sz w:val="22"/>
          <w:szCs w:val="22"/>
        </w:rPr>
        <w:t>total annual cost</w:t>
      </w:r>
      <w:r>
        <w:rPr>
          <w:sz w:val="22"/>
          <w:szCs w:val="22"/>
        </w:rPr>
        <w:t xml:space="preserve">: $2,688 + $ 1,144 = </w:t>
      </w:r>
      <w:r w:rsidRPr="00BC11C3">
        <w:rPr>
          <w:b/>
          <w:sz w:val="22"/>
          <w:szCs w:val="22"/>
        </w:rPr>
        <w:t>$3,832.</w:t>
      </w:r>
      <w:r>
        <w:t xml:space="preserve"> </w:t>
      </w:r>
    </w:p>
    <w:p w:rsidR="004218E0" w:rsidRPr="00A75940" w:rsidRDefault="004218E0" w:rsidP="005E235C">
      <w:pPr>
        <w:spacing w:after="60"/>
        <w:rPr>
          <w:sz w:val="22"/>
          <w:szCs w:val="22"/>
        </w:rPr>
      </w:pPr>
    </w:p>
    <w:p w:rsidR="004218E0" w:rsidRPr="004218E0" w:rsidRDefault="004218E0" w:rsidP="004218E0">
      <w:pPr>
        <w:pStyle w:val="NoSpacing"/>
        <w:spacing w:after="60"/>
        <w:rPr>
          <w:rFonts w:ascii="Times New Roman" w:hAnsi="Times New Roman"/>
          <w:b/>
          <w:szCs w:val="24"/>
        </w:rPr>
      </w:pPr>
    </w:p>
    <w:p w:rsidR="004218E0" w:rsidRPr="004218E0" w:rsidRDefault="004218E0" w:rsidP="004218E0">
      <w:pPr>
        <w:pStyle w:val="NoSpacing"/>
        <w:spacing w:after="60"/>
        <w:rPr>
          <w:rFonts w:ascii="Times New Roman" w:hAnsi="Times New Roman"/>
          <w:b/>
          <w:szCs w:val="24"/>
        </w:rPr>
      </w:pPr>
      <w:r w:rsidRPr="004218E0">
        <w:rPr>
          <w:rFonts w:ascii="Times New Roman" w:hAnsi="Times New Roman"/>
          <w:b/>
          <w:szCs w:val="24"/>
        </w:rPr>
        <w:t>A13. Cost Burden to Respondents or Record Keepers</w:t>
      </w:r>
    </w:p>
    <w:p w:rsidR="004218E0" w:rsidRPr="004218E0" w:rsidRDefault="004218E0" w:rsidP="004218E0">
      <w:pPr>
        <w:pStyle w:val="NoSpacing"/>
        <w:spacing w:after="60"/>
        <w:rPr>
          <w:rFonts w:ascii="Times New Roman" w:hAnsi="Times New Roman"/>
          <w:szCs w:val="24"/>
        </w:rPr>
      </w:pPr>
      <w:r w:rsidRPr="004218E0">
        <w:rPr>
          <w:rFonts w:ascii="Times New Roman" w:hAnsi="Times New Roman"/>
          <w:szCs w:val="24"/>
        </w:rPr>
        <w:t>There are no additional costs to respondents.</w:t>
      </w:r>
    </w:p>
    <w:p w:rsidR="004218E0" w:rsidRDefault="004218E0" w:rsidP="003F7524">
      <w:pPr>
        <w:pStyle w:val="NoSpacing"/>
        <w:spacing w:after="60"/>
        <w:rPr>
          <w:rFonts w:ascii="Times New Roman" w:hAnsi="Times New Roman"/>
          <w:b/>
          <w:szCs w:val="24"/>
        </w:rPr>
      </w:pPr>
    </w:p>
    <w:p w:rsidR="00A35B0D" w:rsidRDefault="00A35B0D" w:rsidP="003F7524">
      <w:pPr>
        <w:pStyle w:val="NoSpacing"/>
        <w:spacing w:after="60"/>
        <w:rPr>
          <w:b/>
        </w:rPr>
      </w:pPr>
      <w:r w:rsidRPr="003F7524">
        <w:rPr>
          <w:rFonts w:ascii="Times New Roman" w:hAnsi="Times New Roman"/>
          <w:b/>
          <w:szCs w:val="24"/>
        </w:rPr>
        <w:t>Newly Requested Information Collections</w:t>
      </w:r>
    </w:p>
    <w:p w:rsidR="00A35B0D" w:rsidRDefault="00A35B0D" w:rsidP="00A35B0D">
      <w:pPr>
        <w:rPr>
          <w:b/>
        </w:rPr>
      </w:pPr>
      <w:r w:rsidRPr="00A35B0D">
        <w:rPr>
          <w:b/>
        </w:rPr>
        <w:t>Total Burden Requested Under this Information Collection</w:t>
      </w:r>
    </w:p>
    <w:p w:rsidR="003F7524" w:rsidRDefault="003F7524" w:rsidP="00D4008C">
      <w:pPr>
        <w:rPr>
          <w:b/>
        </w:rPr>
      </w:pPr>
    </w:p>
    <w:tbl>
      <w:tblPr>
        <w:tblW w:w="9568" w:type="dxa"/>
        <w:tblInd w:w="-10" w:type="dxa"/>
        <w:tblLayout w:type="fixed"/>
        <w:tblLook w:val="04A0" w:firstRow="1" w:lastRow="0" w:firstColumn="1" w:lastColumn="0" w:noHBand="0" w:noVBand="1"/>
      </w:tblPr>
      <w:tblGrid>
        <w:gridCol w:w="1378"/>
        <w:gridCol w:w="2070"/>
        <w:gridCol w:w="1350"/>
        <w:gridCol w:w="1170"/>
        <w:gridCol w:w="990"/>
        <w:gridCol w:w="810"/>
        <w:gridCol w:w="900"/>
        <w:gridCol w:w="900"/>
      </w:tblGrid>
      <w:tr w:rsidR="004218E0" w:rsidTr="004218E0">
        <w:trPr>
          <w:trHeight w:val="196"/>
        </w:trPr>
        <w:tc>
          <w:tcPr>
            <w:tcW w:w="1378" w:type="dxa"/>
            <w:tcBorders>
              <w:top w:val="single" w:sz="8" w:space="0" w:color="000000"/>
              <w:left w:val="single" w:sz="8" w:space="0" w:color="000000"/>
              <w:bottom w:val="single" w:sz="8" w:space="0" w:color="000000"/>
              <w:right w:val="single" w:sz="8" w:space="0" w:color="000000"/>
            </w:tcBorders>
            <w:shd w:val="clear" w:color="000000" w:fill="BFBFBF"/>
          </w:tcPr>
          <w:p w:rsidR="004218E0" w:rsidRDefault="004218E0" w:rsidP="004218E0">
            <w:pPr>
              <w:jc w:val="center"/>
              <w:rPr>
                <w:color w:val="000000"/>
                <w:sz w:val="20"/>
                <w:szCs w:val="20"/>
              </w:rPr>
            </w:pPr>
          </w:p>
        </w:tc>
        <w:tc>
          <w:tcPr>
            <w:tcW w:w="2070" w:type="dxa"/>
            <w:tcBorders>
              <w:top w:val="single" w:sz="8" w:space="0" w:color="000000"/>
              <w:left w:val="single" w:sz="8" w:space="0" w:color="000000"/>
              <w:bottom w:val="single" w:sz="8" w:space="0" w:color="000000"/>
              <w:right w:val="single" w:sz="8" w:space="0" w:color="000000"/>
            </w:tcBorders>
            <w:shd w:val="clear" w:color="000000" w:fill="BFBFBF"/>
            <w:vAlign w:val="center"/>
          </w:tcPr>
          <w:p w:rsidR="004218E0" w:rsidRDefault="004218E0" w:rsidP="00D4008C">
            <w:pPr>
              <w:jc w:val="center"/>
              <w:rPr>
                <w:color w:val="000000"/>
                <w:sz w:val="20"/>
                <w:szCs w:val="20"/>
              </w:rPr>
            </w:pPr>
          </w:p>
        </w:tc>
        <w:tc>
          <w:tcPr>
            <w:tcW w:w="1350" w:type="dxa"/>
            <w:tcBorders>
              <w:top w:val="single" w:sz="8" w:space="0" w:color="000000"/>
              <w:left w:val="nil"/>
              <w:bottom w:val="single" w:sz="8" w:space="0" w:color="000000"/>
              <w:right w:val="single" w:sz="8" w:space="0" w:color="000000"/>
            </w:tcBorders>
            <w:shd w:val="clear" w:color="000000" w:fill="BFBFBF"/>
            <w:vAlign w:val="center"/>
          </w:tcPr>
          <w:p w:rsidR="004218E0" w:rsidRPr="00D4008C" w:rsidRDefault="004218E0" w:rsidP="00D4008C">
            <w:pPr>
              <w:jc w:val="center"/>
              <w:rPr>
                <w:b/>
                <w:color w:val="000000"/>
                <w:sz w:val="18"/>
                <w:szCs w:val="18"/>
              </w:rPr>
            </w:pPr>
            <w:r w:rsidRPr="00D4008C">
              <w:rPr>
                <w:b/>
                <w:color w:val="000000"/>
                <w:sz w:val="18"/>
                <w:szCs w:val="18"/>
              </w:rPr>
              <w:t>A</w:t>
            </w:r>
          </w:p>
        </w:tc>
        <w:tc>
          <w:tcPr>
            <w:tcW w:w="1170" w:type="dxa"/>
            <w:tcBorders>
              <w:top w:val="single" w:sz="8" w:space="0" w:color="000000"/>
              <w:left w:val="nil"/>
              <w:bottom w:val="single" w:sz="8" w:space="0" w:color="000000"/>
              <w:right w:val="single" w:sz="8" w:space="0" w:color="000000"/>
            </w:tcBorders>
            <w:shd w:val="clear" w:color="000000" w:fill="BFBFBF"/>
            <w:vAlign w:val="center"/>
          </w:tcPr>
          <w:p w:rsidR="004218E0" w:rsidRPr="00D4008C" w:rsidRDefault="004218E0" w:rsidP="00D4008C">
            <w:pPr>
              <w:jc w:val="center"/>
              <w:rPr>
                <w:b/>
                <w:color w:val="000000"/>
                <w:sz w:val="18"/>
                <w:szCs w:val="18"/>
              </w:rPr>
            </w:pPr>
            <w:r>
              <w:rPr>
                <w:b/>
                <w:color w:val="000000"/>
                <w:sz w:val="18"/>
                <w:szCs w:val="18"/>
              </w:rPr>
              <w:t>B</w:t>
            </w:r>
          </w:p>
        </w:tc>
        <w:tc>
          <w:tcPr>
            <w:tcW w:w="990" w:type="dxa"/>
            <w:tcBorders>
              <w:top w:val="single" w:sz="8" w:space="0" w:color="000000"/>
              <w:left w:val="nil"/>
              <w:bottom w:val="single" w:sz="8" w:space="0" w:color="000000"/>
              <w:right w:val="single" w:sz="8" w:space="0" w:color="000000"/>
            </w:tcBorders>
            <w:shd w:val="clear" w:color="000000" w:fill="BFBFBF"/>
            <w:vAlign w:val="center"/>
          </w:tcPr>
          <w:p w:rsidR="004218E0" w:rsidRPr="00D4008C" w:rsidRDefault="004218E0" w:rsidP="00D4008C">
            <w:pPr>
              <w:jc w:val="center"/>
              <w:rPr>
                <w:b/>
                <w:color w:val="000000"/>
                <w:sz w:val="18"/>
                <w:szCs w:val="18"/>
              </w:rPr>
            </w:pPr>
            <w:r>
              <w:rPr>
                <w:b/>
                <w:color w:val="000000"/>
                <w:sz w:val="18"/>
                <w:szCs w:val="18"/>
              </w:rPr>
              <w:t>C</w:t>
            </w:r>
          </w:p>
        </w:tc>
        <w:tc>
          <w:tcPr>
            <w:tcW w:w="810" w:type="dxa"/>
            <w:tcBorders>
              <w:top w:val="single" w:sz="8" w:space="0" w:color="000000"/>
              <w:left w:val="nil"/>
              <w:bottom w:val="single" w:sz="8" w:space="0" w:color="000000"/>
              <w:right w:val="single" w:sz="8" w:space="0" w:color="000000"/>
            </w:tcBorders>
            <w:shd w:val="clear" w:color="000000" w:fill="BFBFBF"/>
            <w:vAlign w:val="center"/>
          </w:tcPr>
          <w:p w:rsidR="004218E0" w:rsidRPr="00D4008C" w:rsidRDefault="004218E0" w:rsidP="00D4008C">
            <w:pPr>
              <w:jc w:val="center"/>
              <w:rPr>
                <w:b/>
                <w:bCs/>
                <w:color w:val="000000"/>
                <w:sz w:val="18"/>
                <w:szCs w:val="18"/>
              </w:rPr>
            </w:pPr>
            <w:r>
              <w:rPr>
                <w:b/>
                <w:bCs/>
                <w:color w:val="000000"/>
                <w:sz w:val="18"/>
                <w:szCs w:val="18"/>
              </w:rPr>
              <w:t>D</w:t>
            </w:r>
          </w:p>
        </w:tc>
        <w:tc>
          <w:tcPr>
            <w:tcW w:w="900" w:type="dxa"/>
            <w:tcBorders>
              <w:top w:val="single" w:sz="8" w:space="0" w:color="000000"/>
              <w:left w:val="nil"/>
              <w:bottom w:val="single" w:sz="8" w:space="0" w:color="000000"/>
              <w:right w:val="single" w:sz="8" w:space="0" w:color="000000"/>
            </w:tcBorders>
            <w:shd w:val="clear" w:color="000000" w:fill="BFBFBF"/>
            <w:vAlign w:val="center"/>
          </w:tcPr>
          <w:p w:rsidR="004218E0" w:rsidRPr="00D4008C" w:rsidRDefault="004218E0" w:rsidP="00D4008C">
            <w:pPr>
              <w:jc w:val="center"/>
              <w:rPr>
                <w:b/>
                <w:bCs/>
                <w:color w:val="000000"/>
                <w:sz w:val="18"/>
                <w:szCs w:val="18"/>
              </w:rPr>
            </w:pPr>
            <w:r>
              <w:rPr>
                <w:b/>
                <w:bCs/>
                <w:color w:val="000000"/>
                <w:sz w:val="18"/>
                <w:szCs w:val="18"/>
              </w:rPr>
              <w:t>E</w:t>
            </w:r>
          </w:p>
        </w:tc>
        <w:tc>
          <w:tcPr>
            <w:tcW w:w="900" w:type="dxa"/>
            <w:tcBorders>
              <w:top w:val="single" w:sz="8" w:space="0" w:color="000000"/>
              <w:left w:val="nil"/>
              <w:bottom w:val="single" w:sz="8" w:space="0" w:color="000000"/>
              <w:right w:val="single" w:sz="8" w:space="0" w:color="000000"/>
            </w:tcBorders>
            <w:shd w:val="clear" w:color="000000" w:fill="BFBFBF"/>
            <w:vAlign w:val="center"/>
          </w:tcPr>
          <w:p w:rsidR="004218E0" w:rsidRPr="00D4008C" w:rsidRDefault="004218E0" w:rsidP="00D4008C">
            <w:pPr>
              <w:jc w:val="center"/>
              <w:rPr>
                <w:b/>
                <w:bCs/>
                <w:color w:val="000000"/>
                <w:sz w:val="18"/>
                <w:szCs w:val="18"/>
              </w:rPr>
            </w:pPr>
            <w:r>
              <w:rPr>
                <w:b/>
                <w:bCs/>
                <w:color w:val="000000"/>
                <w:sz w:val="18"/>
                <w:szCs w:val="18"/>
              </w:rPr>
              <w:t>F</w:t>
            </w:r>
          </w:p>
        </w:tc>
      </w:tr>
      <w:tr w:rsidR="004218E0" w:rsidTr="004218E0">
        <w:trPr>
          <w:trHeight w:val="1035"/>
        </w:trPr>
        <w:tc>
          <w:tcPr>
            <w:tcW w:w="1378" w:type="dxa"/>
            <w:tcBorders>
              <w:top w:val="single" w:sz="8" w:space="0" w:color="000000"/>
              <w:left w:val="single" w:sz="8" w:space="0" w:color="000000"/>
              <w:bottom w:val="single" w:sz="8" w:space="0" w:color="000000"/>
              <w:right w:val="single" w:sz="8" w:space="0" w:color="000000"/>
            </w:tcBorders>
            <w:shd w:val="clear" w:color="000000" w:fill="BFBFBF"/>
          </w:tcPr>
          <w:p w:rsidR="004218E0" w:rsidRDefault="004218E0" w:rsidP="004218E0">
            <w:pPr>
              <w:jc w:val="center"/>
              <w:rPr>
                <w:b/>
                <w:color w:val="000000"/>
                <w:sz w:val="20"/>
                <w:szCs w:val="20"/>
              </w:rPr>
            </w:pPr>
          </w:p>
          <w:p w:rsidR="004218E0" w:rsidRPr="004218E0" w:rsidRDefault="004218E0" w:rsidP="004218E0">
            <w:pPr>
              <w:jc w:val="center"/>
              <w:rPr>
                <w:color w:val="000000"/>
                <w:sz w:val="20"/>
                <w:szCs w:val="20"/>
              </w:rPr>
            </w:pPr>
            <w:r w:rsidRPr="004218E0">
              <w:rPr>
                <w:color w:val="000000"/>
                <w:sz w:val="20"/>
                <w:szCs w:val="20"/>
              </w:rPr>
              <w:t>Reference Document</w:t>
            </w:r>
          </w:p>
        </w:tc>
        <w:tc>
          <w:tcPr>
            <w:tcW w:w="2070" w:type="dxa"/>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color w:val="000000"/>
                <w:sz w:val="20"/>
                <w:szCs w:val="20"/>
              </w:rPr>
              <w:t>Instrument</w:t>
            </w:r>
          </w:p>
        </w:tc>
        <w:tc>
          <w:tcPr>
            <w:tcW w:w="1350" w:type="dxa"/>
            <w:tcBorders>
              <w:top w:val="single" w:sz="8" w:space="0" w:color="000000"/>
              <w:left w:val="nil"/>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color w:val="000000"/>
                <w:sz w:val="20"/>
                <w:szCs w:val="20"/>
              </w:rPr>
              <w:t>Total/Annual Number of Respondents</w:t>
            </w:r>
          </w:p>
        </w:tc>
        <w:tc>
          <w:tcPr>
            <w:tcW w:w="1170" w:type="dxa"/>
            <w:tcBorders>
              <w:top w:val="single" w:sz="8" w:space="0" w:color="000000"/>
              <w:left w:val="nil"/>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color w:val="000000"/>
                <w:sz w:val="20"/>
                <w:szCs w:val="20"/>
              </w:rPr>
              <w:t>Number of Responses Per Respondent</w:t>
            </w:r>
          </w:p>
        </w:tc>
        <w:tc>
          <w:tcPr>
            <w:tcW w:w="990" w:type="dxa"/>
            <w:tcBorders>
              <w:top w:val="single" w:sz="8" w:space="0" w:color="000000"/>
              <w:left w:val="nil"/>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color w:val="000000"/>
                <w:sz w:val="20"/>
                <w:szCs w:val="20"/>
              </w:rPr>
              <w:t>Average Burden Hours Per Response</w:t>
            </w:r>
          </w:p>
        </w:tc>
        <w:tc>
          <w:tcPr>
            <w:tcW w:w="810" w:type="dxa"/>
            <w:tcBorders>
              <w:top w:val="single" w:sz="8" w:space="0" w:color="000000"/>
              <w:left w:val="nil"/>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bCs/>
                <w:color w:val="000000"/>
                <w:sz w:val="20"/>
                <w:szCs w:val="20"/>
              </w:rPr>
              <w:t>Annual Burden Hours</w:t>
            </w:r>
          </w:p>
        </w:tc>
        <w:tc>
          <w:tcPr>
            <w:tcW w:w="900" w:type="dxa"/>
            <w:tcBorders>
              <w:top w:val="single" w:sz="8" w:space="0" w:color="000000"/>
              <w:left w:val="nil"/>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bCs/>
                <w:color w:val="000000"/>
                <w:sz w:val="20"/>
                <w:szCs w:val="20"/>
              </w:rPr>
              <w:t>Average Hourly Wage*</w:t>
            </w:r>
          </w:p>
        </w:tc>
        <w:tc>
          <w:tcPr>
            <w:tcW w:w="900" w:type="dxa"/>
            <w:tcBorders>
              <w:top w:val="single" w:sz="8" w:space="0" w:color="000000"/>
              <w:left w:val="nil"/>
              <w:bottom w:val="single" w:sz="8" w:space="0" w:color="000000"/>
              <w:right w:val="single" w:sz="8" w:space="0" w:color="000000"/>
            </w:tcBorders>
            <w:shd w:val="clear" w:color="000000" w:fill="BFBFBF"/>
            <w:vAlign w:val="center"/>
            <w:hideMark/>
          </w:tcPr>
          <w:p w:rsidR="004218E0" w:rsidRDefault="004218E0" w:rsidP="00D4008C">
            <w:pPr>
              <w:jc w:val="center"/>
              <w:rPr>
                <w:color w:val="000000"/>
                <w:sz w:val="20"/>
                <w:szCs w:val="20"/>
              </w:rPr>
            </w:pPr>
            <w:r>
              <w:rPr>
                <w:bCs/>
                <w:color w:val="000000"/>
                <w:sz w:val="20"/>
                <w:szCs w:val="20"/>
              </w:rPr>
              <w:t>Total Annual Cost</w:t>
            </w:r>
          </w:p>
        </w:tc>
      </w:tr>
      <w:tr w:rsidR="004218E0" w:rsidTr="004218E0">
        <w:trPr>
          <w:trHeight w:val="525"/>
        </w:trPr>
        <w:tc>
          <w:tcPr>
            <w:tcW w:w="1378" w:type="dxa"/>
            <w:tcBorders>
              <w:top w:val="nil"/>
              <w:left w:val="single" w:sz="8" w:space="0" w:color="000000"/>
              <w:bottom w:val="single" w:sz="8" w:space="0" w:color="000000"/>
              <w:right w:val="single" w:sz="8" w:space="0" w:color="000000"/>
            </w:tcBorders>
          </w:tcPr>
          <w:p w:rsidR="004218E0" w:rsidRPr="004218E0" w:rsidRDefault="004218E0" w:rsidP="004218E0">
            <w:pPr>
              <w:jc w:val="center"/>
              <w:rPr>
                <w:bCs/>
                <w:color w:val="000000"/>
                <w:sz w:val="20"/>
                <w:szCs w:val="20"/>
              </w:rPr>
            </w:pPr>
          </w:p>
          <w:p w:rsidR="004218E0" w:rsidRPr="004218E0" w:rsidRDefault="004218E0" w:rsidP="004218E0">
            <w:pPr>
              <w:jc w:val="center"/>
              <w:rPr>
                <w:bCs/>
                <w:color w:val="000000"/>
                <w:sz w:val="20"/>
                <w:szCs w:val="20"/>
              </w:rPr>
            </w:pP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4218E0" w:rsidRDefault="004218E0" w:rsidP="00D4008C">
            <w:pPr>
              <w:rPr>
                <w:b/>
                <w:bCs/>
                <w:color w:val="000000"/>
                <w:sz w:val="20"/>
                <w:szCs w:val="20"/>
              </w:rPr>
            </w:pPr>
            <w:r>
              <w:rPr>
                <w:b/>
                <w:bCs/>
                <w:color w:val="000000"/>
                <w:sz w:val="20"/>
                <w:szCs w:val="20"/>
              </w:rPr>
              <w:t>Pretest Survey &amp; Cognitive Interview</w:t>
            </w:r>
          </w:p>
        </w:tc>
        <w:tc>
          <w:tcPr>
            <w:tcW w:w="135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sidRPr="003F7524">
              <w:rPr>
                <w:b/>
                <w:bCs/>
                <w:color w:val="000000"/>
                <w:sz w:val="20"/>
                <w:szCs w:val="20"/>
              </w:rPr>
              <w:t>64</w:t>
            </w:r>
          </w:p>
        </w:tc>
        <w:tc>
          <w:tcPr>
            <w:tcW w:w="117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color w:val="000000"/>
                <w:sz w:val="20"/>
                <w:szCs w:val="20"/>
              </w:rPr>
            </w:pPr>
            <w:r>
              <w:rPr>
                <w:color w:val="000000"/>
                <w:sz w:val="20"/>
                <w:szCs w:val="20"/>
              </w:rPr>
              <w:t>2</w:t>
            </w:r>
          </w:p>
        </w:tc>
        <w:tc>
          <w:tcPr>
            <w:tcW w:w="99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1</w:t>
            </w:r>
          </w:p>
        </w:tc>
        <w:tc>
          <w:tcPr>
            <w:tcW w:w="81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128</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$12 </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$1,536 </w:t>
            </w:r>
          </w:p>
        </w:tc>
      </w:tr>
      <w:tr w:rsidR="004218E0" w:rsidTr="004218E0">
        <w:trPr>
          <w:trHeight w:val="315"/>
        </w:trPr>
        <w:tc>
          <w:tcPr>
            <w:tcW w:w="1378" w:type="dxa"/>
            <w:tcBorders>
              <w:top w:val="nil"/>
              <w:left w:val="single" w:sz="8" w:space="0" w:color="000000"/>
              <w:bottom w:val="single" w:sz="8" w:space="0" w:color="000000"/>
              <w:right w:val="single" w:sz="8" w:space="0" w:color="000000"/>
            </w:tcBorders>
            <w:shd w:val="clear" w:color="000000" w:fill="F2F2F2"/>
          </w:tcPr>
          <w:p w:rsidR="004218E0" w:rsidRPr="004218E0" w:rsidRDefault="004218E0" w:rsidP="004218E0">
            <w:pPr>
              <w:jc w:val="center"/>
              <w:rPr>
                <w:iCs/>
                <w:color w:val="000000"/>
                <w:sz w:val="20"/>
                <w:szCs w:val="20"/>
              </w:rPr>
            </w:pPr>
            <w:r w:rsidRPr="004218E0">
              <w:rPr>
                <w:iCs/>
                <w:color w:val="000000"/>
                <w:sz w:val="20"/>
                <w:szCs w:val="20"/>
              </w:rPr>
              <w:t>Attachment A</w:t>
            </w:r>
          </w:p>
        </w:tc>
        <w:tc>
          <w:tcPr>
            <w:tcW w:w="2070" w:type="dxa"/>
            <w:tcBorders>
              <w:top w:val="nil"/>
              <w:left w:val="single" w:sz="8" w:space="0" w:color="000000"/>
              <w:bottom w:val="single" w:sz="8" w:space="0" w:color="000000"/>
              <w:right w:val="single" w:sz="8" w:space="0" w:color="000000"/>
            </w:tcBorders>
            <w:shd w:val="clear" w:color="000000" w:fill="F2F2F2"/>
            <w:vAlign w:val="center"/>
            <w:hideMark/>
          </w:tcPr>
          <w:p w:rsidR="004218E0" w:rsidRDefault="004218E0" w:rsidP="00D4008C">
            <w:pPr>
              <w:ind w:firstLineChars="100" w:firstLine="200"/>
              <w:rPr>
                <w:i/>
                <w:iCs/>
                <w:color w:val="000000"/>
                <w:sz w:val="20"/>
                <w:szCs w:val="20"/>
              </w:rPr>
            </w:pPr>
            <w:r>
              <w:rPr>
                <w:i/>
                <w:iCs/>
                <w:color w:val="000000"/>
                <w:sz w:val="20"/>
                <w:szCs w:val="20"/>
              </w:rPr>
              <w:t>Pretest Survey</w:t>
            </w:r>
          </w:p>
        </w:tc>
        <w:tc>
          <w:tcPr>
            <w:tcW w:w="135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64</w:t>
            </w:r>
          </w:p>
        </w:tc>
        <w:tc>
          <w:tcPr>
            <w:tcW w:w="117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99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81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64</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xml:space="preserve">$12 </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w:t>
            </w:r>
          </w:p>
        </w:tc>
      </w:tr>
      <w:tr w:rsidR="004218E0" w:rsidTr="004218E0">
        <w:trPr>
          <w:trHeight w:val="315"/>
        </w:trPr>
        <w:tc>
          <w:tcPr>
            <w:tcW w:w="1378" w:type="dxa"/>
            <w:tcBorders>
              <w:top w:val="nil"/>
              <w:left w:val="single" w:sz="8" w:space="0" w:color="000000"/>
              <w:bottom w:val="single" w:sz="8" w:space="0" w:color="000000"/>
              <w:right w:val="single" w:sz="8" w:space="0" w:color="000000"/>
            </w:tcBorders>
            <w:shd w:val="clear" w:color="000000" w:fill="F2F2F2"/>
          </w:tcPr>
          <w:p w:rsidR="004218E0" w:rsidRPr="004218E0" w:rsidRDefault="004218E0" w:rsidP="004218E0">
            <w:pPr>
              <w:jc w:val="center"/>
              <w:rPr>
                <w:iCs/>
                <w:color w:val="000000"/>
                <w:sz w:val="20"/>
                <w:szCs w:val="20"/>
              </w:rPr>
            </w:pPr>
            <w:r w:rsidRPr="004218E0">
              <w:rPr>
                <w:iCs/>
                <w:color w:val="000000"/>
                <w:sz w:val="20"/>
                <w:szCs w:val="20"/>
              </w:rPr>
              <w:t>Attachment B</w:t>
            </w:r>
          </w:p>
        </w:tc>
        <w:tc>
          <w:tcPr>
            <w:tcW w:w="2070" w:type="dxa"/>
            <w:tcBorders>
              <w:top w:val="nil"/>
              <w:left w:val="single" w:sz="8" w:space="0" w:color="000000"/>
              <w:bottom w:val="single" w:sz="8" w:space="0" w:color="000000"/>
              <w:right w:val="single" w:sz="8" w:space="0" w:color="000000"/>
            </w:tcBorders>
            <w:shd w:val="clear" w:color="000000" w:fill="F2F2F2"/>
            <w:vAlign w:val="center"/>
            <w:hideMark/>
          </w:tcPr>
          <w:p w:rsidR="004218E0" w:rsidRDefault="004218E0" w:rsidP="00D4008C">
            <w:pPr>
              <w:ind w:firstLineChars="100" w:firstLine="200"/>
              <w:rPr>
                <w:i/>
                <w:iCs/>
                <w:color w:val="000000"/>
                <w:sz w:val="20"/>
                <w:szCs w:val="20"/>
              </w:rPr>
            </w:pPr>
            <w:r>
              <w:rPr>
                <w:i/>
                <w:iCs/>
                <w:color w:val="000000"/>
                <w:sz w:val="20"/>
                <w:szCs w:val="20"/>
              </w:rPr>
              <w:t>Cognitive Interview</w:t>
            </w:r>
          </w:p>
        </w:tc>
        <w:tc>
          <w:tcPr>
            <w:tcW w:w="135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64</w:t>
            </w:r>
          </w:p>
        </w:tc>
        <w:tc>
          <w:tcPr>
            <w:tcW w:w="117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99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81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64</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xml:space="preserve">$12 </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w:t>
            </w:r>
          </w:p>
        </w:tc>
      </w:tr>
      <w:tr w:rsidR="004218E0" w:rsidTr="004218E0">
        <w:trPr>
          <w:trHeight w:val="525"/>
        </w:trPr>
        <w:tc>
          <w:tcPr>
            <w:tcW w:w="1378" w:type="dxa"/>
            <w:tcBorders>
              <w:top w:val="nil"/>
              <w:left w:val="single" w:sz="8" w:space="0" w:color="000000"/>
              <w:bottom w:val="single" w:sz="8" w:space="0" w:color="000000"/>
              <w:right w:val="single" w:sz="8" w:space="0" w:color="000000"/>
            </w:tcBorders>
          </w:tcPr>
          <w:p w:rsidR="004218E0" w:rsidRPr="004218E0" w:rsidRDefault="004218E0" w:rsidP="004218E0">
            <w:pPr>
              <w:jc w:val="center"/>
              <w:rPr>
                <w:bCs/>
                <w:color w:val="000000"/>
                <w:sz w:val="20"/>
                <w:szCs w:val="20"/>
              </w:rPr>
            </w:pPr>
          </w:p>
          <w:p w:rsidR="004218E0" w:rsidRPr="004218E0" w:rsidRDefault="004218E0" w:rsidP="004218E0">
            <w:pPr>
              <w:jc w:val="center"/>
              <w:rPr>
                <w:bCs/>
                <w:color w:val="000000"/>
                <w:sz w:val="20"/>
                <w:szCs w:val="20"/>
              </w:rPr>
            </w:pP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4218E0" w:rsidRDefault="004218E0" w:rsidP="00D4008C">
            <w:pPr>
              <w:rPr>
                <w:b/>
                <w:bCs/>
                <w:color w:val="000000"/>
                <w:sz w:val="20"/>
                <w:szCs w:val="20"/>
              </w:rPr>
            </w:pPr>
            <w:r>
              <w:rPr>
                <w:b/>
                <w:bCs/>
                <w:color w:val="000000"/>
                <w:sz w:val="20"/>
                <w:szCs w:val="20"/>
              </w:rPr>
              <w:t>Pretest Survey &amp; In-Depth Interview</w:t>
            </w:r>
          </w:p>
        </w:tc>
        <w:tc>
          <w:tcPr>
            <w:tcW w:w="135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sidRPr="003F7524">
              <w:rPr>
                <w:b/>
                <w:bCs/>
                <w:color w:val="000000"/>
                <w:sz w:val="20"/>
                <w:szCs w:val="20"/>
              </w:rPr>
              <w:t>48</w:t>
            </w:r>
          </w:p>
        </w:tc>
        <w:tc>
          <w:tcPr>
            <w:tcW w:w="117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color w:val="000000"/>
                <w:sz w:val="20"/>
                <w:szCs w:val="20"/>
              </w:rPr>
            </w:pPr>
            <w:r>
              <w:rPr>
                <w:color w:val="000000"/>
                <w:sz w:val="20"/>
                <w:szCs w:val="20"/>
              </w:rPr>
              <w:t>2</w:t>
            </w:r>
          </w:p>
        </w:tc>
        <w:tc>
          <w:tcPr>
            <w:tcW w:w="99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1</w:t>
            </w:r>
          </w:p>
        </w:tc>
        <w:tc>
          <w:tcPr>
            <w:tcW w:w="81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96</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$12 </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$1,152 </w:t>
            </w:r>
          </w:p>
        </w:tc>
      </w:tr>
      <w:tr w:rsidR="004218E0" w:rsidTr="004218E0">
        <w:trPr>
          <w:trHeight w:val="315"/>
        </w:trPr>
        <w:tc>
          <w:tcPr>
            <w:tcW w:w="1378" w:type="dxa"/>
            <w:tcBorders>
              <w:top w:val="nil"/>
              <w:left w:val="single" w:sz="8" w:space="0" w:color="000000"/>
              <w:bottom w:val="single" w:sz="8" w:space="0" w:color="000000"/>
              <w:right w:val="single" w:sz="8" w:space="0" w:color="000000"/>
            </w:tcBorders>
            <w:shd w:val="clear" w:color="000000" w:fill="F2F2F2"/>
          </w:tcPr>
          <w:p w:rsidR="004218E0" w:rsidRPr="004218E0" w:rsidRDefault="004218E0" w:rsidP="004218E0">
            <w:pPr>
              <w:jc w:val="center"/>
              <w:rPr>
                <w:iCs/>
                <w:color w:val="000000"/>
                <w:sz w:val="20"/>
                <w:szCs w:val="20"/>
              </w:rPr>
            </w:pPr>
            <w:r w:rsidRPr="004218E0">
              <w:rPr>
                <w:iCs/>
                <w:color w:val="000000"/>
                <w:sz w:val="20"/>
                <w:szCs w:val="20"/>
              </w:rPr>
              <w:t>Attachment A</w:t>
            </w:r>
          </w:p>
        </w:tc>
        <w:tc>
          <w:tcPr>
            <w:tcW w:w="2070" w:type="dxa"/>
            <w:tcBorders>
              <w:top w:val="nil"/>
              <w:left w:val="single" w:sz="8" w:space="0" w:color="000000"/>
              <w:bottom w:val="single" w:sz="8" w:space="0" w:color="000000"/>
              <w:right w:val="single" w:sz="8" w:space="0" w:color="000000"/>
            </w:tcBorders>
            <w:shd w:val="clear" w:color="000000" w:fill="F2F2F2"/>
            <w:vAlign w:val="center"/>
            <w:hideMark/>
          </w:tcPr>
          <w:p w:rsidR="004218E0" w:rsidRDefault="004218E0" w:rsidP="00D4008C">
            <w:pPr>
              <w:ind w:firstLineChars="100" w:firstLine="200"/>
              <w:rPr>
                <w:i/>
                <w:iCs/>
                <w:color w:val="000000"/>
                <w:sz w:val="20"/>
                <w:szCs w:val="20"/>
              </w:rPr>
            </w:pPr>
            <w:r>
              <w:rPr>
                <w:i/>
                <w:iCs/>
                <w:color w:val="000000"/>
                <w:sz w:val="20"/>
                <w:szCs w:val="20"/>
              </w:rPr>
              <w:t>Pretest Survey</w:t>
            </w:r>
          </w:p>
        </w:tc>
        <w:tc>
          <w:tcPr>
            <w:tcW w:w="135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48</w:t>
            </w:r>
          </w:p>
        </w:tc>
        <w:tc>
          <w:tcPr>
            <w:tcW w:w="117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990" w:type="dxa"/>
            <w:tcBorders>
              <w:top w:val="nil"/>
              <w:left w:val="nil"/>
              <w:bottom w:val="single" w:sz="8" w:space="0" w:color="000000"/>
              <w:right w:val="single" w:sz="8" w:space="0" w:color="000000"/>
            </w:tcBorders>
            <w:shd w:val="clear" w:color="000000" w:fill="F2F2F2"/>
            <w:vAlign w:val="center"/>
            <w:hideMark/>
          </w:tcPr>
          <w:p w:rsidR="004218E0" w:rsidRDefault="004218E0" w:rsidP="004C1C36">
            <w:pPr>
              <w:ind w:firstLineChars="100" w:firstLine="200"/>
              <w:jc w:val="right"/>
              <w:rPr>
                <w:i/>
                <w:iCs/>
                <w:color w:val="000000"/>
                <w:sz w:val="20"/>
                <w:szCs w:val="20"/>
              </w:rPr>
            </w:pPr>
            <w:r>
              <w:rPr>
                <w:i/>
                <w:iCs/>
                <w:color w:val="000000"/>
                <w:sz w:val="20"/>
                <w:szCs w:val="20"/>
              </w:rPr>
              <w:t>1</w:t>
            </w:r>
          </w:p>
        </w:tc>
        <w:tc>
          <w:tcPr>
            <w:tcW w:w="81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48</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xml:space="preserve">$12 </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w:t>
            </w:r>
          </w:p>
        </w:tc>
      </w:tr>
      <w:tr w:rsidR="004218E0" w:rsidTr="004218E0">
        <w:trPr>
          <w:trHeight w:val="315"/>
        </w:trPr>
        <w:tc>
          <w:tcPr>
            <w:tcW w:w="1378" w:type="dxa"/>
            <w:tcBorders>
              <w:top w:val="nil"/>
              <w:left w:val="single" w:sz="8" w:space="0" w:color="000000"/>
              <w:bottom w:val="single" w:sz="8" w:space="0" w:color="000000"/>
              <w:right w:val="single" w:sz="8" w:space="0" w:color="000000"/>
            </w:tcBorders>
            <w:shd w:val="clear" w:color="000000" w:fill="F2F2F2"/>
          </w:tcPr>
          <w:p w:rsidR="004218E0" w:rsidRPr="004218E0" w:rsidRDefault="004218E0" w:rsidP="004218E0">
            <w:pPr>
              <w:jc w:val="center"/>
              <w:rPr>
                <w:iCs/>
                <w:color w:val="000000"/>
                <w:sz w:val="20"/>
                <w:szCs w:val="20"/>
              </w:rPr>
            </w:pPr>
            <w:r w:rsidRPr="004218E0">
              <w:rPr>
                <w:iCs/>
                <w:color w:val="000000"/>
                <w:sz w:val="20"/>
                <w:szCs w:val="20"/>
              </w:rPr>
              <w:t>Attachment C</w:t>
            </w:r>
          </w:p>
        </w:tc>
        <w:tc>
          <w:tcPr>
            <w:tcW w:w="2070" w:type="dxa"/>
            <w:tcBorders>
              <w:top w:val="nil"/>
              <w:left w:val="single" w:sz="8" w:space="0" w:color="000000"/>
              <w:bottom w:val="single" w:sz="8" w:space="0" w:color="000000"/>
              <w:right w:val="single" w:sz="8" w:space="0" w:color="000000"/>
            </w:tcBorders>
            <w:shd w:val="clear" w:color="000000" w:fill="F2F2F2"/>
            <w:vAlign w:val="center"/>
            <w:hideMark/>
          </w:tcPr>
          <w:p w:rsidR="004218E0" w:rsidRDefault="004218E0" w:rsidP="00D4008C">
            <w:pPr>
              <w:ind w:firstLineChars="100" w:firstLine="200"/>
              <w:rPr>
                <w:i/>
                <w:iCs/>
                <w:color w:val="000000"/>
                <w:sz w:val="20"/>
                <w:szCs w:val="20"/>
              </w:rPr>
            </w:pPr>
            <w:r>
              <w:rPr>
                <w:i/>
                <w:iCs/>
                <w:color w:val="000000"/>
                <w:sz w:val="20"/>
                <w:szCs w:val="20"/>
              </w:rPr>
              <w:t>In-Depth Interview</w:t>
            </w:r>
          </w:p>
        </w:tc>
        <w:tc>
          <w:tcPr>
            <w:tcW w:w="135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48</w:t>
            </w:r>
          </w:p>
        </w:tc>
        <w:tc>
          <w:tcPr>
            <w:tcW w:w="117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99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1</w:t>
            </w:r>
          </w:p>
        </w:tc>
        <w:tc>
          <w:tcPr>
            <w:tcW w:w="81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48</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xml:space="preserve">$12 </w:t>
            </w:r>
          </w:p>
        </w:tc>
        <w:tc>
          <w:tcPr>
            <w:tcW w:w="900" w:type="dxa"/>
            <w:tcBorders>
              <w:top w:val="nil"/>
              <w:left w:val="nil"/>
              <w:bottom w:val="single" w:sz="8" w:space="0" w:color="000000"/>
              <w:right w:val="single" w:sz="8" w:space="0" w:color="000000"/>
            </w:tcBorders>
            <w:shd w:val="clear" w:color="000000" w:fill="F2F2F2"/>
            <w:vAlign w:val="center"/>
            <w:hideMark/>
          </w:tcPr>
          <w:p w:rsidR="004218E0" w:rsidRDefault="004218E0" w:rsidP="00D4008C">
            <w:pPr>
              <w:ind w:firstLineChars="100" w:firstLine="200"/>
              <w:jc w:val="right"/>
              <w:rPr>
                <w:i/>
                <w:iCs/>
                <w:color w:val="000000"/>
                <w:sz w:val="20"/>
                <w:szCs w:val="20"/>
              </w:rPr>
            </w:pPr>
            <w:r>
              <w:rPr>
                <w:i/>
                <w:iCs/>
                <w:color w:val="000000"/>
                <w:sz w:val="20"/>
                <w:szCs w:val="20"/>
              </w:rPr>
              <w:t> </w:t>
            </w:r>
          </w:p>
        </w:tc>
      </w:tr>
      <w:tr w:rsidR="004218E0" w:rsidTr="004218E0">
        <w:trPr>
          <w:trHeight w:val="450"/>
        </w:trPr>
        <w:tc>
          <w:tcPr>
            <w:tcW w:w="1378" w:type="dxa"/>
            <w:tcBorders>
              <w:top w:val="nil"/>
              <w:left w:val="single" w:sz="8" w:space="0" w:color="000000"/>
              <w:bottom w:val="single" w:sz="8" w:space="0" w:color="000000"/>
              <w:right w:val="single" w:sz="8" w:space="0" w:color="000000"/>
            </w:tcBorders>
          </w:tcPr>
          <w:p w:rsidR="004218E0" w:rsidRPr="004218E0" w:rsidRDefault="004218E0" w:rsidP="004218E0">
            <w:pPr>
              <w:jc w:val="center"/>
              <w:rPr>
                <w:bCs/>
                <w:color w:val="000000"/>
                <w:sz w:val="20"/>
                <w:szCs w:val="20"/>
              </w:rPr>
            </w:pPr>
            <w:r w:rsidRPr="004218E0">
              <w:rPr>
                <w:bCs/>
                <w:color w:val="000000"/>
                <w:sz w:val="20"/>
                <w:szCs w:val="20"/>
              </w:rPr>
              <w:t>Attachment D</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4218E0" w:rsidRDefault="004218E0" w:rsidP="00D4008C">
            <w:pPr>
              <w:rPr>
                <w:b/>
                <w:bCs/>
                <w:color w:val="000000"/>
                <w:sz w:val="20"/>
                <w:szCs w:val="20"/>
              </w:rPr>
            </w:pPr>
            <w:r>
              <w:rPr>
                <w:b/>
                <w:bCs/>
                <w:color w:val="000000"/>
                <w:sz w:val="20"/>
                <w:szCs w:val="20"/>
              </w:rPr>
              <w:t>Stakeholder Focus Group</w:t>
            </w:r>
          </w:p>
        </w:tc>
        <w:tc>
          <w:tcPr>
            <w:tcW w:w="135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sidRPr="003F7524">
              <w:rPr>
                <w:b/>
                <w:bCs/>
                <w:color w:val="000000"/>
                <w:sz w:val="20"/>
                <w:szCs w:val="20"/>
              </w:rPr>
              <w:t>32</w:t>
            </w:r>
          </w:p>
        </w:tc>
        <w:tc>
          <w:tcPr>
            <w:tcW w:w="117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color w:val="000000"/>
                <w:sz w:val="20"/>
                <w:szCs w:val="20"/>
              </w:rPr>
            </w:pPr>
            <w:r>
              <w:rPr>
                <w:color w:val="000000"/>
                <w:sz w:val="20"/>
                <w:szCs w:val="20"/>
              </w:rPr>
              <w:t>1</w:t>
            </w:r>
          </w:p>
        </w:tc>
        <w:tc>
          <w:tcPr>
            <w:tcW w:w="99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1</w:t>
            </w:r>
          </w:p>
        </w:tc>
        <w:tc>
          <w:tcPr>
            <w:tcW w:w="81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32</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$22 </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$704 </w:t>
            </w:r>
          </w:p>
        </w:tc>
      </w:tr>
      <w:tr w:rsidR="004218E0" w:rsidTr="004218E0">
        <w:trPr>
          <w:trHeight w:val="525"/>
        </w:trPr>
        <w:tc>
          <w:tcPr>
            <w:tcW w:w="1378" w:type="dxa"/>
            <w:tcBorders>
              <w:top w:val="nil"/>
              <w:left w:val="single" w:sz="8" w:space="0" w:color="000000"/>
              <w:bottom w:val="single" w:sz="8" w:space="0" w:color="000000"/>
              <w:right w:val="single" w:sz="8" w:space="0" w:color="000000"/>
            </w:tcBorders>
          </w:tcPr>
          <w:p w:rsidR="004218E0" w:rsidRPr="004218E0" w:rsidRDefault="004218E0" w:rsidP="004218E0">
            <w:pPr>
              <w:jc w:val="center"/>
              <w:rPr>
                <w:bCs/>
                <w:color w:val="000000"/>
                <w:sz w:val="20"/>
                <w:szCs w:val="20"/>
              </w:rPr>
            </w:pPr>
          </w:p>
          <w:p w:rsidR="004218E0" w:rsidRPr="004218E0" w:rsidRDefault="004218E0" w:rsidP="004218E0">
            <w:pPr>
              <w:jc w:val="center"/>
              <w:rPr>
                <w:bCs/>
                <w:color w:val="000000"/>
                <w:sz w:val="20"/>
                <w:szCs w:val="20"/>
              </w:rPr>
            </w:pPr>
            <w:r w:rsidRPr="004218E0">
              <w:rPr>
                <w:bCs/>
                <w:color w:val="000000"/>
                <w:sz w:val="20"/>
                <w:szCs w:val="20"/>
              </w:rPr>
              <w:t>Attachment E</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4218E0" w:rsidRDefault="004218E0" w:rsidP="00D4008C">
            <w:pPr>
              <w:rPr>
                <w:b/>
                <w:bCs/>
                <w:color w:val="000000"/>
                <w:sz w:val="20"/>
                <w:szCs w:val="20"/>
              </w:rPr>
            </w:pPr>
            <w:r>
              <w:rPr>
                <w:b/>
                <w:bCs/>
                <w:color w:val="000000"/>
                <w:sz w:val="20"/>
                <w:szCs w:val="20"/>
              </w:rPr>
              <w:t>Stakeholder In-Depth Interview</w:t>
            </w:r>
          </w:p>
        </w:tc>
        <w:tc>
          <w:tcPr>
            <w:tcW w:w="135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sidRPr="003F7524">
              <w:rPr>
                <w:b/>
                <w:bCs/>
                <w:color w:val="000000"/>
                <w:sz w:val="20"/>
                <w:szCs w:val="20"/>
              </w:rPr>
              <w:t>20</w:t>
            </w:r>
          </w:p>
        </w:tc>
        <w:tc>
          <w:tcPr>
            <w:tcW w:w="117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color w:val="000000"/>
                <w:sz w:val="20"/>
                <w:szCs w:val="20"/>
              </w:rPr>
            </w:pPr>
            <w:r>
              <w:rPr>
                <w:color w:val="000000"/>
                <w:sz w:val="20"/>
                <w:szCs w:val="20"/>
              </w:rPr>
              <w:t>1</w:t>
            </w:r>
          </w:p>
        </w:tc>
        <w:tc>
          <w:tcPr>
            <w:tcW w:w="99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1</w:t>
            </w:r>
          </w:p>
        </w:tc>
        <w:tc>
          <w:tcPr>
            <w:tcW w:w="81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20</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$22 </w:t>
            </w:r>
          </w:p>
        </w:tc>
        <w:tc>
          <w:tcPr>
            <w:tcW w:w="900" w:type="dxa"/>
            <w:tcBorders>
              <w:top w:val="nil"/>
              <w:left w:val="nil"/>
              <w:bottom w:val="single" w:sz="8" w:space="0" w:color="000000"/>
              <w:right w:val="single" w:sz="8" w:space="0" w:color="000000"/>
            </w:tcBorders>
            <w:shd w:val="clear" w:color="auto" w:fill="auto"/>
            <w:vAlign w:val="center"/>
            <w:hideMark/>
          </w:tcPr>
          <w:p w:rsidR="004218E0" w:rsidRDefault="004218E0" w:rsidP="00D4008C">
            <w:pPr>
              <w:jc w:val="center"/>
              <w:rPr>
                <w:b/>
                <w:bCs/>
                <w:color w:val="000000"/>
                <w:sz w:val="20"/>
                <w:szCs w:val="20"/>
              </w:rPr>
            </w:pPr>
            <w:r>
              <w:rPr>
                <w:b/>
                <w:bCs/>
                <w:color w:val="000000"/>
                <w:sz w:val="20"/>
                <w:szCs w:val="20"/>
              </w:rPr>
              <w:t xml:space="preserve">$440 </w:t>
            </w:r>
          </w:p>
        </w:tc>
      </w:tr>
      <w:tr w:rsidR="004218E0" w:rsidTr="004218E0">
        <w:trPr>
          <w:trHeight w:val="315"/>
        </w:trPr>
        <w:tc>
          <w:tcPr>
            <w:tcW w:w="1378" w:type="dxa"/>
            <w:tcBorders>
              <w:top w:val="single" w:sz="8" w:space="0" w:color="000000"/>
              <w:left w:val="single" w:sz="8" w:space="0" w:color="000000"/>
              <w:bottom w:val="nil"/>
              <w:right w:val="single" w:sz="8" w:space="0" w:color="000000"/>
            </w:tcBorders>
          </w:tcPr>
          <w:p w:rsidR="00D4008C" w:rsidRDefault="00D4008C" w:rsidP="004218E0">
            <w:pPr>
              <w:jc w:val="center"/>
              <w:rPr>
                <w:b/>
                <w:bCs/>
                <w:color w:val="000000"/>
                <w:sz w:val="20"/>
                <w:szCs w:val="20"/>
              </w:rPr>
            </w:pPr>
          </w:p>
        </w:tc>
        <w:tc>
          <w:tcPr>
            <w:tcW w:w="5580" w:type="dxa"/>
            <w:gridSpan w:val="4"/>
            <w:tcBorders>
              <w:top w:val="single" w:sz="8" w:space="0" w:color="000000"/>
              <w:left w:val="single" w:sz="8" w:space="0" w:color="000000"/>
              <w:bottom w:val="nil"/>
              <w:right w:val="single" w:sz="8" w:space="0" w:color="000000"/>
            </w:tcBorders>
            <w:shd w:val="clear" w:color="auto" w:fill="auto"/>
            <w:vAlign w:val="center"/>
            <w:hideMark/>
          </w:tcPr>
          <w:p w:rsidR="00D4008C" w:rsidRDefault="00D4008C" w:rsidP="00D4008C">
            <w:pPr>
              <w:jc w:val="right"/>
              <w:rPr>
                <w:b/>
                <w:bCs/>
                <w:color w:val="000000"/>
                <w:sz w:val="20"/>
                <w:szCs w:val="20"/>
              </w:rPr>
            </w:pPr>
            <w:r>
              <w:rPr>
                <w:b/>
                <w:bCs/>
                <w:color w:val="000000"/>
                <w:sz w:val="20"/>
                <w:szCs w:val="20"/>
              </w:rPr>
              <w:t xml:space="preserve">Estimated Annual Burden Total </w:t>
            </w:r>
          </w:p>
        </w:tc>
        <w:tc>
          <w:tcPr>
            <w:tcW w:w="810" w:type="dxa"/>
            <w:tcBorders>
              <w:top w:val="nil"/>
              <w:left w:val="nil"/>
              <w:bottom w:val="nil"/>
              <w:right w:val="single" w:sz="8" w:space="0" w:color="000000"/>
            </w:tcBorders>
            <w:shd w:val="clear" w:color="auto" w:fill="auto"/>
            <w:vAlign w:val="center"/>
            <w:hideMark/>
          </w:tcPr>
          <w:p w:rsidR="00D4008C" w:rsidRDefault="00D4008C" w:rsidP="00D4008C">
            <w:pPr>
              <w:jc w:val="center"/>
              <w:rPr>
                <w:b/>
                <w:bCs/>
                <w:color w:val="000000"/>
                <w:sz w:val="20"/>
                <w:szCs w:val="20"/>
              </w:rPr>
            </w:pPr>
            <w:r>
              <w:rPr>
                <w:b/>
                <w:bCs/>
                <w:color w:val="000000"/>
                <w:sz w:val="20"/>
                <w:szCs w:val="20"/>
              </w:rPr>
              <w:t>276</w:t>
            </w:r>
          </w:p>
        </w:tc>
        <w:tc>
          <w:tcPr>
            <w:tcW w:w="900" w:type="dxa"/>
            <w:tcBorders>
              <w:top w:val="nil"/>
              <w:left w:val="nil"/>
              <w:bottom w:val="nil"/>
              <w:right w:val="single" w:sz="8" w:space="0" w:color="000000"/>
            </w:tcBorders>
            <w:shd w:val="clear" w:color="auto" w:fill="auto"/>
            <w:vAlign w:val="center"/>
            <w:hideMark/>
          </w:tcPr>
          <w:p w:rsidR="00D4008C" w:rsidRDefault="00D4008C" w:rsidP="00D4008C">
            <w:pPr>
              <w:jc w:val="center"/>
              <w:rPr>
                <w:b/>
                <w:bCs/>
                <w:color w:val="000000"/>
                <w:sz w:val="20"/>
                <w:szCs w:val="20"/>
              </w:rPr>
            </w:pPr>
          </w:p>
        </w:tc>
        <w:tc>
          <w:tcPr>
            <w:tcW w:w="900" w:type="dxa"/>
            <w:tcBorders>
              <w:top w:val="nil"/>
              <w:left w:val="nil"/>
              <w:bottom w:val="nil"/>
              <w:right w:val="single" w:sz="8" w:space="0" w:color="000000"/>
            </w:tcBorders>
            <w:shd w:val="clear" w:color="auto" w:fill="auto"/>
            <w:vAlign w:val="center"/>
            <w:hideMark/>
          </w:tcPr>
          <w:p w:rsidR="00D4008C" w:rsidRDefault="00D4008C" w:rsidP="00D4008C">
            <w:pPr>
              <w:jc w:val="center"/>
              <w:rPr>
                <w:b/>
                <w:bCs/>
                <w:color w:val="000000"/>
                <w:sz w:val="20"/>
                <w:szCs w:val="20"/>
              </w:rPr>
            </w:pPr>
            <w:r>
              <w:rPr>
                <w:b/>
                <w:bCs/>
                <w:color w:val="000000"/>
                <w:sz w:val="20"/>
                <w:szCs w:val="20"/>
              </w:rPr>
              <w:t xml:space="preserve">$3,832 </w:t>
            </w:r>
          </w:p>
        </w:tc>
      </w:tr>
      <w:tr w:rsidR="004218E0" w:rsidTr="004218E0">
        <w:trPr>
          <w:trHeight w:val="223"/>
        </w:trPr>
        <w:tc>
          <w:tcPr>
            <w:tcW w:w="1378" w:type="dxa"/>
            <w:tcBorders>
              <w:top w:val="single" w:sz="8" w:space="0" w:color="auto"/>
              <w:left w:val="single" w:sz="8" w:space="0" w:color="auto"/>
              <w:bottom w:val="nil"/>
              <w:right w:val="single" w:sz="8" w:space="0" w:color="000000"/>
            </w:tcBorders>
            <w:shd w:val="clear" w:color="000000" w:fill="F2F2F2"/>
          </w:tcPr>
          <w:p w:rsidR="00D4008C" w:rsidRPr="001A5601" w:rsidRDefault="00D4008C" w:rsidP="00D4008C">
            <w:pPr>
              <w:rPr>
                <w:rFonts w:ascii="Calibri" w:hAnsi="Calibri"/>
                <w:b/>
                <w:bCs/>
                <w:color w:val="000000"/>
                <w:sz w:val="16"/>
                <w:szCs w:val="16"/>
              </w:rPr>
            </w:pPr>
          </w:p>
        </w:tc>
        <w:tc>
          <w:tcPr>
            <w:tcW w:w="8190" w:type="dxa"/>
            <w:gridSpan w:val="7"/>
            <w:tcBorders>
              <w:top w:val="single" w:sz="8" w:space="0" w:color="auto"/>
              <w:left w:val="single" w:sz="8" w:space="0" w:color="auto"/>
              <w:bottom w:val="nil"/>
              <w:right w:val="single" w:sz="8" w:space="0" w:color="000000"/>
            </w:tcBorders>
            <w:shd w:val="clear" w:color="000000" w:fill="F2F2F2"/>
            <w:noWrap/>
            <w:vAlign w:val="bottom"/>
            <w:hideMark/>
          </w:tcPr>
          <w:p w:rsidR="00D4008C" w:rsidRPr="001A5601" w:rsidRDefault="00D4008C" w:rsidP="00D4008C">
            <w:pPr>
              <w:rPr>
                <w:rFonts w:ascii="Calibri" w:hAnsi="Calibri"/>
                <w:b/>
                <w:bCs/>
                <w:color w:val="000000"/>
                <w:sz w:val="16"/>
                <w:szCs w:val="16"/>
              </w:rPr>
            </w:pPr>
            <w:r w:rsidRPr="001A5601">
              <w:rPr>
                <w:rFonts w:ascii="Calibri" w:hAnsi="Calibri"/>
                <w:b/>
                <w:bCs/>
                <w:color w:val="000000"/>
                <w:sz w:val="16"/>
                <w:szCs w:val="16"/>
              </w:rPr>
              <w:t>* For Refugees: Rounded 2017 ASR Mean Hourly Wages Earned at Current Job for Refugees 18 or older who are employed</w:t>
            </w:r>
          </w:p>
        </w:tc>
      </w:tr>
      <w:tr w:rsidR="004218E0" w:rsidTr="004218E0">
        <w:trPr>
          <w:trHeight w:val="189"/>
        </w:trPr>
        <w:tc>
          <w:tcPr>
            <w:tcW w:w="1378" w:type="dxa"/>
            <w:tcBorders>
              <w:top w:val="nil"/>
              <w:left w:val="single" w:sz="8" w:space="0" w:color="auto"/>
              <w:bottom w:val="single" w:sz="8" w:space="0" w:color="auto"/>
              <w:right w:val="nil"/>
            </w:tcBorders>
            <w:shd w:val="clear" w:color="000000" w:fill="F2F2F2"/>
          </w:tcPr>
          <w:p w:rsidR="00D4008C" w:rsidRPr="001A5601" w:rsidRDefault="00D4008C" w:rsidP="00D4008C">
            <w:pPr>
              <w:ind w:right="-198"/>
              <w:rPr>
                <w:rFonts w:ascii="Calibri" w:hAnsi="Calibri"/>
                <w:b/>
                <w:bCs/>
                <w:color w:val="000000"/>
                <w:sz w:val="16"/>
                <w:szCs w:val="16"/>
              </w:rPr>
            </w:pPr>
          </w:p>
        </w:tc>
        <w:tc>
          <w:tcPr>
            <w:tcW w:w="5580" w:type="dxa"/>
            <w:gridSpan w:val="4"/>
            <w:tcBorders>
              <w:top w:val="nil"/>
              <w:left w:val="single" w:sz="8" w:space="0" w:color="auto"/>
              <w:bottom w:val="single" w:sz="8" w:space="0" w:color="auto"/>
              <w:right w:val="nil"/>
            </w:tcBorders>
            <w:shd w:val="clear" w:color="000000" w:fill="F2F2F2"/>
            <w:noWrap/>
            <w:vAlign w:val="bottom"/>
            <w:hideMark/>
          </w:tcPr>
          <w:p w:rsidR="00D4008C" w:rsidRPr="001A5601" w:rsidRDefault="00D4008C" w:rsidP="00D4008C">
            <w:pPr>
              <w:ind w:right="-198"/>
              <w:rPr>
                <w:rFonts w:ascii="Calibri" w:hAnsi="Calibri"/>
                <w:b/>
                <w:bCs/>
                <w:color w:val="000000"/>
                <w:sz w:val="16"/>
                <w:szCs w:val="16"/>
              </w:rPr>
            </w:pPr>
            <w:r w:rsidRPr="001A5601">
              <w:rPr>
                <w:rFonts w:ascii="Calibri" w:hAnsi="Calibri"/>
                <w:b/>
                <w:bCs/>
                <w:color w:val="000000"/>
                <w:sz w:val="16"/>
                <w:szCs w:val="16"/>
              </w:rPr>
              <w:t xml:space="preserve">   For Stakeholders: Rounded July 2017 Average Hourly Wages in U.S. workers -- Source: BLS</w:t>
            </w:r>
          </w:p>
        </w:tc>
        <w:tc>
          <w:tcPr>
            <w:tcW w:w="810" w:type="dxa"/>
            <w:tcBorders>
              <w:top w:val="nil"/>
              <w:left w:val="nil"/>
              <w:bottom w:val="single" w:sz="8" w:space="0" w:color="auto"/>
              <w:right w:val="nil"/>
            </w:tcBorders>
            <w:shd w:val="clear" w:color="000000" w:fill="F2F2F2"/>
            <w:noWrap/>
            <w:vAlign w:val="bottom"/>
            <w:hideMark/>
          </w:tcPr>
          <w:p w:rsidR="00D4008C" w:rsidRDefault="00D4008C" w:rsidP="00D4008C">
            <w:pP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8" w:space="0" w:color="auto"/>
              <w:right w:val="nil"/>
            </w:tcBorders>
            <w:shd w:val="clear" w:color="000000" w:fill="F2F2F2"/>
            <w:noWrap/>
            <w:vAlign w:val="bottom"/>
            <w:hideMark/>
          </w:tcPr>
          <w:p w:rsidR="00D4008C" w:rsidRDefault="00D4008C" w:rsidP="00D4008C">
            <w:pP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8" w:space="0" w:color="auto"/>
              <w:right w:val="single" w:sz="8" w:space="0" w:color="auto"/>
            </w:tcBorders>
            <w:shd w:val="clear" w:color="000000" w:fill="F2F2F2"/>
            <w:noWrap/>
            <w:vAlign w:val="bottom"/>
            <w:hideMark/>
          </w:tcPr>
          <w:p w:rsidR="00D4008C" w:rsidRDefault="00D4008C" w:rsidP="00D4008C">
            <w:pPr>
              <w:rPr>
                <w:rFonts w:ascii="Calibri" w:hAnsi="Calibri"/>
                <w:color w:val="000000"/>
                <w:sz w:val="22"/>
                <w:szCs w:val="22"/>
              </w:rPr>
            </w:pPr>
            <w:r>
              <w:rPr>
                <w:rFonts w:ascii="Calibri" w:hAnsi="Calibri"/>
                <w:color w:val="000000"/>
                <w:sz w:val="22"/>
                <w:szCs w:val="22"/>
              </w:rPr>
              <w:t> </w:t>
            </w:r>
          </w:p>
        </w:tc>
      </w:tr>
    </w:tbl>
    <w:p w:rsidR="003F7524" w:rsidRPr="003F7524" w:rsidRDefault="003F7524" w:rsidP="00D4008C">
      <w:pPr>
        <w:rPr>
          <w:sz w:val="22"/>
          <w:szCs w:val="22"/>
        </w:rPr>
      </w:pPr>
    </w:p>
    <w:p w:rsidR="001A5601" w:rsidRDefault="001A5601" w:rsidP="00436F5E">
      <w:pPr>
        <w:spacing w:after="60"/>
        <w:rPr>
          <w:sz w:val="22"/>
          <w:szCs w:val="22"/>
        </w:rPr>
      </w:pPr>
    </w:p>
    <w:p w:rsidR="003D0E03" w:rsidRDefault="003D0E03" w:rsidP="00436F5E">
      <w:pPr>
        <w:spacing w:after="60"/>
        <w:rPr>
          <w:sz w:val="22"/>
          <w:szCs w:val="22"/>
        </w:rPr>
      </w:pPr>
    </w:p>
    <w:p w:rsidR="00945CD6" w:rsidRPr="0072204D" w:rsidRDefault="00292B70" w:rsidP="00436F5E">
      <w:pPr>
        <w:spacing w:after="60"/>
        <w:rPr>
          <w:b/>
        </w:rPr>
      </w:pPr>
      <w:r>
        <w:rPr>
          <w:b/>
        </w:rPr>
        <w:t xml:space="preserve">A14. </w:t>
      </w:r>
      <w:r w:rsidR="00945CD6" w:rsidRPr="0072204D">
        <w:rPr>
          <w:b/>
        </w:rPr>
        <w:t>Estimate of Cost to the Federal Government</w:t>
      </w:r>
    </w:p>
    <w:p w:rsidR="002B3D6D" w:rsidRPr="001A5601" w:rsidRDefault="00B91D97" w:rsidP="00436F5E">
      <w:pPr>
        <w:rPr>
          <w:sz w:val="22"/>
          <w:szCs w:val="22"/>
        </w:rPr>
      </w:pPr>
      <w:r w:rsidRPr="001A5601">
        <w:rPr>
          <w:sz w:val="22"/>
          <w:szCs w:val="22"/>
        </w:rPr>
        <w:t xml:space="preserve">The total cost for the </w:t>
      </w:r>
      <w:r w:rsidR="002B3D6D" w:rsidRPr="001A5601">
        <w:rPr>
          <w:sz w:val="22"/>
          <w:szCs w:val="22"/>
        </w:rPr>
        <w:t xml:space="preserve">pretest </w:t>
      </w:r>
      <w:r w:rsidRPr="001A5601">
        <w:rPr>
          <w:sz w:val="22"/>
          <w:szCs w:val="22"/>
        </w:rPr>
        <w:t xml:space="preserve">data collection activities </w:t>
      </w:r>
      <w:r w:rsidR="003F7524" w:rsidRPr="001A5601">
        <w:rPr>
          <w:sz w:val="22"/>
          <w:szCs w:val="22"/>
        </w:rPr>
        <w:t xml:space="preserve">(including respondent incentives) </w:t>
      </w:r>
      <w:r w:rsidR="00A17A23">
        <w:rPr>
          <w:sz w:val="22"/>
          <w:szCs w:val="22"/>
        </w:rPr>
        <w:t>is funded by a government contract totaling</w:t>
      </w:r>
      <w:r w:rsidRPr="001A5601">
        <w:rPr>
          <w:sz w:val="22"/>
          <w:szCs w:val="22"/>
        </w:rPr>
        <w:t xml:space="preserve"> $</w:t>
      </w:r>
      <w:r w:rsidR="002B3D6D" w:rsidRPr="001A5601">
        <w:rPr>
          <w:sz w:val="22"/>
          <w:szCs w:val="22"/>
        </w:rPr>
        <w:t xml:space="preserve"> 242,358</w:t>
      </w:r>
      <w:r w:rsidRPr="001A5601">
        <w:rPr>
          <w:sz w:val="22"/>
          <w:szCs w:val="22"/>
        </w:rPr>
        <w:t xml:space="preserve">. </w:t>
      </w:r>
      <w:r w:rsidR="002B3D6D" w:rsidRPr="001A5601">
        <w:rPr>
          <w:sz w:val="22"/>
          <w:szCs w:val="22"/>
        </w:rPr>
        <w:t xml:space="preserve"> </w:t>
      </w:r>
    </w:p>
    <w:p w:rsidR="002B3D6D" w:rsidRPr="001A5601" w:rsidRDefault="002B3D6D" w:rsidP="00436F5E">
      <w:pPr>
        <w:rPr>
          <w:sz w:val="22"/>
          <w:szCs w:val="22"/>
        </w:rPr>
      </w:pPr>
    </w:p>
    <w:p w:rsidR="00B91D97" w:rsidRPr="001A5601" w:rsidRDefault="003F7524" w:rsidP="00436F5E">
      <w:pPr>
        <w:rPr>
          <w:sz w:val="22"/>
          <w:szCs w:val="22"/>
        </w:rPr>
      </w:pPr>
      <w:r w:rsidRPr="001A5601">
        <w:rPr>
          <w:sz w:val="22"/>
          <w:szCs w:val="22"/>
        </w:rPr>
        <w:t>There will be no a</w:t>
      </w:r>
      <w:r w:rsidR="00B91D97" w:rsidRPr="001A5601">
        <w:rPr>
          <w:sz w:val="22"/>
          <w:szCs w:val="22"/>
        </w:rPr>
        <w:t xml:space="preserve">nnual costs to the Federal government </w:t>
      </w:r>
      <w:r w:rsidRPr="001A5601">
        <w:rPr>
          <w:sz w:val="22"/>
          <w:szCs w:val="22"/>
        </w:rPr>
        <w:t xml:space="preserve">because this information request represents an ad hoc pretest </w:t>
      </w:r>
      <w:r w:rsidR="002B3D6D" w:rsidRPr="001A5601">
        <w:rPr>
          <w:sz w:val="22"/>
          <w:szCs w:val="22"/>
        </w:rPr>
        <w:t>to facilitate the</w:t>
      </w:r>
      <w:r w:rsidRPr="001A5601">
        <w:rPr>
          <w:sz w:val="22"/>
          <w:szCs w:val="22"/>
        </w:rPr>
        <w:t xml:space="preserve"> redesig</w:t>
      </w:r>
      <w:r w:rsidR="002B3D6D" w:rsidRPr="001A5601">
        <w:rPr>
          <w:sz w:val="22"/>
          <w:szCs w:val="22"/>
        </w:rPr>
        <w:t>n of</w:t>
      </w:r>
      <w:r w:rsidRPr="001A5601">
        <w:rPr>
          <w:sz w:val="22"/>
          <w:szCs w:val="22"/>
        </w:rPr>
        <w:t xml:space="preserve"> the ASR</w:t>
      </w:r>
      <w:r w:rsidR="00B91D97" w:rsidRPr="001A5601">
        <w:rPr>
          <w:sz w:val="22"/>
          <w:szCs w:val="22"/>
        </w:rPr>
        <w:t xml:space="preserve">. </w:t>
      </w:r>
    </w:p>
    <w:p w:rsidR="002338AC" w:rsidRDefault="002338AC" w:rsidP="00436F5E"/>
    <w:p w:rsidR="001A5601" w:rsidRDefault="001A5601" w:rsidP="00436F5E"/>
    <w:p w:rsidR="00945CD6" w:rsidRDefault="00292B70" w:rsidP="00BC11C3">
      <w:pPr>
        <w:spacing w:after="60"/>
        <w:rPr>
          <w:b/>
        </w:rPr>
      </w:pPr>
      <w:r>
        <w:rPr>
          <w:b/>
        </w:rPr>
        <w:t xml:space="preserve">A15. </w:t>
      </w:r>
      <w:r w:rsidR="00945CD6" w:rsidRPr="0072204D">
        <w:rPr>
          <w:b/>
        </w:rPr>
        <w:t>Change in Burden</w:t>
      </w:r>
    </w:p>
    <w:p w:rsidR="003F7524" w:rsidRDefault="00A17A23" w:rsidP="00436F5E">
      <w:pPr>
        <w:spacing w:after="120"/>
        <w:rPr>
          <w:sz w:val="22"/>
          <w:szCs w:val="22"/>
        </w:rPr>
      </w:pPr>
      <w:r w:rsidRPr="00A17A23">
        <w:rPr>
          <w:sz w:val="22"/>
          <w:szCs w:val="22"/>
        </w:rPr>
        <w:t>This request is for additional data collection under generic clearance 0970-0355.</w:t>
      </w:r>
    </w:p>
    <w:p w:rsidR="002338AC" w:rsidRDefault="002338AC" w:rsidP="005046F0">
      <w:pPr>
        <w:ind w:left="360"/>
      </w:pPr>
    </w:p>
    <w:p w:rsidR="00E76830" w:rsidRDefault="00E76830" w:rsidP="005046F0">
      <w:pPr>
        <w:ind w:left="360"/>
      </w:pPr>
    </w:p>
    <w:p w:rsidR="00E76830" w:rsidRDefault="00E76830" w:rsidP="005046F0">
      <w:pPr>
        <w:ind w:left="360"/>
      </w:pPr>
    </w:p>
    <w:p w:rsidR="00E76830" w:rsidRDefault="00E76830" w:rsidP="005046F0">
      <w:pPr>
        <w:ind w:left="360"/>
      </w:pPr>
    </w:p>
    <w:p w:rsidR="001A5601" w:rsidRDefault="001A5601" w:rsidP="005046F0">
      <w:pPr>
        <w:ind w:left="360"/>
      </w:pPr>
    </w:p>
    <w:p w:rsidR="00945CD6" w:rsidRDefault="00292B70" w:rsidP="00436F5E">
      <w:pPr>
        <w:spacing w:after="60"/>
        <w:rPr>
          <w:b/>
        </w:rPr>
      </w:pPr>
      <w:r w:rsidRPr="005A64C5">
        <w:rPr>
          <w:b/>
        </w:rPr>
        <w:t xml:space="preserve">A16. </w:t>
      </w:r>
      <w:r w:rsidR="00945CD6" w:rsidRPr="005A64C5">
        <w:rPr>
          <w:b/>
        </w:rPr>
        <w:t>Plan and Time Schedule for Information Collection, Tabulation and Publication</w:t>
      </w:r>
    </w:p>
    <w:p w:rsidR="002338AC" w:rsidRPr="00BC11C3" w:rsidRDefault="00C06549" w:rsidP="00292B70">
      <w:pPr>
        <w:rPr>
          <w:b/>
          <w:i/>
          <w:sz w:val="22"/>
          <w:szCs w:val="22"/>
        </w:rPr>
      </w:pPr>
      <w:r w:rsidRPr="00BC11C3">
        <w:rPr>
          <w:b/>
          <w:i/>
          <w:sz w:val="22"/>
          <w:szCs w:val="22"/>
        </w:rPr>
        <w:t>Analysis Plan</w:t>
      </w:r>
    </w:p>
    <w:p w:rsidR="00C06549" w:rsidRPr="00BC11C3" w:rsidRDefault="00C06549" w:rsidP="00292B70">
      <w:pPr>
        <w:rPr>
          <w:sz w:val="22"/>
          <w:szCs w:val="22"/>
        </w:rPr>
      </w:pPr>
      <w:r w:rsidRPr="00BC11C3">
        <w:rPr>
          <w:sz w:val="22"/>
          <w:szCs w:val="22"/>
        </w:rPr>
        <w:t>Statistical estimation is not intended with the pretest survey data.  The data will be subject to an examination of frequency distributions to asse</w:t>
      </w:r>
      <w:r w:rsidR="00EF4AC9" w:rsidRPr="00BC11C3">
        <w:rPr>
          <w:sz w:val="22"/>
          <w:szCs w:val="22"/>
        </w:rPr>
        <w:t>s</w:t>
      </w:r>
      <w:r w:rsidRPr="00BC11C3">
        <w:rPr>
          <w:sz w:val="22"/>
          <w:szCs w:val="22"/>
        </w:rPr>
        <w:t xml:space="preserve">s variation in responses as well as item missing data (Don’t know &amp; refusal responses).  </w:t>
      </w:r>
      <w:r w:rsidR="00EF4AC9" w:rsidRPr="00BC11C3">
        <w:rPr>
          <w:sz w:val="22"/>
          <w:szCs w:val="22"/>
        </w:rPr>
        <w:t xml:space="preserve">Statistics will be generated on the average time to administer the survey. The mean administration times will be calculated overall as well as by language and by family status.  </w:t>
      </w:r>
    </w:p>
    <w:p w:rsidR="00EF4AC9" w:rsidRPr="00BC11C3" w:rsidRDefault="00EF4AC9" w:rsidP="00292B70">
      <w:pPr>
        <w:rPr>
          <w:sz w:val="22"/>
          <w:szCs w:val="22"/>
        </w:rPr>
      </w:pPr>
    </w:p>
    <w:p w:rsidR="00EF4AC9" w:rsidRPr="00BC11C3" w:rsidRDefault="00EF4AC9" w:rsidP="00292B70">
      <w:pPr>
        <w:rPr>
          <w:sz w:val="22"/>
          <w:szCs w:val="22"/>
        </w:rPr>
      </w:pPr>
      <w:r w:rsidRPr="00BC11C3">
        <w:rPr>
          <w:sz w:val="22"/>
          <w:szCs w:val="22"/>
        </w:rPr>
        <w:t xml:space="preserve">Cognitive interview notes will be reviewed for </w:t>
      </w:r>
      <w:r w:rsidR="00E103D8" w:rsidRPr="00BC11C3">
        <w:rPr>
          <w:sz w:val="22"/>
          <w:szCs w:val="22"/>
        </w:rPr>
        <w:t>problematic questions and in-depth interviews will be assessed to validate existing constructs as well as to explore new aspects of measuring economic self-sufficiency and societal integration. These data will also be used to explore how to improve locating</w:t>
      </w:r>
      <w:r w:rsidR="00087B2F">
        <w:rPr>
          <w:sz w:val="22"/>
          <w:szCs w:val="22"/>
        </w:rPr>
        <w:t xml:space="preserve"> respondents</w:t>
      </w:r>
      <w:r w:rsidR="00E103D8" w:rsidRPr="00BC11C3">
        <w:rPr>
          <w:sz w:val="22"/>
          <w:szCs w:val="22"/>
        </w:rPr>
        <w:t xml:space="preserve"> and en</w:t>
      </w:r>
      <w:r w:rsidR="00087B2F">
        <w:rPr>
          <w:sz w:val="22"/>
          <w:szCs w:val="22"/>
        </w:rPr>
        <w:t>courage</w:t>
      </w:r>
      <w:r w:rsidR="00E103D8" w:rsidRPr="00BC11C3">
        <w:rPr>
          <w:sz w:val="22"/>
          <w:szCs w:val="22"/>
        </w:rPr>
        <w:t xml:space="preserve"> better participation in the ASR.</w:t>
      </w:r>
    </w:p>
    <w:p w:rsidR="00E103D8" w:rsidRPr="00BC11C3" w:rsidRDefault="00E103D8" w:rsidP="00292B70">
      <w:pPr>
        <w:rPr>
          <w:sz w:val="22"/>
          <w:szCs w:val="22"/>
        </w:rPr>
      </w:pPr>
    </w:p>
    <w:p w:rsidR="00E103D8" w:rsidRPr="00BC11C3" w:rsidRDefault="00E103D8" w:rsidP="00292B70">
      <w:pPr>
        <w:rPr>
          <w:sz w:val="22"/>
          <w:szCs w:val="22"/>
        </w:rPr>
      </w:pPr>
      <w:r w:rsidRPr="00BC11C3">
        <w:rPr>
          <w:sz w:val="22"/>
          <w:szCs w:val="22"/>
        </w:rPr>
        <w:t>Similarly, qualitative analysis will be conducted on the text data from in-depth interviews and focus groups of Stakeholders.  This may (or may not) lead to</w:t>
      </w:r>
      <w:r w:rsidR="00282D26">
        <w:rPr>
          <w:sz w:val="22"/>
          <w:szCs w:val="22"/>
        </w:rPr>
        <w:t xml:space="preserve"> suggestions for</w:t>
      </w:r>
      <w:r w:rsidRPr="00BC11C3">
        <w:rPr>
          <w:sz w:val="22"/>
          <w:szCs w:val="22"/>
        </w:rPr>
        <w:t xml:space="preserve"> addition</w:t>
      </w:r>
      <w:r w:rsidR="00282D26">
        <w:rPr>
          <w:sz w:val="22"/>
          <w:szCs w:val="22"/>
        </w:rPr>
        <w:t>al</w:t>
      </w:r>
      <w:r w:rsidRPr="00BC11C3">
        <w:rPr>
          <w:sz w:val="22"/>
          <w:szCs w:val="22"/>
        </w:rPr>
        <w:t xml:space="preserve"> survey questions for refugees.  The data will also be used to develop improved strategies for locating and securing refugee survey </w:t>
      </w:r>
      <w:r w:rsidR="001A5601" w:rsidRPr="00BC11C3">
        <w:rPr>
          <w:sz w:val="22"/>
          <w:szCs w:val="22"/>
        </w:rPr>
        <w:t>participation</w:t>
      </w:r>
      <w:r w:rsidRPr="00BC11C3">
        <w:rPr>
          <w:sz w:val="22"/>
          <w:szCs w:val="22"/>
        </w:rPr>
        <w:t>.</w:t>
      </w:r>
    </w:p>
    <w:p w:rsidR="00EF4AC9" w:rsidRPr="00BC11C3" w:rsidRDefault="00EF4AC9" w:rsidP="00292B70">
      <w:pPr>
        <w:rPr>
          <w:sz w:val="22"/>
          <w:szCs w:val="22"/>
        </w:rPr>
      </w:pPr>
    </w:p>
    <w:p w:rsidR="00C06549" w:rsidRPr="00BC11C3" w:rsidRDefault="00C06549" w:rsidP="00292B70">
      <w:pPr>
        <w:rPr>
          <w:b/>
          <w:i/>
          <w:sz w:val="22"/>
          <w:szCs w:val="22"/>
        </w:rPr>
      </w:pPr>
      <w:r w:rsidRPr="00BC11C3">
        <w:rPr>
          <w:b/>
          <w:i/>
          <w:sz w:val="22"/>
          <w:szCs w:val="22"/>
        </w:rPr>
        <w:t>Time Schedule &amp; Publications</w:t>
      </w:r>
    </w:p>
    <w:p w:rsidR="00C06549" w:rsidRPr="00BC11C3" w:rsidRDefault="00E103D8" w:rsidP="00292B70">
      <w:pPr>
        <w:rPr>
          <w:sz w:val="22"/>
          <w:szCs w:val="22"/>
        </w:rPr>
      </w:pPr>
      <w:r w:rsidRPr="00BC11C3">
        <w:rPr>
          <w:sz w:val="22"/>
          <w:szCs w:val="22"/>
        </w:rPr>
        <w:t xml:space="preserve">The </w:t>
      </w:r>
      <w:r w:rsidR="00282D26">
        <w:rPr>
          <w:sz w:val="22"/>
          <w:szCs w:val="22"/>
        </w:rPr>
        <w:t xml:space="preserve">current </w:t>
      </w:r>
      <w:r w:rsidRPr="00BC11C3">
        <w:rPr>
          <w:sz w:val="22"/>
          <w:szCs w:val="22"/>
        </w:rPr>
        <w:t>project Sche</w:t>
      </w:r>
      <w:r w:rsidR="001A5601" w:rsidRPr="00BC11C3">
        <w:rPr>
          <w:sz w:val="22"/>
          <w:szCs w:val="22"/>
        </w:rPr>
        <w:t>dule</w:t>
      </w:r>
      <w:r w:rsidRPr="00BC11C3">
        <w:rPr>
          <w:sz w:val="22"/>
          <w:szCs w:val="22"/>
        </w:rPr>
        <w:t xml:space="preserve"> for the pretest appears</w:t>
      </w:r>
      <w:r w:rsidR="001A5601" w:rsidRPr="00BC11C3">
        <w:rPr>
          <w:sz w:val="22"/>
          <w:szCs w:val="22"/>
        </w:rPr>
        <w:t xml:space="preserve"> In Figure 1</w:t>
      </w:r>
      <w:r w:rsidRPr="00BC11C3">
        <w:rPr>
          <w:sz w:val="22"/>
          <w:szCs w:val="22"/>
        </w:rPr>
        <w:t xml:space="preserve"> below.</w:t>
      </w:r>
      <w:r w:rsidR="00930139">
        <w:rPr>
          <w:sz w:val="22"/>
          <w:szCs w:val="22"/>
        </w:rPr>
        <w:t xml:space="preserve">  An internal-only memorandum of findings and recommendations will be produced.</w:t>
      </w:r>
      <w:r w:rsidR="00EC7FB8">
        <w:rPr>
          <w:sz w:val="22"/>
          <w:szCs w:val="22"/>
        </w:rPr>
        <w:t xml:space="preserve"> </w:t>
      </w:r>
      <w:r w:rsidR="00EC7FB8" w:rsidRPr="00AF5CF1">
        <w:rPr>
          <w:sz w:val="22"/>
          <w:szCs w:val="22"/>
        </w:rPr>
        <w:t>Results of the</w:t>
      </w:r>
      <w:r w:rsidR="00EC7FB8">
        <w:rPr>
          <w:sz w:val="22"/>
          <w:szCs w:val="22"/>
        </w:rPr>
        <w:t xml:space="preserve"> pretest </w:t>
      </w:r>
      <w:r w:rsidR="00EC7FB8" w:rsidRPr="00AF5CF1">
        <w:rPr>
          <w:sz w:val="22"/>
          <w:szCs w:val="22"/>
        </w:rPr>
        <w:t xml:space="preserve">may be made public through methodological appendices or footnotes, reports on instrument development, instrument user guides, </w:t>
      </w:r>
      <w:r w:rsidR="004218E0">
        <w:rPr>
          <w:sz w:val="22"/>
          <w:szCs w:val="22"/>
        </w:rPr>
        <w:t xml:space="preserve">summary </w:t>
      </w:r>
      <w:r w:rsidR="00EC7FB8" w:rsidRPr="00AF5CF1">
        <w:rPr>
          <w:sz w:val="22"/>
          <w:szCs w:val="22"/>
        </w:rPr>
        <w:t xml:space="preserve">descriptions of respondent behavior, and other publications describing findings of methodological interest. </w:t>
      </w:r>
      <w:r w:rsidR="00EC7FB8">
        <w:rPr>
          <w:sz w:val="22"/>
          <w:szCs w:val="22"/>
        </w:rPr>
        <w:t>As</w:t>
      </w:r>
      <w:r w:rsidR="00EC7FB8" w:rsidRPr="00AF5CF1">
        <w:rPr>
          <w:sz w:val="22"/>
          <w:szCs w:val="22"/>
        </w:rPr>
        <w:t xml:space="preserve"> </w:t>
      </w:r>
      <w:r w:rsidR="00EC7FB8">
        <w:rPr>
          <w:sz w:val="22"/>
          <w:szCs w:val="22"/>
        </w:rPr>
        <w:t>appropriate</w:t>
      </w:r>
      <w:r w:rsidR="00EC7FB8" w:rsidRPr="00AF5CF1">
        <w:rPr>
          <w:sz w:val="22"/>
          <w:szCs w:val="22"/>
        </w:rPr>
        <w:t xml:space="preserve">, </w:t>
      </w:r>
      <w:r w:rsidR="00EC7FB8">
        <w:rPr>
          <w:sz w:val="22"/>
          <w:szCs w:val="22"/>
        </w:rPr>
        <w:t xml:space="preserve">pretest </w:t>
      </w:r>
      <w:r w:rsidR="00EC7FB8" w:rsidRPr="00AF5CF1">
        <w:rPr>
          <w:sz w:val="22"/>
          <w:szCs w:val="22"/>
        </w:rPr>
        <w:t xml:space="preserve">results will be labeled as exploratory in nature. The </w:t>
      </w:r>
      <w:r w:rsidR="00EC7FB8">
        <w:rPr>
          <w:sz w:val="22"/>
          <w:szCs w:val="22"/>
        </w:rPr>
        <w:t xml:space="preserve">pretest </w:t>
      </w:r>
      <w:r w:rsidR="00EC7FB8" w:rsidRPr="00AF5CF1">
        <w:rPr>
          <w:sz w:val="22"/>
          <w:szCs w:val="22"/>
        </w:rPr>
        <w:t>data collected will not be presented as findings on the</w:t>
      </w:r>
      <w:r w:rsidR="00EC7FB8">
        <w:rPr>
          <w:sz w:val="22"/>
          <w:szCs w:val="22"/>
        </w:rPr>
        <w:t xml:space="preserve"> outcomes of</w:t>
      </w:r>
      <w:r w:rsidR="00EC7FB8" w:rsidRPr="00AF5CF1">
        <w:rPr>
          <w:sz w:val="22"/>
          <w:szCs w:val="22"/>
        </w:rPr>
        <w:t xml:space="preserve"> </w:t>
      </w:r>
      <w:r w:rsidR="00EC7FB8">
        <w:rPr>
          <w:sz w:val="22"/>
          <w:szCs w:val="22"/>
        </w:rPr>
        <w:t>refugee resettlement or as generally representative of the refugee population</w:t>
      </w:r>
      <w:r w:rsidR="00EC7FB8" w:rsidRPr="00AF5CF1">
        <w:rPr>
          <w:sz w:val="22"/>
          <w:szCs w:val="22"/>
        </w:rPr>
        <w:t>.</w:t>
      </w:r>
    </w:p>
    <w:p w:rsidR="00553012" w:rsidRPr="00BC11C3" w:rsidRDefault="00553012" w:rsidP="00292B70">
      <w:pPr>
        <w:rPr>
          <w:b/>
          <w:sz w:val="22"/>
          <w:szCs w:val="22"/>
        </w:rPr>
      </w:pPr>
    </w:p>
    <w:p w:rsidR="00BC11C3" w:rsidRDefault="00BC11C3" w:rsidP="00292B70">
      <w:pPr>
        <w:rPr>
          <w:b/>
          <w:sz w:val="22"/>
          <w:szCs w:val="22"/>
        </w:rPr>
      </w:pPr>
    </w:p>
    <w:p w:rsidR="001A5601" w:rsidRDefault="001A5601" w:rsidP="00292B70">
      <w:pPr>
        <w:rPr>
          <w:b/>
          <w:sz w:val="22"/>
          <w:szCs w:val="22"/>
        </w:rPr>
      </w:pPr>
      <w:r>
        <w:rPr>
          <w:b/>
          <w:sz w:val="22"/>
          <w:szCs w:val="22"/>
        </w:rPr>
        <w:t>Figure 1: Project Schedule for the ASR Pretest</w:t>
      </w:r>
      <w:r w:rsidR="00B50C9A">
        <w:rPr>
          <w:b/>
          <w:sz w:val="22"/>
          <w:szCs w:val="22"/>
        </w:rPr>
        <w:t>*</w:t>
      </w:r>
    </w:p>
    <w:p w:rsidR="00E103D8" w:rsidRDefault="00E103D8" w:rsidP="00436F5E">
      <w:pPr>
        <w:spacing w:after="120"/>
        <w:rPr>
          <w:b/>
          <w:sz w:val="22"/>
          <w:szCs w:val="22"/>
        </w:rPr>
      </w:pPr>
    </w:p>
    <w:p w:rsidR="00930139" w:rsidRDefault="004218E0" w:rsidP="00930139">
      <w:pPr>
        <w:spacing w:after="120"/>
        <w:ind w:left="-810"/>
        <w:rPr>
          <w:b/>
        </w:rPr>
      </w:pPr>
      <w:r>
        <w:rPr>
          <w:noProof/>
        </w:rPr>
        <w:drawing>
          <wp:inline distT="0" distB="0" distL="0" distR="0" wp14:anchorId="2325EA80" wp14:editId="00A1EE19">
            <wp:extent cx="7019925" cy="242887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9925" cy="2428875"/>
                    </a:xfrm>
                    <a:prstGeom prst="rect">
                      <a:avLst/>
                    </a:prstGeom>
                    <a:noFill/>
                    <a:ln>
                      <a:noFill/>
                    </a:ln>
                  </pic:spPr>
                </pic:pic>
              </a:graphicData>
            </a:graphic>
          </wp:inline>
        </w:drawing>
      </w:r>
    </w:p>
    <w:p w:rsidR="00930139" w:rsidRPr="004218E0" w:rsidRDefault="00B50C9A" w:rsidP="00436F5E">
      <w:pPr>
        <w:spacing w:after="120"/>
        <w:rPr>
          <w:sz w:val="18"/>
        </w:rPr>
      </w:pPr>
      <w:r w:rsidRPr="004218E0">
        <w:rPr>
          <w:sz w:val="18"/>
        </w:rPr>
        <w:t xml:space="preserve">*Schedule is dependent on the date of OMB approval. </w:t>
      </w:r>
    </w:p>
    <w:p w:rsidR="00B50C9A" w:rsidRDefault="00B50C9A" w:rsidP="00436F5E">
      <w:pPr>
        <w:spacing w:after="120"/>
        <w:rPr>
          <w:b/>
          <w:sz w:val="18"/>
        </w:rPr>
      </w:pPr>
    </w:p>
    <w:p w:rsidR="004218E0" w:rsidRPr="004218E0" w:rsidRDefault="004218E0" w:rsidP="00436F5E">
      <w:pPr>
        <w:spacing w:after="120"/>
        <w:rPr>
          <w:b/>
          <w:sz w:val="18"/>
        </w:rPr>
      </w:pPr>
    </w:p>
    <w:p w:rsidR="00945CD6" w:rsidRDefault="00292B70" w:rsidP="00436F5E">
      <w:pPr>
        <w:spacing w:after="120"/>
        <w:rPr>
          <w:b/>
        </w:rPr>
      </w:pPr>
      <w:r>
        <w:rPr>
          <w:b/>
        </w:rPr>
        <w:t xml:space="preserve">A17. </w:t>
      </w:r>
      <w:r w:rsidR="00945CD6" w:rsidRPr="0072204D">
        <w:rPr>
          <w:b/>
        </w:rPr>
        <w:t>Reasons Not to Display OMB Expiration Date</w:t>
      </w:r>
    </w:p>
    <w:p w:rsidR="00D90EF6" w:rsidRDefault="003F7524" w:rsidP="003F7524">
      <w:pPr>
        <w:spacing w:after="120"/>
      </w:pPr>
      <w:r w:rsidRPr="003F7524">
        <w:rPr>
          <w:sz w:val="22"/>
          <w:szCs w:val="22"/>
        </w:rPr>
        <w:t>All instruments will display the expiration date for OMB</w:t>
      </w:r>
    </w:p>
    <w:p w:rsidR="005046F0" w:rsidRDefault="005046F0" w:rsidP="005046F0">
      <w:pPr>
        <w:ind w:left="360"/>
      </w:pPr>
    </w:p>
    <w:p w:rsidR="002338AC" w:rsidRDefault="002338AC" w:rsidP="005046F0">
      <w:pPr>
        <w:ind w:left="360"/>
      </w:pPr>
    </w:p>
    <w:p w:rsidR="00945CD6" w:rsidRDefault="00292B70" w:rsidP="00436F5E">
      <w:pPr>
        <w:spacing w:after="120"/>
        <w:rPr>
          <w:b/>
        </w:rPr>
      </w:pPr>
      <w:r w:rsidRPr="000B5EA8">
        <w:rPr>
          <w:b/>
        </w:rPr>
        <w:t>A18.</w:t>
      </w:r>
      <w:r w:rsidR="000B5EA8" w:rsidRPr="000B5EA8">
        <w:rPr>
          <w:b/>
        </w:rPr>
        <w:t xml:space="preserve"> Exceptions to Certification for Paperwork Reduction Act Submissions</w:t>
      </w:r>
    </w:p>
    <w:p w:rsidR="003F7524" w:rsidRDefault="003F7524" w:rsidP="00436F5E">
      <w:pPr>
        <w:spacing w:after="120"/>
        <w:rPr>
          <w:sz w:val="22"/>
          <w:szCs w:val="22"/>
        </w:rPr>
      </w:pPr>
      <w:r w:rsidRPr="003F7524">
        <w:rPr>
          <w:sz w:val="22"/>
          <w:szCs w:val="22"/>
        </w:rPr>
        <w:t>No exceptions are necessary for this information collection</w:t>
      </w:r>
      <w:r>
        <w:rPr>
          <w:sz w:val="22"/>
          <w:szCs w:val="22"/>
        </w:rPr>
        <w:t>.</w:t>
      </w:r>
    </w:p>
    <w:p w:rsidR="0072204D" w:rsidRPr="0072204D" w:rsidRDefault="0072204D"/>
    <w:sectPr w:rsidR="0072204D" w:rsidRPr="0072204D" w:rsidSect="00327B2E">
      <w:headerReference w:type="default" r:id="rId15"/>
      <w:footerReference w:type="default" r:id="rId1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AB" w:rsidRDefault="00CB45AB">
      <w:r>
        <w:separator/>
      </w:r>
    </w:p>
  </w:endnote>
  <w:endnote w:type="continuationSeparator" w:id="0">
    <w:p w:rsidR="00CB45AB" w:rsidRDefault="00CB45AB">
      <w:r>
        <w:continuationSeparator/>
      </w:r>
    </w:p>
  </w:endnote>
  <w:endnote w:type="continuationNotice" w:id="1">
    <w:p w:rsidR="00CB45AB" w:rsidRDefault="00CB4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83D" w:rsidRDefault="00BC783D">
    <w:pPr>
      <w:pStyle w:val="Footer"/>
      <w:jc w:val="center"/>
    </w:pPr>
    <w:r>
      <w:fldChar w:fldCharType="begin"/>
    </w:r>
    <w:r>
      <w:instrText xml:space="preserve"> PAGE   \* MERGEFORMAT </w:instrText>
    </w:r>
    <w:r>
      <w:fldChar w:fldCharType="separate"/>
    </w:r>
    <w:r w:rsidR="00327598">
      <w:rPr>
        <w:noProof/>
      </w:rPr>
      <w:t>1</w:t>
    </w:r>
    <w:r>
      <w:fldChar w:fldCharType="end"/>
    </w:r>
  </w:p>
  <w:p w:rsidR="00BC783D" w:rsidRDefault="00BC783D"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AB" w:rsidRDefault="00CB45AB">
      <w:r>
        <w:separator/>
      </w:r>
    </w:p>
  </w:footnote>
  <w:footnote w:type="continuationSeparator" w:id="0">
    <w:p w:rsidR="00CB45AB" w:rsidRDefault="00CB45AB">
      <w:r>
        <w:continuationSeparator/>
      </w:r>
    </w:p>
  </w:footnote>
  <w:footnote w:type="continuationNotice" w:id="1">
    <w:p w:rsidR="00CB45AB" w:rsidRDefault="00CB45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B8" w:rsidRDefault="00EC7F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A330D"/>
    <w:multiLevelType w:val="hybridMultilevel"/>
    <w:tmpl w:val="8962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234F4"/>
    <w:multiLevelType w:val="hybridMultilevel"/>
    <w:tmpl w:val="3C70F110"/>
    <w:lvl w:ilvl="0" w:tplc="7B6C85EC">
      <w:start w:val="1"/>
      <w:numFmt w:val="bullet"/>
      <w:pStyle w:val="BulletedList"/>
      <w:lvlText w:val=""/>
      <w:lvlJc w:val="left"/>
      <w:pPr>
        <w:ind w:left="1080" w:hanging="360"/>
      </w:pPr>
      <w:rPr>
        <w:rFonts w:ascii="Zapf Dingbats" w:hAnsi="Zapf Dingbats" w:hint="default"/>
        <w:b w:val="0"/>
        <w:bCs w:val="0"/>
        <w:i w:val="0"/>
        <w:iCs w:val="0"/>
        <w:color w:val="00AEEF"/>
        <w:position w:val="4"/>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F0B9C"/>
    <w:multiLevelType w:val="hybridMultilevel"/>
    <w:tmpl w:val="1CF43BF6"/>
    <w:lvl w:ilvl="0" w:tplc="DEC852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9"/>
  </w:num>
  <w:num w:numId="5">
    <w:abstractNumId w:val="10"/>
  </w:num>
  <w:num w:numId="6">
    <w:abstractNumId w:val="15"/>
  </w:num>
  <w:num w:numId="7">
    <w:abstractNumId w:val="14"/>
  </w:num>
  <w:num w:numId="8">
    <w:abstractNumId w:val="11"/>
  </w:num>
  <w:num w:numId="9">
    <w:abstractNumId w:val="12"/>
  </w:num>
  <w:num w:numId="10">
    <w:abstractNumId w:val="3"/>
  </w:num>
  <w:num w:numId="11">
    <w:abstractNumId w:val="0"/>
  </w:num>
  <w:num w:numId="12">
    <w:abstractNumId w:val="5"/>
  </w:num>
  <w:num w:numId="13">
    <w:abstractNumId w:val="16"/>
  </w:num>
  <w:num w:numId="14">
    <w:abstractNumId w:val="7"/>
  </w:num>
  <w:num w:numId="15">
    <w:abstractNumId w:val="8"/>
  </w:num>
  <w:num w:numId="16">
    <w:abstractNumId w:val="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26157"/>
    <w:rsid w:val="000431B8"/>
    <w:rsid w:val="000702B2"/>
    <w:rsid w:val="00083C3B"/>
    <w:rsid w:val="0008643E"/>
    <w:rsid w:val="00087B2F"/>
    <w:rsid w:val="00091C59"/>
    <w:rsid w:val="000B5EA8"/>
    <w:rsid w:val="000D0D95"/>
    <w:rsid w:val="000D53DF"/>
    <w:rsid w:val="00110FC6"/>
    <w:rsid w:val="00112F22"/>
    <w:rsid w:val="00124EBF"/>
    <w:rsid w:val="0016012E"/>
    <w:rsid w:val="001819A1"/>
    <w:rsid w:val="0018270E"/>
    <w:rsid w:val="00183C0F"/>
    <w:rsid w:val="00190C1B"/>
    <w:rsid w:val="001941ED"/>
    <w:rsid w:val="001962D7"/>
    <w:rsid w:val="001A5601"/>
    <w:rsid w:val="001A5AF9"/>
    <w:rsid w:val="001C4D60"/>
    <w:rsid w:val="001C7EC8"/>
    <w:rsid w:val="001E1A9E"/>
    <w:rsid w:val="0020382F"/>
    <w:rsid w:val="00206A18"/>
    <w:rsid w:val="00215842"/>
    <w:rsid w:val="00222798"/>
    <w:rsid w:val="002231FA"/>
    <w:rsid w:val="00224C0C"/>
    <w:rsid w:val="002338AC"/>
    <w:rsid w:val="00234E8D"/>
    <w:rsid w:val="00235A6D"/>
    <w:rsid w:val="002366DF"/>
    <w:rsid w:val="00237FCC"/>
    <w:rsid w:val="00240893"/>
    <w:rsid w:val="002408DE"/>
    <w:rsid w:val="0025173C"/>
    <w:rsid w:val="00253148"/>
    <w:rsid w:val="00254DC4"/>
    <w:rsid w:val="002568C0"/>
    <w:rsid w:val="00262C37"/>
    <w:rsid w:val="00282D26"/>
    <w:rsid w:val="00284C9C"/>
    <w:rsid w:val="00292B70"/>
    <w:rsid w:val="002A1F68"/>
    <w:rsid w:val="002A4ED5"/>
    <w:rsid w:val="002B3483"/>
    <w:rsid w:val="002B3D6D"/>
    <w:rsid w:val="002B4DBE"/>
    <w:rsid w:val="002B73E1"/>
    <w:rsid w:val="002C4F75"/>
    <w:rsid w:val="002C6C44"/>
    <w:rsid w:val="002D4008"/>
    <w:rsid w:val="002F750D"/>
    <w:rsid w:val="003060DD"/>
    <w:rsid w:val="00311654"/>
    <w:rsid w:val="00322AB4"/>
    <w:rsid w:val="00327598"/>
    <w:rsid w:val="00327B2E"/>
    <w:rsid w:val="003377DD"/>
    <w:rsid w:val="00340F2E"/>
    <w:rsid w:val="00343243"/>
    <w:rsid w:val="0034751A"/>
    <w:rsid w:val="00374DAB"/>
    <w:rsid w:val="00381723"/>
    <w:rsid w:val="0038291A"/>
    <w:rsid w:val="00384622"/>
    <w:rsid w:val="003B02EE"/>
    <w:rsid w:val="003C27F1"/>
    <w:rsid w:val="003D0E03"/>
    <w:rsid w:val="003D472F"/>
    <w:rsid w:val="003D5231"/>
    <w:rsid w:val="003D7A08"/>
    <w:rsid w:val="003F7524"/>
    <w:rsid w:val="00414C0B"/>
    <w:rsid w:val="00415F31"/>
    <w:rsid w:val="004218E0"/>
    <w:rsid w:val="004222F8"/>
    <w:rsid w:val="00422C1B"/>
    <w:rsid w:val="00426FE5"/>
    <w:rsid w:val="00431D89"/>
    <w:rsid w:val="00433C85"/>
    <w:rsid w:val="00436F5E"/>
    <w:rsid w:val="00441870"/>
    <w:rsid w:val="004509A2"/>
    <w:rsid w:val="004522FF"/>
    <w:rsid w:val="004554B1"/>
    <w:rsid w:val="00456E2F"/>
    <w:rsid w:val="004654C2"/>
    <w:rsid w:val="00465816"/>
    <w:rsid w:val="00482DDE"/>
    <w:rsid w:val="004A3A63"/>
    <w:rsid w:val="004A44DD"/>
    <w:rsid w:val="004B008B"/>
    <w:rsid w:val="004B587E"/>
    <w:rsid w:val="004C1C36"/>
    <w:rsid w:val="004C2ADD"/>
    <w:rsid w:val="004D6CA9"/>
    <w:rsid w:val="004F4230"/>
    <w:rsid w:val="004F4E1D"/>
    <w:rsid w:val="00503865"/>
    <w:rsid w:val="005046F0"/>
    <w:rsid w:val="00520737"/>
    <w:rsid w:val="00521F1C"/>
    <w:rsid w:val="005353B7"/>
    <w:rsid w:val="0053752C"/>
    <w:rsid w:val="00541024"/>
    <w:rsid w:val="00541AA0"/>
    <w:rsid w:val="005431E5"/>
    <w:rsid w:val="00546FDB"/>
    <w:rsid w:val="00553012"/>
    <w:rsid w:val="00563A8C"/>
    <w:rsid w:val="00565B7E"/>
    <w:rsid w:val="00567F4D"/>
    <w:rsid w:val="0058598F"/>
    <w:rsid w:val="00594729"/>
    <w:rsid w:val="005A64C5"/>
    <w:rsid w:val="005C1CB8"/>
    <w:rsid w:val="005D4856"/>
    <w:rsid w:val="005E235C"/>
    <w:rsid w:val="005F2061"/>
    <w:rsid w:val="006010CA"/>
    <w:rsid w:val="006024CB"/>
    <w:rsid w:val="00606180"/>
    <w:rsid w:val="00607351"/>
    <w:rsid w:val="00610E9E"/>
    <w:rsid w:val="00621A4E"/>
    <w:rsid w:val="0063772B"/>
    <w:rsid w:val="00651DBA"/>
    <w:rsid w:val="00657424"/>
    <w:rsid w:val="006652B9"/>
    <w:rsid w:val="006A75E0"/>
    <w:rsid w:val="006B6845"/>
    <w:rsid w:val="006C0DE9"/>
    <w:rsid w:val="006D659A"/>
    <w:rsid w:val="006E6426"/>
    <w:rsid w:val="006F629E"/>
    <w:rsid w:val="00700E96"/>
    <w:rsid w:val="00701045"/>
    <w:rsid w:val="00705414"/>
    <w:rsid w:val="00711BC5"/>
    <w:rsid w:val="0072204D"/>
    <w:rsid w:val="007250A3"/>
    <w:rsid w:val="00736F1D"/>
    <w:rsid w:val="007425BA"/>
    <w:rsid w:val="007679B8"/>
    <w:rsid w:val="00772457"/>
    <w:rsid w:val="00776286"/>
    <w:rsid w:val="00781AC5"/>
    <w:rsid w:val="00784137"/>
    <w:rsid w:val="00795B04"/>
    <w:rsid w:val="0079771B"/>
    <w:rsid w:val="007A2258"/>
    <w:rsid w:val="007B2E92"/>
    <w:rsid w:val="007B3E17"/>
    <w:rsid w:val="007D295D"/>
    <w:rsid w:val="007E1101"/>
    <w:rsid w:val="007F5A76"/>
    <w:rsid w:val="0080399F"/>
    <w:rsid w:val="00805D65"/>
    <w:rsid w:val="00806712"/>
    <w:rsid w:val="00823048"/>
    <w:rsid w:val="00824307"/>
    <w:rsid w:val="008432BA"/>
    <w:rsid w:val="0087234E"/>
    <w:rsid w:val="00875033"/>
    <w:rsid w:val="0088179B"/>
    <w:rsid w:val="008A6CC5"/>
    <w:rsid w:val="008A6ECC"/>
    <w:rsid w:val="008B28BB"/>
    <w:rsid w:val="008B4A16"/>
    <w:rsid w:val="008B7F2C"/>
    <w:rsid w:val="008C48FB"/>
    <w:rsid w:val="008C6A6B"/>
    <w:rsid w:val="008C78B4"/>
    <w:rsid w:val="008F10A2"/>
    <w:rsid w:val="00917836"/>
    <w:rsid w:val="00930139"/>
    <w:rsid w:val="00932D71"/>
    <w:rsid w:val="0093331F"/>
    <w:rsid w:val="009400AC"/>
    <w:rsid w:val="00945CD6"/>
    <w:rsid w:val="00957ABD"/>
    <w:rsid w:val="00957AE3"/>
    <w:rsid w:val="009648CE"/>
    <w:rsid w:val="00984CA2"/>
    <w:rsid w:val="0099212E"/>
    <w:rsid w:val="009B1638"/>
    <w:rsid w:val="009D47D2"/>
    <w:rsid w:val="009E28C8"/>
    <w:rsid w:val="00A17A23"/>
    <w:rsid w:val="00A35B0D"/>
    <w:rsid w:val="00A35E23"/>
    <w:rsid w:val="00A411B8"/>
    <w:rsid w:val="00A412C5"/>
    <w:rsid w:val="00A42C29"/>
    <w:rsid w:val="00A44209"/>
    <w:rsid w:val="00A712A5"/>
    <w:rsid w:val="00A75940"/>
    <w:rsid w:val="00A8081E"/>
    <w:rsid w:val="00A97E6B"/>
    <w:rsid w:val="00AA29C0"/>
    <w:rsid w:val="00AA3F85"/>
    <w:rsid w:val="00AC5A82"/>
    <w:rsid w:val="00AE1E11"/>
    <w:rsid w:val="00AF07B4"/>
    <w:rsid w:val="00AF44B3"/>
    <w:rsid w:val="00AF5CF1"/>
    <w:rsid w:val="00B14396"/>
    <w:rsid w:val="00B233E7"/>
    <w:rsid w:val="00B50C9A"/>
    <w:rsid w:val="00B616BB"/>
    <w:rsid w:val="00B66874"/>
    <w:rsid w:val="00B71B58"/>
    <w:rsid w:val="00B731DB"/>
    <w:rsid w:val="00B73ACF"/>
    <w:rsid w:val="00B84547"/>
    <w:rsid w:val="00B85153"/>
    <w:rsid w:val="00B91D97"/>
    <w:rsid w:val="00BA03C0"/>
    <w:rsid w:val="00BB13A6"/>
    <w:rsid w:val="00BB496A"/>
    <w:rsid w:val="00BC11C3"/>
    <w:rsid w:val="00BC587D"/>
    <w:rsid w:val="00BC783D"/>
    <w:rsid w:val="00BD3655"/>
    <w:rsid w:val="00BD4CFB"/>
    <w:rsid w:val="00BD590E"/>
    <w:rsid w:val="00BD7071"/>
    <w:rsid w:val="00BE7289"/>
    <w:rsid w:val="00BE7952"/>
    <w:rsid w:val="00BF622B"/>
    <w:rsid w:val="00C03454"/>
    <w:rsid w:val="00C06549"/>
    <w:rsid w:val="00C12B95"/>
    <w:rsid w:val="00C1674B"/>
    <w:rsid w:val="00C16862"/>
    <w:rsid w:val="00C56EA9"/>
    <w:rsid w:val="00CA360F"/>
    <w:rsid w:val="00CB23FB"/>
    <w:rsid w:val="00CB45AB"/>
    <w:rsid w:val="00CC4C71"/>
    <w:rsid w:val="00CE131D"/>
    <w:rsid w:val="00CE6EFF"/>
    <w:rsid w:val="00CF2728"/>
    <w:rsid w:val="00D012A6"/>
    <w:rsid w:val="00D02166"/>
    <w:rsid w:val="00D06D5F"/>
    <w:rsid w:val="00D20DC4"/>
    <w:rsid w:val="00D4008C"/>
    <w:rsid w:val="00D519D9"/>
    <w:rsid w:val="00D743BD"/>
    <w:rsid w:val="00D75DD2"/>
    <w:rsid w:val="00D90EF6"/>
    <w:rsid w:val="00DA0DAB"/>
    <w:rsid w:val="00DA64EB"/>
    <w:rsid w:val="00DB3E6A"/>
    <w:rsid w:val="00DD02DC"/>
    <w:rsid w:val="00DD0F6A"/>
    <w:rsid w:val="00DD35EF"/>
    <w:rsid w:val="00DF49B9"/>
    <w:rsid w:val="00E00860"/>
    <w:rsid w:val="00E05A0A"/>
    <w:rsid w:val="00E103D8"/>
    <w:rsid w:val="00E10FDE"/>
    <w:rsid w:val="00E12399"/>
    <w:rsid w:val="00E15449"/>
    <w:rsid w:val="00E2587E"/>
    <w:rsid w:val="00E26030"/>
    <w:rsid w:val="00E3371D"/>
    <w:rsid w:val="00E4010F"/>
    <w:rsid w:val="00E41D46"/>
    <w:rsid w:val="00E6098A"/>
    <w:rsid w:val="00E72E9A"/>
    <w:rsid w:val="00E73AC4"/>
    <w:rsid w:val="00E746F3"/>
    <w:rsid w:val="00E76830"/>
    <w:rsid w:val="00E86DB9"/>
    <w:rsid w:val="00E8777C"/>
    <w:rsid w:val="00E953EB"/>
    <w:rsid w:val="00EA12DE"/>
    <w:rsid w:val="00EB5B54"/>
    <w:rsid w:val="00EC329F"/>
    <w:rsid w:val="00EC7FB8"/>
    <w:rsid w:val="00ED2131"/>
    <w:rsid w:val="00ED7931"/>
    <w:rsid w:val="00EF29DE"/>
    <w:rsid w:val="00EF4AC9"/>
    <w:rsid w:val="00F01E40"/>
    <w:rsid w:val="00F04B81"/>
    <w:rsid w:val="00F47E8F"/>
    <w:rsid w:val="00F73374"/>
    <w:rsid w:val="00F8284E"/>
    <w:rsid w:val="00F90AA5"/>
    <w:rsid w:val="00F95605"/>
    <w:rsid w:val="00FA05FE"/>
    <w:rsid w:val="00FB515E"/>
    <w:rsid w:val="00FC04C5"/>
    <w:rsid w:val="00FC6E76"/>
    <w:rsid w:val="00FD1B70"/>
    <w:rsid w:val="00FD4B5D"/>
    <w:rsid w:val="00FD7600"/>
    <w:rsid w:val="00FE1CE0"/>
    <w:rsid w:val="00FE6DDB"/>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BulletedList">
    <w:name w:val="Bulleted List"/>
    <w:basedOn w:val="BodyTextFirstIndent"/>
    <w:qFormat/>
    <w:rsid w:val="00CC4C71"/>
    <w:pPr>
      <w:numPr>
        <w:numId w:val="16"/>
      </w:numPr>
      <w:ind w:left="720"/>
    </w:pPr>
  </w:style>
  <w:style w:type="paragraph" w:styleId="BodyText">
    <w:name w:val="Body Text"/>
    <w:basedOn w:val="Normal"/>
    <w:link w:val="BodyTextChar"/>
    <w:unhideWhenUsed/>
    <w:rsid w:val="00CC4C71"/>
    <w:pPr>
      <w:spacing w:after="120" w:line="276" w:lineRule="auto"/>
    </w:pPr>
    <w:rPr>
      <w:rFonts w:ascii="Calibri" w:eastAsia="Calibri" w:hAnsi="Calibri"/>
      <w:sz w:val="22"/>
      <w:szCs w:val="22"/>
    </w:rPr>
  </w:style>
  <w:style w:type="character" w:customStyle="1" w:styleId="BodyTextChar">
    <w:name w:val="Body Text Char"/>
    <w:link w:val="BodyText"/>
    <w:rsid w:val="00CC4C71"/>
    <w:rPr>
      <w:rFonts w:ascii="Calibri" w:eastAsia="Calibri" w:hAnsi="Calibri"/>
      <w:sz w:val="22"/>
      <w:szCs w:val="22"/>
    </w:rPr>
  </w:style>
  <w:style w:type="paragraph" w:styleId="BodyTextFirstIndent">
    <w:name w:val="Body Text First Indent"/>
    <w:basedOn w:val="Normal"/>
    <w:link w:val="BodyTextFirstIndentChar"/>
    <w:unhideWhenUsed/>
    <w:qFormat/>
    <w:rsid w:val="00CC4C71"/>
    <w:pPr>
      <w:ind w:firstLine="720"/>
    </w:pPr>
    <w:rPr>
      <w:rFonts w:eastAsia="Calibri"/>
    </w:rPr>
  </w:style>
  <w:style w:type="character" w:customStyle="1" w:styleId="BodyTextFirstIndentChar">
    <w:name w:val="Body Text First Indent Char"/>
    <w:link w:val="BodyTextFirstIndent"/>
    <w:rsid w:val="00CC4C71"/>
    <w:rPr>
      <w:rFonts w:ascii="Calibri" w:eastAsia="Calibri" w:hAnsi="Calibri"/>
      <w:sz w:val="24"/>
      <w:szCs w:val="24"/>
    </w:rPr>
  </w:style>
  <w:style w:type="table" w:customStyle="1" w:styleId="GridTable1Light-Accent11">
    <w:name w:val="Grid Table 1 Light - Accent 11"/>
    <w:basedOn w:val="TableNormal"/>
    <w:uiPriority w:val="46"/>
    <w:rsid w:val="00CC4C71"/>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Mention">
    <w:name w:val="Mention"/>
    <w:basedOn w:val="DefaultParagraphFont"/>
    <w:uiPriority w:val="99"/>
    <w:semiHidden/>
    <w:unhideWhenUsed/>
    <w:rsid w:val="005D4856"/>
    <w:rPr>
      <w:color w:val="2B579A"/>
      <w:shd w:val="clear" w:color="auto" w:fill="E6E6E6"/>
    </w:rPr>
  </w:style>
  <w:style w:type="character" w:styleId="FollowedHyperlink">
    <w:name w:val="FollowedHyperlink"/>
    <w:basedOn w:val="DefaultParagraphFont"/>
    <w:semiHidden/>
    <w:unhideWhenUsed/>
    <w:rsid w:val="005D48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BulletedList">
    <w:name w:val="Bulleted List"/>
    <w:basedOn w:val="BodyTextFirstIndent"/>
    <w:qFormat/>
    <w:rsid w:val="00CC4C71"/>
    <w:pPr>
      <w:numPr>
        <w:numId w:val="16"/>
      </w:numPr>
      <w:ind w:left="720"/>
    </w:pPr>
  </w:style>
  <w:style w:type="paragraph" w:styleId="BodyText">
    <w:name w:val="Body Text"/>
    <w:basedOn w:val="Normal"/>
    <w:link w:val="BodyTextChar"/>
    <w:unhideWhenUsed/>
    <w:rsid w:val="00CC4C71"/>
    <w:pPr>
      <w:spacing w:after="120" w:line="276" w:lineRule="auto"/>
    </w:pPr>
    <w:rPr>
      <w:rFonts w:ascii="Calibri" w:eastAsia="Calibri" w:hAnsi="Calibri"/>
      <w:sz w:val="22"/>
      <w:szCs w:val="22"/>
    </w:rPr>
  </w:style>
  <w:style w:type="character" w:customStyle="1" w:styleId="BodyTextChar">
    <w:name w:val="Body Text Char"/>
    <w:link w:val="BodyText"/>
    <w:rsid w:val="00CC4C71"/>
    <w:rPr>
      <w:rFonts w:ascii="Calibri" w:eastAsia="Calibri" w:hAnsi="Calibri"/>
      <w:sz w:val="22"/>
      <w:szCs w:val="22"/>
    </w:rPr>
  </w:style>
  <w:style w:type="paragraph" w:styleId="BodyTextFirstIndent">
    <w:name w:val="Body Text First Indent"/>
    <w:basedOn w:val="Normal"/>
    <w:link w:val="BodyTextFirstIndentChar"/>
    <w:unhideWhenUsed/>
    <w:qFormat/>
    <w:rsid w:val="00CC4C71"/>
    <w:pPr>
      <w:ind w:firstLine="720"/>
    </w:pPr>
    <w:rPr>
      <w:rFonts w:eastAsia="Calibri"/>
    </w:rPr>
  </w:style>
  <w:style w:type="character" w:customStyle="1" w:styleId="BodyTextFirstIndentChar">
    <w:name w:val="Body Text First Indent Char"/>
    <w:link w:val="BodyTextFirstIndent"/>
    <w:rsid w:val="00CC4C71"/>
    <w:rPr>
      <w:rFonts w:ascii="Calibri" w:eastAsia="Calibri" w:hAnsi="Calibri"/>
      <w:sz w:val="24"/>
      <w:szCs w:val="24"/>
    </w:rPr>
  </w:style>
  <w:style w:type="table" w:customStyle="1" w:styleId="GridTable1Light-Accent11">
    <w:name w:val="Grid Table 1 Light - Accent 11"/>
    <w:basedOn w:val="TableNormal"/>
    <w:uiPriority w:val="46"/>
    <w:rsid w:val="00CC4C71"/>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Mention">
    <w:name w:val="Mention"/>
    <w:basedOn w:val="DefaultParagraphFont"/>
    <w:uiPriority w:val="99"/>
    <w:semiHidden/>
    <w:unhideWhenUsed/>
    <w:rsid w:val="005D4856"/>
    <w:rPr>
      <w:color w:val="2B579A"/>
      <w:shd w:val="clear" w:color="auto" w:fill="E6E6E6"/>
    </w:rPr>
  </w:style>
  <w:style w:type="character" w:styleId="FollowedHyperlink">
    <w:name w:val="FollowedHyperlink"/>
    <w:basedOn w:val="DefaultParagraphFont"/>
    <w:semiHidden/>
    <w:unhideWhenUsed/>
    <w:rsid w:val="005D48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0719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7878740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nces.ed.gov/surveys/gemena/pdf/FINAL_ATES_cog_int_report_Dec_18_201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2.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3.xml><?xml version="1.0" encoding="utf-8"?>
<ds:datastoreItem xmlns:ds="http://schemas.openxmlformats.org/officeDocument/2006/customXml" ds:itemID="{9E462C6D-5C5F-4634-B548-1CF473FD95DC}">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C24743-4249-4A14-B700-009E4D43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40290</CharactersWithSpaces>
  <SharedDoc>false</SharedDoc>
  <HLinks>
    <vt:vector size="6" baseType="variant">
      <vt:variant>
        <vt:i4>3801096</vt:i4>
      </vt:variant>
      <vt:variant>
        <vt:i4>0</vt:i4>
      </vt:variant>
      <vt:variant>
        <vt:i4>0</vt:i4>
      </vt:variant>
      <vt:variant>
        <vt:i4>5</vt:i4>
      </vt:variant>
      <vt:variant>
        <vt:lpwstr>https://obamawhitehouse.archives.gov/sites/default/files/omb/inforeg/pmc_survey_guidance_2006.pdf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2009-01-26T16:35:00Z</cp:lastPrinted>
  <dcterms:created xsi:type="dcterms:W3CDTF">2017-09-01T13:03:00Z</dcterms:created>
  <dcterms:modified xsi:type="dcterms:W3CDTF">2017-09-01T13:03:00Z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