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CA8AC6" w14:textId="77777777" w:rsidR="00AA67C1" w:rsidRPr="00AA67C1" w:rsidRDefault="00AA67C1" w:rsidP="00AA67C1">
      <w:pPr>
        <w:ind w:left="-1080"/>
        <w:rPr>
          <w:rFonts w:ascii="Times New Roman" w:eastAsia="Times New Roman" w:hAnsi="Times New Roman" w:cs="Times New Roman"/>
        </w:rPr>
      </w:pPr>
      <w:r>
        <w:rPr>
          <w:rFonts w:ascii="Times New Roman" w:eastAsia="Times New Roman" w:hAnsi="Times New Roman" w:cs="Times New Roman"/>
          <w:noProof/>
        </w:rPr>
        <mc:AlternateContent>
          <mc:Choice Requires="wps">
            <w:drawing>
              <wp:anchor distT="0" distB="0" distL="114300" distR="114300" simplePos="0" relativeHeight="251653632" behindDoc="0" locked="0" layoutInCell="1" allowOverlap="1" wp14:anchorId="7B6D3D31" wp14:editId="28D17039">
                <wp:simplePos x="0" y="0"/>
                <wp:positionH relativeFrom="column">
                  <wp:posOffset>280035</wp:posOffset>
                </wp:positionH>
                <wp:positionV relativeFrom="paragraph">
                  <wp:posOffset>57150</wp:posOffset>
                </wp:positionV>
                <wp:extent cx="6172200" cy="800100"/>
                <wp:effectExtent l="0" t="0" r="0" b="0"/>
                <wp:wrapNone/>
                <wp:docPr id="6" name="Text Box 6" title="Department of Health and Human S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31FE7" w14:textId="77777777" w:rsidR="00634A44" w:rsidRDefault="00634A44" w:rsidP="00AA67C1">
                            <w:pPr>
                              <w:tabs>
                                <w:tab w:val="left" w:pos="6210"/>
                              </w:tabs>
                              <w:rPr>
                                <w:rFonts w:ascii="Helvetica" w:hAnsi="Helvetica"/>
                                <w:sz w:val="16"/>
                              </w:rPr>
                            </w:pPr>
                            <w:r>
                              <w:rPr>
                                <w:rFonts w:ascii="Palatino" w:hAnsi="Palatino"/>
                              </w:rPr>
                              <w:t>DEPARTMENT OF HEALTH &amp; HUMAN SERVICES</w:t>
                            </w:r>
                            <w:r>
                              <w:rPr>
                                <w:rFonts w:ascii="Palatino" w:hAnsi="Palatino"/>
                              </w:rPr>
                              <w:tab/>
                            </w:r>
                            <w:r w:rsidRPr="00221793">
                              <w:rPr>
                                <w:rFonts w:ascii="Palatino" w:hAnsi="Palatino"/>
                                <w:sz w:val="16"/>
                                <w:szCs w:val="16"/>
                              </w:rPr>
                              <w:t>C</w:t>
                            </w:r>
                            <w:r>
                              <w:rPr>
                                <w:rFonts w:ascii="Helvetica" w:hAnsi="Helvetica"/>
                                <w:sz w:val="16"/>
                              </w:rPr>
                              <w:t>enters for Medicare &amp; Medicaid Services</w:t>
                            </w:r>
                          </w:p>
                          <w:p w14:paraId="674BA028" w14:textId="77777777" w:rsidR="00634A44" w:rsidRDefault="00634A44" w:rsidP="00AA67C1">
                            <w:pPr>
                              <w:rPr>
                                <w:rFonts w:ascii="Helvetica" w:hAnsi="Helvetica"/>
                                <w:i/>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sidRPr="004A5E6F">
                              <w:rPr>
                                <w:rFonts w:ascii="Helvetica" w:hAnsi="Helvetica"/>
                                <w:i/>
                                <w:sz w:val="16"/>
                              </w:rPr>
                              <w:t xml:space="preserve">         </w:t>
                            </w:r>
                            <w:r>
                              <w:rPr>
                                <w:rFonts w:ascii="Helvetica" w:hAnsi="Helvetica"/>
                                <w:i/>
                                <w:sz w:val="16"/>
                              </w:rPr>
                              <w:t xml:space="preserve">       </w:t>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p>
                          <w:p w14:paraId="5B4C040F" w14:textId="77777777" w:rsidR="00634A44" w:rsidRDefault="00634A44" w:rsidP="00AA67C1">
                            <w:pPr>
                              <w:ind w:left="5760"/>
                              <w:rPr>
                                <w:rFonts w:ascii="Helvetica" w:hAnsi="Helvetica"/>
                                <w:sz w:val="16"/>
                              </w:rPr>
                            </w:pPr>
                            <w:r>
                              <w:rPr>
                                <w:rFonts w:ascii="Helvetica" w:hAnsi="Helvetica"/>
                                <w:sz w:val="16"/>
                              </w:rPr>
                              <w:t xml:space="preserve">          200 Independence Avenue SW</w:t>
                            </w:r>
                          </w:p>
                          <w:p w14:paraId="0E449203" w14:textId="77777777" w:rsidR="00634A44" w:rsidRPr="00221793" w:rsidRDefault="00634A44" w:rsidP="00AA67C1">
                            <w:pPr>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Washington, DC 20201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6D3D31" id="_x0000_t202" coordsize="21600,21600" o:spt="202" path="m,l,21600r21600,l21600,xe">
                <v:stroke joinstyle="miter"/>
                <v:path gradientshapeok="t" o:connecttype="rect"/>
              </v:shapetype>
              <v:shape id="Text Box 6" o:spid="_x0000_s1026" type="#_x0000_t202" alt="Title: Department of Health and Human Ser" style="position:absolute;left:0;text-align:left;margin-left:22.05pt;margin-top:4.5pt;width:486pt;height:63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" stroked="f">
                <v:textbox>
                  <w:txbxContent>
                    <w:p w14:paraId="1FE31FE7" w14:textId="77777777" w:rsidR="00634A44" w:rsidRDefault="00634A44" w:rsidP="00AA67C1">
                      <w:pPr>
                        <w:tabs>
                          <w:tab w:val="left" w:pos="6210"/>
                        </w:tabs>
                        <w:rPr>
                          <w:rFonts w:ascii="Helvetica" w:hAnsi="Helvetica"/>
                          <w:sz w:val="16"/>
                        </w:rPr>
                      </w:pPr>
                      <w:r>
                        <w:rPr>
                          <w:rFonts w:ascii="Palatino" w:hAnsi="Palatino"/>
                        </w:rPr>
                        <w:t>DEPARTMENT OF HEALTH &amp; HUMAN SERVICES</w:t>
                      </w:r>
                      <w:r>
                        <w:rPr>
                          <w:rFonts w:ascii="Palatino" w:hAnsi="Palatino"/>
                        </w:rPr>
                        <w:tab/>
                      </w:r>
                      <w:r w:rsidRPr="00221793">
                        <w:rPr>
                          <w:rFonts w:ascii="Palatino" w:hAnsi="Palatino"/>
                          <w:sz w:val="16"/>
                          <w:szCs w:val="16"/>
                        </w:rPr>
                        <w:t>C</w:t>
                      </w:r>
                      <w:r>
                        <w:rPr>
                          <w:rFonts w:ascii="Helvetica" w:hAnsi="Helvetica"/>
                          <w:sz w:val="16"/>
                        </w:rPr>
                        <w:t>enters for Medicare &amp; Medicaid Services</w:t>
                      </w:r>
                    </w:p>
                    <w:p w14:paraId="674BA028" w14:textId="77777777" w:rsidR="00634A44" w:rsidRDefault="00634A44" w:rsidP="00AA67C1">
                      <w:pPr>
                        <w:rPr>
                          <w:rFonts w:ascii="Helvetica" w:hAnsi="Helvetica"/>
                          <w:i/>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sidRPr="004A5E6F">
                        <w:rPr>
                          <w:rFonts w:ascii="Helvetica" w:hAnsi="Helvetica"/>
                          <w:i/>
                          <w:sz w:val="16"/>
                        </w:rPr>
                        <w:t xml:space="preserve">         </w:t>
                      </w:r>
                      <w:r>
                        <w:rPr>
                          <w:rFonts w:ascii="Helvetica" w:hAnsi="Helvetica"/>
                          <w:i/>
                          <w:sz w:val="16"/>
                        </w:rPr>
                        <w:t xml:space="preserve">       </w:t>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r>
                        <w:rPr>
                          <w:rFonts w:ascii="Helvetica" w:hAnsi="Helvetica"/>
                          <w:i/>
                          <w:sz w:val="16"/>
                        </w:rPr>
                        <w:tab/>
                      </w:r>
                    </w:p>
                    <w:p w14:paraId="5B4C040F" w14:textId="77777777" w:rsidR="00634A44" w:rsidRDefault="00634A44" w:rsidP="00AA67C1">
                      <w:pPr>
                        <w:ind w:left="5760"/>
                        <w:rPr>
                          <w:rFonts w:ascii="Helvetica" w:hAnsi="Helvetica"/>
                          <w:sz w:val="16"/>
                        </w:rPr>
                      </w:pPr>
                      <w:r>
                        <w:rPr>
                          <w:rFonts w:ascii="Helvetica" w:hAnsi="Helvetica"/>
                          <w:sz w:val="16"/>
                        </w:rPr>
                        <w:t xml:space="preserve">          200 Independence Avenue SW</w:t>
                      </w:r>
                    </w:p>
                    <w:p w14:paraId="0E449203" w14:textId="77777777" w:rsidR="00634A44" w:rsidRPr="00221793" w:rsidRDefault="00634A44" w:rsidP="00AA67C1">
                      <w:pPr>
                        <w:rPr>
                          <w:rFonts w:ascii="Helvetica" w:hAnsi="Helvetica"/>
                          <w:sz w:val="16"/>
                        </w:rPr>
                      </w:pP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r>
                      <w:r>
                        <w:rPr>
                          <w:rFonts w:ascii="Helvetica" w:hAnsi="Helvetica"/>
                          <w:sz w:val="16"/>
                        </w:rPr>
                        <w:tab/>
                        <w:t xml:space="preserve">          Washington, DC 20201</w:t>
                      </w:r>
                    </w:p>
                  </w:txbxContent>
                </v:textbox>
              </v:shape>
            </w:pict>
          </mc:Fallback>
        </mc:AlternateContent>
      </w:r>
      <w:r>
        <w:rPr>
          <w:rFonts w:ascii="Times New Roman" w:eastAsia="Times New Roman" w:hAnsi="Times New Roman" w:cs="Times New Roman"/>
          <w:noProof/>
        </w:rPr>
        <mc:AlternateContent>
          <mc:Choice Requires="wps">
            <w:drawing>
              <wp:anchor distT="4294967295" distB="4294967295" distL="114300" distR="114300" simplePos="0" relativeHeight="251654656" behindDoc="0" locked="0" layoutInCell="1" allowOverlap="1" wp14:anchorId="05CAF215" wp14:editId="55B5CC05">
                <wp:simplePos x="0" y="0"/>
                <wp:positionH relativeFrom="column">
                  <wp:posOffset>394335</wp:posOffset>
                </wp:positionH>
                <wp:positionV relativeFrom="paragraph">
                  <wp:posOffset>400049</wp:posOffset>
                </wp:positionV>
                <wp:extent cx="5829300" cy="0"/>
                <wp:effectExtent l="0" t="0" r="19050" b="19050"/>
                <wp:wrapNone/>
                <wp:docPr id="5" name="Straight Connector 5" descr="This line is just below the logo for the Department of Health and Human Services and the Centers for Medicare &amp; Medicaid Services," title="Straight Line Connect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1D566" id="Straight Connector 5" o:spid="_x0000_s1026" alt="Title: Straight Line Connecter - Description: This line is just below the logo for the Department of Health and Human Services and the Centers for Medicare &amp; Medicaid Services,"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05pt,31.5pt" to="490.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" strokeweight=".5pt"/>
            </w:pict>
          </mc:Fallback>
        </mc:AlternateContent>
      </w:r>
      <w:r>
        <w:rPr>
          <w:rFonts w:ascii="Times New Roman" w:eastAsia="Times New Roman" w:hAnsi="Times New Roman" w:cs="Times New Roman"/>
          <w:noProof/>
        </w:rPr>
        <w:drawing>
          <wp:inline distT="0" distB="0" distL="0" distR="0" wp14:anchorId="3A60C517" wp14:editId="2D75E510">
            <wp:extent cx="819150" cy="819150"/>
            <wp:effectExtent l="0" t="0" r="0" b="0"/>
            <wp:docPr id="4" name="Picture 4" descr="D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H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r w:rsidRPr="00AA67C1">
        <w:rPr>
          <w:rFonts w:ascii="Times New Roman" w:eastAsia="Times New Roman" w:hAnsi="Times New Roman" w:cs="Times New Roman"/>
          <w:noProof/>
        </w:rPr>
        <w:t xml:space="preserve">                                                                                                      </w:t>
      </w:r>
    </w:p>
    <w:p w14:paraId="0E3AB0EA" w14:textId="77777777" w:rsidR="00AA67C1" w:rsidRPr="00AA67C1" w:rsidRDefault="00AA67C1" w:rsidP="00AA67C1">
      <w:pPr>
        <w:spacing w:after="0"/>
        <w:rPr>
          <w:rFonts w:ascii="Times New Roman" w:eastAsia="Times New Roman" w:hAnsi="Times New Roman" w:cs="Times New Roman"/>
        </w:rPr>
      </w:pPr>
    </w:p>
    <w:p w14:paraId="7CA1B288" w14:textId="77777777" w:rsidR="00AA67C1" w:rsidRPr="00AA67C1" w:rsidRDefault="00AA67C1" w:rsidP="00AA67C1">
      <w:pPr>
        <w:spacing w:after="0"/>
        <w:rPr>
          <w:rFonts w:ascii="Times New Roman" w:eastAsia="Times New Roman" w:hAnsi="Times New Roman" w:cs="Times New Roman"/>
        </w:rPr>
      </w:pPr>
    </w:p>
    <w:p w14:paraId="624B0E14" w14:textId="77777777" w:rsidR="00AA67C1" w:rsidRPr="00AA67C1" w:rsidRDefault="00AA67C1" w:rsidP="00AA67C1">
      <w:pPr>
        <w:spacing w:after="0"/>
        <w:rPr>
          <w:rFonts w:ascii="Times New Roman" w:eastAsia="Times New Roman" w:hAnsi="Times New Roman" w:cs="Times New Roman"/>
        </w:rPr>
      </w:pPr>
    </w:p>
    <w:p w14:paraId="74680D13" w14:textId="77777777" w:rsidR="00AA67C1" w:rsidRDefault="00AA67C1" w:rsidP="00AA67C1">
      <w:pPr>
        <w:rPr>
          <w:rFonts w:asciiTheme="majorHAnsi" w:eastAsiaTheme="majorEastAsia" w:hAnsiTheme="majorHAnsi" w:cstheme="majorBidi"/>
          <w:noProof/>
        </w:rPr>
      </w:pPr>
    </w:p>
    <w:p w14:paraId="56CA7CC0" w14:textId="77777777" w:rsidR="00265248" w:rsidRDefault="00265248" w:rsidP="008E5B0B">
      <w:pPr>
        <w:pStyle w:val="Heading1"/>
        <w:numPr>
          <w:ilvl w:val="0"/>
          <w:numId w:val="0"/>
        </w:numPr>
      </w:pPr>
    </w:p>
    <w:p w14:paraId="3120AC7D" w14:textId="5D4EBDE1" w:rsidR="009F1E81" w:rsidRDefault="009F1E81" w:rsidP="00EA48E8">
      <w:pPr>
        <w:pStyle w:val="Title"/>
      </w:pPr>
      <w:r>
        <w:t>201</w:t>
      </w:r>
      <w:r w:rsidR="00031B24">
        <w:t>7</w:t>
      </w:r>
      <w:r>
        <w:t xml:space="preserve"> </w:t>
      </w:r>
      <w:r w:rsidR="009C0017">
        <w:t>Unified Rate Review Instructions</w:t>
      </w:r>
    </w:p>
    <w:p w14:paraId="4D860FFA" w14:textId="77777777" w:rsidR="00265248" w:rsidRPr="008E5B0B" w:rsidRDefault="00FB047F" w:rsidP="00EA48E8">
      <w:pPr>
        <w:pStyle w:val="Title"/>
        <w:rPr>
          <w:sz w:val="40"/>
          <w:szCs w:val="40"/>
        </w:rPr>
      </w:pPr>
      <w:r w:rsidRPr="008E5B0B">
        <w:rPr>
          <w:rStyle w:val="SubtitleChar"/>
          <w:sz w:val="40"/>
          <w:szCs w:val="40"/>
        </w:rPr>
        <w:t>Rate Filing Justification</w:t>
      </w:r>
      <w:r w:rsidR="00B21D62" w:rsidRPr="008E5B0B">
        <w:rPr>
          <w:rStyle w:val="SubtitleChar"/>
          <w:sz w:val="40"/>
          <w:szCs w:val="40"/>
        </w:rPr>
        <w:t>:</w:t>
      </w:r>
      <w:r w:rsidRPr="008E5B0B">
        <w:rPr>
          <w:rStyle w:val="SubtitleChar"/>
          <w:sz w:val="40"/>
          <w:szCs w:val="40"/>
        </w:rPr>
        <w:t xml:space="preserve"> Parts I, II, and III</w:t>
      </w:r>
    </w:p>
    <w:p w14:paraId="2B1FB81F" w14:textId="00348169" w:rsidR="00265248" w:rsidRPr="008E5B0B" w:rsidRDefault="00E41124" w:rsidP="008E5B0B">
      <w:pPr>
        <w:pStyle w:val="NoSpacing"/>
        <w:rPr>
          <w:rStyle w:val="SubtleEmphasis"/>
        </w:rPr>
      </w:pPr>
      <w:r w:rsidRPr="008E5B0B">
        <w:rPr>
          <w:rStyle w:val="SubtleEmphasis"/>
        </w:rPr>
        <w:t>As of</w:t>
      </w:r>
      <w:r w:rsidR="00C251E9">
        <w:rPr>
          <w:rStyle w:val="SubtleEmphasis"/>
        </w:rPr>
        <w:t xml:space="preserve"> August 10</w:t>
      </w:r>
      <w:bookmarkStart w:id="0" w:name="_GoBack"/>
      <w:bookmarkEnd w:id="0"/>
      <w:r w:rsidR="00067AE2" w:rsidRPr="00892E4F">
        <w:rPr>
          <w:rStyle w:val="SubtleEmphasis"/>
        </w:rPr>
        <w:t>, 201</w:t>
      </w:r>
      <w:r w:rsidR="00AD0467" w:rsidRPr="00892E4F">
        <w:rPr>
          <w:rStyle w:val="SubtleEmphasis"/>
        </w:rPr>
        <w:t>6</w:t>
      </w:r>
    </w:p>
    <w:p w14:paraId="7AE74FFB" w14:textId="77777777" w:rsidR="00265248" w:rsidRPr="00265248" w:rsidRDefault="00265248" w:rsidP="008E5B0B">
      <w:pPr>
        <w:pStyle w:val="NoSpacing"/>
      </w:pPr>
    </w:p>
    <w:p w14:paraId="16F43E68" w14:textId="77777777" w:rsidR="00972FE7" w:rsidRPr="008E5B0B" w:rsidRDefault="00972FE7" w:rsidP="008E5B0B">
      <w:pPr>
        <w:pStyle w:val="NoSpacing"/>
        <w:rPr>
          <w:rFonts w:ascii="Times New Roman" w:eastAsiaTheme="majorEastAsia" w:hAnsi="Times New Roman" w:cs="Times New Roman"/>
          <w:b/>
          <w:noProof/>
          <w:sz w:val="24"/>
          <w:szCs w:val="24"/>
        </w:rPr>
      </w:pPr>
    </w:p>
    <w:p w14:paraId="330AD6C0" w14:textId="77777777" w:rsidR="0029161D" w:rsidRPr="008E5B0B" w:rsidRDefault="0029161D" w:rsidP="008E5B0B">
      <w:pPr>
        <w:pStyle w:val="NoSpacing"/>
        <w:rPr>
          <w:rFonts w:ascii="Times New Roman" w:eastAsiaTheme="majorEastAsia" w:hAnsi="Times New Roman" w:cs="Times New Roman"/>
          <w:b/>
          <w:noProof/>
          <w:sz w:val="24"/>
          <w:szCs w:val="24"/>
        </w:rPr>
      </w:pPr>
      <w:r w:rsidRPr="008E5B0B">
        <w:rPr>
          <w:rFonts w:ascii="Times New Roman" w:eastAsiaTheme="majorEastAsia" w:hAnsi="Times New Roman" w:cs="Times New Roman"/>
          <w:b/>
          <w:noProof/>
          <w:sz w:val="24"/>
          <w:szCs w:val="24"/>
        </w:rPr>
        <w:br w:type="page"/>
      </w:r>
    </w:p>
    <w:p w14:paraId="41DD5BB7" w14:textId="77777777" w:rsidR="008C6DBE" w:rsidRPr="008E5B0B" w:rsidRDefault="008C6DBE" w:rsidP="008E5B0B">
      <w:pPr>
        <w:pStyle w:val="NoSpacing"/>
        <w:rPr>
          <w:rFonts w:ascii="Times New Roman" w:eastAsiaTheme="majorEastAsia" w:hAnsi="Times New Roman" w:cs="Times New Roman"/>
          <w:noProof/>
          <w:sz w:val="24"/>
          <w:szCs w:val="24"/>
        </w:rPr>
      </w:pPr>
    </w:p>
    <w:sdt>
      <w:sdtPr>
        <w:rPr>
          <w:rFonts w:asciiTheme="minorHAnsi" w:eastAsiaTheme="minorEastAsia" w:hAnsiTheme="minorHAnsi" w:cstheme="minorBidi"/>
          <w:b w:val="0"/>
          <w:bCs w:val="0"/>
          <w:color w:val="auto"/>
          <w:sz w:val="22"/>
          <w:szCs w:val="22"/>
        </w:rPr>
        <w:id w:val="573639060"/>
        <w:docPartObj>
          <w:docPartGallery w:val="Table of Contents"/>
          <w:docPartUnique/>
        </w:docPartObj>
      </w:sdtPr>
      <w:sdtEndPr>
        <w:rPr>
          <w:noProof/>
        </w:rPr>
      </w:sdtEndPr>
      <w:sdtContent>
        <w:p w14:paraId="64145EC2" w14:textId="77777777" w:rsidR="008C6DBE" w:rsidRDefault="008C6DBE" w:rsidP="008E5B0B">
          <w:pPr>
            <w:pStyle w:val="TOCHeading"/>
            <w:numPr>
              <w:ilvl w:val="0"/>
              <w:numId w:val="0"/>
            </w:numPr>
          </w:pPr>
          <w:r>
            <w:t>Contents</w:t>
          </w:r>
        </w:p>
        <w:p w14:paraId="5862D478" w14:textId="77777777" w:rsidR="004A6E0F" w:rsidRDefault="008C6DBE">
          <w:pPr>
            <w:pStyle w:val="TOC1"/>
            <w:tabs>
              <w:tab w:val="left" w:pos="440"/>
              <w:tab w:val="right" w:leader="dot" w:pos="9350"/>
            </w:tabs>
            <w:rPr>
              <w:rFonts w:cstheme="minorBidi"/>
              <w:b w:val="0"/>
              <w:bCs w:val="0"/>
              <w:caps w:val="0"/>
              <w:noProof/>
              <w:sz w:val="22"/>
              <w:szCs w:val="22"/>
            </w:rPr>
          </w:pPr>
          <w:r>
            <w:fldChar w:fldCharType="begin"/>
          </w:r>
          <w:r>
            <w:instrText xml:space="preserve"> TOC \o "1-3" \h \z \u </w:instrText>
          </w:r>
          <w:r>
            <w:fldChar w:fldCharType="separate"/>
          </w:r>
          <w:hyperlink w:anchor="_Toc441756492" w:history="1">
            <w:r w:rsidR="004A6E0F" w:rsidRPr="00497499">
              <w:rPr>
                <w:rStyle w:val="Hyperlink"/>
                <w:noProof/>
              </w:rPr>
              <w:t>1</w:t>
            </w:r>
            <w:r w:rsidR="004A6E0F">
              <w:rPr>
                <w:rFonts w:cstheme="minorBidi"/>
                <w:b w:val="0"/>
                <w:bCs w:val="0"/>
                <w:caps w:val="0"/>
                <w:noProof/>
                <w:sz w:val="22"/>
                <w:szCs w:val="22"/>
              </w:rPr>
              <w:tab/>
            </w:r>
            <w:r w:rsidR="004A6E0F" w:rsidRPr="00497499">
              <w:rPr>
                <w:rStyle w:val="Hyperlink"/>
                <w:noProof/>
              </w:rPr>
              <w:t>Overview</w:t>
            </w:r>
            <w:r w:rsidR="004A6E0F">
              <w:rPr>
                <w:noProof/>
                <w:webHidden/>
              </w:rPr>
              <w:tab/>
            </w:r>
            <w:r w:rsidR="004A6E0F">
              <w:rPr>
                <w:noProof/>
                <w:webHidden/>
              </w:rPr>
              <w:fldChar w:fldCharType="begin"/>
            </w:r>
            <w:r w:rsidR="004A6E0F">
              <w:rPr>
                <w:noProof/>
                <w:webHidden/>
              </w:rPr>
              <w:instrText xml:space="preserve"> PAGEREF _Toc441756492 \h </w:instrText>
            </w:r>
            <w:r w:rsidR="004A6E0F">
              <w:rPr>
                <w:noProof/>
                <w:webHidden/>
              </w:rPr>
            </w:r>
            <w:r w:rsidR="004A6E0F">
              <w:rPr>
                <w:noProof/>
                <w:webHidden/>
              </w:rPr>
              <w:fldChar w:fldCharType="separate"/>
            </w:r>
            <w:r w:rsidR="004A6E0F">
              <w:rPr>
                <w:noProof/>
                <w:webHidden/>
              </w:rPr>
              <w:t>4</w:t>
            </w:r>
            <w:r w:rsidR="004A6E0F">
              <w:rPr>
                <w:noProof/>
                <w:webHidden/>
              </w:rPr>
              <w:fldChar w:fldCharType="end"/>
            </w:r>
          </w:hyperlink>
        </w:p>
        <w:p w14:paraId="627DE592" w14:textId="77777777" w:rsidR="004A6E0F" w:rsidRDefault="00C251E9">
          <w:pPr>
            <w:pStyle w:val="TOC2"/>
            <w:tabs>
              <w:tab w:val="left" w:pos="880"/>
              <w:tab w:val="right" w:leader="dot" w:pos="9350"/>
            </w:tabs>
            <w:rPr>
              <w:rFonts w:cstheme="minorBidi"/>
              <w:smallCaps w:val="0"/>
              <w:noProof/>
              <w:sz w:val="22"/>
              <w:szCs w:val="22"/>
            </w:rPr>
          </w:pPr>
          <w:hyperlink w:anchor="_Toc441756493" w:history="1">
            <w:r w:rsidR="004A6E0F" w:rsidRPr="00497499">
              <w:rPr>
                <w:rStyle w:val="Hyperlink"/>
                <w:noProof/>
              </w:rPr>
              <w:t>1.1</w:t>
            </w:r>
            <w:r w:rsidR="004A6E0F">
              <w:rPr>
                <w:rFonts w:cstheme="minorBidi"/>
                <w:smallCaps w:val="0"/>
                <w:noProof/>
                <w:sz w:val="22"/>
                <w:szCs w:val="22"/>
              </w:rPr>
              <w:tab/>
            </w:r>
            <w:r w:rsidR="004A6E0F" w:rsidRPr="00497499">
              <w:rPr>
                <w:rStyle w:val="Hyperlink"/>
                <w:noProof/>
              </w:rPr>
              <w:t>Purpose</w:t>
            </w:r>
            <w:r w:rsidR="004A6E0F">
              <w:rPr>
                <w:noProof/>
                <w:webHidden/>
              </w:rPr>
              <w:tab/>
            </w:r>
            <w:r w:rsidR="004A6E0F">
              <w:rPr>
                <w:noProof/>
                <w:webHidden/>
              </w:rPr>
              <w:fldChar w:fldCharType="begin"/>
            </w:r>
            <w:r w:rsidR="004A6E0F">
              <w:rPr>
                <w:noProof/>
                <w:webHidden/>
              </w:rPr>
              <w:instrText xml:space="preserve"> PAGEREF _Toc441756493 \h </w:instrText>
            </w:r>
            <w:r w:rsidR="004A6E0F">
              <w:rPr>
                <w:noProof/>
                <w:webHidden/>
              </w:rPr>
            </w:r>
            <w:r w:rsidR="004A6E0F">
              <w:rPr>
                <w:noProof/>
                <w:webHidden/>
              </w:rPr>
              <w:fldChar w:fldCharType="separate"/>
            </w:r>
            <w:r w:rsidR="004A6E0F">
              <w:rPr>
                <w:noProof/>
                <w:webHidden/>
              </w:rPr>
              <w:t>4</w:t>
            </w:r>
            <w:r w:rsidR="004A6E0F">
              <w:rPr>
                <w:noProof/>
                <w:webHidden/>
              </w:rPr>
              <w:fldChar w:fldCharType="end"/>
            </w:r>
          </w:hyperlink>
        </w:p>
        <w:p w14:paraId="12DCF40C" w14:textId="77777777" w:rsidR="004A6E0F" w:rsidRDefault="00C251E9">
          <w:pPr>
            <w:pStyle w:val="TOC2"/>
            <w:tabs>
              <w:tab w:val="left" w:pos="880"/>
              <w:tab w:val="right" w:leader="dot" w:pos="9350"/>
            </w:tabs>
            <w:rPr>
              <w:rFonts w:cstheme="minorBidi"/>
              <w:smallCaps w:val="0"/>
              <w:noProof/>
              <w:sz w:val="22"/>
              <w:szCs w:val="22"/>
            </w:rPr>
          </w:pPr>
          <w:hyperlink w:anchor="_Toc441756494" w:history="1">
            <w:r w:rsidR="004A6E0F" w:rsidRPr="00497499">
              <w:rPr>
                <w:rStyle w:val="Hyperlink"/>
                <w:noProof/>
              </w:rPr>
              <w:t>1.2</w:t>
            </w:r>
            <w:r w:rsidR="004A6E0F">
              <w:rPr>
                <w:rFonts w:cstheme="minorBidi"/>
                <w:smallCaps w:val="0"/>
                <w:noProof/>
                <w:sz w:val="22"/>
                <w:szCs w:val="22"/>
              </w:rPr>
              <w:tab/>
            </w:r>
            <w:r w:rsidR="004A6E0F" w:rsidRPr="00497499">
              <w:rPr>
                <w:rStyle w:val="Hyperlink"/>
                <w:noProof/>
              </w:rPr>
              <w:t>Changes to the Instructions</w:t>
            </w:r>
            <w:r w:rsidR="004A6E0F">
              <w:rPr>
                <w:noProof/>
                <w:webHidden/>
              </w:rPr>
              <w:tab/>
            </w:r>
            <w:r w:rsidR="004A6E0F">
              <w:rPr>
                <w:noProof/>
                <w:webHidden/>
              </w:rPr>
              <w:fldChar w:fldCharType="begin"/>
            </w:r>
            <w:r w:rsidR="004A6E0F">
              <w:rPr>
                <w:noProof/>
                <w:webHidden/>
              </w:rPr>
              <w:instrText xml:space="preserve"> PAGEREF _Toc441756494 \h </w:instrText>
            </w:r>
            <w:r w:rsidR="004A6E0F">
              <w:rPr>
                <w:noProof/>
                <w:webHidden/>
              </w:rPr>
            </w:r>
            <w:r w:rsidR="004A6E0F">
              <w:rPr>
                <w:noProof/>
                <w:webHidden/>
              </w:rPr>
              <w:fldChar w:fldCharType="separate"/>
            </w:r>
            <w:r w:rsidR="004A6E0F">
              <w:rPr>
                <w:noProof/>
                <w:webHidden/>
              </w:rPr>
              <w:t>5</w:t>
            </w:r>
            <w:r w:rsidR="004A6E0F">
              <w:rPr>
                <w:noProof/>
                <w:webHidden/>
              </w:rPr>
              <w:fldChar w:fldCharType="end"/>
            </w:r>
          </w:hyperlink>
        </w:p>
        <w:p w14:paraId="418B3A50" w14:textId="77777777" w:rsidR="004A6E0F" w:rsidRDefault="00C251E9">
          <w:pPr>
            <w:pStyle w:val="TOC2"/>
            <w:tabs>
              <w:tab w:val="left" w:pos="880"/>
              <w:tab w:val="right" w:leader="dot" w:pos="9350"/>
            </w:tabs>
            <w:rPr>
              <w:rFonts w:cstheme="minorBidi"/>
              <w:smallCaps w:val="0"/>
              <w:noProof/>
              <w:sz w:val="22"/>
              <w:szCs w:val="22"/>
            </w:rPr>
          </w:pPr>
          <w:hyperlink w:anchor="_Toc441756495" w:history="1">
            <w:r w:rsidR="004A6E0F" w:rsidRPr="00497499">
              <w:rPr>
                <w:rStyle w:val="Hyperlink"/>
                <w:noProof/>
              </w:rPr>
              <w:t>1.3</w:t>
            </w:r>
            <w:r w:rsidR="004A6E0F">
              <w:rPr>
                <w:rFonts w:cstheme="minorBidi"/>
                <w:smallCaps w:val="0"/>
                <w:noProof/>
                <w:sz w:val="22"/>
                <w:szCs w:val="22"/>
              </w:rPr>
              <w:tab/>
            </w:r>
            <w:r w:rsidR="004A6E0F" w:rsidRPr="00497499">
              <w:rPr>
                <w:rStyle w:val="Hyperlink"/>
                <w:noProof/>
              </w:rPr>
              <w:t>Public Disclosure</w:t>
            </w:r>
            <w:r w:rsidR="004A6E0F">
              <w:rPr>
                <w:noProof/>
                <w:webHidden/>
              </w:rPr>
              <w:tab/>
            </w:r>
            <w:r w:rsidR="004A6E0F">
              <w:rPr>
                <w:noProof/>
                <w:webHidden/>
              </w:rPr>
              <w:fldChar w:fldCharType="begin"/>
            </w:r>
            <w:r w:rsidR="004A6E0F">
              <w:rPr>
                <w:noProof/>
                <w:webHidden/>
              </w:rPr>
              <w:instrText xml:space="preserve"> PAGEREF _Toc441756495 \h </w:instrText>
            </w:r>
            <w:r w:rsidR="004A6E0F">
              <w:rPr>
                <w:noProof/>
                <w:webHidden/>
              </w:rPr>
            </w:r>
            <w:r w:rsidR="004A6E0F">
              <w:rPr>
                <w:noProof/>
                <w:webHidden/>
              </w:rPr>
              <w:fldChar w:fldCharType="separate"/>
            </w:r>
            <w:r w:rsidR="004A6E0F">
              <w:rPr>
                <w:noProof/>
                <w:webHidden/>
              </w:rPr>
              <w:t>5</w:t>
            </w:r>
            <w:r w:rsidR="004A6E0F">
              <w:rPr>
                <w:noProof/>
                <w:webHidden/>
              </w:rPr>
              <w:fldChar w:fldCharType="end"/>
            </w:r>
          </w:hyperlink>
        </w:p>
        <w:p w14:paraId="1548F39F" w14:textId="77777777" w:rsidR="004A6E0F" w:rsidRDefault="00C251E9">
          <w:pPr>
            <w:pStyle w:val="TOC2"/>
            <w:tabs>
              <w:tab w:val="left" w:pos="880"/>
              <w:tab w:val="right" w:leader="dot" w:pos="9350"/>
            </w:tabs>
            <w:rPr>
              <w:rFonts w:cstheme="minorBidi"/>
              <w:smallCaps w:val="0"/>
              <w:noProof/>
              <w:sz w:val="22"/>
              <w:szCs w:val="22"/>
            </w:rPr>
          </w:pPr>
          <w:hyperlink w:anchor="_Toc441756496" w:history="1">
            <w:r w:rsidR="004A6E0F" w:rsidRPr="00497499">
              <w:rPr>
                <w:rStyle w:val="Hyperlink"/>
                <w:noProof/>
              </w:rPr>
              <w:t>1.4</w:t>
            </w:r>
            <w:r w:rsidR="004A6E0F">
              <w:rPr>
                <w:rFonts w:cstheme="minorBidi"/>
                <w:smallCaps w:val="0"/>
                <w:noProof/>
                <w:sz w:val="22"/>
                <w:szCs w:val="22"/>
              </w:rPr>
              <w:tab/>
            </w:r>
            <w:r w:rsidR="004A6E0F" w:rsidRPr="00497499">
              <w:rPr>
                <w:rStyle w:val="Hyperlink"/>
                <w:noProof/>
              </w:rPr>
              <w:t>General Instructions</w:t>
            </w:r>
            <w:r w:rsidR="004A6E0F">
              <w:rPr>
                <w:noProof/>
                <w:webHidden/>
              </w:rPr>
              <w:tab/>
            </w:r>
            <w:r w:rsidR="004A6E0F">
              <w:rPr>
                <w:noProof/>
                <w:webHidden/>
              </w:rPr>
              <w:fldChar w:fldCharType="begin"/>
            </w:r>
            <w:r w:rsidR="004A6E0F">
              <w:rPr>
                <w:noProof/>
                <w:webHidden/>
              </w:rPr>
              <w:instrText xml:space="preserve"> PAGEREF _Toc441756496 \h </w:instrText>
            </w:r>
            <w:r w:rsidR="004A6E0F">
              <w:rPr>
                <w:noProof/>
                <w:webHidden/>
              </w:rPr>
            </w:r>
            <w:r w:rsidR="004A6E0F">
              <w:rPr>
                <w:noProof/>
                <w:webHidden/>
              </w:rPr>
              <w:fldChar w:fldCharType="separate"/>
            </w:r>
            <w:r w:rsidR="004A6E0F">
              <w:rPr>
                <w:noProof/>
                <w:webHidden/>
              </w:rPr>
              <w:t>5</w:t>
            </w:r>
            <w:r w:rsidR="004A6E0F">
              <w:rPr>
                <w:noProof/>
                <w:webHidden/>
              </w:rPr>
              <w:fldChar w:fldCharType="end"/>
            </w:r>
          </w:hyperlink>
        </w:p>
        <w:p w14:paraId="2AB6C519" w14:textId="77777777" w:rsidR="004A6E0F" w:rsidRDefault="00C251E9">
          <w:pPr>
            <w:pStyle w:val="TOC2"/>
            <w:tabs>
              <w:tab w:val="left" w:pos="880"/>
              <w:tab w:val="right" w:leader="dot" w:pos="9350"/>
            </w:tabs>
            <w:rPr>
              <w:rFonts w:cstheme="minorBidi"/>
              <w:smallCaps w:val="0"/>
              <w:noProof/>
              <w:sz w:val="22"/>
              <w:szCs w:val="22"/>
            </w:rPr>
          </w:pPr>
          <w:hyperlink w:anchor="_Toc441756497" w:history="1">
            <w:r w:rsidR="004A6E0F" w:rsidRPr="00497499">
              <w:rPr>
                <w:rStyle w:val="Hyperlink"/>
                <w:noProof/>
              </w:rPr>
              <w:t>1.5</w:t>
            </w:r>
            <w:r w:rsidR="004A6E0F">
              <w:rPr>
                <w:rFonts w:cstheme="minorBidi"/>
                <w:smallCaps w:val="0"/>
                <w:noProof/>
                <w:sz w:val="22"/>
                <w:szCs w:val="22"/>
              </w:rPr>
              <w:tab/>
            </w:r>
            <w:r w:rsidR="004A6E0F" w:rsidRPr="00497499">
              <w:rPr>
                <w:rStyle w:val="Hyperlink"/>
                <w:noProof/>
              </w:rPr>
              <w:t>Market Reform Rating Rules</w:t>
            </w:r>
            <w:r w:rsidR="004A6E0F">
              <w:rPr>
                <w:noProof/>
                <w:webHidden/>
              </w:rPr>
              <w:tab/>
            </w:r>
            <w:r w:rsidR="004A6E0F">
              <w:rPr>
                <w:noProof/>
                <w:webHidden/>
              </w:rPr>
              <w:fldChar w:fldCharType="begin"/>
            </w:r>
            <w:r w:rsidR="004A6E0F">
              <w:rPr>
                <w:noProof/>
                <w:webHidden/>
              </w:rPr>
              <w:instrText xml:space="preserve"> PAGEREF _Toc441756497 \h </w:instrText>
            </w:r>
            <w:r w:rsidR="004A6E0F">
              <w:rPr>
                <w:noProof/>
                <w:webHidden/>
              </w:rPr>
            </w:r>
            <w:r w:rsidR="004A6E0F">
              <w:rPr>
                <w:noProof/>
                <w:webHidden/>
              </w:rPr>
              <w:fldChar w:fldCharType="separate"/>
            </w:r>
            <w:r w:rsidR="004A6E0F">
              <w:rPr>
                <w:noProof/>
                <w:webHidden/>
              </w:rPr>
              <w:t>7</w:t>
            </w:r>
            <w:r w:rsidR="004A6E0F">
              <w:rPr>
                <w:noProof/>
                <w:webHidden/>
              </w:rPr>
              <w:fldChar w:fldCharType="end"/>
            </w:r>
          </w:hyperlink>
        </w:p>
        <w:p w14:paraId="40B41B9C" w14:textId="77777777" w:rsidR="004A6E0F" w:rsidRDefault="00C251E9">
          <w:pPr>
            <w:pStyle w:val="TOC1"/>
            <w:tabs>
              <w:tab w:val="left" w:pos="440"/>
              <w:tab w:val="right" w:leader="dot" w:pos="9350"/>
            </w:tabs>
            <w:rPr>
              <w:rFonts w:cstheme="minorBidi"/>
              <w:b w:val="0"/>
              <w:bCs w:val="0"/>
              <w:caps w:val="0"/>
              <w:noProof/>
              <w:sz w:val="22"/>
              <w:szCs w:val="22"/>
            </w:rPr>
          </w:pPr>
          <w:hyperlink w:anchor="_Toc441756498" w:history="1">
            <w:r w:rsidR="004A6E0F" w:rsidRPr="00497499">
              <w:rPr>
                <w:rStyle w:val="Hyperlink"/>
                <w:noProof/>
              </w:rPr>
              <w:t>2</w:t>
            </w:r>
            <w:r w:rsidR="004A6E0F">
              <w:rPr>
                <w:rFonts w:cstheme="minorBidi"/>
                <w:b w:val="0"/>
                <w:bCs w:val="0"/>
                <w:caps w:val="0"/>
                <w:noProof/>
                <w:sz w:val="22"/>
                <w:szCs w:val="22"/>
              </w:rPr>
              <w:tab/>
            </w:r>
            <w:r w:rsidR="004A6E0F" w:rsidRPr="00497499">
              <w:rPr>
                <w:rStyle w:val="Hyperlink"/>
                <w:noProof/>
              </w:rPr>
              <w:t>Part 1: Unified Rate Review Template</w:t>
            </w:r>
            <w:r w:rsidR="004A6E0F">
              <w:rPr>
                <w:noProof/>
                <w:webHidden/>
              </w:rPr>
              <w:tab/>
            </w:r>
            <w:r w:rsidR="004A6E0F">
              <w:rPr>
                <w:noProof/>
                <w:webHidden/>
              </w:rPr>
              <w:fldChar w:fldCharType="begin"/>
            </w:r>
            <w:r w:rsidR="004A6E0F">
              <w:rPr>
                <w:noProof/>
                <w:webHidden/>
              </w:rPr>
              <w:instrText xml:space="preserve"> PAGEREF _Toc441756498 \h </w:instrText>
            </w:r>
            <w:r w:rsidR="004A6E0F">
              <w:rPr>
                <w:noProof/>
                <w:webHidden/>
              </w:rPr>
            </w:r>
            <w:r w:rsidR="004A6E0F">
              <w:rPr>
                <w:noProof/>
                <w:webHidden/>
              </w:rPr>
              <w:fldChar w:fldCharType="separate"/>
            </w:r>
            <w:r w:rsidR="004A6E0F">
              <w:rPr>
                <w:noProof/>
                <w:webHidden/>
              </w:rPr>
              <w:t>11</w:t>
            </w:r>
            <w:r w:rsidR="004A6E0F">
              <w:rPr>
                <w:noProof/>
                <w:webHidden/>
              </w:rPr>
              <w:fldChar w:fldCharType="end"/>
            </w:r>
          </w:hyperlink>
        </w:p>
        <w:p w14:paraId="58940D1B" w14:textId="77777777" w:rsidR="004A6E0F" w:rsidRDefault="00C251E9">
          <w:pPr>
            <w:pStyle w:val="TOC2"/>
            <w:tabs>
              <w:tab w:val="left" w:pos="880"/>
              <w:tab w:val="right" w:leader="dot" w:pos="9350"/>
            </w:tabs>
            <w:rPr>
              <w:rFonts w:cstheme="minorBidi"/>
              <w:smallCaps w:val="0"/>
              <w:noProof/>
              <w:sz w:val="22"/>
              <w:szCs w:val="22"/>
            </w:rPr>
          </w:pPr>
          <w:hyperlink w:anchor="_Toc441756499" w:history="1">
            <w:r w:rsidR="004A6E0F" w:rsidRPr="00497499">
              <w:rPr>
                <w:rStyle w:val="Hyperlink"/>
                <w:noProof/>
              </w:rPr>
              <w:t>2.1</w:t>
            </w:r>
            <w:r w:rsidR="004A6E0F">
              <w:rPr>
                <w:rFonts w:cstheme="minorBidi"/>
                <w:smallCaps w:val="0"/>
                <w:noProof/>
                <w:sz w:val="22"/>
                <w:szCs w:val="22"/>
              </w:rPr>
              <w:tab/>
            </w:r>
            <w:r w:rsidR="004A6E0F" w:rsidRPr="00497499">
              <w:rPr>
                <w:rStyle w:val="Hyperlink"/>
                <w:noProof/>
              </w:rPr>
              <w:t>Worksheet 1 – Market Experience</w:t>
            </w:r>
            <w:r w:rsidR="004A6E0F">
              <w:rPr>
                <w:noProof/>
                <w:webHidden/>
              </w:rPr>
              <w:tab/>
            </w:r>
            <w:r w:rsidR="004A6E0F">
              <w:rPr>
                <w:noProof/>
                <w:webHidden/>
              </w:rPr>
              <w:fldChar w:fldCharType="begin"/>
            </w:r>
            <w:r w:rsidR="004A6E0F">
              <w:rPr>
                <w:noProof/>
                <w:webHidden/>
              </w:rPr>
              <w:instrText xml:space="preserve"> PAGEREF _Toc441756499 \h </w:instrText>
            </w:r>
            <w:r w:rsidR="004A6E0F">
              <w:rPr>
                <w:noProof/>
                <w:webHidden/>
              </w:rPr>
            </w:r>
            <w:r w:rsidR="004A6E0F">
              <w:rPr>
                <w:noProof/>
                <w:webHidden/>
              </w:rPr>
              <w:fldChar w:fldCharType="separate"/>
            </w:r>
            <w:r w:rsidR="004A6E0F">
              <w:rPr>
                <w:noProof/>
                <w:webHidden/>
              </w:rPr>
              <w:t>11</w:t>
            </w:r>
            <w:r w:rsidR="004A6E0F">
              <w:rPr>
                <w:noProof/>
                <w:webHidden/>
              </w:rPr>
              <w:fldChar w:fldCharType="end"/>
            </w:r>
          </w:hyperlink>
        </w:p>
        <w:p w14:paraId="42C7B20E" w14:textId="77777777" w:rsidR="004A6E0F" w:rsidRDefault="00C251E9">
          <w:pPr>
            <w:pStyle w:val="TOC3"/>
            <w:tabs>
              <w:tab w:val="left" w:pos="1100"/>
              <w:tab w:val="right" w:leader="dot" w:pos="9350"/>
            </w:tabs>
            <w:rPr>
              <w:rFonts w:cstheme="minorBidi"/>
              <w:i w:val="0"/>
              <w:iCs w:val="0"/>
              <w:noProof/>
              <w:sz w:val="22"/>
              <w:szCs w:val="22"/>
            </w:rPr>
          </w:pPr>
          <w:hyperlink w:anchor="_Toc441756500" w:history="1">
            <w:r w:rsidR="004A6E0F" w:rsidRPr="00497499">
              <w:rPr>
                <w:rStyle w:val="Hyperlink"/>
                <w:noProof/>
              </w:rPr>
              <w:t>2.1.1</w:t>
            </w:r>
            <w:r w:rsidR="004A6E0F">
              <w:rPr>
                <w:rFonts w:cstheme="minorBidi"/>
                <w:i w:val="0"/>
                <w:iCs w:val="0"/>
                <w:noProof/>
                <w:sz w:val="22"/>
                <w:szCs w:val="22"/>
              </w:rPr>
              <w:tab/>
            </w:r>
            <w:r w:rsidR="004A6E0F" w:rsidRPr="00497499">
              <w:rPr>
                <w:rStyle w:val="Hyperlink"/>
                <w:noProof/>
              </w:rPr>
              <w:t>General Information Section</w:t>
            </w:r>
            <w:r w:rsidR="004A6E0F">
              <w:rPr>
                <w:noProof/>
                <w:webHidden/>
              </w:rPr>
              <w:tab/>
            </w:r>
            <w:r w:rsidR="004A6E0F">
              <w:rPr>
                <w:noProof/>
                <w:webHidden/>
              </w:rPr>
              <w:fldChar w:fldCharType="begin"/>
            </w:r>
            <w:r w:rsidR="004A6E0F">
              <w:rPr>
                <w:noProof/>
                <w:webHidden/>
              </w:rPr>
              <w:instrText xml:space="preserve"> PAGEREF _Toc441756500 \h </w:instrText>
            </w:r>
            <w:r w:rsidR="004A6E0F">
              <w:rPr>
                <w:noProof/>
                <w:webHidden/>
              </w:rPr>
            </w:r>
            <w:r w:rsidR="004A6E0F">
              <w:rPr>
                <w:noProof/>
                <w:webHidden/>
              </w:rPr>
              <w:fldChar w:fldCharType="separate"/>
            </w:r>
            <w:r w:rsidR="004A6E0F">
              <w:rPr>
                <w:noProof/>
                <w:webHidden/>
              </w:rPr>
              <w:t>12</w:t>
            </w:r>
            <w:r w:rsidR="004A6E0F">
              <w:rPr>
                <w:noProof/>
                <w:webHidden/>
              </w:rPr>
              <w:fldChar w:fldCharType="end"/>
            </w:r>
          </w:hyperlink>
        </w:p>
        <w:p w14:paraId="0206967C" w14:textId="77777777" w:rsidR="004A6E0F" w:rsidRDefault="00C251E9">
          <w:pPr>
            <w:pStyle w:val="TOC3"/>
            <w:tabs>
              <w:tab w:val="left" w:pos="1100"/>
              <w:tab w:val="right" w:leader="dot" w:pos="9350"/>
            </w:tabs>
            <w:rPr>
              <w:rFonts w:cstheme="minorBidi"/>
              <w:i w:val="0"/>
              <w:iCs w:val="0"/>
              <w:noProof/>
              <w:sz w:val="22"/>
              <w:szCs w:val="22"/>
            </w:rPr>
          </w:pPr>
          <w:hyperlink w:anchor="_Toc441756501" w:history="1">
            <w:r w:rsidR="004A6E0F" w:rsidRPr="00497499">
              <w:rPr>
                <w:rStyle w:val="Hyperlink"/>
                <w:noProof/>
              </w:rPr>
              <w:t>2.1.2</w:t>
            </w:r>
            <w:r w:rsidR="004A6E0F">
              <w:rPr>
                <w:rFonts w:cstheme="minorBidi"/>
                <w:i w:val="0"/>
                <w:iCs w:val="0"/>
                <w:noProof/>
                <w:sz w:val="22"/>
                <w:szCs w:val="22"/>
              </w:rPr>
              <w:tab/>
            </w:r>
            <w:r w:rsidR="004A6E0F" w:rsidRPr="00497499">
              <w:rPr>
                <w:rStyle w:val="Hyperlink"/>
                <w:noProof/>
              </w:rPr>
              <w:t>Section I: Experience Period Data</w:t>
            </w:r>
            <w:r w:rsidR="004A6E0F">
              <w:rPr>
                <w:noProof/>
                <w:webHidden/>
              </w:rPr>
              <w:tab/>
            </w:r>
            <w:r w:rsidR="004A6E0F">
              <w:rPr>
                <w:noProof/>
                <w:webHidden/>
              </w:rPr>
              <w:fldChar w:fldCharType="begin"/>
            </w:r>
            <w:r w:rsidR="004A6E0F">
              <w:rPr>
                <w:noProof/>
                <w:webHidden/>
              </w:rPr>
              <w:instrText xml:space="preserve"> PAGEREF _Toc441756501 \h </w:instrText>
            </w:r>
            <w:r w:rsidR="004A6E0F">
              <w:rPr>
                <w:noProof/>
                <w:webHidden/>
              </w:rPr>
            </w:r>
            <w:r w:rsidR="004A6E0F">
              <w:rPr>
                <w:noProof/>
                <w:webHidden/>
              </w:rPr>
              <w:fldChar w:fldCharType="separate"/>
            </w:r>
            <w:r w:rsidR="004A6E0F">
              <w:rPr>
                <w:noProof/>
                <w:webHidden/>
              </w:rPr>
              <w:t>13</w:t>
            </w:r>
            <w:r w:rsidR="004A6E0F">
              <w:rPr>
                <w:noProof/>
                <w:webHidden/>
              </w:rPr>
              <w:fldChar w:fldCharType="end"/>
            </w:r>
          </w:hyperlink>
        </w:p>
        <w:p w14:paraId="51C7CCE4" w14:textId="77777777" w:rsidR="004A6E0F" w:rsidRDefault="00C251E9">
          <w:pPr>
            <w:pStyle w:val="TOC3"/>
            <w:tabs>
              <w:tab w:val="left" w:pos="1100"/>
              <w:tab w:val="right" w:leader="dot" w:pos="9350"/>
            </w:tabs>
            <w:rPr>
              <w:rFonts w:cstheme="minorBidi"/>
              <w:i w:val="0"/>
              <w:iCs w:val="0"/>
              <w:noProof/>
              <w:sz w:val="22"/>
              <w:szCs w:val="22"/>
            </w:rPr>
          </w:pPr>
          <w:hyperlink w:anchor="_Toc441756502" w:history="1">
            <w:r w:rsidR="004A6E0F" w:rsidRPr="00497499">
              <w:rPr>
                <w:rStyle w:val="Hyperlink"/>
                <w:noProof/>
              </w:rPr>
              <w:t>2.1.3</w:t>
            </w:r>
            <w:r w:rsidR="004A6E0F">
              <w:rPr>
                <w:rFonts w:cstheme="minorBidi"/>
                <w:i w:val="0"/>
                <w:iCs w:val="0"/>
                <w:noProof/>
                <w:sz w:val="22"/>
                <w:szCs w:val="22"/>
              </w:rPr>
              <w:tab/>
            </w:r>
            <w:r w:rsidR="004A6E0F" w:rsidRPr="00497499">
              <w:rPr>
                <w:rStyle w:val="Hyperlink"/>
                <w:noProof/>
              </w:rPr>
              <w:t>Section II: Allowed Claims, PMPM basis</w:t>
            </w:r>
            <w:r w:rsidR="004A6E0F">
              <w:rPr>
                <w:noProof/>
                <w:webHidden/>
              </w:rPr>
              <w:tab/>
            </w:r>
            <w:r w:rsidR="004A6E0F">
              <w:rPr>
                <w:noProof/>
                <w:webHidden/>
              </w:rPr>
              <w:fldChar w:fldCharType="begin"/>
            </w:r>
            <w:r w:rsidR="004A6E0F">
              <w:rPr>
                <w:noProof/>
                <w:webHidden/>
              </w:rPr>
              <w:instrText xml:space="preserve"> PAGEREF _Toc441756502 \h </w:instrText>
            </w:r>
            <w:r w:rsidR="004A6E0F">
              <w:rPr>
                <w:noProof/>
                <w:webHidden/>
              </w:rPr>
            </w:r>
            <w:r w:rsidR="004A6E0F">
              <w:rPr>
                <w:noProof/>
                <w:webHidden/>
              </w:rPr>
              <w:fldChar w:fldCharType="separate"/>
            </w:r>
            <w:r w:rsidR="004A6E0F">
              <w:rPr>
                <w:noProof/>
                <w:webHidden/>
              </w:rPr>
              <w:t>16</w:t>
            </w:r>
            <w:r w:rsidR="004A6E0F">
              <w:rPr>
                <w:noProof/>
                <w:webHidden/>
              </w:rPr>
              <w:fldChar w:fldCharType="end"/>
            </w:r>
          </w:hyperlink>
        </w:p>
        <w:p w14:paraId="790C295C" w14:textId="77777777" w:rsidR="004A6E0F" w:rsidRDefault="00C251E9">
          <w:pPr>
            <w:pStyle w:val="TOC3"/>
            <w:tabs>
              <w:tab w:val="left" w:pos="1100"/>
              <w:tab w:val="right" w:leader="dot" w:pos="9350"/>
            </w:tabs>
            <w:rPr>
              <w:rFonts w:cstheme="minorBidi"/>
              <w:i w:val="0"/>
              <w:iCs w:val="0"/>
              <w:noProof/>
              <w:sz w:val="22"/>
              <w:szCs w:val="22"/>
            </w:rPr>
          </w:pPr>
          <w:hyperlink w:anchor="_Toc441756503" w:history="1">
            <w:r w:rsidR="004A6E0F" w:rsidRPr="00497499">
              <w:rPr>
                <w:rStyle w:val="Hyperlink"/>
                <w:noProof/>
              </w:rPr>
              <w:t>2.1.4</w:t>
            </w:r>
            <w:r w:rsidR="004A6E0F">
              <w:rPr>
                <w:rFonts w:cstheme="minorBidi"/>
                <w:i w:val="0"/>
                <w:iCs w:val="0"/>
                <w:noProof/>
                <w:sz w:val="22"/>
                <w:szCs w:val="22"/>
              </w:rPr>
              <w:tab/>
            </w:r>
            <w:r w:rsidR="004A6E0F" w:rsidRPr="00497499">
              <w:rPr>
                <w:rStyle w:val="Hyperlink"/>
                <w:noProof/>
              </w:rPr>
              <w:t>Section III: Projected Experience</w:t>
            </w:r>
            <w:r w:rsidR="004A6E0F">
              <w:rPr>
                <w:noProof/>
                <w:webHidden/>
              </w:rPr>
              <w:tab/>
            </w:r>
            <w:r w:rsidR="004A6E0F">
              <w:rPr>
                <w:noProof/>
                <w:webHidden/>
              </w:rPr>
              <w:fldChar w:fldCharType="begin"/>
            </w:r>
            <w:r w:rsidR="004A6E0F">
              <w:rPr>
                <w:noProof/>
                <w:webHidden/>
              </w:rPr>
              <w:instrText xml:space="preserve"> PAGEREF _Toc441756503 \h </w:instrText>
            </w:r>
            <w:r w:rsidR="004A6E0F">
              <w:rPr>
                <w:noProof/>
                <w:webHidden/>
              </w:rPr>
            </w:r>
            <w:r w:rsidR="004A6E0F">
              <w:rPr>
                <w:noProof/>
                <w:webHidden/>
              </w:rPr>
              <w:fldChar w:fldCharType="separate"/>
            </w:r>
            <w:r w:rsidR="004A6E0F">
              <w:rPr>
                <w:noProof/>
                <w:webHidden/>
              </w:rPr>
              <w:t>21</w:t>
            </w:r>
            <w:r w:rsidR="004A6E0F">
              <w:rPr>
                <w:noProof/>
                <w:webHidden/>
              </w:rPr>
              <w:fldChar w:fldCharType="end"/>
            </w:r>
          </w:hyperlink>
        </w:p>
        <w:p w14:paraId="629B99CB" w14:textId="77777777" w:rsidR="004A6E0F" w:rsidRDefault="00C251E9">
          <w:pPr>
            <w:pStyle w:val="TOC2"/>
            <w:tabs>
              <w:tab w:val="left" w:pos="880"/>
              <w:tab w:val="right" w:leader="dot" w:pos="9350"/>
            </w:tabs>
            <w:rPr>
              <w:rFonts w:cstheme="minorBidi"/>
              <w:smallCaps w:val="0"/>
              <w:noProof/>
              <w:sz w:val="22"/>
              <w:szCs w:val="22"/>
            </w:rPr>
          </w:pPr>
          <w:hyperlink w:anchor="_Toc441756504" w:history="1">
            <w:r w:rsidR="004A6E0F" w:rsidRPr="00497499">
              <w:rPr>
                <w:rStyle w:val="Hyperlink"/>
                <w:noProof/>
              </w:rPr>
              <w:t>2.2</w:t>
            </w:r>
            <w:r w:rsidR="004A6E0F">
              <w:rPr>
                <w:rFonts w:cstheme="minorBidi"/>
                <w:smallCaps w:val="0"/>
                <w:noProof/>
                <w:sz w:val="22"/>
                <w:szCs w:val="22"/>
              </w:rPr>
              <w:tab/>
            </w:r>
            <w:r w:rsidR="004A6E0F" w:rsidRPr="00497499">
              <w:rPr>
                <w:rStyle w:val="Hyperlink"/>
                <w:noProof/>
              </w:rPr>
              <w:t>Worksheet 2 – Plan Product Information</w:t>
            </w:r>
            <w:r w:rsidR="004A6E0F">
              <w:rPr>
                <w:noProof/>
                <w:webHidden/>
              </w:rPr>
              <w:tab/>
            </w:r>
            <w:r w:rsidR="004A6E0F">
              <w:rPr>
                <w:noProof/>
                <w:webHidden/>
              </w:rPr>
              <w:fldChar w:fldCharType="begin"/>
            </w:r>
            <w:r w:rsidR="004A6E0F">
              <w:rPr>
                <w:noProof/>
                <w:webHidden/>
              </w:rPr>
              <w:instrText xml:space="preserve"> PAGEREF _Toc441756504 \h </w:instrText>
            </w:r>
            <w:r w:rsidR="004A6E0F">
              <w:rPr>
                <w:noProof/>
                <w:webHidden/>
              </w:rPr>
            </w:r>
            <w:r w:rsidR="004A6E0F">
              <w:rPr>
                <w:noProof/>
                <w:webHidden/>
              </w:rPr>
              <w:fldChar w:fldCharType="separate"/>
            </w:r>
            <w:r w:rsidR="004A6E0F">
              <w:rPr>
                <w:noProof/>
                <w:webHidden/>
              </w:rPr>
              <w:t>25</w:t>
            </w:r>
            <w:r w:rsidR="004A6E0F">
              <w:rPr>
                <w:noProof/>
                <w:webHidden/>
              </w:rPr>
              <w:fldChar w:fldCharType="end"/>
            </w:r>
          </w:hyperlink>
        </w:p>
        <w:p w14:paraId="0667E5D4" w14:textId="77777777" w:rsidR="004A6E0F" w:rsidRDefault="00C251E9">
          <w:pPr>
            <w:pStyle w:val="TOC3"/>
            <w:tabs>
              <w:tab w:val="left" w:pos="1100"/>
              <w:tab w:val="right" w:leader="dot" w:pos="9350"/>
            </w:tabs>
            <w:rPr>
              <w:rFonts w:cstheme="minorBidi"/>
              <w:i w:val="0"/>
              <w:iCs w:val="0"/>
              <w:noProof/>
              <w:sz w:val="22"/>
              <w:szCs w:val="22"/>
            </w:rPr>
          </w:pPr>
          <w:hyperlink w:anchor="_Toc441756505" w:history="1">
            <w:r w:rsidR="004A6E0F" w:rsidRPr="00497499">
              <w:rPr>
                <w:rStyle w:val="Hyperlink"/>
                <w:noProof/>
              </w:rPr>
              <w:t>2.2.1</w:t>
            </w:r>
            <w:r w:rsidR="004A6E0F">
              <w:rPr>
                <w:rFonts w:cstheme="minorBidi"/>
                <w:i w:val="0"/>
                <w:iCs w:val="0"/>
                <w:noProof/>
                <w:sz w:val="22"/>
                <w:szCs w:val="22"/>
              </w:rPr>
              <w:tab/>
            </w:r>
            <w:r w:rsidR="004A6E0F" w:rsidRPr="00497499">
              <w:rPr>
                <w:rStyle w:val="Hyperlink"/>
                <w:noProof/>
              </w:rPr>
              <w:t>Section I: General Product and Plan Information</w:t>
            </w:r>
            <w:r w:rsidR="004A6E0F">
              <w:rPr>
                <w:noProof/>
                <w:webHidden/>
              </w:rPr>
              <w:tab/>
            </w:r>
            <w:r w:rsidR="004A6E0F">
              <w:rPr>
                <w:noProof/>
                <w:webHidden/>
              </w:rPr>
              <w:fldChar w:fldCharType="begin"/>
            </w:r>
            <w:r w:rsidR="004A6E0F">
              <w:rPr>
                <w:noProof/>
                <w:webHidden/>
              </w:rPr>
              <w:instrText xml:space="preserve"> PAGEREF _Toc441756505 \h </w:instrText>
            </w:r>
            <w:r w:rsidR="004A6E0F">
              <w:rPr>
                <w:noProof/>
                <w:webHidden/>
              </w:rPr>
            </w:r>
            <w:r w:rsidR="004A6E0F">
              <w:rPr>
                <w:noProof/>
                <w:webHidden/>
              </w:rPr>
              <w:fldChar w:fldCharType="separate"/>
            </w:r>
            <w:r w:rsidR="004A6E0F">
              <w:rPr>
                <w:noProof/>
                <w:webHidden/>
              </w:rPr>
              <w:t>28</w:t>
            </w:r>
            <w:r w:rsidR="004A6E0F">
              <w:rPr>
                <w:noProof/>
                <w:webHidden/>
              </w:rPr>
              <w:fldChar w:fldCharType="end"/>
            </w:r>
          </w:hyperlink>
        </w:p>
        <w:p w14:paraId="5AE8AAC4" w14:textId="77777777" w:rsidR="004A6E0F" w:rsidRDefault="00C251E9">
          <w:pPr>
            <w:pStyle w:val="TOC3"/>
            <w:tabs>
              <w:tab w:val="left" w:pos="1100"/>
              <w:tab w:val="right" w:leader="dot" w:pos="9350"/>
            </w:tabs>
            <w:rPr>
              <w:rFonts w:cstheme="minorBidi"/>
              <w:i w:val="0"/>
              <w:iCs w:val="0"/>
              <w:noProof/>
              <w:sz w:val="22"/>
              <w:szCs w:val="22"/>
            </w:rPr>
          </w:pPr>
          <w:hyperlink w:anchor="_Toc441756506" w:history="1">
            <w:r w:rsidR="004A6E0F" w:rsidRPr="00497499">
              <w:rPr>
                <w:rStyle w:val="Hyperlink"/>
                <w:noProof/>
              </w:rPr>
              <w:t>2.2.2</w:t>
            </w:r>
            <w:r w:rsidR="004A6E0F">
              <w:rPr>
                <w:rFonts w:cstheme="minorBidi"/>
                <w:i w:val="0"/>
                <w:iCs w:val="0"/>
                <w:noProof/>
                <w:sz w:val="22"/>
                <w:szCs w:val="22"/>
              </w:rPr>
              <w:tab/>
            </w:r>
            <w:r w:rsidR="004A6E0F" w:rsidRPr="00497499">
              <w:rPr>
                <w:rStyle w:val="Hyperlink"/>
                <w:noProof/>
              </w:rPr>
              <w:t>Section II: Components of Premium Increase</w:t>
            </w:r>
            <w:r w:rsidR="004A6E0F">
              <w:rPr>
                <w:noProof/>
                <w:webHidden/>
              </w:rPr>
              <w:tab/>
            </w:r>
            <w:r w:rsidR="004A6E0F">
              <w:rPr>
                <w:noProof/>
                <w:webHidden/>
              </w:rPr>
              <w:fldChar w:fldCharType="begin"/>
            </w:r>
            <w:r w:rsidR="004A6E0F">
              <w:rPr>
                <w:noProof/>
                <w:webHidden/>
              </w:rPr>
              <w:instrText xml:space="preserve"> PAGEREF _Toc441756506 \h </w:instrText>
            </w:r>
            <w:r w:rsidR="004A6E0F">
              <w:rPr>
                <w:noProof/>
                <w:webHidden/>
              </w:rPr>
            </w:r>
            <w:r w:rsidR="004A6E0F">
              <w:rPr>
                <w:noProof/>
                <w:webHidden/>
              </w:rPr>
              <w:fldChar w:fldCharType="separate"/>
            </w:r>
            <w:r w:rsidR="004A6E0F">
              <w:rPr>
                <w:noProof/>
                <w:webHidden/>
              </w:rPr>
              <w:t>37</w:t>
            </w:r>
            <w:r w:rsidR="004A6E0F">
              <w:rPr>
                <w:noProof/>
                <w:webHidden/>
              </w:rPr>
              <w:fldChar w:fldCharType="end"/>
            </w:r>
          </w:hyperlink>
        </w:p>
        <w:p w14:paraId="2AEBF640" w14:textId="77777777" w:rsidR="004A6E0F" w:rsidRDefault="00C251E9">
          <w:pPr>
            <w:pStyle w:val="TOC3"/>
            <w:tabs>
              <w:tab w:val="left" w:pos="1100"/>
              <w:tab w:val="right" w:leader="dot" w:pos="9350"/>
            </w:tabs>
            <w:rPr>
              <w:rFonts w:cstheme="minorBidi"/>
              <w:i w:val="0"/>
              <w:iCs w:val="0"/>
              <w:noProof/>
              <w:sz w:val="22"/>
              <w:szCs w:val="22"/>
            </w:rPr>
          </w:pPr>
          <w:hyperlink w:anchor="_Toc441756507" w:history="1">
            <w:r w:rsidR="004A6E0F" w:rsidRPr="00497499">
              <w:rPr>
                <w:rStyle w:val="Hyperlink"/>
                <w:noProof/>
              </w:rPr>
              <w:t>2.2.3</w:t>
            </w:r>
            <w:r w:rsidR="004A6E0F">
              <w:rPr>
                <w:rFonts w:cstheme="minorBidi"/>
                <w:i w:val="0"/>
                <w:iCs w:val="0"/>
                <w:noProof/>
                <w:sz w:val="22"/>
                <w:szCs w:val="22"/>
              </w:rPr>
              <w:tab/>
            </w:r>
            <w:r w:rsidR="004A6E0F" w:rsidRPr="00497499">
              <w:rPr>
                <w:rStyle w:val="Hyperlink"/>
                <w:noProof/>
              </w:rPr>
              <w:t>Section III: Experience Period Information</w:t>
            </w:r>
            <w:r w:rsidR="004A6E0F">
              <w:rPr>
                <w:noProof/>
                <w:webHidden/>
              </w:rPr>
              <w:tab/>
            </w:r>
            <w:r w:rsidR="004A6E0F">
              <w:rPr>
                <w:noProof/>
                <w:webHidden/>
              </w:rPr>
              <w:fldChar w:fldCharType="begin"/>
            </w:r>
            <w:r w:rsidR="004A6E0F">
              <w:rPr>
                <w:noProof/>
                <w:webHidden/>
              </w:rPr>
              <w:instrText xml:space="preserve"> PAGEREF _Toc441756507 \h </w:instrText>
            </w:r>
            <w:r w:rsidR="004A6E0F">
              <w:rPr>
                <w:noProof/>
                <w:webHidden/>
              </w:rPr>
            </w:r>
            <w:r w:rsidR="004A6E0F">
              <w:rPr>
                <w:noProof/>
                <w:webHidden/>
              </w:rPr>
              <w:fldChar w:fldCharType="separate"/>
            </w:r>
            <w:r w:rsidR="004A6E0F">
              <w:rPr>
                <w:noProof/>
                <w:webHidden/>
              </w:rPr>
              <w:t>39</w:t>
            </w:r>
            <w:r w:rsidR="004A6E0F">
              <w:rPr>
                <w:noProof/>
                <w:webHidden/>
              </w:rPr>
              <w:fldChar w:fldCharType="end"/>
            </w:r>
          </w:hyperlink>
        </w:p>
        <w:p w14:paraId="3952AEF2" w14:textId="77777777" w:rsidR="004A6E0F" w:rsidRDefault="00C251E9">
          <w:pPr>
            <w:pStyle w:val="TOC3"/>
            <w:tabs>
              <w:tab w:val="left" w:pos="1100"/>
              <w:tab w:val="right" w:leader="dot" w:pos="9350"/>
            </w:tabs>
            <w:rPr>
              <w:rFonts w:cstheme="minorBidi"/>
              <w:i w:val="0"/>
              <w:iCs w:val="0"/>
              <w:noProof/>
              <w:sz w:val="22"/>
              <w:szCs w:val="22"/>
            </w:rPr>
          </w:pPr>
          <w:hyperlink w:anchor="_Toc441756508" w:history="1">
            <w:r w:rsidR="004A6E0F" w:rsidRPr="00497499">
              <w:rPr>
                <w:rStyle w:val="Hyperlink"/>
                <w:noProof/>
              </w:rPr>
              <w:t>2.2.4</w:t>
            </w:r>
            <w:r w:rsidR="004A6E0F">
              <w:rPr>
                <w:rFonts w:cstheme="minorBidi"/>
                <w:i w:val="0"/>
                <w:iCs w:val="0"/>
                <w:noProof/>
                <w:sz w:val="22"/>
                <w:szCs w:val="22"/>
              </w:rPr>
              <w:tab/>
            </w:r>
            <w:r w:rsidR="004A6E0F" w:rsidRPr="00497499">
              <w:rPr>
                <w:rStyle w:val="Hyperlink"/>
                <w:noProof/>
              </w:rPr>
              <w:t>Section IV: Projected Experience</w:t>
            </w:r>
            <w:r w:rsidR="004A6E0F">
              <w:rPr>
                <w:noProof/>
                <w:webHidden/>
              </w:rPr>
              <w:tab/>
            </w:r>
            <w:r w:rsidR="004A6E0F">
              <w:rPr>
                <w:noProof/>
                <w:webHidden/>
              </w:rPr>
              <w:fldChar w:fldCharType="begin"/>
            </w:r>
            <w:r w:rsidR="004A6E0F">
              <w:rPr>
                <w:noProof/>
                <w:webHidden/>
              </w:rPr>
              <w:instrText xml:space="preserve"> PAGEREF _Toc441756508 \h </w:instrText>
            </w:r>
            <w:r w:rsidR="004A6E0F">
              <w:rPr>
                <w:noProof/>
                <w:webHidden/>
              </w:rPr>
            </w:r>
            <w:r w:rsidR="004A6E0F">
              <w:rPr>
                <w:noProof/>
                <w:webHidden/>
              </w:rPr>
              <w:fldChar w:fldCharType="separate"/>
            </w:r>
            <w:r w:rsidR="004A6E0F">
              <w:rPr>
                <w:noProof/>
                <w:webHidden/>
              </w:rPr>
              <w:t>45</w:t>
            </w:r>
            <w:r w:rsidR="004A6E0F">
              <w:rPr>
                <w:noProof/>
                <w:webHidden/>
              </w:rPr>
              <w:fldChar w:fldCharType="end"/>
            </w:r>
          </w:hyperlink>
        </w:p>
        <w:p w14:paraId="340E4E82" w14:textId="77777777" w:rsidR="004A6E0F" w:rsidRDefault="00C251E9">
          <w:pPr>
            <w:pStyle w:val="TOC1"/>
            <w:tabs>
              <w:tab w:val="left" w:pos="440"/>
              <w:tab w:val="right" w:leader="dot" w:pos="9350"/>
            </w:tabs>
            <w:rPr>
              <w:rFonts w:cstheme="minorBidi"/>
              <w:b w:val="0"/>
              <w:bCs w:val="0"/>
              <w:caps w:val="0"/>
              <w:noProof/>
              <w:sz w:val="22"/>
              <w:szCs w:val="22"/>
            </w:rPr>
          </w:pPr>
          <w:hyperlink w:anchor="_Toc441756509" w:history="1">
            <w:r w:rsidR="004A6E0F" w:rsidRPr="00497499">
              <w:rPr>
                <w:rStyle w:val="Hyperlink"/>
                <w:noProof/>
              </w:rPr>
              <w:t>3</w:t>
            </w:r>
            <w:r w:rsidR="004A6E0F">
              <w:rPr>
                <w:rFonts w:cstheme="minorBidi"/>
                <w:b w:val="0"/>
                <w:bCs w:val="0"/>
                <w:caps w:val="0"/>
                <w:noProof/>
                <w:sz w:val="22"/>
                <w:szCs w:val="22"/>
              </w:rPr>
              <w:tab/>
            </w:r>
            <w:r w:rsidR="004A6E0F" w:rsidRPr="00497499">
              <w:rPr>
                <w:rStyle w:val="Hyperlink"/>
                <w:noProof/>
              </w:rPr>
              <w:t>Part II: Written Description Justifying the Rate Increase</w:t>
            </w:r>
            <w:r w:rsidR="004A6E0F">
              <w:rPr>
                <w:noProof/>
                <w:webHidden/>
              </w:rPr>
              <w:tab/>
            </w:r>
            <w:r w:rsidR="004A6E0F">
              <w:rPr>
                <w:noProof/>
                <w:webHidden/>
              </w:rPr>
              <w:fldChar w:fldCharType="begin"/>
            </w:r>
            <w:r w:rsidR="004A6E0F">
              <w:rPr>
                <w:noProof/>
                <w:webHidden/>
              </w:rPr>
              <w:instrText xml:space="preserve"> PAGEREF _Toc441756509 \h </w:instrText>
            </w:r>
            <w:r w:rsidR="004A6E0F">
              <w:rPr>
                <w:noProof/>
                <w:webHidden/>
              </w:rPr>
            </w:r>
            <w:r w:rsidR="004A6E0F">
              <w:rPr>
                <w:noProof/>
                <w:webHidden/>
              </w:rPr>
              <w:fldChar w:fldCharType="separate"/>
            </w:r>
            <w:r w:rsidR="004A6E0F">
              <w:rPr>
                <w:noProof/>
                <w:webHidden/>
              </w:rPr>
              <w:t>50</w:t>
            </w:r>
            <w:r w:rsidR="004A6E0F">
              <w:rPr>
                <w:noProof/>
                <w:webHidden/>
              </w:rPr>
              <w:fldChar w:fldCharType="end"/>
            </w:r>
          </w:hyperlink>
        </w:p>
        <w:p w14:paraId="23E6ADD7" w14:textId="77777777" w:rsidR="004A6E0F" w:rsidRDefault="00C251E9">
          <w:pPr>
            <w:pStyle w:val="TOC1"/>
            <w:tabs>
              <w:tab w:val="left" w:pos="440"/>
              <w:tab w:val="right" w:leader="dot" w:pos="9350"/>
            </w:tabs>
            <w:rPr>
              <w:rFonts w:cstheme="minorBidi"/>
              <w:b w:val="0"/>
              <w:bCs w:val="0"/>
              <w:caps w:val="0"/>
              <w:noProof/>
              <w:sz w:val="22"/>
              <w:szCs w:val="22"/>
            </w:rPr>
          </w:pPr>
          <w:hyperlink w:anchor="_Toc441756510" w:history="1">
            <w:r w:rsidR="004A6E0F" w:rsidRPr="00497499">
              <w:rPr>
                <w:rStyle w:val="Hyperlink"/>
                <w:noProof/>
              </w:rPr>
              <w:t>4</w:t>
            </w:r>
            <w:r w:rsidR="004A6E0F">
              <w:rPr>
                <w:rFonts w:cstheme="minorBidi"/>
                <w:b w:val="0"/>
                <w:bCs w:val="0"/>
                <w:caps w:val="0"/>
                <w:noProof/>
                <w:sz w:val="22"/>
                <w:szCs w:val="22"/>
              </w:rPr>
              <w:tab/>
            </w:r>
            <w:r w:rsidR="004A6E0F" w:rsidRPr="00497499">
              <w:rPr>
                <w:rStyle w:val="Hyperlink"/>
                <w:noProof/>
              </w:rPr>
              <w:t>Part III: Actuarial Memorandum and Certification Instructions</w:t>
            </w:r>
            <w:r w:rsidR="004A6E0F">
              <w:rPr>
                <w:noProof/>
                <w:webHidden/>
              </w:rPr>
              <w:tab/>
            </w:r>
            <w:r w:rsidR="004A6E0F">
              <w:rPr>
                <w:noProof/>
                <w:webHidden/>
              </w:rPr>
              <w:fldChar w:fldCharType="begin"/>
            </w:r>
            <w:r w:rsidR="004A6E0F">
              <w:rPr>
                <w:noProof/>
                <w:webHidden/>
              </w:rPr>
              <w:instrText xml:space="preserve"> PAGEREF _Toc441756510 \h </w:instrText>
            </w:r>
            <w:r w:rsidR="004A6E0F">
              <w:rPr>
                <w:noProof/>
                <w:webHidden/>
              </w:rPr>
            </w:r>
            <w:r w:rsidR="004A6E0F">
              <w:rPr>
                <w:noProof/>
                <w:webHidden/>
              </w:rPr>
              <w:fldChar w:fldCharType="separate"/>
            </w:r>
            <w:r w:rsidR="004A6E0F">
              <w:rPr>
                <w:noProof/>
                <w:webHidden/>
              </w:rPr>
              <w:t>51</w:t>
            </w:r>
            <w:r w:rsidR="004A6E0F">
              <w:rPr>
                <w:noProof/>
                <w:webHidden/>
              </w:rPr>
              <w:fldChar w:fldCharType="end"/>
            </w:r>
          </w:hyperlink>
        </w:p>
        <w:p w14:paraId="63A7D810" w14:textId="77777777" w:rsidR="004A6E0F" w:rsidRDefault="00C251E9">
          <w:pPr>
            <w:pStyle w:val="TOC2"/>
            <w:tabs>
              <w:tab w:val="left" w:pos="880"/>
              <w:tab w:val="right" w:leader="dot" w:pos="9350"/>
            </w:tabs>
            <w:rPr>
              <w:rFonts w:cstheme="minorBidi"/>
              <w:smallCaps w:val="0"/>
              <w:noProof/>
              <w:sz w:val="22"/>
              <w:szCs w:val="22"/>
            </w:rPr>
          </w:pPr>
          <w:hyperlink w:anchor="_Toc441756511" w:history="1">
            <w:r w:rsidR="004A6E0F" w:rsidRPr="00497499">
              <w:rPr>
                <w:rStyle w:val="Hyperlink"/>
                <w:noProof/>
              </w:rPr>
              <w:t>4.1</w:t>
            </w:r>
            <w:r w:rsidR="004A6E0F">
              <w:rPr>
                <w:rFonts w:cstheme="minorBidi"/>
                <w:smallCaps w:val="0"/>
                <w:noProof/>
                <w:sz w:val="22"/>
                <w:szCs w:val="22"/>
              </w:rPr>
              <w:tab/>
            </w:r>
            <w:r w:rsidR="004A6E0F" w:rsidRPr="00497499">
              <w:rPr>
                <w:rStyle w:val="Hyperlink"/>
                <w:noProof/>
              </w:rPr>
              <w:t>Redacted Actuarial Memorandum</w:t>
            </w:r>
            <w:r w:rsidR="004A6E0F">
              <w:rPr>
                <w:noProof/>
                <w:webHidden/>
              </w:rPr>
              <w:tab/>
            </w:r>
            <w:r w:rsidR="004A6E0F">
              <w:rPr>
                <w:noProof/>
                <w:webHidden/>
              </w:rPr>
              <w:fldChar w:fldCharType="begin"/>
            </w:r>
            <w:r w:rsidR="004A6E0F">
              <w:rPr>
                <w:noProof/>
                <w:webHidden/>
              </w:rPr>
              <w:instrText xml:space="preserve"> PAGEREF _Toc441756511 \h </w:instrText>
            </w:r>
            <w:r w:rsidR="004A6E0F">
              <w:rPr>
                <w:noProof/>
                <w:webHidden/>
              </w:rPr>
            </w:r>
            <w:r w:rsidR="004A6E0F">
              <w:rPr>
                <w:noProof/>
                <w:webHidden/>
              </w:rPr>
              <w:fldChar w:fldCharType="separate"/>
            </w:r>
            <w:r w:rsidR="004A6E0F">
              <w:rPr>
                <w:noProof/>
                <w:webHidden/>
              </w:rPr>
              <w:t>51</w:t>
            </w:r>
            <w:r w:rsidR="004A6E0F">
              <w:rPr>
                <w:noProof/>
                <w:webHidden/>
              </w:rPr>
              <w:fldChar w:fldCharType="end"/>
            </w:r>
          </w:hyperlink>
        </w:p>
        <w:p w14:paraId="3918B82D" w14:textId="77777777" w:rsidR="004A6E0F" w:rsidRDefault="00C251E9">
          <w:pPr>
            <w:pStyle w:val="TOC2"/>
            <w:tabs>
              <w:tab w:val="left" w:pos="880"/>
              <w:tab w:val="right" w:leader="dot" w:pos="9350"/>
            </w:tabs>
            <w:rPr>
              <w:rFonts w:cstheme="minorBidi"/>
              <w:smallCaps w:val="0"/>
              <w:noProof/>
              <w:sz w:val="22"/>
              <w:szCs w:val="22"/>
            </w:rPr>
          </w:pPr>
          <w:hyperlink w:anchor="_Toc441756512" w:history="1">
            <w:r w:rsidR="004A6E0F" w:rsidRPr="00497499">
              <w:rPr>
                <w:rStyle w:val="Hyperlink"/>
                <w:noProof/>
              </w:rPr>
              <w:t>4.2</w:t>
            </w:r>
            <w:r w:rsidR="004A6E0F">
              <w:rPr>
                <w:rFonts w:cstheme="minorBidi"/>
                <w:smallCaps w:val="0"/>
                <w:noProof/>
                <w:sz w:val="22"/>
                <w:szCs w:val="22"/>
              </w:rPr>
              <w:tab/>
            </w:r>
            <w:r w:rsidR="004A6E0F" w:rsidRPr="00497499">
              <w:rPr>
                <w:rStyle w:val="Hyperlink"/>
                <w:noProof/>
              </w:rPr>
              <w:t>General Information Section</w:t>
            </w:r>
            <w:r w:rsidR="004A6E0F">
              <w:rPr>
                <w:noProof/>
                <w:webHidden/>
              </w:rPr>
              <w:tab/>
            </w:r>
            <w:r w:rsidR="004A6E0F">
              <w:rPr>
                <w:noProof/>
                <w:webHidden/>
              </w:rPr>
              <w:fldChar w:fldCharType="begin"/>
            </w:r>
            <w:r w:rsidR="004A6E0F">
              <w:rPr>
                <w:noProof/>
                <w:webHidden/>
              </w:rPr>
              <w:instrText xml:space="preserve"> PAGEREF _Toc441756512 \h </w:instrText>
            </w:r>
            <w:r w:rsidR="004A6E0F">
              <w:rPr>
                <w:noProof/>
                <w:webHidden/>
              </w:rPr>
            </w:r>
            <w:r w:rsidR="004A6E0F">
              <w:rPr>
                <w:noProof/>
                <w:webHidden/>
              </w:rPr>
              <w:fldChar w:fldCharType="separate"/>
            </w:r>
            <w:r w:rsidR="004A6E0F">
              <w:rPr>
                <w:noProof/>
                <w:webHidden/>
              </w:rPr>
              <w:t>52</w:t>
            </w:r>
            <w:r w:rsidR="004A6E0F">
              <w:rPr>
                <w:noProof/>
                <w:webHidden/>
              </w:rPr>
              <w:fldChar w:fldCharType="end"/>
            </w:r>
          </w:hyperlink>
        </w:p>
        <w:p w14:paraId="045E7270" w14:textId="77777777" w:rsidR="004A6E0F" w:rsidRDefault="00C251E9">
          <w:pPr>
            <w:pStyle w:val="TOC2"/>
            <w:tabs>
              <w:tab w:val="left" w:pos="880"/>
              <w:tab w:val="right" w:leader="dot" w:pos="9350"/>
            </w:tabs>
            <w:rPr>
              <w:rFonts w:cstheme="minorBidi"/>
              <w:smallCaps w:val="0"/>
              <w:noProof/>
              <w:sz w:val="22"/>
              <w:szCs w:val="22"/>
            </w:rPr>
          </w:pPr>
          <w:hyperlink w:anchor="_Toc441756513" w:history="1">
            <w:r w:rsidR="004A6E0F" w:rsidRPr="00497499">
              <w:rPr>
                <w:rStyle w:val="Hyperlink"/>
                <w:noProof/>
              </w:rPr>
              <w:t>4.3</w:t>
            </w:r>
            <w:r w:rsidR="004A6E0F">
              <w:rPr>
                <w:rFonts w:cstheme="minorBidi"/>
                <w:smallCaps w:val="0"/>
                <w:noProof/>
                <w:sz w:val="22"/>
                <w:szCs w:val="22"/>
              </w:rPr>
              <w:tab/>
            </w:r>
            <w:r w:rsidR="004A6E0F" w:rsidRPr="00497499">
              <w:rPr>
                <w:rStyle w:val="Hyperlink"/>
                <w:noProof/>
              </w:rPr>
              <w:t>Proposed Rate Increase(s)</w:t>
            </w:r>
            <w:r w:rsidR="004A6E0F">
              <w:rPr>
                <w:noProof/>
                <w:webHidden/>
              </w:rPr>
              <w:tab/>
            </w:r>
            <w:r w:rsidR="004A6E0F">
              <w:rPr>
                <w:noProof/>
                <w:webHidden/>
              </w:rPr>
              <w:fldChar w:fldCharType="begin"/>
            </w:r>
            <w:r w:rsidR="004A6E0F">
              <w:rPr>
                <w:noProof/>
                <w:webHidden/>
              </w:rPr>
              <w:instrText xml:space="preserve"> PAGEREF _Toc441756513 \h </w:instrText>
            </w:r>
            <w:r w:rsidR="004A6E0F">
              <w:rPr>
                <w:noProof/>
                <w:webHidden/>
              </w:rPr>
            </w:r>
            <w:r w:rsidR="004A6E0F">
              <w:rPr>
                <w:noProof/>
                <w:webHidden/>
              </w:rPr>
              <w:fldChar w:fldCharType="separate"/>
            </w:r>
            <w:r w:rsidR="004A6E0F">
              <w:rPr>
                <w:noProof/>
                <w:webHidden/>
              </w:rPr>
              <w:t>52</w:t>
            </w:r>
            <w:r w:rsidR="004A6E0F">
              <w:rPr>
                <w:noProof/>
                <w:webHidden/>
              </w:rPr>
              <w:fldChar w:fldCharType="end"/>
            </w:r>
          </w:hyperlink>
        </w:p>
        <w:p w14:paraId="3658EF3B" w14:textId="77777777" w:rsidR="004A6E0F" w:rsidRDefault="00C251E9">
          <w:pPr>
            <w:pStyle w:val="TOC2"/>
            <w:tabs>
              <w:tab w:val="left" w:pos="880"/>
              <w:tab w:val="right" w:leader="dot" w:pos="9350"/>
            </w:tabs>
            <w:rPr>
              <w:rFonts w:cstheme="minorBidi"/>
              <w:smallCaps w:val="0"/>
              <w:noProof/>
              <w:sz w:val="22"/>
              <w:szCs w:val="22"/>
            </w:rPr>
          </w:pPr>
          <w:hyperlink w:anchor="_Toc441756514" w:history="1">
            <w:r w:rsidR="004A6E0F" w:rsidRPr="00497499">
              <w:rPr>
                <w:rStyle w:val="Hyperlink"/>
                <w:noProof/>
              </w:rPr>
              <w:t>4.4</w:t>
            </w:r>
            <w:r w:rsidR="004A6E0F">
              <w:rPr>
                <w:rFonts w:cstheme="minorBidi"/>
                <w:smallCaps w:val="0"/>
                <w:noProof/>
                <w:sz w:val="22"/>
                <w:szCs w:val="22"/>
              </w:rPr>
              <w:tab/>
            </w:r>
            <w:r w:rsidR="004A6E0F" w:rsidRPr="00497499">
              <w:rPr>
                <w:rStyle w:val="Hyperlink"/>
                <w:noProof/>
              </w:rPr>
              <w:t>Market Experience</w:t>
            </w:r>
            <w:r w:rsidR="004A6E0F">
              <w:rPr>
                <w:noProof/>
                <w:webHidden/>
              </w:rPr>
              <w:tab/>
            </w:r>
            <w:r w:rsidR="004A6E0F">
              <w:rPr>
                <w:noProof/>
                <w:webHidden/>
              </w:rPr>
              <w:fldChar w:fldCharType="begin"/>
            </w:r>
            <w:r w:rsidR="004A6E0F">
              <w:rPr>
                <w:noProof/>
                <w:webHidden/>
              </w:rPr>
              <w:instrText xml:space="preserve"> PAGEREF _Toc441756514 \h </w:instrText>
            </w:r>
            <w:r w:rsidR="004A6E0F">
              <w:rPr>
                <w:noProof/>
                <w:webHidden/>
              </w:rPr>
            </w:r>
            <w:r w:rsidR="004A6E0F">
              <w:rPr>
                <w:noProof/>
                <w:webHidden/>
              </w:rPr>
              <w:fldChar w:fldCharType="separate"/>
            </w:r>
            <w:r w:rsidR="004A6E0F">
              <w:rPr>
                <w:noProof/>
                <w:webHidden/>
              </w:rPr>
              <w:t>53</w:t>
            </w:r>
            <w:r w:rsidR="004A6E0F">
              <w:rPr>
                <w:noProof/>
                <w:webHidden/>
              </w:rPr>
              <w:fldChar w:fldCharType="end"/>
            </w:r>
          </w:hyperlink>
        </w:p>
        <w:p w14:paraId="0CDE7B49" w14:textId="77777777" w:rsidR="004A6E0F" w:rsidRDefault="00C251E9">
          <w:pPr>
            <w:pStyle w:val="TOC3"/>
            <w:tabs>
              <w:tab w:val="left" w:pos="1100"/>
              <w:tab w:val="right" w:leader="dot" w:pos="9350"/>
            </w:tabs>
            <w:rPr>
              <w:rFonts w:cstheme="minorBidi"/>
              <w:i w:val="0"/>
              <w:iCs w:val="0"/>
              <w:noProof/>
              <w:sz w:val="22"/>
              <w:szCs w:val="22"/>
            </w:rPr>
          </w:pPr>
          <w:hyperlink w:anchor="_Toc441756515" w:history="1">
            <w:r w:rsidR="004A6E0F" w:rsidRPr="00497499">
              <w:rPr>
                <w:rStyle w:val="Hyperlink"/>
                <w:noProof/>
              </w:rPr>
              <w:t>4.4.1</w:t>
            </w:r>
            <w:r w:rsidR="004A6E0F">
              <w:rPr>
                <w:rFonts w:cstheme="minorBidi"/>
                <w:i w:val="0"/>
                <w:iCs w:val="0"/>
                <w:noProof/>
                <w:sz w:val="22"/>
                <w:szCs w:val="22"/>
              </w:rPr>
              <w:tab/>
            </w:r>
            <w:r w:rsidR="004A6E0F" w:rsidRPr="00497499">
              <w:rPr>
                <w:rStyle w:val="Hyperlink"/>
                <w:noProof/>
              </w:rPr>
              <w:t>Experience Period Premium and Claims</w:t>
            </w:r>
            <w:r w:rsidR="004A6E0F">
              <w:rPr>
                <w:noProof/>
                <w:webHidden/>
              </w:rPr>
              <w:tab/>
            </w:r>
            <w:r w:rsidR="004A6E0F">
              <w:rPr>
                <w:noProof/>
                <w:webHidden/>
              </w:rPr>
              <w:fldChar w:fldCharType="begin"/>
            </w:r>
            <w:r w:rsidR="004A6E0F">
              <w:rPr>
                <w:noProof/>
                <w:webHidden/>
              </w:rPr>
              <w:instrText xml:space="preserve"> PAGEREF _Toc441756515 \h </w:instrText>
            </w:r>
            <w:r w:rsidR="004A6E0F">
              <w:rPr>
                <w:noProof/>
                <w:webHidden/>
              </w:rPr>
            </w:r>
            <w:r w:rsidR="004A6E0F">
              <w:rPr>
                <w:noProof/>
                <w:webHidden/>
              </w:rPr>
              <w:fldChar w:fldCharType="separate"/>
            </w:r>
            <w:r w:rsidR="004A6E0F">
              <w:rPr>
                <w:noProof/>
                <w:webHidden/>
              </w:rPr>
              <w:t>53</w:t>
            </w:r>
            <w:r w:rsidR="004A6E0F">
              <w:rPr>
                <w:noProof/>
                <w:webHidden/>
              </w:rPr>
              <w:fldChar w:fldCharType="end"/>
            </w:r>
          </w:hyperlink>
        </w:p>
        <w:p w14:paraId="4E2C529F" w14:textId="77777777" w:rsidR="004A6E0F" w:rsidRDefault="00C251E9">
          <w:pPr>
            <w:pStyle w:val="TOC3"/>
            <w:tabs>
              <w:tab w:val="left" w:pos="1100"/>
              <w:tab w:val="right" w:leader="dot" w:pos="9350"/>
            </w:tabs>
            <w:rPr>
              <w:rFonts w:cstheme="minorBidi"/>
              <w:i w:val="0"/>
              <w:iCs w:val="0"/>
              <w:noProof/>
              <w:sz w:val="22"/>
              <w:szCs w:val="22"/>
            </w:rPr>
          </w:pPr>
          <w:hyperlink w:anchor="_Toc441756516" w:history="1">
            <w:r w:rsidR="004A6E0F" w:rsidRPr="00497499">
              <w:rPr>
                <w:rStyle w:val="Hyperlink"/>
                <w:noProof/>
              </w:rPr>
              <w:t>4.4.2</w:t>
            </w:r>
            <w:r w:rsidR="004A6E0F">
              <w:rPr>
                <w:rFonts w:cstheme="minorBidi"/>
                <w:i w:val="0"/>
                <w:iCs w:val="0"/>
                <w:noProof/>
                <w:sz w:val="22"/>
                <w:szCs w:val="22"/>
              </w:rPr>
              <w:tab/>
            </w:r>
            <w:r w:rsidR="004A6E0F" w:rsidRPr="00497499">
              <w:rPr>
                <w:rStyle w:val="Hyperlink"/>
                <w:noProof/>
              </w:rPr>
              <w:t>Benefit Categories</w:t>
            </w:r>
            <w:r w:rsidR="004A6E0F">
              <w:rPr>
                <w:noProof/>
                <w:webHidden/>
              </w:rPr>
              <w:tab/>
            </w:r>
            <w:r w:rsidR="004A6E0F">
              <w:rPr>
                <w:noProof/>
                <w:webHidden/>
              </w:rPr>
              <w:fldChar w:fldCharType="begin"/>
            </w:r>
            <w:r w:rsidR="004A6E0F">
              <w:rPr>
                <w:noProof/>
                <w:webHidden/>
              </w:rPr>
              <w:instrText xml:space="preserve"> PAGEREF _Toc441756516 \h </w:instrText>
            </w:r>
            <w:r w:rsidR="004A6E0F">
              <w:rPr>
                <w:noProof/>
                <w:webHidden/>
              </w:rPr>
            </w:r>
            <w:r w:rsidR="004A6E0F">
              <w:rPr>
                <w:noProof/>
                <w:webHidden/>
              </w:rPr>
              <w:fldChar w:fldCharType="separate"/>
            </w:r>
            <w:r w:rsidR="004A6E0F">
              <w:rPr>
                <w:noProof/>
                <w:webHidden/>
              </w:rPr>
              <w:t>54</w:t>
            </w:r>
            <w:r w:rsidR="004A6E0F">
              <w:rPr>
                <w:noProof/>
                <w:webHidden/>
              </w:rPr>
              <w:fldChar w:fldCharType="end"/>
            </w:r>
          </w:hyperlink>
        </w:p>
        <w:p w14:paraId="156A72F5" w14:textId="77777777" w:rsidR="004A6E0F" w:rsidRDefault="00C251E9">
          <w:pPr>
            <w:pStyle w:val="TOC3"/>
            <w:tabs>
              <w:tab w:val="left" w:pos="1100"/>
              <w:tab w:val="right" w:leader="dot" w:pos="9350"/>
            </w:tabs>
            <w:rPr>
              <w:rFonts w:cstheme="minorBidi"/>
              <w:i w:val="0"/>
              <w:iCs w:val="0"/>
              <w:noProof/>
              <w:sz w:val="22"/>
              <w:szCs w:val="22"/>
            </w:rPr>
          </w:pPr>
          <w:hyperlink w:anchor="_Toc441756517" w:history="1">
            <w:r w:rsidR="004A6E0F" w:rsidRPr="00497499">
              <w:rPr>
                <w:rStyle w:val="Hyperlink"/>
                <w:noProof/>
              </w:rPr>
              <w:t>4.4.3</w:t>
            </w:r>
            <w:r w:rsidR="004A6E0F">
              <w:rPr>
                <w:rFonts w:cstheme="minorBidi"/>
                <w:i w:val="0"/>
                <w:iCs w:val="0"/>
                <w:noProof/>
                <w:sz w:val="22"/>
                <w:szCs w:val="22"/>
              </w:rPr>
              <w:tab/>
            </w:r>
            <w:r w:rsidR="004A6E0F" w:rsidRPr="00497499">
              <w:rPr>
                <w:rStyle w:val="Hyperlink"/>
                <w:noProof/>
              </w:rPr>
              <w:t>Projection Factors</w:t>
            </w:r>
            <w:r w:rsidR="004A6E0F">
              <w:rPr>
                <w:noProof/>
                <w:webHidden/>
              </w:rPr>
              <w:tab/>
            </w:r>
            <w:r w:rsidR="004A6E0F">
              <w:rPr>
                <w:noProof/>
                <w:webHidden/>
              </w:rPr>
              <w:fldChar w:fldCharType="begin"/>
            </w:r>
            <w:r w:rsidR="004A6E0F">
              <w:rPr>
                <w:noProof/>
                <w:webHidden/>
              </w:rPr>
              <w:instrText xml:space="preserve"> PAGEREF _Toc441756517 \h </w:instrText>
            </w:r>
            <w:r w:rsidR="004A6E0F">
              <w:rPr>
                <w:noProof/>
                <w:webHidden/>
              </w:rPr>
            </w:r>
            <w:r w:rsidR="004A6E0F">
              <w:rPr>
                <w:noProof/>
                <w:webHidden/>
              </w:rPr>
              <w:fldChar w:fldCharType="separate"/>
            </w:r>
            <w:r w:rsidR="004A6E0F">
              <w:rPr>
                <w:noProof/>
                <w:webHidden/>
              </w:rPr>
              <w:t>54</w:t>
            </w:r>
            <w:r w:rsidR="004A6E0F">
              <w:rPr>
                <w:noProof/>
                <w:webHidden/>
              </w:rPr>
              <w:fldChar w:fldCharType="end"/>
            </w:r>
          </w:hyperlink>
        </w:p>
        <w:p w14:paraId="2FC8E8A3" w14:textId="77777777" w:rsidR="004A6E0F" w:rsidRDefault="00C251E9">
          <w:pPr>
            <w:pStyle w:val="TOC3"/>
            <w:tabs>
              <w:tab w:val="left" w:pos="1100"/>
              <w:tab w:val="right" w:leader="dot" w:pos="9350"/>
            </w:tabs>
            <w:rPr>
              <w:rFonts w:cstheme="minorBidi"/>
              <w:i w:val="0"/>
              <w:iCs w:val="0"/>
              <w:noProof/>
              <w:sz w:val="22"/>
              <w:szCs w:val="22"/>
            </w:rPr>
          </w:pPr>
          <w:hyperlink w:anchor="_Toc441756518" w:history="1">
            <w:r w:rsidR="004A6E0F" w:rsidRPr="00497499">
              <w:rPr>
                <w:rStyle w:val="Hyperlink"/>
                <w:noProof/>
              </w:rPr>
              <w:t>4.4.4</w:t>
            </w:r>
            <w:r w:rsidR="004A6E0F">
              <w:rPr>
                <w:rFonts w:cstheme="minorBidi"/>
                <w:i w:val="0"/>
                <w:iCs w:val="0"/>
                <w:noProof/>
                <w:sz w:val="22"/>
                <w:szCs w:val="22"/>
              </w:rPr>
              <w:tab/>
            </w:r>
            <w:r w:rsidR="004A6E0F" w:rsidRPr="00497499">
              <w:rPr>
                <w:rStyle w:val="Hyperlink"/>
                <w:noProof/>
              </w:rPr>
              <w:t>Credibility Manual Rate Development</w:t>
            </w:r>
            <w:r w:rsidR="004A6E0F">
              <w:rPr>
                <w:noProof/>
                <w:webHidden/>
              </w:rPr>
              <w:tab/>
            </w:r>
            <w:r w:rsidR="004A6E0F">
              <w:rPr>
                <w:noProof/>
                <w:webHidden/>
              </w:rPr>
              <w:fldChar w:fldCharType="begin"/>
            </w:r>
            <w:r w:rsidR="004A6E0F">
              <w:rPr>
                <w:noProof/>
                <w:webHidden/>
              </w:rPr>
              <w:instrText xml:space="preserve"> PAGEREF _Toc441756518 \h </w:instrText>
            </w:r>
            <w:r w:rsidR="004A6E0F">
              <w:rPr>
                <w:noProof/>
                <w:webHidden/>
              </w:rPr>
            </w:r>
            <w:r w:rsidR="004A6E0F">
              <w:rPr>
                <w:noProof/>
                <w:webHidden/>
              </w:rPr>
              <w:fldChar w:fldCharType="separate"/>
            </w:r>
            <w:r w:rsidR="004A6E0F">
              <w:rPr>
                <w:noProof/>
                <w:webHidden/>
              </w:rPr>
              <w:t>56</w:t>
            </w:r>
            <w:r w:rsidR="004A6E0F">
              <w:rPr>
                <w:noProof/>
                <w:webHidden/>
              </w:rPr>
              <w:fldChar w:fldCharType="end"/>
            </w:r>
          </w:hyperlink>
        </w:p>
        <w:p w14:paraId="49918191" w14:textId="77777777" w:rsidR="004A6E0F" w:rsidRDefault="00C251E9">
          <w:pPr>
            <w:pStyle w:val="TOC3"/>
            <w:tabs>
              <w:tab w:val="left" w:pos="1100"/>
              <w:tab w:val="right" w:leader="dot" w:pos="9350"/>
            </w:tabs>
            <w:rPr>
              <w:rFonts w:cstheme="minorBidi"/>
              <w:i w:val="0"/>
              <w:iCs w:val="0"/>
              <w:noProof/>
              <w:sz w:val="22"/>
              <w:szCs w:val="22"/>
            </w:rPr>
          </w:pPr>
          <w:hyperlink w:anchor="_Toc441756519" w:history="1">
            <w:r w:rsidR="004A6E0F" w:rsidRPr="00497499">
              <w:rPr>
                <w:rStyle w:val="Hyperlink"/>
                <w:noProof/>
              </w:rPr>
              <w:t>4.4.5</w:t>
            </w:r>
            <w:r w:rsidR="004A6E0F">
              <w:rPr>
                <w:rFonts w:cstheme="minorBidi"/>
                <w:i w:val="0"/>
                <w:iCs w:val="0"/>
                <w:noProof/>
                <w:sz w:val="22"/>
                <w:szCs w:val="22"/>
              </w:rPr>
              <w:tab/>
            </w:r>
            <w:r w:rsidR="004A6E0F" w:rsidRPr="00497499">
              <w:rPr>
                <w:rStyle w:val="Hyperlink"/>
                <w:noProof/>
              </w:rPr>
              <w:t>Credibility of Experience</w:t>
            </w:r>
            <w:r w:rsidR="004A6E0F">
              <w:rPr>
                <w:noProof/>
                <w:webHidden/>
              </w:rPr>
              <w:tab/>
            </w:r>
            <w:r w:rsidR="004A6E0F">
              <w:rPr>
                <w:noProof/>
                <w:webHidden/>
              </w:rPr>
              <w:fldChar w:fldCharType="begin"/>
            </w:r>
            <w:r w:rsidR="004A6E0F">
              <w:rPr>
                <w:noProof/>
                <w:webHidden/>
              </w:rPr>
              <w:instrText xml:space="preserve"> PAGEREF _Toc441756519 \h </w:instrText>
            </w:r>
            <w:r w:rsidR="004A6E0F">
              <w:rPr>
                <w:noProof/>
                <w:webHidden/>
              </w:rPr>
            </w:r>
            <w:r w:rsidR="004A6E0F">
              <w:rPr>
                <w:noProof/>
                <w:webHidden/>
              </w:rPr>
              <w:fldChar w:fldCharType="separate"/>
            </w:r>
            <w:r w:rsidR="004A6E0F">
              <w:rPr>
                <w:noProof/>
                <w:webHidden/>
              </w:rPr>
              <w:t>56</w:t>
            </w:r>
            <w:r w:rsidR="004A6E0F">
              <w:rPr>
                <w:noProof/>
                <w:webHidden/>
              </w:rPr>
              <w:fldChar w:fldCharType="end"/>
            </w:r>
          </w:hyperlink>
        </w:p>
        <w:p w14:paraId="6E247509" w14:textId="77777777" w:rsidR="004A6E0F" w:rsidRDefault="00C251E9">
          <w:pPr>
            <w:pStyle w:val="TOC3"/>
            <w:tabs>
              <w:tab w:val="left" w:pos="1100"/>
              <w:tab w:val="right" w:leader="dot" w:pos="9350"/>
            </w:tabs>
            <w:rPr>
              <w:rFonts w:cstheme="minorBidi"/>
              <w:i w:val="0"/>
              <w:iCs w:val="0"/>
              <w:noProof/>
              <w:sz w:val="22"/>
              <w:szCs w:val="22"/>
            </w:rPr>
          </w:pPr>
          <w:hyperlink w:anchor="_Toc441756520" w:history="1">
            <w:r w:rsidR="004A6E0F" w:rsidRPr="00497499">
              <w:rPr>
                <w:rStyle w:val="Hyperlink"/>
                <w:noProof/>
              </w:rPr>
              <w:t>4.4.6</w:t>
            </w:r>
            <w:r w:rsidR="004A6E0F">
              <w:rPr>
                <w:rFonts w:cstheme="minorBidi"/>
                <w:i w:val="0"/>
                <w:iCs w:val="0"/>
                <w:noProof/>
                <w:sz w:val="22"/>
                <w:szCs w:val="22"/>
              </w:rPr>
              <w:tab/>
            </w:r>
            <w:r w:rsidR="004A6E0F" w:rsidRPr="00497499">
              <w:rPr>
                <w:rStyle w:val="Hyperlink"/>
                <w:noProof/>
              </w:rPr>
              <w:t>Paid to Allowed Ratio</w:t>
            </w:r>
            <w:r w:rsidR="004A6E0F">
              <w:rPr>
                <w:noProof/>
                <w:webHidden/>
              </w:rPr>
              <w:tab/>
            </w:r>
            <w:r w:rsidR="004A6E0F">
              <w:rPr>
                <w:noProof/>
                <w:webHidden/>
              </w:rPr>
              <w:fldChar w:fldCharType="begin"/>
            </w:r>
            <w:r w:rsidR="004A6E0F">
              <w:rPr>
                <w:noProof/>
                <w:webHidden/>
              </w:rPr>
              <w:instrText xml:space="preserve"> PAGEREF _Toc441756520 \h </w:instrText>
            </w:r>
            <w:r w:rsidR="004A6E0F">
              <w:rPr>
                <w:noProof/>
                <w:webHidden/>
              </w:rPr>
            </w:r>
            <w:r w:rsidR="004A6E0F">
              <w:rPr>
                <w:noProof/>
                <w:webHidden/>
              </w:rPr>
              <w:fldChar w:fldCharType="separate"/>
            </w:r>
            <w:r w:rsidR="004A6E0F">
              <w:rPr>
                <w:noProof/>
                <w:webHidden/>
              </w:rPr>
              <w:t>57</w:t>
            </w:r>
            <w:r w:rsidR="004A6E0F">
              <w:rPr>
                <w:noProof/>
                <w:webHidden/>
              </w:rPr>
              <w:fldChar w:fldCharType="end"/>
            </w:r>
          </w:hyperlink>
        </w:p>
        <w:p w14:paraId="07AAC08D" w14:textId="77777777" w:rsidR="004A6E0F" w:rsidRDefault="00C251E9">
          <w:pPr>
            <w:pStyle w:val="TOC3"/>
            <w:tabs>
              <w:tab w:val="left" w:pos="1100"/>
              <w:tab w:val="right" w:leader="dot" w:pos="9350"/>
            </w:tabs>
            <w:rPr>
              <w:rFonts w:cstheme="minorBidi"/>
              <w:i w:val="0"/>
              <w:iCs w:val="0"/>
              <w:noProof/>
              <w:sz w:val="22"/>
              <w:szCs w:val="22"/>
            </w:rPr>
          </w:pPr>
          <w:hyperlink w:anchor="_Toc441756521" w:history="1">
            <w:r w:rsidR="004A6E0F" w:rsidRPr="00497499">
              <w:rPr>
                <w:rStyle w:val="Hyperlink"/>
                <w:noProof/>
              </w:rPr>
              <w:t>4.4.7</w:t>
            </w:r>
            <w:r w:rsidR="004A6E0F">
              <w:rPr>
                <w:rFonts w:cstheme="minorBidi"/>
                <w:i w:val="0"/>
                <w:iCs w:val="0"/>
                <w:noProof/>
                <w:sz w:val="22"/>
                <w:szCs w:val="22"/>
              </w:rPr>
              <w:tab/>
            </w:r>
            <w:r w:rsidR="004A6E0F" w:rsidRPr="00497499">
              <w:rPr>
                <w:rStyle w:val="Hyperlink"/>
                <w:noProof/>
              </w:rPr>
              <w:t>Risk Adjustment and Reinsurance</w:t>
            </w:r>
            <w:r w:rsidR="004A6E0F">
              <w:rPr>
                <w:noProof/>
                <w:webHidden/>
              </w:rPr>
              <w:tab/>
            </w:r>
            <w:r w:rsidR="004A6E0F">
              <w:rPr>
                <w:noProof/>
                <w:webHidden/>
              </w:rPr>
              <w:fldChar w:fldCharType="begin"/>
            </w:r>
            <w:r w:rsidR="004A6E0F">
              <w:rPr>
                <w:noProof/>
                <w:webHidden/>
              </w:rPr>
              <w:instrText xml:space="preserve"> PAGEREF _Toc441756521 \h </w:instrText>
            </w:r>
            <w:r w:rsidR="004A6E0F">
              <w:rPr>
                <w:noProof/>
                <w:webHidden/>
              </w:rPr>
            </w:r>
            <w:r w:rsidR="004A6E0F">
              <w:rPr>
                <w:noProof/>
                <w:webHidden/>
              </w:rPr>
              <w:fldChar w:fldCharType="separate"/>
            </w:r>
            <w:r w:rsidR="004A6E0F">
              <w:rPr>
                <w:noProof/>
                <w:webHidden/>
              </w:rPr>
              <w:t>57</w:t>
            </w:r>
            <w:r w:rsidR="004A6E0F">
              <w:rPr>
                <w:noProof/>
                <w:webHidden/>
              </w:rPr>
              <w:fldChar w:fldCharType="end"/>
            </w:r>
          </w:hyperlink>
        </w:p>
        <w:p w14:paraId="3CA99273" w14:textId="77777777" w:rsidR="004A6E0F" w:rsidRDefault="00C251E9">
          <w:pPr>
            <w:pStyle w:val="TOC3"/>
            <w:tabs>
              <w:tab w:val="left" w:pos="1100"/>
              <w:tab w:val="right" w:leader="dot" w:pos="9350"/>
            </w:tabs>
            <w:rPr>
              <w:rFonts w:cstheme="minorBidi"/>
              <w:i w:val="0"/>
              <w:iCs w:val="0"/>
              <w:noProof/>
              <w:sz w:val="22"/>
              <w:szCs w:val="22"/>
            </w:rPr>
          </w:pPr>
          <w:hyperlink w:anchor="_Toc441756522" w:history="1">
            <w:r w:rsidR="004A6E0F" w:rsidRPr="00497499">
              <w:rPr>
                <w:rStyle w:val="Hyperlink"/>
                <w:noProof/>
              </w:rPr>
              <w:t>4.4.8</w:t>
            </w:r>
            <w:r w:rsidR="004A6E0F">
              <w:rPr>
                <w:rFonts w:cstheme="minorBidi"/>
                <w:i w:val="0"/>
                <w:iCs w:val="0"/>
                <w:noProof/>
                <w:sz w:val="22"/>
                <w:szCs w:val="22"/>
              </w:rPr>
              <w:tab/>
            </w:r>
            <w:r w:rsidR="004A6E0F" w:rsidRPr="00497499">
              <w:rPr>
                <w:rStyle w:val="Hyperlink"/>
                <w:noProof/>
              </w:rPr>
              <w:t>Non-Benefit Expenses and Profit &amp; Risk</w:t>
            </w:r>
            <w:r w:rsidR="004A6E0F">
              <w:rPr>
                <w:noProof/>
                <w:webHidden/>
              </w:rPr>
              <w:tab/>
            </w:r>
            <w:r w:rsidR="004A6E0F">
              <w:rPr>
                <w:noProof/>
                <w:webHidden/>
              </w:rPr>
              <w:fldChar w:fldCharType="begin"/>
            </w:r>
            <w:r w:rsidR="004A6E0F">
              <w:rPr>
                <w:noProof/>
                <w:webHidden/>
              </w:rPr>
              <w:instrText xml:space="preserve"> PAGEREF _Toc441756522 \h </w:instrText>
            </w:r>
            <w:r w:rsidR="004A6E0F">
              <w:rPr>
                <w:noProof/>
                <w:webHidden/>
              </w:rPr>
            </w:r>
            <w:r w:rsidR="004A6E0F">
              <w:rPr>
                <w:noProof/>
                <w:webHidden/>
              </w:rPr>
              <w:fldChar w:fldCharType="separate"/>
            </w:r>
            <w:r w:rsidR="004A6E0F">
              <w:rPr>
                <w:noProof/>
                <w:webHidden/>
              </w:rPr>
              <w:t>58</w:t>
            </w:r>
            <w:r w:rsidR="004A6E0F">
              <w:rPr>
                <w:noProof/>
                <w:webHidden/>
              </w:rPr>
              <w:fldChar w:fldCharType="end"/>
            </w:r>
          </w:hyperlink>
        </w:p>
        <w:p w14:paraId="50642C94" w14:textId="77777777" w:rsidR="004A6E0F" w:rsidRDefault="00C251E9">
          <w:pPr>
            <w:pStyle w:val="TOC2"/>
            <w:tabs>
              <w:tab w:val="left" w:pos="880"/>
              <w:tab w:val="right" w:leader="dot" w:pos="9350"/>
            </w:tabs>
            <w:rPr>
              <w:rFonts w:cstheme="minorBidi"/>
              <w:smallCaps w:val="0"/>
              <w:noProof/>
              <w:sz w:val="22"/>
              <w:szCs w:val="22"/>
            </w:rPr>
          </w:pPr>
          <w:hyperlink w:anchor="_Toc441756523" w:history="1">
            <w:r w:rsidR="004A6E0F" w:rsidRPr="00497499">
              <w:rPr>
                <w:rStyle w:val="Hyperlink"/>
                <w:noProof/>
              </w:rPr>
              <w:t>4.5</w:t>
            </w:r>
            <w:r w:rsidR="004A6E0F">
              <w:rPr>
                <w:rFonts w:cstheme="minorBidi"/>
                <w:smallCaps w:val="0"/>
                <w:noProof/>
                <w:sz w:val="22"/>
                <w:szCs w:val="22"/>
              </w:rPr>
              <w:tab/>
            </w:r>
            <w:r w:rsidR="004A6E0F" w:rsidRPr="00497499">
              <w:rPr>
                <w:rStyle w:val="Hyperlink"/>
                <w:noProof/>
              </w:rPr>
              <w:t>Projected Loss Ratio</w:t>
            </w:r>
            <w:r w:rsidR="004A6E0F">
              <w:rPr>
                <w:noProof/>
                <w:webHidden/>
              </w:rPr>
              <w:tab/>
            </w:r>
            <w:r w:rsidR="004A6E0F">
              <w:rPr>
                <w:noProof/>
                <w:webHidden/>
              </w:rPr>
              <w:fldChar w:fldCharType="begin"/>
            </w:r>
            <w:r w:rsidR="004A6E0F">
              <w:rPr>
                <w:noProof/>
                <w:webHidden/>
              </w:rPr>
              <w:instrText xml:space="preserve"> PAGEREF _Toc441756523 \h </w:instrText>
            </w:r>
            <w:r w:rsidR="004A6E0F">
              <w:rPr>
                <w:noProof/>
                <w:webHidden/>
              </w:rPr>
            </w:r>
            <w:r w:rsidR="004A6E0F">
              <w:rPr>
                <w:noProof/>
                <w:webHidden/>
              </w:rPr>
              <w:fldChar w:fldCharType="separate"/>
            </w:r>
            <w:r w:rsidR="004A6E0F">
              <w:rPr>
                <w:noProof/>
                <w:webHidden/>
              </w:rPr>
              <w:t>59</w:t>
            </w:r>
            <w:r w:rsidR="004A6E0F">
              <w:rPr>
                <w:noProof/>
                <w:webHidden/>
              </w:rPr>
              <w:fldChar w:fldCharType="end"/>
            </w:r>
          </w:hyperlink>
        </w:p>
        <w:p w14:paraId="2E0F0BB3" w14:textId="77777777" w:rsidR="004A6E0F" w:rsidRDefault="00C251E9">
          <w:pPr>
            <w:pStyle w:val="TOC2"/>
            <w:tabs>
              <w:tab w:val="left" w:pos="880"/>
              <w:tab w:val="right" w:leader="dot" w:pos="9350"/>
            </w:tabs>
            <w:rPr>
              <w:rFonts w:cstheme="minorBidi"/>
              <w:smallCaps w:val="0"/>
              <w:noProof/>
              <w:sz w:val="22"/>
              <w:szCs w:val="22"/>
            </w:rPr>
          </w:pPr>
          <w:hyperlink w:anchor="_Toc441756524" w:history="1">
            <w:r w:rsidR="004A6E0F" w:rsidRPr="00497499">
              <w:rPr>
                <w:rStyle w:val="Hyperlink"/>
                <w:noProof/>
              </w:rPr>
              <w:t>4.6</w:t>
            </w:r>
            <w:r w:rsidR="004A6E0F">
              <w:rPr>
                <w:rFonts w:cstheme="minorBidi"/>
                <w:smallCaps w:val="0"/>
                <w:noProof/>
                <w:sz w:val="22"/>
                <w:szCs w:val="22"/>
              </w:rPr>
              <w:tab/>
            </w:r>
            <w:r w:rsidR="004A6E0F" w:rsidRPr="00497499">
              <w:rPr>
                <w:rStyle w:val="Hyperlink"/>
                <w:noProof/>
              </w:rPr>
              <w:t>Application of Market Reform Rating Rules</w:t>
            </w:r>
            <w:r w:rsidR="004A6E0F">
              <w:rPr>
                <w:noProof/>
                <w:webHidden/>
              </w:rPr>
              <w:tab/>
            </w:r>
            <w:r w:rsidR="004A6E0F">
              <w:rPr>
                <w:noProof/>
                <w:webHidden/>
              </w:rPr>
              <w:fldChar w:fldCharType="begin"/>
            </w:r>
            <w:r w:rsidR="004A6E0F">
              <w:rPr>
                <w:noProof/>
                <w:webHidden/>
              </w:rPr>
              <w:instrText xml:space="preserve"> PAGEREF _Toc441756524 \h </w:instrText>
            </w:r>
            <w:r w:rsidR="004A6E0F">
              <w:rPr>
                <w:noProof/>
                <w:webHidden/>
              </w:rPr>
            </w:r>
            <w:r w:rsidR="004A6E0F">
              <w:rPr>
                <w:noProof/>
                <w:webHidden/>
              </w:rPr>
              <w:fldChar w:fldCharType="separate"/>
            </w:r>
            <w:r w:rsidR="004A6E0F">
              <w:rPr>
                <w:noProof/>
                <w:webHidden/>
              </w:rPr>
              <w:t>59</w:t>
            </w:r>
            <w:r w:rsidR="004A6E0F">
              <w:rPr>
                <w:noProof/>
                <w:webHidden/>
              </w:rPr>
              <w:fldChar w:fldCharType="end"/>
            </w:r>
          </w:hyperlink>
        </w:p>
        <w:p w14:paraId="12409504" w14:textId="77777777" w:rsidR="004A6E0F" w:rsidRDefault="00C251E9">
          <w:pPr>
            <w:pStyle w:val="TOC3"/>
            <w:tabs>
              <w:tab w:val="left" w:pos="1100"/>
              <w:tab w:val="right" w:leader="dot" w:pos="9350"/>
            </w:tabs>
            <w:rPr>
              <w:rFonts w:cstheme="minorBidi"/>
              <w:i w:val="0"/>
              <w:iCs w:val="0"/>
              <w:noProof/>
              <w:sz w:val="22"/>
              <w:szCs w:val="22"/>
            </w:rPr>
          </w:pPr>
          <w:hyperlink w:anchor="_Toc441756525" w:history="1">
            <w:r w:rsidR="004A6E0F" w:rsidRPr="00497499">
              <w:rPr>
                <w:rStyle w:val="Hyperlink"/>
                <w:noProof/>
              </w:rPr>
              <w:t>4.6.1</w:t>
            </w:r>
            <w:r w:rsidR="004A6E0F">
              <w:rPr>
                <w:rFonts w:cstheme="minorBidi"/>
                <w:i w:val="0"/>
                <w:iCs w:val="0"/>
                <w:noProof/>
                <w:sz w:val="22"/>
                <w:szCs w:val="22"/>
              </w:rPr>
              <w:tab/>
            </w:r>
            <w:r w:rsidR="004A6E0F" w:rsidRPr="00497499">
              <w:rPr>
                <w:rStyle w:val="Hyperlink"/>
                <w:noProof/>
              </w:rPr>
              <w:t>Single Risk Pool</w:t>
            </w:r>
            <w:r w:rsidR="004A6E0F">
              <w:rPr>
                <w:noProof/>
                <w:webHidden/>
              </w:rPr>
              <w:tab/>
            </w:r>
            <w:r w:rsidR="004A6E0F">
              <w:rPr>
                <w:noProof/>
                <w:webHidden/>
              </w:rPr>
              <w:fldChar w:fldCharType="begin"/>
            </w:r>
            <w:r w:rsidR="004A6E0F">
              <w:rPr>
                <w:noProof/>
                <w:webHidden/>
              </w:rPr>
              <w:instrText xml:space="preserve"> PAGEREF _Toc441756525 \h </w:instrText>
            </w:r>
            <w:r w:rsidR="004A6E0F">
              <w:rPr>
                <w:noProof/>
                <w:webHidden/>
              </w:rPr>
            </w:r>
            <w:r w:rsidR="004A6E0F">
              <w:rPr>
                <w:noProof/>
                <w:webHidden/>
              </w:rPr>
              <w:fldChar w:fldCharType="separate"/>
            </w:r>
            <w:r w:rsidR="004A6E0F">
              <w:rPr>
                <w:noProof/>
                <w:webHidden/>
              </w:rPr>
              <w:t>59</w:t>
            </w:r>
            <w:r w:rsidR="004A6E0F">
              <w:rPr>
                <w:noProof/>
                <w:webHidden/>
              </w:rPr>
              <w:fldChar w:fldCharType="end"/>
            </w:r>
          </w:hyperlink>
        </w:p>
        <w:p w14:paraId="52A17CC4" w14:textId="77777777" w:rsidR="004A6E0F" w:rsidRDefault="00C251E9">
          <w:pPr>
            <w:pStyle w:val="TOC3"/>
            <w:tabs>
              <w:tab w:val="left" w:pos="1100"/>
              <w:tab w:val="right" w:leader="dot" w:pos="9350"/>
            </w:tabs>
            <w:rPr>
              <w:rFonts w:cstheme="minorBidi"/>
              <w:i w:val="0"/>
              <w:iCs w:val="0"/>
              <w:noProof/>
              <w:sz w:val="22"/>
              <w:szCs w:val="22"/>
            </w:rPr>
          </w:pPr>
          <w:hyperlink w:anchor="_Toc441756526" w:history="1">
            <w:r w:rsidR="004A6E0F" w:rsidRPr="00497499">
              <w:rPr>
                <w:rStyle w:val="Hyperlink"/>
                <w:noProof/>
              </w:rPr>
              <w:t>4.6.2</w:t>
            </w:r>
            <w:r w:rsidR="004A6E0F">
              <w:rPr>
                <w:rFonts w:cstheme="minorBidi"/>
                <w:i w:val="0"/>
                <w:iCs w:val="0"/>
                <w:noProof/>
                <w:sz w:val="22"/>
                <w:szCs w:val="22"/>
              </w:rPr>
              <w:tab/>
            </w:r>
            <w:r w:rsidR="004A6E0F" w:rsidRPr="00497499">
              <w:rPr>
                <w:rStyle w:val="Hyperlink"/>
                <w:noProof/>
              </w:rPr>
              <w:t>Index Rate</w:t>
            </w:r>
            <w:r w:rsidR="004A6E0F">
              <w:rPr>
                <w:noProof/>
                <w:webHidden/>
              </w:rPr>
              <w:tab/>
            </w:r>
            <w:r w:rsidR="004A6E0F">
              <w:rPr>
                <w:noProof/>
                <w:webHidden/>
              </w:rPr>
              <w:fldChar w:fldCharType="begin"/>
            </w:r>
            <w:r w:rsidR="004A6E0F">
              <w:rPr>
                <w:noProof/>
                <w:webHidden/>
              </w:rPr>
              <w:instrText xml:space="preserve"> PAGEREF _Toc441756526 \h </w:instrText>
            </w:r>
            <w:r w:rsidR="004A6E0F">
              <w:rPr>
                <w:noProof/>
                <w:webHidden/>
              </w:rPr>
            </w:r>
            <w:r w:rsidR="004A6E0F">
              <w:rPr>
                <w:noProof/>
                <w:webHidden/>
              </w:rPr>
              <w:fldChar w:fldCharType="separate"/>
            </w:r>
            <w:r w:rsidR="004A6E0F">
              <w:rPr>
                <w:noProof/>
                <w:webHidden/>
              </w:rPr>
              <w:t>60</w:t>
            </w:r>
            <w:r w:rsidR="004A6E0F">
              <w:rPr>
                <w:noProof/>
                <w:webHidden/>
              </w:rPr>
              <w:fldChar w:fldCharType="end"/>
            </w:r>
          </w:hyperlink>
        </w:p>
        <w:p w14:paraId="183C3B87" w14:textId="77777777" w:rsidR="004A6E0F" w:rsidRDefault="00C251E9">
          <w:pPr>
            <w:pStyle w:val="TOC3"/>
            <w:tabs>
              <w:tab w:val="left" w:pos="1100"/>
              <w:tab w:val="right" w:leader="dot" w:pos="9350"/>
            </w:tabs>
            <w:rPr>
              <w:rFonts w:cstheme="minorBidi"/>
              <w:i w:val="0"/>
              <w:iCs w:val="0"/>
              <w:noProof/>
              <w:sz w:val="22"/>
              <w:szCs w:val="22"/>
            </w:rPr>
          </w:pPr>
          <w:hyperlink w:anchor="_Toc441756527" w:history="1">
            <w:r w:rsidR="004A6E0F" w:rsidRPr="00497499">
              <w:rPr>
                <w:rStyle w:val="Hyperlink"/>
                <w:noProof/>
              </w:rPr>
              <w:t>4.6.3</w:t>
            </w:r>
            <w:r w:rsidR="004A6E0F">
              <w:rPr>
                <w:rFonts w:cstheme="minorBidi"/>
                <w:i w:val="0"/>
                <w:iCs w:val="0"/>
                <w:noProof/>
                <w:sz w:val="22"/>
                <w:szCs w:val="22"/>
              </w:rPr>
              <w:tab/>
            </w:r>
            <w:r w:rsidR="004A6E0F" w:rsidRPr="00497499">
              <w:rPr>
                <w:rStyle w:val="Hyperlink"/>
                <w:noProof/>
              </w:rPr>
              <w:t>Market Adjusted Index Rate</w:t>
            </w:r>
            <w:r w:rsidR="004A6E0F">
              <w:rPr>
                <w:noProof/>
                <w:webHidden/>
              </w:rPr>
              <w:tab/>
            </w:r>
            <w:r w:rsidR="004A6E0F">
              <w:rPr>
                <w:noProof/>
                <w:webHidden/>
              </w:rPr>
              <w:fldChar w:fldCharType="begin"/>
            </w:r>
            <w:r w:rsidR="004A6E0F">
              <w:rPr>
                <w:noProof/>
                <w:webHidden/>
              </w:rPr>
              <w:instrText xml:space="preserve"> PAGEREF _Toc441756527 \h </w:instrText>
            </w:r>
            <w:r w:rsidR="004A6E0F">
              <w:rPr>
                <w:noProof/>
                <w:webHidden/>
              </w:rPr>
            </w:r>
            <w:r w:rsidR="004A6E0F">
              <w:rPr>
                <w:noProof/>
                <w:webHidden/>
              </w:rPr>
              <w:fldChar w:fldCharType="separate"/>
            </w:r>
            <w:r w:rsidR="004A6E0F">
              <w:rPr>
                <w:noProof/>
                <w:webHidden/>
              </w:rPr>
              <w:t>61</w:t>
            </w:r>
            <w:r w:rsidR="004A6E0F">
              <w:rPr>
                <w:noProof/>
                <w:webHidden/>
              </w:rPr>
              <w:fldChar w:fldCharType="end"/>
            </w:r>
          </w:hyperlink>
        </w:p>
        <w:p w14:paraId="59C47917" w14:textId="77777777" w:rsidR="004A6E0F" w:rsidRDefault="00C251E9">
          <w:pPr>
            <w:pStyle w:val="TOC3"/>
            <w:tabs>
              <w:tab w:val="left" w:pos="1100"/>
              <w:tab w:val="right" w:leader="dot" w:pos="9350"/>
            </w:tabs>
            <w:rPr>
              <w:rFonts w:cstheme="minorBidi"/>
              <w:i w:val="0"/>
              <w:iCs w:val="0"/>
              <w:noProof/>
              <w:sz w:val="22"/>
              <w:szCs w:val="22"/>
            </w:rPr>
          </w:pPr>
          <w:hyperlink w:anchor="_Toc441756528" w:history="1">
            <w:r w:rsidR="004A6E0F" w:rsidRPr="00497499">
              <w:rPr>
                <w:rStyle w:val="Hyperlink"/>
                <w:noProof/>
              </w:rPr>
              <w:t>4.6.4</w:t>
            </w:r>
            <w:r w:rsidR="004A6E0F">
              <w:rPr>
                <w:rFonts w:cstheme="minorBidi"/>
                <w:i w:val="0"/>
                <w:iCs w:val="0"/>
                <w:noProof/>
                <w:sz w:val="22"/>
                <w:szCs w:val="22"/>
              </w:rPr>
              <w:tab/>
            </w:r>
            <w:r w:rsidR="004A6E0F" w:rsidRPr="00497499">
              <w:rPr>
                <w:rStyle w:val="Hyperlink"/>
                <w:noProof/>
              </w:rPr>
              <w:t>Plan Adjusted Index Rates</w:t>
            </w:r>
            <w:r w:rsidR="004A6E0F">
              <w:rPr>
                <w:noProof/>
                <w:webHidden/>
              </w:rPr>
              <w:tab/>
            </w:r>
            <w:r w:rsidR="004A6E0F">
              <w:rPr>
                <w:noProof/>
                <w:webHidden/>
              </w:rPr>
              <w:fldChar w:fldCharType="begin"/>
            </w:r>
            <w:r w:rsidR="004A6E0F">
              <w:rPr>
                <w:noProof/>
                <w:webHidden/>
              </w:rPr>
              <w:instrText xml:space="preserve"> PAGEREF _Toc441756528 \h </w:instrText>
            </w:r>
            <w:r w:rsidR="004A6E0F">
              <w:rPr>
                <w:noProof/>
                <w:webHidden/>
              </w:rPr>
            </w:r>
            <w:r w:rsidR="004A6E0F">
              <w:rPr>
                <w:noProof/>
                <w:webHidden/>
              </w:rPr>
              <w:fldChar w:fldCharType="separate"/>
            </w:r>
            <w:r w:rsidR="004A6E0F">
              <w:rPr>
                <w:noProof/>
                <w:webHidden/>
              </w:rPr>
              <w:t>62</w:t>
            </w:r>
            <w:r w:rsidR="004A6E0F">
              <w:rPr>
                <w:noProof/>
                <w:webHidden/>
              </w:rPr>
              <w:fldChar w:fldCharType="end"/>
            </w:r>
          </w:hyperlink>
        </w:p>
        <w:p w14:paraId="61665965" w14:textId="77777777" w:rsidR="004A6E0F" w:rsidRDefault="00C251E9">
          <w:pPr>
            <w:pStyle w:val="TOC3"/>
            <w:tabs>
              <w:tab w:val="left" w:pos="1100"/>
              <w:tab w:val="right" w:leader="dot" w:pos="9350"/>
            </w:tabs>
            <w:rPr>
              <w:rFonts w:cstheme="minorBidi"/>
              <w:i w:val="0"/>
              <w:iCs w:val="0"/>
              <w:noProof/>
              <w:sz w:val="22"/>
              <w:szCs w:val="22"/>
            </w:rPr>
          </w:pPr>
          <w:hyperlink w:anchor="_Toc441756529" w:history="1">
            <w:r w:rsidR="004A6E0F" w:rsidRPr="00497499">
              <w:rPr>
                <w:rStyle w:val="Hyperlink"/>
                <w:noProof/>
              </w:rPr>
              <w:t>4.6.5</w:t>
            </w:r>
            <w:r w:rsidR="004A6E0F">
              <w:rPr>
                <w:rFonts w:cstheme="minorBidi"/>
                <w:i w:val="0"/>
                <w:iCs w:val="0"/>
                <w:noProof/>
                <w:sz w:val="22"/>
                <w:szCs w:val="22"/>
              </w:rPr>
              <w:tab/>
            </w:r>
            <w:r w:rsidR="004A6E0F" w:rsidRPr="00497499">
              <w:rPr>
                <w:rStyle w:val="Hyperlink"/>
                <w:noProof/>
              </w:rPr>
              <w:t>Calibration</w:t>
            </w:r>
            <w:r w:rsidR="004A6E0F">
              <w:rPr>
                <w:noProof/>
                <w:webHidden/>
              </w:rPr>
              <w:tab/>
            </w:r>
            <w:r w:rsidR="004A6E0F">
              <w:rPr>
                <w:noProof/>
                <w:webHidden/>
              </w:rPr>
              <w:fldChar w:fldCharType="begin"/>
            </w:r>
            <w:r w:rsidR="004A6E0F">
              <w:rPr>
                <w:noProof/>
                <w:webHidden/>
              </w:rPr>
              <w:instrText xml:space="preserve"> PAGEREF _Toc441756529 \h </w:instrText>
            </w:r>
            <w:r w:rsidR="004A6E0F">
              <w:rPr>
                <w:noProof/>
                <w:webHidden/>
              </w:rPr>
            </w:r>
            <w:r w:rsidR="004A6E0F">
              <w:rPr>
                <w:noProof/>
                <w:webHidden/>
              </w:rPr>
              <w:fldChar w:fldCharType="separate"/>
            </w:r>
            <w:r w:rsidR="004A6E0F">
              <w:rPr>
                <w:noProof/>
                <w:webHidden/>
              </w:rPr>
              <w:t>63</w:t>
            </w:r>
            <w:r w:rsidR="004A6E0F">
              <w:rPr>
                <w:noProof/>
                <w:webHidden/>
              </w:rPr>
              <w:fldChar w:fldCharType="end"/>
            </w:r>
          </w:hyperlink>
        </w:p>
        <w:p w14:paraId="2E806311" w14:textId="77777777" w:rsidR="004A6E0F" w:rsidRDefault="00C251E9">
          <w:pPr>
            <w:pStyle w:val="TOC3"/>
            <w:tabs>
              <w:tab w:val="left" w:pos="1100"/>
              <w:tab w:val="right" w:leader="dot" w:pos="9350"/>
            </w:tabs>
            <w:rPr>
              <w:rFonts w:cstheme="minorBidi"/>
              <w:i w:val="0"/>
              <w:iCs w:val="0"/>
              <w:noProof/>
              <w:sz w:val="22"/>
              <w:szCs w:val="22"/>
            </w:rPr>
          </w:pPr>
          <w:hyperlink w:anchor="_Toc441756530" w:history="1">
            <w:r w:rsidR="004A6E0F" w:rsidRPr="00497499">
              <w:rPr>
                <w:rStyle w:val="Hyperlink"/>
                <w:noProof/>
              </w:rPr>
              <w:t>4.6.6</w:t>
            </w:r>
            <w:r w:rsidR="004A6E0F">
              <w:rPr>
                <w:rFonts w:cstheme="minorBidi"/>
                <w:i w:val="0"/>
                <w:iCs w:val="0"/>
                <w:noProof/>
                <w:sz w:val="22"/>
                <w:szCs w:val="22"/>
              </w:rPr>
              <w:tab/>
            </w:r>
            <w:r w:rsidR="004A6E0F" w:rsidRPr="00497499">
              <w:rPr>
                <w:rStyle w:val="Hyperlink"/>
                <w:noProof/>
              </w:rPr>
              <w:t>Consumer Adjusted Premium Rate Development</w:t>
            </w:r>
            <w:r w:rsidR="004A6E0F">
              <w:rPr>
                <w:noProof/>
                <w:webHidden/>
              </w:rPr>
              <w:tab/>
            </w:r>
            <w:r w:rsidR="004A6E0F">
              <w:rPr>
                <w:noProof/>
                <w:webHidden/>
              </w:rPr>
              <w:fldChar w:fldCharType="begin"/>
            </w:r>
            <w:r w:rsidR="004A6E0F">
              <w:rPr>
                <w:noProof/>
                <w:webHidden/>
              </w:rPr>
              <w:instrText xml:space="preserve"> PAGEREF _Toc441756530 \h </w:instrText>
            </w:r>
            <w:r w:rsidR="004A6E0F">
              <w:rPr>
                <w:noProof/>
                <w:webHidden/>
              </w:rPr>
            </w:r>
            <w:r w:rsidR="004A6E0F">
              <w:rPr>
                <w:noProof/>
                <w:webHidden/>
              </w:rPr>
              <w:fldChar w:fldCharType="separate"/>
            </w:r>
            <w:r w:rsidR="004A6E0F">
              <w:rPr>
                <w:noProof/>
                <w:webHidden/>
              </w:rPr>
              <w:t>65</w:t>
            </w:r>
            <w:r w:rsidR="004A6E0F">
              <w:rPr>
                <w:noProof/>
                <w:webHidden/>
              </w:rPr>
              <w:fldChar w:fldCharType="end"/>
            </w:r>
          </w:hyperlink>
        </w:p>
        <w:p w14:paraId="0E6541D2" w14:textId="77777777" w:rsidR="004A6E0F" w:rsidRDefault="00C251E9">
          <w:pPr>
            <w:pStyle w:val="TOC2"/>
            <w:tabs>
              <w:tab w:val="left" w:pos="880"/>
              <w:tab w:val="right" w:leader="dot" w:pos="9350"/>
            </w:tabs>
            <w:rPr>
              <w:rFonts w:cstheme="minorBidi"/>
              <w:smallCaps w:val="0"/>
              <w:noProof/>
              <w:sz w:val="22"/>
              <w:szCs w:val="22"/>
            </w:rPr>
          </w:pPr>
          <w:hyperlink w:anchor="_Toc441756531" w:history="1">
            <w:r w:rsidR="004A6E0F" w:rsidRPr="00497499">
              <w:rPr>
                <w:rStyle w:val="Hyperlink"/>
                <w:noProof/>
              </w:rPr>
              <w:t>4.7</w:t>
            </w:r>
            <w:r w:rsidR="004A6E0F">
              <w:rPr>
                <w:rFonts w:cstheme="minorBidi"/>
                <w:smallCaps w:val="0"/>
                <w:noProof/>
                <w:sz w:val="22"/>
                <w:szCs w:val="22"/>
              </w:rPr>
              <w:tab/>
            </w:r>
            <w:r w:rsidR="004A6E0F" w:rsidRPr="00497499">
              <w:rPr>
                <w:rStyle w:val="Hyperlink"/>
                <w:noProof/>
              </w:rPr>
              <w:t>Plan Product Info</w:t>
            </w:r>
            <w:r w:rsidR="004A6E0F">
              <w:rPr>
                <w:noProof/>
                <w:webHidden/>
              </w:rPr>
              <w:tab/>
            </w:r>
            <w:r w:rsidR="004A6E0F">
              <w:rPr>
                <w:noProof/>
                <w:webHidden/>
              </w:rPr>
              <w:fldChar w:fldCharType="begin"/>
            </w:r>
            <w:r w:rsidR="004A6E0F">
              <w:rPr>
                <w:noProof/>
                <w:webHidden/>
              </w:rPr>
              <w:instrText xml:space="preserve"> PAGEREF _Toc441756531 \h </w:instrText>
            </w:r>
            <w:r w:rsidR="004A6E0F">
              <w:rPr>
                <w:noProof/>
                <w:webHidden/>
              </w:rPr>
            </w:r>
            <w:r w:rsidR="004A6E0F">
              <w:rPr>
                <w:noProof/>
                <w:webHidden/>
              </w:rPr>
              <w:fldChar w:fldCharType="separate"/>
            </w:r>
            <w:r w:rsidR="004A6E0F">
              <w:rPr>
                <w:noProof/>
                <w:webHidden/>
              </w:rPr>
              <w:t>65</w:t>
            </w:r>
            <w:r w:rsidR="004A6E0F">
              <w:rPr>
                <w:noProof/>
                <w:webHidden/>
              </w:rPr>
              <w:fldChar w:fldCharType="end"/>
            </w:r>
          </w:hyperlink>
        </w:p>
        <w:p w14:paraId="5D9AC312" w14:textId="77777777" w:rsidR="004A6E0F" w:rsidRDefault="00C251E9">
          <w:pPr>
            <w:pStyle w:val="TOC3"/>
            <w:tabs>
              <w:tab w:val="left" w:pos="1100"/>
              <w:tab w:val="right" w:leader="dot" w:pos="9350"/>
            </w:tabs>
            <w:rPr>
              <w:rFonts w:cstheme="minorBidi"/>
              <w:i w:val="0"/>
              <w:iCs w:val="0"/>
              <w:noProof/>
              <w:sz w:val="22"/>
              <w:szCs w:val="22"/>
            </w:rPr>
          </w:pPr>
          <w:hyperlink w:anchor="_Toc441756532" w:history="1">
            <w:r w:rsidR="004A6E0F" w:rsidRPr="00497499">
              <w:rPr>
                <w:rStyle w:val="Hyperlink"/>
                <w:noProof/>
              </w:rPr>
              <w:t>4.7.1</w:t>
            </w:r>
            <w:r w:rsidR="004A6E0F">
              <w:rPr>
                <w:rFonts w:cstheme="minorBidi"/>
                <w:i w:val="0"/>
                <w:iCs w:val="0"/>
                <w:noProof/>
                <w:sz w:val="22"/>
                <w:szCs w:val="22"/>
              </w:rPr>
              <w:tab/>
            </w:r>
            <w:r w:rsidR="004A6E0F" w:rsidRPr="00497499">
              <w:rPr>
                <w:rStyle w:val="Hyperlink"/>
                <w:noProof/>
              </w:rPr>
              <w:t>AV Metal Values</w:t>
            </w:r>
            <w:r w:rsidR="004A6E0F">
              <w:rPr>
                <w:noProof/>
                <w:webHidden/>
              </w:rPr>
              <w:tab/>
            </w:r>
            <w:r w:rsidR="004A6E0F">
              <w:rPr>
                <w:noProof/>
                <w:webHidden/>
              </w:rPr>
              <w:fldChar w:fldCharType="begin"/>
            </w:r>
            <w:r w:rsidR="004A6E0F">
              <w:rPr>
                <w:noProof/>
                <w:webHidden/>
              </w:rPr>
              <w:instrText xml:space="preserve"> PAGEREF _Toc441756532 \h </w:instrText>
            </w:r>
            <w:r w:rsidR="004A6E0F">
              <w:rPr>
                <w:noProof/>
                <w:webHidden/>
              </w:rPr>
            </w:r>
            <w:r w:rsidR="004A6E0F">
              <w:rPr>
                <w:noProof/>
                <w:webHidden/>
              </w:rPr>
              <w:fldChar w:fldCharType="separate"/>
            </w:r>
            <w:r w:rsidR="004A6E0F">
              <w:rPr>
                <w:noProof/>
                <w:webHidden/>
              </w:rPr>
              <w:t>65</w:t>
            </w:r>
            <w:r w:rsidR="004A6E0F">
              <w:rPr>
                <w:noProof/>
                <w:webHidden/>
              </w:rPr>
              <w:fldChar w:fldCharType="end"/>
            </w:r>
          </w:hyperlink>
        </w:p>
        <w:p w14:paraId="153A62B5" w14:textId="77777777" w:rsidR="004A6E0F" w:rsidRDefault="00C251E9">
          <w:pPr>
            <w:pStyle w:val="TOC3"/>
            <w:tabs>
              <w:tab w:val="left" w:pos="1100"/>
              <w:tab w:val="right" w:leader="dot" w:pos="9350"/>
            </w:tabs>
            <w:rPr>
              <w:rFonts w:cstheme="minorBidi"/>
              <w:i w:val="0"/>
              <w:iCs w:val="0"/>
              <w:noProof/>
              <w:sz w:val="22"/>
              <w:szCs w:val="22"/>
            </w:rPr>
          </w:pPr>
          <w:hyperlink w:anchor="_Toc441756533" w:history="1">
            <w:r w:rsidR="004A6E0F" w:rsidRPr="00497499">
              <w:rPr>
                <w:rStyle w:val="Hyperlink"/>
                <w:noProof/>
              </w:rPr>
              <w:t>4.7.2</w:t>
            </w:r>
            <w:r w:rsidR="004A6E0F">
              <w:rPr>
                <w:rFonts w:cstheme="minorBidi"/>
                <w:i w:val="0"/>
                <w:iCs w:val="0"/>
                <w:noProof/>
                <w:sz w:val="22"/>
                <w:szCs w:val="22"/>
              </w:rPr>
              <w:tab/>
            </w:r>
            <w:r w:rsidR="004A6E0F" w:rsidRPr="00497499">
              <w:rPr>
                <w:rStyle w:val="Hyperlink"/>
                <w:noProof/>
              </w:rPr>
              <w:t>AV Pricing Values</w:t>
            </w:r>
            <w:r w:rsidR="004A6E0F">
              <w:rPr>
                <w:noProof/>
                <w:webHidden/>
              </w:rPr>
              <w:tab/>
            </w:r>
            <w:r w:rsidR="004A6E0F">
              <w:rPr>
                <w:noProof/>
                <w:webHidden/>
              </w:rPr>
              <w:fldChar w:fldCharType="begin"/>
            </w:r>
            <w:r w:rsidR="004A6E0F">
              <w:rPr>
                <w:noProof/>
                <w:webHidden/>
              </w:rPr>
              <w:instrText xml:space="preserve"> PAGEREF _Toc441756533 \h </w:instrText>
            </w:r>
            <w:r w:rsidR="004A6E0F">
              <w:rPr>
                <w:noProof/>
                <w:webHidden/>
              </w:rPr>
            </w:r>
            <w:r w:rsidR="004A6E0F">
              <w:rPr>
                <w:noProof/>
                <w:webHidden/>
              </w:rPr>
              <w:fldChar w:fldCharType="separate"/>
            </w:r>
            <w:r w:rsidR="004A6E0F">
              <w:rPr>
                <w:noProof/>
                <w:webHidden/>
              </w:rPr>
              <w:t>65</w:t>
            </w:r>
            <w:r w:rsidR="004A6E0F">
              <w:rPr>
                <w:noProof/>
                <w:webHidden/>
              </w:rPr>
              <w:fldChar w:fldCharType="end"/>
            </w:r>
          </w:hyperlink>
        </w:p>
        <w:p w14:paraId="7BE97312" w14:textId="77777777" w:rsidR="004A6E0F" w:rsidRDefault="00C251E9">
          <w:pPr>
            <w:pStyle w:val="TOC3"/>
            <w:tabs>
              <w:tab w:val="left" w:pos="1100"/>
              <w:tab w:val="right" w:leader="dot" w:pos="9350"/>
            </w:tabs>
            <w:rPr>
              <w:rFonts w:cstheme="minorBidi"/>
              <w:i w:val="0"/>
              <w:iCs w:val="0"/>
              <w:noProof/>
              <w:sz w:val="22"/>
              <w:szCs w:val="22"/>
            </w:rPr>
          </w:pPr>
          <w:hyperlink w:anchor="_Toc441756534" w:history="1">
            <w:r w:rsidR="004A6E0F" w:rsidRPr="00497499">
              <w:rPr>
                <w:rStyle w:val="Hyperlink"/>
                <w:noProof/>
              </w:rPr>
              <w:t>4.7.3</w:t>
            </w:r>
            <w:r w:rsidR="004A6E0F">
              <w:rPr>
                <w:rFonts w:cstheme="minorBidi"/>
                <w:i w:val="0"/>
                <w:iCs w:val="0"/>
                <w:noProof/>
                <w:sz w:val="22"/>
                <w:szCs w:val="22"/>
              </w:rPr>
              <w:tab/>
            </w:r>
            <w:r w:rsidR="004A6E0F" w:rsidRPr="00497499">
              <w:rPr>
                <w:rStyle w:val="Hyperlink"/>
                <w:noProof/>
              </w:rPr>
              <w:t>Membership Projections</w:t>
            </w:r>
            <w:r w:rsidR="004A6E0F">
              <w:rPr>
                <w:noProof/>
                <w:webHidden/>
              </w:rPr>
              <w:tab/>
            </w:r>
            <w:r w:rsidR="004A6E0F">
              <w:rPr>
                <w:noProof/>
                <w:webHidden/>
              </w:rPr>
              <w:fldChar w:fldCharType="begin"/>
            </w:r>
            <w:r w:rsidR="004A6E0F">
              <w:rPr>
                <w:noProof/>
                <w:webHidden/>
              </w:rPr>
              <w:instrText xml:space="preserve"> PAGEREF _Toc441756534 \h </w:instrText>
            </w:r>
            <w:r w:rsidR="004A6E0F">
              <w:rPr>
                <w:noProof/>
                <w:webHidden/>
              </w:rPr>
            </w:r>
            <w:r w:rsidR="004A6E0F">
              <w:rPr>
                <w:noProof/>
                <w:webHidden/>
              </w:rPr>
              <w:fldChar w:fldCharType="separate"/>
            </w:r>
            <w:r w:rsidR="004A6E0F">
              <w:rPr>
                <w:noProof/>
                <w:webHidden/>
              </w:rPr>
              <w:t>65</w:t>
            </w:r>
            <w:r w:rsidR="004A6E0F">
              <w:rPr>
                <w:noProof/>
                <w:webHidden/>
              </w:rPr>
              <w:fldChar w:fldCharType="end"/>
            </w:r>
          </w:hyperlink>
        </w:p>
        <w:p w14:paraId="45F07805" w14:textId="77777777" w:rsidR="004A6E0F" w:rsidRDefault="00C251E9">
          <w:pPr>
            <w:pStyle w:val="TOC3"/>
            <w:tabs>
              <w:tab w:val="left" w:pos="1100"/>
              <w:tab w:val="right" w:leader="dot" w:pos="9350"/>
            </w:tabs>
            <w:rPr>
              <w:rFonts w:cstheme="minorBidi"/>
              <w:i w:val="0"/>
              <w:iCs w:val="0"/>
              <w:noProof/>
              <w:sz w:val="22"/>
              <w:szCs w:val="22"/>
            </w:rPr>
          </w:pPr>
          <w:hyperlink w:anchor="_Toc441756535" w:history="1">
            <w:r w:rsidR="004A6E0F" w:rsidRPr="00497499">
              <w:rPr>
                <w:rStyle w:val="Hyperlink"/>
                <w:noProof/>
              </w:rPr>
              <w:t>4.7.4</w:t>
            </w:r>
            <w:r w:rsidR="004A6E0F">
              <w:rPr>
                <w:rFonts w:cstheme="minorBidi"/>
                <w:i w:val="0"/>
                <w:iCs w:val="0"/>
                <w:noProof/>
                <w:sz w:val="22"/>
                <w:szCs w:val="22"/>
              </w:rPr>
              <w:tab/>
            </w:r>
            <w:r w:rsidR="004A6E0F" w:rsidRPr="00497499">
              <w:rPr>
                <w:rStyle w:val="Hyperlink"/>
                <w:noProof/>
              </w:rPr>
              <w:t>Terminated Plans and Products</w:t>
            </w:r>
            <w:r w:rsidR="004A6E0F">
              <w:rPr>
                <w:noProof/>
                <w:webHidden/>
              </w:rPr>
              <w:tab/>
            </w:r>
            <w:r w:rsidR="004A6E0F">
              <w:rPr>
                <w:noProof/>
                <w:webHidden/>
              </w:rPr>
              <w:fldChar w:fldCharType="begin"/>
            </w:r>
            <w:r w:rsidR="004A6E0F">
              <w:rPr>
                <w:noProof/>
                <w:webHidden/>
              </w:rPr>
              <w:instrText xml:space="preserve"> PAGEREF _Toc441756535 \h </w:instrText>
            </w:r>
            <w:r w:rsidR="004A6E0F">
              <w:rPr>
                <w:noProof/>
                <w:webHidden/>
              </w:rPr>
            </w:r>
            <w:r w:rsidR="004A6E0F">
              <w:rPr>
                <w:noProof/>
                <w:webHidden/>
              </w:rPr>
              <w:fldChar w:fldCharType="separate"/>
            </w:r>
            <w:r w:rsidR="004A6E0F">
              <w:rPr>
                <w:noProof/>
                <w:webHidden/>
              </w:rPr>
              <w:t>66</w:t>
            </w:r>
            <w:r w:rsidR="004A6E0F">
              <w:rPr>
                <w:noProof/>
                <w:webHidden/>
              </w:rPr>
              <w:fldChar w:fldCharType="end"/>
            </w:r>
          </w:hyperlink>
        </w:p>
        <w:p w14:paraId="353922AC" w14:textId="77777777" w:rsidR="004A6E0F" w:rsidRDefault="00C251E9">
          <w:pPr>
            <w:pStyle w:val="TOC3"/>
            <w:tabs>
              <w:tab w:val="left" w:pos="1100"/>
              <w:tab w:val="right" w:leader="dot" w:pos="9350"/>
            </w:tabs>
            <w:rPr>
              <w:rFonts w:cstheme="minorBidi"/>
              <w:i w:val="0"/>
              <w:iCs w:val="0"/>
              <w:noProof/>
              <w:sz w:val="22"/>
              <w:szCs w:val="22"/>
            </w:rPr>
          </w:pPr>
          <w:hyperlink w:anchor="_Toc441756536" w:history="1">
            <w:r w:rsidR="004A6E0F" w:rsidRPr="00497499">
              <w:rPr>
                <w:rStyle w:val="Hyperlink"/>
                <w:noProof/>
              </w:rPr>
              <w:t>4.7.5</w:t>
            </w:r>
            <w:r w:rsidR="004A6E0F">
              <w:rPr>
                <w:rFonts w:cstheme="minorBidi"/>
                <w:i w:val="0"/>
                <w:iCs w:val="0"/>
                <w:noProof/>
                <w:sz w:val="22"/>
                <w:szCs w:val="22"/>
              </w:rPr>
              <w:tab/>
            </w:r>
            <w:r w:rsidR="004A6E0F" w:rsidRPr="00497499">
              <w:rPr>
                <w:rStyle w:val="Hyperlink"/>
                <w:noProof/>
              </w:rPr>
              <w:t>Plan Type</w:t>
            </w:r>
            <w:r w:rsidR="004A6E0F">
              <w:rPr>
                <w:noProof/>
                <w:webHidden/>
              </w:rPr>
              <w:tab/>
            </w:r>
            <w:r w:rsidR="004A6E0F">
              <w:rPr>
                <w:noProof/>
                <w:webHidden/>
              </w:rPr>
              <w:fldChar w:fldCharType="begin"/>
            </w:r>
            <w:r w:rsidR="004A6E0F">
              <w:rPr>
                <w:noProof/>
                <w:webHidden/>
              </w:rPr>
              <w:instrText xml:space="preserve"> PAGEREF _Toc441756536 \h </w:instrText>
            </w:r>
            <w:r w:rsidR="004A6E0F">
              <w:rPr>
                <w:noProof/>
                <w:webHidden/>
              </w:rPr>
            </w:r>
            <w:r w:rsidR="004A6E0F">
              <w:rPr>
                <w:noProof/>
                <w:webHidden/>
              </w:rPr>
              <w:fldChar w:fldCharType="separate"/>
            </w:r>
            <w:r w:rsidR="004A6E0F">
              <w:rPr>
                <w:noProof/>
                <w:webHidden/>
              </w:rPr>
              <w:t>66</w:t>
            </w:r>
            <w:r w:rsidR="004A6E0F">
              <w:rPr>
                <w:noProof/>
                <w:webHidden/>
              </w:rPr>
              <w:fldChar w:fldCharType="end"/>
            </w:r>
          </w:hyperlink>
        </w:p>
        <w:p w14:paraId="6BF3E591" w14:textId="77777777" w:rsidR="004A6E0F" w:rsidRDefault="00C251E9">
          <w:pPr>
            <w:pStyle w:val="TOC3"/>
            <w:tabs>
              <w:tab w:val="left" w:pos="1100"/>
              <w:tab w:val="right" w:leader="dot" w:pos="9350"/>
            </w:tabs>
            <w:rPr>
              <w:rFonts w:cstheme="minorBidi"/>
              <w:i w:val="0"/>
              <w:iCs w:val="0"/>
              <w:noProof/>
              <w:sz w:val="22"/>
              <w:szCs w:val="22"/>
            </w:rPr>
          </w:pPr>
          <w:hyperlink w:anchor="_Toc441756537" w:history="1">
            <w:r w:rsidR="004A6E0F" w:rsidRPr="00497499">
              <w:rPr>
                <w:rStyle w:val="Hyperlink"/>
                <w:noProof/>
              </w:rPr>
              <w:t>4.7.6</w:t>
            </w:r>
            <w:r w:rsidR="004A6E0F">
              <w:rPr>
                <w:rFonts w:cstheme="minorBidi"/>
                <w:i w:val="0"/>
                <w:iCs w:val="0"/>
                <w:noProof/>
                <w:sz w:val="22"/>
                <w:szCs w:val="22"/>
              </w:rPr>
              <w:tab/>
            </w:r>
            <w:r w:rsidR="004A6E0F" w:rsidRPr="00497499">
              <w:rPr>
                <w:rStyle w:val="Hyperlink"/>
                <w:noProof/>
              </w:rPr>
              <w:t>Warning Alerts</w:t>
            </w:r>
            <w:r w:rsidR="004A6E0F">
              <w:rPr>
                <w:noProof/>
                <w:webHidden/>
              </w:rPr>
              <w:tab/>
            </w:r>
            <w:r w:rsidR="004A6E0F">
              <w:rPr>
                <w:noProof/>
                <w:webHidden/>
              </w:rPr>
              <w:fldChar w:fldCharType="begin"/>
            </w:r>
            <w:r w:rsidR="004A6E0F">
              <w:rPr>
                <w:noProof/>
                <w:webHidden/>
              </w:rPr>
              <w:instrText xml:space="preserve"> PAGEREF _Toc441756537 \h </w:instrText>
            </w:r>
            <w:r w:rsidR="004A6E0F">
              <w:rPr>
                <w:noProof/>
                <w:webHidden/>
              </w:rPr>
            </w:r>
            <w:r w:rsidR="004A6E0F">
              <w:rPr>
                <w:noProof/>
                <w:webHidden/>
              </w:rPr>
              <w:fldChar w:fldCharType="separate"/>
            </w:r>
            <w:r w:rsidR="004A6E0F">
              <w:rPr>
                <w:noProof/>
                <w:webHidden/>
              </w:rPr>
              <w:t>66</w:t>
            </w:r>
            <w:r w:rsidR="004A6E0F">
              <w:rPr>
                <w:noProof/>
                <w:webHidden/>
              </w:rPr>
              <w:fldChar w:fldCharType="end"/>
            </w:r>
          </w:hyperlink>
        </w:p>
        <w:p w14:paraId="06BAD7A7" w14:textId="77777777" w:rsidR="004A6E0F" w:rsidRDefault="00C251E9">
          <w:pPr>
            <w:pStyle w:val="TOC2"/>
            <w:tabs>
              <w:tab w:val="left" w:pos="880"/>
              <w:tab w:val="right" w:leader="dot" w:pos="9350"/>
            </w:tabs>
            <w:rPr>
              <w:rFonts w:cstheme="minorBidi"/>
              <w:smallCaps w:val="0"/>
              <w:noProof/>
              <w:sz w:val="22"/>
              <w:szCs w:val="22"/>
            </w:rPr>
          </w:pPr>
          <w:hyperlink w:anchor="_Toc441756538" w:history="1">
            <w:r w:rsidR="004A6E0F" w:rsidRPr="00497499">
              <w:rPr>
                <w:rStyle w:val="Hyperlink"/>
                <w:noProof/>
              </w:rPr>
              <w:t>4.8</w:t>
            </w:r>
            <w:r w:rsidR="004A6E0F">
              <w:rPr>
                <w:rFonts w:cstheme="minorBidi"/>
                <w:smallCaps w:val="0"/>
                <w:noProof/>
                <w:sz w:val="22"/>
                <w:szCs w:val="22"/>
              </w:rPr>
              <w:tab/>
            </w:r>
            <w:r w:rsidR="004A6E0F" w:rsidRPr="00497499">
              <w:rPr>
                <w:rStyle w:val="Hyperlink"/>
                <w:noProof/>
              </w:rPr>
              <w:t>Miscellaneous Instructions</w:t>
            </w:r>
            <w:r w:rsidR="004A6E0F">
              <w:rPr>
                <w:noProof/>
                <w:webHidden/>
              </w:rPr>
              <w:tab/>
            </w:r>
            <w:r w:rsidR="004A6E0F">
              <w:rPr>
                <w:noProof/>
                <w:webHidden/>
              </w:rPr>
              <w:fldChar w:fldCharType="begin"/>
            </w:r>
            <w:r w:rsidR="004A6E0F">
              <w:rPr>
                <w:noProof/>
                <w:webHidden/>
              </w:rPr>
              <w:instrText xml:space="preserve"> PAGEREF _Toc441756538 \h </w:instrText>
            </w:r>
            <w:r w:rsidR="004A6E0F">
              <w:rPr>
                <w:noProof/>
                <w:webHidden/>
              </w:rPr>
            </w:r>
            <w:r w:rsidR="004A6E0F">
              <w:rPr>
                <w:noProof/>
                <w:webHidden/>
              </w:rPr>
              <w:fldChar w:fldCharType="separate"/>
            </w:r>
            <w:r w:rsidR="004A6E0F">
              <w:rPr>
                <w:noProof/>
                <w:webHidden/>
              </w:rPr>
              <w:t>66</w:t>
            </w:r>
            <w:r w:rsidR="004A6E0F">
              <w:rPr>
                <w:noProof/>
                <w:webHidden/>
              </w:rPr>
              <w:fldChar w:fldCharType="end"/>
            </w:r>
          </w:hyperlink>
        </w:p>
        <w:p w14:paraId="48EFCB67" w14:textId="77777777" w:rsidR="004A6E0F" w:rsidRDefault="00C251E9">
          <w:pPr>
            <w:pStyle w:val="TOC3"/>
            <w:tabs>
              <w:tab w:val="left" w:pos="1100"/>
              <w:tab w:val="right" w:leader="dot" w:pos="9350"/>
            </w:tabs>
            <w:rPr>
              <w:rFonts w:cstheme="minorBidi"/>
              <w:i w:val="0"/>
              <w:iCs w:val="0"/>
              <w:noProof/>
              <w:sz w:val="22"/>
              <w:szCs w:val="22"/>
            </w:rPr>
          </w:pPr>
          <w:hyperlink w:anchor="_Toc441756539" w:history="1">
            <w:r w:rsidR="004A6E0F" w:rsidRPr="00497499">
              <w:rPr>
                <w:rStyle w:val="Hyperlink"/>
                <w:noProof/>
              </w:rPr>
              <w:t>4.8.1</w:t>
            </w:r>
            <w:r w:rsidR="004A6E0F">
              <w:rPr>
                <w:rFonts w:cstheme="minorBidi"/>
                <w:i w:val="0"/>
                <w:iCs w:val="0"/>
                <w:noProof/>
                <w:sz w:val="22"/>
                <w:szCs w:val="22"/>
              </w:rPr>
              <w:tab/>
            </w:r>
            <w:r w:rsidR="004A6E0F" w:rsidRPr="00497499">
              <w:rPr>
                <w:rStyle w:val="Hyperlink"/>
                <w:noProof/>
              </w:rPr>
              <w:t>Effective Rate Review Information (optional)</w:t>
            </w:r>
            <w:r w:rsidR="004A6E0F">
              <w:rPr>
                <w:noProof/>
                <w:webHidden/>
              </w:rPr>
              <w:tab/>
            </w:r>
            <w:r w:rsidR="004A6E0F">
              <w:rPr>
                <w:noProof/>
                <w:webHidden/>
              </w:rPr>
              <w:fldChar w:fldCharType="begin"/>
            </w:r>
            <w:r w:rsidR="004A6E0F">
              <w:rPr>
                <w:noProof/>
                <w:webHidden/>
              </w:rPr>
              <w:instrText xml:space="preserve"> PAGEREF _Toc441756539 \h </w:instrText>
            </w:r>
            <w:r w:rsidR="004A6E0F">
              <w:rPr>
                <w:noProof/>
                <w:webHidden/>
              </w:rPr>
            </w:r>
            <w:r w:rsidR="004A6E0F">
              <w:rPr>
                <w:noProof/>
                <w:webHidden/>
              </w:rPr>
              <w:fldChar w:fldCharType="separate"/>
            </w:r>
            <w:r w:rsidR="004A6E0F">
              <w:rPr>
                <w:noProof/>
                <w:webHidden/>
              </w:rPr>
              <w:t>66</w:t>
            </w:r>
            <w:r w:rsidR="004A6E0F">
              <w:rPr>
                <w:noProof/>
                <w:webHidden/>
              </w:rPr>
              <w:fldChar w:fldCharType="end"/>
            </w:r>
          </w:hyperlink>
        </w:p>
        <w:p w14:paraId="325B0EED" w14:textId="77777777" w:rsidR="004A6E0F" w:rsidRDefault="00C251E9">
          <w:pPr>
            <w:pStyle w:val="TOC3"/>
            <w:tabs>
              <w:tab w:val="left" w:pos="1100"/>
              <w:tab w:val="right" w:leader="dot" w:pos="9350"/>
            </w:tabs>
            <w:rPr>
              <w:rFonts w:cstheme="minorBidi"/>
              <w:i w:val="0"/>
              <w:iCs w:val="0"/>
              <w:noProof/>
              <w:sz w:val="22"/>
              <w:szCs w:val="22"/>
            </w:rPr>
          </w:pPr>
          <w:hyperlink w:anchor="_Toc441756540" w:history="1">
            <w:r w:rsidR="004A6E0F" w:rsidRPr="00497499">
              <w:rPr>
                <w:rStyle w:val="Hyperlink"/>
                <w:noProof/>
              </w:rPr>
              <w:t>4.8.2</w:t>
            </w:r>
            <w:r w:rsidR="004A6E0F">
              <w:rPr>
                <w:rFonts w:cstheme="minorBidi"/>
                <w:i w:val="0"/>
                <w:iCs w:val="0"/>
                <w:noProof/>
                <w:sz w:val="22"/>
                <w:szCs w:val="22"/>
              </w:rPr>
              <w:tab/>
            </w:r>
            <w:r w:rsidR="004A6E0F" w:rsidRPr="00497499">
              <w:rPr>
                <w:rStyle w:val="Hyperlink"/>
                <w:noProof/>
              </w:rPr>
              <w:t>Reliance</w:t>
            </w:r>
            <w:r w:rsidR="004A6E0F">
              <w:rPr>
                <w:noProof/>
                <w:webHidden/>
              </w:rPr>
              <w:tab/>
            </w:r>
            <w:r w:rsidR="004A6E0F">
              <w:rPr>
                <w:noProof/>
                <w:webHidden/>
              </w:rPr>
              <w:fldChar w:fldCharType="begin"/>
            </w:r>
            <w:r w:rsidR="004A6E0F">
              <w:rPr>
                <w:noProof/>
                <w:webHidden/>
              </w:rPr>
              <w:instrText xml:space="preserve"> PAGEREF _Toc441756540 \h </w:instrText>
            </w:r>
            <w:r w:rsidR="004A6E0F">
              <w:rPr>
                <w:noProof/>
                <w:webHidden/>
              </w:rPr>
            </w:r>
            <w:r w:rsidR="004A6E0F">
              <w:rPr>
                <w:noProof/>
                <w:webHidden/>
              </w:rPr>
              <w:fldChar w:fldCharType="separate"/>
            </w:r>
            <w:r w:rsidR="004A6E0F">
              <w:rPr>
                <w:noProof/>
                <w:webHidden/>
              </w:rPr>
              <w:t>66</w:t>
            </w:r>
            <w:r w:rsidR="004A6E0F">
              <w:rPr>
                <w:noProof/>
                <w:webHidden/>
              </w:rPr>
              <w:fldChar w:fldCharType="end"/>
            </w:r>
          </w:hyperlink>
        </w:p>
        <w:p w14:paraId="6A587223" w14:textId="77777777" w:rsidR="004A6E0F" w:rsidRDefault="00C251E9">
          <w:pPr>
            <w:pStyle w:val="TOC3"/>
            <w:tabs>
              <w:tab w:val="left" w:pos="1100"/>
              <w:tab w:val="right" w:leader="dot" w:pos="9350"/>
            </w:tabs>
            <w:rPr>
              <w:rFonts w:cstheme="minorBidi"/>
              <w:i w:val="0"/>
              <w:iCs w:val="0"/>
              <w:noProof/>
              <w:sz w:val="22"/>
              <w:szCs w:val="22"/>
            </w:rPr>
          </w:pPr>
          <w:hyperlink w:anchor="_Toc441756541" w:history="1">
            <w:r w:rsidR="004A6E0F" w:rsidRPr="00497499">
              <w:rPr>
                <w:rStyle w:val="Hyperlink"/>
                <w:noProof/>
              </w:rPr>
              <w:t>4.8.3</w:t>
            </w:r>
            <w:r w:rsidR="004A6E0F">
              <w:rPr>
                <w:rFonts w:cstheme="minorBidi"/>
                <w:i w:val="0"/>
                <w:iCs w:val="0"/>
                <w:noProof/>
                <w:sz w:val="22"/>
                <w:szCs w:val="22"/>
              </w:rPr>
              <w:tab/>
            </w:r>
            <w:r w:rsidR="004A6E0F" w:rsidRPr="00497499">
              <w:rPr>
                <w:rStyle w:val="Hyperlink"/>
                <w:noProof/>
              </w:rPr>
              <w:t>Actuarial Certification</w:t>
            </w:r>
            <w:r w:rsidR="004A6E0F">
              <w:rPr>
                <w:noProof/>
                <w:webHidden/>
              </w:rPr>
              <w:tab/>
            </w:r>
            <w:r w:rsidR="004A6E0F">
              <w:rPr>
                <w:noProof/>
                <w:webHidden/>
              </w:rPr>
              <w:fldChar w:fldCharType="begin"/>
            </w:r>
            <w:r w:rsidR="004A6E0F">
              <w:rPr>
                <w:noProof/>
                <w:webHidden/>
              </w:rPr>
              <w:instrText xml:space="preserve"> PAGEREF _Toc441756541 \h </w:instrText>
            </w:r>
            <w:r w:rsidR="004A6E0F">
              <w:rPr>
                <w:noProof/>
                <w:webHidden/>
              </w:rPr>
            </w:r>
            <w:r w:rsidR="004A6E0F">
              <w:rPr>
                <w:noProof/>
                <w:webHidden/>
              </w:rPr>
              <w:fldChar w:fldCharType="separate"/>
            </w:r>
            <w:r w:rsidR="004A6E0F">
              <w:rPr>
                <w:noProof/>
                <w:webHidden/>
              </w:rPr>
              <w:t>67</w:t>
            </w:r>
            <w:r w:rsidR="004A6E0F">
              <w:rPr>
                <w:noProof/>
                <w:webHidden/>
              </w:rPr>
              <w:fldChar w:fldCharType="end"/>
            </w:r>
          </w:hyperlink>
        </w:p>
        <w:p w14:paraId="5E1F92F6" w14:textId="77777777" w:rsidR="004A6E0F" w:rsidRDefault="00C251E9">
          <w:pPr>
            <w:pStyle w:val="TOC1"/>
            <w:tabs>
              <w:tab w:val="left" w:pos="440"/>
              <w:tab w:val="right" w:leader="dot" w:pos="9350"/>
            </w:tabs>
            <w:rPr>
              <w:rFonts w:cstheme="minorBidi"/>
              <w:b w:val="0"/>
              <w:bCs w:val="0"/>
              <w:caps w:val="0"/>
              <w:noProof/>
              <w:sz w:val="22"/>
              <w:szCs w:val="22"/>
            </w:rPr>
          </w:pPr>
          <w:hyperlink w:anchor="_Toc441756542" w:history="1">
            <w:r w:rsidR="004A6E0F" w:rsidRPr="00497499">
              <w:rPr>
                <w:rStyle w:val="Hyperlink"/>
                <w:noProof/>
              </w:rPr>
              <w:t>5</w:t>
            </w:r>
            <w:r w:rsidR="004A6E0F">
              <w:rPr>
                <w:rFonts w:cstheme="minorBidi"/>
                <w:b w:val="0"/>
                <w:bCs w:val="0"/>
                <w:caps w:val="0"/>
                <w:noProof/>
                <w:sz w:val="22"/>
                <w:szCs w:val="22"/>
              </w:rPr>
              <w:tab/>
            </w:r>
            <w:r w:rsidR="004A6E0F" w:rsidRPr="00497499">
              <w:rPr>
                <w:rStyle w:val="Hyperlink"/>
                <w:noProof/>
              </w:rPr>
              <w:t>HIOS Submission</w:t>
            </w:r>
            <w:r w:rsidR="004A6E0F">
              <w:rPr>
                <w:noProof/>
                <w:webHidden/>
              </w:rPr>
              <w:tab/>
            </w:r>
            <w:r w:rsidR="004A6E0F">
              <w:rPr>
                <w:noProof/>
                <w:webHidden/>
              </w:rPr>
              <w:fldChar w:fldCharType="begin"/>
            </w:r>
            <w:r w:rsidR="004A6E0F">
              <w:rPr>
                <w:noProof/>
                <w:webHidden/>
              </w:rPr>
              <w:instrText xml:space="preserve"> PAGEREF _Toc441756542 \h </w:instrText>
            </w:r>
            <w:r w:rsidR="004A6E0F">
              <w:rPr>
                <w:noProof/>
                <w:webHidden/>
              </w:rPr>
            </w:r>
            <w:r w:rsidR="004A6E0F">
              <w:rPr>
                <w:noProof/>
                <w:webHidden/>
              </w:rPr>
              <w:fldChar w:fldCharType="separate"/>
            </w:r>
            <w:r w:rsidR="004A6E0F">
              <w:rPr>
                <w:noProof/>
                <w:webHidden/>
              </w:rPr>
              <w:t>68</w:t>
            </w:r>
            <w:r w:rsidR="004A6E0F">
              <w:rPr>
                <w:noProof/>
                <w:webHidden/>
              </w:rPr>
              <w:fldChar w:fldCharType="end"/>
            </w:r>
          </w:hyperlink>
        </w:p>
        <w:p w14:paraId="7C55D6EF" w14:textId="77777777" w:rsidR="004A6E0F" w:rsidRDefault="00C251E9">
          <w:pPr>
            <w:pStyle w:val="TOC2"/>
            <w:tabs>
              <w:tab w:val="left" w:pos="880"/>
              <w:tab w:val="right" w:leader="dot" w:pos="9350"/>
            </w:tabs>
            <w:rPr>
              <w:rFonts w:cstheme="minorBidi"/>
              <w:smallCaps w:val="0"/>
              <w:noProof/>
              <w:sz w:val="22"/>
              <w:szCs w:val="22"/>
            </w:rPr>
          </w:pPr>
          <w:hyperlink w:anchor="_Toc441756543" w:history="1">
            <w:r w:rsidR="004A6E0F" w:rsidRPr="00497499">
              <w:rPr>
                <w:rStyle w:val="Hyperlink"/>
                <w:noProof/>
              </w:rPr>
              <w:t>5.1</w:t>
            </w:r>
            <w:r w:rsidR="004A6E0F">
              <w:rPr>
                <w:rFonts w:cstheme="minorBidi"/>
                <w:smallCaps w:val="0"/>
                <w:noProof/>
                <w:sz w:val="22"/>
                <w:szCs w:val="22"/>
              </w:rPr>
              <w:tab/>
            </w:r>
            <w:r w:rsidR="004A6E0F" w:rsidRPr="00497499">
              <w:rPr>
                <w:rStyle w:val="Hyperlink"/>
                <w:noProof/>
              </w:rPr>
              <w:t>HIOS Submission Statuses</w:t>
            </w:r>
            <w:r w:rsidR="004A6E0F">
              <w:rPr>
                <w:noProof/>
                <w:webHidden/>
              </w:rPr>
              <w:tab/>
            </w:r>
            <w:r w:rsidR="004A6E0F">
              <w:rPr>
                <w:noProof/>
                <w:webHidden/>
              </w:rPr>
              <w:fldChar w:fldCharType="begin"/>
            </w:r>
            <w:r w:rsidR="004A6E0F">
              <w:rPr>
                <w:noProof/>
                <w:webHidden/>
              </w:rPr>
              <w:instrText xml:space="preserve"> PAGEREF _Toc441756543 \h </w:instrText>
            </w:r>
            <w:r w:rsidR="004A6E0F">
              <w:rPr>
                <w:noProof/>
                <w:webHidden/>
              </w:rPr>
            </w:r>
            <w:r w:rsidR="004A6E0F">
              <w:rPr>
                <w:noProof/>
                <w:webHidden/>
              </w:rPr>
              <w:fldChar w:fldCharType="separate"/>
            </w:r>
            <w:r w:rsidR="004A6E0F">
              <w:rPr>
                <w:noProof/>
                <w:webHidden/>
              </w:rPr>
              <w:t>68</w:t>
            </w:r>
            <w:r w:rsidR="004A6E0F">
              <w:rPr>
                <w:noProof/>
                <w:webHidden/>
              </w:rPr>
              <w:fldChar w:fldCharType="end"/>
            </w:r>
          </w:hyperlink>
        </w:p>
        <w:p w14:paraId="04237A6D" w14:textId="77777777" w:rsidR="004A6E0F" w:rsidRDefault="00C251E9">
          <w:pPr>
            <w:pStyle w:val="TOC2"/>
            <w:tabs>
              <w:tab w:val="left" w:pos="880"/>
              <w:tab w:val="right" w:leader="dot" w:pos="9350"/>
            </w:tabs>
            <w:rPr>
              <w:rFonts w:cstheme="minorBidi"/>
              <w:smallCaps w:val="0"/>
              <w:noProof/>
              <w:sz w:val="22"/>
              <w:szCs w:val="22"/>
            </w:rPr>
          </w:pPr>
          <w:hyperlink w:anchor="_Toc441756544" w:history="1">
            <w:r w:rsidR="004A6E0F" w:rsidRPr="00497499">
              <w:rPr>
                <w:rStyle w:val="Hyperlink"/>
                <w:noProof/>
              </w:rPr>
              <w:t>5.2</w:t>
            </w:r>
            <w:r w:rsidR="004A6E0F">
              <w:rPr>
                <w:rFonts w:cstheme="minorBidi"/>
                <w:smallCaps w:val="0"/>
                <w:noProof/>
                <w:sz w:val="22"/>
                <w:szCs w:val="22"/>
              </w:rPr>
              <w:tab/>
            </w:r>
            <w:r w:rsidR="004A6E0F" w:rsidRPr="00497499">
              <w:rPr>
                <w:rStyle w:val="Hyperlink"/>
                <w:noProof/>
              </w:rPr>
              <w:t>Submission Unlock Requests</w:t>
            </w:r>
            <w:r w:rsidR="004A6E0F">
              <w:rPr>
                <w:noProof/>
                <w:webHidden/>
              </w:rPr>
              <w:tab/>
            </w:r>
            <w:r w:rsidR="004A6E0F">
              <w:rPr>
                <w:noProof/>
                <w:webHidden/>
              </w:rPr>
              <w:fldChar w:fldCharType="begin"/>
            </w:r>
            <w:r w:rsidR="004A6E0F">
              <w:rPr>
                <w:noProof/>
                <w:webHidden/>
              </w:rPr>
              <w:instrText xml:space="preserve"> PAGEREF _Toc441756544 \h </w:instrText>
            </w:r>
            <w:r w:rsidR="004A6E0F">
              <w:rPr>
                <w:noProof/>
                <w:webHidden/>
              </w:rPr>
            </w:r>
            <w:r w:rsidR="004A6E0F">
              <w:rPr>
                <w:noProof/>
                <w:webHidden/>
              </w:rPr>
              <w:fldChar w:fldCharType="separate"/>
            </w:r>
            <w:r w:rsidR="004A6E0F">
              <w:rPr>
                <w:noProof/>
                <w:webHidden/>
              </w:rPr>
              <w:t>70</w:t>
            </w:r>
            <w:r w:rsidR="004A6E0F">
              <w:rPr>
                <w:noProof/>
                <w:webHidden/>
              </w:rPr>
              <w:fldChar w:fldCharType="end"/>
            </w:r>
          </w:hyperlink>
        </w:p>
        <w:p w14:paraId="601C54C7" w14:textId="77777777" w:rsidR="004A6E0F" w:rsidRDefault="00C251E9">
          <w:pPr>
            <w:pStyle w:val="TOC1"/>
            <w:tabs>
              <w:tab w:val="left" w:pos="440"/>
              <w:tab w:val="right" w:leader="dot" w:pos="9350"/>
            </w:tabs>
            <w:rPr>
              <w:rFonts w:cstheme="minorBidi"/>
              <w:b w:val="0"/>
              <w:bCs w:val="0"/>
              <w:caps w:val="0"/>
              <w:noProof/>
              <w:sz w:val="22"/>
              <w:szCs w:val="22"/>
            </w:rPr>
          </w:pPr>
          <w:hyperlink w:anchor="_Toc441756545" w:history="1">
            <w:r w:rsidR="004A6E0F" w:rsidRPr="00497499">
              <w:rPr>
                <w:rStyle w:val="Hyperlink"/>
                <w:noProof/>
              </w:rPr>
              <w:t>6</w:t>
            </w:r>
            <w:r w:rsidR="004A6E0F">
              <w:rPr>
                <w:rFonts w:cstheme="minorBidi"/>
                <w:b w:val="0"/>
                <w:bCs w:val="0"/>
                <w:caps w:val="0"/>
                <w:noProof/>
                <w:sz w:val="22"/>
                <w:szCs w:val="22"/>
              </w:rPr>
              <w:tab/>
            </w:r>
            <w:r w:rsidR="004A6E0F" w:rsidRPr="00497499">
              <w:rPr>
                <w:rStyle w:val="Hyperlink"/>
                <w:rFonts w:cstheme="minorHAnsi"/>
                <w:noProof/>
              </w:rPr>
              <w:t xml:space="preserve">Appendix A: </w:t>
            </w:r>
            <w:r w:rsidR="004A6E0F" w:rsidRPr="00497499">
              <w:rPr>
                <w:rStyle w:val="Hyperlink"/>
                <w:noProof/>
              </w:rPr>
              <w:t>Guidance for Quarterly Rate Increases</w:t>
            </w:r>
            <w:r w:rsidR="004A6E0F">
              <w:rPr>
                <w:noProof/>
                <w:webHidden/>
              </w:rPr>
              <w:tab/>
            </w:r>
            <w:r w:rsidR="004A6E0F">
              <w:rPr>
                <w:noProof/>
                <w:webHidden/>
              </w:rPr>
              <w:fldChar w:fldCharType="begin"/>
            </w:r>
            <w:r w:rsidR="004A6E0F">
              <w:rPr>
                <w:noProof/>
                <w:webHidden/>
              </w:rPr>
              <w:instrText xml:space="preserve"> PAGEREF _Toc441756545 \h </w:instrText>
            </w:r>
            <w:r w:rsidR="004A6E0F">
              <w:rPr>
                <w:noProof/>
                <w:webHidden/>
              </w:rPr>
            </w:r>
            <w:r w:rsidR="004A6E0F">
              <w:rPr>
                <w:noProof/>
                <w:webHidden/>
              </w:rPr>
              <w:fldChar w:fldCharType="separate"/>
            </w:r>
            <w:r w:rsidR="004A6E0F">
              <w:rPr>
                <w:noProof/>
                <w:webHidden/>
              </w:rPr>
              <w:t>71</w:t>
            </w:r>
            <w:r w:rsidR="004A6E0F">
              <w:rPr>
                <w:noProof/>
                <w:webHidden/>
              </w:rPr>
              <w:fldChar w:fldCharType="end"/>
            </w:r>
          </w:hyperlink>
        </w:p>
        <w:p w14:paraId="39ED4470" w14:textId="77777777" w:rsidR="004A6E0F" w:rsidRDefault="00C251E9">
          <w:pPr>
            <w:pStyle w:val="TOC1"/>
            <w:tabs>
              <w:tab w:val="left" w:pos="440"/>
              <w:tab w:val="right" w:leader="dot" w:pos="9350"/>
            </w:tabs>
            <w:rPr>
              <w:rFonts w:cstheme="minorBidi"/>
              <w:b w:val="0"/>
              <w:bCs w:val="0"/>
              <w:caps w:val="0"/>
              <w:noProof/>
              <w:sz w:val="22"/>
              <w:szCs w:val="22"/>
            </w:rPr>
          </w:pPr>
          <w:hyperlink w:anchor="_Toc441756546" w:history="1">
            <w:r w:rsidR="004A6E0F" w:rsidRPr="00497499">
              <w:rPr>
                <w:rStyle w:val="Hyperlink"/>
                <w:noProof/>
              </w:rPr>
              <w:t>7</w:t>
            </w:r>
            <w:r w:rsidR="004A6E0F">
              <w:rPr>
                <w:rFonts w:cstheme="minorBidi"/>
                <w:b w:val="0"/>
                <w:bCs w:val="0"/>
                <w:caps w:val="0"/>
                <w:noProof/>
                <w:sz w:val="22"/>
                <w:szCs w:val="22"/>
              </w:rPr>
              <w:tab/>
            </w:r>
            <w:r w:rsidR="004A6E0F" w:rsidRPr="00497499">
              <w:rPr>
                <w:rStyle w:val="Hyperlink"/>
                <w:noProof/>
              </w:rPr>
              <w:t>Appendix B:  Guidance for Plan Mapping</w:t>
            </w:r>
            <w:r w:rsidR="004A6E0F">
              <w:rPr>
                <w:noProof/>
                <w:webHidden/>
              </w:rPr>
              <w:tab/>
            </w:r>
            <w:r w:rsidR="004A6E0F">
              <w:rPr>
                <w:noProof/>
                <w:webHidden/>
              </w:rPr>
              <w:fldChar w:fldCharType="begin"/>
            </w:r>
            <w:r w:rsidR="004A6E0F">
              <w:rPr>
                <w:noProof/>
                <w:webHidden/>
              </w:rPr>
              <w:instrText xml:space="preserve"> PAGEREF _Toc441756546 \h </w:instrText>
            </w:r>
            <w:r w:rsidR="004A6E0F">
              <w:rPr>
                <w:noProof/>
                <w:webHidden/>
              </w:rPr>
            </w:r>
            <w:r w:rsidR="004A6E0F">
              <w:rPr>
                <w:noProof/>
                <w:webHidden/>
              </w:rPr>
              <w:fldChar w:fldCharType="separate"/>
            </w:r>
            <w:r w:rsidR="004A6E0F">
              <w:rPr>
                <w:noProof/>
                <w:webHidden/>
              </w:rPr>
              <w:t>73</w:t>
            </w:r>
            <w:r w:rsidR="004A6E0F">
              <w:rPr>
                <w:noProof/>
                <w:webHidden/>
              </w:rPr>
              <w:fldChar w:fldCharType="end"/>
            </w:r>
          </w:hyperlink>
        </w:p>
        <w:p w14:paraId="30CBC029" w14:textId="77777777" w:rsidR="008C6DBE" w:rsidRDefault="008C6DBE">
          <w:r>
            <w:rPr>
              <w:b/>
              <w:bCs/>
              <w:noProof/>
            </w:rPr>
            <w:fldChar w:fldCharType="end"/>
          </w:r>
        </w:p>
      </w:sdtContent>
    </w:sdt>
    <w:p w14:paraId="1397C315" w14:textId="77777777" w:rsidR="008C6DBE" w:rsidRPr="008E5B0B" w:rsidRDefault="008C6DBE" w:rsidP="008E5B0B">
      <w:pPr>
        <w:pStyle w:val="NoSpacing"/>
        <w:rPr>
          <w:rFonts w:ascii="Times New Roman" w:eastAsiaTheme="majorEastAsia" w:hAnsi="Times New Roman" w:cs="Times New Roman"/>
          <w:noProof/>
          <w:sz w:val="24"/>
          <w:szCs w:val="24"/>
        </w:rPr>
      </w:pPr>
    </w:p>
    <w:p w14:paraId="4023BC78" w14:textId="77777777" w:rsidR="008C6DBE" w:rsidRDefault="008C6DBE">
      <w:pPr>
        <w:rPr>
          <w:rFonts w:asciiTheme="majorHAnsi" w:eastAsiaTheme="majorEastAsia" w:hAnsiTheme="majorHAnsi" w:cstheme="majorBidi"/>
          <w:bCs/>
          <w:noProof/>
          <w:color w:val="365F91" w:themeColor="accent1" w:themeShade="BF"/>
          <w:sz w:val="36"/>
          <w:szCs w:val="36"/>
        </w:rPr>
      </w:pPr>
      <w:bookmarkStart w:id="1" w:name="_Toc411921529"/>
      <w:bookmarkEnd w:id="1"/>
      <w:r>
        <w:rPr>
          <w:b/>
          <w:noProof/>
          <w:sz w:val="36"/>
          <w:szCs w:val="36"/>
        </w:rPr>
        <w:br w:type="page"/>
      </w:r>
    </w:p>
    <w:p w14:paraId="36021825" w14:textId="77777777" w:rsidR="006329A9" w:rsidRPr="009B290A" w:rsidRDefault="00D835E4" w:rsidP="009D2B17">
      <w:pPr>
        <w:pStyle w:val="Heading1"/>
        <w:numPr>
          <w:ilvl w:val="0"/>
          <w:numId w:val="42"/>
        </w:numPr>
      </w:pPr>
      <w:bookmarkStart w:id="2" w:name="_Toc411926658"/>
      <w:bookmarkStart w:id="3" w:name="_Toc411927109"/>
      <w:bookmarkStart w:id="4" w:name="_Toc411927370"/>
      <w:bookmarkStart w:id="5" w:name="_Toc411934187"/>
      <w:bookmarkStart w:id="6" w:name="_Toc411934923"/>
      <w:bookmarkStart w:id="7" w:name="_Toc411600823"/>
      <w:bookmarkStart w:id="8" w:name="_Toc411600884"/>
      <w:bookmarkStart w:id="9" w:name="_Toc411601095"/>
      <w:bookmarkStart w:id="10" w:name="_Toc411601161"/>
      <w:bookmarkStart w:id="11" w:name="_Toc411601544"/>
      <w:bookmarkStart w:id="12" w:name="_Toc411601906"/>
      <w:bookmarkStart w:id="13" w:name="_Toc411602015"/>
      <w:bookmarkStart w:id="14" w:name="_Toc411602073"/>
      <w:bookmarkStart w:id="15" w:name="_Toc411602131"/>
      <w:bookmarkStart w:id="16" w:name="_Toc411602190"/>
      <w:bookmarkStart w:id="17" w:name="_Toc411602784"/>
      <w:bookmarkStart w:id="18" w:name="_Toc411602932"/>
      <w:bookmarkStart w:id="19" w:name="_Toc411603110"/>
      <w:bookmarkStart w:id="20" w:name="_Toc411603284"/>
      <w:bookmarkStart w:id="21" w:name="_Toc411606258"/>
      <w:bookmarkStart w:id="22" w:name="_Toc411600824"/>
      <w:bookmarkStart w:id="23" w:name="_Toc411600885"/>
      <w:bookmarkStart w:id="24" w:name="_Toc411601096"/>
      <w:bookmarkStart w:id="25" w:name="_Toc411601162"/>
      <w:bookmarkStart w:id="26" w:name="_Toc411601545"/>
      <w:bookmarkStart w:id="27" w:name="_Toc411601907"/>
      <w:bookmarkStart w:id="28" w:name="_Toc411602016"/>
      <w:bookmarkStart w:id="29" w:name="_Toc411602074"/>
      <w:bookmarkStart w:id="30" w:name="_Toc411602132"/>
      <w:bookmarkStart w:id="31" w:name="_Toc411602191"/>
      <w:bookmarkStart w:id="32" w:name="_Toc411602785"/>
      <w:bookmarkStart w:id="33" w:name="_Toc411602933"/>
      <w:bookmarkStart w:id="34" w:name="_Toc411603111"/>
      <w:bookmarkStart w:id="35" w:name="_Toc411603285"/>
      <w:bookmarkStart w:id="36" w:name="_Toc411606259"/>
      <w:bookmarkStart w:id="37" w:name="_Toc410525261"/>
      <w:bookmarkStart w:id="38" w:name="_Toc410525349"/>
      <w:bookmarkStart w:id="39" w:name="_Toc410588799"/>
      <w:bookmarkStart w:id="40" w:name="_Toc411866066"/>
      <w:bookmarkStart w:id="41" w:name="_Toc411866584"/>
      <w:bookmarkStart w:id="42" w:name="_Toc412032766"/>
      <w:bookmarkStart w:id="43" w:name="_Toc411936238"/>
      <w:bookmarkStart w:id="44" w:name="_Toc412287648"/>
      <w:bookmarkStart w:id="45" w:name="_Toc441756492"/>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r w:rsidRPr="009B290A">
        <w:t>Overview</w:t>
      </w:r>
      <w:bookmarkEnd w:id="37"/>
      <w:bookmarkEnd w:id="38"/>
      <w:bookmarkEnd w:id="39"/>
      <w:bookmarkEnd w:id="40"/>
      <w:bookmarkEnd w:id="41"/>
      <w:bookmarkEnd w:id="42"/>
      <w:bookmarkEnd w:id="43"/>
      <w:bookmarkEnd w:id="44"/>
      <w:bookmarkEnd w:id="45"/>
    </w:p>
    <w:p w14:paraId="4212C49F" w14:textId="77777777" w:rsidR="004E2905" w:rsidRDefault="004E2905" w:rsidP="004E2905">
      <w:pPr>
        <w:spacing w:after="0" w:line="240" w:lineRule="auto"/>
        <w:rPr>
          <w:b/>
        </w:rPr>
      </w:pPr>
      <w:bookmarkStart w:id="46" w:name="_Toc411606261"/>
      <w:bookmarkStart w:id="47" w:name="_Toc410525262"/>
      <w:bookmarkStart w:id="48" w:name="_Toc410525350"/>
      <w:bookmarkStart w:id="49" w:name="_Toc410588800"/>
      <w:bookmarkStart w:id="50" w:name="_Toc411866067"/>
      <w:bookmarkStart w:id="51" w:name="_Toc411866585"/>
      <w:bookmarkStart w:id="52" w:name="_Toc412032767"/>
      <w:bookmarkStart w:id="53" w:name="_Toc411936239"/>
      <w:bookmarkStart w:id="54" w:name="_Toc412287649"/>
      <w:bookmarkEnd w:id="46"/>
    </w:p>
    <w:p w14:paraId="09650109" w14:textId="77777777" w:rsidR="00D835E4" w:rsidRPr="008A3126" w:rsidRDefault="00D835E4" w:rsidP="008E5B0B">
      <w:pPr>
        <w:pStyle w:val="Heading2"/>
      </w:pPr>
      <w:bookmarkStart w:id="55" w:name="_Toc441756493"/>
      <w:r w:rsidRPr="008A3126">
        <w:t>Purpose</w:t>
      </w:r>
      <w:bookmarkEnd w:id="47"/>
      <w:bookmarkEnd w:id="48"/>
      <w:bookmarkEnd w:id="49"/>
      <w:bookmarkEnd w:id="50"/>
      <w:bookmarkEnd w:id="51"/>
      <w:bookmarkEnd w:id="52"/>
      <w:bookmarkEnd w:id="53"/>
      <w:bookmarkEnd w:id="54"/>
      <w:bookmarkEnd w:id="55"/>
      <w:r w:rsidRPr="008A3126">
        <w:t xml:space="preserve"> </w:t>
      </w:r>
    </w:p>
    <w:p w14:paraId="02E57597" w14:textId="0E5B437C" w:rsidR="00AC5FFE" w:rsidRDefault="009F1E81" w:rsidP="001F62ED">
      <w:pPr>
        <w:pStyle w:val="BodyText"/>
      </w:pPr>
      <w:r>
        <w:rPr>
          <w:sz w:val="23"/>
          <w:szCs w:val="23"/>
        </w:rPr>
        <w:t>Section 2794 of the Public Health Service Act (PHSA) and the</w:t>
      </w:r>
      <w:r>
        <w:t xml:space="preserve"> implementing regulation</w:t>
      </w:r>
      <w:r w:rsidR="00CD4CD0">
        <w:t>s</w:t>
      </w:r>
      <w:r>
        <w:t xml:space="preserve">, </w:t>
      </w:r>
      <w:r w:rsidR="003717B3">
        <w:t xml:space="preserve">45 </w:t>
      </w:r>
      <w:r w:rsidR="00DF37D5">
        <w:t xml:space="preserve">CFR </w:t>
      </w:r>
      <w:r w:rsidR="003717B3">
        <w:t>154</w:t>
      </w:r>
      <w:r>
        <w:t>,</w:t>
      </w:r>
      <w:r w:rsidR="003717B3">
        <w:t xml:space="preserve"> establish requirements for issuers offering </w:t>
      </w:r>
      <w:r w:rsidR="00F966C4">
        <w:t xml:space="preserve">non-grandfathered </w:t>
      </w:r>
      <w:r w:rsidR="003717B3">
        <w:t xml:space="preserve">health insurance coverage </w:t>
      </w:r>
      <w:r w:rsidR="009527E0">
        <w:t xml:space="preserve"> </w:t>
      </w:r>
      <w:r w:rsidR="003717B3">
        <w:t xml:space="preserve">in the small group </w:t>
      </w:r>
      <w:r w:rsidR="00352CFA">
        <w:t>and/</w:t>
      </w:r>
      <w:r w:rsidR="009527E0">
        <w:t>or</w:t>
      </w:r>
      <w:r w:rsidR="003717B3">
        <w:t xml:space="preserve"> individual markets to submit rate filing information on rate increases to the Centers for Medicare </w:t>
      </w:r>
      <w:r w:rsidR="00FF442D">
        <w:t xml:space="preserve">&amp; </w:t>
      </w:r>
      <w:r w:rsidR="003717B3">
        <w:t xml:space="preserve">Medicaid Services (CMS). </w:t>
      </w:r>
      <w:r w:rsidR="0029161D">
        <w:t xml:space="preserve">Rate Filing Justification </w:t>
      </w:r>
      <w:r w:rsidR="00373725">
        <w:t>(RFJ</w:t>
      </w:r>
      <w:r w:rsidR="0029161D">
        <w:t>)</w:t>
      </w:r>
      <w:r w:rsidR="00D835E4" w:rsidRPr="008A3126">
        <w:t xml:space="preserve"> </w:t>
      </w:r>
      <w:r w:rsidR="00182327">
        <w:t xml:space="preserve">submissions must </w:t>
      </w:r>
      <w:r w:rsidR="00EE04CC">
        <w:t>provide</w:t>
      </w:r>
      <w:r w:rsidR="00D835E4" w:rsidRPr="008A3126">
        <w:t xml:space="preserve"> </w:t>
      </w:r>
      <w:r w:rsidR="00EE04CC">
        <w:t xml:space="preserve">sufficient </w:t>
      </w:r>
      <w:r w:rsidR="00D835E4" w:rsidRPr="008A3126">
        <w:t xml:space="preserve">information </w:t>
      </w:r>
      <w:r w:rsidR="00EE04CC">
        <w:t>for</w:t>
      </w:r>
      <w:r w:rsidR="00EE04CC" w:rsidRPr="008A3126">
        <w:t xml:space="preserve"> </w:t>
      </w:r>
      <w:r w:rsidR="004A488D">
        <w:t>s</w:t>
      </w:r>
      <w:r w:rsidR="00D835E4" w:rsidRPr="008A3126">
        <w:t xml:space="preserve">tate or </w:t>
      </w:r>
      <w:r w:rsidR="00182327">
        <w:t>f</w:t>
      </w:r>
      <w:r w:rsidR="00D835E4" w:rsidRPr="008A3126">
        <w:t xml:space="preserve">ederal regulators </w:t>
      </w:r>
      <w:r w:rsidR="00EE04CC">
        <w:t>to review r</w:t>
      </w:r>
      <w:r w:rsidR="00D835E4" w:rsidRPr="008A3126">
        <w:t xml:space="preserve">ate </w:t>
      </w:r>
      <w:r w:rsidR="00EE04CC">
        <w:t xml:space="preserve">filings for compliance with </w:t>
      </w:r>
      <w:r w:rsidR="00EE04CC" w:rsidRPr="008A3126">
        <w:t>45 CFR 154</w:t>
      </w:r>
      <w:r w:rsidR="00FF442D">
        <w:t>.</w:t>
      </w:r>
      <w:r w:rsidR="00316FAB">
        <w:t xml:space="preserve">215, </w:t>
      </w:r>
      <w:r w:rsidR="00EE04CC" w:rsidRPr="008A3126">
        <w:t>154</w:t>
      </w:r>
      <w:r w:rsidR="00FF442D">
        <w:t>.225, 147.102</w:t>
      </w:r>
      <w:r w:rsidR="00BA6F02">
        <w:t>,</w:t>
      </w:r>
      <w:r w:rsidR="00EE04CC">
        <w:t xml:space="preserve"> and </w:t>
      </w:r>
      <w:r w:rsidR="00EE04CC" w:rsidRPr="00674068">
        <w:t>156.80</w:t>
      </w:r>
      <w:r w:rsidR="00EE04CC">
        <w:t>.</w:t>
      </w:r>
      <w:r w:rsidR="00182327">
        <w:t xml:space="preserve"> In addition, CMS </w:t>
      </w:r>
      <w:r w:rsidR="00182327" w:rsidRPr="00182327">
        <w:t xml:space="preserve">may use </w:t>
      </w:r>
      <w:r w:rsidR="00182327">
        <w:t>data submitted on the RFJ to calculate</w:t>
      </w:r>
      <w:r w:rsidR="00182327" w:rsidRPr="00182327">
        <w:t xml:space="preserve"> Advance Premium Tax Credit (APTC) payments and Cost-Sharing Reduction (CSR) advance payments</w:t>
      </w:r>
      <w:r w:rsidR="00D545A7">
        <w:t>.</w:t>
      </w:r>
    </w:p>
    <w:p w14:paraId="37DCC1A0" w14:textId="2CC03267" w:rsidR="002E0481" w:rsidRDefault="00D1771B" w:rsidP="002E0481">
      <w:pPr>
        <w:pStyle w:val="BodyText"/>
      </w:pPr>
      <w:bookmarkStart w:id="56" w:name="_Toc411866004"/>
      <w:bookmarkStart w:id="57" w:name="_Toc411866068"/>
      <w:bookmarkStart w:id="58" w:name="_Toc411866287"/>
      <w:bookmarkStart w:id="59" w:name="_Toc411866366"/>
      <w:bookmarkStart w:id="60" w:name="_Toc411866586"/>
      <w:bookmarkStart w:id="61" w:name="_Toc411921532"/>
      <w:bookmarkEnd w:id="56"/>
      <w:bookmarkEnd w:id="57"/>
      <w:bookmarkEnd w:id="58"/>
      <w:bookmarkEnd w:id="59"/>
      <w:bookmarkEnd w:id="60"/>
      <w:bookmarkEnd w:id="61"/>
      <w:r>
        <w:t xml:space="preserve">The 2017 Payment Notice proposed rule includes amendments to </w:t>
      </w:r>
      <w:r w:rsidR="002E0481" w:rsidRPr="00E31B4E">
        <w:t>45 CFR 154.215</w:t>
      </w:r>
      <w:r>
        <w:t xml:space="preserve"> that would specify that</w:t>
      </w:r>
      <w:r w:rsidR="009527E0">
        <w:t xml:space="preserve"> </w:t>
      </w:r>
      <w:r w:rsidR="00AB186B">
        <w:t>a</w:t>
      </w:r>
      <w:r w:rsidR="002E0481">
        <w:t xml:space="preserve"> R</w:t>
      </w:r>
      <w:r w:rsidR="00AB186B">
        <w:t xml:space="preserve">ate </w:t>
      </w:r>
      <w:r w:rsidR="002E0481">
        <w:t>F</w:t>
      </w:r>
      <w:r w:rsidR="00AB186B">
        <w:t xml:space="preserve">iling </w:t>
      </w:r>
      <w:r w:rsidR="002E0481">
        <w:t>J</w:t>
      </w:r>
      <w:r w:rsidR="00AB186B">
        <w:t>ustification</w:t>
      </w:r>
      <w:r w:rsidR="00646EBA">
        <w:t xml:space="preserve"> (RFJ)</w:t>
      </w:r>
      <w:r w:rsidR="002E0481">
        <w:t xml:space="preserve"> </w:t>
      </w:r>
      <w:r w:rsidR="00FF442D">
        <w:t>for single risk pool plans</w:t>
      </w:r>
      <w:r w:rsidR="003C6B8D">
        <w:rPr>
          <w:rStyle w:val="FootnoteReference"/>
        </w:rPr>
        <w:footnoteReference w:id="2"/>
      </w:r>
      <w:r w:rsidR="00FF442D">
        <w:t xml:space="preserve"> </w:t>
      </w:r>
      <w:r w:rsidR="002E0481">
        <w:t xml:space="preserve">consists of </w:t>
      </w:r>
      <w:r w:rsidR="00AB186B">
        <w:t xml:space="preserve">the following </w:t>
      </w:r>
      <w:r w:rsidR="002E0481">
        <w:t>three parts:</w:t>
      </w:r>
    </w:p>
    <w:p w14:paraId="2AFCF191" w14:textId="36252915" w:rsidR="009527E0" w:rsidRDefault="002E0481" w:rsidP="009D2B17">
      <w:pPr>
        <w:pStyle w:val="BodyText"/>
        <w:numPr>
          <w:ilvl w:val="0"/>
          <w:numId w:val="43"/>
        </w:numPr>
        <w:ind w:left="720"/>
      </w:pPr>
      <w:r w:rsidRPr="008E5B0B">
        <w:rPr>
          <w:b/>
        </w:rPr>
        <w:t>Part I</w:t>
      </w:r>
      <w:r>
        <w:t xml:space="preserve"> - Unif</w:t>
      </w:r>
      <w:r w:rsidR="00254B38">
        <w:t>ied</w:t>
      </w:r>
      <w:r>
        <w:t xml:space="preserve"> Rate Review Template (URRT): The URRT is required for </w:t>
      </w:r>
      <w:r w:rsidR="00CD4CD0">
        <w:t xml:space="preserve">all </w:t>
      </w:r>
      <w:r w:rsidR="009527E0">
        <w:t>single risk pool</w:t>
      </w:r>
      <w:r w:rsidR="00BC07E0">
        <w:t xml:space="preserve"> plan</w:t>
      </w:r>
      <w:r w:rsidR="00FD603C">
        <w:t>s</w:t>
      </w:r>
      <w:r w:rsidR="0097739B">
        <w:t xml:space="preserve"> in the individual and small group markets</w:t>
      </w:r>
      <w:r w:rsidR="00D31FC1">
        <w:t>.</w:t>
      </w:r>
      <w:r w:rsidR="00A244E5">
        <w:t xml:space="preserve"> </w:t>
      </w:r>
      <w:r w:rsidR="00D1771B">
        <w:t xml:space="preserve">As proposed in the 2017 Payment Notice, this would include </w:t>
      </w:r>
      <w:r w:rsidR="003C6B8D">
        <w:t xml:space="preserve">single risk pool plans that experience </w:t>
      </w:r>
      <w:r w:rsidR="00D1771B">
        <w:t xml:space="preserve">no rate changes, rate decreases, as well as new </w:t>
      </w:r>
      <w:r w:rsidR="003C6B8D">
        <w:t xml:space="preserve">single risk pool </w:t>
      </w:r>
      <w:r w:rsidR="00D1771B">
        <w:t xml:space="preserve">plans.  </w:t>
      </w:r>
      <w:r w:rsidR="00A244E5">
        <w:t xml:space="preserve">It </w:t>
      </w:r>
      <w:r>
        <w:t xml:space="preserve">is intended to </w:t>
      </w:r>
      <w:r w:rsidRPr="00905BE2">
        <w:t xml:space="preserve">capture information </w:t>
      </w:r>
      <w:r w:rsidR="009527E0">
        <w:t xml:space="preserve">needed to </w:t>
      </w:r>
      <w:r w:rsidR="00B22459">
        <w:t>monitor premium increases of health insurance coverage offered through</w:t>
      </w:r>
      <w:r w:rsidR="009527E0">
        <w:t xml:space="preserve"> and </w:t>
      </w:r>
      <w:r w:rsidR="00B22459">
        <w:t>outside an Exchange,</w:t>
      </w:r>
      <w:r w:rsidR="009527E0">
        <w:t xml:space="preserve"> and ensure compliance with the single risk pool</w:t>
      </w:r>
      <w:r w:rsidR="00F966C4">
        <w:t xml:space="preserve"> methodology</w:t>
      </w:r>
      <w:r w:rsidR="009527E0">
        <w:t xml:space="preserve">, </w:t>
      </w:r>
      <w:r w:rsidR="00F966C4">
        <w:t>including</w:t>
      </w:r>
      <w:r w:rsidR="009527E0">
        <w:t xml:space="preserve"> </w:t>
      </w:r>
      <w:r w:rsidR="00316FAB">
        <w:t xml:space="preserve">allowable market level index rate adjustments to reflect </w:t>
      </w:r>
      <w:r w:rsidR="009527E0">
        <w:t>risk adjustment</w:t>
      </w:r>
      <w:r w:rsidR="00F966C4">
        <w:t xml:space="preserve"> payments and charges</w:t>
      </w:r>
      <w:r w:rsidR="009527E0">
        <w:t xml:space="preserve">, and other </w:t>
      </w:r>
      <w:r w:rsidR="00CD4CD0">
        <w:t>f</w:t>
      </w:r>
      <w:r w:rsidR="009527E0">
        <w:t xml:space="preserve">ederal rating </w:t>
      </w:r>
      <w:r w:rsidR="00A244E5">
        <w:t>requirements</w:t>
      </w:r>
      <w:r w:rsidR="009527E0">
        <w:t>.</w:t>
      </w:r>
    </w:p>
    <w:p w14:paraId="44CC1B5F" w14:textId="4998AD91" w:rsidR="002E0481" w:rsidRDefault="009527E0" w:rsidP="009D2B17">
      <w:pPr>
        <w:pStyle w:val="BodyText"/>
        <w:numPr>
          <w:ilvl w:val="0"/>
          <w:numId w:val="43"/>
        </w:numPr>
        <w:ind w:left="720"/>
      </w:pPr>
      <w:r w:rsidRPr="008E5B0B">
        <w:rPr>
          <w:b/>
        </w:rPr>
        <w:t xml:space="preserve">Part II </w:t>
      </w:r>
      <w:r>
        <w:t xml:space="preserve">- </w:t>
      </w:r>
      <w:r w:rsidR="002E0481">
        <w:t>Written Description Justifying the Rate Increase</w:t>
      </w:r>
      <w:r>
        <w:t xml:space="preserve">: Part II is required only for rate increases </w:t>
      </w:r>
      <w:r w:rsidR="00B22459">
        <w:t>in single risk pool p</w:t>
      </w:r>
      <w:r w:rsidR="00566EE0">
        <w:t>roducts</w:t>
      </w:r>
      <w:r w:rsidR="00B22459">
        <w:t xml:space="preserve"> </w:t>
      </w:r>
      <w:r>
        <w:t>that are subject to review</w:t>
      </w:r>
      <w:r w:rsidR="00AB186B">
        <w:t xml:space="preserve"> (i.e. </w:t>
      </w:r>
      <w:r w:rsidR="00326E5E">
        <w:t xml:space="preserve">a plan within the product has a </w:t>
      </w:r>
      <w:r w:rsidR="00AB186B">
        <w:t>rate increase of 10% or greater)</w:t>
      </w:r>
      <w:r>
        <w:t xml:space="preserve">. Part II is a </w:t>
      </w:r>
      <w:r w:rsidR="002E0481">
        <w:t xml:space="preserve">consumer-friendly narrative </w:t>
      </w:r>
      <w:r>
        <w:t xml:space="preserve">that provides </w:t>
      </w:r>
      <w:r w:rsidR="00F80CA1">
        <w:t xml:space="preserve">the </w:t>
      </w:r>
      <w:r>
        <w:t xml:space="preserve">justification for the </w:t>
      </w:r>
      <w:r w:rsidR="002E0481">
        <w:t>rate increase</w:t>
      </w:r>
      <w:r w:rsidR="00F80CA1">
        <w:t>, describes the relevant Part I data, the assumptions used to develop the rate increase, and an explanation of the most significant factors causing the rate increase.</w:t>
      </w:r>
    </w:p>
    <w:p w14:paraId="6542E13A" w14:textId="26A8BB6D" w:rsidR="006723F5" w:rsidRPr="00373725" w:rsidRDefault="002E0481" w:rsidP="009D2B17">
      <w:pPr>
        <w:pStyle w:val="BodyText"/>
        <w:numPr>
          <w:ilvl w:val="0"/>
          <w:numId w:val="39"/>
        </w:numPr>
        <w:ind w:left="720"/>
      </w:pPr>
      <w:r w:rsidRPr="00E927CC">
        <w:rPr>
          <w:b/>
        </w:rPr>
        <w:t>Part III</w:t>
      </w:r>
      <w:r w:rsidR="009527E0" w:rsidRPr="00E927CC">
        <w:t xml:space="preserve"> - </w:t>
      </w:r>
      <w:r w:rsidRPr="00E927CC">
        <w:t>Rating Filing Documentation (Actuarial Memorandum)</w:t>
      </w:r>
      <w:r w:rsidR="009527E0" w:rsidRPr="00E927CC">
        <w:t xml:space="preserve">: Part III is required </w:t>
      </w:r>
      <w:r w:rsidR="00A244E5" w:rsidRPr="00E927CC">
        <w:t xml:space="preserve">for </w:t>
      </w:r>
      <w:r w:rsidR="00B22459">
        <w:t>any rate increase in a single risk pool plan</w:t>
      </w:r>
      <w:r w:rsidR="009527E0" w:rsidRPr="00E927CC">
        <w:t xml:space="preserve">. </w:t>
      </w:r>
      <w:r w:rsidR="00326FDB">
        <w:t xml:space="preserve"> It is also required for any rate filing containing Qualified Health Plans (QHPs) or whenever a state requires it to be submitted.  </w:t>
      </w:r>
      <w:r w:rsidR="009527E0" w:rsidRPr="00E927CC">
        <w:t>Part III is an Actuarial Memorandum that includes the actuarial reasoning and assumptions</w:t>
      </w:r>
      <w:r w:rsidR="00F80CA1">
        <w:t>, justifications and methodologies</w:t>
      </w:r>
      <w:r w:rsidR="009527E0">
        <w:t xml:space="preserve"> that support the </w:t>
      </w:r>
      <w:r w:rsidR="00D545A7">
        <w:t xml:space="preserve">entries in the </w:t>
      </w:r>
      <w:r w:rsidR="009527E0">
        <w:t>URRT.</w:t>
      </w:r>
    </w:p>
    <w:p w14:paraId="51C7667B" w14:textId="77777777" w:rsidR="0026150C" w:rsidRDefault="0026150C" w:rsidP="008E5B0B">
      <w:pPr>
        <w:pStyle w:val="Heading2"/>
      </w:pPr>
      <w:bookmarkStart w:id="62" w:name="_Toc411862381"/>
      <w:bookmarkStart w:id="63" w:name="_Toc411864572"/>
      <w:bookmarkStart w:id="64" w:name="_Toc411866006"/>
      <w:bookmarkStart w:id="65" w:name="_Toc411866070"/>
      <w:bookmarkStart w:id="66" w:name="_Toc411866289"/>
      <w:bookmarkStart w:id="67" w:name="_Toc411866368"/>
      <w:bookmarkStart w:id="68" w:name="_Toc411866588"/>
      <w:bookmarkStart w:id="69" w:name="_Toc411921534"/>
      <w:bookmarkStart w:id="70" w:name="_Toc411926536"/>
      <w:bookmarkStart w:id="71" w:name="_Toc411926661"/>
      <w:bookmarkStart w:id="72" w:name="_Toc411927112"/>
      <w:bookmarkStart w:id="73" w:name="_Toc411927373"/>
      <w:bookmarkStart w:id="74" w:name="_Toc411934190"/>
      <w:bookmarkStart w:id="75" w:name="_Toc411934926"/>
      <w:bookmarkStart w:id="76" w:name="_Toc411866071"/>
      <w:bookmarkStart w:id="77" w:name="_Toc411866589"/>
      <w:bookmarkStart w:id="78" w:name="_Toc412032768"/>
      <w:bookmarkStart w:id="79" w:name="_Toc411936240"/>
      <w:bookmarkStart w:id="80" w:name="_Toc412287650"/>
      <w:bookmarkStart w:id="81" w:name="_Toc441756494"/>
      <w:bookmarkEnd w:id="62"/>
      <w:bookmarkEnd w:id="63"/>
      <w:bookmarkEnd w:id="64"/>
      <w:bookmarkEnd w:id="65"/>
      <w:bookmarkEnd w:id="66"/>
      <w:bookmarkEnd w:id="67"/>
      <w:bookmarkEnd w:id="68"/>
      <w:bookmarkEnd w:id="69"/>
      <w:bookmarkEnd w:id="70"/>
      <w:bookmarkEnd w:id="71"/>
      <w:bookmarkEnd w:id="72"/>
      <w:bookmarkEnd w:id="73"/>
      <w:bookmarkEnd w:id="74"/>
      <w:bookmarkEnd w:id="75"/>
      <w:r>
        <w:t xml:space="preserve">Changes </w:t>
      </w:r>
      <w:r w:rsidR="00DA4697">
        <w:t>to the Instructions</w:t>
      </w:r>
      <w:bookmarkEnd w:id="76"/>
      <w:bookmarkEnd w:id="77"/>
      <w:bookmarkEnd w:id="78"/>
      <w:bookmarkEnd w:id="79"/>
      <w:bookmarkEnd w:id="80"/>
      <w:bookmarkEnd w:id="81"/>
    </w:p>
    <w:p w14:paraId="69B3528D" w14:textId="6B89386F" w:rsidR="004A6AA3" w:rsidRPr="00CF402B" w:rsidRDefault="003D65A4" w:rsidP="008E5B0B">
      <w:pPr>
        <w:pStyle w:val="ListParagraph"/>
        <w:ind w:left="0"/>
      </w:pPr>
      <w:r>
        <w:t>C</w:t>
      </w:r>
      <w:r w:rsidR="004A6AA3">
        <w:t xml:space="preserve">hanges </w:t>
      </w:r>
      <w:r w:rsidR="00505BB1">
        <w:t>in</w:t>
      </w:r>
      <w:r w:rsidR="004A6AA3">
        <w:t xml:space="preserve"> the </w:t>
      </w:r>
      <w:r w:rsidR="00DD104F">
        <w:t>draft</w:t>
      </w:r>
      <w:r w:rsidR="004A6AA3">
        <w:t xml:space="preserve"> 201</w:t>
      </w:r>
      <w:r w:rsidR="00031B24">
        <w:t>7</w:t>
      </w:r>
      <w:r w:rsidR="004A6AA3">
        <w:t xml:space="preserve"> U</w:t>
      </w:r>
      <w:r w:rsidR="00A97F38">
        <w:t xml:space="preserve">nified </w:t>
      </w:r>
      <w:r w:rsidR="004A6AA3">
        <w:t>R</w:t>
      </w:r>
      <w:r w:rsidR="00A97F38">
        <w:t xml:space="preserve">ate </w:t>
      </w:r>
      <w:r w:rsidR="004A6AA3">
        <w:t>R</w:t>
      </w:r>
      <w:r w:rsidR="00A97F38">
        <w:t>eview (URR)</w:t>
      </w:r>
      <w:r w:rsidR="002F20A8">
        <w:t xml:space="preserve"> Instructions</w:t>
      </w:r>
      <w:r>
        <w:t xml:space="preserve"> in</w:t>
      </w:r>
      <w:r w:rsidRPr="00CF402B">
        <w:t>clude</w:t>
      </w:r>
      <w:r w:rsidR="004A6AA3" w:rsidRPr="00CF402B">
        <w:t>:</w:t>
      </w:r>
    </w:p>
    <w:p w14:paraId="1D82EBA9" w14:textId="42246FD4" w:rsidR="00CF402B" w:rsidRDefault="00CF402B" w:rsidP="009D2B17">
      <w:pPr>
        <w:pStyle w:val="ListParagraph"/>
        <w:numPr>
          <w:ilvl w:val="0"/>
          <w:numId w:val="44"/>
        </w:numPr>
      </w:pPr>
      <w:r>
        <w:t>Added Tip boxes to address common questions and errors found in prior year submissions.</w:t>
      </w:r>
    </w:p>
    <w:p w14:paraId="2C363947" w14:textId="5B9F117C" w:rsidR="00646EBA" w:rsidRDefault="00646EBA" w:rsidP="009D2B17">
      <w:pPr>
        <w:pStyle w:val="ListParagraph"/>
        <w:numPr>
          <w:ilvl w:val="0"/>
          <w:numId w:val="44"/>
        </w:numPr>
      </w:pPr>
      <w:r>
        <w:t xml:space="preserve">Revised </w:t>
      </w:r>
      <w:r w:rsidR="00505BB1">
        <w:t>submission requirements to reflect</w:t>
      </w:r>
      <w:r>
        <w:t xml:space="preserve"> </w:t>
      </w:r>
      <w:r w:rsidR="001976F0">
        <w:t xml:space="preserve">the </w:t>
      </w:r>
      <w:r>
        <w:t>proposed changes to 45 CFR 154.215(a</w:t>
      </w:r>
      <w:proofErr w:type="gramStart"/>
      <w:r>
        <w:t>)(</w:t>
      </w:r>
      <w:proofErr w:type="gramEnd"/>
      <w:r>
        <w:t>1)</w:t>
      </w:r>
      <w:r w:rsidR="001976F0">
        <w:t xml:space="preserve"> as outlined in the 2017 Payment Notice</w:t>
      </w:r>
      <w:r>
        <w:t>.</w:t>
      </w:r>
    </w:p>
    <w:p w14:paraId="3248931E" w14:textId="6F45E869" w:rsidR="00646EBA" w:rsidRDefault="00646EBA" w:rsidP="009D2B17">
      <w:pPr>
        <w:pStyle w:val="ListParagraph"/>
        <w:numPr>
          <w:ilvl w:val="0"/>
          <w:numId w:val="44"/>
        </w:numPr>
      </w:pPr>
      <w:r>
        <w:t xml:space="preserve">Addressed changes to URRT such as new Plan Category field and new </w:t>
      </w:r>
      <w:r w:rsidR="00B270BA">
        <w:t>m</w:t>
      </w:r>
      <w:r>
        <w:t>etal level selection of “Not Applicable” on Worksheet 2.</w:t>
      </w:r>
    </w:p>
    <w:p w14:paraId="3876D70A" w14:textId="3FD3AF39" w:rsidR="00CF402B" w:rsidRDefault="00646EBA" w:rsidP="009D2B17">
      <w:pPr>
        <w:pStyle w:val="ListParagraph"/>
        <w:numPr>
          <w:ilvl w:val="0"/>
          <w:numId w:val="44"/>
        </w:numPr>
      </w:pPr>
      <w:r>
        <w:t>Revis</w:t>
      </w:r>
      <w:r w:rsidR="00CF402B">
        <w:t>ed instructio</w:t>
      </w:r>
      <w:r w:rsidR="00301CA6">
        <w:t xml:space="preserve">ns for plan mapping to </w:t>
      </w:r>
      <w:r>
        <w:t xml:space="preserve">address multiple-plan scenarios and </w:t>
      </w:r>
      <w:r w:rsidR="00301CA6">
        <w:t>more closely follow guaranteed renewability and uniform modification of c</w:t>
      </w:r>
      <w:r w:rsidR="00301CA6" w:rsidRPr="00301CA6">
        <w:t>overage</w:t>
      </w:r>
      <w:r w:rsidR="00301CA6">
        <w:t xml:space="preserve"> guidelines.</w:t>
      </w:r>
    </w:p>
    <w:p w14:paraId="2DD96B62" w14:textId="006EA69B" w:rsidR="002917F5" w:rsidRDefault="002917F5" w:rsidP="009D2B17">
      <w:pPr>
        <w:pStyle w:val="ListParagraph"/>
        <w:numPr>
          <w:ilvl w:val="0"/>
          <w:numId w:val="44"/>
        </w:numPr>
      </w:pPr>
      <w:r>
        <w:t xml:space="preserve">Removed option </w:t>
      </w:r>
      <w:r w:rsidR="00DE4914">
        <w:t xml:space="preserve">to report URRT Worksheet 2 data at the product level because </w:t>
      </w:r>
      <w:r w:rsidR="00505BB1">
        <w:t xml:space="preserve">the </w:t>
      </w:r>
      <w:r w:rsidR="00DE4914">
        <w:t xml:space="preserve">threshold for review </w:t>
      </w:r>
      <w:r w:rsidR="00505BB1">
        <w:t>is</w:t>
      </w:r>
      <w:r w:rsidR="00DE4914">
        <w:t xml:space="preserve"> triggered at the plan level</w:t>
      </w:r>
      <w:r w:rsidR="00643EF7">
        <w:t xml:space="preserve"> starting with the 2017 plan year</w:t>
      </w:r>
      <w:r>
        <w:t>.</w:t>
      </w:r>
    </w:p>
    <w:p w14:paraId="37076958" w14:textId="4264B07A" w:rsidR="00301CA6" w:rsidRDefault="00301CA6" w:rsidP="009D2B17">
      <w:pPr>
        <w:pStyle w:val="ListParagraph"/>
        <w:numPr>
          <w:ilvl w:val="0"/>
          <w:numId w:val="44"/>
        </w:numPr>
      </w:pPr>
      <w:r>
        <w:t xml:space="preserve">Updated Age Calibration instructions and addressed lost revenue from </w:t>
      </w:r>
      <w:r w:rsidR="00F60086">
        <w:t xml:space="preserve">the </w:t>
      </w:r>
      <w:r>
        <w:t xml:space="preserve">three </w:t>
      </w:r>
      <w:r w:rsidR="00F60086">
        <w:t xml:space="preserve">under </w:t>
      </w:r>
      <w:r w:rsidR="005406F1">
        <w:t xml:space="preserve">age </w:t>
      </w:r>
      <w:r w:rsidR="00F60086">
        <w:t xml:space="preserve">21 </w:t>
      </w:r>
      <w:r>
        <w:t>child dependent cap.</w:t>
      </w:r>
    </w:p>
    <w:p w14:paraId="3B91E1A5" w14:textId="36C65C27" w:rsidR="00301CA6" w:rsidRDefault="002917F5" w:rsidP="009D2B17">
      <w:pPr>
        <w:pStyle w:val="ListParagraph"/>
        <w:numPr>
          <w:ilvl w:val="0"/>
          <w:numId w:val="44"/>
        </w:numPr>
      </w:pPr>
      <w:r>
        <w:t xml:space="preserve">Revised </w:t>
      </w:r>
      <w:r w:rsidR="00646EBA">
        <w:t>guidance on expected entries for reinsurance fields in URRT</w:t>
      </w:r>
      <w:r>
        <w:t xml:space="preserve"> in light of the proposal in the 2017 Payment Notice for the ACA reinsurance program to end with the 2016 benefit year</w:t>
      </w:r>
      <w:r w:rsidR="00646EBA">
        <w:t>.</w:t>
      </w:r>
    </w:p>
    <w:p w14:paraId="1619EEEB" w14:textId="0B96913D" w:rsidR="00047C69" w:rsidRPr="00CF402B" w:rsidRDefault="00047C69" w:rsidP="009D2B17">
      <w:pPr>
        <w:pStyle w:val="ListParagraph"/>
        <w:numPr>
          <w:ilvl w:val="0"/>
          <w:numId w:val="44"/>
        </w:numPr>
      </w:pPr>
      <w:r>
        <w:t xml:space="preserve">Addressed new </w:t>
      </w:r>
      <w:r w:rsidR="00BC0EF6">
        <w:t>Health Insurance Oversight System (</w:t>
      </w:r>
      <w:r>
        <w:t>HIOS</w:t>
      </w:r>
      <w:r w:rsidR="00BC0EF6">
        <w:t>)</w:t>
      </w:r>
      <w:r w:rsidR="0098693E">
        <w:t xml:space="preserve"> </w:t>
      </w:r>
      <w:r>
        <w:t xml:space="preserve">requirement </w:t>
      </w:r>
      <w:r w:rsidR="0098693E">
        <w:t xml:space="preserve">for </w:t>
      </w:r>
      <w:r>
        <w:t>upload</w:t>
      </w:r>
      <w:r w:rsidR="0098693E">
        <w:t>ing</w:t>
      </w:r>
      <w:r>
        <w:t xml:space="preserve"> a Redacted Actuarial Memorandum as part of rate filing submission.</w:t>
      </w:r>
    </w:p>
    <w:p w14:paraId="2D2CB86B" w14:textId="7889013A" w:rsidR="006F714D" w:rsidRDefault="006F714D" w:rsidP="008E5B0B">
      <w:pPr>
        <w:pStyle w:val="Heading2"/>
      </w:pPr>
      <w:bookmarkStart w:id="82" w:name="_Toc411934192"/>
      <w:bookmarkStart w:id="83" w:name="_Toc411934928"/>
      <w:bookmarkStart w:id="84" w:name="_Toc411866072"/>
      <w:bookmarkStart w:id="85" w:name="_Toc411866590"/>
      <w:bookmarkStart w:id="86" w:name="_Toc412032769"/>
      <w:bookmarkStart w:id="87" w:name="_Toc411936241"/>
      <w:bookmarkStart w:id="88" w:name="_Toc412287651"/>
      <w:bookmarkStart w:id="89" w:name="_Toc441756495"/>
      <w:bookmarkStart w:id="90" w:name="_Toc410525263"/>
      <w:bookmarkStart w:id="91" w:name="_Toc410525351"/>
      <w:bookmarkStart w:id="92" w:name="_Toc410588801"/>
      <w:bookmarkEnd w:id="82"/>
      <w:bookmarkEnd w:id="83"/>
      <w:r>
        <w:t>Public Disclosure</w:t>
      </w:r>
      <w:bookmarkEnd w:id="84"/>
      <w:bookmarkEnd w:id="85"/>
      <w:bookmarkEnd w:id="86"/>
      <w:bookmarkEnd w:id="87"/>
      <w:bookmarkEnd w:id="88"/>
      <w:bookmarkEnd w:id="89"/>
    </w:p>
    <w:p w14:paraId="012F74EA" w14:textId="6E4AFB7F" w:rsidR="001E223E" w:rsidRDefault="006F714D" w:rsidP="00926D0E">
      <w:pPr>
        <w:pStyle w:val="BodyText"/>
      </w:pPr>
      <w:r>
        <w:t xml:space="preserve">CMS will </w:t>
      </w:r>
      <w:r w:rsidR="004A0B64">
        <w:t xml:space="preserve">post </w:t>
      </w:r>
      <w:r>
        <w:t>the Part II</w:t>
      </w:r>
      <w:r w:rsidR="007A65B7">
        <w:t xml:space="preserve"> written description</w:t>
      </w:r>
      <w:r>
        <w:t xml:space="preserve">, and the information contained in Parts </w:t>
      </w:r>
      <w:proofErr w:type="gramStart"/>
      <w:r>
        <w:t>I</w:t>
      </w:r>
      <w:proofErr w:type="gramEnd"/>
      <w:r>
        <w:t xml:space="preserve"> and III that is not a trade secret or confidential commercial or financial information as defined in HHS’s Freedom of Information Act</w:t>
      </w:r>
      <w:r w:rsidR="00EC621B">
        <w:t xml:space="preserve"> (FOIA)</w:t>
      </w:r>
      <w:r w:rsidR="00C72FCD">
        <w:t xml:space="preserve"> regulations</w:t>
      </w:r>
      <w:r w:rsidR="004A0B64">
        <w:rPr>
          <w:rStyle w:val="FootnoteReference"/>
        </w:rPr>
        <w:footnoteReference w:id="3"/>
      </w:r>
      <w:r>
        <w:t xml:space="preserve">.  </w:t>
      </w:r>
      <w:r w:rsidR="001976F0">
        <w:t>As proposed in the 2017 Payment Notice, the</w:t>
      </w:r>
      <w:r>
        <w:t xml:space="preserve"> information </w:t>
      </w:r>
      <w:r w:rsidR="00CF6E24">
        <w:t xml:space="preserve">for all </w:t>
      </w:r>
      <w:r w:rsidR="001976F0">
        <w:t xml:space="preserve">single risk pool coverage </w:t>
      </w:r>
      <w:r w:rsidR="00CF6E24">
        <w:t>proposed</w:t>
      </w:r>
      <w:r>
        <w:t xml:space="preserve"> </w:t>
      </w:r>
      <w:r w:rsidR="009E2555">
        <w:t>rate increase</w:t>
      </w:r>
      <w:r w:rsidR="00690725">
        <w:t>s</w:t>
      </w:r>
      <w:r w:rsidR="009E2555">
        <w:t xml:space="preserve"> (regardless of whether the increase is subject to review) </w:t>
      </w:r>
      <w:r>
        <w:t xml:space="preserve">and </w:t>
      </w:r>
      <w:r w:rsidR="009E2555">
        <w:t xml:space="preserve">all </w:t>
      </w:r>
      <w:r w:rsidR="00CF6E24">
        <w:t xml:space="preserve">final rate increases </w:t>
      </w:r>
      <w:r w:rsidR="004A0B64">
        <w:t>will be posted</w:t>
      </w:r>
      <w:r>
        <w:t xml:space="preserve"> at </w:t>
      </w:r>
      <w:hyperlink r:id="rId9" w:history="1">
        <w:r w:rsidRPr="009C1775">
          <w:rPr>
            <w:rStyle w:val="Hyperlink"/>
            <w:szCs w:val="22"/>
          </w:rPr>
          <w:t>https://ratereview.healthcare.gov/</w:t>
        </w:r>
      </w:hyperlink>
      <w:r>
        <w:t xml:space="preserve"> and </w:t>
      </w:r>
      <w:r w:rsidR="009C1775">
        <w:t xml:space="preserve">at </w:t>
      </w:r>
      <w:hyperlink r:id="rId10" w:history="1">
        <w:r w:rsidR="009C1775" w:rsidRPr="009C1775">
          <w:rPr>
            <w:rStyle w:val="Hyperlink"/>
            <w:szCs w:val="22"/>
          </w:rPr>
          <w:t>http://www.cms.gov/CCIIO/Resources/Data-Resources/ratereview.html</w:t>
        </w:r>
      </w:hyperlink>
      <w:r w:rsidR="009C1775">
        <w:t xml:space="preserve">. </w:t>
      </w:r>
    </w:p>
    <w:p w14:paraId="14A4F12E" w14:textId="12404121" w:rsidR="001E223E" w:rsidRPr="004A6AA3" w:rsidRDefault="00CF6E24" w:rsidP="008E5B0B">
      <w:pPr>
        <w:spacing w:after="0"/>
        <w:rPr>
          <w:rFonts w:cstheme="minorHAnsi"/>
        </w:rPr>
      </w:pPr>
      <w:r>
        <w:rPr>
          <w:rFonts w:cstheme="minorHAnsi"/>
        </w:rPr>
        <w:t xml:space="preserve">A </w:t>
      </w:r>
      <w:r w:rsidR="004A6AA3">
        <w:rPr>
          <w:rFonts w:cstheme="minorHAnsi"/>
        </w:rPr>
        <w:t>s</w:t>
      </w:r>
      <w:r w:rsidR="001E223E" w:rsidRPr="004A6AA3">
        <w:rPr>
          <w:rFonts w:cstheme="minorHAnsi"/>
        </w:rPr>
        <w:t xml:space="preserve">tate with an Effective Rate Review Program </w:t>
      </w:r>
      <w:r w:rsidR="00443EF4">
        <w:rPr>
          <w:rFonts w:cstheme="minorHAnsi"/>
        </w:rPr>
        <w:t>must</w:t>
      </w:r>
      <w:r w:rsidR="00443EF4" w:rsidRPr="004A6AA3">
        <w:rPr>
          <w:rFonts w:cstheme="minorHAnsi"/>
        </w:rPr>
        <w:t xml:space="preserve"> </w:t>
      </w:r>
      <w:r w:rsidR="001E223E" w:rsidRPr="004A6AA3">
        <w:rPr>
          <w:rFonts w:cstheme="minorHAnsi"/>
        </w:rPr>
        <w:t xml:space="preserve">post on the State’s website </w:t>
      </w:r>
      <w:r w:rsidR="001E223E" w:rsidRPr="006B47DE">
        <w:rPr>
          <w:rFonts w:cstheme="minorHAnsi"/>
        </w:rPr>
        <w:t xml:space="preserve">at least the information contained in Parts I, II, and III of the </w:t>
      </w:r>
      <w:r w:rsidR="00D424AE">
        <w:rPr>
          <w:rFonts w:cstheme="minorHAnsi"/>
        </w:rPr>
        <w:t>RFJ</w:t>
      </w:r>
      <w:r w:rsidR="001E223E" w:rsidRPr="006B47DE">
        <w:rPr>
          <w:rFonts w:cstheme="minorHAnsi"/>
        </w:rPr>
        <w:t xml:space="preserve"> that CMS makes available on its website </w:t>
      </w:r>
      <w:r w:rsidR="001E223E" w:rsidRPr="00D97554">
        <w:rPr>
          <w:rFonts w:cstheme="minorHAnsi"/>
        </w:rPr>
        <w:t xml:space="preserve">(or provide CMS’s web address for such information) </w:t>
      </w:r>
      <w:r w:rsidR="00555F24">
        <w:rPr>
          <w:rFonts w:cstheme="minorHAnsi"/>
        </w:rPr>
        <w:t xml:space="preserve">for proposed rate increases subject to review </w:t>
      </w:r>
      <w:r w:rsidR="006C12C1">
        <w:rPr>
          <w:rFonts w:cstheme="minorHAnsi"/>
        </w:rPr>
        <w:t xml:space="preserve">on a uniform date </w:t>
      </w:r>
      <w:r>
        <w:rPr>
          <w:rFonts w:cstheme="minorHAnsi"/>
        </w:rPr>
        <w:t>no later than the</w:t>
      </w:r>
      <w:r w:rsidR="001E223E" w:rsidRPr="00D97554">
        <w:rPr>
          <w:rFonts w:cstheme="minorHAnsi"/>
        </w:rPr>
        <w:t xml:space="preserve"> </w:t>
      </w:r>
      <w:r w:rsidR="00B276BE">
        <w:rPr>
          <w:rFonts w:cstheme="minorHAnsi"/>
        </w:rPr>
        <w:t>date specified by the Secretary in guidance</w:t>
      </w:r>
      <w:r w:rsidR="001E223E" w:rsidRPr="004A6AA3">
        <w:rPr>
          <w:rFonts w:cstheme="minorHAnsi"/>
        </w:rPr>
        <w:t>.</w:t>
      </w:r>
      <w:r w:rsidR="00364369">
        <w:rPr>
          <w:rFonts w:cstheme="minorHAnsi"/>
        </w:rPr>
        <w:t xml:space="preserve">  </w:t>
      </w:r>
      <w:r w:rsidR="00555F24">
        <w:rPr>
          <w:rFonts w:cstheme="minorHAnsi"/>
        </w:rPr>
        <w:t xml:space="preserve">The deadline for a state with an Effective Rate Review Program to post </w:t>
      </w:r>
      <w:r w:rsidR="00BF5E1E">
        <w:rPr>
          <w:rFonts w:cstheme="minorHAnsi"/>
        </w:rPr>
        <w:t>the same information on all final rate increases (not just those subject to review)</w:t>
      </w:r>
      <w:r w:rsidR="00555F24" w:rsidRPr="00D97554">
        <w:rPr>
          <w:rFonts w:cstheme="minorHAnsi"/>
        </w:rPr>
        <w:t xml:space="preserve"> is </w:t>
      </w:r>
      <w:r w:rsidR="00BF5E1E">
        <w:t>no</w:t>
      </w:r>
      <w:r w:rsidR="00BF5E1E" w:rsidRPr="00D55CF0">
        <w:t xml:space="preserve"> later than the first day of the individual market annual open enrollment period</w:t>
      </w:r>
      <w:r w:rsidR="00555F24" w:rsidRPr="004A6AA3">
        <w:rPr>
          <w:rFonts w:cstheme="minorHAnsi"/>
        </w:rPr>
        <w:t>.</w:t>
      </w:r>
    </w:p>
    <w:p w14:paraId="16C51FB9" w14:textId="5B0F0D29" w:rsidR="0026150C" w:rsidRPr="0026150C" w:rsidRDefault="00D835E4" w:rsidP="008E5B0B">
      <w:pPr>
        <w:pStyle w:val="Heading2"/>
      </w:pPr>
      <w:bookmarkStart w:id="93" w:name="_Toc411934194"/>
      <w:bookmarkStart w:id="94" w:name="_Toc411934930"/>
      <w:bookmarkStart w:id="95" w:name="_Toc411934195"/>
      <w:bookmarkStart w:id="96" w:name="_Toc411934931"/>
      <w:bookmarkStart w:id="97" w:name="_Toc411866073"/>
      <w:bookmarkStart w:id="98" w:name="_Toc411866591"/>
      <w:bookmarkStart w:id="99" w:name="_Toc412032770"/>
      <w:bookmarkStart w:id="100" w:name="_Toc411936242"/>
      <w:bookmarkStart w:id="101" w:name="_Toc412287652"/>
      <w:bookmarkStart w:id="102" w:name="_Toc441756496"/>
      <w:bookmarkEnd w:id="93"/>
      <w:bookmarkEnd w:id="94"/>
      <w:bookmarkEnd w:id="95"/>
      <w:bookmarkEnd w:id="96"/>
      <w:r w:rsidRPr="008A3126">
        <w:t>General Instructions</w:t>
      </w:r>
      <w:bookmarkEnd w:id="90"/>
      <w:bookmarkEnd w:id="91"/>
      <w:bookmarkEnd w:id="92"/>
      <w:bookmarkEnd w:id="97"/>
      <w:bookmarkEnd w:id="98"/>
      <w:bookmarkEnd w:id="99"/>
      <w:bookmarkEnd w:id="100"/>
      <w:bookmarkEnd w:id="101"/>
      <w:bookmarkEnd w:id="102"/>
    </w:p>
    <w:p w14:paraId="235EA90E" w14:textId="77BF6DEC" w:rsidR="00D835E4" w:rsidRPr="008A3126" w:rsidRDefault="00D835E4" w:rsidP="00D835E4">
      <w:pPr>
        <w:pStyle w:val="NoSpacing"/>
      </w:pPr>
      <w:bookmarkStart w:id="103" w:name="_Toc410525264"/>
      <w:bookmarkStart w:id="104" w:name="_Toc410525352"/>
      <w:r w:rsidRPr="008A3126">
        <w:rPr>
          <w:b/>
        </w:rPr>
        <w:t>Annual Submissions</w:t>
      </w:r>
      <w:bookmarkEnd w:id="103"/>
      <w:bookmarkEnd w:id="104"/>
    </w:p>
    <w:p w14:paraId="018839B2" w14:textId="67FEDDFB" w:rsidR="00D2027C" w:rsidRDefault="00D835E4" w:rsidP="00D835E4">
      <w:pPr>
        <w:pStyle w:val="BodyText"/>
      </w:pPr>
      <w:r w:rsidRPr="008A3126">
        <w:t xml:space="preserve">All health insurance issuers </w:t>
      </w:r>
      <w:r w:rsidR="00D2027C">
        <w:t xml:space="preserve">offering </w:t>
      </w:r>
      <w:r w:rsidR="00505C39">
        <w:t>single risk pool products</w:t>
      </w:r>
      <w:r w:rsidR="00254B38">
        <w:t xml:space="preserve"> </w:t>
      </w:r>
      <w:r w:rsidRPr="008A3126">
        <w:t xml:space="preserve">in the individual, small group, and/or </w:t>
      </w:r>
      <w:r w:rsidR="00BF5E1E">
        <w:t>merged</w:t>
      </w:r>
      <w:r w:rsidR="00BF5E1E" w:rsidRPr="008A3126">
        <w:t xml:space="preserve"> </w:t>
      </w:r>
      <w:r w:rsidRPr="008A3126">
        <w:t xml:space="preserve">markets must submit the </w:t>
      </w:r>
      <w:r w:rsidR="009E2555">
        <w:t xml:space="preserve">applicable parts of the </w:t>
      </w:r>
      <w:r w:rsidR="00373725">
        <w:t>RFJ</w:t>
      </w:r>
      <w:r w:rsidRPr="008A3126">
        <w:t xml:space="preserve"> via the </w:t>
      </w:r>
      <w:r w:rsidR="006C12C1">
        <w:t>Unified Rate Review (</w:t>
      </w:r>
      <w:r w:rsidRPr="008A3126">
        <w:t>URR</w:t>
      </w:r>
      <w:r w:rsidR="006C12C1">
        <w:t>)</w:t>
      </w:r>
      <w:r w:rsidRPr="008A3126">
        <w:t xml:space="preserve"> module of the Health Insurance Oversight System (HIOS). </w:t>
      </w:r>
      <w:r w:rsidR="00AD1587">
        <w:t xml:space="preserve"> </w:t>
      </w:r>
      <w:r w:rsidR="00277BD1">
        <w:t>As proposed to be amended in the 2017 Payment notice, this would be</w:t>
      </w:r>
      <w:r w:rsidR="00F85317" w:rsidRPr="00D55CF0">
        <w:t xml:space="preserve"> true regardless of whether the </w:t>
      </w:r>
      <w:r w:rsidR="00D2027C">
        <w:t>issuer is decreasing, increasing, or leaving rates unchanged from the prior rate filing submission</w:t>
      </w:r>
      <w:r w:rsidR="00AD1587">
        <w:t xml:space="preserve"> and for new and discontinuing products</w:t>
      </w:r>
      <w:r w:rsidR="00D2027C">
        <w:t>.</w:t>
      </w:r>
      <w:r w:rsidR="00364AF3">
        <w:rPr>
          <w:rStyle w:val="FootnoteReference"/>
        </w:rPr>
        <w:footnoteReference w:id="4"/>
      </w:r>
      <w:r w:rsidR="00D2027C">
        <w:t xml:space="preserve"> </w:t>
      </w:r>
      <w:r w:rsidR="003E67A6">
        <w:t>Issuers must submit annual rate filings for both QHPs and non-QHPs in the single risk pool by the earlier of: (</w:t>
      </w:r>
      <w:proofErr w:type="spellStart"/>
      <w:r w:rsidR="003E67A6">
        <w:t>i</w:t>
      </w:r>
      <w:proofErr w:type="spellEnd"/>
      <w:r w:rsidR="003E67A6">
        <w:t xml:space="preserve">) </w:t>
      </w:r>
      <w:r w:rsidR="002A3A4F">
        <w:t>July 15, 2016</w:t>
      </w:r>
      <w:r w:rsidR="003E67A6">
        <w:t xml:space="preserve"> or (ii) the date the State requires.  </w:t>
      </w:r>
    </w:p>
    <w:p w14:paraId="1DA2A814" w14:textId="7AB4AF57" w:rsidR="004A6AA3" w:rsidRPr="006B47DE" w:rsidRDefault="00D835E4" w:rsidP="00D835E4">
      <w:pPr>
        <w:pStyle w:val="BodyText"/>
        <w:rPr>
          <w:rFonts w:cstheme="minorHAnsi"/>
        </w:rPr>
      </w:pPr>
      <w:r w:rsidRPr="008A3126">
        <w:t xml:space="preserve">Small group </w:t>
      </w:r>
      <w:r>
        <w:t>i</w:t>
      </w:r>
      <w:r w:rsidRPr="008A3126">
        <w:t xml:space="preserve">ssuers may include scheduled quarterly trend increases within the annual filing (i.e., the January 1, XXXX rate submission).  An </w:t>
      </w:r>
      <w:r>
        <w:t>i</w:t>
      </w:r>
      <w:r w:rsidRPr="008A3126">
        <w:t xml:space="preserve">ssuer may only have one active annual </w:t>
      </w:r>
      <w:r w:rsidR="00257889">
        <w:t xml:space="preserve">single risk pool </w:t>
      </w:r>
      <w:r w:rsidRPr="008A3126">
        <w:t xml:space="preserve">submission per market in HIOS. </w:t>
      </w:r>
    </w:p>
    <w:p w14:paraId="0416BCEB" w14:textId="4BA468F1" w:rsidR="00D835E4" w:rsidRPr="008A3126" w:rsidRDefault="00D835E4" w:rsidP="00D835E4">
      <w:pPr>
        <w:pStyle w:val="NoSpacing"/>
        <w:rPr>
          <w:b/>
        </w:rPr>
      </w:pPr>
      <w:bookmarkStart w:id="105" w:name="_Toc410525265"/>
      <w:bookmarkStart w:id="106" w:name="_Toc410525353"/>
      <w:r w:rsidRPr="008A3126">
        <w:rPr>
          <w:b/>
        </w:rPr>
        <w:t>Quarterly Submissions</w:t>
      </w:r>
      <w:bookmarkEnd w:id="105"/>
      <w:bookmarkEnd w:id="106"/>
    </w:p>
    <w:p w14:paraId="775A38F1" w14:textId="54B19C42" w:rsidR="00D835E4" w:rsidRDefault="0035757F" w:rsidP="00D835E4">
      <w:pPr>
        <w:pStyle w:val="BodyText"/>
      </w:pPr>
      <w:r>
        <w:t>I</w:t>
      </w:r>
      <w:r w:rsidR="00D835E4" w:rsidRPr="008A3126">
        <w:t xml:space="preserve">ssuers can submit a </w:t>
      </w:r>
      <w:r w:rsidR="006329A9">
        <w:t>RFJ</w:t>
      </w:r>
      <w:r w:rsidR="006329A9" w:rsidRPr="008A3126">
        <w:t xml:space="preserve"> </w:t>
      </w:r>
      <w:r w:rsidR="00D835E4" w:rsidRPr="008A3126">
        <w:t xml:space="preserve">for quarterly rate changes in the small group market </w:t>
      </w:r>
      <w:r w:rsidR="00F85317">
        <w:t xml:space="preserve">for single risk pool plans </w:t>
      </w:r>
      <w:r w:rsidR="00D835E4" w:rsidRPr="008A3126">
        <w:t xml:space="preserve">if allowed by the state regulatory authority. The quarterly filing would contain rate changes beyond any scheduled trend increases included in the annual submission for subsequent quarters in </w:t>
      </w:r>
      <w:r w:rsidR="002520C0">
        <w:t>the same</w:t>
      </w:r>
      <w:r w:rsidR="002520C0" w:rsidRPr="008A3126">
        <w:t xml:space="preserve"> </w:t>
      </w:r>
      <w:r w:rsidR="00D835E4" w:rsidRPr="008A3126">
        <w:t xml:space="preserve">calendar year (i.e., second, third, and/or fourth quarters).  </w:t>
      </w:r>
      <w:r w:rsidR="00885208">
        <w:t>I</w:t>
      </w:r>
      <w:r w:rsidR="002520C0">
        <w:t xml:space="preserve">ssuers are not allowed to file trended rates for effective dates in the subsequent calendar year. </w:t>
      </w:r>
      <w:r w:rsidR="00D835E4" w:rsidRPr="008A3126">
        <w:t xml:space="preserve">An </w:t>
      </w:r>
      <w:r w:rsidR="006329A9">
        <w:t>i</w:t>
      </w:r>
      <w:r w:rsidR="00D835E4" w:rsidRPr="008A3126">
        <w:t xml:space="preserve">ssuer may only have one active quarterly </w:t>
      </w:r>
      <w:r w:rsidR="00257889">
        <w:t xml:space="preserve">single risk pool </w:t>
      </w:r>
      <w:r w:rsidR="00D835E4" w:rsidRPr="008A3126">
        <w:t xml:space="preserve">submission per market in HIOS. </w:t>
      </w:r>
    </w:p>
    <w:p w14:paraId="5B4770E2" w14:textId="3CC471E9" w:rsidR="00D97554" w:rsidRDefault="004A6E0F" w:rsidP="00D835E4">
      <w:pPr>
        <w:pStyle w:val="BodyText"/>
      </w:pPr>
      <w:r>
        <w:rPr>
          <w:noProof/>
        </w:rPr>
        <mc:AlternateContent>
          <mc:Choice Requires="wps">
            <w:drawing>
              <wp:anchor distT="228600" distB="228600" distL="228600" distR="228600" simplePos="0" relativeHeight="251656704" behindDoc="1" locked="0" layoutInCell="1" allowOverlap="1" wp14:anchorId="36376C42" wp14:editId="7503AD0E">
                <wp:simplePos x="0" y="0"/>
                <wp:positionH relativeFrom="margin">
                  <wp:posOffset>4087089</wp:posOffset>
                </wp:positionH>
                <wp:positionV relativeFrom="margin">
                  <wp:posOffset>5069205</wp:posOffset>
                </wp:positionV>
                <wp:extent cx="2459355" cy="1623695"/>
                <wp:effectExtent l="0" t="0" r="0" b="0"/>
                <wp:wrapSquare wrapText="bothSides"/>
                <wp:docPr id="36" name="Text Box 36"/>
                <wp:cNvGraphicFramePr/>
                <a:graphic xmlns:a="http://schemas.openxmlformats.org/drawingml/2006/main">
                  <a:graphicData uri="http://schemas.microsoft.com/office/word/2010/wordprocessingShape">
                    <wps:wsp>
                      <wps:cNvSpPr txBox="1"/>
                      <wps:spPr>
                        <a:xfrm>
                          <a:off x="0" y="0"/>
                          <a:ext cx="2459355" cy="162369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25812D17" w14:textId="54E560EA" w:rsidR="00634A44" w:rsidRDefault="00634A44" w:rsidP="00DE74FF">
                            <w:pPr>
                              <w:rPr>
                                <w:color w:val="17365D" w:themeColor="text2" w:themeShade="BF"/>
                                <w:sz w:val="24"/>
                                <w:szCs w:val="24"/>
                              </w:rPr>
                            </w:pPr>
                            <w:r w:rsidRPr="00DE74FF">
                              <w:rPr>
                                <w:b/>
                                <w:color w:val="17365D" w:themeColor="text2" w:themeShade="BF"/>
                                <w:sz w:val="24"/>
                                <w:szCs w:val="24"/>
                                <w:u w:val="single"/>
                              </w:rPr>
                              <w:t>Tip:</w:t>
                            </w:r>
                            <w:r w:rsidRPr="00DE74FF">
                              <w:rPr>
                                <w:b/>
                                <w:color w:val="17365D" w:themeColor="text2" w:themeShade="BF"/>
                                <w:sz w:val="24"/>
                                <w:szCs w:val="24"/>
                              </w:rPr>
                              <w:t xml:space="preserve">  </w:t>
                            </w:r>
                            <w:r>
                              <w:rPr>
                                <w:color w:val="17365D" w:themeColor="text2" w:themeShade="BF"/>
                                <w:sz w:val="24"/>
                                <w:szCs w:val="24"/>
                              </w:rPr>
                              <w:t>When submitting quarterly rate changes in the small group market, make sure you file early enough to allow for regulatory review in time to submit new rates to SHOP.</w:t>
                            </w:r>
                          </w:p>
                          <w:p w14:paraId="67AB8AD1" w14:textId="77777777" w:rsidR="00634A44" w:rsidDel="00DE74FF" w:rsidRDefault="00634A44" w:rsidP="00DE74FF">
                            <w:pPr>
                              <w:pStyle w:val="NoSpacing"/>
                              <w:jc w:val="right"/>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376C42" id="Text Box 36" o:spid="_x0000_s1027" type="#_x0000_t202" style="position:absolute;margin-left:321.8pt;margin-top:399.15pt;width:193.65pt;height:127.85pt;z-index:-25165977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" fillcolor="#efede3 [2899]" stroked="f" strokeweight=".5pt">
                <v:fill color2="#eae7d9 [3139]" rotate="t" focusposition=".5,.5" focussize="-.5,-.5" focus="100%" type="gradientRadial"/>
                <v:textbox inset="14.4pt,14.4pt,14.4pt,14.4pt">
                  <w:txbxContent>
                    <w:p w14:paraId="25812D17" w14:textId="54E560EA" w:rsidR="00634A44" w:rsidRDefault="00634A44" w:rsidP="00DE74FF">
                      <w:pPr>
                        <w:rPr>
                          <w:color w:val="17365D" w:themeColor="text2" w:themeShade="BF"/>
                          <w:sz w:val="24"/>
                          <w:szCs w:val="24"/>
                        </w:rPr>
                      </w:pPr>
                      <w:r w:rsidRPr="00DE74FF">
                        <w:rPr>
                          <w:b/>
                          <w:color w:val="17365D" w:themeColor="text2" w:themeShade="BF"/>
                          <w:sz w:val="24"/>
                          <w:szCs w:val="24"/>
                          <w:u w:val="single"/>
                        </w:rPr>
                        <w:t>Tip:</w:t>
                      </w:r>
                      <w:r w:rsidRPr="00DE74FF">
                        <w:rPr>
                          <w:b/>
                          <w:color w:val="17365D" w:themeColor="text2" w:themeShade="BF"/>
                          <w:sz w:val="24"/>
                          <w:szCs w:val="24"/>
                        </w:rPr>
                        <w:t xml:space="preserve">  </w:t>
                      </w:r>
                      <w:r>
                        <w:rPr>
                          <w:color w:val="17365D" w:themeColor="text2" w:themeShade="BF"/>
                          <w:sz w:val="24"/>
                          <w:szCs w:val="24"/>
                        </w:rPr>
                        <w:t>When submitting quarterly rate changes in the small group market, make sure you file early enough to allow for regulatory review in time to submit new rates to SHOP.</w:t>
                      </w:r>
                    </w:p>
                    <w:p w14:paraId="67AB8AD1" w14:textId="77777777" w:rsidR="00634A44" w:rsidDel="00DE74FF" w:rsidRDefault="00634A44" w:rsidP="00DE74FF">
                      <w:pPr>
                        <w:pStyle w:val="NoSpacing"/>
                        <w:jc w:val="right"/>
                        <w:rPr>
                          <w:color w:val="1F497D" w:themeColor="text2"/>
                          <w:sz w:val="18"/>
                          <w:szCs w:val="18"/>
                        </w:rPr>
                      </w:pPr>
                    </w:p>
                  </w:txbxContent>
                </v:textbox>
                <w10:wrap type="square" anchorx="margin" anchory="margin"/>
              </v:shape>
            </w:pict>
          </mc:Fallback>
        </mc:AlternateContent>
      </w:r>
      <w:r w:rsidR="00105F23">
        <w:t>Quarterly</w:t>
      </w:r>
      <w:r w:rsidR="00D97554">
        <w:t xml:space="preserve"> rate changes must be submitted at </w:t>
      </w:r>
      <w:r w:rsidR="00105F23">
        <w:t xml:space="preserve">least </w:t>
      </w:r>
      <w:r w:rsidR="00D97554">
        <w:t xml:space="preserve">105 days prior to the effective date of the </w:t>
      </w:r>
      <w:r w:rsidR="00105F23">
        <w:t>rate change</w:t>
      </w:r>
      <w:r w:rsidR="00D97554">
        <w:t>, or such earlier deadline as established by the state.</w:t>
      </w:r>
      <w:r w:rsidR="00105F23">
        <w:t xml:space="preserve">  Quarterly submissions must be finalized at least 45 days prior to the effective date.</w:t>
      </w:r>
      <w:r w:rsidR="00E15A16">
        <w:t xml:space="preserve">  Issuers offering </w:t>
      </w:r>
      <w:r w:rsidR="0071739F">
        <w:t>QHPs</w:t>
      </w:r>
      <w:r w:rsidR="00E15A16">
        <w:t xml:space="preserve"> in the Federally</w:t>
      </w:r>
      <w:r w:rsidR="001E6820">
        <w:t>-</w:t>
      </w:r>
      <w:r w:rsidR="008160B5">
        <w:t>f</w:t>
      </w:r>
      <w:r w:rsidR="00E15A16">
        <w:t xml:space="preserve">acilitated </w:t>
      </w:r>
      <w:r w:rsidR="00885208">
        <w:t>Small Business Health Options Program (</w:t>
      </w:r>
      <w:r w:rsidR="0071739F">
        <w:t>SHOP</w:t>
      </w:r>
      <w:r w:rsidR="00885208">
        <w:t>)</w:t>
      </w:r>
      <w:r w:rsidR="00E15A16">
        <w:t xml:space="preserve"> should also </w:t>
      </w:r>
      <w:r w:rsidR="00742826">
        <w:t>be mindful of</w:t>
      </w:r>
      <w:r w:rsidR="00E15A16">
        <w:t xml:space="preserve"> the data correction windows when a new Rates Table Template must be submitted.  Rate filings </w:t>
      </w:r>
      <w:r w:rsidR="00545810">
        <w:t>should be submitted to allow</w:t>
      </w:r>
      <w:r w:rsidR="00E15A16">
        <w:t xml:space="preserve"> sufficient time</w:t>
      </w:r>
      <w:r w:rsidR="00545810">
        <w:t xml:space="preserve"> for the review to be completed prior to submitting the Rates Table Template in </w:t>
      </w:r>
      <w:r w:rsidR="00885208">
        <w:t xml:space="preserve">the Plan Management module of HIOS during </w:t>
      </w:r>
      <w:r w:rsidR="00545810">
        <w:t>the data correction window.</w:t>
      </w:r>
    </w:p>
    <w:p w14:paraId="5EC26757" w14:textId="380CE3F0" w:rsidR="00D835E4" w:rsidRPr="008A3126" w:rsidRDefault="00D835E4" w:rsidP="008E5B0B">
      <w:pPr>
        <w:pStyle w:val="NoSpacing"/>
        <w:keepNext/>
        <w:rPr>
          <w:b/>
        </w:rPr>
      </w:pPr>
      <w:bookmarkStart w:id="107" w:name="_Toc410525266"/>
      <w:bookmarkStart w:id="108" w:name="_Toc410525354"/>
      <w:r w:rsidRPr="008A3126">
        <w:rPr>
          <w:b/>
        </w:rPr>
        <w:t>Index Rates</w:t>
      </w:r>
      <w:bookmarkEnd w:id="107"/>
      <w:bookmarkEnd w:id="108"/>
    </w:p>
    <w:p w14:paraId="63035B41" w14:textId="2E81C4B6" w:rsidR="00EE6688" w:rsidRDefault="00CD2C9E" w:rsidP="00D835E4">
      <w:pPr>
        <w:pStyle w:val="NoSpacing"/>
        <w:keepNext/>
      </w:pPr>
      <w:r w:rsidRPr="004E57F0">
        <w:rPr>
          <w:noProof/>
        </w:rPr>
        <mc:AlternateContent>
          <mc:Choice Requires="wps">
            <w:drawing>
              <wp:anchor distT="228600" distB="228600" distL="228600" distR="228600" simplePos="0" relativeHeight="251661824" behindDoc="1" locked="0" layoutInCell="1" allowOverlap="1" wp14:anchorId="7C1F632D" wp14:editId="26F04964">
                <wp:simplePos x="0" y="0"/>
                <wp:positionH relativeFrom="margin">
                  <wp:posOffset>4088765</wp:posOffset>
                </wp:positionH>
                <wp:positionV relativeFrom="margin">
                  <wp:posOffset>2494280</wp:posOffset>
                </wp:positionV>
                <wp:extent cx="2457450" cy="1177290"/>
                <wp:effectExtent l="0" t="0" r="0" b="3810"/>
                <wp:wrapSquare wrapText="bothSides"/>
                <wp:docPr id="12" name="Text Box 12"/>
                <wp:cNvGraphicFramePr/>
                <a:graphic xmlns:a="http://schemas.openxmlformats.org/drawingml/2006/main">
                  <a:graphicData uri="http://schemas.microsoft.com/office/word/2010/wordprocessingShape">
                    <wps:wsp>
                      <wps:cNvSpPr txBox="1"/>
                      <wps:spPr>
                        <a:xfrm>
                          <a:off x="0" y="0"/>
                          <a:ext cx="2457450" cy="1177290"/>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08DD35E0" w14:textId="1C76AAE5" w:rsidR="00634A44" w:rsidRDefault="00634A44" w:rsidP="004E57F0">
                            <w:pPr>
                              <w:rPr>
                                <w:color w:val="17365D" w:themeColor="text2" w:themeShade="BF"/>
                                <w:sz w:val="24"/>
                                <w:szCs w:val="24"/>
                              </w:rPr>
                            </w:pPr>
                            <w:r w:rsidRPr="00DE74FF">
                              <w:rPr>
                                <w:b/>
                                <w:color w:val="17365D" w:themeColor="text2" w:themeShade="BF"/>
                                <w:sz w:val="24"/>
                                <w:szCs w:val="24"/>
                                <w:u w:val="single"/>
                              </w:rPr>
                              <w:t>Tip:</w:t>
                            </w:r>
                            <w:r w:rsidRPr="00DE74FF">
                              <w:rPr>
                                <w:b/>
                                <w:color w:val="17365D" w:themeColor="text2" w:themeShade="BF"/>
                                <w:sz w:val="24"/>
                                <w:szCs w:val="24"/>
                              </w:rPr>
                              <w:t xml:space="preserve">  </w:t>
                            </w:r>
                            <w:r>
                              <w:rPr>
                                <w:color w:val="17365D" w:themeColor="text2" w:themeShade="BF"/>
                                <w:sz w:val="24"/>
                                <w:szCs w:val="24"/>
                              </w:rPr>
                              <w:t>Issuers may only introduce new plans for sale through the FFMs at the beginning of a calendar year.</w:t>
                            </w:r>
                          </w:p>
                          <w:p w14:paraId="296883C1" w14:textId="77777777" w:rsidR="00634A44" w:rsidDel="00DE74FF" w:rsidRDefault="00634A44" w:rsidP="004E57F0">
                            <w:pPr>
                              <w:pStyle w:val="NoSpacing"/>
                              <w:jc w:val="right"/>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1F632D" id="Text Box 12" o:spid="_x0000_s1028" type="#_x0000_t202" style="position:absolute;margin-left:321.95pt;margin-top:196.4pt;width:193.5pt;height:92.7pt;z-index:-25165465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" stroked="f" strokeweight=".5pt">
                <v:fill color2="#eae7d8" rotate="t" focusposition=".5,.5" focussize="-.5,-.5" focus="100%" type="gradientRadial"/>
                <v:textbox inset="14.4pt,14.4pt,14.4pt,14.4pt">
                  <w:txbxContent>
                    <w:p w14:paraId="08DD35E0" w14:textId="1C76AAE5" w:rsidR="00634A44" w:rsidRDefault="00634A44" w:rsidP="004E57F0">
                      <w:pPr>
                        <w:rPr>
                          <w:color w:val="17365D" w:themeColor="text2" w:themeShade="BF"/>
                          <w:sz w:val="24"/>
                          <w:szCs w:val="24"/>
                        </w:rPr>
                      </w:pPr>
                      <w:r w:rsidRPr="00DE74FF">
                        <w:rPr>
                          <w:b/>
                          <w:color w:val="17365D" w:themeColor="text2" w:themeShade="BF"/>
                          <w:sz w:val="24"/>
                          <w:szCs w:val="24"/>
                          <w:u w:val="single"/>
                        </w:rPr>
                        <w:t>Tip:</w:t>
                      </w:r>
                      <w:r w:rsidRPr="00DE74FF">
                        <w:rPr>
                          <w:b/>
                          <w:color w:val="17365D" w:themeColor="text2" w:themeShade="BF"/>
                          <w:sz w:val="24"/>
                          <w:szCs w:val="24"/>
                        </w:rPr>
                        <w:t xml:space="preserve">  </w:t>
                      </w:r>
                      <w:r>
                        <w:rPr>
                          <w:color w:val="17365D" w:themeColor="text2" w:themeShade="BF"/>
                          <w:sz w:val="24"/>
                          <w:szCs w:val="24"/>
                        </w:rPr>
                        <w:t>Issuers may only introduce new plans for sale through the FFMs at the beginning of a calendar year.</w:t>
                      </w:r>
                    </w:p>
                    <w:p w14:paraId="296883C1" w14:textId="77777777" w:rsidR="00634A44" w:rsidDel="00DE74FF" w:rsidRDefault="00634A44" w:rsidP="004E57F0">
                      <w:pPr>
                        <w:pStyle w:val="NoSpacing"/>
                        <w:jc w:val="right"/>
                        <w:rPr>
                          <w:color w:val="1F497D" w:themeColor="text2"/>
                          <w:sz w:val="18"/>
                          <w:szCs w:val="18"/>
                        </w:rPr>
                      </w:pPr>
                    </w:p>
                  </w:txbxContent>
                </v:textbox>
                <w10:wrap type="square" anchorx="margin" anchory="margin"/>
              </v:shape>
            </w:pict>
          </mc:Fallback>
        </mc:AlternateContent>
      </w:r>
      <w:r>
        <w:rPr>
          <w:noProof/>
        </w:rPr>
        <mc:AlternateContent>
          <mc:Choice Requires="wps">
            <w:drawing>
              <wp:anchor distT="228600" distB="228600" distL="228600" distR="228600" simplePos="0" relativeHeight="251651584" behindDoc="1" locked="0" layoutInCell="1" allowOverlap="1" wp14:anchorId="101E3F64" wp14:editId="46B737C2">
                <wp:simplePos x="0" y="0"/>
                <wp:positionH relativeFrom="margin">
                  <wp:posOffset>-21590</wp:posOffset>
                </wp:positionH>
                <wp:positionV relativeFrom="margin">
                  <wp:posOffset>814172</wp:posOffset>
                </wp:positionV>
                <wp:extent cx="2296795" cy="1784350"/>
                <wp:effectExtent l="0" t="0" r="8255" b="6350"/>
                <wp:wrapSquare wrapText="bothSides"/>
                <wp:docPr id="3" name="Text Box 3"/>
                <wp:cNvGraphicFramePr/>
                <a:graphic xmlns:a="http://schemas.openxmlformats.org/drawingml/2006/main">
                  <a:graphicData uri="http://schemas.microsoft.com/office/word/2010/wordprocessingShape">
                    <wps:wsp>
                      <wps:cNvSpPr txBox="1"/>
                      <wps:spPr>
                        <a:xfrm>
                          <a:off x="0" y="0"/>
                          <a:ext cx="2296795" cy="178435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66B85AAA" w14:textId="6F83A419" w:rsidR="00634A44" w:rsidRPr="00F23D09" w:rsidRDefault="00634A44" w:rsidP="00F23D09">
                            <w:pPr>
                              <w:rPr>
                                <w:color w:val="17365D" w:themeColor="text2" w:themeShade="BF"/>
                                <w:sz w:val="24"/>
                                <w:szCs w:val="24"/>
                              </w:rPr>
                            </w:pPr>
                            <w:r w:rsidRPr="00F23D09">
                              <w:rPr>
                                <w:b/>
                                <w:color w:val="17365D" w:themeColor="text2" w:themeShade="BF"/>
                                <w:sz w:val="24"/>
                                <w:szCs w:val="24"/>
                                <w:u w:val="single"/>
                              </w:rPr>
                              <w:t>Tip:</w:t>
                            </w:r>
                            <w:r>
                              <w:rPr>
                                <w:color w:val="17365D" w:themeColor="text2" w:themeShade="BF"/>
                                <w:sz w:val="24"/>
                                <w:szCs w:val="24"/>
                              </w:rPr>
                              <w:t xml:space="preserve">  January 1 submissions should always be labeled as “Annual.”  Submissions effective April 1, July 1, and October 1 should be labeled as “Quarterly.”</w:t>
                            </w:r>
                          </w:p>
                          <w:p w14:paraId="497B15C8" w14:textId="6768AB94" w:rsidR="00634A44" w:rsidRDefault="00634A44" w:rsidP="00F23D09">
                            <w:pPr>
                              <w:pStyle w:val="NoSpacing"/>
                              <w:jc w:val="center"/>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E3F64" id="Text Box 3" o:spid="_x0000_s1029" type="#_x0000_t202" style="position:absolute;margin-left:-1.7pt;margin-top:64.1pt;width:180.85pt;height:140.5pt;z-index:-251664896;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" fillcolor="#efede3 [2899]" stroked="f" strokeweight=".5pt">
                <v:fill color2="#eae7d9 [3139]" rotate="t" focusposition=".5,.5" focussize="-.5,-.5" focus="100%" type="gradientRadial"/>
                <v:textbox inset="14.4pt,14.4pt,14.4pt,14.4pt">
                  <w:txbxContent>
                    <w:p w14:paraId="66B85AAA" w14:textId="6F83A419" w:rsidR="00634A44" w:rsidRPr="00F23D09" w:rsidRDefault="00634A44" w:rsidP="00F23D09">
                      <w:pPr>
                        <w:rPr>
                          <w:color w:val="17365D" w:themeColor="text2" w:themeShade="BF"/>
                          <w:sz w:val="24"/>
                          <w:szCs w:val="24"/>
                        </w:rPr>
                      </w:pPr>
                      <w:r w:rsidRPr="00F23D09">
                        <w:rPr>
                          <w:b/>
                          <w:color w:val="17365D" w:themeColor="text2" w:themeShade="BF"/>
                          <w:sz w:val="24"/>
                          <w:szCs w:val="24"/>
                          <w:u w:val="single"/>
                        </w:rPr>
                        <w:t>Tip:</w:t>
                      </w:r>
                      <w:r>
                        <w:rPr>
                          <w:color w:val="17365D" w:themeColor="text2" w:themeShade="BF"/>
                          <w:sz w:val="24"/>
                          <w:szCs w:val="24"/>
                        </w:rPr>
                        <w:t xml:space="preserve">  January 1 submissions should always be labeled as “Annual.”  Submissions effective April 1, July 1, and October 1 should be labeled as “Quarterly.”</w:t>
                      </w:r>
                    </w:p>
                    <w:p w14:paraId="497B15C8" w14:textId="6768AB94" w:rsidR="00634A44" w:rsidRDefault="00634A44" w:rsidP="00F23D09">
                      <w:pPr>
                        <w:pStyle w:val="NoSpacing"/>
                        <w:jc w:val="center"/>
                        <w:rPr>
                          <w:color w:val="1F497D" w:themeColor="text2"/>
                          <w:sz w:val="18"/>
                          <w:szCs w:val="18"/>
                        </w:rPr>
                      </w:pPr>
                    </w:p>
                  </w:txbxContent>
                </v:textbox>
                <w10:wrap type="square" anchorx="margin" anchory="margin"/>
              </v:shape>
            </w:pict>
          </mc:Fallback>
        </mc:AlternateContent>
      </w:r>
      <w:r w:rsidR="00D835E4" w:rsidRPr="008A3126">
        <w:t xml:space="preserve">All issuers with </w:t>
      </w:r>
      <w:r w:rsidR="00277BD1">
        <w:t xml:space="preserve">single risk pool </w:t>
      </w:r>
      <w:r w:rsidR="00D835E4" w:rsidRPr="008A3126">
        <w:t xml:space="preserve">plans are required to set the Index Rate for an effective date of January 1 of each year, and file the Index Rate with the applicable regulatory authority. This is the annual filing described above, and should be labeled as the annual filing in the URR module </w:t>
      </w:r>
      <w:r w:rsidR="00742826">
        <w:t>of HIOS,</w:t>
      </w:r>
      <w:r w:rsidR="00D835E4" w:rsidRPr="008A3126">
        <w:t xml:space="preserve"> even if the filing includes </w:t>
      </w:r>
      <w:r w:rsidR="00885208">
        <w:t xml:space="preserve">scheduled </w:t>
      </w:r>
      <w:r w:rsidR="00D835E4" w:rsidRPr="008A3126">
        <w:t xml:space="preserve">quarterly small group trend increases. </w:t>
      </w:r>
      <w:r w:rsidR="00D835E4" w:rsidRPr="00674068">
        <w:t>Subject to state requirements, small group issuers are allowed to file subsequent submissions that reset the In</w:t>
      </w:r>
      <w:r w:rsidR="00D835E4" w:rsidRPr="008A3126">
        <w:t>dex Rate</w:t>
      </w:r>
      <w:r w:rsidR="00A8630D">
        <w:t>, the market level adjustments, or the plan level adjustments</w:t>
      </w:r>
      <w:r w:rsidR="00D835E4" w:rsidRPr="008A3126">
        <w:t xml:space="preserve"> for the remaining quarters of the calendar year. These are the quarterly filings described above.</w:t>
      </w:r>
      <w:r w:rsidR="008B29E3">
        <w:t xml:space="preserve"> </w:t>
      </w:r>
      <w:bookmarkStart w:id="109" w:name="_Toc410525268"/>
      <w:bookmarkStart w:id="110" w:name="_Toc410525356"/>
      <w:r w:rsidR="000E735D">
        <w:t>The Index Rate in the quarterly filings should only reflect remaining quarterly effective dates in the same calendar year (i.e. rates for groups with effective dates in the subsequent calendar year should not be included).</w:t>
      </w:r>
    </w:p>
    <w:p w14:paraId="437A5181" w14:textId="6F737022" w:rsidR="00467C4C" w:rsidRDefault="00467C4C" w:rsidP="00D835E4">
      <w:pPr>
        <w:pStyle w:val="NoSpacing"/>
        <w:keepNext/>
      </w:pPr>
    </w:p>
    <w:p w14:paraId="6E6E09AF" w14:textId="28539030" w:rsidR="00D835E4" w:rsidRPr="008A3126" w:rsidRDefault="00D835E4" w:rsidP="00D835E4">
      <w:pPr>
        <w:pStyle w:val="NoSpacing"/>
        <w:keepNext/>
        <w:rPr>
          <w:b/>
        </w:rPr>
      </w:pPr>
      <w:r w:rsidRPr="008A3126">
        <w:rPr>
          <w:b/>
        </w:rPr>
        <w:t>Dental Plans</w:t>
      </w:r>
      <w:bookmarkEnd w:id="109"/>
      <w:bookmarkEnd w:id="110"/>
    </w:p>
    <w:p w14:paraId="6F4713F0" w14:textId="1061B059" w:rsidR="00D835E4" w:rsidRPr="008A3126" w:rsidRDefault="00D835E4" w:rsidP="00F72E8A">
      <w:pPr>
        <w:pStyle w:val="NoSpacing"/>
        <w:keepNext/>
      </w:pPr>
      <w:r w:rsidRPr="008A3126">
        <w:t xml:space="preserve">Only embedded pediatric dental benefits within a medical plan should be reflected in the </w:t>
      </w:r>
      <w:r w:rsidR="00D424AE">
        <w:t>URRT</w:t>
      </w:r>
      <w:r w:rsidRPr="008A3126">
        <w:t xml:space="preserve">. Further, in order for the dental costs to be included in the </w:t>
      </w:r>
      <w:r w:rsidR="00BA6F02">
        <w:t xml:space="preserve">URRT, </w:t>
      </w:r>
      <w:r w:rsidR="00BA6F02" w:rsidRPr="008A3126">
        <w:t>the</w:t>
      </w:r>
      <w:r w:rsidRPr="008A3126">
        <w:t xml:space="preserve"> dental costs must be spread across the entire single risk pool in accordance with the market rating rules in calculating the projected Index Rate.</w:t>
      </w:r>
    </w:p>
    <w:p w14:paraId="14D4DD6B" w14:textId="1B0631A8" w:rsidR="00D835E4" w:rsidRPr="008A3126" w:rsidRDefault="001D2CC1" w:rsidP="001E6820">
      <w:pPr>
        <w:pStyle w:val="BodyText"/>
      </w:pPr>
      <w:r>
        <w:t>S</w:t>
      </w:r>
      <w:r w:rsidR="00D835E4" w:rsidRPr="008A3126">
        <w:t xml:space="preserve">tand-alone dental plans </w:t>
      </w:r>
      <w:r>
        <w:t>should never</w:t>
      </w:r>
      <w:r w:rsidR="00D835E4" w:rsidRPr="008A3126">
        <w:t xml:space="preserve"> be reflected in the </w:t>
      </w:r>
      <w:r w:rsidR="00A97F38">
        <w:t>URRT</w:t>
      </w:r>
      <w:r w:rsidR="008813E6">
        <w:t>.</w:t>
      </w:r>
    </w:p>
    <w:p w14:paraId="453F15D5" w14:textId="1BFAB385" w:rsidR="00D835E4" w:rsidRPr="008A3126" w:rsidRDefault="00D835E4" w:rsidP="00D835E4">
      <w:pPr>
        <w:pStyle w:val="BodyText"/>
      </w:pPr>
      <w:r w:rsidRPr="008A3126">
        <w:t xml:space="preserve">Further details explaining how dental </w:t>
      </w:r>
      <w:r w:rsidR="00FF633A">
        <w:t>benefits</w:t>
      </w:r>
      <w:r w:rsidRPr="008A3126">
        <w:t xml:space="preserve"> should be reflected in the template can be found in the instructions for </w:t>
      </w:r>
      <w:r w:rsidR="00BE06B4">
        <w:t xml:space="preserve">URRT </w:t>
      </w:r>
      <w:r w:rsidRPr="008A3126">
        <w:t>Worksheet 2</w:t>
      </w:r>
      <w:r w:rsidR="00926D0E">
        <w:t xml:space="preserve"> below</w:t>
      </w:r>
      <w:r w:rsidRPr="008A3126">
        <w:t>.</w:t>
      </w:r>
    </w:p>
    <w:p w14:paraId="20355C8E" w14:textId="77777777" w:rsidR="00D835E4" w:rsidRPr="008A3126" w:rsidRDefault="00D835E4" w:rsidP="00D835E4">
      <w:pPr>
        <w:pStyle w:val="NoSpacing"/>
        <w:rPr>
          <w:b/>
        </w:rPr>
      </w:pPr>
      <w:bookmarkStart w:id="111" w:name="_Toc410525269"/>
      <w:bookmarkStart w:id="112" w:name="_Toc410525357"/>
      <w:r w:rsidRPr="008A3126">
        <w:rPr>
          <w:b/>
        </w:rPr>
        <w:t>Optional Benefits</w:t>
      </w:r>
      <w:bookmarkEnd w:id="111"/>
      <w:bookmarkEnd w:id="112"/>
    </w:p>
    <w:p w14:paraId="3A2C74B3" w14:textId="5E5C025B" w:rsidR="00D835E4" w:rsidRPr="008A3126" w:rsidRDefault="00D835E4" w:rsidP="00D835E4">
      <w:pPr>
        <w:pStyle w:val="BodyText"/>
      </w:pPr>
      <w:r w:rsidRPr="00674068">
        <w:t xml:space="preserve">ALL benefits offered in a plan must be </w:t>
      </w:r>
      <w:r w:rsidR="00783D5C">
        <w:t>embedded</w:t>
      </w:r>
      <w:r w:rsidRPr="00674068">
        <w:t xml:space="preserve"> in that plan. </w:t>
      </w:r>
      <w:r w:rsidR="00BE06B4">
        <w:t>I</w:t>
      </w:r>
      <w:r w:rsidRPr="00674068">
        <w:t>f an issuer wants to offer an “optional” benefit</w:t>
      </w:r>
      <w:r w:rsidRPr="008A3126">
        <w:t>, there are two options</w:t>
      </w:r>
      <w:r w:rsidR="00BE06B4">
        <w:t>:</w:t>
      </w:r>
    </w:p>
    <w:p w14:paraId="5685CAF2" w14:textId="5323403C" w:rsidR="00D835E4" w:rsidRPr="008A3126" w:rsidRDefault="00D835E4" w:rsidP="009D2B17">
      <w:pPr>
        <w:pStyle w:val="BodyText"/>
        <w:numPr>
          <w:ilvl w:val="0"/>
          <w:numId w:val="40"/>
        </w:numPr>
      </w:pPr>
      <w:r w:rsidRPr="008A3126">
        <w:t xml:space="preserve">The issuer can create a separate plan with the required </w:t>
      </w:r>
      <w:r w:rsidR="00BE06B4">
        <w:t>E</w:t>
      </w:r>
      <w:r w:rsidR="007222F3">
        <w:t xml:space="preserve">ssential </w:t>
      </w:r>
      <w:r w:rsidR="00BE06B4">
        <w:t>H</w:t>
      </w:r>
      <w:r w:rsidR="007222F3">
        <w:t xml:space="preserve">ealth </w:t>
      </w:r>
      <w:r w:rsidR="00BE06B4">
        <w:t>B</w:t>
      </w:r>
      <w:r w:rsidR="007222F3">
        <w:t>enefits (</w:t>
      </w:r>
      <w:r w:rsidRPr="008A3126">
        <w:t>EHBs</w:t>
      </w:r>
      <w:r w:rsidR="007222F3">
        <w:t>)</w:t>
      </w:r>
      <w:r w:rsidRPr="008A3126">
        <w:t xml:space="preserve"> and the “optional” benefit included. </w:t>
      </w:r>
    </w:p>
    <w:p w14:paraId="65C79089" w14:textId="494F9811" w:rsidR="00D545A7" w:rsidRDefault="007A3C7B" w:rsidP="009D2B17">
      <w:pPr>
        <w:pStyle w:val="BodyText"/>
        <w:numPr>
          <w:ilvl w:val="0"/>
          <w:numId w:val="40"/>
        </w:numPr>
      </w:pPr>
      <w:r>
        <w:t xml:space="preserve">The issuer can offer the </w:t>
      </w:r>
      <w:r w:rsidR="001D2CC1">
        <w:t xml:space="preserve">“optional” </w:t>
      </w:r>
      <w:r>
        <w:t xml:space="preserve">benefit </w:t>
      </w:r>
      <w:r w:rsidR="00B460F5">
        <w:t xml:space="preserve">as a separate policy </w:t>
      </w:r>
      <w:r>
        <w:t xml:space="preserve">in a manner that </w:t>
      </w:r>
      <w:r w:rsidR="009B7D7B">
        <w:t xml:space="preserve">satisfies the definition </w:t>
      </w:r>
      <w:r w:rsidR="00082B27">
        <w:t>of</w:t>
      </w:r>
      <w:r>
        <w:t xml:space="preserve"> one of the categories </w:t>
      </w:r>
      <w:r w:rsidR="009B7D7B">
        <w:t>of</w:t>
      </w:r>
      <w:r>
        <w:t xml:space="preserve"> excepted benefit</w:t>
      </w:r>
      <w:r w:rsidR="009B7D7B">
        <w:t>s</w:t>
      </w:r>
      <w:r w:rsidR="001D2CC1">
        <w:rPr>
          <w:rStyle w:val="FootnoteReference"/>
        </w:rPr>
        <w:footnoteReference w:id="5"/>
      </w:r>
      <w:r>
        <w:t>.</w:t>
      </w:r>
      <w:r w:rsidR="00560441" w:rsidRPr="008A3126">
        <w:t xml:space="preserve"> </w:t>
      </w:r>
    </w:p>
    <w:p w14:paraId="3400C3D1" w14:textId="6992DDC9" w:rsidR="00D835E4" w:rsidRPr="008A3126" w:rsidRDefault="00D835E4" w:rsidP="00D835E4">
      <w:pPr>
        <w:pStyle w:val="BodyText"/>
      </w:pPr>
      <w:r w:rsidRPr="008A3126">
        <w:t xml:space="preserve">The concept of “optional riders” is incongruent with </w:t>
      </w:r>
      <w:r w:rsidR="006900FC">
        <w:t>Federal</w:t>
      </w:r>
      <w:r w:rsidRPr="008A3126">
        <w:t xml:space="preserve"> rules</w:t>
      </w:r>
      <w:r w:rsidR="00B460F5">
        <w:t>, including</w:t>
      </w:r>
      <w:r w:rsidRPr="008A3126">
        <w:t xml:space="preserve"> the single risk pool requirements.</w:t>
      </w:r>
    </w:p>
    <w:p w14:paraId="1C64FFEC" w14:textId="77777777" w:rsidR="00D835E4" w:rsidRPr="008A3126" w:rsidRDefault="00D835E4" w:rsidP="008E5B0B">
      <w:pPr>
        <w:pStyle w:val="Heading2"/>
      </w:pPr>
      <w:bookmarkStart w:id="113" w:name="_Toc411926667"/>
      <w:bookmarkStart w:id="114" w:name="_Toc411927118"/>
      <w:bookmarkStart w:id="115" w:name="_Toc411927379"/>
      <w:bookmarkStart w:id="116" w:name="_Toc411934199"/>
      <w:bookmarkStart w:id="117" w:name="_Toc411934935"/>
      <w:bookmarkStart w:id="118" w:name="_Toc411862385"/>
      <w:bookmarkStart w:id="119" w:name="_Toc411864576"/>
      <w:bookmarkStart w:id="120" w:name="_Toc411866010"/>
      <w:bookmarkStart w:id="121" w:name="_Toc411866074"/>
      <w:bookmarkStart w:id="122" w:name="_Toc411866293"/>
      <w:bookmarkStart w:id="123" w:name="_Toc411866372"/>
      <w:bookmarkStart w:id="124" w:name="_Toc411866592"/>
      <w:bookmarkStart w:id="125" w:name="_Toc411921538"/>
      <w:bookmarkStart w:id="126" w:name="_Toc411926668"/>
      <w:bookmarkStart w:id="127" w:name="_Toc411927119"/>
      <w:bookmarkStart w:id="128" w:name="_Toc411927380"/>
      <w:bookmarkStart w:id="129" w:name="_Toc411934200"/>
      <w:bookmarkStart w:id="130" w:name="_Toc411934936"/>
      <w:bookmarkStart w:id="131" w:name="_Toc410588803"/>
      <w:bookmarkStart w:id="132" w:name="_Toc410468922"/>
      <w:bookmarkStart w:id="133" w:name="_Toc411866075"/>
      <w:bookmarkStart w:id="134" w:name="_Toc411866593"/>
      <w:bookmarkStart w:id="135" w:name="_Toc412032771"/>
      <w:bookmarkStart w:id="136" w:name="_Toc411936243"/>
      <w:bookmarkStart w:id="137" w:name="_Toc412287653"/>
      <w:bookmarkStart w:id="138" w:name="_Toc441756497"/>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rsidRPr="008A3126">
        <w:t>Market Reform Rating Rules</w:t>
      </w:r>
      <w:bookmarkEnd w:id="131"/>
      <w:bookmarkEnd w:id="132"/>
      <w:bookmarkEnd w:id="133"/>
      <w:bookmarkEnd w:id="134"/>
      <w:bookmarkEnd w:id="135"/>
      <w:bookmarkEnd w:id="136"/>
      <w:bookmarkEnd w:id="137"/>
      <w:bookmarkEnd w:id="138"/>
    </w:p>
    <w:p w14:paraId="6FC34E9A" w14:textId="267A065C" w:rsidR="00912D40" w:rsidRPr="008A3126" w:rsidRDefault="001F62ED" w:rsidP="00D835E4">
      <w:pPr>
        <w:rPr>
          <w:rFonts w:ascii="Calibri" w:hAnsi="Calibri"/>
        </w:rPr>
      </w:pPr>
      <w:r>
        <w:rPr>
          <w:rFonts w:ascii="Calibri" w:hAnsi="Calibri"/>
          <w:bCs/>
        </w:rPr>
        <w:t>Issuers must comply with the</w:t>
      </w:r>
      <w:r w:rsidR="00D835E4" w:rsidRPr="008A3126">
        <w:rPr>
          <w:rFonts w:ascii="Calibri" w:hAnsi="Calibri"/>
          <w:bCs/>
        </w:rPr>
        <w:t xml:space="preserve"> Market Reform Rating Rules</w:t>
      </w:r>
      <w:r>
        <w:rPr>
          <w:rFonts w:ascii="Calibri" w:hAnsi="Calibri"/>
          <w:bCs/>
        </w:rPr>
        <w:t xml:space="preserve"> specified in </w:t>
      </w:r>
      <w:r w:rsidRPr="00674068">
        <w:t>45 CFR 156.80</w:t>
      </w:r>
      <w:r w:rsidR="00257889">
        <w:t xml:space="preserve"> and 147.102</w:t>
      </w:r>
      <w:r>
        <w:rPr>
          <w:rFonts w:ascii="Calibri" w:hAnsi="Calibri"/>
          <w:bCs/>
        </w:rPr>
        <w:t xml:space="preserve">. </w:t>
      </w:r>
      <w:r w:rsidR="009B7D7B">
        <w:rPr>
          <w:rFonts w:ascii="Calibri" w:hAnsi="Calibri"/>
          <w:bCs/>
        </w:rPr>
        <w:t xml:space="preserve"> </w:t>
      </w:r>
      <w:r>
        <w:rPr>
          <w:rFonts w:ascii="Calibri" w:hAnsi="Calibri"/>
          <w:bCs/>
        </w:rPr>
        <w:t>T</w:t>
      </w:r>
      <w:r w:rsidR="00D835E4" w:rsidRPr="008A3126">
        <w:rPr>
          <w:rFonts w:ascii="Calibri" w:hAnsi="Calibri"/>
          <w:bCs/>
        </w:rPr>
        <w:t xml:space="preserve">he following </w:t>
      </w:r>
      <w:r w:rsidR="00175774">
        <w:rPr>
          <w:rFonts w:ascii="Calibri" w:hAnsi="Calibri"/>
          <w:bCs/>
        </w:rPr>
        <w:t xml:space="preserve">is a description of </w:t>
      </w:r>
      <w:r w:rsidR="00D835E4" w:rsidRPr="008A3126">
        <w:rPr>
          <w:rFonts w:ascii="Calibri" w:hAnsi="Calibri"/>
          <w:bCs/>
        </w:rPr>
        <w:t xml:space="preserve">allowable rating methods and factors </w:t>
      </w:r>
      <w:r w:rsidR="00175774">
        <w:rPr>
          <w:rFonts w:ascii="Calibri" w:hAnsi="Calibri"/>
          <w:bCs/>
        </w:rPr>
        <w:t xml:space="preserve">issuers may use </w:t>
      </w:r>
      <w:r w:rsidR="003E6F79">
        <w:rPr>
          <w:rFonts w:ascii="Calibri" w:hAnsi="Calibri"/>
          <w:bCs/>
        </w:rPr>
        <w:t xml:space="preserve">when </w:t>
      </w:r>
      <w:r w:rsidR="00CF3838">
        <w:rPr>
          <w:rFonts w:ascii="Calibri" w:hAnsi="Calibri"/>
          <w:bCs/>
        </w:rPr>
        <w:t>establishing their rates</w:t>
      </w:r>
      <w:r w:rsidR="00D835E4" w:rsidRPr="008A3126">
        <w:rPr>
          <w:rFonts w:ascii="Calibri" w:hAnsi="Calibri"/>
          <w:bCs/>
        </w:rPr>
        <w:t>:</w:t>
      </w:r>
      <w:r w:rsidR="00912D40">
        <w:rPr>
          <w:rFonts w:ascii="Calibri" w:hAnsi="Calibri"/>
          <w:bCs/>
        </w:rPr>
        <w:t xml:space="preserve">  </w:t>
      </w:r>
    </w:p>
    <w:p w14:paraId="39F6B4EC" w14:textId="126C3A8A" w:rsidR="00D835E4" w:rsidRPr="008A3126" w:rsidRDefault="00D835E4" w:rsidP="00F72E8A">
      <w:pPr>
        <w:pStyle w:val="NoSpacing"/>
        <w:keepNext/>
        <w:rPr>
          <w:b/>
        </w:rPr>
      </w:pPr>
      <w:r w:rsidRPr="00E717E2">
        <w:rPr>
          <w:b/>
        </w:rPr>
        <w:t>Single Risk Pool</w:t>
      </w:r>
      <w:r w:rsidR="00912D40">
        <w:rPr>
          <w:b/>
        </w:rPr>
        <w:t xml:space="preserve"> </w:t>
      </w:r>
    </w:p>
    <w:p w14:paraId="488781B9" w14:textId="2F4A0F49" w:rsidR="00D835E4" w:rsidRPr="00E717E2" w:rsidRDefault="00D835E4" w:rsidP="00F72E8A">
      <w:pPr>
        <w:keepNext/>
      </w:pPr>
      <w:r w:rsidRPr="008A3126">
        <w:t xml:space="preserve">The </w:t>
      </w:r>
      <w:r w:rsidRPr="00E717E2">
        <w:t>single risk pool</w:t>
      </w:r>
      <w:r w:rsidR="00D97554">
        <w:t xml:space="preserve">, as specified </w:t>
      </w:r>
      <w:r w:rsidR="003E6F79">
        <w:t>in</w:t>
      </w:r>
      <w:r w:rsidR="00D97554">
        <w:t xml:space="preserve"> </w:t>
      </w:r>
      <w:r w:rsidR="00D97554" w:rsidRPr="008A3126">
        <w:t>45 CFR 156.80</w:t>
      </w:r>
      <w:r w:rsidR="00D97554">
        <w:t>(a-</w:t>
      </w:r>
      <w:r w:rsidR="00D97554" w:rsidRPr="008A3126">
        <w:t>c</w:t>
      </w:r>
      <w:r w:rsidR="00D97554">
        <w:t>),</w:t>
      </w:r>
      <w:r w:rsidRPr="008A3126">
        <w:t xml:space="preserve"> </w:t>
      </w:r>
      <w:r w:rsidR="00D97554">
        <w:t>must</w:t>
      </w:r>
      <w:r w:rsidR="00D97554" w:rsidRPr="008A3126">
        <w:t xml:space="preserve"> </w:t>
      </w:r>
      <w:r w:rsidRPr="008A3126">
        <w:t>include ALL (non-grandfathered) covered persons (lives) an issuer has in a state, within a market (individual, small group, or combined).  Th</w:t>
      </w:r>
      <w:r>
        <w:t>e experience period data</w:t>
      </w:r>
      <w:r w:rsidRPr="008A3126">
        <w:t xml:space="preserve"> includes </w:t>
      </w:r>
      <w:r>
        <w:t xml:space="preserve">information for </w:t>
      </w:r>
      <w:r w:rsidRPr="008A3126">
        <w:t>transitional products/plans</w:t>
      </w:r>
      <w:r w:rsidR="00D97554">
        <w:rPr>
          <w:rStyle w:val="FootnoteReference"/>
        </w:rPr>
        <w:footnoteReference w:id="6"/>
      </w:r>
      <w:r w:rsidRPr="008A3126">
        <w:t xml:space="preserve"> </w:t>
      </w:r>
      <w:r>
        <w:t xml:space="preserve">in order </w:t>
      </w:r>
      <w:r w:rsidRPr="008A3126">
        <w:t xml:space="preserve">to demonstrate the single risk pool. The projection period should reflect experience of transitional policies to the extent the issuer anticipates the members in those policies will be enrolled in </w:t>
      </w:r>
      <w:r w:rsidR="009A79D5">
        <w:t xml:space="preserve">single risk pool </w:t>
      </w:r>
      <w:r w:rsidRPr="008A3126">
        <w:t xml:space="preserve">plans during the projection period. </w:t>
      </w:r>
    </w:p>
    <w:p w14:paraId="5EAF0784" w14:textId="3BB993B8" w:rsidR="00D835E4" w:rsidRPr="008A3126" w:rsidRDefault="00D835E4" w:rsidP="00F72E8A">
      <w:pPr>
        <w:keepNext/>
        <w:spacing w:after="0"/>
        <w:rPr>
          <w:rFonts w:ascii="Calibri" w:hAnsi="Calibri"/>
        </w:rPr>
      </w:pPr>
      <w:r w:rsidRPr="008A3126">
        <w:rPr>
          <w:b/>
        </w:rPr>
        <w:t>Index Rate</w:t>
      </w:r>
    </w:p>
    <w:p w14:paraId="7BC03867" w14:textId="2899EDF8" w:rsidR="00D835E4" w:rsidRDefault="004A6E0F" w:rsidP="00F72E8A">
      <w:pPr>
        <w:rPr>
          <w:rFonts w:ascii="Calibri" w:hAnsi="Calibri"/>
        </w:rPr>
      </w:pPr>
      <w:r>
        <w:rPr>
          <w:noProof/>
        </w:rPr>
        <mc:AlternateContent>
          <mc:Choice Requires="wps">
            <w:drawing>
              <wp:anchor distT="228600" distB="228600" distL="228600" distR="228600" simplePos="0" relativeHeight="251660800" behindDoc="1" locked="0" layoutInCell="1" allowOverlap="1" wp14:anchorId="1A72748B" wp14:editId="50F9186A">
                <wp:simplePos x="0" y="0"/>
                <wp:positionH relativeFrom="margin">
                  <wp:posOffset>4074160</wp:posOffset>
                </wp:positionH>
                <wp:positionV relativeFrom="margin">
                  <wp:posOffset>819150</wp:posOffset>
                </wp:positionV>
                <wp:extent cx="2390775" cy="1243330"/>
                <wp:effectExtent l="0" t="0" r="9525" b="0"/>
                <wp:wrapSquare wrapText="bothSides"/>
                <wp:docPr id="9" name="Text Box 9"/>
                <wp:cNvGraphicFramePr/>
                <a:graphic xmlns:a="http://schemas.openxmlformats.org/drawingml/2006/main">
                  <a:graphicData uri="http://schemas.microsoft.com/office/word/2010/wordprocessingShape">
                    <wps:wsp>
                      <wps:cNvSpPr txBox="1"/>
                      <wps:spPr>
                        <a:xfrm>
                          <a:off x="0" y="0"/>
                          <a:ext cx="2390775" cy="1243330"/>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19D1392D" w14:textId="7B376850" w:rsidR="00634A44" w:rsidRPr="00B616D2" w:rsidRDefault="00634A44" w:rsidP="00B22D99">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The Index Rate is the allowed claims PMPM for providing EHBs during the applicable period.</w:t>
                            </w:r>
                          </w:p>
                          <w:sdt>
                            <w:sdtPr>
                              <w:rPr>
                                <w:color w:val="1F497D" w:themeColor="text2"/>
                                <w:sz w:val="18"/>
                                <w:szCs w:val="18"/>
                              </w:rPr>
                              <w:id w:val="1165440538"/>
                              <w:temporary/>
                              <w:showingPlcHdr/>
                              <w:text w:multiLine="1"/>
                            </w:sdtPr>
                            <w:sdtEndPr/>
                            <w:sdtContent>
                              <w:p w14:paraId="3475D861" w14:textId="77777777" w:rsidR="00634A44" w:rsidRDefault="00634A44" w:rsidP="00B22D99">
                                <w:pPr>
                                  <w:pStyle w:val="NoSpacing"/>
                                  <w:jc w:val="center"/>
                                  <w:rPr>
                                    <w:color w:val="1F497D" w:themeColor="text2"/>
                                    <w:sz w:val="18"/>
                                    <w:szCs w:val="18"/>
                                  </w:rPr>
                                </w:pPr>
                                <w:r>
                                  <w:rPr>
                                    <w:color w:val="1F497D" w:themeColor="text2"/>
                                    <w:sz w:val="18"/>
                                    <w:szCs w:val="18"/>
                                  </w:rPr>
                                  <w:t>[Cite your source here.]</w:t>
                                </w:r>
                              </w:p>
                            </w:sdtContent>
                          </w:sdt>
                          <w:sdt>
                            <w:sdtPr>
                              <w:rPr>
                                <w:color w:val="1F497D" w:themeColor="text2"/>
                                <w:sz w:val="18"/>
                                <w:szCs w:val="18"/>
                              </w:rPr>
                              <w:id w:val="267355737"/>
                              <w:temporary/>
                              <w:showingPlcHdr/>
                              <w:text w:multiLine="1"/>
                            </w:sdtPr>
                            <w:sdtEndPr/>
                            <w:sdtContent>
                              <w:p w14:paraId="0A8B3237" w14:textId="17CD27A0" w:rsidR="00634A44" w:rsidRDefault="00634A44" w:rsidP="00B22D99">
                                <w:pPr>
                                  <w:pStyle w:val="NoSpacing"/>
                                  <w:jc w:val="center"/>
                                  <w:rPr>
                                    <w:color w:val="1F497D" w:themeColor="text2"/>
                                    <w:sz w:val="18"/>
                                    <w:szCs w:val="18"/>
                                  </w:rPr>
                                </w:pPr>
                                <w:r>
                                  <w:rPr>
                                    <w:color w:val="1F497D"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2748B" id="Text Box 9" o:spid="_x0000_s1030" type="#_x0000_t202" style="position:absolute;margin-left:320.8pt;margin-top:64.5pt;width:188.25pt;height:97.9pt;z-index:-25165568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" stroked="f" strokeweight=".5pt">
                <v:fill color2="#eae7d8" rotate="t" focusposition=".5,.5" focussize="-.5,-.5" focus="100%" type="gradientRadial"/>
                <v:textbox inset="14.4pt,14.4pt,14.4pt,14.4pt">
                  <w:txbxContent>
                    <w:p w14:paraId="19D1392D" w14:textId="7B376850" w:rsidR="00634A44" w:rsidRPr="00B616D2" w:rsidRDefault="00634A44" w:rsidP="00B22D99">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The Index Rate is the allowed claims PMPM for providing EHBs during the applicable period.</w:t>
                      </w:r>
                    </w:p>
                    <w:sdt>
                      <w:sdtPr>
                        <w:rPr>
                          <w:color w:val="1F497D" w:themeColor="text2"/>
                          <w:sz w:val="18"/>
                          <w:szCs w:val="18"/>
                        </w:rPr>
                        <w:id w:val="1165440538"/>
                        <w:temporary/>
                        <w:showingPlcHdr/>
                        <w:text w:multiLine="1"/>
                      </w:sdtPr>
                      <w:sdtContent>
                        <w:p w14:paraId="3475D861" w14:textId="77777777" w:rsidR="00634A44" w:rsidRDefault="00634A44" w:rsidP="00B22D99">
                          <w:pPr>
                            <w:pStyle w:val="NoSpacing"/>
                            <w:jc w:val="center"/>
                            <w:rPr>
                              <w:color w:val="1F497D" w:themeColor="text2"/>
                              <w:sz w:val="18"/>
                              <w:szCs w:val="18"/>
                            </w:rPr>
                          </w:pPr>
                          <w:r>
                            <w:rPr>
                              <w:color w:val="1F497D" w:themeColor="text2"/>
                              <w:sz w:val="18"/>
                              <w:szCs w:val="18"/>
                            </w:rPr>
                            <w:t>[Cite your source here.]</w:t>
                          </w:r>
                        </w:p>
                      </w:sdtContent>
                    </w:sdt>
                    <w:sdt>
                      <w:sdtPr>
                        <w:rPr>
                          <w:color w:val="1F497D" w:themeColor="text2"/>
                          <w:sz w:val="18"/>
                          <w:szCs w:val="18"/>
                        </w:rPr>
                        <w:id w:val="267355737"/>
                        <w:temporary/>
                        <w:showingPlcHdr/>
                        <w:text w:multiLine="1"/>
                      </w:sdtPr>
                      <w:sdtContent>
                        <w:p w14:paraId="0A8B3237" w14:textId="17CD27A0" w:rsidR="00634A44" w:rsidRDefault="00634A44" w:rsidP="00B22D99">
                          <w:pPr>
                            <w:pStyle w:val="NoSpacing"/>
                            <w:jc w:val="center"/>
                            <w:rPr>
                              <w:color w:val="1F497D" w:themeColor="text2"/>
                              <w:sz w:val="18"/>
                              <w:szCs w:val="18"/>
                            </w:rPr>
                          </w:pPr>
                          <w:r>
                            <w:rPr>
                              <w:color w:val="1F497D" w:themeColor="text2"/>
                              <w:sz w:val="18"/>
                              <w:szCs w:val="18"/>
                            </w:rPr>
                            <w:t>[Cite your source here.]</w:t>
                          </w:r>
                        </w:p>
                      </w:sdtContent>
                    </w:sdt>
                  </w:txbxContent>
                </v:textbox>
                <w10:wrap type="square" anchorx="margin" anchory="margin"/>
              </v:shape>
            </w:pict>
          </mc:Fallback>
        </mc:AlternateContent>
      </w:r>
      <w:r w:rsidR="00D835E4" w:rsidRPr="008A3126">
        <w:t xml:space="preserve">The Index Rate is the </w:t>
      </w:r>
      <w:r w:rsidR="00AD0467">
        <w:t xml:space="preserve">allowed </w:t>
      </w:r>
      <w:r w:rsidR="001E6820">
        <w:t>claims costs for providing</w:t>
      </w:r>
      <w:r w:rsidR="00D835E4" w:rsidRPr="008A3126">
        <w:t xml:space="preserve"> </w:t>
      </w:r>
      <w:r w:rsidR="003266C3">
        <w:t>Essential Health Benefits (EHB</w:t>
      </w:r>
      <w:r w:rsidR="00153FFF">
        <w:t>s</w:t>
      </w:r>
      <w:r w:rsidR="003266C3">
        <w:t xml:space="preserve">) </w:t>
      </w:r>
      <w:r w:rsidR="001E6820">
        <w:t xml:space="preserve">within the single risk pool of that market </w:t>
      </w:r>
      <w:r w:rsidR="002A559F">
        <w:t>expressed on a per member per month basis</w:t>
      </w:r>
      <w:r w:rsidR="00D835E4" w:rsidRPr="008A3126">
        <w:t xml:space="preserve">. As a result, </w:t>
      </w:r>
      <w:r w:rsidR="00D835E4" w:rsidRPr="008A3126">
        <w:rPr>
          <w:rFonts w:ascii="Calibri" w:hAnsi="Calibri"/>
        </w:rPr>
        <w:t xml:space="preserve">the Index Rate should be the </w:t>
      </w:r>
      <w:r w:rsidR="00D835E4" w:rsidRPr="008A3126">
        <w:rPr>
          <w:rFonts w:ascii="Calibri" w:hAnsi="Calibri"/>
          <w:b/>
        </w:rPr>
        <w:t>same</w:t>
      </w:r>
      <w:r w:rsidR="00D835E4" w:rsidRPr="008A3126">
        <w:rPr>
          <w:rFonts w:ascii="Calibri" w:hAnsi="Calibri"/>
        </w:rPr>
        <w:t xml:space="preserve"> value for ALL non-grandfathered plans for an issuer in a state and market. This includes claims and enrollment in transitional products/plans in the experience period and in the projection period to the extent the issuer </w:t>
      </w:r>
      <w:r w:rsidR="00D835E4" w:rsidRPr="008A3126">
        <w:t xml:space="preserve">anticipates the members in those policies will be enrolled in </w:t>
      </w:r>
      <w:r w:rsidR="009A79D5">
        <w:t xml:space="preserve">single risk pool </w:t>
      </w:r>
      <w:r w:rsidR="00D835E4" w:rsidRPr="008A3126">
        <w:t>plans during the projection period</w:t>
      </w:r>
      <w:r w:rsidR="00D835E4" w:rsidRPr="008A3126">
        <w:rPr>
          <w:rFonts w:ascii="Calibri" w:hAnsi="Calibri"/>
        </w:rPr>
        <w:t xml:space="preserve">. Note that if an issuer opted to </w:t>
      </w:r>
      <w:r w:rsidR="003E3E58">
        <w:rPr>
          <w:rFonts w:ascii="Calibri" w:hAnsi="Calibri"/>
        </w:rPr>
        <w:t>offer transitional</w:t>
      </w:r>
      <w:r w:rsidR="00D835E4" w:rsidRPr="008A3126">
        <w:rPr>
          <w:rFonts w:ascii="Calibri" w:hAnsi="Calibri"/>
        </w:rPr>
        <w:t xml:space="preserve"> policies, experience for these policies should be included in the issuer’s experience for developing rates for the projected year’s costs. </w:t>
      </w:r>
      <w:r w:rsidR="00FF59A2">
        <w:rPr>
          <w:rFonts w:ascii="Calibri" w:hAnsi="Calibri"/>
        </w:rPr>
        <w:t>If an</w:t>
      </w:r>
      <w:r w:rsidR="008E254B">
        <w:rPr>
          <w:rFonts w:ascii="Calibri" w:hAnsi="Calibri"/>
        </w:rPr>
        <w:t xml:space="preserve"> issuer project</w:t>
      </w:r>
      <w:r w:rsidR="00FF59A2">
        <w:rPr>
          <w:rFonts w:ascii="Calibri" w:hAnsi="Calibri"/>
        </w:rPr>
        <w:t>s</w:t>
      </w:r>
      <w:r w:rsidR="008E254B">
        <w:rPr>
          <w:rFonts w:ascii="Calibri" w:hAnsi="Calibri"/>
        </w:rPr>
        <w:t xml:space="preserve"> </w:t>
      </w:r>
      <w:r w:rsidR="00864864">
        <w:rPr>
          <w:rFonts w:ascii="Calibri" w:hAnsi="Calibri"/>
        </w:rPr>
        <w:t>members in transitional policies to migrate to a</w:t>
      </w:r>
      <w:r w:rsidR="0043156A">
        <w:rPr>
          <w:rFonts w:ascii="Calibri" w:hAnsi="Calibri"/>
        </w:rPr>
        <w:t xml:space="preserve"> single risk pool</w:t>
      </w:r>
      <w:r w:rsidR="00864864">
        <w:rPr>
          <w:rFonts w:ascii="Calibri" w:hAnsi="Calibri"/>
        </w:rPr>
        <w:t xml:space="preserve"> policy, a</w:t>
      </w:r>
      <w:r w:rsidR="00864864" w:rsidRPr="008A3126">
        <w:rPr>
          <w:rFonts w:ascii="Calibri" w:hAnsi="Calibri"/>
        </w:rPr>
        <w:t xml:space="preserve">ppropriate </w:t>
      </w:r>
      <w:r w:rsidR="00D835E4" w:rsidRPr="008A3126">
        <w:rPr>
          <w:rFonts w:ascii="Calibri" w:hAnsi="Calibri"/>
        </w:rPr>
        <w:t xml:space="preserve">adjustments should be made in Worksheet 1 – Section II of the </w:t>
      </w:r>
      <w:r w:rsidR="00D424AE">
        <w:rPr>
          <w:rFonts w:ascii="Calibri" w:hAnsi="Calibri"/>
        </w:rPr>
        <w:t>URRT</w:t>
      </w:r>
      <w:r w:rsidR="00D835E4" w:rsidRPr="008A3126">
        <w:rPr>
          <w:rFonts w:ascii="Calibri" w:hAnsi="Calibri"/>
        </w:rPr>
        <w:t xml:space="preserve"> to bring </w:t>
      </w:r>
      <w:r w:rsidR="00864864">
        <w:rPr>
          <w:rFonts w:ascii="Calibri" w:hAnsi="Calibri"/>
        </w:rPr>
        <w:t>the costs associated with the transitional policies</w:t>
      </w:r>
      <w:r w:rsidR="00D835E4" w:rsidRPr="008A3126">
        <w:rPr>
          <w:rFonts w:ascii="Calibri" w:hAnsi="Calibri"/>
        </w:rPr>
        <w:t xml:space="preserve"> in line with </w:t>
      </w:r>
      <w:r w:rsidR="00FC0A3C">
        <w:rPr>
          <w:rFonts w:ascii="Calibri" w:hAnsi="Calibri"/>
        </w:rPr>
        <w:t xml:space="preserve">projected </w:t>
      </w:r>
      <w:r w:rsidR="00FF59A2">
        <w:rPr>
          <w:rFonts w:ascii="Calibri" w:hAnsi="Calibri"/>
        </w:rPr>
        <w:t xml:space="preserve">costs of the singe risk pool policy </w:t>
      </w:r>
      <w:r w:rsidR="00D835E4" w:rsidRPr="008A3126">
        <w:rPr>
          <w:rFonts w:ascii="Calibri" w:hAnsi="Calibri"/>
        </w:rPr>
        <w:t xml:space="preserve">in </w:t>
      </w:r>
      <w:r w:rsidR="00FC0A3C">
        <w:rPr>
          <w:rFonts w:ascii="Calibri" w:hAnsi="Calibri"/>
        </w:rPr>
        <w:t xml:space="preserve">the </w:t>
      </w:r>
      <w:r w:rsidR="00D835E4" w:rsidRPr="008A3126">
        <w:rPr>
          <w:rFonts w:ascii="Calibri" w:hAnsi="Calibri"/>
        </w:rPr>
        <w:t>projected experience.</w:t>
      </w:r>
      <w:r w:rsidR="00153453">
        <w:rPr>
          <w:rFonts w:ascii="Calibri" w:hAnsi="Calibri"/>
        </w:rPr>
        <w:t xml:space="preserve">  Projected member experience should reflect when those members are expected to enter a single risk pool </w:t>
      </w:r>
      <w:r w:rsidR="00B64AE1">
        <w:rPr>
          <w:rFonts w:ascii="Calibri" w:hAnsi="Calibri"/>
        </w:rPr>
        <w:t>plan</w:t>
      </w:r>
      <w:r w:rsidR="00153453">
        <w:rPr>
          <w:rFonts w:ascii="Calibri" w:hAnsi="Calibri"/>
        </w:rPr>
        <w:t xml:space="preserve">.  For example, transitional plan members expected to enroll in a single risk pool </w:t>
      </w:r>
      <w:r w:rsidR="00B64AE1">
        <w:rPr>
          <w:rFonts w:ascii="Calibri" w:hAnsi="Calibri"/>
        </w:rPr>
        <w:t xml:space="preserve">plan </w:t>
      </w:r>
      <w:r w:rsidR="00153453">
        <w:rPr>
          <w:rFonts w:ascii="Calibri" w:hAnsi="Calibri"/>
        </w:rPr>
        <w:t>in October would contribute three months of projected experience.</w:t>
      </w:r>
    </w:p>
    <w:p w14:paraId="07E0B464" w14:textId="185EE590" w:rsidR="00D835E4" w:rsidRPr="008A3126" w:rsidRDefault="00D835E4" w:rsidP="00BD327D">
      <w:pPr>
        <w:pStyle w:val="NoSpacing"/>
        <w:keepNext/>
        <w:rPr>
          <w:b/>
        </w:rPr>
      </w:pPr>
      <w:r w:rsidRPr="008A3126">
        <w:rPr>
          <w:b/>
        </w:rPr>
        <w:t>Market</w:t>
      </w:r>
      <w:r w:rsidR="00C05CAB">
        <w:rPr>
          <w:b/>
        </w:rPr>
        <w:t>-Wide</w:t>
      </w:r>
      <w:r w:rsidRPr="008A3126">
        <w:rPr>
          <w:b/>
        </w:rPr>
        <w:t xml:space="preserve"> Adjusted Index Rate</w:t>
      </w:r>
    </w:p>
    <w:p w14:paraId="527522DD" w14:textId="1336889E" w:rsidR="00D835E4" w:rsidRPr="00E717E2" w:rsidRDefault="00D835E4" w:rsidP="00D835E4">
      <w:pPr>
        <w:pStyle w:val="ListParagraph"/>
        <w:keepNext/>
        <w:spacing w:after="0"/>
        <w:ind w:left="0"/>
      </w:pPr>
      <w:r w:rsidRPr="008A3126">
        <w:t>The Market</w:t>
      </w:r>
      <w:r w:rsidR="00C05CAB">
        <w:t>-Wide</w:t>
      </w:r>
      <w:r w:rsidRPr="008A3126">
        <w:t xml:space="preserve"> Adjusted Index Rate is the Index Rate adjusted for Risk Adjustment and </w:t>
      </w:r>
      <w:r w:rsidR="00DE6C09">
        <w:t>Marketplace</w:t>
      </w:r>
      <w:r w:rsidRPr="008A3126">
        <w:t xml:space="preserve"> Fees (with impacts and costs spread across the whole risk pool). As a result, the Market</w:t>
      </w:r>
      <w:r w:rsidR="006D10D4">
        <w:t>-Wide</w:t>
      </w:r>
      <w:r w:rsidRPr="008A3126">
        <w:t xml:space="preserve"> Adjusted Index Rate should be the </w:t>
      </w:r>
      <w:r w:rsidRPr="008A3126">
        <w:rPr>
          <w:b/>
        </w:rPr>
        <w:t>same</w:t>
      </w:r>
      <w:r w:rsidRPr="008A3126">
        <w:t xml:space="preserve"> value for ALL non-grandfathered plans for an issuer in a state and market.</w:t>
      </w:r>
    </w:p>
    <w:p w14:paraId="72C75D83" w14:textId="7E50AE60" w:rsidR="006B6E48" w:rsidRDefault="006B6E48" w:rsidP="00BD327D">
      <w:pPr>
        <w:pStyle w:val="NoSpacing"/>
        <w:rPr>
          <w:b/>
        </w:rPr>
      </w:pPr>
    </w:p>
    <w:p w14:paraId="655B53A3" w14:textId="431EEFBB" w:rsidR="00D835E4" w:rsidRPr="008A3126" w:rsidRDefault="00D835E4" w:rsidP="00BD327D">
      <w:pPr>
        <w:pStyle w:val="NoSpacing"/>
        <w:rPr>
          <w:b/>
        </w:rPr>
      </w:pPr>
      <w:r w:rsidRPr="008A3126">
        <w:rPr>
          <w:b/>
        </w:rPr>
        <w:t>Plan Adjusted Index Rate</w:t>
      </w:r>
    </w:p>
    <w:p w14:paraId="4311C460" w14:textId="0B9CE56B" w:rsidR="00C05CAB" w:rsidRDefault="00D835E4" w:rsidP="00D835E4">
      <w:pPr>
        <w:pStyle w:val="ListParagraph"/>
        <w:spacing w:after="0"/>
        <w:ind w:left="0"/>
      </w:pPr>
      <w:r w:rsidRPr="008A3126">
        <w:t>The Plan Adjusted Index Rate is the Market</w:t>
      </w:r>
      <w:r w:rsidR="00C05CAB">
        <w:t>-Wide</w:t>
      </w:r>
      <w:r w:rsidRPr="008A3126">
        <w:t xml:space="preserve"> Adjusted Index Rate further adjusted for </w:t>
      </w:r>
      <w:r w:rsidRPr="008A3126">
        <w:rPr>
          <w:b/>
        </w:rPr>
        <w:t>only</w:t>
      </w:r>
      <w:r w:rsidRPr="008A3126">
        <w:t xml:space="preserve"> the plan specific factors allowed by 45 CFR </w:t>
      </w:r>
      <w:r w:rsidR="007222F3" w:rsidRPr="008A3126">
        <w:t xml:space="preserve"> </w:t>
      </w:r>
      <w:r w:rsidRPr="008A3126">
        <w:t xml:space="preserve">156.80(d)(2) </w:t>
      </w:r>
      <w:r w:rsidR="00B616D2">
        <w:t>which are</w:t>
      </w:r>
      <w:r w:rsidR="00C05CAB">
        <w:t>:</w:t>
      </w:r>
    </w:p>
    <w:p w14:paraId="7F93A58F" w14:textId="6FFCF451" w:rsidR="00C05CAB" w:rsidRDefault="00C05CAB" w:rsidP="009D2B17">
      <w:pPr>
        <w:pStyle w:val="ListParagraph"/>
        <w:numPr>
          <w:ilvl w:val="0"/>
          <w:numId w:val="47"/>
        </w:numPr>
        <w:spacing w:after="0"/>
      </w:pPr>
      <w:r>
        <w:t>Actuarial value and cost-sharing design of the plan</w:t>
      </w:r>
      <w:r w:rsidR="007878D5">
        <w:t>.</w:t>
      </w:r>
    </w:p>
    <w:p w14:paraId="62E28234" w14:textId="182533A8" w:rsidR="00C05CAB" w:rsidRDefault="00C05CAB" w:rsidP="009D2B17">
      <w:pPr>
        <w:pStyle w:val="ListParagraph"/>
        <w:numPr>
          <w:ilvl w:val="0"/>
          <w:numId w:val="47"/>
        </w:numPr>
        <w:spacing w:after="0"/>
      </w:pPr>
      <w:r>
        <w:t>The plan’s provider network, delivery system characteristics, and utilization management practices</w:t>
      </w:r>
      <w:r w:rsidR="007878D5">
        <w:t>.</w:t>
      </w:r>
    </w:p>
    <w:p w14:paraId="2A85FD16" w14:textId="663B834E" w:rsidR="00C05CAB" w:rsidRDefault="004A6E0F" w:rsidP="009D2B17">
      <w:pPr>
        <w:pStyle w:val="ListParagraph"/>
        <w:numPr>
          <w:ilvl w:val="0"/>
          <w:numId w:val="47"/>
        </w:numPr>
        <w:spacing w:after="0"/>
      </w:pPr>
      <w:r>
        <w:rPr>
          <w:noProof/>
        </w:rPr>
        <mc:AlternateContent>
          <mc:Choice Requires="wps">
            <w:drawing>
              <wp:anchor distT="228600" distB="228600" distL="228600" distR="228600" simplePos="0" relativeHeight="251655680" behindDoc="1" locked="0" layoutInCell="1" allowOverlap="1" wp14:anchorId="582909F0" wp14:editId="4AAEAB97">
                <wp:simplePos x="0" y="0"/>
                <wp:positionH relativeFrom="margin">
                  <wp:posOffset>4037965</wp:posOffset>
                </wp:positionH>
                <wp:positionV relativeFrom="margin">
                  <wp:posOffset>6363691</wp:posOffset>
                </wp:positionV>
                <wp:extent cx="2427605" cy="1221105"/>
                <wp:effectExtent l="0" t="0" r="0" b="0"/>
                <wp:wrapSquare wrapText="bothSides"/>
                <wp:docPr id="7" name="Text Box 7"/>
                <wp:cNvGraphicFramePr/>
                <a:graphic xmlns:a="http://schemas.openxmlformats.org/drawingml/2006/main">
                  <a:graphicData uri="http://schemas.microsoft.com/office/word/2010/wordprocessingShape">
                    <wps:wsp>
                      <wps:cNvSpPr txBox="1"/>
                      <wps:spPr>
                        <a:xfrm>
                          <a:off x="0" y="0"/>
                          <a:ext cx="2427605" cy="122110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0DAEB8C8" w14:textId="1F13AC73" w:rsidR="00634A44" w:rsidRPr="00B616D2" w:rsidRDefault="00634A44" w:rsidP="00B616D2">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The only allowable plan adjustments are found in 45 CFR 156.80(d</w:t>
                            </w:r>
                            <w:proofErr w:type="gramStart"/>
                            <w:r>
                              <w:rPr>
                                <w:color w:val="17365D" w:themeColor="text2" w:themeShade="BF"/>
                                <w:sz w:val="24"/>
                                <w:szCs w:val="24"/>
                              </w:rPr>
                              <w:t>)(</w:t>
                            </w:r>
                            <w:proofErr w:type="gramEnd"/>
                            <w:r>
                              <w:rPr>
                                <w:color w:val="17365D" w:themeColor="text2" w:themeShade="BF"/>
                                <w:sz w:val="24"/>
                                <w:szCs w:val="24"/>
                              </w:rPr>
                              <w:t xml:space="preserve">2).  “Other” is </w:t>
                            </w:r>
                            <w:r w:rsidRPr="00B616D2">
                              <w:rPr>
                                <w:b/>
                                <w:color w:val="17365D" w:themeColor="text2" w:themeShade="BF"/>
                                <w:sz w:val="24"/>
                                <w:szCs w:val="24"/>
                              </w:rPr>
                              <w:t>not</w:t>
                            </w:r>
                            <w:r>
                              <w:rPr>
                                <w:color w:val="17365D" w:themeColor="text2" w:themeShade="BF"/>
                                <w:sz w:val="24"/>
                                <w:szCs w:val="24"/>
                              </w:rPr>
                              <w:t xml:space="preserve"> an allowable plan adjustment.</w:t>
                            </w:r>
                          </w:p>
                          <w:sdt>
                            <w:sdtPr>
                              <w:rPr>
                                <w:color w:val="1F497D" w:themeColor="text2"/>
                                <w:sz w:val="18"/>
                                <w:szCs w:val="18"/>
                              </w:rPr>
                              <w:id w:val="1119644104"/>
                              <w:temporary/>
                              <w:showingPlcHdr/>
                              <w:text w:multiLine="1"/>
                            </w:sdtPr>
                            <w:sdtEndPr/>
                            <w:sdtContent>
                              <w:p w14:paraId="744FE641" w14:textId="77777777" w:rsidR="00634A44" w:rsidRDefault="00634A44" w:rsidP="00B616D2">
                                <w:pPr>
                                  <w:pStyle w:val="NoSpacing"/>
                                  <w:jc w:val="center"/>
                                  <w:rPr>
                                    <w:color w:val="1F497D" w:themeColor="text2"/>
                                    <w:sz w:val="18"/>
                                    <w:szCs w:val="18"/>
                                  </w:rPr>
                                </w:pPr>
                                <w:r>
                                  <w:rPr>
                                    <w:color w:val="1F497D" w:themeColor="text2"/>
                                    <w:sz w:val="18"/>
                                    <w:szCs w:val="18"/>
                                  </w:rPr>
                                  <w:t>[Cite your source here.]</w:t>
                                </w:r>
                              </w:p>
                            </w:sdtContent>
                          </w:sdt>
                          <w:sdt>
                            <w:sdtPr>
                              <w:rPr>
                                <w:color w:val="1F497D" w:themeColor="text2"/>
                                <w:sz w:val="18"/>
                                <w:szCs w:val="18"/>
                              </w:rPr>
                              <w:id w:val="933712477"/>
                              <w:temporary/>
                              <w:showingPlcHdr/>
                              <w:text w:multiLine="1"/>
                            </w:sdtPr>
                            <w:sdtEndPr/>
                            <w:sdtContent>
                              <w:p w14:paraId="02F390F3" w14:textId="1B49ABC8" w:rsidR="00634A44" w:rsidRDefault="00634A44" w:rsidP="00B616D2">
                                <w:pPr>
                                  <w:pStyle w:val="NoSpacing"/>
                                  <w:jc w:val="center"/>
                                  <w:rPr>
                                    <w:color w:val="1F497D" w:themeColor="text2"/>
                                    <w:sz w:val="18"/>
                                    <w:szCs w:val="18"/>
                                  </w:rPr>
                                </w:pPr>
                                <w:r>
                                  <w:rPr>
                                    <w:color w:val="1F497D"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909F0" id="Text Box 7" o:spid="_x0000_s1031" type="#_x0000_t202" style="position:absolute;left:0;text-align:left;margin-left:317.95pt;margin-top:501.1pt;width:191.15pt;height:96.15pt;z-index:-25166080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" fillcolor="#efede3 [2899]" stroked="f" strokeweight=".5pt">
                <v:fill color2="#eae7d9 [3139]" rotate="t" focusposition=".5,.5" focussize="-.5,-.5" focus="100%" type="gradientRadial"/>
                <v:textbox inset="14.4pt,14.4pt,14.4pt,14.4pt">
                  <w:txbxContent>
                    <w:p w14:paraId="0DAEB8C8" w14:textId="1F13AC73" w:rsidR="00634A44" w:rsidRPr="00B616D2" w:rsidRDefault="00634A44" w:rsidP="00B616D2">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The only allowable plan adjustments are found in 45 CFR 156.80(d)(2).  “Other” is </w:t>
                      </w:r>
                      <w:r w:rsidRPr="00B616D2">
                        <w:rPr>
                          <w:b/>
                          <w:color w:val="17365D" w:themeColor="text2" w:themeShade="BF"/>
                          <w:sz w:val="24"/>
                          <w:szCs w:val="24"/>
                        </w:rPr>
                        <w:t>not</w:t>
                      </w:r>
                      <w:r>
                        <w:rPr>
                          <w:color w:val="17365D" w:themeColor="text2" w:themeShade="BF"/>
                          <w:sz w:val="24"/>
                          <w:szCs w:val="24"/>
                        </w:rPr>
                        <w:t xml:space="preserve"> an allowable plan adjustment.</w:t>
                      </w:r>
                    </w:p>
                    <w:sdt>
                      <w:sdtPr>
                        <w:rPr>
                          <w:color w:val="1F497D" w:themeColor="text2"/>
                          <w:sz w:val="18"/>
                          <w:szCs w:val="18"/>
                        </w:rPr>
                        <w:id w:val="1119644104"/>
                        <w:temporary/>
                        <w:showingPlcHdr/>
                        <w:text w:multiLine="1"/>
                      </w:sdtPr>
                      <w:sdtContent>
                        <w:p w14:paraId="744FE641" w14:textId="77777777" w:rsidR="00634A44" w:rsidRDefault="00634A44" w:rsidP="00B616D2">
                          <w:pPr>
                            <w:pStyle w:val="NoSpacing"/>
                            <w:jc w:val="center"/>
                            <w:rPr>
                              <w:color w:val="1F497D" w:themeColor="text2"/>
                              <w:sz w:val="18"/>
                              <w:szCs w:val="18"/>
                            </w:rPr>
                          </w:pPr>
                          <w:r>
                            <w:rPr>
                              <w:color w:val="1F497D" w:themeColor="text2"/>
                              <w:sz w:val="18"/>
                              <w:szCs w:val="18"/>
                            </w:rPr>
                            <w:t>[Cite your source here.]</w:t>
                          </w:r>
                        </w:p>
                      </w:sdtContent>
                    </w:sdt>
                    <w:sdt>
                      <w:sdtPr>
                        <w:rPr>
                          <w:color w:val="1F497D" w:themeColor="text2"/>
                          <w:sz w:val="18"/>
                          <w:szCs w:val="18"/>
                        </w:rPr>
                        <w:id w:val="933712477"/>
                        <w:temporary/>
                        <w:showingPlcHdr/>
                        <w:text w:multiLine="1"/>
                      </w:sdtPr>
                      <w:sdtContent>
                        <w:p w14:paraId="02F390F3" w14:textId="1B49ABC8" w:rsidR="00634A44" w:rsidRDefault="00634A44" w:rsidP="00B616D2">
                          <w:pPr>
                            <w:pStyle w:val="NoSpacing"/>
                            <w:jc w:val="center"/>
                            <w:rPr>
                              <w:color w:val="1F497D" w:themeColor="text2"/>
                              <w:sz w:val="18"/>
                              <w:szCs w:val="18"/>
                            </w:rPr>
                          </w:pPr>
                          <w:r>
                            <w:rPr>
                              <w:color w:val="1F497D" w:themeColor="text2"/>
                              <w:sz w:val="18"/>
                              <w:szCs w:val="18"/>
                            </w:rPr>
                            <w:t>[Cite your source here.]</w:t>
                          </w:r>
                        </w:p>
                      </w:sdtContent>
                    </w:sdt>
                  </w:txbxContent>
                </v:textbox>
                <w10:wrap type="square" anchorx="margin" anchory="margin"/>
              </v:shape>
            </w:pict>
          </mc:Fallback>
        </mc:AlternateContent>
      </w:r>
      <w:r w:rsidR="00C05CAB">
        <w:t>Benefits provided under the plan that are in addition to EHBs</w:t>
      </w:r>
      <w:r w:rsidR="007878D5">
        <w:t>.</w:t>
      </w:r>
    </w:p>
    <w:p w14:paraId="5FD46522" w14:textId="5426C3AE" w:rsidR="00C05CAB" w:rsidRDefault="00C05CAB" w:rsidP="009D2B17">
      <w:pPr>
        <w:pStyle w:val="ListParagraph"/>
        <w:numPr>
          <w:ilvl w:val="0"/>
          <w:numId w:val="47"/>
        </w:numPr>
        <w:spacing w:after="0"/>
      </w:pPr>
      <w:r>
        <w:t xml:space="preserve">Administrative costs, excluding Exchange user fees </w:t>
      </w:r>
      <w:r w:rsidR="00A80EBF">
        <w:t xml:space="preserve">and Risk Adjustment user fees </w:t>
      </w:r>
      <w:r>
        <w:t>(which are already accounted for in the Market-Wide Adjusted Index Rate)</w:t>
      </w:r>
      <w:r w:rsidR="007878D5">
        <w:t>.</w:t>
      </w:r>
    </w:p>
    <w:p w14:paraId="77D660F0" w14:textId="3BF42AA4" w:rsidR="00C05CAB" w:rsidRDefault="005406F1" w:rsidP="009D2B17">
      <w:pPr>
        <w:pStyle w:val="ListParagraph"/>
        <w:numPr>
          <w:ilvl w:val="0"/>
          <w:numId w:val="47"/>
        </w:numPr>
        <w:spacing w:after="0"/>
      </w:pPr>
      <w:r>
        <w:t xml:space="preserve">Only </w:t>
      </w:r>
      <w:r w:rsidR="00C05CAB">
        <w:t xml:space="preserve">Catastrophic plans may </w:t>
      </w:r>
      <w:r w:rsidR="00FC0A3C">
        <w:t xml:space="preserve">be </w:t>
      </w:r>
      <w:r w:rsidR="00C05CAB">
        <w:t>adjust</w:t>
      </w:r>
      <w:r w:rsidR="00FC0A3C">
        <w:t>ed</w:t>
      </w:r>
      <w:r w:rsidR="00C05CAB">
        <w:t xml:space="preserve"> for the expected impact of the specific eligibility categories for these plans.  If an adjustment is made to catastrophic plans, this adjustment may </w:t>
      </w:r>
      <w:r w:rsidR="00C05CAB" w:rsidRPr="00B616D2">
        <w:rPr>
          <w:b/>
        </w:rPr>
        <w:t>not</w:t>
      </w:r>
      <w:r w:rsidR="00C05CAB">
        <w:t xml:space="preserve"> be recovered elsewhere in the rating process, as that would be seen as removing the catastrophic plan experience </w:t>
      </w:r>
      <w:r w:rsidR="00B616D2">
        <w:t>from the single risk pool.</w:t>
      </w:r>
    </w:p>
    <w:p w14:paraId="3ECEF048" w14:textId="5744373D" w:rsidR="00B616D2" w:rsidRDefault="00D835E4" w:rsidP="00D835E4">
      <w:pPr>
        <w:pStyle w:val="ListParagraph"/>
        <w:spacing w:after="0"/>
        <w:ind w:left="0"/>
      </w:pPr>
      <w:r w:rsidRPr="008A3126">
        <w:t xml:space="preserve"> </w:t>
      </w:r>
    </w:p>
    <w:p w14:paraId="7BA48787" w14:textId="60EFF3A3" w:rsidR="00D835E4" w:rsidRPr="008A3126" w:rsidRDefault="00D835E4" w:rsidP="00D835E4">
      <w:pPr>
        <w:pStyle w:val="ListParagraph"/>
        <w:spacing w:after="0"/>
        <w:ind w:left="0"/>
        <w:rPr>
          <w:rFonts w:ascii="Calibri" w:hAnsi="Calibri"/>
        </w:rPr>
      </w:pPr>
      <w:r w:rsidRPr="008A3126">
        <w:t xml:space="preserve">Other adjustments not specified </w:t>
      </w:r>
      <w:r w:rsidR="00DE4D30">
        <w:t>in</w:t>
      </w:r>
      <w:r w:rsidRPr="008A3126">
        <w:t xml:space="preserve"> 45 CFR 156.80(d)(2) are not allowed</w:t>
      </w:r>
      <w:r w:rsidR="00132EE7">
        <w:t xml:space="preserve"> at this point in the development</w:t>
      </w:r>
      <w:r w:rsidRPr="008A3126">
        <w:t>, such as a</w:t>
      </w:r>
      <w:r w:rsidR="00B94A27">
        <w:t>n a</w:t>
      </w:r>
      <w:r w:rsidRPr="008A3126">
        <w:t xml:space="preserve">djustment to recoup revenue related to the </w:t>
      </w:r>
      <w:r w:rsidR="0041640D">
        <w:t>three</w:t>
      </w:r>
      <w:r w:rsidRPr="008A3126">
        <w:t xml:space="preserve"> </w:t>
      </w:r>
      <w:r w:rsidR="005406F1">
        <w:t xml:space="preserve">under age 21 </w:t>
      </w:r>
      <w:r w:rsidR="00FC0A3C">
        <w:t xml:space="preserve">child </w:t>
      </w:r>
      <w:r w:rsidRPr="008A3126">
        <w:t xml:space="preserve">dependent </w:t>
      </w:r>
      <w:r w:rsidR="00FC0A3C">
        <w:t>cap</w:t>
      </w:r>
      <w:r w:rsidRPr="008A3126">
        <w:t>.</w:t>
      </w:r>
    </w:p>
    <w:p w14:paraId="1C34F455" w14:textId="3670A6F8" w:rsidR="00467C4C" w:rsidRPr="00E717E2" w:rsidRDefault="00467C4C" w:rsidP="00D835E4">
      <w:pPr>
        <w:pStyle w:val="ListParagraph"/>
        <w:spacing w:after="0"/>
        <w:ind w:left="0"/>
      </w:pPr>
    </w:p>
    <w:p w14:paraId="2725EED8" w14:textId="3AE2AE80" w:rsidR="00D835E4" w:rsidRPr="008A3126" w:rsidRDefault="00D835E4" w:rsidP="00BD327D">
      <w:pPr>
        <w:pStyle w:val="NoSpacing"/>
        <w:rPr>
          <w:b/>
        </w:rPr>
      </w:pPr>
      <w:r w:rsidRPr="008A3126">
        <w:rPr>
          <w:b/>
        </w:rPr>
        <w:t>Fees</w:t>
      </w:r>
    </w:p>
    <w:p w14:paraId="754896A1" w14:textId="33C96B35" w:rsidR="00D835E4" w:rsidRPr="008A3126" w:rsidRDefault="00D835E4" w:rsidP="00D835E4">
      <w:pPr>
        <w:pStyle w:val="BodyText"/>
      </w:pPr>
      <w:r w:rsidRPr="008A3126">
        <w:t>Fees</w:t>
      </w:r>
      <w:r w:rsidRPr="00674068">
        <w:t xml:space="preserve"> and costs are included in the premium and applied at the plan level as part of the distribution and administrative costs adjustment. The only exception is the application of the </w:t>
      </w:r>
      <w:r w:rsidR="00464297" w:rsidRPr="008A3126">
        <w:t>Risk Adjustment</w:t>
      </w:r>
      <w:r w:rsidR="00464297">
        <w:t xml:space="preserve"> user fees</w:t>
      </w:r>
      <w:r w:rsidR="00464297" w:rsidRPr="008A3126">
        <w:t xml:space="preserve">, Reinsurance </w:t>
      </w:r>
      <w:r w:rsidR="00464297">
        <w:t xml:space="preserve">contributions, </w:t>
      </w:r>
      <w:r w:rsidR="00464297" w:rsidRPr="008A3126">
        <w:t xml:space="preserve">and </w:t>
      </w:r>
      <w:r w:rsidR="00DE6C09">
        <w:t>Marketplace</w:t>
      </w:r>
      <w:r w:rsidRPr="00674068">
        <w:t xml:space="preserve"> </w:t>
      </w:r>
      <w:r w:rsidR="0041640D">
        <w:t>u</w:t>
      </w:r>
      <w:r w:rsidRPr="00674068">
        <w:t xml:space="preserve">ser fees, which are applied </w:t>
      </w:r>
      <w:r w:rsidR="004D07CD" w:rsidRPr="00674068">
        <w:t>to the Index</w:t>
      </w:r>
      <w:r w:rsidR="004D07CD" w:rsidRPr="008A3126">
        <w:t xml:space="preserve"> Rate</w:t>
      </w:r>
      <w:r w:rsidR="004D07CD" w:rsidRPr="00674068">
        <w:t xml:space="preserve"> </w:t>
      </w:r>
      <w:r w:rsidRPr="00674068">
        <w:t xml:space="preserve">at the market level </w:t>
      </w:r>
      <w:r w:rsidR="004973E6">
        <w:t>as instructed by 45 CFR  156.80(d)</w:t>
      </w:r>
      <w:r w:rsidRPr="008A3126">
        <w:t xml:space="preserve">. All other fees must be included in the development of the Plan Adjusted Index Rate, prior to the application of member level rating factors, such as age factors. No additional fees may be charged outside of the development of the Plan Adjusted Index Rate. For example, if it costs an issuer $35 to process an application, that cost must be included in the premium rate development of all policies (new issues and renewals) and subject to the member level rating factors such as age and geographic region factors. The issuer may not, in that example, charge a $35 fee per policy for submission of the application. </w:t>
      </w:r>
    </w:p>
    <w:p w14:paraId="7CC7873C" w14:textId="478524CA" w:rsidR="00D835E4" w:rsidRPr="008A3126" w:rsidRDefault="00D835E4" w:rsidP="00BD327D">
      <w:pPr>
        <w:pStyle w:val="NoSpacing"/>
        <w:rPr>
          <w:b/>
        </w:rPr>
      </w:pPr>
      <w:r w:rsidRPr="008A3126">
        <w:rPr>
          <w:b/>
        </w:rPr>
        <w:t>Calibration</w:t>
      </w:r>
    </w:p>
    <w:p w14:paraId="0D9C069B" w14:textId="05402EC9" w:rsidR="00D835E4" w:rsidRPr="008A3126" w:rsidRDefault="00D835E4" w:rsidP="00D835E4">
      <w:pPr>
        <w:pStyle w:val="ListParagraph"/>
        <w:spacing w:after="0"/>
        <w:ind w:left="0"/>
        <w:rPr>
          <w:rFonts w:ascii="Calibri" w:hAnsi="Calibri"/>
        </w:rPr>
      </w:pPr>
      <w:r w:rsidRPr="008A3126">
        <w:rPr>
          <w:rFonts w:ascii="Calibri" w:hAnsi="Calibri"/>
        </w:rPr>
        <w:t xml:space="preserve">A calibration may be required to allow the rating factors to be directly applied in order to generate the Consumer Adjusted Premium Rates. </w:t>
      </w:r>
    </w:p>
    <w:p w14:paraId="35B61AE3" w14:textId="64D2649A" w:rsidR="00D835E4" w:rsidRPr="008A3126" w:rsidRDefault="00D835E4" w:rsidP="00D835E4">
      <w:pPr>
        <w:pStyle w:val="ListParagraph"/>
        <w:spacing w:after="0"/>
        <w:ind w:left="0"/>
        <w:rPr>
          <w:rFonts w:ascii="Calibri" w:hAnsi="Calibri"/>
        </w:rPr>
      </w:pPr>
    </w:p>
    <w:p w14:paraId="2632413F" w14:textId="420AC7A4" w:rsidR="00D835E4" w:rsidRPr="008A3126" w:rsidRDefault="00D835E4" w:rsidP="00D835E4">
      <w:pPr>
        <w:pStyle w:val="ListParagraph"/>
        <w:spacing w:after="0"/>
        <w:ind w:left="0"/>
        <w:rPr>
          <w:rFonts w:ascii="Calibri" w:hAnsi="Calibri"/>
        </w:rPr>
      </w:pPr>
      <w:r w:rsidRPr="008A3126">
        <w:rPr>
          <w:rFonts w:ascii="Calibri" w:hAnsi="Calibri"/>
        </w:rPr>
        <w:t xml:space="preserve">For </w:t>
      </w:r>
      <w:r w:rsidR="006F786D">
        <w:rPr>
          <w:rFonts w:ascii="Calibri" w:hAnsi="Calibri"/>
        </w:rPr>
        <w:t xml:space="preserve">each of </w:t>
      </w:r>
      <w:r w:rsidRPr="008A3126">
        <w:rPr>
          <w:rFonts w:ascii="Calibri" w:hAnsi="Calibri"/>
        </w:rPr>
        <w:t xml:space="preserve">the allowable rating factors of age and geography, there is ONLY ONE calibration allowed. That is, the calibration from the single risk pool to the allowable rating factors may not vary by plan; it must be a common adjustment for all plans in a state and market. At this time, the </w:t>
      </w:r>
      <w:r w:rsidRPr="008A3126">
        <w:rPr>
          <w:rFonts w:ascii="Calibri" w:hAnsi="Calibri"/>
          <w:b/>
        </w:rPr>
        <w:t>only</w:t>
      </w:r>
      <w:r w:rsidRPr="008A3126">
        <w:rPr>
          <w:rFonts w:ascii="Calibri" w:hAnsi="Calibri"/>
        </w:rPr>
        <w:t xml:space="preserve"> allowable consumer level premium rate modifiers that can be calibrated are age and geography.</w:t>
      </w:r>
    </w:p>
    <w:p w14:paraId="70FDCC00" w14:textId="12435828" w:rsidR="00D835E4" w:rsidRPr="008A3126" w:rsidRDefault="00D835E4" w:rsidP="00D835E4">
      <w:pPr>
        <w:pStyle w:val="ListParagraph"/>
        <w:spacing w:after="0"/>
        <w:ind w:left="0"/>
        <w:rPr>
          <w:rFonts w:ascii="Calibri" w:hAnsi="Calibri"/>
        </w:rPr>
      </w:pPr>
    </w:p>
    <w:p w14:paraId="53880C18" w14:textId="6D029810" w:rsidR="00D835E4" w:rsidRPr="008A3126" w:rsidRDefault="00D835E4" w:rsidP="00D835E4">
      <w:pPr>
        <w:rPr>
          <w:rFonts w:ascii="Calibri" w:hAnsi="Calibri"/>
        </w:rPr>
      </w:pPr>
      <w:r w:rsidRPr="008A3126">
        <w:t xml:space="preserve">The calibration with respect to the age curve is allowed and identifies the value on the age curve associated with the weighted average age on the standard age curve. The Plan Adjusted Index Rate and the age curve can then be used to generate the schedule of premium rates for all ages for each plan. </w:t>
      </w:r>
      <w:r w:rsidRPr="008A3126">
        <w:rPr>
          <w:rFonts w:ascii="Calibri" w:hAnsi="Calibri"/>
        </w:rPr>
        <w:t>Calibration may be required for the geographic factors. More detailed instructions are provided later in this document regarding the requirements for the calibration.</w:t>
      </w:r>
    </w:p>
    <w:p w14:paraId="2544C45F" w14:textId="039C69F6" w:rsidR="00D835E4" w:rsidRPr="008A3126" w:rsidRDefault="00D835E4" w:rsidP="00D835E4">
      <w:r w:rsidRPr="008A3126">
        <w:t>It is important to note that the calibration process (described above) should ONLY occur after the Plan Adjusted Index Rate has been determined, not at any point before. The cost of all benefits (EHB and non-EHB) and other expenses may not be charged to the consumer using a flat dollar amount. All components under the plan must be part of the premium charged. All components of the premium are subject to the consumer level rating adjustments and therefore all components of the premium should likewise have the calibration applied to them.</w:t>
      </w:r>
    </w:p>
    <w:p w14:paraId="5A2E2735" w14:textId="3F45EF9B" w:rsidR="00D835E4" w:rsidRPr="008A3126" w:rsidRDefault="00D835E4" w:rsidP="00D835E4">
      <w:r w:rsidRPr="008A3126">
        <w:t>The result of this calibration process should be that the Plan Adjusted Index Rate calibrated for geography (but not age), multiplied by the geographic factor for a given region should be similar to the Premium Rate for that particular plan for a non-tobacco user in the given geographic region for the weighted average age (rounded to a whole number) of the projected single risk pool.</w:t>
      </w:r>
    </w:p>
    <w:p w14:paraId="37A30D06" w14:textId="1D25B1FB" w:rsidR="00D835E4" w:rsidRPr="008A3126" w:rsidRDefault="00D835E4" w:rsidP="00BD327D">
      <w:pPr>
        <w:pStyle w:val="NoSpacing"/>
        <w:keepNext/>
        <w:rPr>
          <w:b/>
        </w:rPr>
      </w:pPr>
      <w:r w:rsidRPr="008A3126">
        <w:rPr>
          <w:b/>
        </w:rPr>
        <w:t>Consumer Adjusted Premium Rate</w:t>
      </w:r>
    </w:p>
    <w:p w14:paraId="36E7AE16" w14:textId="0C7C3DD9" w:rsidR="007878D5" w:rsidRDefault="00D835E4" w:rsidP="00D835E4">
      <w:pPr>
        <w:pStyle w:val="ListParagraph"/>
        <w:keepNext/>
        <w:spacing w:after="0"/>
        <w:ind w:left="0"/>
      </w:pPr>
      <w:r w:rsidRPr="008A3126">
        <w:t xml:space="preserve">The Consumer Adjusted Premium Rate is the final premium rate for a plan that is charged to an individual, family, or small employer group </w:t>
      </w:r>
      <w:r w:rsidR="00D83EA9">
        <w:t>after applying</w:t>
      </w:r>
      <w:r w:rsidRPr="008A3126">
        <w:t xml:space="preserve"> the rating and premium adjustments in the applicable Market Reform Rating Rules.  The Consumer Adjusted Premium Rate is developed by calibrating the Plan Adjusted Index Rate to the age curve as described above, calibrating for geography if necessary, and applying the allowable rating factors</w:t>
      </w:r>
      <w:r w:rsidR="00D83EA9">
        <w:rPr>
          <w:rStyle w:val="FootnoteReference"/>
        </w:rPr>
        <w:footnoteReference w:id="7"/>
      </w:r>
      <w:r w:rsidRPr="008A3126">
        <w:t>. Allowable rating factors</w:t>
      </w:r>
      <w:r w:rsidR="004D07CD">
        <w:t xml:space="preserve">, </w:t>
      </w:r>
      <w:r w:rsidR="007878D5">
        <w:t>found in 45 CFR 147.102</w:t>
      </w:r>
      <w:r w:rsidR="006316F0">
        <w:t>(a)</w:t>
      </w:r>
      <w:r w:rsidR="007878D5">
        <w:t>, are as follows:</w:t>
      </w:r>
    </w:p>
    <w:p w14:paraId="5956E06C" w14:textId="25C31B3C" w:rsidR="00E20519" w:rsidRPr="002E4B5D" w:rsidRDefault="00E20519" w:rsidP="009D2B17">
      <w:pPr>
        <w:pStyle w:val="ListParagraph"/>
        <w:numPr>
          <w:ilvl w:val="0"/>
          <w:numId w:val="48"/>
        </w:numPr>
        <w:rPr>
          <w:rFonts w:ascii="Calibri" w:hAnsi="Calibri"/>
          <w:b/>
          <w:bCs/>
        </w:rPr>
      </w:pPr>
      <w:r w:rsidRPr="008A3126">
        <w:rPr>
          <w:u w:val="single"/>
        </w:rPr>
        <w:t>Family Structure</w:t>
      </w:r>
      <w:r w:rsidRPr="008A3126">
        <w:t xml:space="preserve">:  Family structure takes into account family composition and the maximum of </w:t>
      </w:r>
      <w:r>
        <w:t>three</w:t>
      </w:r>
      <w:r w:rsidRPr="008A3126">
        <w:t xml:space="preserve"> </w:t>
      </w:r>
      <w:r w:rsidR="003E13EC">
        <w:t xml:space="preserve">under age 21 </w:t>
      </w:r>
      <w:r w:rsidRPr="008A3126">
        <w:t xml:space="preserve">child dependents. </w:t>
      </w:r>
      <w:r w:rsidR="004D07CD">
        <w:t>T</w:t>
      </w:r>
      <w:r w:rsidRPr="00674068">
        <w:t>he premium for family coverage is determined by summing the premiums for each individual family member, provided at most three c</w:t>
      </w:r>
      <w:r w:rsidRPr="008A3126">
        <w:t xml:space="preserve">hild dependents under age 21 are taken into account; this adjustment does not result in a separate rating factor. Family </w:t>
      </w:r>
      <w:proofErr w:type="spellStart"/>
      <w:r w:rsidRPr="008A3126">
        <w:t>tiering</w:t>
      </w:r>
      <w:proofErr w:type="spellEnd"/>
      <w:r w:rsidRPr="008A3126">
        <w:t xml:space="preserve"> only occurs in states that use pure community rating and </w:t>
      </w:r>
      <w:r>
        <w:t>is</w:t>
      </w:r>
      <w:r w:rsidRPr="008A3126">
        <w:t xml:space="preserve"> uniformly applied to all plans in the risk pool (and published to the cciio.cms.gov website).</w:t>
      </w:r>
    </w:p>
    <w:p w14:paraId="620E842C" w14:textId="24ED3050" w:rsidR="003B2172" w:rsidRPr="008A3126" w:rsidRDefault="002E4B5D" w:rsidP="009D2B17">
      <w:pPr>
        <w:pStyle w:val="ListParagraph"/>
        <w:numPr>
          <w:ilvl w:val="0"/>
          <w:numId w:val="48"/>
        </w:numPr>
      </w:pPr>
      <w:r>
        <w:rPr>
          <w:u w:val="single"/>
        </w:rPr>
        <w:t>Rating Area</w:t>
      </w:r>
      <w:r w:rsidRPr="008A3126">
        <w:t>:</w:t>
      </w:r>
      <w:r w:rsidR="003B2172">
        <w:t xml:space="preserve"> </w:t>
      </w:r>
      <w:r w:rsidRPr="008A3126">
        <w:t xml:space="preserve"> Geographic rating areas are set specific to each state and all issuers in the state are required to follow them</w:t>
      </w:r>
      <w:r w:rsidR="004D07CD">
        <w:t>.  Issuers</w:t>
      </w:r>
      <w:r w:rsidRPr="008A3126">
        <w:t xml:space="preserve"> may only set one rating factor per rating area per state per market and that factor </w:t>
      </w:r>
      <w:r w:rsidR="00FD3303">
        <w:t>must apply</w:t>
      </w:r>
      <w:r w:rsidRPr="008A3126">
        <w:t xml:space="preserve"> uniformly to all plans the issuer has in that rating area. If an issuer has multiple networks within a given rating area and wants to develop premiums specific for each network, the issuer must have a separate plan for each network in the rating area. Geographic factors should only reflect differences in the cost of delivery (which can include both unit cost and provider practice pattern differences). Geographic factors may </w:t>
      </w:r>
      <w:r w:rsidR="003B2172" w:rsidRPr="003B2172">
        <w:rPr>
          <w:b/>
        </w:rPr>
        <w:t>not</w:t>
      </w:r>
      <w:r w:rsidRPr="008A3126">
        <w:t xml:space="preserve"> reflect differences in morbidity by region.</w:t>
      </w:r>
    </w:p>
    <w:p w14:paraId="1757D533" w14:textId="0F83C345" w:rsidR="003B2172" w:rsidRPr="00E717E2" w:rsidRDefault="003B2172" w:rsidP="009D2B17">
      <w:pPr>
        <w:pStyle w:val="ListParagraph"/>
        <w:numPr>
          <w:ilvl w:val="0"/>
          <w:numId w:val="48"/>
        </w:numPr>
      </w:pPr>
      <w:r w:rsidRPr="008A3126">
        <w:rPr>
          <w:u w:val="single"/>
        </w:rPr>
        <w:t>Age Factor</w:t>
      </w:r>
      <w:r w:rsidRPr="008676E4">
        <w:t>:</w:t>
      </w:r>
      <w:r w:rsidRPr="008A3126">
        <w:t xml:space="preserve">  </w:t>
      </w:r>
      <w:r w:rsidRPr="00E717E2">
        <w:t xml:space="preserve">Once the Plan Adjusted Index Rate is calibrated to the age curve using the weighted average age, the entire set of age rates is determined using the standard age factor of each age relative to the standard age factor for the rounded weighted average age. The age factors must be the standard age curve set by HHS or a state specific age curve (if the state requires different age factors than the standard </w:t>
      </w:r>
      <w:r>
        <w:t>Federal</w:t>
      </w:r>
      <w:r w:rsidRPr="00E717E2">
        <w:t xml:space="preserve"> age curve).</w:t>
      </w:r>
    </w:p>
    <w:p w14:paraId="00864740" w14:textId="73E32887" w:rsidR="002E4B5D" w:rsidRPr="003B2172" w:rsidRDefault="008676E4" w:rsidP="009D2B17">
      <w:pPr>
        <w:pStyle w:val="ListParagraph"/>
        <w:numPr>
          <w:ilvl w:val="0"/>
          <w:numId w:val="48"/>
        </w:numPr>
        <w:rPr>
          <w:rFonts w:ascii="Calibri" w:hAnsi="Calibri"/>
          <w:b/>
          <w:bCs/>
        </w:rPr>
      </w:pPr>
      <w:r>
        <w:rPr>
          <w:rFonts w:ascii="Calibri" w:hAnsi="Calibri"/>
          <w:bCs/>
          <w:u w:val="single"/>
        </w:rPr>
        <w:t>Tobacco Use</w:t>
      </w:r>
      <w:r w:rsidRPr="008676E4">
        <w:rPr>
          <w:rFonts w:ascii="Calibri" w:hAnsi="Calibri"/>
          <w:bCs/>
        </w:rPr>
        <w:t>:</w:t>
      </w:r>
      <w:r>
        <w:rPr>
          <w:rFonts w:ascii="Calibri" w:hAnsi="Calibri"/>
          <w:bCs/>
        </w:rPr>
        <w:t xml:space="preserve">  </w:t>
      </w:r>
      <w:r w:rsidR="00C62849">
        <w:rPr>
          <w:rFonts w:ascii="Calibri" w:hAnsi="Calibri"/>
          <w:bCs/>
        </w:rPr>
        <w:t>A tobacco use surcharge (limited to 50% of the Plan Adjusted Index Rate) may be applied to individuals who may legally use tobacco under Federal and State law.</w:t>
      </w:r>
    </w:p>
    <w:p w14:paraId="18A44F35" w14:textId="0158DB58" w:rsidR="00D835E4" w:rsidRPr="008A3126" w:rsidRDefault="00D835E4" w:rsidP="00D835E4">
      <w:pPr>
        <w:pStyle w:val="ListParagraph"/>
      </w:pPr>
    </w:p>
    <w:p w14:paraId="00915787" w14:textId="297B4054" w:rsidR="009B7D7B" w:rsidRDefault="009B7D7B" w:rsidP="009B7D7B">
      <w:pPr>
        <w:pStyle w:val="BodyText"/>
        <w:keepNext/>
        <w:rPr>
          <w:rFonts w:ascii="Calibri" w:hAnsi="Calibri"/>
          <w:b/>
          <w:bCs/>
          <w:noProof/>
        </w:rPr>
      </w:pPr>
      <w:r>
        <w:t>The following graphic depicts the flow of the index rate development process:</w:t>
      </w:r>
      <w:r w:rsidRPr="008B29E3" w:rsidDel="00FD0FF0">
        <w:rPr>
          <w:rFonts w:ascii="Calibri" w:hAnsi="Calibri"/>
          <w:b/>
          <w:bCs/>
          <w:noProof/>
        </w:rPr>
        <w:t xml:space="preserve"> </w:t>
      </w:r>
    </w:p>
    <w:p w14:paraId="62D791C2" w14:textId="45FD1E7C" w:rsidR="009B7D7B" w:rsidRPr="009B7D7B" w:rsidRDefault="009B7D7B" w:rsidP="009B7D7B">
      <w:pPr>
        <w:rPr>
          <w:rFonts w:ascii="Calibri" w:hAnsi="Calibri"/>
          <w:b/>
          <w:bCs/>
        </w:rPr>
      </w:pPr>
      <w:r>
        <w:rPr>
          <w:noProof/>
        </w:rPr>
        <w:drawing>
          <wp:inline distT="0" distB="0" distL="0" distR="0" wp14:anchorId="50CC82DE" wp14:editId="4CE74622">
            <wp:extent cx="5944235" cy="676910"/>
            <wp:effectExtent l="0" t="0" r="0" b="8890"/>
            <wp:docPr id="2" name="Picture 2" descr="The issuer develops the Experience Period Index Rate from the experience of the Single Risk Pool.&#10;The issuer develops the Projected Index Rate applying the applicable adjustments to the Experience Period Index Rate. &#10;The issuer develops the Market Adjusted Index Rate by applying the allowable Market Level Adjustments to the Index Rate.&#10;The issuer develops the Plan Adjusted Index Rate by applying the allowable Plan Level Adjustments to the Market Adjusted Index Rate.&#10;The issuer develops the Consumer Adjusted Index Rates by applying the allowable calibrations and allowable Consumer Level Adjustments to the Plan Adjusted Index Rate." title="Index Rate Development Proc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4235" cy="676910"/>
                    </a:xfrm>
                    <a:prstGeom prst="rect">
                      <a:avLst/>
                    </a:prstGeom>
                    <a:noFill/>
                  </pic:spPr>
                </pic:pic>
              </a:graphicData>
            </a:graphic>
          </wp:inline>
        </w:drawing>
      </w:r>
    </w:p>
    <w:p w14:paraId="02FFB6C5" w14:textId="4CC73D00" w:rsidR="00E546E9" w:rsidRDefault="00883230" w:rsidP="008E5B0B">
      <w:pPr>
        <w:pStyle w:val="Heading1"/>
      </w:pPr>
      <w:bookmarkStart w:id="139" w:name="_Toc411866076"/>
      <w:bookmarkStart w:id="140" w:name="_Toc411866594"/>
      <w:bookmarkStart w:id="141" w:name="_Toc412032772"/>
      <w:bookmarkStart w:id="142" w:name="_Toc411936244"/>
      <w:bookmarkStart w:id="143" w:name="_Toc412287654"/>
      <w:bookmarkStart w:id="144" w:name="_Toc441756498"/>
      <w:r>
        <w:t xml:space="preserve">Part 1: </w:t>
      </w:r>
      <w:r w:rsidR="00E546E9" w:rsidRPr="009B290A">
        <w:t>Unified Rate Review Template</w:t>
      </w:r>
      <w:bookmarkEnd w:id="139"/>
      <w:bookmarkEnd w:id="140"/>
      <w:bookmarkEnd w:id="141"/>
      <w:bookmarkEnd w:id="142"/>
      <w:bookmarkEnd w:id="143"/>
      <w:bookmarkEnd w:id="144"/>
    </w:p>
    <w:p w14:paraId="04AAD994" w14:textId="543D5E39" w:rsidR="00CA39EA" w:rsidRDefault="009A70B2" w:rsidP="008704B7">
      <w:pPr>
        <w:pStyle w:val="BodyText"/>
        <w:keepNext/>
      </w:pPr>
      <w:r>
        <w:t xml:space="preserve">The Unified Rate Review Template (URRT) is intended to help regulators review </w:t>
      </w:r>
      <w:r w:rsidR="00621F83">
        <w:t xml:space="preserve">rates for </w:t>
      </w:r>
      <w:r>
        <w:t>single</w:t>
      </w:r>
      <w:r w:rsidR="00FD3303">
        <w:t xml:space="preserve"> </w:t>
      </w:r>
      <w:r>
        <w:t xml:space="preserve">risk pool </w:t>
      </w:r>
      <w:r w:rsidR="004D07CD">
        <w:t>plans for compliance with the Affordable Care Act</w:t>
      </w:r>
      <w:r w:rsidR="006E4431">
        <w:t xml:space="preserve"> and to determine whether proposed rate increases subject to review are unreasonable</w:t>
      </w:r>
      <w:r w:rsidR="004D07CD">
        <w:t xml:space="preserve">. The URRT also </w:t>
      </w:r>
      <w:r w:rsidR="0030049A">
        <w:t>collect</w:t>
      </w:r>
      <w:r w:rsidR="004D07CD">
        <w:t>s</w:t>
      </w:r>
      <w:r w:rsidR="0030049A">
        <w:t xml:space="preserve"> data from issuers</w:t>
      </w:r>
      <w:r w:rsidR="00274BAA">
        <w:t xml:space="preserve"> </w:t>
      </w:r>
      <w:r w:rsidR="004D07CD">
        <w:t xml:space="preserve">so </w:t>
      </w:r>
      <w:r w:rsidR="00274BAA">
        <w:t xml:space="preserve">that CMS </w:t>
      </w:r>
      <w:r w:rsidR="004D07CD">
        <w:t>can</w:t>
      </w:r>
      <w:r w:rsidR="00274BAA">
        <w:t xml:space="preserve"> fulfill its duty</w:t>
      </w:r>
      <w:r w:rsidR="0030049A">
        <w:t xml:space="preserve"> </w:t>
      </w:r>
      <w:r>
        <w:t xml:space="preserve">to monitor </w:t>
      </w:r>
      <w:r w:rsidR="00DC1921">
        <w:t xml:space="preserve">premium </w:t>
      </w:r>
      <w:r w:rsidR="00274BAA">
        <w:t xml:space="preserve">increases in health insurance coverage.  </w:t>
      </w:r>
      <w:r w:rsidR="006E247D">
        <w:t xml:space="preserve">As proposed in the 2017 Payment Notice, this would include single risk pool plans that experience no rate changes, rate decreases, as well as rates for new single risk pool plans.  </w:t>
      </w:r>
      <w:r w:rsidR="00DC1921">
        <w:t>The weighted average</w:t>
      </w:r>
      <w:r w:rsidR="00E44096">
        <w:t xml:space="preserve"> product rate increase </w:t>
      </w:r>
      <w:r w:rsidR="00DC1921">
        <w:t xml:space="preserve">in the URRT </w:t>
      </w:r>
      <w:r w:rsidR="00CA39EA">
        <w:t xml:space="preserve">will </w:t>
      </w:r>
      <w:r w:rsidR="00FD3303">
        <w:t xml:space="preserve">display </w:t>
      </w:r>
      <w:r w:rsidR="00274BAA">
        <w:t>on the CMS website</w:t>
      </w:r>
      <w:r w:rsidR="00CA39EA">
        <w:t xml:space="preserve">, </w:t>
      </w:r>
      <w:r w:rsidR="00DC1921">
        <w:t>regardless of the size of the increase.  If a plan within a product has a rate increase of 10 percent or greater (i.e. t</w:t>
      </w:r>
      <w:r w:rsidR="00B04503">
        <w:t>h</w:t>
      </w:r>
      <w:r w:rsidR="00DC1921">
        <w:t xml:space="preserve">e product is subject to review), </w:t>
      </w:r>
      <w:r w:rsidR="00CA39EA">
        <w:t xml:space="preserve">HIOS </w:t>
      </w:r>
      <w:r w:rsidR="00DC1921">
        <w:t xml:space="preserve">will require the issuer </w:t>
      </w:r>
      <w:r w:rsidR="00CA39EA">
        <w:t xml:space="preserve">to </w:t>
      </w:r>
      <w:r w:rsidR="00DC1921">
        <w:t xml:space="preserve">enter a written description of </w:t>
      </w:r>
      <w:r w:rsidR="00274BAA">
        <w:t xml:space="preserve">justifying the </w:t>
      </w:r>
      <w:r w:rsidR="00DC1921">
        <w:t xml:space="preserve">product </w:t>
      </w:r>
      <w:r w:rsidR="00274BAA">
        <w:t>rate increase.</w:t>
      </w:r>
      <w:r w:rsidR="00B04503">
        <w:t xml:space="preserve">  The written justification will also be displayed on the CMS website.</w:t>
      </w:r>
    </w:p>
    <w:p w14:paraId="271342BD" w14:textId="2964F2B0" w:rsidR="008704B7" w:rsidRDefault="007170CC" w:rsidP="008704B7">
      <w:pPr>
        <w:pStyle w:val="BodyText"/>
        <w:keepNext/>
      </w:pPr>
      <w:r>
        <w:rPr>
          <w:noProof/>
        </w:rPr>
        <mc:AlternateContent>
          <mc:Choice Requires="wps">
            <w:drawing>
              <wp:anchor distT="228600" distB="228600" distL="228600" distR="228600" simplePos="0" relativeHeight="251652608" behindDoc="1" locked="0" layoutInCell="1" allowOverlap="1" wp14:anchorId="63069819" wp14:editId="7B3F4FF8">
                <wp:simplePos x="0" y="0"/>
                <wp:positionH relativeFrom="margin">
                  <wp:posOffset>0</wp:posOffset>
                </wp:positionH>
                <wp:positionV relativeFrom="margin">
                  <wp:posOffset>2413406</wp:posOffset>
                </wp:positionV>
                <wp:extent cx="2654935" cy="1367790"/>
                <wp:effectExtent l="0" t="0" r="0" b="3810"/>
                <wp:wrapSquare wrapText="bothSides"/>
                <wp:docPr id="8" name="Text Box 8"/>
                <wp:cNvGraphicFramePr/>
                <a:graphic xmlns:a="http://schemas.openxmlformats.org/drawingml/2006/main">
                  <a:graphicData uri="http://schemas.microsoft.com/office/word/2010/wordprocessingShape">
                    <wps:wsp>
                      <wps:cNvSpPr txBox="1"/>
                      <wps:spPr>
                        <a:xfrm>
                          <a:off x="0" y="0"/>
                          <a:ext cx="2654935" cy="1367790"/>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3B845EEC" w14:textId="61D7BB2B" w:rsidR="00634A44" w:rsidRPr="00B616D2" w:rsidRDefault="00634A44" w:rsidP="00274BAA">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Make sure information entered into the URRT is correct.  Information submitted in the URRT will determine the requested rate increase shown on the CMS website.</w:t>
                            </w:r>
                          </w:p>
                          <w:sdt>
                            <w:sdtPr>
                              <w:rPr>
                                <w:color w:val="1F497D" w:themeColor="text2"/>
                                <w:sz w:val="18"/>
                                <w:szCs w:val="18"/>
                              </w:rPr>
                              <w:id w:val="-969046519"/>
                              <w:temporary/>
                              <w:showingPlcHdr/>
                              <w:text w:multiLine="1"/>
                            </w:sdtPr>
                            <w:sdtEndPr/>
                            <w:sdtContent>
                              <w:p w14:paraId="603A63B7" w14:textId="77777777" w:rsidR="00634A44" w:rsidRDefault="00634A44" w:rsidP="00274BAA">
                                <w:pPr>
                                  <w:pStyle w:val="NoSpacing"/>
                                  <w:jc w:val="center"/>
                                  <w:rPr>
                                    <w:color w:val="1F497D" w:themeColor="text2"/>
                                    <w:sz w:val="18"/>
                                    <w:szCs w:val="18"/>
                                  </w:rPr>
                                </w:pPr>
                                <w:r>
                                  <w:rPr>
                                    <w:color w:val="1F497D"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069819" id="Text Box 8" o:spid="_x0000_s1032" type="#_x0000_t202" style="position:absolute;margin-left:0;margin-top:190.05pt;width:209.05pt;height:107.7pt;z-index:-25166387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" fillcolor="#efede3 [2899]" stroked="f" strokeweight=".5pt">
                <v:fill color2="#eae7d9 [3139]" rotate="t" focusposition=".5,.5" focussize="-.5,-.5" focus="100%" type="gradientRadial"/>
                <v:textbox inset="14.4pt,14.4pt,14.4pt,14.4pt">
                  <w:txbxContent>
                    <w:p w14:paraId="3B845EEC" w14:textId="61D7BB2B" w:rsidR="00634A44" w:rsidRPr="00B616D2" w:rsidRDefault="00634A44" w:rsidP="00274BAA">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Make sure information entered into the URRT is correct.  Information submitted in the URRT will determine the requested rate increase shown on the CMS website.</w:t>
                      </w:r>
                    </w:p>
                    <w:sdt>
                      <w:sdtPr>
                        <w:rPr>
                          <w:color w:val="1F497D" w:themeColor="text2"/>
                          <w:sz w:val="18"/>
                          <w:szCs w:val="18"/>
                        </w:rPr>
                        <w:id w:val="-969046519"/>
                        <w:temporary/>
                        <w:showingPlcHdr/>
                        <w:text w:multiLine="1"/>
                      </w:sdtPr>
                      <w:sdtContent>
                        <w:p w14:paraId="603A63B7" w14:textId="77777777" w:rsidR="00634A44" w:rsidRDefault="00634A44" w:rsidP="00274BAA">
                          <w:pPr>
                            <w:pStyle w:val="NoSpacing"/>
                            <w:jc w:val="center"/>
                            <w:rPr>
                              <w:color w:val="1F497D" w:themeColor="text2"/>
                              <w:sz w:val="18"/>
                              <w:szCs w:val="18"/>
                            </w:rPr>
                          </w:pPr>
                          <w:r>
                            <w:rPr>
                              <w:color w:val="1F497D" w:themeColor="text2"/>
                              <w:sz w:val="18"/>
                              <w:szCs w:val="18"/>
                            </w:rPr>
                            <w:t>[Cite your source here.]</w:t>
                          </w:r>
                        </w:p>
                      </w:sdtContent>
                    </w:sdt>
                  </w:txbxContent>
                </v:textbox>
                <w10:wrap type="square" anchorx="margin" anchory="margin"/>
              </v:shape>
            </w:pict>
          </mc:Fallback>
        </mc:AlternateContent>
      </w:r>
      <w:r w:rsidR="008704B7" w:rsidRPr="00674068">
        <w:t xml:space="preserve">It is critically important that </w:t>
      </w:r>
      <w:r w:rsidR="008704B7">
        <w:t xml:space="preserve">issuers provide accurate and complete </w:t>
      </w:r>
      <w:r w:rsidR="008704B7" w:rsidRPr="00674068">
        <w:t xml:space="preserve">information </w:t>
      </w:r>
      <w:r w:rsidR="008704B7">
        <w:t>in the URR</w:t>
      </w:r>
      <w:r w:rsidR="00BD327D">
        <w:t>T</w:t>
      </w:r>
      <w:r w:rsidR="008704B7">
        <w:t>.</w:t>
      </w:r>
      <w:r w:rsidR="008704B7" w:rsidRPr="00674068">
        <w:t xml:space="preserve"> Failure to </w:t>
      </w:r>
      <w:r w:rsidR="008704B7" w:rsidRPr="008A3126">
        <w:t xml:space="preserve">provide accurate information in the first submission increases the likelihood </w:t>
      </w:r>
      <w:r w:rsidR="008704B7">
        <w:t>that s</w:t>
      </w:r>
      <w:r w:rsidR="008704B7" w:rsidRPr="008A3126">
        <w:t xml:space="preserve">tate or </w:t>
      </w:r>
      <w:r w:rsidR="008704B7">
        <w:t>f</w:t>
      </w:r>
      <w:r w:rsidR="008704B7" w:rsidRPr="008A3126">
        <w:t xml:space="preserve">ederal regulators </w:t>
      </w:r>
      <w:r w:rsidR="008704B7">
        <w:t xml:space="preserve">will need to request </w:t>
      </w:r>
      <w:r w:rsidR="008704B7" w:rsidRPr="008A3126">
        <w:t xml:space="preserve">additional </w:t>
      </w:r>
      <w:r w:rsidR="008704B7">
        <w:t>information</w:t>
      </w:r>
      <w:r w:rsidR="008704B7" w:rsidRPr="008A3126">
        <w:t xml:space="preserve">. Issuers </w:t>
      </w:r>
      <w:r w:rsidR="008704B7">
        <w:t>must</w:t>
      </w:r>
      <w:r w:rsidR="008704B7" w:rsidRPr="008A3126">
        <w:t xml:space="preserve"> respond </w:t>
      </w:r>
      <w:r w:rsidR="008704B7">
        <w:t xml:space="preserve">promptly </w:t>
      </w:r>
      <w:r w:rsidR="008704B7" w:rsidRPr="008A3126">
        <w:t>to all question</w:t>
      </w:r>
      <w:r w:rsidR="00BD327D">
        <w:t>s</w:t>
      </w:r>
      <w:r w:rsidR="008704B7">
        <w:t xml:space="preserve"> from the applicable regulator</w:t>
      </w:r>
      <w:r w:rsidR="00257889">
        <w:t>(s)</w:t>
      </w:r>
      <w:r w:rsidR="008704B7" w:rsidRPr="008A3126">
        <w:t>. Failure to provide information on a timely basis or failure</w:t>
      </w:r>
      <w:r w:rsidR="008704B7" w:rsidRPr="00674068">
        <w:t xml:space="preserve"> to provide accurate information </w:t>
      </w:r>
      <w:r w:rsidR="008704B7">
        <w:t xml:space="preserve">slows the review process and </w:t>
      </w:r>
      <w:r w:rsidR="008704B7" w:rsidRPr="00674068">
        <w:t xml:space="preserve">puts </w:t>
      </w:r>
      <w:r w:rsidR="008704B7" w:rsidRPr="008A3126">
        <w:t xml:space="preserve">issuers </w:t>
      </w:r>
      <w:r w:rsidR="008704B7" w:rsidRPr="00674068">
        <w:t xml:space="preserve">at risk for </w:t>
      </w:r>
      <w:r w:rsidR="008704B7" w:rsidRPr="008A3126">
        <w:t xml:space="preserve">missing critical deadlines to offer products and plans </w:t>
      </w:r>
      <w:r w:rsidR="008704B7" w:rsidRPr="00674068">
        <w:t xml:space="preserve">in the </w:t>
      </w:r>
      <w:r w:rsidR="008704B7" w:rsidRPr="008A3126">
        <w:t xml:space="preserve">individual and small group </w:t>
      </w:r>
      <w:r w:rsidR="008704B7" w:rsidRPr="00674068">
        <w:t xml:space="preserve">markets. </w:t>
      </w:r>
    </w:p>
    <w:p w14:paraId="28F415B8" w14:textId="5AA261D6" w:rsidR="008704B7" w:rsidRDefault="007170CC" w:rsidP="008704B7">
      <w:pPr>
        <w:pStyle w:val="BodyText"/>
      </w:pPr>
      <w:r>
        <w:rPr>
          <w:noProof/>
        </w:rPr>
        <mc:AlternateContent>
          <mc:Choice Requires="wps">
            <w:drawing>
              <wp:anchor distT="228600" distB="228600" distL="228600" distR="228600" simplePos="0" relativeHeight="251665920" behindDoc="1" locked="0" layoutInCell="1" allowOverlap="1" wp14:anchorId="653B77B0" wp14:editId="6C101D09">
                <wp:simplePos x="0" y="0"/>
                <wp:positionH relativeFrom="margin">
                  <wp:posOffset>3721405</wp:posOffset>
                </wp:positionH>
                <wp:positionV relativeFrom="margin">
                  <wp:posOffset>5420360</wp:posOffset>
                </wp:positionV>
                <wp:extent cx="2743200" cy="1403985"/>
                <wp:effectExtent l="0" t="0" r="0" b="5715"/>
                <wp:wrapSquare wrapText="bothSides"/>
                <wp:docPr id="14" name="Text Box 14"/>
                <wp:cNvGraphicFramePr/>
                <a:graphic xmlns:a="http://schemas.openxmlformats.org/drawingml/2006/main">
                  <a:graphicData uri="http://schemas.microsoft.com/office/word/2010/wordprocessingShape">
                    <wps:wsp>
                      <wps:cNvSpPr txBox="1"/>
                      <wps:spPr>
                        <a:xfrm>
                          <a:off x="0" y="0"/>
                          <a:ext cx="2743200" cy="140398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1826F1D4" w14:textId="30B85E39" w:rsidR="00634A44" w:rsidRPr="00B616D2" w:rsidRDefault="00634A44" w:rsidP="007170CC">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If copying and pasting values into the URRT, make sure pasted values are consistent with decimal place limits and formatting instructions found within the URRT cells.</w:t>
                            </w:r>
                          </w:p>
                          <w:sdt>
                            <w:sdtPr>
                              <w:rPr>
                                <w:color w:val="1F497D" w:themeColor="text2"/>
                                <w:sz w:val="18"/>
                                <w:szCs w:val="18"/>
                              </w:rPr>
                              <w:id w:val="263424743"/>
                              <w:temporary/>
                              <w:showingPlcHdr/>
                              <w:text w:multiLine="1"/>
                            </w:sdtPr>
                            <w:sdtEndPr/>
                            <w:sdtContent>
                              <w:p w14:paraId="29180BA3" w14:textId="77777777" w:rsidR="00634A44" w:rsidRDefault="00634A44" w:rsidP="007170CC">
                                <w:pPr>
                                  <w:pStyle w:val="NoSpacing"/>
                                  <w:jc w:val="center"/>
                                  <w:rPr>
                                    <w:color w:val="1F497D" w:themeColor="text2"/>
                                    <w:sz w:val="18"/>
                                    <w:szCs w:val="18"/>
                                  </w:rPr>
                                </w:pPr>
                                <w:r>
                                  <w:rPr>
                                    <w:color w:val="1F497D"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3B77B0" id="Text Box 14" o:spid="_x0000_s1033" type="#_x0000_t202" style="position:absolute;margin-left:293pt;margin-top:426.8pt;width:3in;height:110.55pt;z-index:-251650560;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" fillcolor="#efede3 [2899]" stroked="f" strokeweight=".5pt">
                <v:fill color2="#eae7d9 [3139]" rotate="t" focusposition=".5,.5" focussize="-.5,-.5" focus="100%" type="gradientRadial"/>
                <v:textbox inset="14.4pt,14.4pt,14.4pt,14.4pt">
                  <w:txbxContent>
                    <w:p w14:paraId="1826F1D4" w14:textId="30B85E39" w:rsidR="00634A44" w:rsidRPr="00B616D2" w:rsidRDefault="00634A44" w:rsidP="007170CC">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If copying and pasting values into the URRT, make sure pasted values are consistent with decimal place limits and formatting instructions found within the URRT cells.</w:t>
                      </w:r>
                    </w:p>
                    <w:sdt>
                      <w:sdtPr>
                        <w:rPr>
                          <w:color w:val="1F497D" w:themeColor="text2"/>
                          <w:sz w:val="18"/>
                          <w:szCs w:val="18"/>
                        </w:rPr>
                        <w:id w:val="263424743"/>
                        <w:temporary/>
                        <w:showingPlcHdr/>
                        <w:text w:multiLine="1"/>
                      </w:sdtPr>
                      <w:sdtContent>
                        <w:p w14:paraId="29180BA3" w14:textId="77777777" w:rsidR="00634A44" w:rsidRDefault="00634A44" w:rsidP="007170CC">
                          <w:pPr>
                            <w:pStyle w:val="NoSpacing"/>
                            <w:jc w:val="center"/>
                            <w:rPr>
                              <w:color w:val="1F497D" w:themeColor="text2"/>
                              <w:sz w:val="18"/>
                              <w:szCs w:val="18"/>
                            </w:rPr>
                          </w:pPr>
                          <w:r>
                            <w:rPr>
                              <w:color w:val="1F497D" w:themeColor="text2"/>
                              <w:sz w:val="18"/>
                              <w:szCs w:val="18"/>
                            </w:rPr>
                            <w:t>[Cite your source here.]</w:t>
                          </w:r>
                        </w:p>
                      </w:sdtContent>
                    </w:sdt>
                  </w:txbxContent>
                </v:textbox>
                <w10:wrap type="square" anchorx="margin" anchory="margin"/>
              </v:shape>
            </w:pict>
          </mc:Fallback>
        </mc:AlternateContent>
      </w:r>
      <w:r w:rsidR="008704B7">
        <w:t>Note that</w:t>
      </w:r>
      <w:r w:rsidR="008704B7" w:rsidRPr="008A3126">
        <w:t xml:space="preserve"> if an issuer copies and pastes values into cells that </w:t>
      </w:r>
      <w:r w:rsidR="00991F1C">
        <w:t>exceed the correct number of decimal places for those cells</w:t>
      </w:r>
      <w:r w:rsidR="008704B7" w:rsidRPr="008A3126">
        <w:t xml:space="preserve">, the mismatch may cause validation or submission errors resulting in either </w:t>
      </w:r>
      <w:r w:rsidR="00033564">
        <w:t xml:space="preserve">rejected </w:t>
      </w:r>
      <w:r w:rsidR="008704B7" w:rsidRPr="008A3126">
        <w:t xml:space="preserve">submissions or requiring resubmissions at a later date. Issuers should verify </w:t>
      </w:r>
      <w:r w:rsidR="008704B7">
        <w:t xml:space="preserve">that </w:t>
      </w:r>
      <w:r w:rsidR="008704B7" w:rsidRPr="008A3126">
        <w:t xml:space="preserve">the data entered in the </w:t>
      </w:r>
      <w:r w:rsidR="00A16305">
        <w:t>URRT</w:t>
      </w:r>
      <w:r w:rsidR="008704B7" w:rsidRPr="008A3126">
        <w:t xml:space="preserve"> is consistent with </w:t>
      </w:r>
      <w:r w:rsidR="00991F1C">
        <w:t xml:space="preserve">decimal place limits </w:t>
      </w:r>
      <w:r w:rsidR="008704B7" w:rsidRPr="008A3126">
        <w:t xml:space="preserve">and instructions to avoid delays in the </w:t>
      </w:r>
      <w:r w:rsidR="00621F83">
        <w:t>review</w:t>
      </w:r>
      <w:r w:rsidR="00621F83" w:rsidRPr="008A3126">
        <w:t xml:space="preserve"> </w:t>
      </w:r>
      <w:r w:rsidR="008704B7" w:rsidRPr="008A3126">
        <w:t xml:space="preserve">process. </w:t>
      </w:r>
    </w:p>
    <w:p w14:paraId="36F20225" w14:textId="2205756B" w:rsidR="008704B7" w:rsidRPr="008704B7" w:rsidRDefault="008704B7" w:rsidP="008E5B0B">
      <w:pPr>
        <w:pStyle w:val="BodyText"/>
      </w:pPr>
      <w:r w:rsidRPr="008A3126">
        <w:t>Under no circumstances should issuers attempt to overwrite protected cells. For example, the totals in column F of Worksheet 2 are protected and calculated by formula. Issuers should not attempt to overwrite the values calculated by the template. Any overwriting of the workbook’s protection is likely to result in delays and resubmissions.</w:t>
      </w:r>
    </w:p>
    <w:p w14:paraId="7D491829" w14:textId="5F83738E" w:rsidR="00D835E4" w:rsidRPr="008A3126" w:rsidRDefault="00D835E4" w:rsidP="008E5B0B">
      <w:pPr>
        <w:pStyle w:val="Heading2"/>
      </w:pPr>
      <w:bookmarkStart w:id="145" w:name="_Toc411606268"/>
      <w:bookmarkStart w:id="146" w:name="_Toc411606269"/>
      <w:bookmarkStart w:id="147" w:name="_Toc410468923"/>
      <w:bookmarkStart w:id="148" w:name="_Toc410468974"/>
      <w:bookmarkStart w:id="149" w:name="_Toc410469482"/>
      <w:bookmarkStart w:id="150" w:name="_Toc410469609"/>
      <w:bookmarkStart w:id="151" w:name="_Toc410469898"/>
      <w:bookmarkStart w:id="152" w:name="_Toc410469964"/>
      <w:bookmarkStart w:id="153" w:name="_Toc410470105"/>
      <w:bookmarkStart w:id="154" w:name="_Toc410587496"/>
      <w:bookmarkStart w:id="155" w:name="_Toc410588288"/>
      <w:bookmarkStart w:id="156" w:name="_Toc410588370"/>
      <w:bookmarkStart w:id="157" w:name="_Toc410588596"/>
      <w:bookmarkStart w:id="158" w:name="_Toc410588804"/>
      <w:bookmarkStart w:id="159" w:name="_Toc410637582"/>
      <w:bookmarkStart w:id="160" w:name="_Toc410637718"/>
      <w:bookmarkStart w:id="161" w:name="_Toc410637827"/>
      <w:bookmarkStart w:id="162" w:name="_Toc410468924"/>
      <w:bookmarkStart w:id="163" w:name="_Toc410525279"/>
      <w:bookmarkStart w:id="164" w:name="_Toc410525367"/>
      <w:bookmarkStart w:id="165" w:name="_Toc410588805"/>
      <w:bookmarkStart w:id="166" w:name="_Toc411866077"/>
      <w:bookmarkStart w:id="167" w:name="_Toc411866595"/>
      <w:bookmarkStart w:id="168" w:name="_Toc412032773"/>
      <w:bookmarkStart w:id="169" w:name="_Toc411936245"/>
      <w:bookmarkStart w:id="170" w:name="_Toc412287655"/>
      <w:bookmarkStart w:id="171" w:name="_Toc441756499"/>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r w:rsidRPr="008A3126">
        <w:t>Worksheet 1 – Market Experience</w:t>
      </w:r>
      <w:bookmarkEnd w:id="162"/>
      <w:bookmarkEnd w:id="163"/>
      <w:bookmarkEnd w:id="164"/>
      <w:bookmarkEnd w:id="165"/>
      <w:bookmarkEnd w:id="166"/>
      <w:bookmarkEnd w:id="167"/>
      <w:bookmarkEnd w:id="168"/>
      <w:bookmarkEnd w:id="169"/>
      <w:bookmarkEnd w:id="170"/>
      <w:bookmarkEnd w:id="171"/>
    </w:p>
    <w:p w14:paraId="7830CB1C" w14:textId="77E68B9E" w:rsidR="00D835E4" w:rsidRPr="008A3126" w:rsidRDefault="00D835E4" w:rsidP="00D835E4">
      <w:r w:rsidRPr="00674068">
        <w:t>The purpose of Worksheet 1</w:t>
      </w:r>
      <w:r w:rsidRPr="008A3126">
        <w:t xml:space="preserve"> of the URRT</w:t>
      </w:r>
      <w:r w:rsidRPr="00674068">
        <w:t xml:space="preserve"> is to capture information </w:t>
      </w:r>
      <w:r w:rsidRPr="008A3126">
        <w:t xml:space="preserve">at the market level for non-grandfathered </w:t>
      </w:r>
      <w:r w:rsidR="00621F83">
        <w:t xml:space="preserve">individual and small group (or combined) </w:t>
      </w:r>
      <w:r w:rsidRPr="008A3126">
        <w:t>products, consistent with the requirement to set premium rates using a single risk pool, as defined in 45 CFR 156.80. The worksheet is not intended to prescribe a rate development methodology. Rather, the worksheet captures experience period data and key assumptions consistent with those used in the development of the proposed premium rate increases. The worksheet uses the data to show that the average gross premium rate complies with the requirements of the single risk pool, and reports the total and annualized change in the gross premium relative to the experience period. These calculated changes in the average premium are not equal to the average rate increase of the pool, but rather provide information on how the average gross premiums have changed over time. There are four sections in this worksheet.</w:t>
      </w:r>
    </w:p>
    <w:p w14:paraId="02ECF8DF" w14:textId="554C0172" w:rsidR="00D835E4" w:rsidRPr="008A3126" w:rsidRDefault="00D835E4" w:rsidP="009D2B17">
      <w:pPr>
        <w:pStyle w:val="ListParagraph"/>
        <w:numPr>
          <w:ilvl w:val="0"/>
          <w:numId w:val="28"/>
        </w:numPr>
      </w:pPr>
      <w:r w:rsidRPr="00E717E2">
        <w:rPr>
          <w:u w:val="single"/>
        </w:rPr>
        <w:t xml:space="preserve">General Information </w:t>
      </w:r>
      <w:r w:rsidRPr="008A3126">
        <w:rPr>
          <w:u w:val="single"/>
        </w:rPr>
        <w:t>Section</w:t>
      </w:r>
      <w:r w:rsidRPr="008A3126">
        <w:t xml:space="preserve"> -</w:t>
      </w:r>
      <w:r w:rsidRPr="00674068">
        <w:t xml:space="preserve"> captures information about the issuer</w:t>
      </w:r>
      <w:r w:rsidRPr="008A3126">
        <w:t>, state and the health insurance market to which the proposed rate</w:t>
      </w:r>
      <w:r w:rsidR="00991F1C">
        <w:t xml:space="preserve"> changes</w:t>
      </w:r>
      <w:r w:rsidRPr="008A3126">
        <w:t xml:space="preserve"> will apply.</w:t>
      </w:r>
      <w:r w:rsidR="00FA7996">
        <w:rPr>
          <w:rStyle w:val="FootnoteReference"/>
        </w:rPr>
        <w:footnoteReference w:id="8"/>
      </w:r>
      <w:r w:rsidRPr="008A3126">
        <w:t xml:space="preserve"> This information is displayed on </w:t>
      </w:r>
      <w:r w:rsidR="00991F1C">
        <w:t>both</w:t>
      </w:r>
      <w:r w:rsidRPr="008A3126">
        <w:t xml:space="preserve"> worksheets of the </w:t>
      </w:r>
      <w:r w:rsidR="00A16305">
        <w:t>URRT</w:t>
      </w:r>
      <w:r w:rsidRPr="008A3126">
        <w:t>.</w:t>
      </w:r>
    </w:p>
    <w:p w14:paraId="581434B0" w14:textId="57269230" w:rsidR="00D835E4" w:rsidRPr="008A3126" w:rsidRDefault="00D835E4" w:rsidP="009D2B17">
      <w:pPr>
        <w:pStyle w:val="ListParagraph"/>
        <w:numPr>
          <w:ilvl w:val="0"/>
          <w:numId w:val="28"/>
        </w:numPr>
      </w:pPr>
      <w:r w:rsidRPr="00E717E2">
        <w:rPr>
          <w:u w:val="single"/>
        </w:rPr>
        <w:t>Section I</w:t>
      </w:r>
      <w:r w:rsidRPr="008A3126">
        <w:t xml:space="preserve"> -</w:t>
      </w:r>
      <w:r w:rsidRPr="00674068">
        <w:t xml:space="preserve"> captures </w:t>
      </w:r>
      <w:r w:rsidRPr="008A3126">
        <w:t>summarized historical financial and enrollment information from a recent historical experience period.</w:t>
      </w:r>
    </w:p>
    <w:p w14:paraId="1A362E31" w14:textId="22319619" w:rsidR="00D835E4" w:rsidRPr="008A3126" w:rsidRDefault="00D835E4" w:rsidP="009D2B17">
      <w:pPr>
        <w:pStyle w:val="ListParagraph"/>
        <w:numPr>
          <w:ilvl w:val="0"/>
          <w:numId w:val="28"/>
        </w:numPr>
      </w:pPr>
      <w:r w:rsidRPr="00E717E2">
        <w:rPr>
          <w:u w:val="single"/>
        </w:rPr>
        <w:t>Section II</w:t>
      </w:r>
      <w:r w:rsidRPr="008A3126">
        <w:t xml:space="preserve"> -</w:t>
      </w:r>
      <w:r w:rsidRPr="00674068">
        <w:t xml:space="preserve"> captures historical claims experience </w:t>
      </w:r>
      <w:r w:rsidRPr="008A3126">
        <w:t xml:space="preserve">on a more granular level, along with the key assumptions employed to project the experience period information forward to the projection period of the effective date. </w:t>
      </w:r>
    </w:p>
    <w:p w14:paraId="2B96C7A6" w14:textId="0FB678C7" w:rsidR="00D835E4" w:rsidRPr="008A3126" w:rsidRDefault="00D835E4" w:rsidP="009D2B17">
      <w:pPr>
        <w:pStyle w:val="ListParagraph"/>
        <w:numPr>
          <w:ilvl w:val="0"/>
          <w:numId w:val="28"/>
        </w:numPr>
      </w:pPr>
      <w:r w:rsidRPr="00E717E2">
        <w:rPr>
          <w:u w:val="single"/>
        </w:rPr>
        <w:t>Section III</w:t>
      </w:r>
      <w:r w:rsidRPr="008A3126">
        <w:t xml:space="preserve"> -</w:t>
      </w:r>
      <w:r w:rsidRPr="00674068">
        <w:t xml:space="preserve"> displays the assumptions used to adjust the projected allowed claims to incurred claims at the average anticipated benefit level</w:t>
      </w:r>
      <w:r w:rsidRPr="008A3126">
        <w:t>. Administrative expense loads and risk/profit charge loads are also captured. Using this information, the average gross premium for the single risk pool is generated.</w:t>
      </w:r>
    </w:p>
    <w:p w14:paraId="5275E779" w14:textId="63E89B02" w:rsidR="00D835E4" w:rsidRPr="008A3126" w:rsidRDefault="00D835E4" w:rsidP="00926D0E">
      <w:pPr>
        <w:pStyle w:val="Heading3"/>
      </w:pPr>
      <w:bookmarkStart w:id="172" w:name="_Toc410468925"/>
      <w:bookmarkStart w:id="173" w:name="_Toc410525280"/>
      <w:bookmarkStart w:id="174" w:name="_Toc410525368"/>
      <w:bookmarkStart w:id="175" w:name="_Toc410588806"/>
      <w:bookmarkStart w:id="176" w:name="_Toc411866078"/>
      <w:bookmarkStart w:id="177" w:name="_Toc411866596"/>
      <w:bookmarkStart w:id="178" w:name="_Toc412032774"/>
      <w:bookmarkStart w:id="179" w:name="_Toc411936246"/>
      <w:bookmarkStart w:id="180" w:name="_Toc412287656"/>
      <w:bookmarkStart w:id="181" w:name="_Toc441756500"/>
      <w:r w:rsidRPr="008A3126">
        <w:t>General Information</w:t>
      </w:r>
      <w:bookmarkEnd w:id="172"/>
      <w:bookmarkEnd w:id="173"/>
      <w:bookmarkEnd w:id="174"/>
      <w:r w:rsidRPr="008A3126">
        <w:t xml:space="preserve"> Section</w:t>
      </w:r>
      <w:bookmarkEnd w:id="175"/>
      <w:bookmarkEnd w:id="176"/>
      <w:bookmarkEnd w:id="177"/>
      <w:bookmarkEnd w:id="178"/>
      <w:bookmarkEnd w:id="179"/>
      <w:bookmarkEnd w:id="180"/>
      <w:bookmarkEnd w:id="181"/>
    </w:p>
    <w:p w14:paraId="103DE154" w14:textId="7E9653E2" w:rsidR="00D835E4" w:rsidRPr="00674068" w:rsidRDefault="00D835E4" w:rsidP="00D835E4">
      <w:r w:rsidRPr="00674068">
        <w:rPr>
          <w:b/>
        </w:rPr>
        <w:t>Company Legal Name</w:t>
      </w:r>
      <w:r w:rsidRPr="00674068">
        <w:t xml:space="preserve">: Enter the organization’s legal entity name. </w:t>
      </w:r>
    </w:p>
    <w:p w14:paraId="30FA1B39" w14:textId="3B3217C4" w:rsidR="00D835E4" w:rsidRPr="008A3126" w:rsidRDefault="00D835E4" w:rsidP="00E43A86">
      <w:pPr>
        <w:ind w:left="720"/>
      </w:pPr>
      <w:r w:rsidRPr="008A3126">
        <w:t>The name entered in this cell must be the name that is associated with the HIOS Issuer ID.</w:t>
      </w:r>
    </w:p>
    <w:p w14:paraId="05F32D08" w14:textId="422D3140" w:rsidR="00D835E4" w:rsidRPr="008A3126" w:rsidRDefault="00D835E4" w:rsidP="00D835E4">
      <w:r w:rsidRPr="008A3126">
        <w:rPr>
          <w:b/>
        </w:rPr>
        <w:t>State:</w:t>
      </w:r>
      <w:r w:rsidRPr="008A3126">
        <w:t xml:space="preserve"> Enter the state that has regulatory authority over the policies. </w:t>
      </w:r>
      <w:r w:rsidR="001E4CE1">
        <w:t xml:space="preserve"> </w:t>
      </w:r>
      <w:r w:rsidR="00FA7996">
        <w:t>A</w:t>
      </w:r>
      <w:r w:rsidR="001E4CE1">
        <w:t xml:space="preserve"> </w:t>
      </w:r>
      <w:r w:rsidRPr="008A3126">
        <w:t xml:space="preserve">separate template must be completed for each state in which the issuer is </w:t>
      </w:r>
      <w:r w:rsidR="00EA7FFE">
        <w:t xml:space="preserve">offering single risk pool products in the individual or small group (or </w:t>
      </w:r>
      <w:r w:rsidR="00E22FBA">
        <w:t>combined</w:t>
      </w:r>
      <w:r w:rsidR="00EA7FFE">
        <w:t>)</w:t>
      </w:r>
      <w:r w:rsidR="00F04B02">
        <w:t xml:space="preserve"> market</w:t>
      </w:r>
      <w:r w:rsidRPr="008A3126">
        <w:t>.</w:t>
      </w:r>
    </w:p>
    <w:p w14:paraId="5D133EC8" w14:textId="74311A43" w:rsidR="00D835E4" w:rsidRPr="008A3126" w:rsidRDefault="00D835E4" w:rsidP="00D835E4">
      <w:r w:rsidRPr="008A3126">
        <w:rPr>
          <w:b/>
        </w:rPr>
        <w:t>HIOS Issuer ID</w:t>
      </w:r>
      <w:r w:rsidRPr="008A3126">
        <w:t>: Enter the HIOS ID assigned to the legal entity.</w:t>
      </w:r>
    </w:p>
    <w:p w14:paraId="465C654F" w14:textId="6196414A" w:rsidR="00D835E4" w:rsidRPr="008A3126" w:rsidRDefault="00D835E4" w:rsidP="00D835E4">
      <w:r w:rsidRPr="008A3126">
        <w:rPr>
          <w:b/>
        </w:rPr>
        <w:t>Market</w:t>
      </w:r>
      <w:r w:rsidRPr="008A3126">
        <w:t>: Select the applicable market from the drop-down box. Valid markets are Individual, Small Group, or Combined.</w:t>
      </w:r>
    </w:p>
    <w:p w14:paraId="61A75BB1" w14:textId="7609EAAC" w:rsidR="00D835E4" w:rsidRPr="008A3126" w:rsidRDefault="00D835E4" w:rsidP="00E43A86">
      <w:pPr>
        <w:ind w:left="720"/>
      </w:pPr>
      <w:r w:rsidRPr="008A3126">
        <w:t>The market chosen must be consistent with the state’s determination of their allowable markets (</w:t>
      </w:r>
      <w:r w:rsidR="00685DED">
        <w:t>i</w:t>
      </w:r>
      <w:r w:rsidRPr="008A3126">
        <w:t>.</w:t>
      </w:r>
      <w:r w:rsidR="00685DED">
        <w:t>e</w:t>
      </w:r>
      <w:r w:rsidRPr="008A3126">
        <w:t xml:space="preserve">. if a state </w:t>
      </w:r>
      <w:r w:rsidR="00685DED">
        <w:t>require</w:t>
      </w:r>
      <w:r w:rsidRPr="008A3126">
        <w:t xml:space="preserve">s </w:t>
      </w:r>
      <w:r w:rsidR="00685DED">
        <w:t xml:space="preserve">issuers </w:t>
      </w:r>
      <w:r w:rsidRPr="008A3126">
        <w:t>to merge the individual and small group market</w:t>
      </w:r>
      <w:r w:rsidR="001E4CE1">
        <w:t xml:space="preserve"> into a single risk pool with the same plan </w:t>
      </w:r>
      <w:r w:rsidR="00685DED">
        <w:t>options</w:t>
      </w:r>
      <w:r w:rsidRPr="008A3126">
        <w:t>, the issuer must choose “Combined”).</w:t>
      </w:r>
    </w:p>
    <w:p w14:paraId="6C7586E4" w14:textId="563FA143" w:rsidR="00D835E4" w:rsidRPr="008A3126" w:rsidRDefault="00D835E4" w:rsidP="00D835E4">
      <w:r w:rsidRPr="008A3126">
        <w:rPr>
          <w:b/>
        </w:rPr>
        <w:t>Effective Date:</w:t>
      </w:r>
      <w:r w:rsidRPr="008A3126">
        <w:t xml:space="preserve"> </w:t>
      </w:r>
      <w:r w:rsidR="001A5D11">
        <w:t>This is</w:t>
      </w:r>
      <w:r w:rsidR="001A5D11" w:rsidRPr="008A3126">
        <w:t xml:space="preserve"> the effective date for which rates are being submitted. </w:t>
      </w:r>
      <w:r w:rsidR="001A5D11">
        <w:t xml:space="preserve"> </w:t>
      </w:r>
      <w:r w:rsidR="00F241FA">
        <w:t>This field is automatically populated based on the Effective Date entered in Row 2</w:t>
      </w:r>
      <w:r w:rsidR="00444C5E">
        <w:t>5</w:t>
      </w:r>
      <w:r w:rsidR="00F241FA">
        <w:t xml:space="preserve"> of Worksheet 2.  </w:t>
      </w:r>
      <w:r w:rsidR="005D41D5">
        <w:t>All products and plans must have the same effective date.</w:t>
      </w:r>
      <w:r w:rsidRPr="008A3126">
        <w:t xml:space="preserve"> </w:t>
      </w:r>
    </w:p>
    <w:p w14:paraId="73C4C0C0" w14:textId="6C7FBE86" w:rsidR="00D835E4" w:rsidRPr="008A3126" w:rsidRDefault="00D835E4" w:rsidP="00E43A86">
      <w:pPr>
        <w:ind w:left="720"/>
      </w:pPr>
      <w:r w:rsidRPr="008A3126">
        <w:t>If the submission is for the individual or combined markets, the effective date must be January 1 of the year for which rates are being submitted. If the submission is for the small group market, enter the effective date for which the Index Rate is being revised. For example, if the small group submission revises the Index Rate for July 1, 201</w:t>
      </w:r>
      <w:r w:rsidR="00F241FA">
        <w:t>7</w:t>
      </w:r>
      <w:r w:rsidRPr="00674068">
        <w:t xml:space="preserve"> effective </w:t>
      </w:r>
      <w:r w:rsidRPr="008A3126">
        <w:t>date</w:t>
      </w:r>
      <w:r w:rsidRPr="00674068">
        <w:t xml:space="preserve"> and includes a trend increase applicable on October 1, </w:t>
      </w:r>
      <w:r w:rsidRPr="008A3126">
        <w:t>201</w:t>
      </w:r>
      <w:r w:rsidR="00F241FA">
        <w:t>7</w:t>
      </w:r>
      <w:r w:rsidRPr="00674068">
        <w:t xml:space="preserve">, enter July 1, </w:t>
      </w:r>
      <w:r w:rsidRPr="008A3126">
        <w:t>201</w:t>
      </w:r>
      <w:r w:rsidR="00F241FA">
        <w:t>7</w:t>
      </w:r>
      <w:r w:rsidRPr="00674068">
        <w:t xml:space="preserve">. </w:t>
      </w:r>
    </w:p>
    <w:p w14:paraId="4A5DDCC5" w14:textId="1776D4D7" w:rsidR="00D835E4" w:rsidRPr="008A3126" w:rsidRDefault="00D835E4" w:rsidP="00926D0E">
      <w:pPr>
        <w:pStyle w:val="Heading3"/>
      </w:pPr>
      <w:bookmarkStart w:id="182" w:name="_Toc436401728"/>
      <w:bookmarkStart w:id="183" w:name="_Toc436402592"/>
      <w:bookmarkStart w:id="184" w:name="_Toc410468926"/>
      <w:bookmarkStart w:id="185" w:name="_Toc410525281"/>
      <w:bookmarkStart w:id="186" w:name="_Toc410525369"/>
      <w:bookmarkStart w:id="187" w:name="_Toc410588807"/>
      <w:bookmarkStart w:id="188" w:name="_Toc411866079"/>
      <w:bookmarkStart w:id="189" w:name="_Toc411866597"/>
      <w:bookmarkStart w:id="190" w:name="_Toc412032775"/>
      <w:bookmarkStart w:id="191" w:name="_Toc411936247"/>
      <w:bookmarkStart w:id="192" w:name="_Toc412287657"/>
      <w:bookmarkStart w:id="193" w:name="_Toc441756501"/>
      <w:bookmarkEnd w:id="182"/>
      <w:bookmarkEnd w:id="183"/>
      <w:r w:rsidRPr="008A3126">
        <w:t>Section I</w:t>
      </w:r>
      <w:bookmarkEnd w:id="184"/>
      <w:bookmarkEnd w:id="185"/>
      <w:bookmarkEnd w:id="186"/>
      <w:bookmarkEnd w:id="187"/>
      <w:r>
        <w:t>: Experience Period Data</w:t>
      </w:r>
      <w:bookmarkEnd w:id="188"/>
      <w:bookmarkEnd w:id="189"/>
      <w:bookmarkEnd w:id="190"/>
      <w:bookmarkEnd w:id="191"/>
      <w:bookmarkEnd w:id="192"/>
      <w:bookmarkEnd w:id="193"/>
    </w:p>
    <w:p w14:paraId="0DEB3B4D" w14:textId="0439C708" w:rsidR="00D835E4" w:rsidRPr="008A3126" w:rsidRDefault="00D835E4" w:rsidP="00D835E4">
      <w:r w:rsidRPr="00674068">
        <w:t xml:space="preserve">The financial and enrollment information entered in this section should reflect the experience of all non-grandfathered </w:t>
      </w:r>
      <w:r w:rsidRPr="008A3126">
        <w:t>(</w:t>
      </w:r>
      <w:r w:rsidR="001D7C55">
        <w:t>single risk pool</w:t>
      </w:r>
      <w:r w:rsidRPr="008A3126">
        <w:t xml:space="preserve"> and transitional) </w:t>
      </w:r>
      <w:r w:rsidRPr="00674068">
        <w:t xml:space="preserve">policies for the specified market and state. The information is intended </w:t>
      </w:r>
      <w:r w:rsidRPr="008A3126">
        <w:t>to reflect the single risk pool for the market as required by 45 CFR 156.80. The information in this section should reflect historical financial and enrollment information for the identified legal entity only</w:t>
      </w:r>
      <w:r w:rsidR="006270D1">
        <w:t xml:space="preserve">, except in </w:t>
      </w:r>
      <w:r w:rsidR="00651754">
        <w:t>cases where legal entities combine to provide coverage as a “</w:t>
      </w:r>
      <w:r w:rsidR="002D76CA">
        <w:t>joint</w:t>
      </w:r>
      <w:r w:rsidR="00651754">
        <w:t>” policy</w:t>
      </w:r>
      <w:r w:rsidRPr="008A3126">
        <w:t>.</w:t>
      </w:r>
      <w:r w:rsidR="00651754">
        <w:t xml:space="preserve">  A “</w:t>
      </w:r>
      <w:r w:rsidR="002D76CA">
        <w:t>joint</w:t>
      </w:r>
      <w:r w:rsidR="00651754">
        <w:t xml:space="preserve">” policy in this case refers to an arrangement between licensed entities where each entity covers </w:t>
      </w:r>
      <w:r w:rsidR="00B51537">
        <w:t>a part of the total benefits (e.g. a Point of Service type plan where an HMO entity offers in-network benefits, while a licensed insurance company offers out-of-network benefits).  In order to be considered a “</w:t>
      </w:r>
      <w:r w:rsidR="009708CD">
        <w:t>joint</w:t>
      </w:r>
      <w:r w:rsidR="00B51537">
        <w:t>” policy, the coverage from both licensed entities must be purchased together</w:t>
      </w:r>
      <w:r w:rsidR="00A777D7">
        <w:t>, and the “</w:t>
      </w:r>
      <w:r w:rsidR="009708CD">
        <w:t>joint</w:t>
      </w:r>
      <w:r w:rsidR="00A777D7">
        <w:t>” policy cannot be offered as stand-alone coverage</w:t>
      </w:r>
      <w:r w:rsidR="00B51537">
        <w:t>.</w:t>
      </w:r>
    </w:p>
    <w:p w14:paraId="27B39B0A" w14:textId="318EC2DF" w:rsidR="00D835E4" w:rsidRPr="00674068" w:rsidRDefault="00D835E4" w:rsidP="00D835E4">
      <w:r w:rsidRPr="00674068">
        <w:rPr>
          <w:b/>
        </w:rPr>
        <w:t>Experience Period:</w:t>
      </w:r>
      <w:r w:rsidRPr="00674068">
        <w:t xml:space="preserve"> Enter the first date of the experience period. </w:t>
      </w:r>
    </w:p>
    <w:p w14:paraId="304F990A" w14:textId="6518C15D" w:rsidR="00D835E4" w:rsidRPr="008A3126" w:rsidRDefault="00D835E4" w:rsidP="00D835E4">
      <w:pPr>
        <w:ind w:left="720"/>
      </w:pPr>
      <w:r w:rsidRPr="008A3126">
        <w:t>The Experience Period must be a twelve</w:t>
      </w:r>
      <w:r w:rsidR="008047F6">
        <w:t>-</w:t>
      </w:r>
      <w:r w:rsidRPr="008A3126">
        <w:t xml:space="preserve">month period. The template calculates the end date of the experience period such that the period is twelve months long. </w:t>
      </w:r>
    </w:p>
    <w:p w14:paraId="78AED644" w14:textId="32EF6851" w:rsidR="00D835E4" w:rsidRPr="008A3126" w:rsidRDefault="00D835E4" w:rsidP="00D835E4">
      <w:pPr>
        <w:ind w:left="720"/>
      </w:pPr>
      <w:r w:rsidRPr="008A3126">
        <w:t>For individual and combined market submissions, the Experience Period must be a calendar</w:t>
      </w:r>
      <w:r w:rsidR="008047F6">
        <w:t>-</w:t>
      </w:r>
      <w:r w:rsidRPr="008A3126">
        <w:t>year period. It should be the most recently completed calendar year; if not, include an explanation in the Actuarial Memorandum. Therefore, the first date of the Experience Period must be January 1. For small group market submissions, the first date of the Experience Period must be the first date of a calendar quarter, i.e., January 1, April 1, July 1, or October 1.</w:t>
      </w:r>
    </w:p>
    <w:p w14:paraId="665EF366" w14:textId="7120F628" w:rsidR="00D835E4" w:rsidRPr="008A3126" w:rsidRDefault="00D835E4" w:rsidP="00D835E4">
      <w:pPr>
        <w:ind w:left="720"/>
      </w:pPr>
      <w:r w:rsidRPr="008A3126">
        <w:t>If an experience period other than that required to be shown is used in the derivation of the Index Rate, then the credibility manual rate section should be used to show the Index Rate development and</w:t>
      </w:r>
      <w:r w:rsidR="005D1767">
        <w:t xml:space="preserve"> the Index Rate development should be</w:t>
      </w:r>
      <w:r w:rsidRPr="008A3126">
        <w:t xml:space="preserve"> described in the Actuarial Memorandum.</w:t>
      </w:r>
    </w:p>
    <w:p w14:paraId="63AC8444" w14:textId="3BC76B35" w:rsidR="00D835E4" w:rsidRPr="008A3126" w:rsidRDefault="00D835E4" w:rsidP="00D835E4">
      <w:pPr>
        <w:ind w:left="720"/>
      </w:pPr>
      <w:r w:rsidRPr="008A3126">
        <w:t>The Experience Period reflects a period during which premiums were earned and claims were incurred. For example, if the Experience Period is January 1, 201</w:t>
      </w:r>
      <w:r w:rsidR="00EA7FFE">
        <w:t>5</w:t>
      </w:r>
      <w:r w:rsidRPr="008A3126">
        <w:t xml:space="preserve"> through December 31, 201</w:t>
      </w:r>
      <w:r w:rsidR="00EA7FFE">
        <w:t>5</w:t>
      </w:r>
      <w:r w:rsidR="008F56B5">
        <w:t>,</w:t>
      </w:r>
      <w:r w:rsidRPr="008A3126">
        <w:t xml:space="preserve"> the issuer may include claims payments through a date beyond the end of the </w:t>
      </w:r>
      <w:r w:rsidR="00F246B8">
        <w:t>E</w:t>
      </w:r>
      <w:r w:rsidR="00F246B8" w:rsidRPr="008A3126">
        <w:t xml:space="preserve">xperience </w:t>
      </w:r>
      <w:r w:rsidR="00F246B8">
        <w:t xml:space="preserve">Period </w:t>
      </w:r>
      <w:r w:rsidR="00F246B8" w:rsidRPr="008A3126">
        <w:t>(e.g., February 28, 201</w:t>
      </w:r>
      <w:r w:rsidR="00EA7FFE">
        <w:t>6</w:t>
      </w:r>
      <w:r w:rsidR="00F246B8" w:rsidRPr="008A3126">
        <w:t xml:space="preserve">) </w:t>
      </w:r>
      <w:r w:rsidR="00F246B8">
        <w:t xml:space="preserve">for claims </w:t>
      </w:r>
      <w:r w:rsidRPr="008A3126">
        <w:t>with dates of service within the Experience Period when estimating the total claims incurred during the period. The paid through date is not captured in the template, but is requested in the Actuarial Memorandum.</w:t>
      </w:r>
    </w:p>
    <w:p w14:paraId="6C5B1A57" w14:textId="16F2F897" w:rsidR="00D835E4" w:rsidRPr="008A3126" w:rsidRDefault="00D835E4" w:rsidP="00D835E4">
      <w:r w:rsidRPr="008A3126">
        <w:rPr>
          <w:b/>
        </w:rPr>
        <w:t>Premiums (net of MLR Rebate) in Experience Period:</w:t>
      </w:r>
      <w:r w:rsidRPr="008A3126">
        <w:t xml:space="preserve"> Enter the amount of premium earned during the </w:t>
      </w:r>
      <w:r w:rsidR="00F246B8">
        <w:t>E</w:t>
      </w:r>
      <w:r w:rsidRPr="008A3126">
        <w:t xml:space="preserve">xperience </w:t>
      </w:r>
      <w:r w:rsidR="00F246B8">
        <w:t>P</w:t>
      </w:r>
      <w:r w:rsidRPr="008A3126">
        <w:t xml:space="preserve">eriod, net of rebates to policyholders on an incurred basis due to the medical loss ratio (MLR) requirements as defined in 45 </w:t>
      </w:r>
      <w:r w:rsidR="00DF37D5">
        <w:t xml:space="preserve">CFR </w:t>
      </w:r>
      <w:r w:rsidR="0097350E">
        <w:t xml:space="preserve">part </w:t>
      </w:r>
      <w:r w:rsidRPr="008A3126">
        <w:t>158.</w:t>
      </w:r>
      <w:r w:rsidR="001A1A26">
        <w:t xml:space="preserve">  </w:t>
      </w:r>
      <w:r w:rsidR="00B94286">
        <w:t>Expected r</w:t>
      </w:r>
      <w:r w:rsidR="001A1A26">
        <w:t>isk adjustment receivables or payables should be included in the experience period premium.  Small group quarterly submissions should adjust the experience period premium</w:t>
      </w:r>
      <w:r w:rsidR="00670D6C">
        <w:t xml:space="preserve"> to account for expected risk adjustment accruals.</w:t>
      </w:r>
    </w:p>
    <w:p w14:paraId="7E0E5C2F" w14:textId="4076A74F" w:rsidR="00D835E4" w:rsidRPr="008A3126" w:rsidRDefault="00D835E4" w:rsidP="00D835E4">
      <w:pPr>
        <w:ind w:left="720"/>
      </w:pPr>
      <w:r w:rsidRPr="008A3126">
        <w:t>Start with premiums earned during the experience period</w:t>
      </w:r>
      <w:r w:rsidR="001B636D">
        <w:t>, including the expected Risk Adjustment and Risk Corridor receivables or payables</w:t>
      </w:r>
      <w:r w:rsidR="008878B3">
        <w:t>,</w:t>
      </w:r>
      <w:r w:rsidR="00634A44">
        <w:t xml:space="preserve"> to the extent they can be estimated</w:t>
      </w:r>
      <w:r w:rsidRPr="008A3126">
        <w:t>. Subtract the actual or estimated MLR rebates incurred during the experience period.</w:t>
      </w:r>
    </w:p>
    <w:p w14:paraId="07F37C86" w14:textId="72D6C58A" w:rsidR="00D835E4" w:rsidRPr="008A3126" w:rsidRDefault="00D835E4" w:rsidP="00D835E4">
      <w:pPr>
        <w:ind w:left="720"/>
      </w:pPr>
      <w:r w:rsidRPr="008A3126">
        <w:t xml:space="preserve">Enter the aggregate net premium dollars earned. The template will calculate </w:t>
      </w:r>
      <w:proofErr w:type="gramStart"/>
      <w:r w:rsidRPr="008A3126">
        <w:t>the per</w:t>
      </w:r>
      <w:proofErr w:type="gramEnd"/>
      <w:r w:rsidRPr="008A3126">
        <w:t xml:space="preserve"> member per month (PMPM) premium amount and the percent of premium.</w:t>
      </w:r>
    </w:p>
    <w:p w14:paraId="22FCE77D" w14:textId="609180C9" w:rsidR="00D835E4" w:rsidRPr="008A3126" w:rsidRDefault="00D835E4" w:rsidP="00D835E4">
      <w:pPr>
        <w:ind w:left="720"/>
      </w:pPr>
      <w:r w:rsidRPr="008A3126">
        <w:t>Do not subtract amounts from the net earned premium that would be subtracted from earned premium in the denominator of the MLR calculation, such as taxes and fees.  For portions of the experience period for which the MLR rebate has not been finalized, include a best estimate of the rebates in the reported net premium. See the Actuarial Memorandum instructions for required documentation of the method used to estimate rebates.</w:t>
      </w:r>
    </w:p>
    <w:p w14:paraId="5B4972D6" w14:textId="0F392795" w:rsidR="00D835E4" w:rsidRPr="008A3126" w:rsidRDefault="00D835E4" w:rsidP="00D835E4">
      <w:r w:rsidRPr="008A3126">
        <w:rPr>
          <w:b/>
        </w:rPr>
        <w:t>Incurred Claims in Experience Period</w:t>
      </w:r>
      <w:r w:rsidRPr="008A3126">
        <w:t xml:space="preserve">: Enter total claims incurred in the Experience Period. </w:t>
      </w:r>
    </w:p>
    <w:p w14:paraId="2BC76013" w14:textId="66C96F44" w:rsidR="00D835E4" w:rsidRPr="008A3126" w:rsidRDefault="00D835E4" w:rsidP="00D835E4">
      <w:pPr>
        <w:ind w:left="720"/>
      </w:pPr>
      <w:r w:rsidRPr="008A3126">
        <w:t>Enter the aggregate incurred claims. The template calculates the PMPM incurred claims amount and the incurred claims as a percent of premium. The calculated percent of premium attributable to claims is not equivalent to the MLR, and therefore may be less than 80%.</w:t>
      </w:r>
    </w:p>
    <w:p w14:paraId="1ABD74B3" w14:textId="1FDC7F9C" w:rsidR="00D835E4" w:rsidRPr="008A3126" w:rsidRDefault="00D835E4" w:rsidP="00D835E4">
      <w:pPr>
        <w:ind w:left="720"/>
      </w:pPr>
      <w:r w:rsidRPr="008A3126">
        <w:t xml:space="preserve">Incurred claims are defined as allowed claims (defined immediately below) less member </w:t>
      </w:r>
      <w:r w:rsidR="006900FC">
        <w:t>cost-sharing</w:t>
      </w:r>
      <w:r w:rsidRPr="008A3126">
        <w:t xml:space="preserve"> and </w:t>
      </w:r>
      <w:r w:rsidR="006900FC">
        <w:t>cost-sharing</w:t>
      </w:r>
      <w:r w:rsidRPr="008A3126">
        <w:t xml:space="preserve"> paid by HHS on behalf of low-income members.</w:t>
      </w:r>
      <w:r w:rsidR="00316DF3">
        <w:t xml:space="preserve">  </w:t>
      </w:r>
      <w:r w:rsidR="00BC4FBD">
        <w:t xml:space="preserve">Incurred claims includes </w:t>
      </w:r>
      <w:r w:rsidR="00316DF3">
        <w:t xml:space="preserve">claims for EHBs </w:t>
      </w:r>
      <w:r w:rsidR="00BC4FBD">
        <w:t>and non-EHBs.</w:t>
      </w:r>
    </w:p>
    <w:p w14:paraId="7132A88D" w14:textId="1CEF095E" w:rsidR="00D835E4" w:rsidRPr="008A3126" w:rsidRDefault="00D835E4" w:rsidP="00D835E4">
      <w:pPr>
        <w:ind w:left="720"/>
      </w:pPr>
      <w:r w:rsidRPr="008A3126">
        <w:t xml:space="preserve">Member </w:t>
      </w:r>
      <w:r w:rsidR="006900FC">
        <w:t>cost-sharing</w:t>
      </w:r>
      <w:r w:rsidRPr="008A3126">
        <w:t xml:space="preserve"> is defined as payments made against the allowed claims by the member for health care services (e.g., deductible, coinsurance and copayments). This does not include premium or the amount of billed charges the member must pay in excess of the issuer’s contractual allowed amount (often described as “balance billing”). </w:t>
      </w:r>
    </w:p>
    <w:p w14:paraId="3F792BE6" w14:textId="5D8648C4" w:rsidR="00D835E4" w:rsidRPr="008A3126" w:rsidRDefault="00D835E4" w:rsidP="00D835E4">
      <w:r w:rsidRPr="008A3126">
        <w:rPr>
          <w:b/>
        </w:rPr>
        <w:t>Allowed Claims:</w:t>
      </w:r>
      <w:r w:rsidRPr="008A3126">
        <w:t xml:space="preserve"> Enter total allowed claims with dates of service during the Experience Period.</w:t>
      </w:r>
    </w:p>
    <w:p w14:paraId="2695E801" w14:textId="5944997D" w:rsidR="00D835E4" w:rsidRPr="008A3126" w:rsidRDefault="00D835E4" w:rsidP="00D835E4">
      <w:pPr>
        <w:ind w:left="720"/>
      </w:pPr>
      <w:r w:rsidRPr="008A3126">
        <w:t xml:space="preserve">Allowed Claims are defined as the total payments made under the policy to healthcare providers on behalf of covered members, and include payments made by the issuer, member </w:t>
      </w:r>
      <w:r w:rsidR="006900FC">
        <w:t>cost-sharing</w:t>
      </w:r>
      <w:r w:rsidRPr="008A3126">
        <w:t xml:space="preserve">, and </w:t>
      </w:r>
      <w:r w:rsidR="006900FC">
        <w:t>cost-sharing</w:t>
      </w:r>
      <w:r w:rsidRPr="008A3126">
        <w:t xml:space="preserve"> paid by HHS on behalf of low-income members. Consequently, they include actual payments made or estimates of costs incurred but not yet paid during the period.  See the Actuarial Memorandum instructions for guidance related to </w:t>
      </w:r>
      <w:proofErr w:type="gramStart"/>
      <w:r w:rsidRPr="008A3126">
        <w:t>incurred</w:t>
      </w:r>
      <w:proofErr w:type="gramEnd"/>
      <w:r w:rsidRPr="008A3126">
        <w:t xml:space="preserve"> but not paid claim reserve documentation. </w:t>
      </w:r>
      <w:r w:rsidR="008F4A08">
        <w:t>Allowed claims</w:t>
      </w:r>
      <w:r w:rsidRPr="008A3126">
        <w:t xml:space="preserve"> also include claims not tied to a specific date of service, such as capitation or risk sharing payments, if the payments were for services provided during the Experience Period. They include claims for EHB</w:t>
      </w:r>
      <w:r w:rsidR="00332881">
        <w:t>s</w:t>
      </w:r>
      <w:r w:rsidRPr="008A3126">
        <w:t xml:space="preserve"> as well as </w:t>
      </w:r>
      <w:r w:rsidR="00BC4FBD">
        <w:t>non-</w:t>
      </w:r>
      <w:r w:rsidRPr="008A3126">
        <w:t>EHB</w:t>
      </w:r>
      <w:r w:rsidR="00BC4FBD">
        <w:t>s</w:t>
      </w:r>
      <w:r w:rsidRPr="008A3126">
        <w:t>. This would not include the amount of billed charges the member must pay in excess of the issuer’s contractual allowed amount (often described as “balance billing”).</w:t>
      </w:r>
    </w:p>
    <w:p w14:paraId="5FF232D9" w14:textId="6801413A" w:rsidR="00D835E4" w:rsidRPr="008A3126" w:rsidRDefault="00D835E4" w:rsidP="00D835E4">
      <w:pPr>
        <w:ind w:firstLine="720"/>
      </w:pPr>
      <w:r w:rsidRPr="008A3126">
        <w:t>By definition, “Allowed Claims” do not include:</w:t>
      </w:r>
    </w:p>
    <w:p w14:paraId="6995896B" w14:textId="18905552" w:rsidR="00D835E4" w:rsidRPr="008A3126" w:rsidRDefault="00D835E4" w:rsidP="009D2B17">
      <w:pPr>
        <w:pStyle w:val="ListParagraph"/>
        <w:numPr>
          <w:ilvl w:val="0"/>
          <w:numId w:val="33"/>
        </w:numPr>
      </w:pPr>
      <w:r w:rsidRPr="008A3126">
        <w:t>Ineligible claims such as duplicate claims, third party liabilities (e.g.</w:t>
      </w:r>
      <w:r w:rsidR="008D46DB">
        <w:t>,</w:t>
      </w:r>
      <w:r w:rsidRPr="008A3126">
        <w:t xml:space="preserve"> coordination of benefits claims), and any other claims that are denied under the policy terms.</w:t>
      </w:r>
    </w:p>
    <w:p w14:paraId="28C5BEDD" w14:textId="18B79BFB" w:rsidR="00D835E4" w:rsidRPr="008A3126" w:rsidRDefault="00D835E4" w:rsidP="009D2B17">
      <w:pPr>
        <w:pStyle w:val="ListParagraph"/>
        <w:numPr>
          <w:ilvl w:val="0"/>
          <w:numId w:val="33"/>
        </w:numPr>
      </w:pPr>
      <w:r w:rsidRPr="008A3126">
        <w:t>Payments for services other than medical care provided, (e.g., medical management, quality improvement, and fraud detection and recovery expenses) even if these amounts are included in claims for MLR reporting purposes.</w:t>
      </w:r>
    </w:p>
    <w:p w14:paraId="4537FAD4" w14:textId="17A0CEAB" w:rsidR="00D835E4" w:rsidRPr="008A3126" w:rsidRDefault="00D835E4" w:rsidP="009D2B17">
      <w:pPr>
        <w:pStyle w:val="ListParagraph"/>
        <w:numPr>
          <w:ilvl w:val="0"/>
          <w:numId w:val="33"/>
        </w:numPr>
      </w:pPr>
      <w:r w:rsidRPr="008A3126">
        <w:t xml:space="preserve">Recovery payments the issuer may receive from private reinsurance or internal large claim pooling mechanisms. These types of adjustments should be handled in the </w:t>
      </w:r>
      <w:proofErr w:type="gramStart"/>
      <w:r w:rsidRPr="008A3126">
        <w:t>Other</w:t>
      </w:r>
      <w:proofErr w:type="gramEnd"/>
      <w:r w:rsidRPr="008A3126">
        <w:t xml:space="preserve"> adjustment factor found in Section II of Worksheet 1. </w:t>
      </w:r>
    </w:p>
    <w:p w14:paraId="0F9E68FE" w14:textId="3CEB289F" w:rsidR="00D835E4" w:rsidRPr="00674068" w:rsidRDefault="00D835E4" w:rsidP="009D2B17">
      <w:pPr>
        <w:pStyle w:val="ListParagraph"/>
        <w:numPr>
          <w:ilvl w:val="0"/>
          <w:numId w:val="33"/>
        </w:numPr>
      </w:pPr>
      <w:r w:rsidRPr="008A3126">
        <w:t xml:space="preserve">Active life reserves (policy reserves, contract reserves, contingency reserves, or any kind of reserves except traditionally defined reserves for claims incurred but not paid) or change in such reserves. </w:t>
      </w:r>
    </w:p>
    <w:p w14:paraId="4B2E80CF" w14:textId="2DCF2E87" w:rsidR="00D835E4" w:rsidRPr="008A3126" w:rsidRDefault="00D835E4" w:rsidP="009D2B17">
      <w:pPr>
        <w:pStyle w:val="ListParagraph"/>
        <w:numPr>
          <w:ilvl w:val="0"/>
          <w:numId w:val="33"/>
        </w:numPr>
      </w:pPr>
      <w:r w:rsidRPr="008A3126">
        <w:t>Recovery payments the issuer may receive from the Federal Transitional Reinsurance program.</w:t>
      </w:r>
    </w:p>
    <w:p w14:paraId="5210694D" w14:textId="494BB471" w:rsidR="00D835E4" w:rsidRPr="008A3126" w:rsidRDefault="00D835E4" w:rsidP="009D2B17">
      <w:pPr>
        <w:pStyle w:val="ListParagraph"/>
        <w:numPr>
          <w:ilvl w:val="0"/>
          <w:numId w:val="33"/>
        </w:numPr>
      </w:pPr>
      <w:r w:rsidRPr="008A3126">
        <w:t>Charges or payments from the Federal risk adjustment program.</w:t>
      </w:r>
    </w:p>
    <w:p w14:paraId="5AA4A296" w14:textId="77777777" w:rsidR="00D835E4" w:rsidRPr="008A3126" w:rsidRDefault="00D835E4" w:rsidP="009D2B17">
      <w:pPr>
        <w:pStyle w:val="ListParagraph"/>
        <w:numPr>
          <w:ilvl w:val="0"/>
          <w:numId w:val="33"/>
        </w:numPr>
      </w:pPr>
      <w:r w:rsidRPr="008A3126">
        <w:t>Charges or payments from the Federal risk corridor program.</w:t>
      </w:r>
    </w:p>
    <w:p w14:paraId="78FE38BE" w14:textId="7425D6C5" w:rsidR="00D835E4" w:rsidRPr="008A3126" w:rsidRDefault="00D835E4" w:rsidP="00D835E4">
      <w:r w:rsidRPr="00674068">
        <w:rPr>
          <w:b/>
        </w:rPr>
        <w:t>Index Rate of Experience Period</w:t>
      </w:r>
      <w:r w:rsidRPr="00674068">
        <w:t xml:space="preserve">: Enter the Index </w:t>
      </w:r>
      <w:r w:rsidRPr="008A3126">
        <w:t>Rate underlying the Experience Period. The value entered in this field must be a whole dollar value (i.e.</w:t>
      </w:r>
      <w:r w:rsidR="004E6C2D">
        <w:t>,</w:t>
      </w:r>
      <w:r w:rsidRPr="008A3126">
        <w:t xml:space="preserve"> the rate must be rounded to the nearest $1). Please note, if an issuer copies and pastes a value in this cell which contains decimals, the </w:t>
      </w:r>
      <w:r w:rsidR="00332881">
        <w:t>URRT</w:t>
      </w:r>
      <w:r w:rsidRPr="008A3126">
        <w:t xml:space="preserve"> submission could be rejected or an issuer may be required to make a resubmission later in the process which could delay the rate review process and approval.</w:t>
      </w:r>
    </w:p>
    <w:p w14:paraId="4BD3D293" w14:textId="752BC380" w:rsidR="00D835E4" w:rsidRPr="008A3126" w:rsidRDefault="003B146F" w:rsidP="00D835E4">
      <w:pPr>
        <w:ind w:left="720"/>
      </w:pPr>
      <w:r w:rsidRPr="004E57F0">
        <w:rPr>
          <w:noProof/>
        </w:rPr>
        <mc:AlternateContent>
          <mc:Choice Requires="wps">
            <w:drawing>
              <wp:anchor distT="228600" distB="228600" distL="228600" distR="228600" simplePos="0" relativeHeight="251667968" behindDoc="1" locked="0" layoutInCell="1" allowOverlap="1" wp14:anchorId="77A1F0E5" wp14:editId="76310D7E">
                <wp:simplePos x="0" y="0"/>
                <wp:positionH relativeFrom="margin">
                  <wp:posOffset>3978910</wp:posOffset>
                </wp:positionH>
                <wp:positionV relativeFrom="margin">
                  <wp:posOffset>4323080</wp:posOffset>
                </wp:positionV>
                <wp:extent cx="2457450" cy="1382395"/>
                <wp:effectExtent l="0" t="0" r="0" b="8255"/>
                <wp:wrapSquare wrapText="bothSides"/>
                <wp:docPr id="19" name="Text Box 19"/>
                <wp:cNvGraphicFramePr/>
                <a:graphic xmlns:a="http://schemas.openxmlformats.org/drawingml/2006/main">
                  <a:graphicData uri="http://schemas.microsoft.com/office/word/2010/wordprocessingShape">
                    <wps:wsp>
                      <wps:cNvSpPr txBox="1"/>
                      <wps:spPr>
                        <a:xfrm>
                          <a:off x="0" y="0"/>
                          <a:ext cx="2457450" cy="1382395"/>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2B0B0D03" w14:textId="0A888DA8" w:rsidR="00634A44" w:rsidRDefault="00634A44" w:rsidP="003B146F">
                            <w:pPr>
                              <w:rPr>
                                <w:color w:val="17365D" w:themeColor="text2" w:themeShade="BF"/>
                                <w:sz w:val="24"/>
                                <w:szCs w:val="24"/>
                              </w:rPr>
                            </w:pPr>
                            <w:r w:rsidRPr="00DE74FF">
                              <w:rPr>
                                <w:b/>
                                <w:color w:val="17365D" w:themeColor="text2" w:themeShade="BF"/>
                                <w:sz w:val="24"/>
                                <w:szCs w:val="24"/>
                                <w:u w:val="single"/>
                              </w:rPr>
                              <w:t>Tip:</w:t>
                            </w:r>
                            <w:r w:rsidRPr="00DE74FF">
                              <w:rPr>
                                <w:b/>
                                <w:color w:val="17365D" w:themeColor="text2" w:themeShade="BF"/>
                                <w:sz w:val="24"/>
                                <w:szCs w:val="24"/>
                              </w:rPr>
                              <w:t xml:space="preserve">  </w:t>
                            </w:r>
                            <w:r>
                              <w:rPr>
                                <w:color w:val="17365D" w:themeColor="text2" w:themeShade="BF"/>
                                <w:sz w:val="24"/>
                                <w:szCs w:val="24"/>
                              </w:rPr>
                              <w:t>The Index Rate of Experience Period must be entered as a whole dollar value.  The URRT will not accept decimal places in this field.</w:t>
                            </w:r>
                          </w:p>
                          <w:p w14:paraId="61FEF704" w14:textId="77777777" w:rsidR="00634A44" w:rsidDel="00DE74FF" w:rsidRDefault="00634A44" w:rsidP="003B146F">
                            <w:pPr>
                              <w:pStyle w:val="NoSpacing"/>
                              <w:jc w:val="right"/>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A1F0E5" id="Text Box 19" o:spid="_x0000_s1034" type="#_x0000_t202" style="position:absolute;left:0;text-align:left;margin-left:313.3pt;margin-top:340.4pt;width:193.5pt;height:108.85pt;z-index:-25164851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" stroked="f" strokeweight=".5pt">
                <v:fill color2="#eae7d8" rotate="t" focusposition=".5,.5" focussize="-.5,-.5" focus="100%" type="gradientRadial"/>
                <v:textbox inset="14.4pt,14.4pt,14.4pt,14.4pt">
                  <w:txbxContent>
                    <w:p w14:paraId="2B0B0D03" w14:textId="0A888DA8" w:rsidR="00634A44" w:rsidRDefault="00634A44" w:rsidP="003B146F">
                      <w:pPr>
                        <w:rPr>
                          <w:color w:val="17365D" w:themeColor="text2" w:themeShade="BF"/>
                          <w:sz w:val="24"/>
                          <w:szCs w:val="24"/>
                        </w:rPr>
                      </w:pPr>
                      <w:r w:rsidRPr="00DE74FF">
                        <w:rPr>
                          <w:b/>
                          <w:color w:val="17365D" w:themeColor="text2" w:themeShade="BF"/>
                          <w:sz w:val="24"/>
                          <w:szCs w:val="24"/>
                          <w:u w:val="single"/>
                        </w:rPr>
                        <w:t>Tip:</w:t>
                      </w:r>
                      <w:r w:rsidRPr="00DE74FF">
                        <w:rPr>
                          <w:b/>
                          <w:color w:val="17365D" w:themeColor="text2" w:themeShade="BF"/>
                          <w:sz w:val="24"/>
                          <w:szCs w:val="24"/>
                        </w:rPr>
                        <w:t xml:space="preserve">  </w:t>
                      </w:r>
                      <w:r>
                        <w:rPr>
                          <w:color w:val="17365D" w:themeColor="text2" w:themeShade="BF"/>
                          <w:sz w:val="24"/>
                          <w:szCs w:val="24"/>
                        </w:rPr>
                        <w:t>The Index Rate of Experience Period must be entered as a whole dollar value.  The URRT will not accept decimal places in this field.</w:t>
                      </w:r>
                    </w:p>
                    <w:p w14:paraId="61FEF704" w14:textId="77777777" w:rsidR="00634A44" w:rsidDel="00DE74FF" w:rsidRDefault="00634A44" w:rsidP="003B146F">
                      <w:pPr>
                        <w:pStyle w:val="NoSpacing"/>
                        <w:jc w:val="right"/>
                        <w:rPr>
                          <w:color w:val="1F497D" w:themeColor="text2"/>
                          <w:sz w:val="18"/>
                          <w:szCs w:val="18"/>
                        </w:rPr>
                      </w:pPr>
                    </w:p>
                  </w:txbxContent>
                </v:textbox>
                <w10:wrap type="square" anchorx="margin" anchory="margin"/>
              </v:shape>
            </w:pict>
          </mc:Fallback>
        </mc:AlternateContent>
      </w:r>
      <w:r w:rsidR="00D835E4" w:rsidRPr="008A3126">
        <w:t xml:space="preserve">The Index Rate </w:t>
      </w:r>
      <w:r w:rsidR="00316DF3">
        <w:t xml:space="preserve">is the average allowed claims PMPM for providing EHBs within the single risk pool of the state market.  </w:t>
      </w:r>
      <w:r w:rsidR="00D835E4" w:rsidRPr="008A3126">
        <w:t>It is the legal entity-specific rate for the market that is being submitted – i.e., the issuer’s individual market, small group market</w:t>
      </w:r>
      <w:r w:rsidR="00C91946">
        <w:t>,</w:t>
      </w:r>
      <w:r w:rsidR="00D835E4" w:rsidRPr="008A3126">
        <w:t xml:space="preserve"> or combined market. It should not be adjusted for payments and charges under the risk adjustment and reinsurance programs or for </w:t>
      </w:r>
      <w:r w:rsidR="00DE6C09">
        <w:t>Marketplace</w:t>
      </w:r>
      <w:r w:rsidR="00D835E4" w:rsidRPr="008A3126">
        <w:t xml:space="preserve"> user fees. It is simply allowed claims PMPM for </w:t>
      </w:r>
      <w:r w:rsidR="00332881">
        <w:t>EHBs</w:t>
      </w:r>
      <w:r w:rsidR="00BC4FBD">
        <w:t xml:space="preserve"> only</w:t>
      </w:r>
      <w:r w:rsidR="00D835E4" w:rsidRPr="008A3126">
        <w:t>.</w:t>
      </w:r>
    </w:p>
    <w:p w14:paraId="18422D7E" w14:textId="77E7116A" w:rsidR="00D835E4" w:rsidRPr="008A3126" w:rsidRDefault="00D835E4" w:rsidP="00D835E4">
      <w:pPr>
        <w:ind w:left="720"/>
      </w:pPr>
      <w:r w:rsidRPr="008A3126">
        <w:t>The Index Rate should be developed using all covered members, even if premium was not explicitly collected for all members. For example, if the number of members in a given family or policy was capped for premium setting purposes either voluntarily by the issuer or as required by law, all family members covered by the policy should be included.</w:t>
      </w:r>
    </w:p>
    <w:p w14:paraId="3DD7F751" w14:textId="51104898" w:rsidR="00D835E4" w:rsidRPr="00674068" w:rsidRDefault="00D835E4" w:rsidP="00D835E4">
      <w:pPr>
        <w:ind w:left="720"/>
      </w:pPr>
      <w:r w:rsidRPr="008A3126">
        <w:t xml:space="preserve">The experience period Index Rate should be adjusted to exclude benefits that are </w:t>
      </w:r>
      <w:r w:rsidR="00BC4FBD">
        <w:t>not</w:t>
      </w:r>
      <w:r w:rsidRPr="008A3126">
        <w:t xml:space="preserve"> </w:t>
      </w:r>
      <w:r w:rsidR="00332881">
        <w:t>EHBs</w:t>
      </w:r>
      <w:r w:rsidRPr="008A3126">
        <w:t xml:space="preserve">, but should not be adjusted to include </w:t>
      </w:r>
      <w:r w:rsidR="00332881">
        <w:t>EHBs</w:t>
      </w:r>
      <w:r w:rsidRPr="008A3126">
        <w:t xml:space="preserve"> that were not covered during the experience period. </w:t>
      </w:r>
    </w:p>
    <w:p w14:paraId="704BE9E4" w14:textId="77777777" w:rsidR="00D835E4" w:rsidRPr="008A3126" w:rsidRDefault="00D835E4" w:rsidP="00D835E4">
      <w:r w:rsidRPr="00674068">
        <w:rPr>
          <w:b/>
        </w:rPr>
        <w:t>Experience Period Member Months</w:t>
      </w:r>
      <w:r w:rsidRPr="00674068">
        <w:t>: Enter the total number of months of coverage in the E</w:t>
      </w:r>
      <w:r w:rsidRPr="008A3126">
        <w:t xml:space="preserve">xperience Period for all members that had coverage during any portion of the Experience Period. </w:t>
      </w:r>
    </w:p>
    <w:p w14:paraId="2B58CB63" w14:textId="4161C855" w:rsidR="00D835E4" w:rsidRPr="008A3126" w:rsidRDefault="00D835E4" w:rsidP="00D835E4">
      <w:pPr>
        <w:ind w:left="720"/>
      </w:pPr>
      <w:r w:rsidRPr="008A3126">
        <w:t>For example, if a given member had coverage for five months during the Experience Period, that member would contribute five member months to the total member months for the period. The number entered must be an integer. For partial months, issuers should define a methodology for counting partial months and apply the methodology consistently to all members. Possible methodologies include but are not limited to rounding up, rounding down, rounding to nearest, counting the member month if the member is active on the 15</w:t>
      </w:r>
      <w:r w:rsidRPr="008A3126">
        <w:rPr>
          <w:vertAlign w:val="superscript"/>
        </w:rPr>
        <w:t>th</w:t>
      </w:r>
      <w:r w:rsidRPr="008A3126">
        <w:t xml:space="preserve"> of the month, etc.</w:t>
      </w:r>
    </w:p>
    <w:p w14:paraId="087F5CAD" w14:textId="25A4873D" w:rsidR="00D835E4" w:rsidRPr="008A3126" w:rsidRDefault="00D835E4" w:rsidP="00D835E4">
      <w:pPr>
        <w:ind w:left="720"/>
      </w:pPr>
      <w:r w:rsidRPr="008A3126">
        <w:t>Include all covered members even if premium was not explicitly collected for all members. For example, if the number of members in a given family or policy was capped for premium setting purposes either voluntarily by the issuer or as required by law.</w:t>
      </w:r>
    </w:p>
    <w:p w14:paraId="191305CF" w14:textId="1A521C47" w:rsidR="00D835E4" w:rsidRPr="008A3126" w:rsidRDefault="00D835E4" w:rsidP="0025279D">
      <w:pPr>
        <w:pStyle w:val="Heading3"/>
      </w:pPr>
      <w:bookmarkStart w:id="194" w:name="_Toc410468927"/>
      <w:bookmarkStart w:id="195" w:name="_Toc410525282"/>
      <w:bookmarkStart w:id="196" w:name="_Toc410525370"/>
      <w:bookmarkStart w:id="197" w:name="_Toc410588808"/>
      <w:bookmarkStart w:id="198" w:name="_Toc411866080"/>
      <w:bookmarkStart w:id="199" w:name="_Toc411866598"/>
      <w:bookmarkStart w:id="200" w:name="_Toc412032776"/>
      <w:bookmarkStart w:id="201" w:name="_Toc411936248"/>
      <w:bookmarkStart w:id="202" w:name="_Toc412287658"/>
      <w:bookmarkStart w:id="203" w:name="_Toc441756502"/>
      <w:r w:rsidRPr="008A3126">
        <w:t>Section II: Allowed Claims, PMPM basis</w:t>
      </w:r>
      <w:bookmarkEnd w:id="194"/>
      <w:bookmarkEnd w:id="195"/>
      <w:bookmarkEnd w:id="196"/>
      <w:bookmarkEnd w:id="197"/>
      <w:bookmarkEnd w:id="198"/>
      <w:bookmarkEnd w:id="199"/>
      <w:bookmarkEnd w:id="200"/>
      <w:bookmarkEnd w:id="201"/>
      <w:bookmarkEnd w:id="202"/>
      <w:bookmarkEnd w:id="203"/>
    </w:p>
    <w:p w14:paraId="09D28914" w14:textId="4B5F0377" w:rsidR="00D835E4" w:rsidRPr="008A3126" w:rsidRDefault="00D835E4" w:rsidP="00593B2E">
      <w:pPr>
        <w:pStyle w:val="NoSpacing"/>
        <w:keepNext/>
        <w:rPr>
          <w:b/>
        </w:rPr>
      </w:pPr>
      <w:bookmarkStart w:id="204" w:name="_Toc410468928"/>
      <w:bookmarkStart w:id="205" w:name="_Toc410525283"/>
      <w:bookmarkStart w:id="206" w:name="_Toc410525371"/>
      <w:r w:rsidRPr="00674068">
        <w:rPr>
          <w:b/>
        </w:rPr>
        <w:t>Projection Period</w:t>
      </w:r>
      <w:r w:rsidRPr="00E717E2">
        <w:rPr>
          <w:b/>
        </w:rPr>
        <w:t>:</w:t>
      </w:r>
      <w:bookmarkEnd w:id="204"/>
      <w:bookmarkEnd w:id="205"/>
      <w:bookmarkEnd w:id="206"/>
      <w:r w:rsidRPr="00E717E2">
        <w:rPr>
          <w:b/>
        </w:rPr>
        <w:t xml:space="preserve"> </w:t>
      </w:r>
    </w:p>
    <w:p w14:paraId="6CE1848D" w14:textId="02376DD5" w:rsidR="00D835E4" w:rsidRPr="008A3126" w:rsidRDefault="00D835E4" w:rsidP="00053087">
      <w:pPr>
        <w:keepNext/>
      </w:pPr>
      <w:r w:rsidRPr="00674068">
        <w:t xml:space="preserve">The </w:t>
      </w:r>
      <w:r w:rsidR="00332881">
        <w:t>P</w:t>
      </w:r>
      <w:r w:rsidRPr="00674068">
        <w:t xml:space="preserve">rojection </w:t>
      </w:r>
      <w:r w:rsidR="00332881">
        <w:t>P</w:t>
      </w:r>
      <w:r w:rsidRPr="00674068">
        <w:t xml:space="preserve">eriod </w:t>
      </w:r>
      <w:r w:rsidR="008F4A08">
        <w:t>start date is auto-populated with the effective date of the rate change from the General Information section of</w:t>
      </w:r>
      <w:r w:rsidRPr="008A3126">
        <w:t xml:space="preserve"> the template. </w:t>
      </w:r>
      <w:r w:rsidR="008F4A08">
        <w:t xml:space="preserve"> </w:t>
      </w:r>
      <w:r w:rsidRPr="008A3126">
        <w:t>The Projection Period end date is calculated such that the Projection Period is a twelve</w:t>
      </w:r>
      <w:r w:rsidR="008F56B5">
        <w:t>-</w:t>
      </w:r>
      <w:r w:rsidRPr="008A3126">
        <w:t xml:space="preserve">month period. </w:t>
      </w:r>
      <w:r w:rsidR="008F4A08">
        <w:t xml:space="preserve"> </w:t>
      </w:r>
      <w:r w:rsidRPr="008A3126">
        <w:t>The template also calculates the number of months between the midpoint of the Experience Period and the midpoint of the Projection Period.</w:t>
      </w:r>
    </w:p>
    <w:p w14:paraId="22A70F95" w14:textId="7FCBE9C4" w:rsidR="00D835E4" w:rsidRPr="00E717E2" w:rsidRDefault="00D835E4" w:rsidP="00926D0E">
      <w:pPr>
        <w:pStyle w:val="Heading4"/>
      </w:pPr>
      <w:bookmarkStart w:id="207" w:name="_Toc410588809"/>
      <w:bookmarkStart w:id="208" w:name="_Toc410468929"/>
      <w:bookmarkStart w:id="209" w:name="_Toc410525284"/>
      <w:bookmarkStart w:id="210" w:name="_Toc410525372"/>
      <w:bookmarkStart w:id="211" w:name="_Toc411866081"/>
      <w:bookmarkStart w:id="212" w:name="_Toc411866599"/>
      <w:r w:rsidRPr="00E717E2">
        <w:t>Benefit Category</w:t>
      </w:r>
      <w:bookmarkEnd w:id="207"/>
      <w:bookmarkEnd w:id="208"/>
      <w:bookmarkEnd w:id="209"/>
      <w:bookmarkEnd w:id="210"/>
      <w:bookmarkEnd w:id="211"/>
      <w:bookmarkEnd w:id="212"/>
    </w:p>
    <w:p w14:paraId="7E0D926E" w14:textId="299708BE" w:rsidR="00D835E4" w:rsidRPr="00996E2F" w:rsidRDefault="00D835E4" w:rsidP="00D835E4">
      <w:r w:rsidRPr="00674068">
        <w:t xml:space="preserve">Several fields that follow require issuers to enter data by Benefit Category. Issuers are required to describe the </w:t>
      </w:r>
      <w:r w:rsidRPr="008A3126">
        <w:t>Benefit Category</w:t>
      </w:r>
      <w:r w:rsidRPr="008A3126" w:rsidDel="00F94269">
        <w:t xml:space="preserve"> </w:t>
      </w:r>
      <w:r w:rsidRPr="008A3126">
        <w:t xml:space="preserve">definitions in the Actuarial Memorandum. The preferred </w:t>
      </w:r>
      <w:r w:rsidRPr="00996E2F">
        <w:t>definitions of the Benefit Category</w:t>
      </w:r>
      <w:r w:rsidRPr="00996E2F" w:rsidDel="00F94269">
        <w:t xml:space="preserve"> </w:t>
      </w:r>
      <w:r w:rsidRPr="00996E2F">
        <w:t>follow:</w:t>
      </w:r>
    </w:p>
    <w:p w14:paraId="69B774DA" w14:textId="55A3C72E" w:rsidR="00D835E4" w:rsidRPr="00E717E2" w:rsidRDefault="00D835E4" w:rsidP="009D2B17">
      <w:pPr>
        <w:pStyle w:val="Default"/>
        <w:numPr>
          <w:ilvl w:val="0"/>
          <w:numId w:val="36"/>
        </w:numPr>
        <w:spacing w:after="287"/>
        <w:rPr>
          <w:rFonts w:asciiTheme="minorHAnsi" w:hAnsiTheme="minorHAnsi"/>
          <w:sz w:val="22"/>
        </w:rPr>
      </w:pPr>
      <w:r w:rsidRPr="00E717E2">
        <w:rPr>
          <w:rFonts w:asciiTheme="minorHAnsi" w:hAnsiTheme="minorHAnsi"/>
          <w:b/>
          <w:i/>
          <w:sz w:val="22"/>
        </w:rPr>
        <w:t>Inpatient Hospital</w:t>
      </w:r>
      <w:r w:rsidRPr="00E717E2">
        <w:rPr>
          <w:rFonts w:asciiTheme="minorHAnsi" w:hAnsiTheme="minorHAnsi"/>
          <w:b/>
          <w:sz w:val="22"/>
        </w:rPr>
        <w:t xml:space="preserve">: </w:t>
      </w:r>
      <w:r w:rsidRPr="00E717E2">
        <w:rPr>
          <w:rFonts w:asciiTheme="minorHAnsi" w:hAnsiTheme="minorHAnsi"/>
          <w:sz w:val="22"/>
        </w:rPr>
        <w:t xml:space="preserve">Includes non-capitated facility services for medical, surgical, maternity, mental health and substance </w:t>
      </w:r>
      <w:r w:rsidR="0032185C">
        <w:rPr>
          <w:rFonts w:asciiTheme="minorHAnsi" w:hAnsiTheme="minorHAnsi"/>
          <w:sz w:val="22"/>
        </w:rPr>
        <w:t>ab</w:t>
      </w:r>
      <w:r w:rsidR="00BC4FBD">
        <w:rPr>
          <w:rFonts w:asciiTheme="minorHAnsi" w:hAnsiTheme="minorHAnsi"/>
          <w:sz w:val="22"/>
        </w:rPr>
        <w:t>use disorder</w:t>
      </w:r>
      <w:r w:rsidRPr="00E717E2">
        <w:rPr>
          <w:rFonts w:asciiTheme="minorHAnsi" w:hAnsiTheme="minorHAnsi"/>
          <w:sz w:val="22"/>
        </w:rPr>
        <w:t xml:space="preserve">, skilled nursing, and other services provided in an inpatient facility setting and billed by the facility. </w:t>
      </w:r>
    </w:p>
    <w:p w14:paraId="3E0AC8CE" w14:textId="7DFCC2F0" w:rsidR="00D835E4" w:rsidRPr="00E717E2" w:rsidRDefault="00D835E4" w:rsidP="009D2B17">
      <w:pPr>
        <w:pStyle w:val="Default"/>
        <w:numPr>
          <w:ilvl w:val="0"/>
          <w:numId w:val="36"/>
        </w:numPr>
        <w:spacing w:after="287"/>
        <w:rPr>
          <w:rFonts w:asciiTheme="minorHAnsi" w:hAnsiTheme="minorHAnsi"/>
          <w:sz w:val="22"/>
        </w:rPr>
      </w:pPr>
      <w:r w:rsidRPr="00E717E2">
        <w:rPr>
          <w:rFonts w:asciiTheme="minorHAnsi" w:hAnsiTheme="minorHAnsi"/>
          <w:b/>
          <w:i/>
          <w:sz w:val="22"/>
        </w:rPr>
        <w:t>Outpatient Hospital</w:t>
      </w:r>
      <w:r w:rsidRPr="00E717E2">
        <w:rPr>
          <w:rFonts w:asciiTheme="minorHAnsi" w:hAnsiTheme="minorHAnsi"/>
          <w:b/>
          <w:sz w:val="22"/>
        </w:rPr>
        <w:t xml:space="preserve">: </w:t>
      </w:r>
      <w:r w:rsidRPr="00E717E2">
        <w:rPr>
          <w:rFonts w:asciiTheme="minorHAnsi" w:hAnsiTheme="minorHAnsi"/>
          <w:sz w:val="22"/>
        </w:rPr>
        <w:t>Includes non-capitated facility services for surgery, emergency</w:t>
      </w:r>
      <w:r w:rsidR="00B24F78">
        <w:rPr>
          <w:rFonts w:asciiTheme="minorHAnsi" w:hAnsiTheme="minorHAnsi"/>
          <w:sz w:val="22"/>
        </w:rPr>
        <w:t xml:space="preserve"> services</w:t>
      </w:r>
      <w:r w:rsidRPr="00E717E2">
        <w:rPr>
          <w:rFonts w:asciiTheme="minorHAnsi" w:hAnsiTheme="minorHAnsi"/>
          <w:sz w:val="22"/>
        </w:rPr>
        <w:t xml:space="preserve">, lab, radiology, therapy, observation and other services provided in an outpatient facility setting and billed by the facility. </w:t>
      </w:r>
    </w:p>
    <w:p w14:paraId="3EC6591C" w14:textId="0C61B955" w:rsidR="00D835E4" w:rsidRPr="00E717E2" w:rsidRDefault="00D835E4" w:rsidP="009D2B17">
      <w:pPr>
        <w:pStyle w:val="Default"/>
        <w:numPr>
          <w:ilvl w:val="0"/>
          <w:numId w:val="36"/>
        </w:numPr>
        <w:spacing w:after="287"/>
        <w:rPr>
          <w:rFonts w:asciiTheme="minorHAnsi" w:hAnsiTheme="minorHAnsi"/>
          <w:sz w:val="22"/>
        </w:rPr>
      </w:pPr>
      <w:r w:rsidRPr="00E717E2">
        <w:rPr>
          <w:rFonts w:asciiTheme="minorHAnsi" w:hAnsiTheme="minorHAnsi"/>
          <w:b/>
          <w:i/>
          <w:sz w:val="22"/>
        </w:rPr>
        <w:t>Professional</w:t>
      </w:r>
      <w:r w:rsidRPr="00E717E2">
        <w:rPr>
          <w:rFonts w:asciiTheme="minorHAnsi" w:hAnsiTheme="minorHAnsi"/>
          <w:b/>
          <w:sz w:val="22"/>
        </w:rPr>
        <w:t xml:space="preserve">: </w:t>
      </w:r>
      <w:r w:rsidRPr="00E717E2">
        <w:rPr>
          <w:rFonts w:asciiTheme="minorHAnsi" w:hAnsiTheme="minorHAnsi"/>
          <w:sz w:val="22"/>
        </w:rPr>
        <w:t xml:space="preserve">Includes non-capitated primary care, specialist, therapy, the professional component of laboratory and radiology, and other professional services, other than hospital based professionals whose payments are included in facility fees. </w:t>
      </w:r>
    </w:p>
    <w:p w14:paraId="5A554B95" w14:textId="4E0D7C3B" w:rsidR="00D835E4" w:rsidRPr="00E717E2" w:rsidRDefault="00D835E4" w:rsidP="009D2B17">
      <w:pPr>
        <w:pStyle w:val="Default"/>
        <w:numPr>
          <w:ilvl w:val="0"/>
          <w:numId w:val="36"/>
        </w:numPr>
        <w:spacing w:after="287"/>
        <w:rPr>
          <w:rFonts w:asciiTheme="minorHAnsi" w:hAnsiTheme="minorHAnsi"/>
          <w:sz w:val="22"/>
        </w:rPr>
      </w:pPr>
      <w:r w:rsidRPr="00E717E2">
        <w:rPr>
          <w:rFonts w:asciiTheme="minorHAnsi" w:hAnsiTheme="minorHAnsi"/>
          <w:b/>
          <w:i/>
          <w:sz w:val="22"/>
        </w:rPr>
        <w:t>Other Medical</w:t>
      </w:r>
      <w:r w:rsidRPr="00E717E2">
        <w:rPr>
          <w:rFonts w:asciiTheme="minorHAnsi" w:hAnsiTheme="minorHAnsi"/>
          <w:b/>
          <w:sz w:val="22"/>
        </w:rPr>
        <w:t xml:space="preserve">: </w:t>
      </w:r>
      <w:r w:rsidRPr="00E717E2">
        <w:rPr>
          <w:rFonts w:asciiTheme="minorHAnsi" w:hAnsiTheme="minorHAnsi"/>
          <w:sz w:val="22"/>
        </w:rPr>
        <w:t>Includes non-capitated ambulance, home health care, DME, prosthetics, supplies, vision exams, dental services</w:t>
      </w:r>
      <w:r w:rsidR="00773E34">
        <w:rPr>
          <w:rFonts w:asciiTheme="minorHAnsi" w:hAnsiTheme="minorHAnsi"/>
          <w:sz w:val="22"/>
        </w:rPr>
        <w:t>,</w:t>
      </w:r>
      <w:r w:rsidRPr="00E717E2">
        <w:rPr>
          <w:rFonts w:asciiTheme="minorHAnsi" w:hAnsiTheme="minorHAnsi"/>
          <w:sz w:val="22"/>
        </w:rPr>
        <w:t xml:space="preserve"> and other services. </w:t>
      </w:r>
    </w:p>
    <w:p w14:paraId="154166C0" w14:textId="77777777" w:rsidR="00D835E4" w:rsidRPr="00E717E2" w:rsidRDefault="00D835E4" w:rsidP="009D2B17">
      <w:pPr>
        <w:pStyle w:val="Default"/>
        <w:numPr>
          <w:ilvl w:val="0"/>
          <w:numId w:val="36"/>
        </w:numPr>
        <w:rPr>
          <w:rFonts w:asciiTheme="minorHAnsi" w:hAnsiTheme="minorHAnsi"/>
          <w:sz w:val="22"/>
        </w:rPr>
      </w:pPr>
      <w:r w:rsidRPr="00E717E2">
        <w:rPr>
          <w:rFonts w:asciiTheme="minorHAnsi" w:hAnsiTheme="minorHAnsi"/>
          <w:b/>
          <w:i/>
          <w:sz w:val="22"/>
        </w:rPr>
        <w:t>Capitation</w:t>
      </w:r>
      <w:r w:rsidRPr="00E717E2">
        <w:rPr>
          <w:rFonts w:asciiTheme="minorHAnsi" w:hAnsiTheme="minorHAnsi"/>
          <w:b/>
          <w:sz w:val="22"/>
        </w:rPr>
        <w:t xml:space="preserve">: </w:t>
      </w:r>
      <w:r w:rsidRPr="00E717E2">
        <w:rPr>
          <w:rFonts w:asciiTheme="minorHAnsi" w:hAnsiTheme="minorHAnsi"/>
          <w:sz w:val="22"/>
        </w:rPr>
        <w:t xml:space="preserve">Includes all services provided under one or more capitated arrangements. </w:t>
      </w:r>
    </w:p>
    <w:p w14:paraId="090FA281" w14:textId="77777777" w:rsidR="00D835E4" w:rsidRPr="00E717E2" w:rsidRDefault="00D835E4" w:rsidP="00D835E4">
      <w:pPr>
        <w:pStyle w:val="Default"/>
        <w:rPr>
          <w:rFonts w:asciiTheme="minorHAnsi" w:hAnsiTheme="minorHAnsi"/>
          <w:sz w:val="22"/>
        </w:rPr>
      </w:pPr>
    </w:p>
    <w:p w14:paraId="37D9DEAB" w14:textId="77777777" w:rsidR="00D835E4" w:rsidRPr="00E717E2" w:rsidRDefault="00D835E4" w:rsidP="009D2B17">
      <w:pPr>
        <w:pStyle w:val="Default"/>
        <w:numPr>
          <w:ilvl w:val="0"/>
          <w:numId w:val="36"/>
        </w:numPr>
        <w:spacing w:after="287"/>
        <w:rPr>
          <w:rFonts w:asciiTheme="minorHAnsi" w:hAnsiTheme="minorHAnsi"/>
          <w:sz w:val="22"/>
        </w:rPr>
      </w:pPr>
      <w:r w:rsidRPr="00E717E2">
        <w:rPr>
          <w:rFonts w:asciiTheme="minorHAnsi" w:hAnsiTheme="minorHAnsi"/>
          <w:b/>
          <w:i/>
          <w:sz w:val="22"/>
        </w:rPr>
        <w:t>Prescription Drug</w:t>
      </w:r>
      <w:r w:rsidRPr="00E717E2">
        <w:rPr>
          <w:rFonts w:asciiTheme="minorHAnsi" w:hAnsiTheme="minorHAnsi"/>
          <w:b/>
          <w:sz w:val="22"/>
        </w:rPr>
        <w:t xml:space="preserve">: </w:t>
      </w:r>
      <w:r w:rsidRPr="00E717E2">
        <w:rPr>
          <w:rFonts w:asciiTheme="minorHAnsi" w:hAnsiTheme="minorHAnsi"/>
          <w:sz w:val="22"/>
        </w:rPr>
        <w:t>Includes drugs dispensed by a pharmacy. This amount should be net of rebates received from drug manufacturers.</w:t>
      </w:r>
    </w:p>
    <w:p w14:paraId="3C401B9D" w14:textId="77777777" w:rsidR="00D835E4" w:rsidRPr="008A3126" w:rsidRDefault="00D835E4" w:rsidP="00926D0E">
      <w:pPr>
        <w:pStyle w:val="Heading4"/>
      </w:pPr>
      <w:bookmarkStart w:id="213" w:name="_Toc410468930"/>
      <w:bookmarkStart w:id="214" w:name="_Toc410525285"/>
      <w:bookmarkStart w:id="215" w:name="_Toc410525373"/>
      <w:bookmarkStart w:id="216" w:name="_Toc410588810"/>
      <w:bookmarkStart w:id="217" w:name="_Toc411866082"/>
      <w:bookmarkStart w:id="218" w:name="_Toc411866600"/>
      <w:r w:rsidRPr="008A3126">
        <w:t>Experience Period on Actual Experience Allowed</w:t>
      </w:r>
      <w:bookmarkEnd w:id="213"/>
      <w:bookmarkEnd w:id="214"/>
      <w:bookmarkEnd w:id="215"/>
      <w:bookmarkEnd w:id="216"/>
      <w:bookmarkEnd w:id="217"/>
      <w:bookmarkEnd w:id="218"/>
    </w:p>
    <w:p w14:paraId="0270398B" w14:textId="77777777" w:rsidR="00D835E4" w:rsidRPr="008A3126" w:rsidRDefault="00D835E4" w:rsidP="00D835E4">
      <w:pPr>
        <w:pStyle w:val="BodyText"/>
      </w:pPr>
      <w:r w:rsidRPr="00674068">
        <w:t xml:space="preserve">The experience entered in this section needs to reflect the state and market identified in the General Information </w:t>
      </w:r>
      <w:r w:rsidRPr="008A3126">
        <w:t>section and the Experience Period identified in Section I of this worksheet. The actual experience for this period, state and market should be entered in the template, regardless of the credibility level.</w:t>
      </w:r>
    </w:p>
    <w:p w14:paraId="265C455E" w14:textId="77777777" w:rsidR="00D835E4" w:rsidRPr="008A3126" w:rsidRDefault="00D835E4" w:rsidP="00D835E4">
      <w:pPr>
        <w:spacing w:after="0"/>
      </w:pPr>
      <w:r w:rsidRPr="008A3126">
        <w:rPr>
          <w:b/>
        </w:rPr>
        <w:t>Utilization Description</w:t>
      </w:r>
      <w:r w:rsidRPr="008A3126">
        <w:t xml:space="preserve">: For each Benefit Category, choose the appropriate measurement unit that reflects the utilization per 1,000 covered members per year from the drop down menu. </w:t>
      </w:r>
    </w:p>
    <w:p w14:paraId="3CDDDFA6" w14:textId="77777777" w:rsidR="00D835E4" w:rsidRPr="008A3126" w:rsidRDefault="00D835E4" w:rsidP="00D835E4">
      <w:r w:rsidRPr="008A3126">
        <w:t>Valid entries are shown below.</w:t>
      </w:r>
    </w:p>
    <w:p w14:paraId="26D9AC23" w14:textId="77777777" w:rsidR="00D835E4" w:rsidRPr="008A3126" w:rsidRDefault="00D835E4" w:rsidP="009D2B17">
      <w:pPr>
        <w:pStyle w:val="ListParagraph"/>
        <w:numPr>
          <w:ilvl w:val="0"/>
          <w:numId w:val="38"/>
        </w:numPr>
        <w:spacing w:after="0"/>
      </w:pPr>
      <w:r w:rsidRPr="008A3126">
        <w:t>Admits (for Inpatient service category only)</w:t>
      </w:r>
    </w:p>
    <w:p w14:paraId="07AD8379" w14:textId="77777777" w:rsidR="00D835E4" w:rsidRPr="008A3126" w:rsidRDefault="00D835E4" w:rsidP="009D2B17">
      <w:pPr>
        <w:pStyle w:val="ListParagraph"/>
        <w:numPr>
          <w:ilvl w:val="0"/>
          <w:numId w:val="38"/>
        </w:numPr>
        <w:spacing w:after="0"/>
      </w:pPr>
      <w:r w:rsidRPr="008A3126">
        <w:t>Days (for Inpatient service category only)</w:t>
      </w:r>
    </w:p>
    <w:p w14:paraId="26997ABF" w14:textId="77777777" w:rsidR="00D835E4" w:rsidRPr="008A3126" w:rsidRDefault="00D835E4" w:rsidP="009D2B17">
      <w:pPr>
        <w:pStyle w:val="ListParagraph"/>
        <w:numPr>
          <w:ilvl w:val="0"/>
          <w:numId w:val="38"/>
        </w:numPr>
        <w:spacing w:after="0"/>
      </w:pPr>
      <w:r w:rsidRPr="008A3126">
        <w:t>Benefit Period (for Capitation service category only)</w:t>
      </w:r>
    </w:p>
    <w:p w14:paraId="6906B74B" w14:textId="77777777" w:rsidR="00D835E4" w:rsidRPr="008A3126" w:rsidRDefault="00AF403A" w:rsidP="009D2B17">
      <w:pPr>
        <w:pStyle w:val="ListParagraph"/>
        <w:numPr>
          <w:ilvl w:val="0"/>
          <w:numId w:val="38"/>
        </w:numPr>
        <w:spacing w:after="0"/>
      </w:pPr>
      <w:r>
        <w:t>V</w:t>
      </w:r>
      <w:r w:rsidR="00D835E4" w:rsidRPr="008A3126">
        <w:t>isits</w:t>
      </w:r>
    </w:p>
    <w:p w14:paraId="41B2A425" w14:textId="77777777" w:rsidR="00D835E4" w:rsidRPr="008A3126" w:rsidRDefault="00D835E4" w:rsidP="009D2B17">
      <w:pPr>
        <w:pStyle w:val="ListParagraph"/>
        <w:numPr>
          <w:ilvl w:val="0"/>
          <w:numId w:val="38"/>
        </w:numPr>
        <w:spacing w:after="0"/>
      </w:pPr>
      <w:r w:rsidRPr="008A3126">
        <w:t>Services</w:t>
      </w:r>
    </w:p>
    <w:p w14:paraId="7D4FE87E" w14:textId="77777777" w:rsidR="00D835E4" w:rsidRPr="008A3126" w:rsidRDefault="00D835E4" w:rsidP="009D2B17">
      <w:pPr>
        <w:pStyle w:val="ListParagraph"/>
        <w:numPr>
          <w:ilvl w:val="0"/>
          <w:numId w:val="38"/>
        </w:numPr>
        <w:spacing w:after="0"/>
      </w:pPr>
      <w:r w:rsidRPr="008A3126">
        <w:t>Prescriptions (for Prescription Drug service category only)</w:t>
      </w:r>
    </w:p>
    <w:p w14:paraId="7D972DCB" w14:textId="77777777" w:rsidR="00D835E4" w:rsidRPr="008A3126" w:rsidRDefault="00D835E4" w:rsidP="009D2B17">
      <w:pPr>
        <w:pStyle w:val="ListParagraph"/>
        <w:numPr>
          <w:ilvl w:val="0"/>
          <w:numId w:val="38"/>
        </w:numPr>
        <w:spacing w:after="0"/>
      </w:pPr>
      <w:r w:rsidRPr="008A3126">
        <w:t>Other</w:t>
      </w:r>
    </w:p>
    <w:p w14:paraId="2BC4C70C" w14:textId="77777777" w:rsidR="00D835E4" w:rsidRDefault="00D835E4" w:rsidP="00D835E4">
      <w:pPr>
        <w:spacing w:after="0"/>
        <w:ind w:left="720"/>
      </w:pPr>
    </w:p>
    <w:p w14:paraId="3714EC67" w14:textId="77777777" w:rsidR="00D835E4" w:rsidRPr="008A3126" w:rsidRDefault="00D835E4" w:rsidP="00D835E4">
      <w:pPr>
        <w:ind w:left="720"/>
      </w:pPr>
      <w:r w:rsidRPr="008A3126">
        <w:t>In cases where “Other” is selected provide additional descriptions of the measurement units in the Actuarial Memorandum.</w:t>
      </w:r>
    </w:p>
    <w:p w14:paraId="38BE0B7A" w14:textId="77777777" w:rsidR="00D835E4" w:rsidRPr="008A3126" w:rsidRDefault="00D835E4" w:rsidP="00D835E4">
      <w:r w:rsidRPr="008A3126">
        <w:rPr>
          <w:b/>
        </w:rPr>
        <w:t>Utilization per 1,000</w:t>
      </w:r>
      <w:r w:rsidRPr="008A3126">
        <w:t xml:space="preserve">: Enter the total utilization per 1,000 covered members per year for claims incurred during the Experience Period. </w:t>
      </w:r>
    </w:p>
    <w:p w14:paraId="6DCB1BE9" w14:textId="77777777" w:rsidR="00D835E4" w:rsidRPr="008A3126" w:rsidRDefault="00D835E4" w:rsidP="00D835E4">
      <w:pPr>
        <w:ind w:left="720"/>
      </w:pPr>
      <w:r w:rsidRPr="008A3126">
        <w:t>The utilization must be entered on an annualized basis. Include any necessary estimates of utilization related to claims incurred but not yet paid.</w:t>
      </w:r>
    </w:p>
    <w:p w14:paraId="23FABC9F" w14:textId="77777777" w:rsidR="00D835E4" w:rsidRPr="008A3126" w:rsidRDefault="00D835E4" w:rsidP="00D835E4">
      <w:r w:rsidRPr="008A3126">
        <w:rPr>
          <w:b/>
        </w:rPr>
        <w:t>Average Cost/Service</w:t>
      </w:r>
      <w:r w:rsidRPr="008A3126">
        <w:t xml:space="preserve">: Enter the average allowed cost per unit of service for claims incurred during the Experience Period. </w:t>
      </w:r>
    </w:p>
    <w:p w14:paraId="6522E6B8" w14:textId="77777777" w:rsidR="00D835E4" w:rsidRPr="008A3126" w:rsidRDefault="00D835E4" w:rsidP="00D835E4">
      <w:pPr>
        <w:ind w:left="720"/>
      </w:pPr>
      <w:r w:rsidRPr="008A3126">
        <w:t>While not required, issuers may adjust the average cost per service for claims incurred but not yet paid if the issuer estimates the claims not yet paid to have a different average cost per service than those already paid. If an adjustment is made it should be described in the Actuarial Memorandum.</w:t>
      </w:r>
    </w:p>
    <w:p w14:paraId="06F9FB36" w14:textId="77777777" w:rsidR="00D835E4" w:rsidRPr="008A3126" w:rsidRDefault="00D835E4" w:rsidP="00D835E4">
      <w:r w:rsidRPr="008A3126">
        <w:rPr>
          <w:b/>
        </w:rPr>
        <w:t>PMPM</w:t>
      </w:r>
      <w:r w:rsidRPr="008A3126">
        <w:t>: The Allowed Claims PMPM is calculated by the template, and is equal to utilization per 1,000 times average cost per service, divided by 12,000. The template sums the PMPM from each Benefit Category to calculate the total PMPM. The calculated PMPM must equal the Allowed Claims PMPM calculated by the template in Section I of Worksheet 1.</w:t>
      </w:r>
    </w:p>
    <w:p w14:paraId="3F26FC57" w14:textId="77777777" w:rsidR="00D835E4" w:rsidRPr="008A3126" w:rsidRDefault="00D835E4" w:rsidP="00926D0E">
      <w:pPr>
        <w:pStyle w:val="Heading4"/>
      </w:pPr>
      <w:bookmarkStart w:id="219" w:name="_Toc410468931"/>
      <w:bookmarkStart w:id="220" w:name="_Toc410525286"/>
      <w:bookmarkStart w:id="221" w:name="_Toc410525374"/>
      <w:bookmarkStart w:id="222" w:name="_Toc410588811"/>
      <w:bookmarkStart w:id="223" w:name="_Toc411866083"/>
      <w:bookmarkStart w:id="224" w:name="_Toc411866601"/>
      <w:r w:rsidRPr="008A3126">
        <w:t>Adjustments from Experience to Projection Period</w:t>
      </w:r>
      <w:bookmarkEnd w:id="219"/>
      <w:bookmarkEnd w:id="220"/>
      <w:bookmarkEnd w:id="221"/>
      <w:bookmarkEnd w:id="222"/>
      <w:bookmarkEnd w:id="223"/>
      <w:bookmarkEnd w:id="224"/>
    </w:p>
    <w:p w14:paraId="55AB7883" w14:textId="77777777" w:rsidR="00D835E4" w:rsidRPr="008A3126" w:rsidRDefault="00D835E4" w:rsidP="00D835E4">
      <w:r w:rsidRPr="00674068">
        <w:rPr>
          <w:b/>
        </w:rPr>
        <w:t xml:space="preserve">Population </w:t>
      </w:r>
      <w:r w:rsidR="00AF403A">
        <w:rPr>
          <w:b/>
        </w:rPr>
        <w:t>R</w:t>
      </w:r>
      <w:r w:rsidRPr="00674068">
        <w:rPr>
          <w:b/>
        </w:rPr>
        <w:t>isk Morbidity</w:t>
      </w:r>
      <w:r w:rsidRPr="00674068">
        <w:t xml:space="preserve">: Enter the assumed change in morbidity of the covered population from the </w:t>
      </w:r>
      <w:r w:rsidRPr="008A3126">
        <w:t>Experience Period to the Projection Period.</w:t>
      </w:r>
    </w:p>
    <w:p w14:paraId="2E3B0A70" w14:textId="77777777" w:rsidR="00D835E4" w:rsidRPr="008A3126" w:rsidRDefault="00D835E4" w:rsidP="00D835E4">
      <w:pPr>
        <w:ind w:left="720"/>
      </w:pPr>
      <w:r w:rsidRPr="008A3126">
        <w:t>“Change in morbidity” means that component of the change in average allowed claims PMPM (as described earlier in these instructions) that will occur under the circumstances where all demographic (e.g., age, gender, and region) and product mix, all provider network contracts and time parameters (i.e., trends = 0) are held constant on the population that exists in the Experience Period.</w:t>
      </w:r>
    </w:p>
    <w:p w14:paraId="2A0C4427" w14:textId="77777777" w:rsidR="00D835E4" w:rsidRPr="008A3126" w:rsidRDefault="00D835E4" w:rsidP="00D835E4">
      <w:pPr>
        <w:ind w:left="720"/>
      </w:pPr>
      <w:r w:rsidRPr="008A3126">
        <w:t>The change in morbidity must be entered as 1 plus the total anticipated percent change in morbidity from the Experience Period</w:t>
      </w:r>
      <w:r w:rsidRPr="008A3126" w:rsidDel="00F94269">
        <w:t xml:space="preserve"> </w:t>
      </w:r>
      <w:r w:rsidRPr="008A3126">
        <w:t>to the Projection Period. For example, if in a 24</w:t>
      </w:r>
      <w:r w:rsidR="00AF403A">
        <w:t>-</w:t>
      </w:r>
      <w:r w:rsidRPr="008A3126">
        <w:t xml:space="preserve">month period from the Experience Period to the Projection period the morbidity is expected to increase by 10%, enter 1.100. Similarly, if the morbidity is expected to </w:t>
      </w:r>
      <w:r w:rsidRPr="008A3126">
        <w:rPr>
          <w:i/>
        </w:rPr>
        <w:t>decrease</w:t>
      </w:r>
      <w:r w:rsidRPr="008A3126">
        <w:t xml:space="preserve"> by 10% over the 24</w:t>
      </w:r>
      <w:r w:rsidR="00AF403A">
        <w:t>-</w:t>
      </w:r>
      <w:r w:rsidRPr="008A3126">
        <w:t>month period, enter 0.900.</w:t>
      </w:r>
    </w:p>
    <w:p w14:paraId="339F615D" w14:textId="7663D566" w:rsidR="00D835E4" w:rsidRPr="008A3126" w:rsidRDefault="00D835E4" w:rsidP="00D835E4">
      <w:pPr>
        <w:ind w:left="720"/>
      </w:pPr>
      <w:r w:rsidRPr="008A3126">
        <w:t xml:space="preserve">This category may include a number of adjustments since the </w:t>
      </w:r>
      <w:r w:rsidR="00A67600">
        <w:t>applicable</w:t>
      </w:r>
      <w:r w:rsidRPr="008A3126">
        <w:t xml:space="preserve"> market rules during the Projection Period</w:t>
      </w:r>
      <w:r w:rsidRPr="008A3126" w:rsidDel="00F94269">
        <w:t xml:space="preserve"> </w:t>
      </w:r>
      <w:r w:rsidRPr="008A3126">
        <w:t>may be significantly different from those in the Experience Period. In addition, the impact of new market rules is expected to vary significantly state to state. Some of the adjustments issuers might include are:</w:t>
      </w:r>
    </w:p>
    <w:p w14:paraId="0466F46C" w14:textId="77777777" w:rsidR="00D835E4" w:rsidRPr="008A3126" w:rsidRDefault="00D835E4" w:rsidP="009D2B17">
      <w:pPr>
        <w:pStyle w:val="ListParagraph"/>
        <w:numPr>
          <w:ilvl w:val="0"/>
          <w:numId w:val="29"/>
        </w:numPr>
        <w:spacing w:after="0"/>
      </w:pPr>
      <w:r w:rsidRPr="008A3126">
        <w:t>Guarantee</w:t>
      </w:r>
      <w:r w:rsidR="004F42F3">
        <w:t>d</w:t>
      </w:r>
      <w:r w:rsidRPr="008A3126">
        <w:t xml:space="preserve"> </w:t>
      </w:r>
      <w:r w:rsidR="00AF403A">
        <w:t>availability</w:t>
      </w:r>
    </w:p>
    <w:p w14:paraId="7CBB7938" w14:textId="77777777" w:rsidR="00D835E4" w:rsidRPr="008A3126" w:rsidRDefault="00D835E4" w:rsidP="009D2B17">
      <w:pPr>
        <w:pStyle w:val="ListParagraph"/>
        <w:numPr>
          <w:ilvl w:val="0"/>
          <w:numId w:val="29"/>
        </w:numPr>
        <w:spacing w:after="0"/>
      </w:pPr>
      <w:r w:rsidRPr="008A3126">
        <w:t>Take-up rate of the uninsured (the percent of currently uninsured that purchase coverage during the projection period)</w:t>
      </w:r>
    </w:p>
    <w:p w14:paraId="3F265D11" w14:textId="77777777" w:rsidR="00D835E4" w:rsidRPr="008A3126" w:rsidRDefault="00D835E4" w:rsidP="009D2B17">
      <w:pPr>
        <w:pStyle w:val="ListParagraph"/>
        <w:numPr>
          <w:ilvl w:val="0"/>
          <w:numId w:val="29"/>
        </w:numPr>
        <w:spacing w:after="0"/>
      </w:pPr>
      <w:r w:rsidRPr="008A3126">
        <w:t>Health status of newly insured</w:t>
      </w:r>
    </w:p>
    <w:p w14:paraId="3DCD3B9A" w14:textId="77777777" w:rsidR="00D835E4" w:rsidRPr="008A3126" w:rsidRDefault="00D835E4" w:rsidP="009D2B17">
      <w:pPr>
        <w:pStyle w:val="ListParagraph"/>
        <w:numPr>
          <w:ilvl w:val="0"/>
          <w:numId w:val="29"/>
        </w:numPr>
        <w:spacing w:after="0"/>
      </w:pPr>
      <w:r w:rsidRPr="008A3126">
        <w:t>Enrollment from prior high risk pools</w:t>
      </w:r>
    </w:p>
    <w:p w14:paraId="05746867" w14:textId="77777777" w:rsidR="00D835E4" w:rsidRPr="008A3126" w:rsidRDefault="00D835E4" w:rsidP="009D2B17">
      <w:pPr>
        <w:pStyle w:val="ListParagraph"/>
        <w:numPr>
          <w:ilvl w:val="0"/>
          <w:numId w:val="29"/>
        </w:numPr>
        <w:spacing w:after="0"/>
      </w:pPr>
      <w:r w:rsidRPr="008A3126">
        <w:t>Induced demand of newly insured</w:t>
      </w:r>
    </w:p>
    <w:p w14:paraId="5DD5E8A5" w14:textId="77777777" w:rsidR="00D835E4" w:rsidRPr="008A3126" w:rsidRDefault="00D835E4" w:rsidP="009D2B17">
      <w:pPr>
        <w:pStyle w:val="ListParagraph"/>
        <w:numPr>
          <w:ilvl w:val="0"/>
          <w:numId w:val="29"/>
        </w:numPr>
        <w:spacing w:after="0"/>
      </w:pPr>
      <w:r w:rsidRPr="008A3126">
        <w:t>Pent-up demand of newly insured</w:t>
      </w:r>
    </w:p>
    <w:p w14:paraId="724AE8BE" w14:textId="77777777" w:rsidR="00D835E4" w:rsidRPr="008A3126" w:rsidRDefault="00D835E4" w:rsidP="009D2B17">
      <w:pPr>
        <w:pStyle w:val="ListParagraph"/>
        <w:numPr>
          <w:ilvl w:val="0"/>
          <w:numId w:val="29"/>
        </w:numPr>
        <w:spacing w:after="0"/>
      </w:pPr>
      <w:r w:rsidRPr="008A3126">
        <w:t>Subsidy effects</w:t>
      </w:r>
    </w:p>
    <w:p w14:paraId="0DDA38D3" w14:textId="77777777" w:rsidR="00BD3269" w:rsidRDefault="00BD3269" w:rsidP="00D835E4">
      <w:pPr>
        <w:ind w:left="720"/>
      </w:pPr>
    </w:p>
    <w:p w14:paraId="4DC4D975" w14:textId="31396674" w:rsidR="00D835E4" w:rsidRPr="008A3126" w:rsidRDefault="00D835E4" w:rsidP="00D835E4">
      <w:pPr>
        <w:ind w:left="720"/>
      </w:pPr>
      <w:r w:rsidRPr="008A3126">
        <w:t xml:space="preserve">Expected changes in the demographic mix (e.g. age, gender, and region) and tobacco status should not be included in this factor. These factors can be included in the </w:t>
      </w:r>
      <w:r w:rsidR="009805DA">
        <w:t>“</w:t>
      </w:r>
      <w:r w:rsidRPr="008A3126">
        <w:t>Other</w:t>
      </w:r>
      <w:r w:rsidR="009805DA">
        <w:t>”</w:t>
      </w:r>
      <w:r w:rsidRPr="008A3126">
        <w:t xml:space="preserve"> factor.</w:t>
      </w:r>
    </w:p>
    <w:p w14:paraId="13D729B6" w14:textId="77777777" w:rsidR="00D835E4" w:rsidRPr="008A3126" w:rsidRDefault="00D835E4" w:rsidP="00D835E4">
      <w:pPr>
        <w:ind w:left="720"/>
      </w:pPr>
      <w:r w:rsidRPr="008A3126">
        <w:t>A description of the methodology used to develop the adjustment must be included in the Actuarial Memorandum.</w:t>
      </w:r>
    </w:p>
    <w:p w14:paraId="4067D42E" w14:textId="77777777" w:rsidR="00D835E4" w:rsidRPr="008A3126" w:rsidRDefault="00D835E4" w:rsidP="00D835E4">
      <w:r w:rsidRPr="008A3126">
        <w:rPr>
          <w:b/>
        </w:rPr>
        <w:t>Other</w:t>
      </w:r>
      <w:r w:rsidRPr="008A3126">
        <w:t xml:space="preserve">: Enter the assumed change in cost related to things other than a change in </w:t>
      </w:r>
      <w:r w:rsidR="00887A19">
        <w:t>P</w:t>
      </w:r>
      <w:r w:rsidRPr="008A3126">
        <w:t xml:space="preserve">opulation </w:t>
      </w:r>
      <w:r w:rsidR="00887A19">
        <w:t>M</w:t>
      </w:r>
      <w:r w:rsidRPr="008A3126">
        <w:t xml:space="preserve">orbidity, </w:t>
      </w:r>
      <w:r w:rsidR="00887A19">
        <w:t>C</w:t>
      </w:r>
      <w:r w:rsidRPr="008A3126">
        <w:t xml:space="preserve">ost </w:t>
      </w:r>
      <w:r w:rsidR="00887A19">
        <w:t>T</w:t>
      </w:r>
      <w:r w:rsidRPr="008A3126">
        <w:t xml:space="preserve">rend, and </w:t>
      </w:r>
      <w:r w:rsidR="00887A19">
        <w:t>U</w:t>
      </w:r>
      <w:r w:rsidRPr="008A3126">
        <w:t xml:space="preserve">tilization </w:t>
      </w:r>
      <w:r w:rsidR="00887A19">
        <w:t>T</w:t>
      </w:r>
      <w:r w:rsidRPr="008A3126">
        <w:t xml:space="preserve">rend. Cost </w:t>
      </w:r>
      <w:r w:rsidR="00887A19">
        <w:t>T</w:t>
      </w:r>
      <w:r w:rsidRPr="008A3126">
        <w:t xml:space="preserve">rend and </w:t>
      </w:r>
      <w:r w:rsidR="00887A19">
        <w:t>U</w:t>
      </w:r>
      <w:r w:rsidRPr="008A3126">
        <w:t xml:space="preserve">tilization </w:t>
      </w:r>
      <w:r w:rsidR="00887A19">
        <w:t>T</w:t>
      </w:r>
      <w:r w:rsidRPr="008A3126">
        <w:t>rend are defined in the section immediately following.</w:t>
      </w:r>
    </w:p>
    <w:p w14:paraId="6A43B0DD" w14:textId="77777777" w:rsidR="00D835E4" w:rsidRPr="008A3126" w:rsidRDefault="00D835E4" w:rsidP="00D835E4">
      <w:pPr>
        <w:ind w:left="720"/>
      </w:pPr>
      <w:r w:rsidRPr="008A3126">
        <w:t xml:space="preserve">The other change must be entered as 1 plus the total anticipated percent change in cost from the Experience Period to the Projection Period, similar to the Population </w:t>
      </w:r>
      <w:r w:rsidR="00887A19">
        <w:t>R</w:t>
      </w:r>
      <w:r w:rsidRPr="008A3126">
        <w:t xml:space="preserve">isk Morbidity </w:t>
      </w:r>
      <w:r w:rsidR="00887A19">
        <w:t>A</w:t>
      </w:r>
      <w:r w:rsidRPr="008A3126">
        <w:t>djustment.</w:t>
      </w:r>
    </w:p>
    <w:p w14:paraId="41E50B6A" w14:textId="77777777" w:rsidR="00D835E4" w:rsidRPr="008A3126" w:rsidRDefault="00D835E4" w:rsidP="00D835E4">
      <w:pPr>
        <w:ind w:left="720"/>
      </w:pPr>
      <w:r w:rsidRPr="008A3126">
        <w:t>Some of the adjustments an issuer might include in this section are:</w:t>
      </w:r>
    </w:p>
    <w:p w14:paraId="0AF3C863" w14:textId="77777777" w:rsidR="00D835E4" w:rsidRPr="008A3126" w:rsidRDefault="00D835E4" w:rsidP="009D2B17">
      <w:pPr>
        <w:pStyle w:val="ListParagraph"/>
        <w:numPr>
          <w:ilvl w:val="0"/>
          <w:numId w:val="30"/>
        </w:numPr>
      </w:pPr>
      <w:r w:rsidRPr="008A3126">
        <w:t>Changes in covered services</w:t>
      </w:r>
      <w:r w:rsidR="004F42F3">
        <w:t>.</w:t>
      </w:r>
    </w:p>
    <w:p w14:paraId="455B4080" w14:textId="563385BF" w:rsidR="00D835E4" w:rsidRPr="008A3126" w:rsidRDefault="00D835E4" w:rsidP="009D2B17">
      <w:pPr>
        <w:pStyle w:val="ListParagraph"/>
        <w:numPr>
          <w:ilvl w:val="0"/>
          <w:numId w:val="30"/>
        </w:numPr>
      </w:pPr>
      <w:r w:rsidRPr="008A3126">
        <w:t xml:space="preserve">Significant changes in the provider network, such as adding or removing a provider system, or introducing a limited network option. </w:t>
      </w:r>
      <w:r w:rsidR="00A00764">
        <w:t xml:space="preserve"> Note that s</w:t>
      </w:r>
      <w:r w:rsidRPr="008A3126">
        <w:t xml:space="preserve">hifts in the distribution of services across existing network providers should </w:t>
      </w:r>
      <w:r w:rsidR="00A00764">
        <w:t xml:space="preserve">not be reflected here, as they should </w:t>
      </w:r>
      <w:r w:rsidRPr="008A3126">
        <w:t>be reflected in the Cost Trend</w:t>
      </w:r>
      <w:r w:rsidR="00A00764">
        <w:t xml:space="preserve"> described below</w:t>
      </w:r>
      <w:r w:rsidRPr="008A3126">
        <w:t>.</w:t>
      </w:r>
    </w:p>
    <w:p w14:paraId="58C653BA" w14:textId="77777777" w:rsidR="00D835E4" w:rsidRPr="008A3126" w:rsidRDefault="00D835E4" w:rsidP="009D2B17">
      <w:pPr>
        <w:pStyle w:val="ListParagraph"/>
        <w:numPr>
          <w:ilvl w:val="0"/>
          <w:numId w:val="30"/>
        </w:numPr>
      </w:pPr>
      <w:r w:rsidRPr="008A3126">
        <w:t>Projected changes in cost related to demographics of the projected covered population</w:t>
      </w:r>
      <w:r w:rsidR="004F42F3">
        <w:t>.</w:t>
      </w:r>
    </w:p>
    <w:p w14:paraId="4B86EF9F" w14:textId="77777777" w:rsidR="00D835E4" w:rsidRPr="008A3126" w:rsidRDefault="00D835E4" w:rsidP="009D2B17">
      <w:pPr>
        <w:pStyle w:val="ListParagraph"/>
        <w:numPr>
          <w:ilvl w:val="0"/>
          <w:numId w:val="30"/>
        </w:numPr>
      </w:pPr>
      <w:r w:rsidRPr="008A3126">
        <w:t>Projected changes in pharmacy rebates relative to the pre-rebate prescription drug allowed claims</w:t>
      </w:r>
      <w:r w:rsidR="004F42F3">
        <w:t>.</w:t>
      </w:r>
    </w:p>
    <w:p w14:paraId="12A37391" w14:textId="09D2CDC1" w:rsidR="00D835E4" w:rsidRPr="008A3126" w:rsidRDefault="00D835E4" w:rsidP="0032185C">
      <w:pPr>
        <w:ind w:left="720"/>
      </w:pPr>
      <w:r w:rsidRPr="008A3126">
        <w:t xml:space="preserve">In the event an issuer has capitation in the </w:t>
      </w:r>
      <w:r w:rsidR="00D45A54">
        <w:t>E</w:t>
      </w:r>
      <w:r w:rsidRPr="008A3126">
        <w:t xml:space="preserve">xperience </w:t>
      </w:r>
      <w:r w:rsidR="00D45A54">
        <w:t>P</w:t>
      </w:r>
      <w:r w:rsidRPr="008A3126">
        <w:t xml:space="preserve">eriod but does not expect to have capitation in the </w:t>
      </w:r>
      <w:r w:rsidR="00493159">
        <w:t>P</w:t>
      </w:r>
      <w:r w:rsidR="00493159" w:rsidRPr="008A3126">
        <w:t xml:space="preserve">rojection </w:t>
      </w:r>
      <w:r w:rsidR="00493159">
        <w:t>P</w:t>
      </w:r>
      <w:r w:rsidR="00493159" w:rsidRPr="008A3126">
        <w:t>eriod</w:t>
      </w:r>
      <w:r w:rsidRPr="008A3126">
        <w:t>, the issuer should enter a near-zero value</w:t>
      </w:r>
      <w:r w:rsidR="00A00764">
        <w:t xml:space="preserve"> (such as </w:t>
      </w:r>
      <w:r w:rsidR="009E2E89">
        <w:t>0</w:t>
      </w:r>
      <w:r w:rsidR="00A00764">
        <w:t>.001)</w:t>
      </w:r>
      <w:r w:rsidRPr="008A3126">
        <w:t xml:space="preserve"> in the Other projection factor to remove the costs. It is not anticipated that other EHB categories would need to remove the experience for the entire benefit category.</w:t>
      </w:r>
    </w:p>
    <w:p w14:paraId="23953C1F" w14:textId="77777777" w:rsidR="00D835E4" w:rsidRPr="008A3126" w:rsidRDefault="00D835E4" w:rsidP="00D835E4">
      <w:pPr>
        <w:ind w:left="720"/>
      </w:pPr>
      <w:r w:rsidRPr="008A3126">
        <w:t>A description of the methodology used to develop the adjustment must be included in the Actuarial Memorandum.</w:t>
      </w:r>
    </w:p>
    <w:p w14:paraId="2F303ED0" w14:textId="77777777" w:rsidR="00D835E4" w:rsidRPr="00E717E2" w:rsidRDefault="00D835E4" w:rsidP="00926D0E">
      <w:pPr>
        <w:pStyle w:val="Heading4"/>
      </w:pPr>
      <w:bookmarkStart w:id="225" w:name="_Toc410468932"/>
      <w:bookmarkStart w:id="226" w:name="_Toc410525287"/>
      <w:bookmarkStart w:id="227" w:name="_Toc410525375"/>
      <w:bookmarkStart w:id="228" w:name="_Toc410588812"/>
      <w:bookmarkStart w:id="229" w:name="_Toc411866084"/>
      <w:bookmarkStart w:id="230" w:name="_Toc411866602"/>
      <w:r w:rsidRPr="00E717E2">
        <w:t>Annualized Trend Factors</w:t>
      </w:r>
      <w:bookmarkEnd w:id="225"/>
      <w:bookmarkEnd w:id="226"/>
      <w:bookmarkEnd w:id="227"/>
      <w:bookmarkEnd w:id="228"/>
      <w:bookmarkEnd w:id="229"/>
      <w:bookmarkEnd w:id="230"/>
    </w:p>
    <w:p w14:paraId="68E68B53" w14:textId="77777777" w:rsidR="00D835E4" w:rsidRPr="008A3126" w:rsidRDefault="00D835E4" w:rsidP="00D835E4">
      <w:r w:rsidRPr="00674068">
        <w:rPr>
          <w:b/>
        </w:rPr>
        <w:t>Cost Trend</w:t>
      </w:r>
      <w:r w:rsidRPr="00674068">
        <w:t>: Enter the assum</w:t>
      </w:r>
      <w:r w:rsidRPr="008A3126">
        <w:t>ed change in cost per service from the Experience Period to the Projection Period.</w:t>
      </w:r>
    </w:p>
    <w:p w14:paraId="6F7BE037" w14:textId="158EA47C" w:rsidR="00D835E4" w:rsidRPr="008A3126" w:rsidRDefault="00D835E4" w:rsidP="00D835E4">
      <w:pPr>
        <w:ind w:left="720"/>
      </w:pPr>
      <w:r w:rsidRPr="008A3126">
        <w:t xml:space="preserve">The Cost Trend must be entered as 1 plus the annualized trend assumption. For example, if the period from the midpoint of the Experience Period to the midpoint of the Projection Period is 24 months and if costs in the </w:t>
      </w:r>
      <w:r w:rsidR="00D45A54">
        <w:t>P</w:t>
      </w:r>
      <w:r w:rsidRPr="008A3126">
        <w:t xml:space="preserve">rojection </w:t>
      </w:r>
      <w:r w:rsidR="00D45A54">
        <w:t>P</w:t>
      </w:r>
      <w:r w:rsidRPr="008A3126">
        <w:t>eriod are expected to be 10.25% higher than the Experience Period, then the annual trend is 5.0% (</w:t>
      </w:r>
      <w:r w:rsidR="001704F1">
        <w:t>calculated as</w:t>
      </w:r>
      <w:r w:rsidR="009E2E89">
        <w:t>:</w:t>
      </w:r>
      <w:r w:rsidR="001704F1">
        <w:t xml:space="preserve"> </w:t>
      </w:r>
      <m:oMath>
        <m:rad>
          <m:radPr>
            <m:degHide m:val="1"/>
            <m:ctrlPr>
              <w:rPr>
                <w:rFonts w:ascii="Cambria Math" w:hAnsi="Cambria Math"/>
                <w:i/>
              </w:rPr>
            </m:ctrlPr>
          </m:radPr>
          <m:deg/>
          <m:e>
            <m:r>
              <w:rPr>
                <w:rFonts w:ascii="Cambria Math" w:hAnsi="Cambria Math"/>
              </w:rPr>
              <m:t>1.1025</m:t>
            </m:r>
          </m:e>
        </m:rad>
      </m:oMath>
      <w:r w:rsidRPr="008A3126">
        <w:t xml:space="preserve"> -1</w:t>
      </w:r>
      <w:r w:rsidR="001704F1">
        <w:t xml:space="preserve"> = 0.05</w:t>
      </w:r>
      <w:r w:rsidRPr="008A3126">
        <w:t>). In this example, the user should enter 1.050 (</w:t>
      </w:r>
      <w:r w:rsidR="001704F1">
        <w:t xml:space="preserve">which </w:t>
      </w:r>
      <w:proofErr w:type="gramStart"/>
      <w:r w:rsidR="001704F1">
        <w:t>is</w:t>
      </w:r>
      <w:r w:rsidR="0032185C">
        <w:t xml:space="preserve"> </w:t>
      </w:r>
      <w:proofErr w:type="gramEnd"/>
      <m:oMath>
        <m:rad>
          <m:radPr>
            <m:degHide m:val="1"/>
            <m:ctrlPr>
              <w:rPr>
                <w:rFonts w:ascii="Cambria Math" w:hAnsi="Cambria Math"/>
                <w:i/>
              </w:rPr>
            </m:ctrlPr>
          </m:radPr>
          <m:deg/>
          <m:e>
            <m:r>
              <w:rPr>
                <w:rFonts w:ascii="Cambria Math" w:hAnsi="Cambria Math"/>
              </w:rPr>
              <m:t>1.1025</m:t>
            </m:r>
          </m:e>
        </m:rad>
        <m:r>
          <w:rPr>
            <w:rFonts w:ascii="Cambria Math" w:hAnsi="Cambria Math"/>
          </w:rPr>
          <m:t>)</m:t>
        </m:r>
      </m:oMath>
      <w:r w:rsidRPr="008A3126">
        <w:t>.</w:t>
      </w:r>
    </w:p>
    <w:p w14:paraId="7DA1AE20" w14:textId="77777777" w:rsidR="001704F1" w:rsidRDefault="00D835E4" w:rsidP="00D835E4">
      <w:pPr>
        <w:ind w:left="720"/>
      </w:pPr>
      <w:r w:rsidRPr="008A3126">
        <w:t xml:space="preserve">Include only the increase in cost for a fixed basket of services. Changes in cost related to changes in mix of services should not be reflected here (they will be reflected in </w:t>
      </w:r>
      <w:r w:rsidR="00887A19">
        <w:t>U</w:t>
      </w:r>
      <w:r w:rsidRPr="008A3126">
        <w:t xml:space="preserve">tilization </w:t>
      </w:r>
      <w:r w:rsidR="00887A19">
        <w:t>T</w:t>
      </w:r>
      <w:r w:rsidRPr="008A3126">
        <w:t>rend described below). Changes in cost related to a change in the distribution of services across network providers should be included.</w:t>
      </w:r>
    </w:p>
    <w:p w14:paraId="362F1C69" w14:textId="3F907464" w:rsidR="00D835E4" w:rsidRPr="008A3126" w:rsidRDefault="00D835E4" w:rsidP="00D835E4">
      <w:pPr>
        <w:ind w:left="720"/>
      </w:pPr>
      <w:r w:rsidRPr="008A3126">
        <w:t xml:space="preserve">Significant changes in network, such as adding or removing a provider system, or introducing a limited network option should be reflected in the </w:t>
      </w:r>
      <w:r w:rsidR="00772423">
        <w:t>“</w:t>
      </w:r>
      <w:r w:rsidRPr="008A3126">
        <w:t>Other</w:t>
      </w:r>
      <w:r w:rsidR="00772423">
        <w:t>”</w:t>
      </w:r>
      <w:r w:rsidRPr="008A3126">
        <w:t xml:space="preserve"> adjustment and described in the Actuarial Memorandum.</w:t>
      </w:r>
      <w:r w:rsidR="001704F1">
        <w:t xml:space="preserve"> </w:t>
      </w:r>
      <w:r w:rsidRPr="008A3126">
        <w:t xml:space="preserve">Projected changes in prescription drug cost related to manufacturer rebates should </w:t>
      </w:r>
      <w:r w:rsidR="001704F1">
        <w:t xml:space="preserve">also </w:t>
      </w:r>
      <w:r w:rsidRPr="008A3126">
        <w:t xml:space="preserve">be reflected in the </w:t>
      </w:r>
      <w:r w:rsidR="00772423">
        <w:t>“</w:t>
      </w:r>
      <w:r w:rsidRPr="008A3126">
        <w:t>Other</w:t>
      </w:r>
      <w:r w:rsidR="00772423">
        <w:t>”</w:t>
      </w:r>
      <w:r w:rsidRPr="008A3126">
        <w:t xml:space="preserve"> adjustment.</w:t>
      </w:r>
    </w:p>
    <w:p w14:paraId="4861B77E" w14:textId="77777777" w:rsidR="00D835E4" w:rsidRPr="008A3126" w:rsidRDefault="00D835E4" w:rsidP="00D835E4">
      <w:r w:rsidRPr="008A3126">
        <w:rPr>
          <w:b/>
        </w:rPr>
        <w:t>Utilization Trend</w:t>
      </w:r>
      <w:r w:rsidRPr="008A3126">
        <w:t>: Enter the assumed change in utilization per 1,000 members from the Experience Period to the Projection Period.</w:t>
      </w:r>
    </w:p>
    <w:p w14:paraId="67C94452" w14:textId="77777777" w:rsidR="00D835E4" w:rsidRPr="008A3126" w:rsidRDefault="00D835E4" w:rsidP="00D835E4">
      <w:pPr>
        <w:ind w:left="720"/>
      </w:pPr>
      <w:r w:rsidRPr="008A3126">
        <w:t xml:space="preserve">The Utilization Trend must be entered as 1 plus the annualized trend assumption, in the same manner as the </w:t>
      </w:r>
      <w:r w:rsidR="00887A19">
        <w:t>C</w:t>
      </w:r>
      <w:r w:rsidRPr="008A3126">
        <w:t xml:space="preserve">ost </w:t>
      </w:r>
      <w:r w:rsidR="00887A19">
        <w:t>T</w:t>
      </w:r>
      <w:r w:rsidRPr="008A3126">
        <w:t>rend.</w:t>
      </w:r>
    </w:p>
    <w:p w14:paraId="2F4EFF0B" w14:textId="77777777" w:rsidR="00D835E4" w:rsidRPr="008A3126" w:rsidRDefault="00D835E4" w:rsidP="00D835E4">
      <w:pPr>
        <w:ind w:left="720"/>
      </w:pPr>
      <w:r w:rsidRPr="008A3126">
        <w:t xml:space="preserve">Utilization Trend should include the change in the number of units per 1,000 members for a fixed level of illness burden. If utilization is expected to increase/decrease due to a change in the average health status of the population, that change should be reflected in the Population </w:t>
      </w:r>
      <w:r w:rsidR="00887A19">
        <w:t>R</w:t>
      </w:r>
      <w:r w:rsidRPr="008A3126">
        <w:t xml:space="preserve">isk Morbidity adjustment described above. </w:t>
      </w:r>
    </w:p>
    <w:p w14:paraId="049B0923" w14:textId="77777777" w:rsidR="00D835E4" w:rsidRPr="008A3126" w:rsidRDefault="00D835E4" w:rsidP="00D835E4">
      <w:pPr>
        <w:ind w:left="720"/>
      </w:pPr>
      <w:r w:rsidRPr="008A3126">
        <w:t>Utilization Trend should include assumed changes in the mix or intensity of services provided for a fixed level of illness burden.</w:t>
      </w:r>
    </w:p>
    <w:p w14:paraId="4ABA49C6" w14:textId="77777777" w:rsidR="00D835E4" w:rsidRPr="008A3126" w:rsidRDefault="00D835E4" w:rsidP="00D835E4">
      <w:pPr>
        <w:ind w:left="720"/>
      </w:pPr>
      <w:r w:rsidRPr="008A3126">
        <w:t>Utilization Trend should also reflect changes related to shifts in product mix. This includes changes in induced demand related to product shifts. It also includes any effects of selection since this cannot be reflected in the relative cost of the various products and plans offered.</w:t>
      </w:r>
    </w:p>
    <w:p w14:paraId="67AD0466" w14:textId="77777777" w:rsidR="00D835E4" w:rsidRPr="00E717E2" w:rsidRDefault="00D835E4" w:rsidP="00926D0E">
      <w:pPr>
        <w:pStyle w:val="Heading4"/>
      </w:pPr>
      <w:bookmarkStart w:id="231" w:name="_Toc410468933"/>
      <w:bookmarkStart w:id="232" w:name="_Toc410525288"/>
      <w:bookmarkStart w:id="233" w:name="_Toc410525376"/>
      <w:bookmarkStart w:id="234" w:name="_Toc410588813"/>
      <w:bookmarkStart w:id="235" w:name="_Toc411866085"/>
      <w:bookmarkStart w:id="236" w:name="_Toc411866603"/>
      <w:r w:rsidRPr="00E717E2">
        <w:t xml:space="preserve">Projections, before </w:t>
      </w:r>
      <w:r w:rsidRPr="008A3126">
        <w:rPr>
          <w:noProof/>
        </w:rPr>
        <w:t>Credibility</w:t>
      </w:r>
      <w:r w:rsidRPr="00E717E2">
        <w:t xml:space="preserve"> Adjustment</w:t>
      </w:r>
      <w:bookmarkEnd w:id="231"/>
      <w:bookmarkEnd w:id="232"/>
      <w:bookmarkEnd w:id="233"/>
      <w:bookmarkEnd w:id="234"/>
      <w:bookmarkEnd w:id="235"/>
      <w:bookmarkEnd w:id="236"/>
    </w:p>
    <w:p w14:paraId="738EA43A" w14:textId="77777777" w:rsidR="00D835E4" w:rsidRPr="00674068" w:rsidRDefault="00D835E4" w:rsidP="00D835E4">
      <w:pPr>
        <w:pStyle w:val="BodyText"/>
      </w:pPr>
      <w:r w:rsidRPr="00674068">
        <w:t>Projections before credibility adjustment are calculated by the template.</w:t>
      </w:r>
    </w:p>
    <w:p w14:paraId="423F49D8" w14:textId="77777777" w:rsidR="00D835E4" w:rsidRPr="008A3126" w:rsidRDefault="00D835E4" w:rsidP="00D835E4">
      <w:pPr>
        <w:pStyle w:val="BodyText"/>
      </w:pPr>
      <w:r w:rsidRPr="008A3126">
        <w:rPr>
          <w:b/>
        </w:rPr>
        <w:t>Utilization per 1,000</w:t>
      </w:r>
      <w:r w:rsidRPr="008A3126">
        <w:t xml:space="preserve">: The template calculates projected utilization per 1,000 by multiplying the experience period utilization per 1,000 by the Population </w:t>
      </w:r>
      <w:r w:rsidR="00887A19">
        <w:t>R</w:t>
      </w:r>
      <w:r w:rsidRPr="008A3126">
        <w:t xml:space="preserve">isk Morbidity </w:t>
      </w:r>
      <w:r w:rsidR="00887A19">
        <w:t>A</w:t>
      </w:r>
      <w:r w:rsidRPr="008A3126">
        <w:t xml:space="preserve">djustment and the </w:t>
      </w:r>
      <w:r w:rsidR="00887A19">
        <w:t>U</w:t>
      </w:r>
      <w:r w:rsidRPr="008A3126">
        <w:t xml:space="preserve">tilization </w:t>
      </w:r>
      <w:r w:rsidR="00887A19">
        <w:t>T</w:t>
      </w:r>
      <w:r w:rsidRPr="008A3126">
        <w:t>rend assumption. The Utilization Trend assumption in this calculation is raised to the power of the number of months between the midpoint of the Experience Period and the midpoint of the Projection Period (calculated previously by the template), divided by 12.</w:t>
      </w:r>
    </w:p>
    <w:p w14:paraId="1100B837" w14:textId="5F6FC11B" w:rsidR="00D835E4" w:rsidRPr="008A3126" w:rsidRDefault="00D835E4" w:rsidP="00D835E4">
      <w:pPr>
        <w:pStyle w:val="BodyText"/>
      </w:pPr>
      <w:r w:rsidRPr="008A3126">
        <w:rPr>
          <w:b/>
        </w:rPr>
        <w:t>Average Cost/Service</w:t>
      </w:r>
      <w:r w:rsidRPr="008A3126">
        <w:t xml:space="preserve">: The template calculates the projected average cost per service by multiplying the experience period average cost per service by the </w:t>
      </w:r>
      <w:r w:rsidR="00772423">
        <w:t>“</w:t>
      </w:r>
      <w:r w:rsidRPr="008A3126">
        <w:t>Other</w:t>
      </w:r>
      <w:r w:rsidR="00772423">
        <w:t>”</w:t>
      </w:r>
      <w:r w:rsidRPr="008A3126">
        <w:t xml:space="preserve"> adjustment and the </w:t>
      </w:r>
      <w:r w:rsidR="00887A19">
        <w:t>C</w:t>
      </w:r>
      <w:r w:rsidRPr="008A3126">
        <w:t xml:space="preserve">ost </w:t>
      </w:r>
      <w:r w:rsidR="00887A19">
        <w:t>T</w:t>
      </w:r>
      <w:r w:rsidRPr="008A3126">
        <w:t>rend assumption. The Cost Trend assumption in this calculation is raised to the power of the number of months between the midpoint of the Experience Period and the midpoint of the Projection Period (calculated previously by the template), divided by 12.</w:t>
      </w:r>
    </w:p>
    <w:p w14:paraId="63A7DA2A" w14:textId="77777777" w:rsidR="00D835E4" w:rsidRPr="008A3126" w:rsidRDefault="00D835E4" w:rsidP="00D835E4">
      <w:pPr>
        <w:pStyle w:val="BodyText"/>
      </w:pPr>
      <w:r w:rsidRPr="008A3126">
        <w:rPr>
          <w:b/>
        </w:rPr>
        <w:t>PMPM</w:t>
      </w:r>
      <w:r w:rsidRPr="008A3126">
        <w:t>: The projected allowed claims PMPM is calculated by the template, and is equal to projected Utilization per 1,000 times projected Average Cost/Service, divided by 12,000. The template sums the PMPM from each Benefit Category to calculate the total PMPM.</w:t>
      </w:r>
    </w:p>
    <w:p w14:paraId="39696256" w14:textId="77777777" w:rsidR="00D835E4" w:rsidRPr="00E717E2" w:rsidRDefault="00D835E4" w:rsidP="00926D0E">
      <w:pPr>
        <w:pStyle w:val="Heading4"/>
      </w:pPr>
      <w:bookmarkStart w:id="237" w:name="_Toc410468934"/>
      <w:bookmarkStart w:id="238" w:name="_Toc410525289"/>
      <w:bookmarkStart w:id="239" w:name="_Toc410525377"/>
      <w:bookmarkStart w:id="240" w:name="_Toc410588814"/>
      <w:bookmarkStart w:id="241" w:name="_Toc411866086"/>
      <w:bookmarkStart w:id="242" w:name="_Toc411866604"/>
      <w:r w:rsidRPr="00E717E2">
        <w:t>Credibility Manual</w:t>
      </w:r>
      <w:bookmarkEnd w:id="237"/>
      <w:bookmarkEnd w:id="238"/>
      <w:bookmarkEnd w:id="239"/>
      <w:bookmarkEnd w:id="240"/>
      <w:bookmarkEnd w:id="241"/>
      <w:bookmarkEnd w:id="242"/>
    </w:p>
    <w:p w14:paraId="1AEE585C" w14:textId="77777777" w:rsidR="00D835E4" w:rsidRPr="008A3126" w:rsidRDefault="00D835E4" w:rsidP="00D835E4">
      <w:pPr>
        <w:pStyle w:val="BodyText"/>
      </w:pPr>
      <w:r w:rsidRPr="00674068">
        <w:t xml:space="preserve">The credibility manual Utilization per 1,000 and </w:t>
      </w:r>
      <w:r w:rsidRPr="008A3126">
        <w:t xml:space="preserve">Average Cost /Service need only be populated with values greater than zero if the </w:t>
      </w:r>
      <w:r w:rsidR="00D45A54">
        <w:t>E</w:t>
      </w:r>
      <w:r w:rsidRPr="008A3126">
        <w:t xml:space="preserve">xperience </w:t>
      </w:r>
      <w:r w:rsidR="00D45A54">
        <w:t>P</w:t>
      </w:r>
      <w:r w:rsidRPr="008A3126">
        <w:t xml:space="preserve">eriod claims data is less than 100% credible for projecting future premium rates. When the </w:t>
      </w:r>
      <w:r w:rsidR="00D45A54">
        <w:t>E</w:t>
      </w:r>
      <w:r w:rsidRPr="008A3126">
        <w:t xml:space="preserve">xperience </w:t>
      </w:r>
      <w:r w:rsidR="00D45A54">
        <w:t>P</w:t>
      </w:r>
      <w:r w:rsidRPr="008A3126">
        <w:t>eriod claims data is 100% credible,</w:t>
      </w:r>
      <w:r w:rsidRPr="00674068">
        <w:t xml:space="preserve"> </w:t>
      </w:r>
      <w:proofErr w:type="spellStart"/>
      <w:r w:rsidRPr="00674068">
        <w:t>zeros</w:t>
      </w:r>
      <w:proofErr w:type="spellEnd"/>
      <w:r w:rsidRPr="00674068">
        <w:t xml:space="preserve"> must still be entered in the credibility manual section so as not to produce errors when the template is validated. </w:t>
      </w:r>
      <w:r w:rsidRPr="008A3126">
        <w:t>While credibility may not be applied in this manner in rate development, it must be shown in this manner for reporting purposes.</w:t>
      </w:r>
    </w:p>
    <w:p w14:paraId="44C0701A" w14:textId="77777777" w:rsidR="00D835E4" w:rsidRPr="008A3126" w:rsidRDefault="00D835E4" w:rsidP="00D835E4">
      <w:r w:rsidRPr="008A3126">
        <w:rPr>
          <w:b/>
        </w:rPr>
        <w:t>Utilization per 1,000</w:t>
      </w:r>
      <w:r w:rsidRPr="008A3126">
        <w:t>: Enter the assumed utilization per 1,000 for the data underlying the credibility manual.</w:t>
      </w:r>
    </w:p>
    <w:p w14:paraId="25997581" w14:textId="77777777" w:rsidR="00D835E4" w:rsidRPr="008A3126" w:rsidRDefault="00D835E4" w:rsidP="00D835E4">
      <w:pPr>
        <w:ind w:left="720"/>
      </w:pPr>
      <w:r w:rsidRPr="008A3126">
        <w:t>The Utilization per 1,000 must reflect the population and covered services for which rates are being submitted. If the issuer uses another credible block of business as the credibility manual, for example, the utilization of that population should be adjusted to reflect morbidity consistent with the projected population. Other adjustments may be necessary. The source of the credibility manual Utilization per 1,000 and the adjustments applied to it should be described in the Actuarial Memorandum.</w:t>
      </w:r>
    </w:p>
    <w:p w14:paraId="0B3DAA76" w14:textId="77777777" w:rsidR="00D835E4" w:rsidRPr="008A3126" w:rsidRDefault="00D835E4" w:rsidP="00D835E4">
      <w:r w:rsidRPr="008A3126">
        <w:rPr>
          <w:b/>
        </w:rPr>
        <w:t>Average Cost/Service</w:t>
      </w:r>
      <w:r w:rsidRPr="008A3126">
        <w:t>: Enter the assumed average cost per service for the data underlying the credibility manual.</w:t>
      </w:r>
    </w:p>
    <w:p w14:paraId="57C1271D" w14:textId="77777777" w:rsidR="00D835E4" w:rsidRPr="008A3126" w:rsidRDefault="00D835E4" w:rsidP="00D835E4">
      <w:pPr>
        <w:ind w:left="720"/>
      </w:pPr>
      <w:r w:rsidRPr="008A3126">
        <w:t>The cost per service must reflect the projected cost for the population and covered services for which rates are being submitted. If the issuer uses another credible block of business from a different geographic region as the credibility manual, for example, the cost for that population should be adjusted to reflect differences in provider contracting of the two regions. The source of the credibility manual average cost per service and the adjustments applied to it should be described in the Actuarial Memorandum.</w:t>
      </w:r>
    </w:p>
    <w:p w14:paraId="280670DB" w14:textId="77777777" w:rsidR="00D835E4" w:rsidRPr="008A3126" w:rsidRDefault="00D835E4" w:rsidP="00D835E4">
      <w:pPr>
        <w:pStyle w:val="BodyText"/>
      </w:pPr>
      <w:r w:rsidRPr="008A3126">
        <w:rPr>
          <w:b/>
        </w:rPr>
        <w:t>PMPM</w:t>
      </w:r>
      <w:r w:rsidRPr="008A3126">
        <w:t>: The projected credibility manual PMPM is calculated by the template, and is equal to the credibility manual Utilization per 1,000 times the credibility manual Average Cost/Service, divided by 12,000. The template sums the PMPM from each Benefit Category to calculate the total PMPM.</w:t>
      </w:r>
    </w:p>
    <w:p w14:paraId="1A245BED" w14:textId="77777777" w:rsidR="00D835E4" w:rsidRPr="00E717E2" w:rsidRDefault="00D835E4" w:rsidP="0025279D">
      <w:pPr>
        <w:pStyle w:val="Heading3"/>
      </w:pPr>
      <w:bookmarkStart w:id="243" w:name="_Toc410468935"/>
      <w:bookmarkStart w:id="244" w:name="_Toc410525290"/>
      <w:bookmarkStart w:id="245" w:name="_Toc410525378"/>
      <w:bookmarkStart w:id="246" w:name="_Toc410588815"/>
      <w:bookmarkStart w:id="247" w:name="_Toc411866087"/>
      <w:bookmarkStart w:id="248" w:name="_Toc411866605"/>
      <w:bookmarkStart w:id="249" w:name="_Toc412032777"/>
      <w:bookmarkStart w:id="250" w:name="_Toc411936249"/>
      <w:bookmarkStart w:id="251" w:name="_Toc412287659"/>
      <w:bookmarkStart w:id="252" w:name="_Toc441756503"/>
      <w:r w:rsidRPr="00E717E2">
        <w:t>Section III: Projected Experience</w:t>
      </w:r>
      <w:bookmarkEnd w:id="243"/>
      <w:bookmarkEnd w:id="244"/>
      <w:bookmarkEnd w:id="245"/>
      <w:bookmarkEnd w:id="246"/>
      <w:bookmarkEnd w:id="247"/>
      <w:bookmarkEnd w:id="248"/>
      <w:bookmarkEnd w:id="249"/>
      <w:bookmarkEnd w:id="250"/>
      <w:bookmarkEnd w:id="251"/>
      <w:bookmarkEnd w:id="252"/>
      <w:r w:rsidRPr="00E717E2">
        <w:t xml:space="preserve"> </w:t>
      </w:r>
    </w:p>
    <w:p w14:paraId="66E18331" w14:textId="6A2C46CA" w:rsidR="00D835E4" w:rsidRPr="008A3126" w:rsidRDefault="00D835E4" w:rsidP="00FA27FA">
      <w:pPr>
        <w:pStyle w:val="NoSpacing"/>
        <w:keepNext/>
      </w:pPr>
      <w:bookmarkStart w:id="253" w:name="_Toc410468936"/>
      <w:bookmarkStart w:id="254" w:name="_Toc410525291"/>
      <w:bookmarkStart w:id="255" w:name="_Toc410525379"/>
      <w:r w:rsidRPr="00E717E2">
        <w:rPr>
          <w:b/>
        </w:rPr>
        <w:t xml:space="preserve">Projected Amounts </w:t>
      </w:r>
      <w:proofErr w:type="gramStart"/>
      <w:r w:rsidRPr="00E717E2">
        <w:rPr>
          <w:b/>
        </w:rPr>
        <w:t>After</w:t>
      </w:r>
      <w:proofErr w:type="gramEnd"/>
      <w:r w:rsidRPr="00E717E2">
        <w:rPr>
          <w:b/>
        </w:rPr>
        <w:t xml:space="preserve"> </w:t>
      </w:r>
      <w:bookmarkEnd w:id="253"/>
      <w:bookmarkEnd w:id="254"/>
      <w:bookmarkEnd w:id="255"/>
      <w:r w:rsidRPr="00212166">
        <w:rPr>
          <w:b/>
        </w:rPr>
        <w:t xml:space="preserve">Credibility Percentage: </w:t>
      </w:r>
      <w:r w:rsidR="00FA27FA">
        <w:rPr>
          <w:b/>
        </w:rPr>
        <w:t xml:space="preserve"> </w:t>
      </w:r>
      <w:r w:rsidRPr="00674068">
        <w:t xml:space="preserve">Enter the assumed level of credibility to be applied to the </w:t>
      </w:r>
      <w:r w:rsidR="00E97C11">
        <w:t>E</w:t>
      </w:r>
      <w:r w:rsidRPr="00674068">
        <w:t xml:space="preserve">xperience </w:t>
      </w:r>
      <w:r w:rsidR="00E97C11">
        <w:t>P</w:t>
      </w:r>
      <w:r w:rsidRPr="00674068">
        <w:t>eriod claims that have been projected to the rating period.</w:t>
      </w:r>
    </w:p>
    <w:p w14:paraId="6EFE8E75" w14:textId="77777777" w:rsidR="00E664BB" w:rsidRPr="008A3126" w:rsidRDefault="00E664BB" w:rsidP="00FA27FA">
      <w:pPr>
        <w:pStyle w:val="NoSpacing"/>
        <w:keepNext/>
      </w:pPr>
    </w:p>
    <w:p w14:paraId="7472E602" w14:textId="77777777" w:rsidR="00D835E4" w:rsidRPr="008A3126" w:rsidRDefault="00D835E4" w:rsidP="00D835E4">
      <w:pPr>
        <w:ind w:left="720"/>
      </w:pPr>
      <w:r w:rsidRPr="008A3126">
        <w:t>The percentage must be between 0% and 100%. Describe the methodology used to determine the Credibility Percentage in the Actuarial Memorandum.</w:t>
      </w:r>
    </w:p>
    <w:p w14:paraId="76EEDA8D" w14:textId="77777777" w:rsidR="00D835E4" w:rsidRPr="008A3126" w:rsidRDefault="00D835E4" w:rsidP="00D835E4">
      <w:pPr>
        <w:ind w:left="720"/>
      </w:pPr>
      <w:r w:rsidRPr="008A3126">
        <w:t>The template calculates the credibility to be assigned to the credibility manual, and is equal to 1 minus the credibility assigned to the projected experience claims.</w:t>
      </w:r>
    </w:p>
    <w:p w14:paraId="44434EEE" w14:textId="77777777" w:rsidR="00D835E4" w:rsidRPr="008A3126" w:rsidRDefault="00D835E4" w:rsidP="00D835E4">
      <w:r w:rsidRPr="00212166">
        <w:rPr>
          <w:b/>
        </w:rPr>
        <w:t>Projected Allowed Experience Claims PMPM (</w:t>
      </w:r>
      <w:r w:rsidRPr="00E712E8">
        <w:rPr>
          <w:b/>
        </w:rPr>
        <w:t>w</w:t>
      </w:r>
      <w:r w:rsidR="00E63140" w:rsidRPr="00E712E8">
        <w:rPr>
          <w:b/>
        </w:rPr>
        <w:t>ith</w:t>
      </w:r>
      <w:r w:rsidRPr="00E712E8">
        <w:rPr>
          <w:b/>
        </w:rPr>
        <w:t xml:space="preserve"> </w:t>
      </w:r>
      <w:r w:rsidRPr="00212166">
        <w:rPr>
          <w:b/>
        </w:rPr>
        <w:t>applied credibility if applicable</w:t>
      </w:r>
      <w:r w:rsidRPr="00C974E2">
        <w:rPr>
          <w:b/>
        </w:rPr>
        <w:t>)</w:t>
      </w:r>
      <w:r w:rsidRPr="00212166">
        <w:rPr>
          <w:b/>
        </w:rPr>
        <w:t>:</w:t>
      </w:r>
      <w:r w:rsidRPr="00674068">
        <w:t xml:space="preserve"> The template calculates this value as the sum of the projected experience PMPM multiplied by its credibility</w:t>
      </w:r>
      <w:r w:rsidRPr="008A3126">
        <w:t>, and the credibility manual PMPM multiplied by the complement of the credibility (calculated previously by the template).</w:t>
      </w:r>
    </w:p>
    <w:p w14:paraId="6537D61A" w14:textId="77777777" w:rsidR="00D835E4" w:rsidRPr="00212166" w:rsidRDefault="00D835E4" w:rsidP="00D835E4">
      <w:pPr>
        <w:rPr>
          <w:b/>
        </w:rPr>
      </w:pPr>
      <w:r w:rsidRPr="00212166">
        <w:rPr>
          <w:b/>
        </w:rPr>
        <w:t>Paid to Allowed Average Factor in the Projection Period: Enter the average paid to allowed factor for the Projection Period.</w:t>
      </w:r>
    </w:p>
    <w:p w14:paraId="2A1D94E3" w14:textId="77777777" w:rsidR="00D835E4" w:rsidRPr="008A3126" w:rsidRDefault="00D835E4" w:rsidP="00D835E4">
      <w:pPr>
        <w:ind w:left="720"/>
      </w:pPr>
      <w:r w:rsidRPr="008A3126">
        <w:t xml:space="preserve">This amount is not from the AV </w:t>
      </w:r>
      <w:r w:rsidR="00E63140">
        <w:t>C</w:t>
      </w:r>
      <w:r w:rsidRPr="008A3126">
        <w:t xml:space="preserve">alculator. It should equal the total expected paid claims that are the liability of the issuer divided by the total expected allowed claims for the Projection Period, for the population anticipated to be covered in the Projection Period. Allowed claims have the same definition as in Section I. Paid claims are analogous to the Incurred Claims defined in Section I. Paid claims are net of member </w:t>
      </w:r>
      <w:r w:rsidR="006900FC">
        <w:t>cost-sharing</w:t>
      </w:r>
      <w:r w:rsidRPr="008A3126">
        <w:t xml:space="preserve"> and </w:t>
      </w:r>
      <w:r w:rsidR="006900FC">
        <w:t>cost-sharing</w:t>
      </w:r>
      <w:r w:rsidRPr="008A3126">
        <w:t xml:space="preserve"> paid by HHS on behalf of low-income members. The Paid to Allowed Average Factor in the Projection Period</w:t>
      </w:r>
      <w:r w:rsidRPr="008A3126" w:rsidDel="00EC01B7">
        <w:t xml:space="preserve"> </w:t>
      </w:r>
      <w:r w:rsidRPr="008A3126">
        <w:t xml:space="preserve">should reflect the average benefit level anticipated during the </w:t>
      </w:r>
      <w:r w:rsidR="00E97C11">
        <w:t>P</w:t>
      </w:r>
      <w:r w:rsidRPr="008A3126">
        <w:t xml:space="preserve">rojection </w:t>
      </w:r>
      <w:r w:rsidR="00E97C11">
        <w:t>P</w:t>
      </w:r>
      <w:r w:rsidRPr="008A3126">
        <w:t xml:space="preserve">eriod. For example, if the issuer’s members were enrolled primarily in Silver plans in the experience period, but are anticipated to shift to Bronze, then the Paid to Allowed Average Factor in the Projection Period should reflect Bronze </w:t>
      </w:r>
      <w:r w:rsidR="006900FC">
        <w:t>cost-sharing</w:t>
      </w:r>
      <w:r w:rsidRPr="008A3126">
        <w:t xml:space="preserve"> levels.</w:t>
      </w:r>
    </w:p>
    <w:p w14:paraId="4BE5A274" w14:textId="77777777" w:rsidR="00D835E4" w:rsidRPr="008A3126" w:rsidRDefault="00D835E4" w:rsidP="00D835E4">
      <w:pPr>
        <w:ind w:left="720"/>
      </w:pPr>
      <w:r w:rsidRPr="008A3126">
        <w:t xml:space="preserve">Since the paid claims in the numerator are the trended amounts for the Projection Period, they should reflect any leveraging of fixed dollar </w:t>
      </w:r>
      <w:r w:rsidR="006900FC">
        <w:t>cost-sharing</w:t>
      </w:r>
      <w:r w:rsidRPr="008A3126">
        <w:t xml:space="preserve"> inherent in the benefit plans. That is, if no change in benefit mix is anticipated relative to the Experience Period, the paid to </w:t>
      </w:r>
      <w:proofErr w:type="gramStart"/>
      <w:r w:rsidRPr="008A3126">
        <w:t>allowed</w:t>
      </w:r>
      <w:proofErr w:type="gramEnd"/>
      <w:r w:rsidRPr="008A3126">
        <w:t xml:space="preserve"> ratio should be higher in the projection period than what was realized in the </w:t>
      </w:r>
      <w:r w:rsidR="00E97C11">
        <w:t>E</w:t>
      </w:r>
      <w:r w:rsidRPr="008A3126">
        <w:t xml:space="preserve">xperience </w:t>
      </w:r>
      <w:r w:rsidR="00E97C11">
        <w:t>P</w:t>
      </w:r>
      <w:r w:rsidRPr="008A3126">
        <w:t xml:space="preserve">eriod due to the leveraging of </w:t>
      </w:r>
      <w:r w:rsidR="006900FC">
        <w:t>cost-sharing</w:t>
      </w:r>
      <w:r w:rsidRPr="008A3126">
        <w:t xml:space="preserve">. </w:t>
      </w:r>
    </w:p>
    <w:p w14:paraId="43961BC0" w14:textId="7D528AAF" w:rsidR="00D835E4" w:rsidRPr="008A3126" w:rsidRDefault="00BA6F02" w:rsidP="00D835E4">
      <w:r w:rsidRPr="00212166">
        <w:rPr>
          <w:b/>
        </w:rPr>
        <w:t>Projected Incurred Claims, before ACA Reinsurance &amp; Risk Adjustment, PMPM:</w:t>
      </w:r>
      <w:r w:rsidRPr="00674068">
        <w:t xml:space="preserve"> The template calculates this value by multiplying the Projected Allowed Experience Claims PMPM (w</w:t>
      </w:r>
      <w:r>
        <w:t>ith</w:t>
      </w:r>
      <w:r w:rsidRPr="00674068">
        <w:t xml:space="preserve"> applied credibility if applicable) by the Paid to Allowed Average Factor in the Projection Period.</w:t>
      </w:r>
    </w:p>
    <w:p w14:paraId="70B365E5" w14:textId="77777777" w:rsidR="00D835E4" w:rsidRPr="00674068" w:rsidRDefault="00D835E4" w:rsidP="00D835E4">
      <w:r w:rsidRPr="00212166">
        <w:rPr>
          <w:b/>
        </w:rPr>
        <w:t>Projected Risk Adjustments, PMPM:</w:t>
      </w:r>
      <w:r w:rsidRPr="00674068">
        <w:t xml:space="preserve"> Enter the projected PMPM </w:t>
      </w:r>
      <w:r w:rsidRPr="008A3126">
        <w:t xml:space="preserve">amount of net </w:t>
      </w:r>
      <w:r w:rsidRPr="00674068">
        <w:t xml:space="preserve">risk adjustment transfers (i.e., net effect of risk adjustment payments and charges) </w:t>
      </w:r>
      <w:r w:rsidRPr="008A3126">
        <w:t>for the Projection Period, and net of risk adjustment user fees</w:t>
      </w:r>
      <w:r w:rsidRPr="008A3126">
        <w:rPr>
          <w:rFonts w:cstheme="minorHAnsi"/>
        </w:rPr>
        <w:t xml:space="preserve">. The value should reflect the actual PMPM amounts expected in the </w:t>
      </w:r>
      <w:r w:rsidR="00E97C11">
        <w:rPr>
          <w:rFonts w:cstheme="minorHAnsi"/>
        </w:rPr>
        <w:t>P</w:t>
      </w:r>
      <w:r w:rsidRPr="008A3126">
        <w:rPr>
          <w:rFonts w:cstheme="minorHAnsi"/>
        </w:rPr>
        <w:t xml:space="preserve">rojection </w:t>
      </w:r>
      <w:r w:rsidR="00E97C11">
        <w:rPr>
          <w:rFonts w:cstheme="minorHAnsi"/>
        </w:rPr>
        <w:t>P</w:t>
      </w:r>
      <w:r w:rsidRPr="008A3126">
        <w:rPr>
          <w:rFonts w:cstheme="minorHAnsi"/>
        </w:rPr>
        <w:t xml:space="preserve">eriod. However, the net risk adjustment transfer amount applied in the calculation of the Market Adjusted Index Rate should be grossed up by the paid to </w:t>
      </w:r>
      <w:proofErr w:type="gramStart"/>
      <w:r w:rsidRPr="008A3126">
        <w:rPr>
          <w:rFonts w:cstheme="minorHAnsi"/>
        </w:rPr>
        <w:t>allowed</w:t>
      </w:r>
      <w:proofErr w:type="gramEnd"/>
      <w:r w:rsidRPr="008A3126">
        <w:rPr>
          <w:rFonts w:cstheme="minorHAnsi"/>
        </w:rPr>
        <w:t xml:space="preserve"> average factor as the Index Rate and Market Adjusted Index Rate reflect claim costs on an allowed basis</w:t>
      </w:r>
      <w:r w:rsidRPr="00674068">
        <w:t>.</w:t>
      </w:r>
    </w:p>
    <w:p w14:paraId="2D58F788" w14:textId="77777777" w:rsidR="00D835E4" w:rsidRPr="008A3126" w:rsidRDefault="00D835E4" w:rsidP="00D835E4">
      <w:pPr>
        <w:ind w:left="720"/>
      </w:pPr>
      <w:r w:rsidRPr="008A3126">
        <w:t xml:space="preserve">The risk transfers should reflect the projected morbidity, including any projected Population </w:t>
      </w:r>
      <w:r w:rsidR="004153B3">
        <w:t>R</w:t>
      </w:r>
      <w:r w:rsidRPr="008A3126">
        <w:t>isk Morbidity changes in column J in Section II.</w:t>
      </w:r>
    </w:p>
    <w:p w14:paraId="491CE144" w14:textId="77777777" w:rsidR="00D835E4" w:rsidRPr="008A3126" w:rsidRDefault="00D835E4" w:rsidP="00D835E4">
      <w:pPr>
        <w:ind w:left="720"/>
      </w:pPr>
      <w:r w:rsidRPr="008A3126">
        <w:t>If the issuer expects to receive a projected risk adjustment charge, then the entry should be a positive value. If the issuer expects to make a projected risk adjustment payment, then the entry should be a negative value.</w:t>
      </w:r>
    </w:p>
    <w:p w14:paraId="73FAC4C4" w14:textId="77777777" w:rsidR="00D835E4" w:rsidRPr="008A3126" w:rsidRDefault="00D835E4" w:rsidP="00D835E4">
      <w:pPr>
        <w:ind w:left="720"/>
      </w:pPr>
      <w:r w:rsidRPr="008A3126">
        <w:t>Risk adjustment user fees should be reflected here, and not in the Taxes &amp; Fees.</w:t>
      </w:r>
    </w:p>
    <w:p w14:paraId="765B95F3" w14:textId="77777777" w:rsidR="00D835E4" w:rsidRPr="008A3126" w:rsidRDefault="00D835E4" w:rsidP="00D835E4">
      <w:pPr>
        <w:ind w:left="720"/>
      </w:pPr>
      <w:r w:rsidRPr="008A3126">
        <w:t>The calculation of the projected risk adjustments should consider the appropriate published transfer equation. Please describe the methodology for estimating the PMPM amount in the Actuarial Memorandum.</w:t>
      </w:r>
    </w:p>
    <w:p w14:paraId="32948A22" w14:textId="77777777" w:rsidR="00D835E4" w:rsidRPr="008A3126" w:rsidRDefault="00BA6F02" w:rsidP="00D835E4">
      <w:r w:rsidRPr="00212166">
        <w:rPr>
          <w:b/>
        </w:rPr>
        <w:t>Projected Incurred Claims, before reinsurance recoveries, net of reinsurance premium, PMPM:</w:t>
      </w:r>
      <w:r w:rsidRPr="00674068">
        <w:t xml:space="preserve"> The template calculates this value by subtracting the Projected Risk Adjustments, PMPM from the Projected Incurred Claims, before ACA rein</w:t>
      </w:r>
      <w:r>
        <w:t>surance</w:t>
      </w:r>
      <w:r w:rsidRPr="00674068">
        <w:t xml:space="preserve"> &amp; Risk Adj</w:t>
      </w:r>
      <w:r>
        <w:t>ustmen</w:t>
      </w:r>
      <w:r w:rsidRPr="00674068">
        <w:t xml:space="preserve">t, PMPM. </w:t>
      </w:r>
    </w:p>
    <w:p w14:paraId="38E9B6E9" w14:textId="5F019467" w:rsidR="00217AF4" w:rsidRDefault="00D835E4" w:rsidP="00D835E4">
      <w:r w:rsidRPr="00212166">
        <w:rPr>
          <w:b/>
        </w:rPr>
        <w:t>Projected ACA Reinsurance Recoveries, Net of Premium:</w:t>
      </w:r>
      <w:r w:rsidR="0032185C">
        <w:rPr>
          <w:b/>
        </w:rPr>
        <w:t xml:space="preserve"> </w:t>
      </w:r>
      <w:r w:rsidRPr="00674068">
        <w:t xml:space="preserve"> </w:t>
      </w:r>
      <w:r w:rsidR="00217AF4">
        <w:t xml:space="preserve">This is a holdover from prior years.  As </w:t>
      </w:r>
      <w:r w:rsidR="00E664BB">
        <w:t xml:space="preserve">proposed in the 2017 Payment Notice, </w:t>
      </w:r>
      <w:r w:rsidR="00217AF4">
        <w:t xml:space="preserve">the reinsurance program </w:t>
      </w:r>
      <w:r w:rsidR="00E664BB">
        <w:t>will end</w:t>
      </w:r>
      <w:r w:rsidR="00217AF4">
        <w:t xml:space="preserve"> </w:t>
      </w:r>
      <w:r w:rsidR="00183B5F">
        <w:t xml:space="preserve">with the </w:t>
      </w:r>
      <w:r w:rsidR="00217AF4">
        <w:t xml:space="preserve">2016 </w:t>
      </w:r>
      <w:r w:rsidR="00183B5F">
        <w:t>benefit year</w:t>
      </w:r>
      <w:r w:rsidR="00217AF4">
        <w:t>, it is expected this field will be populated with “0”</w:t>
      </w:r>
      <w:r w:rsidR="0032185C">
        <w:t xml:space="preserve"> </w:t>
      </w:r>
      <w:r w:rsidR="00301CA6">
        <w:t>f</w:t>
      </w:r>
      <w:r w:rsidR="0032185C">
        <w:t>or 2017</w:t>
      </w:r>
    </w:p>
    <w:p w14:paraId="4D55D33E" w14:textId="77777777" w:rsidR="00D835E4" w:rsidRPr="008A3126" w:rsidRDefault="00D835E4" w:rsidP="00D835E4">
      <w:r w:rsidRPr="008A3126">
        <w:rPr>
          <w:b/>
        </w:rPr>
        <w:t>Projected Incurred Claims</w:t>
      </w:r>
      <w:r w:rsidRPr="008A3126">
        <w:t>: The template calculates this value by subtracting Projected Risk Adjustments, PMPM and Projected ACA Reinsurance Recoveries, Net of Premium from Projected Incurred Claims, before ACA rein</w:t>
      </w:r>
      <w:r w:rsidR="00BC07E0">
        <w:t>surance</w:t>
      </w:r>
      <w:r w:rsidRPr="008A3126">
        <w:t xml:space="preserve"> &amp; Risk Adj</w:t>
      </w:r>
      <w:r w:rsidR="00BC07E0">
        <w:t>ustmen</w:t>
      </w:r>
      <w:r w:rsidRPr="008A3126">
        <w:t>t, PMPM.</w:t>
      </w:r>
    </w:p>
    <w:p w14:paraId="7095D6C0" w14:textId="77777777" w:rsidR="00D835E4" w:rsidRPr="008A3126" w:rsidRDefault="00D835E4" w:rsidP="00D835E4">
      <w:r w:rsidRPr="008A3126">
        <w:rPr>
          <w:b/>
        </w:rPr>
        <w:t>Administrative Expense Load</w:t>
      </w:r>
      <w:r w:rsidRPr="008A3126">
        <w:t>: Enter the administrative expense load included in the premiums being filed for the effective date.</w:t>
      </w:r>
    </w:p>
    <w:p w14:paraId="3F5C6CCD" w14:textId="77777777" w:rsidR="00D835E4" w:rsidRPr="008A3126" w:rsidRDefault="00D835E4" w:rsidP="00D835E4">
      <w:pPr>
        <w:ind w:left="720"/>
      </w:pPr>
      <w:r w:rsidRPr="008A3126">
        <w:t>Enter the load as a percentage of premium. The template uses the percentage to calculate the PMPM administrative expense load.</w:t>
      </w:r>
    </w:p>
    <w:p w14:paraId="57C6C16C" w14:textId="77777777" w:rsidR="00D835E4" w:rsidRPr="008A3126" w:rsidRDefault="00D835E4" w:rsidP="00D835E4">
      <w:pPr>
        <w:ind w:left="720"/>
      </w:pPr>
      <w:r w:rsidRPr="008A3126">
        <w:t>If the Administrative Expense Load varies by product or plan, enter the average expense load for the single risk pool, using a premium-weighted average.</w:t>
      </w:r>
    </w:p>
    <w:p w14:paraId="7EF73AFA" w14:textId="52BC7AFC" w:rsidR="00D835E4" w:rsidRPr="008A3126" w:rsidRDefault="00D835E4" w:rsidP="00D835E4">
      <w:pPr>
        <w:ind w:left="720"/>
      </w:pPr>
      <w:r w:rsidRPr="008A3126">
        <w:t xml:space="preserve">The Administrative Expense Load should include expense loads related to quality improvement and fraud detection/recovery, even if those expenses are considered part of incurred claims for purposes of MLR rebate calculations. It should also include loads for taxes and fees that may not be subtracted from premium in the MLR rebate calculation. For reporting purposes, it should not include the profit and risk load or the taxes and </w:t>
      </w:r>
      <w:r w:rsidR="00DA4C64">
        <w:t>fees</w:t>
      </w:r>
      <w:r w:rsidR="00DA4C64" w:rsidRPr="008A3126">
        <w:t xml:space="preserve"> </w:t>
      </w:r>
      <w:r w:rsidRPr="008A3126">
        <w:t xml:space="preserve">load, both described below, even though they are considered administrative expenses for purposes of adjusting the Index Rate to arrive at premium in the pricing process. </w:t>
      </w:r>
    </w:p>
    <w:p w14:paraId="6D9E747D" w14:textId="77777777" w:rsidR="00D835E4" w:rsidRPr="008A3126" w:rsidRDefault="00D835E4" w:rsidP="00D835E4">
      <w:r w:rsidRPr="008A3126">
        <w:rPr>
          <w:b/>
        </w:rPr>
        <w:t>Profit &amp; Risk Load</w:t>
      </w:r>
      <w:r w:rsidRPr="008A3126">
        <w:t>: Enter the profit and risk load included in the premiums being filed for the effective date.</w:t>
      </w:r>
    </w:p>
    <w:p w14:paraId="72E7E05C" w14:textId="77777777" w:rsidR="00D835E4" w:rsidRPr="008A3126" w:rsidRDefault="00D835E4" w:rsidP="00D835E4">
      <w:pPr>
        <w:ind w:left="720"/>
      </w:pPr>
      <w:r w:rsidRPr="008A3126">
        <w:t>Enter the load as a percentage of premium. Not-for-profit issuers should enter the load for contribution to surplus in this entry. The template uses the percentage to calculate the PMPM profit and risk load.</w:t>
      </w:r>
    </w:p>
    <w:p w14:paraId="44971A7D" w14:textId="77777777" w:rsidR="00D835E4" w:rsidRPr="008A3126" w:rsidRDefault="00D835E4" w:rsidP="00D835E4">
      <w:pPr>
        <w:ind w:left="720"/>
      </w:pPr>
      <w:r w:rsidRPr="008A3126">
        <w:t>If the Profit &amp; Risk Load varies by product or plan, enter the average profit and risk load for the single risk pool, using a premium-weighted average.</w:t>
      </w:r>
    </w:p>
    <w:p w14:paraId="73E00AFE" w14:textId="77777777" w:rsidR="00D835E4" w:rsidRPr="008A3126" w:rsidRDefault="00D835E4" w:rsidP="00D835E4">
      <w:pPr>
        <w:ind w:left="720"/>
      </w:pPr>
      <w:r w:rsidRPr="008A3126">
        <w:t xml:space="preserve">Since taxes (including any </w:t>
      </w:r>
      <w:r w:rsidR="006900FC">
        <w:t>Federal</w:t>
      </w:r>
      <w:r w:rsidRPr="008A3126">
        <w:t xml:space="preserve"> income tax) are captured separately in the Taxes &amp; Fees input, the </w:t>
      </w:r>
      <w:r w:rsidR="00E6087A">
        <w:t>P</w:t>
      </w:r>
      <w:r w:rsidRPr="008A3126">
        <w:t xml:space="preserve">rofit </w:t>
      </w:r>
      <w:r w:rsidR="00E6087A">
        <w:t>&amp;</w:t>
      </w:r>
      <w:r w:rsidR="00E6087A" w:rsidRPr="008A3126">
        <w:t xml:space="preserve"> </w:t>
      </w:r>
      <w:r w:rsidR="00E6087A">
        <w:t>R</w:t>
      </w:r>
      <w:r w:rsidRPr="008A3126">
        <w:t xml:space="preserve">isk </w:t>
      </w:r>
      <w:r w:rsidR="00E6087A">
        <w:t>L</w:t>
      </w:r>
      <w:r w:rsidRPr="008A3126">
        <w:t>oad should reflect after-tax amounts.</w:t>
      </w:r>
    </w:p>
    <w:p w14:paraId="7512AD74" w14:textId="77777777" w:rsidR="00D835E4" w:rsidRPr="008A3126" w:rsidRDefault="00D835E4" w:rsidP="00D835E4">
      <w:pPr>
        <w:ind w:left="720"/>
      </w:pPr>
      <w:r w:rsidRPr="008A3126">
        <w:t>Note that for pricing purposes, profit and risk load is considered part of administrative expenses, per 45 CFR §</w:t>
      </w:r>
      <w:r w:rsidR="00E6087A">
        <w:t xml:space="preserve"> </w:t>
      </w:r>
      <w:r w:rsidRPr="008A3126">
        <w:t>156.80(d). It is shown separately on the template to facilitate rate review.</w:t>
      </w:r>
    </w:p>
    <w:p w14:paraId="68952CA8" w14:textId="77777777" w:rsidR="00D835E4" w:rsidRPr="008A3126" w:rsidRDefault="00D835E4" w:rsidP="00D835E4">
      <w:r w:rsidRPr="008A3126">
        <w:rPr>
          <w:b/>
        </w:rPr>
        <w:t>Taxes &amp; Fees</w:t>
      </w:r>
      <w:r w:rsidRPr="008A3126">
        <w:t>: Enter the taxes and fees included in the premiums being filed for the effective date.</w:t>
      </w:r>
    </w:p>
    <w:p w14:paraId="3DDF0A10" w14:textId="7EA6E60F" w:rsidR="00D835E4" w:rsidRPr="008A3126" w:rsidRDefault="00D835E4" w:rsidP="00D835E4">
      <w:pPr>
        <w:ind w:left="720"/>
      </w:pPr>
      <w:r w:rsidRPr="008A3126">
        <w:t xml:space="preserve">Enter only the portion of any load that is for taxes and fees that may be subtracted from premiums for purposes of calculating MLR. This includes </w:t>
      </w:r>
      <w:r w:rsidR="00E6087A">
        <w:t>F</w:t>
      </w:r>
      <w:r w:rsidRPr="008A3126">
        <w:t>ederal income tax.  However, do not include any contributions to the Federal transitional reinsurance program or risk adjustment user fees in this amount despite their treatment in MLR calculations, since Federal reinsurance and risk adjustment amounts are expressed in the template net of reinsurance premium and risk adjustment user fees. Any additional load for taxes and fees should be reflected in the Administrative Expense Load. The template uses the percentage to calculate the PMPM Taxes &amp; Fees.</w:t>
      </w:r>
    </w:p>
    <w:p w14:paraId="3091EA45" w14:textId="77777777" w:rsidR="00D835E4" w:rsidRPr="008A3126" w:rsidRDefault="00D835E4" w:rsidP="00D835E4">
      <w:pPr>
        <w:ind w:left="720"/>
        <w:rPr>
          <w:b/>
        </w:rPr>
      </w:pPr>
      <w:r w:rsidRPr="008A3126">
        <w:t>If the Taxes &amp; Fees percentage varies by product or plan, enter the average Taxes &amp; Fees percentage for the single risk pool, using a premium-weighted average.</w:t>
      </w:r>
    </w:p>
    <w:p w14:paraId="68D52677" w14:textId="0EDDBC00" w:rsidR="00D835E4" w:rsidRPr="008A3126" w:rsidRDefault="00D835E4" w:rsidP="00D835E4">
      <w:pPr>
        <w:ind w:left="720"/>
      </w:pPr>
      <w:r w:rsidRPr="008A3126">
        <w:t>Note that for pricing purposes, taxes and fees are considered part of administrative expenses, per 45 CFR 156.80(d). It is shown separately on the template to facilitate rate review.</w:t>
      </w:r>
    </w:p>
    <w:p w14:paraId="5431956C" w14:textId="07D97ACE" w:rsidR="00D835E4" w:rsidRPr="008A3126" w:rsidRDefault="00D835E4" w:rsidP="00D835E4">
      <w:r w:rsidRPr="008A3126">
        <w:rPr>
          <w:b/>
        </w:rPr>
        <w:t xml:space="preserve">Single Risk Pool Gross Premium </w:t>
      </w:r>
      <w:r w:rsidR="00BA6F02" w:rsidRPr="008A3126">
        <w:rPr>
          <w:b/>
        </w:rPr>
        <w:t>Av</w:t>
      </w:r>
      <w:r w:rsidR="00BA6F02">
        <w:rPr>
          <w:b/>
        </w:rPr>
        <w:t>erage</w:t>
      </w:r>
      <w:r w:rsidRPr="008A3126">
        <w:rPr>
          <w:b/>
        </w:rPr>
        <w:t xml:space="preserve"> Rate, PMPM</w:t>
      </w:r>
      <w:r w:rsidRPr="008A3126">
        <w:t>: The template calculates this value by dividing the Projected Incurred Claims by 1 minus the Administrative Expense Load percentage less the Profit &amp; Risk Load percentage less Taxes &amp; Fees percentage.</w:t>
      </w:r>
    </w:p>
    <w:p w14:paraId="0D3E232F" w14:textId="29A8106E" w:rsidR="00D835E4" w:rsidRPr="008A3126" w:rsidRDefault="00D835E4" w:rsidP="00D835E4">
      <w:r w:rsidRPr="008A3126">
        <w:rPr>
          <w:b/>
        </w:rPr>
        <w:t>Index Rate for Projection Period</w:t>
      </w:r>
      <w:r w:rsidRPr="008A3126">
        <w:t xml:space="preserve">: Enter the projected Index Rate. </w:t>
      </w:r>
    </w:p>
    <w:p w14:paraId="23D87879" w14:textId="597D693F" w:rsidR="00D835E4" w:rsidRPr="008A3126" w:rsidRDefault="00D835E4" w:rsidP="00D835E4">
      <w:pPr>
        <w:ind w:left="720"/>
      </w:pPr>
      <w:r w:rsidRPr="008A3126">
        <w:t xml:space="preserve">As noted in Section I, the Index Rate represents the average allowed claims PMPM for </w:t>
      </w:r>
      <w:r w:rsidR="0026206B">
        <w:t>EHB</w:t>
      </w:r>
      <w:r w:rsidR="00C47F58">
        <w:t>s</w:t>
      </w:r>
      <w:r w:rsidRPr="008A3126">
        <w:t>.</w:t>
      </w:r>
      <w:r w:rsidR="00F55911">
        <w:t xml:space="preserve"> </w:t>
      </w:r>
      <w:r w:rsidRPr="008A3126">
        <w:t xml:space="preserve">This legal entity-specific rate for the </w:t>
      </w:r>
      <w:r w:rsidR="00E2497E">
        <w:t>P</w:t>
      </w:r>
      <w:r w:rsidRPr="008A3126">
        <w:t xml:space="preserve">rojection </w:t>
      </w:r>
      <w:r w:rsidR="00E2497E">
        <w:t>P</w:t>
      </w:r>
      <w:r w:rsidRPr="008A3126">
        <w:t xml:space="preserve">eriod should not reflect any adjustments for payments and charges under the risk adjustment and reinsurance programs or for </w:t>
      </w:r>
      <w:r w:rsidR="00DE6C09">
        <w:t>Marketplace</w:t>
      </w:r>
      <w:r w:rsidRPr="008A3126">
        <w:t xml:space="preserve"> user fees. </w:t>
      </w:r>
      <w:r w:rsidR="0032185C">
        <w:t xml:space="preserve"> </w:t>
      </w:r>
      <w:r w:rsidRPr="008A3126">
        <w:t xml:space="preserve">It is simply projected allowed claims PMPM for </w:t>
      </w:r>
      <w:r w:rsidR="0026206B">
        <w:t>EHB</w:t>
      </w:r>
      <w:r w:rsidR="00C47F58">
        <w:t>s only</w:t>
      </w:r>
      <w:r w:rsidRPr="008A3126">
        <w:t>. If the submission is for the individual or combined market, the projected Index Rate should reflect the twelve</w:t>
      </w:r>
      <w:r w:rsidR="00F633B5">
        <w:t>-</w:t>
      </w:r>
      <w:r w:rsidRPr="008A3126">
        <w:t xml:space="preserve">month projection period, or rating period. For the individual or combined market, if the issuer will not be covering </w:t>
      </w:r>
      <w:r w:rsidR="00C47F58">
        <w:t>any non-EHBs</w:t>
      </w:r>
      <w:r w:rsidRPr="008A3126">
        <w:t>, the Index Rate for the projection period will be equal to the Projected Allowed Experience Claims PMPM (w/ applied credibility if applicable). If the submission is for the small group market and includes prospective trend adjustments (only if permitted by the state), then the Index Rate for Projection Period should reflect the member weighted average of the projected trended Index Rates applicable for each effective date in the submission. See Section I for additional information about the Index Rate. See the Appendix for further guidance on calculation of the small group weighted average projected Index Rate.</w:t>
      </w:r>
    </w:p>
    <w:p w14:paraId="42928EDA" w14:textId="49B9CBCB" w:rsidR="00D835E4" w:rsidRPr="008A3126" w:rsidRDefault="00D835E4" w:rsidP="00D835E4">
      <w:pPr>
        <w:ind w:left="720"/>
        <w:rPr>
          <w:rFonts w:cstheme="minorHAnsi"/>
        </w:rPr>
      </w:pPr>
      <w:r w:rsidRPr="008A3126">
        <w:rPr>
          <w:rFonts w:cstheme="minorHAnsi"/>
        </w:rPr>
        <w:t xml:space="preserve">The projected Index Rate should reflect the allowed claim costs and member months for all covered members, including </w:t>
      </w:r>
      <w:r w:rsidRPr="008A3126">
        <w:t>those members for which premium is not expected to be explicitly collected</w:t>
      </w:r>
      <w:r w:rsidR="00E71D75">
        <w:t>.</w:t>
      </w:r>
      <w:r w:rsidRPr="008A3126">
        <w:t xml:space="preserve"> </w:t>
      </w:r>
      <w:r w:rsidR="00E71D75">
        <w:t xml:space="preserve"> F</w:t>
      </w:r>
      <w:r w:rsidRPr="008A3126">
        <w:t>or example</w:t>
      </w:r>
      <w:r w:rsidR="00CB2000">
        <w:t>,</w:t>
      </w:r>
      <w:r w:rsidRPr="008A3126">
        <w:t xml:space="preserve"> if the number of </w:t>
      </w:r>
      <w:r w:rsidR="006D6B13">
        <w:t>dependent</w:t>
      </w:r>
      <w:r w:rsidRPr="008A3126">
        <w:t xml:space="preserve"> child members under age 21 in a given family exceeds three and must be capped for premium setting purposes as required by law</w:t>
      </w:r>
      <w:r w:rsidR="00CB2000">
        <w:t>, the claim cost</w:t>
      </w:r>
      <w:r w:rsidR="006D6B13">
        <w:t>s for any dependent</w:t>
      </w:r>
      <w:r w:rsidR="00CB2000">
        <w:t xml:space="preserve"> </w:t>
      </w:r>
      <w:r w:rsidR="006D6B13">
        <w:t xml:space="preserve">children excluded from the premium setting by the cap </w:t>
      </w:r>
      <w:r w:rsidR="00CB2000">
        <w:t>should still be reflected in the projected Index Rate</w:t>
      </w:r>
      <w:r w:rsidRPr="008A3126">
        <w:t>.</w:t>
      </w:r>
    </w:p>
    <w:p w14:paraId="0B7F1352" w14:textId="456C00A6" w:rsidR="00D835E4" w:rsidRPr="008A3126" w:rsidRDefault="00185801" w:rsidP="00D835E4">
      <w:r>
        <w:rPr>
          <w:b/>
        </w:rPr>
        <w:t>Percent</w:t>
      </w:r>
      <w:r w:rsidR="00D835E4" w:rsidRPr="00674068">
        <w:rPr>
          <w:b/>
        </w:rPr>
        <w:t xml:space="preserve"> </w:t>
      </w:r>
      <w:r>
        <w:rPr>
          <w:b/>
        </w:rPr>
        <w:t>I</w:t>
      </w:r>
      <w:r w:rsidR="00D835E4" w:rsidRPr="00674068">
        <w:rPr>
          <w:b/>
        </w:rPr>
        <w:t xml:space="preserve">ncrease </w:t>
      </w:r>
      <w:r>
        <w:rPr>
          <w:b/>
        </w:rPr>
        <w:t>O</w:t>
      </w:r>
      <w:r w:rsidR="00D835E4" w:rsidRPr="00674068">
        <w:rPr>
          <w:b/>
        </w:rPr>
        <w:t>ver Experience Period</w:t>
      </w:r>
      <w:r w:rsidR="00D835E4" w:rsidRPr="00674068">
        <w:t>: The template calculates this value which represents the percent increase in the projected average gross premium PMPM over the average gross premium PMPM in the experience period. The average gross premium PMPM for t</w:t>
      </w:r>
      <w:r w:rsidR="00D835E4" w:rsidRPr="008A3126">
        <w:t>he experience period is calculated by the template in Section I (Premiums (net of MLR Rebate) in Experience Period).</w:t>
      </w:r>
    </w:p>
    <w:p w14:paraId="2514E744" w14:textId="01EA479B" w:rsidR="00D835E4" w:rsidRPr="008A3126" w:rsidRDefault="00D835E4" w:rsidP="00D835E4">
      <w:pPr>
        <w:ind w:left="720"/>
      </w:pPr>
      <w:r w:rsidRPr="008A3126">
        <w:t>The calculated increase is not the proposed rate increase. The calculated increase may include changes in premium PMPM related to shifts in the covered benefit, age, geographic area, or tobacco status of the population, some of which may be charged to the consumer through allowable rating factors.</w:t>
      </w:r>
    </w:p>
    <w:p w14:paraId="2DF8D134" w14:textId="68EC1B2D" w:rsidR="00D835E4" w:rsidRPr="008A3126" w:rsidRDefault="00D835E4" w:rsidP="00D835E4">
      <w:pPr>
        <w:ind w:left="720"/>
      </w:pPr>
      <w:r w:rsidRPr="008A3126">
        <w:t>The period of time over which the increase is calculated is dependent upon the Experience Period entered by the issuer. For example, if the length of time between the Experience Period and the Projection Period is two years, the increase calculated will represent a two-year increase.</w:t>
      </w:r>
    </w:p>
    <w:p w14:paraId="3D7E85E4" w14:textId="21FE5275" w:rsidR="00D835E4" w:rsidRPr="008A3126" w:rsidRDefault="00185801" w:rsidP="00D835E4">
      <w:r>
        <w:rPr>
          <w:b/>
        </w:rPr>
        <w:t>Percent I</w:t>
      </w:r>
      <w:r w:rsidR="00D835E4" w:rsidRPr="008A3126">
        <w:rPr>
          <w:b/>
        </w:rPr>
        <w:t xml:space="preserve">ncrease, </w:t>
      </w:r>
      <w:r>
        <w:rPr>
          <w:b/>
        </w:rPr>
        <w:t>A</w:t>
      </w:r>
      <w:r w:rsidR="00D835E4" w:rsidRPr="008A3126">
        <w:rPr>
          <w:b/>
        </w:rPr>
        <w:t>nnualized</w:t>
      </w:r>
      <w:r w:rsidR="00D835E4" w:rsidRPr="008A3126">
        <w:t xml:space="preserve">: The template calculates this value by annualizing the </w:t>
      </w:r>
      <w:r w:rsidR="00F633B5">
        <w:t>percent</w:t>
      </w:r>
      <w:r w:rsidR="00D835E4" w:rsidRPr="008A3126">
        <w:t xml:space="preserve"> increase over Experience Period. Like the </w:t>
      </w:r>
      <w:r w:rsidR="00F633B5">
        <w:t>percent</w:t>
      </w:r>
      <w:r w:rsidR="00D835E4" w:rsidRPr="008A3126">
        <w:t xml:space="preserve"> increase over Experience Period, the calculated increase may include changes in premium PMPM related to shifts in the covered benefits, age, geographic area, or tobacco status of the population, some of which may be charged to the consumer through allowable rating factors. </w:t>
      </w:r>
    </w:p>
    <w:p w14:paraId="39E3590A" w14:textId="21F76C2C" w:rsidR="00D835E4" w:rsidRPr="008A3126" w:rsidRDefault="00D835E4" w:rsidP="00D835E4">
      <w:r w:rsidRPr="008A3126">
        <w:rPr>
          <w:b/>
        </w:rPr>
        <w:t>Projected Member Months</w:t>
      </w:r>
      <w:r w:rsidRPr="008A3126">
        <w:t xml:space="preserve">: Enter the number of member months expected to be covered during the Projection Period. </w:t>
      </w:r>
    </w:p>
    <w:p w14:paraId="61DBACF9" w14:textId="2FFAD2E9" w:rsidR="00D835E4" w:rsidRPr="008A3126" w:rsidRDefault="00D835E4" w:rsidP="00D835E4">
      <w:pPr>
        <w:ind w:left="720"/>
      </w:pPr>
      <w:r w:rsidRPr="008A3126">
        <w:t xml:space="preserve">See </w:t>
      </w:r>
      <w:r w:rsidR="00560441" w:rsidRPr="008A3126">
        <w:t>“</w:t>
      </w:r>
      <w:r w:rsidRPr="008A3126">
        <w:t>Experience Period Member Months</w:t>
      </w:r>
      <w:r w:rsidR="00F633B5">
        <w:t>”</w:t>
      </w:r>
      <w:r w:rsidRPr="008A3126">
        <w:t xml:space="preserve"> in Section I for more information on how to calculate member months. Since the Projection Period</w:t>
      </w:r>
      <w:r w:rsidRPr="008A3126" w:rsidDel="00FA2CED">
        <w:t xml:space="preserve"> </w:t>
      </w:r>
      <w:r w:rsidRPr="008A3126">
        <w:t>must be a one-year period, the projected member months might be equal to 12 times the projected enrollment in the first month of the Projection Period, for example. Issuers should describe how the member months were projected in the Actuarial Memorandum.</w:t>
      </w:r>
    </w:p>
    <w:p w14:paraId="4387AC37" w14:textId="6949EE29" w:rsidR="00D835E4" w:rsidRPr="008A3126" w:rsidRDefault="00D835E4" w:rsidP="00D835E4">
      <w:pPr>
        <w:ind w:left="720"/>
      </w:pPr>
      <w:r w:rsidRPr="008A3126">
        <w:t xml:space="preserve">Include all covered members even if premium is not expected to be explicitly collected for all members, for example if the number of </w:t>
      </w:r>
      <w:r w:rsidR="006D6B13">
        <w:t>dependent</w:t>
      </w:r>
      <w:r w:rsidRPr="008A3126">
        <w:t xml:space="preserve"> child members </w:t>
      </w:r>
      <w:r w:rsidR="006D6B13">
        <w:t>under age 21</w:t>
      </w:r>
      <w:r w:rsidRPr="008A3126">
        <w:t xml:space="preserve"> in a given family exceeds three and must be capped for premium setting purposes as required by law.</w:t>
      </w:r>
    </w:p>
    <w:p w14:paraId="46E69910" w14:textId="21CDC603" w:rsidR="00D835E4" w:rsidRPr="008A3126" w:rsidRDefault="00D835E4" w:rsidP="00D835E4">
      <w:r w:rsidRPr="008A3126">
        <w:rPr>
          <w:b/>
        </w:rPr>
        <w:t>Projected Period Totals</w:t>
      </w:r>
      <w:r w:rsidRPr="008A3126">
        <w:t xml:space="preserve">: The template calculates aggregate dollar amounts </w:t>
      </w:r>
      <w:r w:rsidR="00E2497E">
        <w:t>from</w:t>
      </w:r>
      <w:r w:rsidR="00E2497E" w:rsidRPr="008A3126">
        <w:t xml:space="preserve"> </w:t>
      </w:r>
      <w:r w:rsidRPr="008A3126">
        <w:t>Section III PMPM values entered into or calculated by the template. The amounts are calculated by multiplying the Projected Member Months by the applicable PMPM value.</w:t>
      </w:r>
    </w:p>
    <w:p w14:paraId="178AE7E9" w14:textId="0629E059" w:rsidR="00D835E4" w:rsidRPr="008A3126" w:rsidRDefault="00883230" w:rsidP="008E5B0B">
      <w:pPr>
        <w:pStyle w:val="Heading2"/>
      </w:pPr>
      <w:bookmarkStart w:id="256" w:name="_Toc410468937"/>
      <w:bookmarkStart w:id="257" w:name="_Toc410525292"/>
      <w:bookmarkStart w:id="258" w:name="_Toc410525380"/>
      <w:bookmarkStart w:id="259" w:name="_Toc410588816"/>
      <w:bookmarkStart w:id="260" w:name="_Toc411866088"/>
      <w:bookmarkStart w:id="261" w:name="_Toc411866606"/>
      <w:bookmarkStart w:id="262" w:name="_Toc412032778"/>
      <w:bookmarkStart w:id="263" w:name="_Toc411936250"/>
      <w:bookmarkStart w:id="264" w:name="_Toc412287660"/>
      <w:bookmarkStart w:id="265" w:name="_Toc441756504"/>
      <w:r>
        <w:t>W</w:t>
      </w:r>
      <w:r w:rsidR="00D835E4" w:rsidRPr="008A3126">
        <w:t>orksheet 2 – Plan Product Information</w:t>
      </w:r>
      <w:bookmarkEnd w:id="256"/>
      <w:bookmarkEnd w:id="257"/>
      <w:bookmarkEnd w:id="258"/>
      <w:bookmarkEnd w:id="259"/>
      <w:bookmarkEnd w:id="260"/>
      <w:bookmarkEnd w:id="261"/>
      <w:bookmarkEnd w:id="262"/>
      <w:bookmarkEnd w:id="263"/>
      <w:bookmarkEnd w:id="264"/>
      <w:bookmarkEnd w:id="265"/>
    </w:p>
    <w:p w14:paraId="46EF9B1A" w14:textId="1C25BDF0" w:rsidR="00D835E4" w:rsidRPr="008A3126" w:rsidRDefault="00D835E4" w:rsidP="00D835E4">
      <w:r w:rsidRPr="00674068">
        <w:t>The purpose of Worksheet 2 is to capture information at the product and plan level. The worksheet captures information on experience period data, the projection period data and other information related to each product or plan. There are four sections in this worksheet.</w:t>
      </w:r>
    </w:p>
    <w:p w14:paraId="711E1CE5" w14:textId="0B8D6C56" w:rsidR="00D835E4" w:rsidRPr="008A3126" w:rsidRDefault="00D835E4" w:rsidP="009D2B17">
      <w:pPr>
        <w:pStyle w:val="ListParagraph"/>
        <w:numPr>
          <w:ilvl w:val="0"/>
          <w:numId w:val="28"/>
        </w:numPr>
      </w:pPr>
      <w:r w:rsidRPr="008E5B0B">
        <w:rPr>
          <w:u w:val="single"/>
        </w:rPr>
        <w:t>Section I</w:t>
      </w:r>
      <w:r w:rsidRPr="008A3126">
        <w:t xml:space="preserve"> captures information about each product and plan. This includes general information such as the plan and product IDs, along with more specific information such as the effective date, </w:t>
      </w:r>
      <w:r w:rsidR="00175AC6">
        <w:t>AV</w:t>
      </w:r>
      <w:r w:rsidRPr="008A3126">
        <w:t xml:space="preserve"> and proposed rate </w:t>
      </w:r>
      <w:r w:rsidR="005D1767">
        <w:t>chang</w:t>
      </w:r>
      <w:r w:rsidRPr="008A3126">
        <w:t xml:space="preserve">e. </w:t>
      </w:r>
    </w:p>
    <w:p w14:paraId="2B475EF9" w14:textId="7032FF8B" w:rsidR="00D835E4" w:rsidRPr="008A3126" w:rsidRDefault="00D835E4" w:rsidP="009D2B17">
      <w:pPr>
        <w:pStyle w:val="ListParagraph"/>
        <w:numPr>
          <w:ilvl w:val="0"/>
          <w:numId w:val="28"/>
        </w:numPr>
      </w:pPr>
      <w:r w:rsidRPr="00593B2E">
        <w:rPr>
          <w:u w:val="single"/>
        </w:rPr>
        <w:t>Section II</w:t>
      </w:r>
      <w:r w:rsidRPr="008A3126">
        <w:t xml:space="preserve"> displays the proposed rate </w:t>
      </w:r>
      <w:r w:rsidR="005D1767">
        <w:t>chang</w:t>
      </w:r>
      <w:r w:rsidRPr="008A3126">
        <w:t xml:space="preserve">e by major service category and the expected increase in </w:t>
      </w:r>
      <w:r w:rsidR="006900FC">
        <w:t>cost-sharing</w:t>
      </w:r>
      <w:r w:rsidRPr="008A3126">
        <w:t xml:space="preserve"> on a per member per month basis for each product and plan.</w:t>
      </w:r>
    </w:p>
    <w:p w14:paraId="6C1351F1" w14:textId="326C5CDD" w:rsidR="00D835E4" w:rsidRPr="008A3126" w:rsidRDefault="00D835E4" w:rsidP="009D2B17">
      <w:pPr>
        <w:pStyle w:val="ListParagraph"/>
        <w:numPr>
          <w:ilvl w:val="0"/>
          <w:numId w:val="28"/>
        </w:numPr>
      </w:pPr>
      <w:r w:rsidRPr="00593B2E">
        <w:rPr>
          <w:u w:val="single"/>
        </w:rPr>
        <w:t>Section III</w:t>
      </w:r>
      <w:r w:rsidRPr="008A3126">
        <w:t xml:space="preserve"> captures historical information such as premium and claims in a more detailed manner than in Worksheet 1. Information regarding the portion of the premium and claims related to the EHBs and non-EHBs is required, as well as information related to risk transfer charges and payments, Federal reinsurance payments, and </w:t>
      </w:r>
      <w:r w:rsidR="006900FC">
        <w:t>cost-sharing</w:t>
      </w:r>
      <w:r w:rsidRPr="008A3126">
        <w:t xml:space="preserve"> reduction amounts. </w:t>
      </w:r>
    </w:p>
    <w:p w14:paraId="3C3B8270" w14:textId="169887DE" w:rsidR="00D835E4" w:rsidRDefault="00D835E4" w:rsidP="009D2B17">
      <w:pPr>
        <w:pStyle w:val="ListParagraph"/>
        <w:numPr>
          <w:ilvl w:val="0"/>
          <w:numId w:val="28"/>
        </w:numPr>
      </w:pPr>
      <w:r w:rsidRPr="00593B2E">
        <w:rPr>
          <w:u w:val="single"/>
        </w:rPr>
        <w:t>Section IV</w:t>
      </w:r>
      <w:r w:rsidRPr="008A3126">
        <w:t xml:space="preserve"> contains the same information collected in Section III, but for the twelve</w:t>
      </w:r>
      <w:r w:rsidR="00F633B5">
        <w:t>-</w:t>
      </w:r>
      <w:r w:rsidRPr="008A3126">
        <w:t xml:space="preserve">month period following the effective date shown in the rate filing for each product. </w:t>
      </w:r>
    </w:p>
    <w:p w14:paraId="5207CE24" w14:textId="5C7CC0C7" w:rsidR="00D835E4" w:rsidRPr="008A3126" w:rsidRDefault="00D835E4" w:rsidP="00D835E4">
      <w:pPr>
        <w:pStyle w:val="ListParagraph"/>
      </w:pPr>
    </w:p>
    <w:p w14:paraId="107C118C" w14:textId="10E7EBF3" w:rsidR="00D835E4" w:rsidRDefault="00D835E4" w:rsidP="00D835E4">
      <w:pPr>
        <w:pStyle w:val="ListParagraph"/>
        <w:ind w:left="0"/>
      </w:pPr>
      <w:r w:rsidRPr="00674068">
        <w:t xml:space="preserve">If a product contains both grandfathered and non-grandfathered </w:t>
      </w:r>
      <w:r w:rsidRPr="008A3126">
        <w:t>insurance policies, the experience of grandfathered policies may be included on Worksheet 2 if the grandfathered policies share the same rating practices as non-grandfathered policies, including pooling of risks and common rate increases or as permitted by the governing state regulatory body. If experience of grandfathered policies is included, then the total experience on Worksheet 2 will exceed that shown on Worksheet 1 which includes only non-grandfathered experience.</w:t>
      </w:r>
    </w:p>
    <w:p w14:paraId="02B9F2DE" w14:textId="284511B7" w:rsidR="00D835E4" w:rsidRPr="00674068" w:rsidRDefault="00D835E4" w:rsidP="00D835E4">
      <w:pPr>
        <w:pStyle w:val="ListParagraph"/>
        <w:ind w:left="0"/>
      </w:pPr>
    </w:p>
    <w:p w14:paraId="32A6DB4F" w14:textId="3833B1FB" w:rsidR="00D835E4" w:rsidRDefault="00D835E4" w:rsidP="00D835E4">
      <w:pPr>
        <w:pStyle w:val="ListParagraph"/>
        <w:ind w:left="0"/>
      </w:pPr>
      <w:r w:rsidRPr="008A3126">
        <w:t>In all cases, reasonable projected values are to be entered for all plans</w:t>
      </w:r>
      <w:r w:rsidR="00CC3DCA">
        <w:t xml:space="preserve"> directly.</w:t>
      </w:r>
      <w:r w:rsidRPr="008A3126">
        <w:t xml:space="preserve"> </w:t>
      </w:r>
      <w:r w:rsidR="00CC3DCA">
        <w:t xml:space="preserve"> </w:t>
      </w:r>
      <w:r w:rsidR="0063668B">
        <w:t>In p</w:t>
      </w:r>
      <w:r w:rsidR="00CC3DCA">
        <w:t>rior years</w:t>
      </w:r>
      <w:r w:rsidR="0063668B">
        <w:t>, CMS</w:t>
      </w:r>
      <w:r w:rsidR="00CC3DCA">
        <w:t xml:space="preserve"> allowed issuers to use a plan averaging option, but that option is no longer available </w:t>
      </w:r>
      <w:r w:rsidR="007F31C9">
        <w:t>because</w:t>
      </w:r>
      <w:r w:rsidR="00CC3DCA">
        <w:t xml:space="preserve"> the trigger for a product being subject to a threshold increase review occurs at the plan level.</w:t>
      </w:r>
      <w:r w:rsidRPr="008A3126">
        <w:t xml:space="preserve"> </w:t>
      </w:r>
      <w:r w:rsidR="00CC3DCA">
        <w:t xml:space="preserve"> A</w:t>
      </w:r>
      <w:r w:rsidRPr="008A3126">
        <w:t xml:space="preserve">ll information input into the </w:t>
      </w:r>
      <w:r w:rsidR="00D424AE">
        <w:t>URRT</w:t>
      </w:r>
      <w:r w:rsidRPr="008A3126">
        <w:t xml:space="preserve"> for each plan must reflect experience or best estimate projections for each specific plan. For example, projected member months must reflect the issuer’s best estimate of expected enrollment in each plan. With the exception of terminated plans, no plan should have expected membership of zero, and all membership projections should be supportable and represent the actuary’s best estimate of enrollment. If </w:t>
      </w:r>
      <w:proofErr w:type="spellStart"/>
      <w:r w:rsidRPr="008A3126">
        <w:t>zeros</w:t>
      </w:r>
      <w:proofErr w:type="spellEnd"/>
      <w:r w:rsidRPr="008A3126">
        <w:t xml:space="preserve"> are entered in </w:t>
      </w:r>
      <w:r w:rsidR="006A41FA">
        <w:t xml:space="preserve">these cells of </w:t>
      </w:r>
      <w:r w:rsidRPr="008A3126">
        <w:t xml:space="preserve">the </w:t>
      </w:r>
      <w:r w:rsidR="00D424AE">
        <w:t>URRT</w:t>
      </w:r>
      <w:r w:rsidRPr="008A3126">
        <w:t>, an issuer may be required to resubmit the template which may cause delays in the rate review and approval process.</w:t>
      </w:r>
    </w:p>
    <w:p w14:paraId="46382311" w14:textId="42DE9444" w:rsidR="00D835E4" w:rsidRPr="008A3126" w:rsidRDefault="00D835E4" w:rsidP="00D835E4">
      <w:pPr>
        <w:pStyle w:val="ListParagraph"/>
        <w:ind w:left="0"/>
      </w:pPr>
    </w:p>
    <w:p w14:paraId="64C062AC" w14:textId="1DA84089" w:rsidR="00FE1B21" w:rsidRPr="00FE1B21" w:rsidRDefault="000159C7" w:rsidP="00D835E4">
      <w:pPr>
        <w:pStyle w:val="ListParagraph"/>
        <w:ind w:left="0"/>
        <w:rPr>
          <w:b/>
        </w:rPr>
      </w:pPr>
      <w:r>
        <w:rPr>
          <w:b/>
        </w:rPr>
        <w:t xml:space="preserve">Guaranteed Renewability and </w:t>
      </w:r>
      <w:r w:rsidR="00FE1B21">
        <w:rPr>
          <w:b/>
        </w:rPr>
        <w:t xml:space="preserve">Uniform </w:t>
      </w:r>
      <w:r>
        <w:rPr>
          <w:b/>
        </w:rPr>
        <w:t>Modification of Coverage</w:t>
      </w:r>
    </w:p>
    <w:p w14:paraId="60A3479C" w14:textId="033C62F8" w:rsidR="000159C7" w:rsidRDefault="000159C7" w:rsidP="00D835E4">
      <w:pPr>
        <w:pStyle w:val="ListParagraph"/>
        <w:ind w:left="0"/>
      </w:pPr>
      <w:r>
        <w:t>Issuers should review 45 CFR 147.106</w:t>
      </w:r>
      <w:r w:rsidR="00B26991">
        <w:t xml:space="preserve"> </w:t>
      </w:r>
      <w:r w:rsidR="00DB1930">
        <w:t xml:space="preserve">and 144.103 </w:t>
      </w:r>
      <w:r w:rsidR="00B26991">
        <w:t xml:space="preserve">when determining if a “new” </w:t>
      </w:r>
      <w:r w:rsidR="00CC2228">
        <w:t xml:space="preserve">product or </w:t>
      </w:r>
      <w:r w:rsidR="00B26991">
        <w:t>plan is considered to be new or renewing for rate review purposes.</w:t>
      </w:r>
      <w:r w:rsidR="00CC2228">
        <w:t xml:space="preserve">  Note that changing the HIOS Product or Plan ID does not necessarily result in the product</w:t>
      </w:r>
      <w:r w:rsidR="003F1353">
        <w:t xml:space="preserve"> or</w:t>
      </w:r>
      <w:r w:rsidR="00CC2228">
        <w:t xml:space="preserve"> plan being considered new for rate review purposes</w:t>
      </w:r>
      <w:r w:rsidR="00F04B02">
        <w:rPr>
          <w:rStyle w:val="FootnoteReference"/>
        </w:rPr>
        <w:footnoteReference w:id="9"/>
      </w:r>
      <w:r w:rsidR="00CC2228">
        <w:t>.</w:t>
      </w:r>
    </w:p>
    <w:p w14:paraId="45EAE5F5" w14:textId="210FEB5A" w:rsidR="00CC2228" w:rsidRDefault="00CC2228" w:rsidP="00D835E4">
      <w:pPr>
        <w:pStyle w:val="ListParagraph"/>
        <w:ind w:left="0"/>
      </w:pPr>
    </w:p>
    <w:p w14:paraId="5F84B4BB" w14:textId="454FF77D" w:rsidR="00CC2228" w:rsidRDefault="00CC2228" w:rsidP="00D835E4">
      <w:pPr>
        <w:pStyle w:val="ListParagraph"/>
        <w:ind w:left="0"/>
      </w:pPr>
      <w:r>
        <w:t>Product modifications made uniformly and solely pursuant to applicable Federal or State requirements are considered a uniform modification of coverage if the modification is made within a reasonable time period after the imposition or modification of a Federal or State requirement, and the modification is directly related to the imposition or modification of the Federal or State requirement.</w:t>
      </w:r>
      <w:r w:rsidR="00527CDA">
        <w:t xml:space="preserve">  For example, if the Federal or State government mandates coverage of a new benefit, existing products may be altered to include coverage of the mandated benefit </w:t>
      </w:r>
      <w:r w:rsidR="00151324">
        <w:t xml:space="preserve">without being considered </w:t>
      </w:r>
      <w:r w:rsidR="00210A51">
        <w:t xml:space="preserve">“new” </w:t>
      </w:r>
      <w:r w:rsidR="00151324">
        <w:t>products.</w:t>
      </w:r>
    </w:p>
    <w:p w14:paraId="1740637F" w14:textId="0CC55BE8" w:rsidR="00151324" w:rsidRDefault="00151324" w:rsidP="00D835E4">
      <w:pPr>
        <w:pStyle w:val="ListParagraph"/>
        <w:ind w:left="0"/>
      </w:pPr>
    </w:p>
    <w:p w14:paraId="1C35AE92" w14:textId="7B72D43D" w:rsidR="00151324" w:rsidRDefault="007768B6" w:rsidP="00D835E4">
      <w:pPr>
        <w:pStyle w:val="ListParagraph"/>
        <w:ind w:left="0"/>
      </w:pPr>
      <w:r>
        <w:t>A m</w:t>
      </w:r>
      <w:r w:rsidR="00151324">
        <w:t>odification</w:t>
      </w:r>
      <w:r>
        <w:t xml:space="preserve"> is</w:t>
      </w:r>
      <w:r w:rsidR="00151324">
        <w:t xml:space="preserve"> also considered to be a uniform modification of coverage if the health insurance coverage for the product meets the following criteria:</w:t>
      </w:r>
    </w:p>
    <w:p w14:paraId="10180E58" w14:textId="71FBE097" w:rsidR="00151324" w:rsidRDefault="00151324" w:rsidP="009D2B17">
      <w:pPr>
        <w:pStyle w:val="ListParagraph"/>
        <w:numPr>
          <w:ilvl w:val="0"/>
          <w:numId w:val="49"/>
        </w:numPr>
      </w:pPr>
      <w:r>
        <w:t>The product is offered by the same health insurance issuer.</w:t>
      </w:r>
    </w:p>
    <w:p w14:paraId="271FC50C" w14:textId="358F676C" w:rsidR="00151324" w:rsidRDefault="00151324" w:rsidP="009D2B17">
      <w:pPr>
        <w:pStyle w:val="ListParagraph"/>
        <w:numPr>
          <w:ilvl w:val="0"/>
          <w:numId w:val="49"/>
        </w:numPr>
      </w:pPr>
      <w:r>
        <w:t>The product network type remains the same, for example a health maintenance organization remains a health maintenance organization, or a preferred provider organization remains a preferred provider organization.</w:t>
      </w:r>
    </w:p>
    <w:p w14:paraId="36E09781" w14:textId="5466C753" w:rsidR="00151324" w:rsidRDefault="00151324" w:rsidP="009D2B17">
      <w:pPr>
        <w:pStyle w:val="ListParagraph"/>
        <w:numPr>
          <w:ilvl w:val="0"/>
          <w:numId w:val="49"/>
        </w:numPr>
      </w:pPr>
      <w:r>
        <w:t>The product continues to cover a majority of the same service area.</w:t>
      </w:r>
    </w:p>
    <w:p w14:paraId="38290BB1" w14:textId="1BDD5FD1" w:rsidR="00151324" w:rsidRDefault="00151324" w:rsidP="009D2B17">
      <w:pPr>
        <w:pStyle w:val="ListParagraph"/>
        <w:numPr>
          <w:ilvl w:val="0"/>
          <w:numId w:val="49"/>
        </w:numPr>
      </w:pPr>
      <w:r>
        <w:t>Within the product, each plan has the same cost-sharing structure as before the modification, except for any variation in cost sharing solely related to changes in cost and utilization of medical care, or to maintain the same metal tier level.</w:t>
      </w:r>
    </w:p>
    <w:p w14:paraId="50EDCB76" w14:textId="0687662C" w:rsidR="008A6267" w:rsidRDefault="00FD6534" w:rsidP="009D2B17">
      <w:pPr>
        <w:pStyle w:val="ListParagraph"/>
        <w:numPr>
          <w:ilvl w:val="0"/>
          <w:numId w:val="49"/>
        </w:numPr>
      </w:pPr>
      <w:r>
        <w:rPr>
          <w:noProof/>
        </w:rPr>
        <mc:AlternateContent>
          <mc:Choice Requires="wps">
            <w:drawing>
              <wp:anchor distT="228600" distB="228600" distL="228600" distR="228600" simplePos="0" relativeHeight="251657728" behindDoc="1" locked="0" layoutInCell="1" allowOverlap="1" wp14:anchorId="28CCE95A" wp14:editId="0101FCF9">
                <wp:simplePos x="0" y="0"/>
                <wp:positionH relativeFrom="margin">
                  <wp:posOffset>-51435</wp:posOffset>
                </wp:positionH>
                <wp:positionV relativeFrom="margin">
                  <wp:posOffset>2157730</wp:posOffset>
                </wp:positionV>
                <wp:extent cx="2150110" cy="1389380"/>
                <wp:effectExtent l="0" t="0" r="2540" b="1270"/>
                <wp:wrapSquare wrapText="bothSides"/>
                <wp:docPr id="11" name="Text Box 11"/>
                <wp:cNvGraphicFramePr/>
                <a:graphic xmlns:a="http://schemas.openxmlformats.org/drawingml/2006/main">
                  <a:graphicData uri="http://schemas.microsoft.com/office/word/2010/wordprocessingShape">
                    <wps:wsp>
                      <wps:cNvSpPr txBox="1"/>
                      <wps:spPr>
                        <a:xfrm>
                          <a:off x="0" y="0"/>
                          <a:ext cx="2150110" cy="1389380"/>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25171BB6" w14:textId="40FABA68" w:rsidR="00634A44" w:rsidRPr="00B616D2" w:rsidRDefault="00634A44" w:rsidP="00D96B4F">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Terminating all products within a market is a market withdrawal and could result in a 5-year ban from the market.</w:t>
                            </w:r>
                          </w:p>
                          <w:sdt>
                            <w:sdtPr>
                              <w:rPr>
                                <w:color w:val="1F497D" w:themeColor="text2"/>
                                <w:sz w:val="18"/>
                                <w:szCs w:val="18"/>
                              </w:rPr>
                              <w:id w:val="1311066008"/>
                              <w:temporary/>
                              <w:showingPlcHdr/>
                              <w:text w:multiLine="1"/>
                            </w:sdtPr>
                            <w:sdtEndPr/>
                            <w:sdtContent>
                              <w:p w14:paraId="028ED2DD" w14:textId="77777777" w:rsidR="00634A44" w:rsidRDefault="00634A44" w:rsidP="00D96B4F">
                                <w:pPr>
                                  <w:pStyle w:val="NoSpacing"/>
                                  <w:jc w:val="center"/>
                                  <w:rPr>
                                    <w:color w:val="1F497D" w:themeColor="text2"/>
                                    <w:sz w:val="18"/>
                                    <w:szCs w:val="18"/>
                                  </w:rPr>
                                </w:pPr>
                                <w:r>
                                  <w:rPr>
                                    <w:color w:val="1F497D"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CE95A" id="Text Box 11" o:spid="_x0000_s1035" type="#_x0000_t202" style="position:absolute;left:0;text-align:left;margin-left:-4.05pt;margin-top:169.9pt;width:169.3pt;height:109.4pt;z-index:-25165875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" stroked="f" strokeweight=".5pt">
                <v:fill color2="#eae7d8" rotate="t" focusposition=".5,.5" focussize="-.5,-.5" focus="100%" type="gradientRadial"/>
                <v:textbox inset="14.4pt,14.4pt,14.4pt,14.4pt">
                  <w:txbxContent>
                    <w:p w14:paraId="25171BB6" w14:textId="40FABA68" w:rsidR="00634A44" w:rsidRPr="00B616D2" w:rsidRDefault="00634A44" w:rsidP="00D96B4F">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Terminating all products within a market is a market withdrawal and could result in a 5-year ban from the market.</w:t>
                      </w:r>
                    </w:p>
                    <w:sdt>
                      <w:sdtPr>
                        <w:rPr>
                          <w:color w:val="1F497D" w:themeColor="text2"/>
                          <w:sz w:val="18"/>
                          <w:szCs w:val="18"/>
                        </w:rPr>
                        <w:id w:val="1311066008"/>
                        <w:temporary/>
                        <w:showingPlcHdr/>
                        <w:text w:multiLine="1"/>
                      </w:sdtPr>
                      <w:sdtContent>
                        <w:p w14:paraId="028ED2DD" w14:textId="77777777" w:rsidR="00634A44" w:rsidRDefault="00634A44" w:rsidP="00D96B4F">
                          <w:pPr>
                            <w:pStyle w:val="NoSpacing"/>
                            <w:jc w:val="center"/>
                            <w:rPr>
                              <w:color w:val="1F497D" w:themeColor="text2"/>
                              <w:sz w:val="18"/>
                              <w:szCs w:val="18"/>
                            </w:rPr>
                          </w:pPr>
                          <w:r>
                            <w:rPr>
                              <w:color w:val="1F497D" w:themeColor="text2"/>
                              <w:sz w:val="18"/>
                              <w:szCs w:val="18"/>
                            </w:rPr>
                            <w:t>[Cite your source here.]</w:t>
                          </w:r>
                        </w:p>
                      </w:sdtContent>
                    </w:sdt>
                  </w:txbxContent>
                </v:textbox>
                <w10:wrap type="square" anchorx="margin" anchory="margin"/>
              </v:shape>
            </w:pict>
          </mc:Fallback>
        </mc:AlternateContent>
      </w:r>
      <w:r w:rsidR="008A6267">
        <w:t xml:space="preserve">The product provides the same covered benefits, except for changes in benefits that cumulatively impact the plan-adjusted index rate </w:t>
      </w:r>
      <w:r w:rsidR="005D2630" w:rsidRPr="005D2630">
        <w:t>within an allowable variation of ±2 percentage points</w:t>
      </w:r>
      <w:r w:rsidR="008A6267">
        <w:t xml:space="preserve"> (so long as those benefit changes aren’t being made </w:t>
      </w:r>
      <w:r w:rsidR="005D2630">
        <w:t>pursuant to applicable</w:t>
      </w:r>
      <w:r w:rsidR="008A6267">
        <w:t xml:space="preserve"> Federal or State requirements).</w:t>
      </w:r>
    </w:p>
    <w:p w14:paraId="262A2FE2" w14:textId="064EF1C5" w:rsidR="00491A5D" w:rsidRDefault="00E66926" w:rsidP="00491A5D">
      <w:r>
        <w:t>A</w:t>
      </w:r>
      <w:r w:rsidR="00C26204">
        <w:t xml:space="preserve"> S</w:t>
      </w:r>
      <w:r w:rsidR="00491A5D">
        <w:t>tate may broaden the standards mentioned in the third and fourth bullet points, so an iss</w:t>
      </w:r>
      <w:r w:rsidR="00C26204">
        <w:t>uer may need to check with the S</w:t>
      </w:r>
      <w:r w:rsidR="00491A5D">
        <w:t xml:space="preserve">tate to determine if a change to </w:t>
      </w:r>
      <w:r w:rsidR="005D2630">
        <w:t xml:space="preserve">a product’s </w:t>
      </w:r>
      <w:r w:rsidR="00491A5D">
        <w:t>service area or cost-sharing structure is considered to be a uniform modification of coverage.</w:t>
      </w:r>
    </w:p>
    <w:p w14:paraId="29FF2C24" w14:textId="1ED1319A" w:rsidR="00491A5D" w:rsidRDefault="00E66926" w:rsidP="00491A5D">
      <w:r>
        <w:t>Note a</w:t>
      </w:r>
      <w:r w:rsidR="00491A5D">
        <w:t xml:space="preserve">n issuer that elects to </w:t>
      </w:r>
      <w:r w:rsidR="00491A5D" w:rsidRPr="00782775">
        <w:t>discontinue offering all products within a market</w:t>
      </w:r>
      <w:r>
        <w:t xml:space="preserve"> has</w:t>
      </w:r>
      <w:r w:rsidR="00782775" w:rsidRPr="00782775">
        <w:t xml:space="preserve"> </w:t>
      </w:r>
      <w:r w:rsidR="00782775" w:rsidRPr="00782775">
        <w:rPr>
          <w:b/>
        </w:rPr>
        <w:t>withdrawn from the market</w:t>
      </w:r>
      <w:r w:rsidR="00782775" w:rsidRPr="00782775">
        <w:t xml:space="preserve"> and </w:t>
      </w:r>
      <w:r w:rsidR="00782775" w:rsidRPr="00782775">
        <w:rPr>
          <w:b/>
        </w:rPr>
        <w:t>may NOT issue coverage in that market for a period of five years</w:t>
      </w:r>
      <w:r w:rsidR="00782775" w:rsidRPr="00782775">
        <w:t>.</w:t>
      </w:r>
      <w:r w:rsidR="00782775">
        <w:t xml:space="preserve">  This is true even if the issuer intends to replace all of its existing products with new products.  </w:t>
      </w:r>
      <w:r w:rsidR="00292A33">
        <w:t xml:space="preserve">In other words, issuers must retain at least one actively marketed plan in order to avoid a market withdrawal. </w:t>
      </w:r>
      <w:r w:rsidR="00782775">
        <w:t>Issuers should be mindful of this when revising product and plan portfolios for the market.</w:t>
      </w:r>
    </w:p>
    <w:p w14:paraId="72FF06EF" w14:textId="07BFCDCE" w:rsidR="000159C7" w:rsidRPr="00B37F60" w:rsidRDefault="00B37F60" w:rsidP="00D835E4">
      <w:pPr>
        <w:pStyle w:val="ListParagraph"/>
        <w:ind w:left="0"/>
        <w:rPr>
          <w:b/>
        </w:rPr>
      </w:pPr>
      <w:r>
        <w:rPr>
          <w:b/>
        </w:rPr>
        <w:t>Plan Mapping Instructions</w:t>
      </w:r>
    </w:p>
    <w:p w14:paraId="033A7BB3" w14:textId="5A88CD3B" w:rsidR="00F43661" w:rsidRDefault="00F43661" w:rsidP="00D835E4">
      <w:pPr>
        <w:pStyle w:val="ListParagraph"/>
        <w:ind w:left="0"/>
      </w:pPr>
      <w:r>
        <w:t xml:space="preserve">A new dropdown box has been added to Worksheet 2 of the URRT that </w:t>
      </w:r>
      <w:r w:rsidR="00906D74">
        <w:t>allows issuers to identify a plan’s status</w:t>
      </w:r>
      <w:r>
        <w:t xml:space="preserve"> as New, Renewing, or Terminated.  </w:t>
      </w:r>
      <w:r w:rsidR="00E63198">
        <w:t xml:space="preserve">It is very important that issuers enter this information correctly according to Uniform Modification Guidelines outlined above.  If a plan </w:t>
      </w:r>
      <w:r w:rsidR="00E15F4F">
        <w:t>is considered the “same plan</w:t>
      </w:r>
      <w:r w:rsidR="00E63198">
        <w:t>,</w:t>
      </w:r>
      <w:r w:rsidR="00E15F4F">
        <w:t>”</w:t>
      </w:r>
      <w:r w:rsidR="00E63198">
        <w:t xml:space="preserve"> the plan must be identified as Renewing, even if that plan has a new HIOS Plan ID.</w:t>
      </w:r>
      <w:r w:rsidR="00906D74">
        <w:t xml:space="preserve">  Failure to correctly identify plan status will require resubmission of the URRT and slow down the review process.</w:t>
      </w:r>
    </w:p>
    <w:p w14:paraId="193B0007" w14:textId="3267D615" w:rsidR="00E63198" w:rsidRDefault="00E63198" w:rsidP="00D835E4">
      <w:pPr>
        <w:pStyle w:val="ListParagraph"/>
        <w:ind w:left="0"/>
      </w:pPr>
    </w:p>
    <w:p w14:paraId="78303E37" w14:textId="1B700E61" w:rsidR="00906D74" w:rsidRDefault="00906D74" w:rsidP="00D835E4">
      <w:pPr>
        <w:pStyle w:val="ListParagraph"/>
        <w:ind w:left="0"/>
      </w:pPr>
      <w:r>
        <w:t>Issuers are required to handle New, Renewing, or Terminated plans/products in the following manner.</w:t>
      </w:r>
    </w:p>
    <w:p w14:paraId="6DCFAA7B" w14:textId="3416CFE3" w:rsidR="00906D74" w:rsidRDefault="00906D74" w:rsidP="009D2B17">
      <w:pPr>
        <w:pStyle w:val="ListParagraph"/>
        <w:numPr>
          <w:ilvl w:val="0"/>
          <w:numId w:val="50"/>
        </w:numPr>
      </w:pPr>
      <w:r>
        <w:t>A plan status of New should only be selected when the issuer is introducing a new plan.</w:t>
      </w:r>
    </w:p>
    <w:p w14:paraId="374776D1" w14:textId="7C6BC7E0" w:rsidR="00906D74" w:rsidRDefault="00906D74" w:rsidP="009D2B17">
      <w:pPr>
        <w:pStyle w:val="ListParagraph"/>
        <w:numPr>
          <w:ilvl w:val="1"/>
          <w:numId w:val="50"/>
        </w:numPr>
      </w:pPr>
      <w:r>
        <w:t>If a plan is new and no existing members are being mapped (</w:t>
      </w:r>
      <w:r w:rsidR="00291789">
        <w:t>auto-enrolled</w:t>
      </w:r>
      <w:r>
        <w:t>) into the new plan:</w:t>
      </w:r>
    </w:p>
    <w:p w14:paraId="0847E3B4" w14:textId="7DD00944" w:rsidR="00906D74" w:rsidRDefault="005B4A12" w:rsidP="009D2B17">
      <w:pPr>
        <w:pStyle w:val="ListParagraph"/>
        <w:numPr>
          <w:ilvl w:val="2"/>
          <w:numId w:val="50"/>
        </w:numPr>
      </w:pPr>
      <w:r>
        <w:t>Section I Rate Chang</w:t>
      </w:r>
      <w:r w:rsidR="00906D74">
        <w:t>e information should be entered as 0%.</w:t>
      </w:r>
    </w:p>
    <w:p w14:paraId="7EFA441E" w14:textId="3D70B61A" w:rsidR="00906D74" w:rsidRDefault="00906D74" w:rsidP="009D2B17">
      <w:pPr>
        <w:pStyle w:val="ListParagraph"/>
        <w:numPr>
          <w:ilvl w:val="2"/>
          <w:numId w:val="50"/>
        </w:numPr>
      </w:pPr>
      <w:r>
        <w:t>Section II Components of Premium Increase and the Average Current Rate PMPM should be entered as $0.00.</w:t>
      </w:r>
    </w:p>
    <w:p w14:paraId="32FBAC0A" w14:textId="3538E9F7" w:rsidR="00906D74" w:rsidRDefault="00906D74" w:rsidP="009D2B17">
      <w:pPr>
        <w:pStyle w:val="ListParagraph"/>
        <w:numPr>
          <w:ilvl w:val="2"/>
          <w:numId w:val="50"/>
        </w:numPr>
      </w:pPr>
      <w:r>
        <w:t xml:space="preserve">Projected Member Months should NOT be </w:t>
      </w:r>
      <w:r w:rsidR="00D00253">
        <w:t>0.</w:t>
      </w:r>
    </w:p>
    <w:p w14:paraId="6F7F5B5F" w14:textId="35A53BC0" w:rsidR="00D00253" w:rsidRDefault="00D00253" w:rsidP="009D2B17">
      <w:pPr>
        <w:pStyle w:val="ListParagraph"/>
        <w:numPr>
          <w:ilvl w:val="2"/>
          <w:numId w:val="50"/>
        </w:numPr>
      </w:pPr>
      <w:r>
        <w:t>Section III Experience Period Information should be entered as 0 or other appropriate value to reflect no experience.</w:t>
      </w:r>
    </w:p>
    <w:p w14:paraId="6D13AE18" w14:textId="67C11EBA" w:rsidR="00D00253" w:rsidRDefault="00D00253" w:rsidP="009D2B17">
      <w:pPr>
        <w:pStyle w:val="ListParagraph"/>
        <w:numPr>
          <w:ilvl w:val="2"/>
          <w:numId w:val="50"/>
        </w:numPr>
      </w:pPr>
      <w:r>
        <w:t xml:space="preserve">Section IV Projected information should be filled out with </w:t>
      </w:r>
      <w:r w:rsidR="004D78D5">
        <w:t>expected projections</w:t>
      </w:r>
      <w:r>
        <w:t>.</w:t>
      </w:r>
    </w:p>
    <w:p w14:paraId="1C6EB082" w14:textId="001D4975" w:rsidR="00D00253" w:rsidRDefault="00D00253" w:rsidP="009D2B17">
      <w:pPr>
        <w:pStyle w:val="ListParagraph"/>
        <w:numPr>
          <w:ilvl w:val="1"/>
          <w:numId w:val="50"/>
        </w:numPr>
      </w:pPr>
      <w:r>
        <w:t xml:space="preserve">If a plan is new but existing members </w:t>
      </w:r>
      <w:r w:rsidR="004D78D5">
        <w:t>from terminating</w:t>
      </w:r>
      <w:r w:rsidR="005B4A12">
        <w:t xml:space="preserve"> plans </w:t>
      </w:r>
      <w:r>
        <w:t>are being mapped (auto-enrolled) into the new plan:</w:t>
      </w:r>
    </w:p>
    <w:p w14:paraId="1A2832AC" w14:textId="2BA62B4E" w:rsidR="00D00253" w:rsidRDefault="00291789" w:rsidP="009D2B17">
      <w:pPr>
        <w:pStyle w:val="ListParagraph"/>
        <w:numPr>
          <w:ilvl w:val="2"/>
          <w:numId w:val="50"/>
        </w:numPr>
      </w:pPr>
      <w:r>
        <w:t>Section I Rate Change information should reflect the Plan ID effective in the experience period.</w:t>
      </w:r>
      <w:r w:rsidR="004D78D5">
        <w:t xml:space="preserve"> The rate increase information should be measured from the terminating Plan ID to the new Plan ID.</w:t>
      </w:r>
      <w:r w:rsidR="00D00253">
        <w:t xml:space="preserve">  </w:t>
      </w:r>
      <w:r w:rsidR="004D78D5">
        <w:t xml:space="preserve">If multiple plans are being mapped into a single new plan, provide the weighted average rate change of the mapped members into the new plan.  </w:t>
      </w:r>
      <w:r w:rsidR="00D00253">
        <w:t xml:space="preserve">Note even if these increases are 10% or greater, the product threshold increase review will not be triggered </w:t>
      </w:r>
      <w:r w:rsidR="004D78D5">
        <w:t xml:space="preserve">and HIOS will not require submission of Part II (written description justifying the rate increase) </w:t>
      </w:r>
      <w:r w:rsidR="00D00253">
        <w:t>as long as the issuer appropriately identifies the plan as New in the dropdown box.</w:t>
      </w:r>
      <w:r w:rsidR="005B4A12">
        <w:t xml:space="preserve">  Even though mapping terminating members into truly new plans falls outside of a threshold increase review, entering the rate change information mapped members will receive will assist reviewers </w:t>
      </w:r>
      <w:r w:rsidR="004D78D5">
        <w:t>in understanding average premium chang</w:t>
      </w:r>
      <w:r w:rsidR="005B4A12">
        <w:t>es members will be experiencing.</w:t>
      </w:r>
    </w:p>
    <w:p w14:paraId="1A437F5E" w14:textId="374AD2F5" w:rsidR="00D00253" w:rsidRDefault="005B4A12" w:rsidP="009D2B17">
      <w:pPr>
        <w:pStyle w:val="ListParagraph"/>
        <w:numPr>
          <w:ilvl w:val="2"/>
          <w:numId w:val="50"/>
        </w:numPr>
      </w:pPr>
      <w:r>
        <w:t>Section II Components of Premium Increase should reflect the change</w:t>
      </w:r>
      <w:r w:rsidR="004D78D5">
        <w:t xml:space="preserve"> from the terminating Plan ID to the new Plan ID.  In cases where multiple terminating plans are being mapped to a single new plan, the weighted average of the changes should be entered.</w:t>
      </w:r>
    </w:p>
    <w:p w14:paraId="7AB11B4C" w14:textId="34601D68" w:rsidR="004D78D5" w:rsidRDefault="004D78D5" w:rsidP="009D2B17">
      <w:pPr>
        <w:pStyle w:val="ListParagraph"/>
        <w:numPr>
          <w:ilvl w:val="2"/>
          <w:numId w:val="50"/>
        </w:numPr>
      </w:pPr>
      <w:r>
        <w:t>Section III Experience Period Information should show the experience of the terminating Plan ID being mapped to the new Plan ID.  In cases where multiple terminating plans are being mapped to a single new plan, enter the experience of the largest terminating Plan ID being mapped to the new plan.</w:t>
      </w:r>
      <w:r w:rsidR="002F2155">
        <w:t xml:space="preserve">  The largest terminating plan should be determined based on the experience period member months.</w:t>
      </w:r>
    </w:p>
    <w:p w14:paraId="5090993E" w14:textId="7D0754E7" w:rsidR="004D78D5" w:rsidRDefault="004D78D5" w:rsidP="009D2B17">
      <w:pPr>
        <w:pStyle w:val="ListParagraph"/>
        <w:numPr>
          <w:ilvl w:val="2"/>
          <w:numId w:val="50"/>
        </w:numPr>
      </w:pPr>
      <w:r>
        <w:t>Section IV Projected information should be filled out with expected projections.</w:t>
      </w:r>
    </w:p>
    <w:p w14:paraId="2A79FCA9" w14:textId="2D6702C4" w:rsidR="00D00253" w:rsidRDefault="004D78D5" w:rsidP="009D2B17">
      <w:pPr>
        <w:pStyle w:val="ListParagraph"/>
        <w:numPr>
          <w:ilvl w:val="0"/>
          <w:numId w:val="50"/>
        </w:numPr>
      </w:pPr>
      <w:r>
        <w:t xml:space="preserve">A plan status of Renewing should be selected for renewing plans.  This includes </w:t>
      </w:r>
      <w:r w:rsidR="00503A4C">
        <w:t>all plans defined as the same plan under 45 CFR 144.103</w:t>
      </w:r>
      <w:r>
        <w:t xml:space="preserve">.  Note that under 45 CFR 154.200, a product is subject to rate review if any renewing plan within the product has a rate increase of 10% or more.  If an issuer is mapping terminating plans into a renewing plan and the </w:t>
      </w:r>
      <w:r w:rsidR="00503A4C">
        <w:t>renewing plan is not considered the same plan as the terminating plan</w:t>
      </w:r>
      <w:r>
        <w:t>, then Sections I, II, and III of Worksheet 2 should only reflect information for the renewing plan.  Section IV should be filled out with expected projections.  Terminating plans being mapped to renewing plans should be handled according to terminating plan instructions below.</w:t>
      </w:r>
    </w:p>
    <w:p w14:paraId="1F94225A" w14:textId="212B67AA" w:rsidR="004D78D5" w:rsidRDefault="004D78D5" w:rsidP="009D2B17">
      <w:pPr>
        <w:pStyle w:val="ListParagraph"/>
        <w:numPr>
          <w:ilvl w:val="0"/>
          <w:numId w:val="50"/>
        </w:numPr>
      </w:pPr>
      <w:r>
        <w:t>A plan status of Terminating should be selected for plans effective during the experience period that will no longer be offered during the projection period.</w:t>
      </w:r>
    </w:p>
    <w:p w14:paraId="040E9350" w14:textId="007F199A" w:rsidR="004D78D5" w:rsidRDefault="004D78D5" w:rsidP="009D2B17">
      <w:pPr>
        <w:pStyle w:val="ListParagraph"/>
        <w:numPr>
          <w:ilvl w:val="1"/>
          <w:numId w:val="50"/>
        </w:numPr>
      </w:pPr>
      <w:r>
        <w:t xml:space="preserve">Non-single risk pool plans/products that were effective during the experience period and are terminated prior to the projection period may be combined for reporting purposes.  See </w:t>
      </w:r>
      <w:r w:rsidR="001E65C2">
        <w:t xml:space="preserve">the instructions </w:t>
      </w:r>
      <w:r>
        <w:t>under “Product</w:t>
      </w:r>
      <w:r w:rsidR="001E65C2">
        <w:t>”</w:t>
      </w:r>
      <w:r>
        <w:t xml:space="preserve"> of the next section for further details.</w:t>
      </w:r>
    </w:p>
    <w:p w14:paraId="52465057" w14:textId="323FB929" w:rsidR="004D78D5" w:rsidRPr="004D78D5" w:rsidRDefault="004D78D5" w:rsidP="009D2B17">
      <w:pPr>
        <w:pStyle w:val="ListParagraph"/>
        <w:numPr>
          <w:ilvl w:val="1"/>
          <w:numId w:val="50"/>
        </w:numPr>
      </w:pPr>
      <w:r w:rsidRPr="004D78D5">
        <w:t xml:space="preserve">Each single risk pool plan that was effective during the </w:t>
      </w:r>
      <w:r>
        <w:t>e</w:t>
      </w:r>
      <w:r w:rsidRPr="004D78D5">
        <w:t xml:space="preserve">xperience </w:t>
      </w:r>
      <w:r>
        <w:t>p</w:t>
      </w:r>
      <w:r w:rsidRPr="004D78D5">
        <w:t xml:space="preserve">eriod, terminated </w:t>
      </w:r>
      <w:r w:rsidR="001142C5">
        <w:t>prior to</w:t>
      </w:r>
      <w:r w:rsidRPr="004D78D5">
        <w:t xml:space="preserve"> the rating period</w:t>
      </w:r>
      <w:r w:rsidR="001142C5">
        <w:t>,</w:t>
      </w:r>
      <w:r w:rsidRPr="004D78D5">
        <w:t xml:space="preserve"> and not mapped into another single risk pool plan should be included in Worksheet 2 in its own column.  Information associated with the </w:t>
      </w:r>
      <w:r>
        <w:t>e</w:t>
      </w:r>
      <w:r w:rsidRPr="004D78D5">
        <w:t xml:space="preserve">xperience </w:t>
      </w:r>
      <w:r>
        <w:t>p</w:t>
      </w:r>
      <w:r w:rsidRPr="004D78D5">
        <w:t xml:space="preserve">eriod should be included in Section III but Section IV should be </w:t>
      </w:r>
      <w:r w:rsidR="008566AD">
        <w:t>entered as 0 or other appropriate value</w:t>
      </w:r>
      <w:r w:rsidRPr="004D78D5">
        <w:t>. See the Actuarial Memorandum instructions under “Terminated Plans and Products” for more information.</w:t>
      </w:r>
    </w:p>
    <w:p w14:paraId="13F03F11" w14:textId="593676F9" w:rsidR="004D78D5" w:rsidRDefault="004D78D5" w:rsidP="009D2B17">
      <w:pPr>
        <w:pStyle w:val="ListParagraph"/>
        <w:numPr>
          <w:ilvl w:val="1"/>
          <w:numId w:val="50"/>
        </w:numPr>
      </w:pPr>
      <w:r>
        <w:t>Each single risk pool plan that was effective during the experience period and is terminated prior to the rating period and mapped to a new plan should be handled as follows:</w:t>
      </w:r>
    </w:p>
    <w:p w14:paraId="0F8B4962" w14:textId="5A8995CB" w:rsidR="004D78D5" w:rsidRDefault="004D78D5" w:rsidP="009D2B17">
      <w:pPr>
        <w:pStyle w:val="ListParagraph"/>
        <w:numPr>
          <w:ilvl w:val="2"/>
          <w:numId w:val="50"/>
        </w:numPr>
      </w:pPr>
      <w:r>
        <w:t xml:space="preserve">If members from the terminating plan are being mapped to a new plan, follow the instructions </w:t>
      </w:r>
      <w:r w:rsidR="00503A4C">
        <w:t>for new plans</w:t>
      </w:r>
      <w:r>
        <w:t xml:space="preserve"> given </w:t>
      </w:r>
      <w:r w:rsidR="00D74143">
        <w:t xml:space="preserve">in scenario 1b </w:t>
      </w:r>
      <w:r>
        <w:t>above that address this situation.</w:t>
      </w:r>
    </w:p>
    <w:p w14:paraId="683FA971" w14:textId="7CA267EB" w:rsidR="004D78D5" w:rsidRDefault="004D78D5" w:rsidP="009D2B17">
      <w:pPr>
        <w:pStyle w:val="ListParagraph"/>
        <w:numPr>
          <w:ilvl w:val="2"/>
          <w:numId w:val="50"/>
        </w:numPr>
      </w:pPr>
      <w:r>
        <w:t xml:space="preserve">If members from the terminating plan are being mapped to another renewing plan, the terminating plan should be listed separately with the terminating plan’s experience listed in Sections I, II, and III.  Expected projection experience should be listed in Section IV of the renewing plan </w:t>
      </w:r>
      <w:r w:rsidR="00C12AF4">
        <w:t xml:space="preserve">into which </w:t>
      </w:r>
      <w:r>
        <w:t xml:space="preserve">members are being mapped.  Historical rate increase information should be filled out with appropriate historical increases, while 0% should be entered into the Rate Change % fields.  Projected membership should be 0 under the terminating plan, but included in the projected membership of the renewing plan </w:t>
      </w:r>
      <w:r w:rsidR="00C12AF4">
        <w:t xml:space="preserve">into which </w:t>
      </w:r>
      <w:r>
        <w:t>these members are being mapped.</w:t>
      </w:r>
    </w:p>
    <w:p w14:paraId="25F075B4" w14:textId="2DFA1C57" w:rsidR="00795B5C" w:rsidRDefault="008F0E90" w:rsidP="009D2B17">
      <w:pPr>
        <w:pStyle w:val="ListParagraph"/>
        <w:numPr>
          <w:ilvl w:val="1"/>
          <w:numId w:val="50"/>
        </w:numPr>
      </w:pPr>
      <w:r>
        <w:t>A single risk pool plan that was not effective during the experience period and is terminated prior to the rating period and mapped to a renewing plan should only have projected experience included in Section IV of the plan into which members are being mapped.  In this case, the terminating HIOS Plan ID would not appear in the URRT for the upcoming plan year.  The terminating plan should still be listed in the Terminated Plans and Products section of the Actuarial Memorandum.</w:t>
      </w:r>
    </w:p>
    <w:p w14:paraId="22D5340A" w14:textId="2FB96A54" w:rsidR="00731FBF" w:rsidRDefault="00731FBF" w:rsidP="00731FBF">
      <w:r>
        <w:t xml:space="preserve">Please see </w:t>
      </w:r>
      <w:r w:rsidR="003E3E58">
        <w:t>Appendix</w:t>
      </w:r>
      <w:r>
        <w:t xml:space="preserve"> B for additional illustrations of the mapping scenarios described above.</w:t>
      </w:r>
    </w:p>
    <w:p w14:paraId="3A8945CD" w14:textId="77777777" w:rsidR="00D835E4" w:rsidRDefault="00D835E4" w:rsidP="00926D0E">
      <w:pPr>
        <w:pStyle w:val="Heading3"/>
      </w:pPr>
      <w:bookmarkStart w:id="266" w:name="_Toc436401738"/>
      <w:bookmarkStart w:id="267" w:name="_Toc436402602"/>
      <w:bookmarkStart w:id="268" w:name="_Toc411866025"/>
      <w:bookmarkStart w:id="269" w:name="_Toc411866089"/>
      <w:bookmarkStart w:id="270" w:name="_Toc411866302"/>
      <w:bookmarkStart w:id="271" w:name="_Toc411866381"/>
      <w:bookmarkStart w:id="272" w:name="_Toc411866607"/>
      <w:bookmarkStart w:id="273" w:name="_Toc411921547"/>
      <w:bookmarkStart w:id="274" w:name="_Toc411926677"/>
      <w:bookmarkStart w:id="275" w:name="_Toc411927128"/>
      <w:bookmarkStart w:id="276" w:name="_Toc411927389"/>
      <w:bookmarkStart w:id="277" w:name="_Toc411934209"/>
      <w:bookmarkStart w:id="278" w:name="_Toc411934945"/>
      <w:bookmarkStart w:id="279" w:name="_Toc410466695"/>
      <w:bookmarkStart w:id="280" w:name="_Toc410467293"/>
      <w:bookmarkStart w:id="281" w:name="_Toc410468242"/>
      <w:bookmarkStart w:id="282" w:name="_Toc410468938"/>
      <w:bookmarkStart w:id="283" w:name="_Toc410468989"/>
      <w:bookmarkStart w:id="284" w:name="_Toc410469497"/>
      <w:bookmarkStart w:id="285" w:name="_Toc410469624"/>
      <w:bookmarkStart w:id="286" w:name="_Toc410469913"/>
      <w:bookmarkStart w:id="287" w:name="_Toc410469979"/>
      <w:bookmarkStart w:id="288" w:name="_Toc410470120"/>
      <w:bookmarkStart w:id="289" w:name="_Toc410586714"/>
      <w:bookmarkStart w:id="290" w:name="_Toc410588301"/>
      <w:bookmarkStart w:id="291" w:name="_Toc410588383"/>
      <w:bookmarkStart w:id="292" w:name="_Toc410588609"/>
      <w:bookmarkStart w:id="293" w:name="_Toc410588817"/>
      <w:bookmarkStart w:id="294" w:name="_Toc411866090"/>
      <w:bookmarkStart w:id="295" w:name="_Toc411866608"/>
      <w:bookmarkStart w:id="296" w:name="_Toc412032779"/>
      <w:bookmarkStart w:id="297" w:name="_Toc411936251"/>
      <w:bookmarkStart w:id="298" w:name="_Toc412287661"/>
      <w:bookmarkStart w:id="299" w:name="_Toc44175650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r w:rsidRPr="008A3126">
        <w:t>Section I</w:t>
      </w:r>
      <w:bookmarkStart w:id="300" w:name="_Toc410588818"/>
      <w:bookmarkStart w:id="301" w:name="_Toc410588819"/>
      <w:bookmarkEnd w:id="293"/>
      <w:bookmarkEnd w:id="300"/>
      <w:bookmarkEnd w:id="301"/>
      <w:r>
        <w:t>: General Product and Plan Information</w:t>
      </w:r>
      <w:bookmarkEnd w:id="294"/>
      <w:bookmarkEnd w:id="295"/>
      <w:bookmarkEnd w:id="296"/>
      <w:bookmarkEnd w:id="297"/>
      <w:bookmarkEnd w:id="298"/>
      <w:bookmarkEnd w:id="299"/>
    </w:p>
    <w:p w14:paraId="3F479D3E" w14:textId="4C4E099F" w:rsidR="00D835E4" w:rsidRPr="00674068" w:rsidRDefault="00D835E4" w:rsidP="00D835E4">
      <w:pPr>
        <w:pStyle w:val="BodyText"/>
      </w:pPr>
      <w:r w:rsidRPr="00674068">
        <w:rPr>
          <w:b/>
        </w:rPr>
        <w:t xml:space="preserve">Product:  </w:t>
      </w:r>
      <w:r w:rsidRPr="00674068">
        <w:t>Enter the product name in the corresponding column(s).</w:t>
      </w:r>
    </w:p>
    <w:p w14:paraId="1F0736C2" w14:textId="35F8C06C" w:rsidR="001E65C2" w:rsidRDefault="00D835E4" w:rsidP="0043156A">
      <w:pPr>
        <w:pStyle w:val="BodyText"/>
        <w:ind w:left="720"/>
      </w:pPr>
      <w:r w:rsidRPr="008A3126">
        <w:t xml:space="preserve">The term “product” means a discrete package of </w:t>
      </w:r>
      <w:r w:rsidR="00A176AF">
        <w:t xml:space="preserve">health insurance </w:t>
      </w:r>
      <w:r w:rsidRPr="008A3126">
        <w:t xml:space="preserve">benefits </w:t>
      </w:r>
      <w:r w:rsidR="00A176AF" w:rsidRPr="00A176AF">
        <w:t>a health</w:t>
      </w:r>
      <w:r w:rsidR="00A176AF">
        <w:t xml:space="preserve"> insurance issuer offers</w:t>
      </w:r>
      <w:r w:rsidRPr="008A3126">
        <w:t xml:space="preserve"> using a particular product network type (e.g., HMO, PPO, EPO, POS, etc</w:t>
      </w:r>
      <w:r w:rsidR="00C4061F">
        <w:t>.</w:t>
      </w:r>
      <w:r w:rsidRPr="008A3126">
        <w:t xml:space="preserve">) within a service area.  “Product” has the same meaning as included in 45 </w:t>
      </w:r>
      <w:r w:rsidR="00DF37D5">
        <w:t xml:space="preserve">CFR </w:t>
      </w:r>
      <w:r w:rsidRPr="008A3126">
        <w:t>154.</w:t>
      </w:r>
      <w:r w:rsidR="00A176AF">
        <w:t xml:space="preserve">102 </w:t>
      </w:r>
      <w:r w:rsidR="001E65C2">
        <w:t xml:space="preserve">and </w:t>
      </w:r>
      <w:r w:rsidR="00A176AF">
        <w:t>144.103</w:t>
      </w:r>
      <w:r w:rsidRPr="008A3126">
        <w:t>.</w:t>
      </w:r>
    </w:p>
    <w:p w14:paraId="39683036" w14:textId="46398A8B" w:rsidR="00D835E4" w:rsidRPr="00674068" w:rsidRDefault="002F2155" w:rsidP="0043156A">
      <w:pPr>
        <w:pStyle w:val="BodyText"/>
        <w:ind w:left="720"/>
      </w:pPr>
      <w:r>
        <w:rPr>
          <w:noProof/>
        </w:rPr>
        <mc:AlternateContent>
          <mc:Choice Requires="wps">
            <w:drawing>
              <wp:anchor distT="228600" distB="228600" distL="228600" distR="228600" simplePos="0" relativeHeight="251670016" behindDoc="1" locked="0" layoutInCell="1" allowOverlap="1" wp14:anchorId="1724C9FA" wp14:editId="76938EA1">
                <wp:simplePos x="0" y="0"/>
                <wp:positionH relativeFrom="margin">
                  <wp:posOffset>0</wp:posOffset>
                </wp:positionH>
                <wp:positionV relativeFrom="margin">
                  <wp:posOffset>4067175</wp:posOffset>
                </wp:positionV>
                <wp:extent cx="2486660" cy="1667510"/>
                <wp:effectExtent l="0" t="0" r="8890" b="8890"/>
                <wp:wrapSquare wrapText="bothSides"/>
                <wp:docPr id="20" name="Text Box 20"/>
                <wp:cNvGraphicFramePr/>
                <a:graphic xmlns:a="http://schemas.openxmlformats.org/drawingml/2006/main">
                  <a:graphicData uri="http://schemas.microsoft.com/office/word/2010/wordprocessingShape">
                    <wps:wsp>
                      <wps:cNvSpPr txBox="1"/>
                      <wps:spPr>
                        <a:xfrm>
                          <a:off x="0" y="0"/>
                          <a:ext cx="2486660" cy="1667510"/>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0149C427" w14:textId="1EB9693F" w:rsidR="00634A44" w:rsidRPr="00B616D2" w:rsidRDefault="00634A44" w:rsidP="002F2155">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HIOS does not report product names containing special characters.  Consider spelling out name of special characters, e.g. “20Percent Coinsurance” rather than “20% Coinsurance.”</w:t>
                            </w:r>
                          </w:p>
                          <w:p w14:paraId="05F6CF28" w14:textId="3D7FA790" w:rsidR="00634A44" w:rsidRDefault="00634A44" w:rsidP="002F2155">
                            <w:pPr>
                              <w:pStyle w:val="NoSpacing"/>
                              <w:jc w:val="center"/>
                              <w:rPr>
                                <w:color w:val="1F497D" w:themeColor="text2"/>
                                <w:sz w:val="18"/>
                                <w:szCs w:val="18"/>
                              </w:rPr>
                            </w:pPr>
                          </w:p>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24C9FA" id="Text Box 20" o:spid="_x0000_s1036" type="#_x0000_t202" style="position:absolute;left:0;text-align:left;margin-left:0;margin-top:320.25pt;width:195.8pt;height:131.3pt;z-index:-25164646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" stroked="f" strokeweight=".5pt">
                <v:fill color2="#eae7d8" rotate="t" focusposition=".5,.5" focussize="-.5,-.5" focus="100%" type="gradientRadial"/>
                <v:textbox inset="14.4pt,14.4pt,14.4pt,14.4pt">
                  <w:txbxContent>
                    <w:p w14:paraId="0149C427" w14:textId="1EB9693F" w:rsidR="00634A44" w:rsidRPr="00B616D2" w:rsidRDefault="00634A44" w:rsidP="002F2155">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HIOS does not report product names containing special characters.  Consider spelling out name of special characters, e.g. “20Percent Coinsurance” rather than “20% Coinsurance.”</w:t>
                      </w:r>
                    </w:p>
                    <w:p w14:paraId="05F6CF28" w14:textId="3D7FA790" w:rsidR="00634A44" w:rsidRDefault="00634A44" w:rsidP="002F2155">
                      <w:pPr>
                        <w:pStyle w:val="NoSpacing"/>
                        <w:jc w:val="center"/>
                        <w:rPr>
                          <w:color w:val="1F497D" w:themeColor="text2"/>
                          <w:sz w:val="18"/>
                          <w:szCs w:val="18"/>
                        </w:rPr>
                      </w:pPr>
                    </w:p>
                  </w:txbxContent>
                </v:textbox>
                <w10:wrap type="square" anchorx="margin" anchory="margin"/>
              </v:shape>
            </w:pict>
          </mc:Fallback>
        </mc:AlternateContent>
      </w:r>
      <w:r w:rsidR="00D835E4" w:rsidRPr="00674068">
        <w:t>All products included in the single risk pool experience shown on Worksheet 1 must be entered in this section of Worksheet 2.</w:t>
      </w:r>
      <w:r w:rsidR="00D835E4" w:rsidRPr="008A3126">
        <w:t xml:space="preserve"> This includes any products that are terminated but have experience included in the single risk pool during the </w:t>
      </w:r>
      <w:r w:rsidR="006A41FA">
        <w:t>E</w:t>
      </w:r>
      <w:r w:rsidR="00D835E4" w:rsidRPr="008A3126">
        <w:t xml:space="preserve">xperience </w:t>
      </w:r>
      <w:r w:rsidR="006A41FA">
        <w:t>P</w:t>
      </w:r>
      <w:r w:rsidR="00D835E4" w:rsidRPr="008A3126">
        <w:t xml:space="preserve">eriod. It also includes any products that were not in effect during the </w:t>
      </w:r>
      <w:r w:rsidR="006A41FA">
        <w:t>E</w:t>
      </w:r>
      <w:r w:rsidR="00D835E4" w:rsidRPr="008A3126">
        <w:t xml:space="preserve">xperience </w:t>
      </w:r>
      <w:r w:rsidR="006A41FA">
        <w:t xml:space="preserve">Period </w:t>
      </w:r>
      <w:r w:rsidR="00D835E4" w:rsidRPr="008A3126">
        <w:t>but were made available thereafter.</w:t>
      </w:r>
      <w:r w:rsidR="00A176AF" w:rsidRPr="008A3126" w:rsidDel="00A176AF">
        <w:t xml:space="preserve"> </w:t>
      </w:r>
      <w:r w:rsidR="00D835E4" w:rsidRPr="008A3126">
        <w:t>If multiple non-</w:t>
      </w:r>
      <w:r w:rsidR="006A2F03">
        <w:t>single risk pool</w:t>
      </w:r>
      <w:r w:rsidR="00D835E4" w:rsidRPr="008A3126">
        <w:t xml:space="preserve"> </w:t>
      </w:r>
      <w:r w:rsidR="00D835E4" w:rsidRPr="00674068">
        <w:t xml:space="preserve">products will be </w:t>
      </w:r>
      <w:r w:rsidR="00C4061F">
        <w:t>terminat</w:t>
      </w:r>
      <w:r w:rsidR="00D835E4" w:rsidRPr="00674068">
        <w:t xml:space="preserve">ed prior to </w:t>
      </w:r>
      <w:r w:rsidR="00D835E4" w:rsidRPr="008A3126">
        <w:t xml:space="preserve">the </w:t>
      </w:r>
      <w:r w:rsidR="006A41FA">
        <w:t>P</w:t>
      </w:r>
      <w:r w:rsidR="00D835E4" w:rsidRPr="008A3126">
        <w:t xml:space="preserve">rojection </w:t>
      </w:r>
      <w:r w:rsidR="006A41FA">
        <w:t>P</w:t>
      </w:r>
      <w:r w:rsidR="00D835E4" w:rsidRPr="008A3126">
        <w:t>eriod</w:t>
      </w:r>
      <w:r w:rsidR="00D835E4" w:rsidRPr="00674068">
        <w:t xml:space="preserve">, </w:t>
      </w:r>
      <w:r w:rsidR="00F55911" w:rsidRPr="00674068">
        <w:t>these</w:t>
      </w:r>
      <w:r w:rsidR="00F55911" w:rsidRPr="008A3126">
        <w:t xml:space="preserve"> </w:t>
      </w:r>
      <w:r w:rsidR="00F55911" w:rsidRPr="00674068">
        <w:t>products</w:t>
      </w:r>
      <w:r w:rsidR="00D835E4" w:rsidRPr="00674068">
        <w:t xml:space="preserve"> may be combined for reporting purposes and shown as a single product in the template.</w:t>
      </w:r>
      <w:r w:rsidR="00D835E4" w:rsidRPr="008A3126">
        <w:t xml:space="preserve"> The term “Terminated Products” should be entered as the plan name in this case. The list of product names for the terminated products should be included in the Actuarial Memorandum. </w:t>
      </w:r>
    </w:p>
    <w:p w14:paraId="6D0E558A" w14:textId="4EB0056B" w:rsidR="00D835E4" w:rsidRPr="008A3126" w:rsidRDefault="00D835E4" w:rsidP="00D835E4">
      <w:pPr>
        <w:pStyle w:val="BodyText"/>
        <w:ind w:left="720"/>
      </w:pPr>
      <w:r w:rsidRPr="008A3126">
        <w:t xml:space="preserve">Those </w:t>
      </w:r>
      <w:r w:rsidR="006A2F03">
        <w:t xml:space="preserve">single risk pool </w:t>
      </w:r>
      <w:r w:rsidRPr="008A3126">
        <w:t xml:space="preserve">products that were effective during the </w:t>
      </w:r>
      <w:r w:rsidR="006A41FA">
        <w:t>E</w:t>
      </w:r>
      <w:r w:rsidRPr="008A3126">
        <w:t xml:space="preserve">xperience </w:t>
      </w:r>
      <w:r w:rsidR="006A41FA">
        <w:t>P</w:t>
      </w:r>
      <w:r w:rsidRPr="008A3126">
        <w:t xml:space="preserve">eriod and are terminated prior to the </w:t>
      </w:r>
      <w:r w:rsidR="006A41FA">
        <w:t>P</w:t>
      </w:r>
      <w:r w:rsidRPr="008A3126">
        <w:t xml:space="preserve">rojection </w:t>
      </w:r>
      <w:r w:rsidR="006A41FA">
        <w:t>P</w:t>
      </w:r>
      <w:r w:rsidRPr="008A3126">
        <w:t xml:space="preserve">eriod must be shown in Worksheet 2 in a separate column with the plan name and plan ID. The projected membership for these plans should be zero and no projected experience in the Section IV should be entered. The list of </w:t>
      </w:r>
      <w:r w:rsidR="006A2F03">
        <w:t>single risk pool</w:t>
      </w:r>
      <w:r w:rsidRPr="008A3126">
        <w:t xml:space="preserve"> plans that are terminated </w:t>
      </w:r>
      <w:r w:rsidR="00CC61F7">
        <w:t>prior to</w:t>
      </w:r>
      <w:r w:rsidRPr="008A3126">
        <w:t xml:space="preserve"> the projection period should be included in the Actuarial Memorandum.</w:t>
      </w:r>
    </w:p>
    <w:p w14:paraId="4BA18D07" w14:textId="59404FD0" w:rsidR="00D835E4" w:rsidRPr="008A3126" w:rsidRDefault="00D835E4" w:rsidP="001E65C2">
      <w:pPr>
        <w:pStyle w:val="BodyText"/>
        <w:ind w:left="1080"/>
      </w:pPr>
      <w:r w:rsidRPr="00674068">
        <w:t>Currently, HIOS does not report product names containing special characters, e.g</w:t>
      </w:r>
      <w:r w:rsidR="00BA6F02" w:rsidRPr="008A3126">
        <w:t>.</w:t>
      </w:r>
      <w:r w:rsidRPr="00674068">
        <w:t xml:space="preserve"> </w:t>
      </w:r>
      <w:r w:rsidR="00692ABC">
        <w:t>“</w:t>
      </w:r>
      <w:r w:rsidRPr="00674068">
        <w:t>%.</w:t>
      </w:r>
      <w:r w:rsidR="00692ABC">
        <w:t>”</w:t>
      </w:r>
      <w:r w:rsidRPr="00674068">
        <w:t xml:space="preserve"> It is recommended that products containing special characters spell out the name of the special character, e.g. “20Percent Coinsurance” </w:t>
      </w:r>
      <w:r w:rsidR="00692ABC">
        <w:t>instead of</w:t>
      </w:r>
      <w:r w:rsidR="00692ABC" w:rsidRPr="00674068">
        <w:t xml:space="preserve"> </w:t>
      </w:r>
      <w:r w:rsidRPr="00674068">
        <w:t>“20% Coinsurance.”</w:t>
      </w:r>
    </w:p>
    <w:p w14:paraId="0FAC1D96" w14:textId="32D39F13" w:rsidR="00D835E4" w:rsidRPr="008A3126" w:rsidRDefault="00D835E4" w:rsidP="00D835E4">
      <w:pPr>
        <w:pStyle w:val="BodyText"/>
      </w:pPr>
      <w:r w:rsidRPr="00674068">
        <w:rPr>
          <w:b/>
        </w:rPr>
        <w:t>Product ID:</w:t>
      </w:r>
      <w:r w:rsidRPr="00674068">
        <w:t xml:space="preserve">  En</w:t>
      </w:r>
      <w:r w:rsidRPr="008A3126">
        <w:t xml:space="preserve">ter the product ID that corresponds with each product. </w:t>
      </w:r>
      <w:r w:rsidR="0009779B">
        <w:t xml:space="preserve"> </w:t>
      </w:r>
      <w:r w:rsidRPr="008A3126">
        <w:t>The two-letter state code portion of the Product ID must be entered using capital letters.</w:t>
      </w:r>
    </w:p>
    <w:p w14:paraId="58F7C760" w14:textId="0F3603AD" w:rsidR="00D835E4" w:rsidRPr="008A3126" w:rsidRDefault="00D835E4" w:rsidP="00D835E4">
      <w:pPr>
        <w:pStyle w:val="BodyText"/>
        <w:ind w:left="720"/>
      </w:pPr>
      <w:r w:rsidRPr="008A3126">
        <w:t xml:space="preserve">The “Product ID” should be the product number assigned by HIOS. </w:t>
      </w:r>
      <w:r w:rsidR="0009779B">
        <w:t xml:space="preserve"> </w:t>
      </w:r>
      <w:r w:rsidRPr="008A3126">
        <w:t>Each product included in the single risk pool during the Experience Period, as well as new products that are part of the rate filing, must be identified in Worksheet 2 of the template.</w:t>
      </w:r>
    </w:p>
    <w:p w14:paraId="34A89D72" w14:textId="2E087947" w:rsidR="00D835E4" w:rsidRPr="008A3126" w:rsidRDefault="00D835E4" w:rsidP="00D835E4">
      <w:pPr>
        <w:pStyle w:val="BodyText"/>
        <w:ind w:left="720"/>
      </w:pPr>
      <w:r w:rsidRPr="008A3126">
        <w:t xml:space="preserve">If </w:t>
      </w:r>
      <w:r w:rsidR="00C4061F">
        <w:t xml:space="preserve">multiple </w:t>
      </w:r>
      <w:r w:rsidRPr="008A3126">
        <w:t>non-</w:t>
      </w:r>
      <w:r w:rsidR="006A2F03">
        <w:t xml:space="preserve">single risk pool </w:t>
      </w:r>
      <w:r w:rsidRPr="00674068">
        <w:t xml:space="preserve">products will be </w:t>
      </w:r>
      <w:r w:rsidRPr="008A3126">
        <w:t>terminated</w:t>
      </w:r>
      <w:r w:rsidRPr="00674068">
        <w:t xml:space="preserve"> prior to </w:t>
      </w:r>
      <w:r w:rsidRPr="008A3126">
        <w:t xml:space="preserve">the </w:t>
      </w:r>
      <w:r w:rsidR="006C6ECA">
        <w:t>P</w:t>
      </w:r>
      <w:r w:rsidRPr="008A3126">
        <w:t xml:space="preserve">rojection </w:t>
      </w:r>
      <w:r w:rsidR="006C6ECA">
        <w:t>P</w:t>
      </w:r>
      <w:r w:rsidRPr="008A3126">
        <w:t>eriod</w:t>
      </w:r>
      <w:r w:rsidRPr="00674068">
        <w:t xml:space="preserve">, these products may be combined for reporting purposes and shown as a single product in the template. </w:t>
      </w:r>
      <w:r w:rsidR="0009779B">
        <w:t xml:space="preserve"> </w:t>
      </w:r>
      <w:r w:rsidRPr="00674068">
        <w:t xml:space="preserve">Enter the </w:t>
      </w:r>
      <w:r w:rsidRPr="008A3126">
        <w:t xml:space="preserve">Product ID for the largest product (measured by member months during the </w:t>
      </w:r>
      <w:r w:rsidR="006C6ECA">
        <w:t>E</w:t>
      </w:r>
      <w:r w:rsidRPr="008A3126">
        <w:t xml:space="preserve">xperience </w:t>
      </w:r>
      <w:r w:rsidR="006C6ECA">
        <w:t>P</w:t>
      </w:r>
      <w:r w:rsidRPr="008A3126">
        <w:t xml:space="preserve">eriod) being terminated. </w:t>
      </w:r>
      <w:r w:rsidR="0009779B">
        <w:t xml:space="preserve"> </w:t>
      </w:r>
      <w:r w:rsidRPr="008A3126">
        <w:t>A list of Product IDs for the terminated products should be included in the Actuarial Memorandum.</w:t>
      </w:r>
    </w:p>
    <w:p w14:paraId="43ACE3A6" w14:textId="4DE0D28F" w:rsidR="00D835E4" w:rsidRPr="008A3126" w:rsidRDefault="00D835E4" w:rsidP="00D835E4">
      <w:pPr>
        <w:pStyle w:val="BodyText"/>
        <w:ind w:left="720"/>
      </w:pPr>
      <w:r w:rsidRPr="008A3126">
        <w:t xml:space="preserve">Terminated </w:t>
      </w:r>
      <w:r w:rsidR="006A2F03">
        <w:t>single risk pool</w:t>
      </w:r>
      <w:r w:rsidRPr="008A3126">
        <w:t xml:space="preserve"> plans and/or products cannot be combined for reporting purposes. </w:t>
      </w:r>
      <w:r w:rsidR="0009779B">
        <w:t xml:space="preserve"> </w:t>
      </w:r>
      <w:r w:rsidRPr="008A3126">
        <w:t xml:space="preserve">All </w:t>
      </w:r>
      <w:r w:rsidR="006A2F03">
        <w:t>single risk pool</w:t>
      </w:r>
      <w:r w:rsidRPr="008A3126">
        <w:t xml:space="preserve"> plan IDs effective in the </w:t>
      </w:r>
      <w:r w:rsidR="006C6ECA">
        <w:t>E</w:t>
      </w:r>
      <w:r w:rsidRPr="008A3126">
        <w:t xml:space="preserve">xperience </w:t>
      </w:r>
      <w:r w:rsidR="006C6ECA">
        <w:t>P</w:t>
      </w:r>
      <w:r w:rsidRPr="008A3126">
        <w:t>eriod must be shown as a separate column in Worksheet 2</w:t>
      </w:r>
      <w:r w:rsidR="0009779B">
        <w:t>, except in cases where a terminated plan is mapped to a new plan</w:t>
      </w:r>
      <w:r w:rsidRPr="008A3126">
        <w:t>.</w:t>
      </w:r>
      <w:r w:rsidR="0009779B">
        <w:t xml:space="preserve">  Refer to the Plan Mapping instructions for this scenario in Section 2.2 above.</w:t>
      </w:r>
    </w:p>
    <w:p w14:paraId="5AA62AD9" w14:textId="506A8207" w:rsidR="00D835E4" w:rsidRDefault="00D835E4" w:rsidP="00D835E4">
      <w:r w:rsidRPr="00674068">
        <w:rPr>
          <w:b/>
        </w:rPr>
        <w:t>Metal:</w:t>
      </w:r>
      <w:r w:rsidRPr="00674068">
        <w:t xml:space="preserve">  For each plan within a product, choose the corresponding metal level from the drop down menu in the template.</w:t>
      </w:r>
      <w:r w:rsidRPr="008A3126">
        <w:t xml:space="preserve"> </w:t>
      </w:r>
      <w:r w:rsidR="0009779B">
        <w:t xml:space="preserve"> </w:t>
      </w:r>
      <w:r w:rsidRPr="008A3126">
        <w:t>Plans that are included in a QHP certification application must show the same Metal as is shown in the QHP application.</w:t>
      </w:r>
    </w:p>
    <w:p w14:paraId="69BF96E6" w14:textId="55E8D7FA" w:rsidR="0009779B" w:rsidRPr="008A3126" w:rsidRDefault="00637DF8" w:rsidP="00D835E4">
      <w:r>
        <w:t>A new selection option of “Not Applicable” has been added to the URRT for 2017.  A “Not Applicable” selection should be made when the AV metal level does not apply to a plan such as a non-single risk pool plan.</w:t>
      </w:r>
    </w:p>
    <w:p w14:paraId="33C6B4FA" w14:textId="2626E237" w:rsidR="00D835E4" w:rsidRPr="008A3126" w:rsidRDefault="00D835E4" w:rsidP="00D835E4">
      <w:pPr>
        <w:ind w:left="720"/>
      </w:pPr>
      <w:r w:rsidRPr="008A3126">
        <w:t xml:space="preserve">In these instructions, the term “actuarial value” is used to describe a manner of estimating the value of a plan, but not a specific manner. AV Metal Value refers to the </w:t>
      </w:r>
      <w:r w:rsidR="00692ABC">
        <w:t>F</w:t>
      </w:r>
      <w:r w:rsidRPr="008A3126">
        <w:t xml:space="preserve">ederal definition of </w:t>
      </w:r>
      <w:r w:rsidR="00175AC6">
        <w:t>AV</w:t>
      </w:r>
      <w:r w:rsidRPr="008A3126">
        <w:t xml:space="preserve"> </w:t>
      </w:r>
      <w:r w:rsidR="00730317">
        <w:t xml:space="preserve">found </w:t>
      </w:r>
      <w:r w:rsidRPr="008A3126">
        <w:t>in 45 CFR 156.20. AV Pricing Value is defined below.</w:t>
      </w:r>
    </w:p>
    <w:p w14:paraId="6919B51B" w14:textId="0ED9E9C1" w:rsidR="00D835E4" w:rsidRPr="008A3126" w:rsidRDefault="00D835E4" w:rsidP="00D835E4">
      <w:pPr>
        <w:ind w:left="720"/>
      </w:pPr>
      <w:r w:rsidRPr="008A3126">
        <w:t xml:space="preserve">The ACA requires that </w:t>
      </w:r>
      <w:r w:rsidR="003C0891">
        <w:t xml:space="preserve">non-grandfathered </w:t>
      </w:r>
      <w:r w:rsidRPr="008A3126">
        <w:t xml:space="preserve">plans offered in the </w:t>
      </w:r>
      <w:r w:rsidR="003C0891">
        <w:t>individual</w:t>
      </w:r>
      <w:r w:rsidR="00CB72F1">
        <w:t xml:space="preserve"> or</w:t>
      </w:r>
      <w:r w:rsidR="003C0891">
        <w:t xml:space="preserve">, small group </w:t>
      </w:r>
      <w:r w:rsidR="00CB72F1">
        <w:t>(</w:t>
      </w:r>
      <w:r w:rsidR="003C0891">
        <w:t>or combined</w:t>
      </w:r>
      <w:r w:rsidR="00CB72F1">
        <w:t>)</w:t>
      </w:r>
      <w:r w:rsidR="003C0891">
        <w:t xml:space="preserve"> </w:t>
      </w:r>
      <w:r w:rsidRPr="008A3126">
        <w:t xml:space="preserve">market must have an </w:t>
      </w:r>
      <w:r w:rsidR="0026206B">
        <w:t>AV</w:t>
      </w:r>
      <w:r w:rsidR="00175AC6">
        <w:t xml:space="preserve"> </w:t>
      </w:r>
      <w:r w:rsidRPr="008A3126">
        <w:t xml:space="preserve">that corresponds to a defined metal level.  The metal </w:t>
      </w:r>
      <w:r w:rsidR="00BA6F02">
        <w:t>AV</w:t>
      </w:r>
      <w:r w:rsidR="00BA6F02" w:rsidRPr="008A3126">
        <w:t>s</w:t>
      </w:r>
      <w:r w:rsidRPr="008A3126">
        <w:t xml:space="preserve"> are defined</w:t>
      </w:r>
      <w:r w:rsidR="00692ABC">
        <w:t xml:space="preserve"> in 45 CFR 156.20</w:t>
      </w:r>
      <w:r w:rsidRPr="008A3126">
        <w:t xml:space="preserve"> as “the percentage paid by a health plan of the percentage of the total allowed costs of benefits.” There are five levels of coverage that can be offered: Platinum, Gold, Silver, Bronze and Catastrophic. The </w:t>
      </w:r>
      <w:r w:rsidR="00BA6F02">
        <w:t>AV</w:t>
      </w:r>
      <w:r w:rsidR="00BA6F02" w:rsidRPr="008A3126">
        <w:t>s</w:t>
      </w:r>
      <w:r w:rsidRPr="008A3126">
        <w:t xml:space="preserve"> for each of these metal levels are shown in the table below. The </w:t>
      </w:r>
      <w:r w:rsidR="0026206B">
        <w:t>AV</w:t>
      </w:r>
      <w:r w:rsidRPr="008A3126">
        <w:t xml:space="preserve"> used in determining the metal level must be based on the </w:t>
      </w:r>
      <w:r w:rsidR="0026206B">
        <w:t>AV</w:t>
      </w:r>
      <w:r w:rsidRPr="008A3126">
        <w:t xml:space="preserve"> Calculator or an acceptable alternative if a health plan’s design is not compatible with the AV Calculator. For further guidance on the calculation of the AV Metal Value in the determination of the metal level, please see the instructions for the Actuarial Memorandum.</w:t>
      </w:r>
    </w:p>
    <w:p w14:paraId="1A45C84B" w14:textId="788EB85E" w:rsidR="00D835E4" w:rsidRPr="008A3126" w:rsidRDefault="00D835E4" w:rsidP="00D835E4">
      <w:pPr>
        <w:ind w:left="720"/>
      </w:pPr>
      <w:r w:rsidRPr="008A3126">
        <w:t xml:space="preserve">The </w:t>
      </w:r>
      <w:r w:rsidR="0026206B">
        <w:t>AV</w:t>
      </w:r>
      <w:r w:rsidRPr="008A3126">
        <w:t xml:space="preserve"> used to determine the metal level must be within a de </w:t>
      </w:r>
      <w:proofErr w:type="spellStart"/>
      <w:r w:rsidRPr="008A3126">
        <w:t>minimis</w:t>
      </w:r>
      <w:proofErr w:type="spellEnd"/>
      <w:r w:rsidRPr="008A3126">
        <w:t xml:space="preserve"> variation from the </w:t>
      </w:r>
      <w:r w:rsidR="00BA6F02">
        <w:t>AV</w:t>
      </w:r>
      <w:r w:rsidR="00BA6F02" w:rsidRPr="008A3126">
        <w:t>s</w:t>
      </w:r>
      <w:r w:rsidRPr="008A3126">
        <w:t xml:space="preserve"> defined in the ACA. The Secretary has </w:t>
      </w:r>
      <w:r w:rsidR="00646AC0">
        <w:t>specified</w:t>
      </w:r>
      <w:r w:rsidRPr="008A3126">
        <w:t xml:space="preserve"> that the de </w:t>
      </w:r>
      <w:proofErr w:type="spellStart"/>
      <w:r w:rsidRPr="008A3126">
        <w:t>minimis</w:t>
      </w:r>
      <w:proofErr w:type="spellEnd"/>
      <w:r w:rsidRPr="008A3126">
        <w:t xml:space="preserve"> variation standards will be ± 2 percentage points</w:t>
      </w:r>
      <w:r w:rsidR="00F42D6C">
        <w:rPr>
          <w:rStyle w:val="FootnoteReference"/>
        </w:rPr>
        <w:footnoteReference w:id="10"/>
      </w:r>
      <w:r w:rsidRPr="008A3126">
        <w:t>. For example, plans with an AV value between 68% and 72% meet the requirements for a silver level plan.</w:t>
      </w:r>
    </w:p>
    <w:tbl>
      <w:tblPr>
        <w:tblStyle w:val="MediumGrid3-Accent1"/>
        <w:tblW w:w="0" w:type="auto"/>
        <w:jc w:val="center"/>
        <w:tblLook w:val="04A0" w:firstRow="1" w:lastRow="0" w:firstColumn="1" w:lastColumn="0" w:noHBand="0" w:noVBand="1"/>
        <w:tblCaption w:val="Metal Level AV Requirements"/>
        <w:tblDescription w:val="Platinum Metal Level has a required Actuarial Value of 90%.&#10;Gold Metal Level has a required Actuarial Value of 80%.&#10;Silver Metal Level has a required Actuarial Value of 70%.&#10;Bronze Metal Level has a required Actuarial Value of 60%.&#10;Catastrophic Metal Level does not have a required Actuarial Value specified by law.&#10;Note that for the Catastrophic level is a plan offered in the individual market only and is only available to individuals below the age of 30 or those for whom premium for minimum essential coverage exceeds 8% of income.&#10;"/>
      </w:tblPr>
      <w:tblGrid>
        <w:gridCol w:w="1328"/>
        <w:gridCol w:w="1977"/>
      </w:tblGrid>
      <w:tr w:rsidR="00D835E4" w:rsidRPr="008A3126" w14:paraId="2F65D7E3" w14:textId="77777777" w:rsidTr="00F42D6C">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221A5EA" w14:textId="77777777" w:rsidR="00D835E4" w:rsidRPr="006A5861" w:rsidRDefault="00D835E4" w:rsidP="004A488D">
            <w:pPr>
              <w:rPr>
                <w:lang w:val="en-US"/>
              </w:rPr>
            </w:pPr>
            <w:r w:rsidRPr="00E717E2">
              <w:t>Metal Level</w:t>
            </w:r>
          </w:p>
        </w:tc>
        <w:tc>
          <w:tcPr>
            <w:tcW w:w="0" w:type="auto"/>
            <w:hideMark/>
          </w:tcPr>
          <w:p w14:paraId="5FE6AC1E" w14:textId="77777777" w:rsidR="00D835E4" w:rsidRPr="006A5861" w:rsidRDefault="00D835E4" w:rsidP="004A488D">
            <w:pPr>
              <w:cnfStyle w:val="100000000000" w:firstRow="1" w:lastRow="0" w:firstColumn="0" w:lastColumn="0" w:oddVBand="0" w:evenVBand="0" w:oddHBand="0" w:evenHBand="0" w:firstRowFirstColumn="0" w:firstRowLastColumn="0" w:lastRowFirstColumn="0" w:lastRowLastColumn="0"/>
              <w:rPr>
                <w:lang w:val="en-US"/>
              </w:rPr>
            </w:pPr>
            <w:r w:rsidRPr="00E717E2">
              <w:t>AV Requirements</w:t>
            </w:r>
          </w:p>
        </w:tc>
      </w:tr>
      <w:tr w:rsidR="00D835E4" w:rsidRPr="008A3126" w14:paraId="4E1B3064" w14:textId="77777777" w:rsidTr="00F42D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117F9E7" w14:textId="77777777" w:rsidR="00D835E4" w:rsidRPr="006A5861" w:rsidRDefault="00D835E4" w:rsidP="004A488D">
            <w:pPr>
              <w:rPr>
                <w:lang w:val="en-US"/>
              </w:rPr>
            </w:pPr>
            <w:r w:rsidRPr="00674068">
              <w:t>Platinum</w:t>
            </w:r>
          </w:p>
        </w:tc>
        <w:tc>
          <w:tcPr>
            <w:tcW w:w="0" w:type="auto"/>
            <w:hideMark/>
          </w:tcPr>
          <w:p w14:paraId="3FDAF5F9" w14:textId="77777777" w:rsidR="00D835E4" w:rsidRPr="006A5861" w:rsidRDefault="00D835E4" w:rsidP="004A488D">
            <w:pPr>
              <w:cnfStyle w:val="000000100000" w:firstRow="0" w:lastRow="0" w:firstColumn="0" w:lastColumn="0" w:oddVBand="0" w:evenVBand="0" w:oddHBand="1" w:evenHBand="0" w:firstRowFirstColumn="0" w:firstRowLastColumn="0" w:lastRowFirstColumn="0" w:lastRowLastColumn="0"/>
              <w:rPr>
                <w:lang w:val="en-US"/>
              </w:rPr>
            </w:pPr>
            <w:r w:rsidRPr="00E717E2">
              <w:t xml:space="preserve">90% </w:t>
            </w:r>
          </w:p>
        </w:tc>
      </w:tr>
      <w:tr w:rsidR="00D835E4" w:rsidRPr="008A3126" w14:paraId="3671C1E0" w14:textId="77777777" w:rsidTr="00F42D6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1C4B7E" w14:textId="77777777" w:rsidR="00D835E4" w:rsidRPr="006A5861" w:rsidRDefault="00D835E4" w:rsidP="004A488D">
            <w:pPr>
              <w:rPr>
                <w:lang w:val="en-US"/>
              </w:rPr>
            </w:pPr>
            <w:r w:rsidRPr="00674068">
              <w:t>Gold</w:t>
            </w:r>
          </w:p>
        </w:tc>
        <w:tc>
          <w:tcPr>
            <w:tcW w:w="0" w:type="auto"/>
            <w:hideMark/>
          </w:tcPr>
          <w:p w14:paraId="4C88C81C" w14:textId="77777777" w:rsidR="00D835E4" w:rsidRPr="006A5861" w:rsidRDefault="00D835E4" w:rsidP="004A488D">
            <w:pPr>
              <w:cnfStyle w:val="000000000000" w:firstRow="0" w:lastRow="0" w:firstColumn="0" w:lastColumn="0" w:oddVBand="0" w:evenVBand="0" w:oddHBand="0" w:evenHBand="0" w:firstRowFirstColumn="0" w:firstRowLastColumn="0" w:lastRowFirstColumn="0" w:lastRowLastColumn="0"/>
              <w:rPr>
                <w:lang w:val="en-US"/>
              </w:rPr>
            </w:pPr>
            <w:r w:rsidRPr="00E717E2">
              <w:t xml:space="preserve">80% </w:t>
            </w:r>
          </w:p>
        </w:tc>
      </w:tr>
      <w:tr w:rsidR="00D835E4" w:rsidRPr="008A3126" w14:paraId="1FA70D2C" w14:textId="77777777" w:rsidTr="00F42D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52770D6" w14:textId="77777777" w:rsidR="00D835E4" w:rsidRPr="006A5861" w:rsidRDefault="00D835E4" w:rsidP="004A488D">
            <w:pPr>
              <w:rPr>
                <w:lang w:val="en-US"/>
              </w:rPr>
            </w:pPr>
            <w:r w:rsidRPr="00674068">
              <w:t>Silver</w:t>
            </w:r>
          </w:p>
        </w:tc>
        <w:tc>
          <w:tcPr>
            <w:tcW w:w="0" w:type="auto"/>
            <w:hideMark/>
          </w:tcPr>
          <w:p w14:paraId="1520A001" w14:textId="77777777" w:rsidR="00D835E4" w:rsidRPr="006A5861" w:rsidRDefault="00D835E4" w:rsidP="004A488D">
            <w:pPr>
              <w:cnfStyle w:val="000000100000" w:firstRow="0" w:lastRow="0" w:firstColumn="0" w:lastColumn="0" w:oddVBand="0" w:evenVBand="0" w:oddHBand="1" w:evenHBand="0" w:firstRowFirstColumn="0" w:firstRowLastColumn="0" w:lastRowFirstColumn="0" w:lastRowLastColumn="0"/>
              <w:rPr>
                <w:lang w:val="en-US"/>
              </w:rPr>
            </w:pPr>
            <w:r w:rsidRPr="00E717E2">
              <w:t xml:space="preserve">70% </w:t>
            </w:r>
          </w:p>
        </w:tc>
      </w:tr>
      <w:tr w:rsidR="00D835E4" w:rsidRPr="008A3126" w14:paraId="3ABDE91D" w14:textId="77777777" w:rsidTr="00F42D6C">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B11D69" w14:textId="77777777" w:rsidR="00D835E4" w:rsidRPr="006A5861" w:rsidRDefault="00D835E4" w:rsidP="004A488D">
            <w:pPr>
              <w:rPr>
                <w:lang w:val="en-US"/>
              </w:rPr>
            </w:pPr>
            <w:r w:rsidRPr="00674068">
              <w:t>Bronze</w:t>
            </w:r>
          </w:p>
        </w:tc>
        <w:tc>
          <w:tcPr>
            <w:tcW w:w="0" w:type="auto"/>
            <w:hideMark/>
          </w:tcPr>
          <w:p w14:paraId="33C22979" w14:textId="77777777" w:rsidR="00D835E4" w:rsidRPr="006A5861" w:rsidRDefault="00D835E4" w:rsidP="004A488D">
            <w:pPr>
              <w:cnfStyle w:val="000000000000" w:firstRow="0" w:lastRow="0" w:firstColumn="0" w:lastColumn="0" w:oddVBand="0" w:evenVBand="0" w:oddHBand="0" w:evenHBand="0" w:firstRowFirstColumn="0" w:firstRowLastColumn="0" w:lastRowFirstColumn="0" w:lastRowLastColumn="0"/>
              <w:rPr>
                <w:lang w:val="en-US"/>
              </w:rPr>
            </w:pPr>
            <w:r w:rsidRPr="00E717E2">
              <w:t xml:space="preserve">60% </w:t>
            </w:r>
          </w:p>
        </w:tc>
      </w:tr>
      <w:tr w:rsidR="00D835E4" w:rsidRPr="008A3126" w14:paraId="19BCC618" w14:textId="77777777" w:rsidTr="00F42D6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A4D56E" w14:textId="77777777" w:rsidR="00D835E4" w:rsidRPr="006A5861" w:rsidRDefault="00D835E4" w:rsidP="004A488D">
            <w:pPr>
              <w:rPr>
                <w:lang w:val="en-US"/>
              </w:rPr>
            </w:pPr>
            <w:r w:rsidRPr="00674068">
              <w:t>Catastrophic</w:t>
            </w:r>
          </w:p>
        </w:tc>
        <w:tc>
          <w:tcPr>
            <w:tcW w:w="0" w:type="auto"/>
            <w:hideMark/>
          </w:tcPr>
          <w:p w14:paraId="289C92E9" w14:textId="77777777" w:rsidR="00D835E4" w:rsidRPr="006A5861" w:rsidRDefault="00D835E4" w:rsidP="004A488D">
            <w:pPr>
              <w:cnfStyle w:val="000000100000" w:firstRow="0" w:lastRow="0" w:firstColumn="0" w:lastColumn="0" w:oddVBand="0" w:evenVBand="0" w:oddHBand="1" w:evenHBand="0" w:firstRowFirstColumn="0" w:firstRowLastColumn="0" w:lastRowFirstColumn="0" w:lastRowLastColumn="0"/>
              <w:rPr>
                <w:lang w:val="en-US"/>
              </w:rPr>
            </w:pPr>
            <w:r w:rsidRPr="00E717E2">
              <w:t>Not specified by law*</w:t>
            </w:r>
          </w:p>
        </w:tc>
      </w:tr>
    </w:tbl>
    <w:p w14:paraId="7A084B33" w14:textId="377C60C4" w:rsidR="00D835E4" w:rsidRPr="008A3126" w:rsidRDefault="00D835E4" w:rsidP="00D835E4">
      <w:pPr>
        <w:ind w:left="2160"/>
        <w:rPr>
          <w:sz w:val="16"/>
        </w:rPr>
      </w:pPr>
      <w:r w:rsidRPr="00674068">
        <w:rPr>
          <w:sz w:val="16"/>
        </w:rPr>
        <w:t>*</w:t>
      </w:r>
      <w:r w:rsidRPr="00674068">
        <w:rPr>
          <w:i/>
          <w:sz w:val="16"/>
        </w:rPr>
        <w:t>Catastrophic level</w:t>
      </w:r>
      <w:r w:rsidRPr="008A3126">
        <w:rPr>
          <w:sz w:val="16"/>
        </w:rPr>
        <w:t xml:space="preserve"> – a plan offered in the individual market only </w:t>
      </w:r>
      <w:r w:rsidR="00646AC0">
        <w:rPr>
          <w:sz w:val="16"/>
        </w:rPr>
        <w:t xml:space="preserve">that </w:t>
      </w:r>
      <w:r w:rsidRPr="008A3126">
        <w:rPr>
          <w:sz w:val="16"/>
        </w:rPr>
        <w:t xml:space="preserve">is only available to individuals </w:t>
      </w:r>
      <w:r w:rsidR="002451F7">
        <w:rPr>
          <w:sz w:val="16"/>
        </w:rPr>
        <w:t xml:space="preserve">who are </w:t>
      </w:r>
      <w:r w:rsidRPr="008A3126">
        <w:rPr>
          <w:sz w:val="16"/>
        </w:rPr>
        <w:t xml:space="preserve">below the age of 30 </w:t>
      </w:r>
      <w:r w:rsidR="002451F7">
        <w:rPr>
          <w:sz w:val="16"/>
        </w:rPr>
        <w:t xml:space="preserve">before the beginning of the plan year </w:t>
      </w:r>
      <w:r w:rsidRPr="008A3126">
        <w:rPr>
          <w:sz w:val="16"/>
        </w:rPr>
        <w:t xml:space="preserve">or </w:t>
      </w:r>
      <w:r w:rsidR="002451F7">
        <w:rPr>
          <w:sz w:val="16"/>
        </w:rPr>
        <w:t>who have received a certificate of exemption based on affordability or hardship</w:t>
      </w:r>
      <w:r w:rsidRPr="008A3126">
        <w:rPr>
          <w:sz w:val="16"/>
        </w:rPr>
        <w:t xml:space="preserve">. </w:t>
      </w:r>
    </w:p>
    <w:p w14:paraId="2B39E47B" w14:textId="0082DDCB" w:rsidR="00D835E4" w:rsidRPr="00674068" w:rsidRDefault="00D835E4" w:rsidP="00D835E4">
      <w:pPr>
        <w:ind w:left="720"/>
      </w:pPr>
      <w:r w:rsidRPr="008A3126">
        <w:t>For non-</w:t>
      </w:r>
      <w:r w:rsidR="006A2F03">
        <w:t xml:space="preserve">single risk pool </w:t>
      </w:r>
      <w:r w:rsidRPr="00674068">
        <w:t>products that are reported on a combined basis as</w:t>
      </w:r>
      <w:r w:rsidRPr="008A3126">
        <w:t xml:space="preserve"> terminated products prior to the projection period</w:t>
      </w:r>
      <w:r w:rsidR="00637DF8">
        <w:t>, enter “Not Applicable</w:t>
      </w:r>
      <w:r w:rsidRPr="00674068">
        <w:t>”.</w:t>
      </w:r>
    </w:p>
    <w:p w14:paraId="66FF0D63" w14:textId="43CBE390" w:rsidR="00D835E4" w:rsidRPr="008A3126" w:rsidRDefault="00D835E4" w:rsidP="00D835E4">
      <w:pPr>
        <w:ind w:left="720"/>
      </w:pPr>
      <w:r w:rsidRPr="008A3126">
        <w:t xml:space="preserve">For </w:t>
      </w:r>
      <w:r w:rsidR="006A2F03">
        <w:t>single risk pool</w:t>
      </w:r>
      <w:r w:rsidRPr="008A3126">
        <w:t xml:space="preserve"> plans that are terminated prior to the </w:t>
      </w:r>
      <w:r w:rsidR="006C6ECA">
        <w:t>P</w:t>
      </w:r>
      <w:r w:rsidRPr="008A3126">
        <w:t xml:space="preserve">rojection </w:t>
      </w:r>
      <w:r w:rsidR="006C6ECA">
        <w:t>P</w:t>
      </w:r>
      <w:r w:rsidRPr="008A3126">
        <w:t>eriod, enter the metal level of the plan just prior to termination.</w:t>
      </w:r>
    </w:p>
    <w:p w14:paraId="48D97FB7" w14:textId="4C7E9A1B" w:rsidR="00C5796A" w:rsidRPr="00C5796A" w:rsidRDefault="00C5796A" w:rsidP="00D835E4">
      <w:r>
        <w:rPr>
          <w:b/>
        </w:rPr>
        <w:t>Plan Category:</w:t>
      </w:r>
      <w:r>
        <w:t xml:space="preserve">  A new dropdown box has been added to Worksheet 2 of the URRT to identify plans as New, Renewing, or Terminated.  Please see Plan Mapping Instructions in Section 2.2 above for more information on the appropriate selection for this field. </w:t>
      </w:r>
    </w:p>
    <w:p w14:paraId="61B16C79" w14:textId="3FD4F4E6" w:rsidR="00D835E4" w:rsidRPr="008A3126" w:rsidRDefault="00D835E4" w:rsidP="00D835E4">
      <w:r w:rsidRPr="00674068">
        <w:rPr>
          <w:b/>
        </w:rPr>
        <w:t>AV Metal Value:</w:t>
      </w:r>
      <w:r w:rsidRPr="00674068">
        <w:t xml:space="preserve">  For each plan, enter the corresponding AV value that results from the AV </w:t>
      </w:r>
      <w:r w:rsidRPr="008A3126">
        <w:t>Calculator or a permissible alternative method that complies with 45 CFR 156.135(b).</w:t>
      </w:r>
    </w:p>
    <w:p w14:paraId="6E9B522B" w14:textId="33160983" w:rsidR="00D835E4" w:rsidRPr="00674068" w:rsidRDefault="00D835E4" w:rsidP="00D835E4">
      <w:pPr>
        <w:ind w:left="720"/>
      </w:pPr>
      <w:r w:rsidRPr="008A3126">
        <w:t>For non-</w:t>
      </w:r>
      <w:r w:rsidR="006A2F03">
        <w:t xml:space="preserve">single risk pool </w:t>
      </w:r>
      <w:r w:rsidRPr="00674068">
        <w:t>products that are reported on a combined basis as terminated products</w:t>
      </w:r>
      <w:r w:rsidRPr="008A3126">
        <w:t xml:space="preserve"> prior to the projection period</w:t>
      </w:r>
      <w:r w:rsidRPr="00674068">
        <w:t>, enter zero.</w:t>
      </w:r>
    </w:p>
    <w:p w14:paraId="57AC3142" w14:textId="26888351" w:rsidR="00D835E4" w:rsidRPr="008A3126" w:rsidRDefault="00D835E4" w:rsidP="00D835E4">
      <w:pPr>
        <w:ind w:left="720"/>
      </w:pPr>
      <w:r w:rsidRPr="008A3126">
        <w:t xml:space="preserve">For </w:t>
      </w:r>
      <w:r w:rsidR="006A2F03">
        <w:t xml:space="preserve">single risk </w:t>
      </w:r>
      <w:r w:rsidR="00BA6F02">
        <w:t>pool</w:t>
      </w:r>
      <w:r w:rsidR="00BA6F02" w:rsidRPr="008A3126">
        <w:t xml:space="preserve"> </w:t>
      </w:r>
      <w:r w:rsidRPr="008A3126">
        <w:t xml:space="preserve">plans that are terminated prior to the </w:t>
      </w:r>
      <w:r w:rsidR="006C6ECA">
        <w:t>P</w:t>
      </w:r>
      <w:r w:rsidRPr="008A3126">
        <w:t xml:space="preserve">rojection </w:t>
      </w:r>
      <w:r w:rsidR="006C6ECA">
        <w:t>P</w:t>
      </w:r>
      <w:r w:rsidRPr="008A3126">
        <w:t xml:space="preserve">eriod, enter the prior metal AV value for </w:t>
      </w:r>
      <w:r w:rsidR="00EC5661">
        <w:t>the plans</w:t>
      </w:r>
      <w:r w:rsidRPr="008A3126">
        <w:t>.</w:t>
      </w:r>
    </w:p>
    <w:p w14:paraId="03EA91B7" w14:textId="41F430BA" w:rsidR="00D835E4" w:rsidRPr="008A3126" w:rsidRDefault="00D835E4" w:rsidP="00D835E4">
      <w:pPr>
        <w:ind w:left="720"/>
      </w:pPr>
      <w:r w:rsidRPr="00674068">
        <w:t xml:space="preserve">For Catastrophic plans, enter an approximate AV Metal Value for the plan (e.g., 0.580). Since there is not a </w:t>
      </w:r>
      <w:proofErr w:type="gramStart"/>
      <w:r w:rsidRPr="00674068">
        <w:t>Catastrophic</w:t>
      </w:r>
      <w:proofErr w:type="gramEnd"/>
      <w:r w:rsidRPr="00674068">
        <w:t xml:space="preserve"> continuance table within the AV Calculator, actuar</w:t>
      </w:r>
      <w:r w:rsidR="00B30523">
        <w:t>ies</w:t>
      </w:r>
      <w:r w:rsidRPr="00674068">
        <w:t xml:space="preserve"> should use their best judgment in estimating the AV Metal Value</w:t>
      </w:r>
      <w:r w:rsidRPr="008A3126">
        <w:t>.</w:t>
      </w:r>
    </w:p>
    <w:p w14:paraId="58E4B9B3" w14:textId="460E5A58" w:rsidR="00D835E4" w:rsidRPr="008A3126" w:rsidRDefault="00D835E4" w:rsidP="00D835E4">
      <w:r w:rsidRPr="008A3126">
        <w:rPr>
          <w:b/>
        </w:rPr>
        <w:t>AV Pricing Value:</w:t>
      </w:r>
      <w:r w:rsidRPr="008A3126">
        <w:t xml:space="preserve">  For each plan enter the corresponding AV Pricing Value.  </w:t>
      </w:r>
    </w:p>
    <w:p w14:paraId="59B4E5E9" w14:textId="51CCA95F" w:rsidR="00D835E4" w:rsidRPr="008A3126" w:rsidRDefault="00D835E4" w:rsidP="00D835E4">
      <w:pPr>
        <w:ind w:left="720"/>
      </w:pPr>
      <w:r w:rsidRPr="008A3126">
        <w:t>For non-</w:t>
      </w:r>
      <w:r w:rsidR="006A2F03">
        <w:t xml:space="preserve">single risk pool </w:t>
      </w:r>
      <w:r w:rsidRPr="008A3126">
        <w:t xml:space="preserve">products that are reported on a combined basis as terminated products prior to the </w:t>
      </w:r>
      <w:r w:rsidR="006C6ECA">
        <w:t>P</w:t>
      </w:r>
      <w:r w:rsidRPr="008A3126">
        <w:t xml:space="preserve">rojection </w:t>
      </w:r>
      <w:r w:rsidR="006C6ECA">
        <w:t>P</w:t>
      </w:r>
      <w:r w:rsidRPr="008A3126">
        <w:t xml:space="preserve">eriod, enter </w:t>
      </w:r>
      <w:r w:rsidR="007368F1">
        <w:t>a value of 0.01</w:t>
      </w:r>
      <w:r w:rsidRPr="008A3126">
        <w:t>.</w:t>
      </w:r>
    </w:p>
    <w:p w14:paraId="0BE50C57" w14:textId="6CD026B4" w:rsidR="00D835E4" w:rsidRPr="008A3126" w:rsidRDefault="00D835E4" w:rsidP="00D835E4">
      <w:pPr>
        <w:ind w:left="720"/>
      </w:pPr>
      <w:r w:rsidRPr="008A3126">
        <w:t xml:space="preserve">For </w:t>
      </w:r>
      <w:r w:rsidR="006A2F03">
        <w:t>single risk pool</w:t>
      </w:r>
      <w:r w:rsidRPr="008A3126">
        <w:t xml:space="preserve"> products/plans that are terminated prior to the projection period, enter a value of 0.01.</w:t>
      </w:r>
    </w:p>
    <w:p w14:paraId="6D172046" w14:textId="01D66280" w:rsidR="00D835E4" w:rsidRPr="008A3126" w:rsidRDefault="00D835E4" w:rsidP="00D835E4">
      <w:pPr>
        <w:ind w:left="720"/>
      </w:pPr>
      <w:r w:rsidRPr="00674068">
        <w:t xml:space="preserve">It is important to note that the AV Pricing Value may be different from the AV Metal Value for several reasons. </w:t>
      </w:r>
      <w:r w:rsidRPr="008A3126">
        <w:t>The AV Pricing Value represents the cumulative effect of adjustments made by the issuer to move from the Market Adjusted Index Rate to the Plan Adjusted Index Rate</w:t>
      </w:r>
      <w:r w:rsidRPr="008A3126">
        <w:rPr>
          <w:rFonts w:cstheme="minorHAnsi"/>
        </w:rPr>
        <w:t xml:space="preserve"> which includes the administrative expense load incorporated in the rate development.</w:t>
      </w:r>
      <w:r w:rsidRPr="00674068">
        <w:t xml:space="preserve"> It is likely to have a spread from one plan to another that emulates the spread in the Plan Adjusted Index Rates of the same plans.</w:t>
      </w:r>
      <w:r w:rsidRPr="008A3126">
        <w:t xml:space="preserve"> </w:t>
      </w:r>
    </w:p>
    <w:p w14:paraId="2B3DFFE3" w14:textId="7C747B61" w:rsidR="00D835E4" w:rsidRPr="008A3126" w:rsidRDefault="00D835E4" w:rsidP="00D835E4">
      <w:pPr>
        <w:ind w:left="720"/>
      </w:pPr>
      <w:r w:rsidRPr="008A3126">
        <w:t>The AV Metal Value compares the amount paid by a health plan to total allowed costs of benefits for the given plan (e.g.</w:t>
      </w:r>
      <w:r w:rsidR="00B30523">
        <w:t>,</w:t>
      </w:r>
      <w:r w:rsidRPr="008A3126">
        <w:t xml:space="preserve"> the estimated paid costs for a gold plan is compared to estimated allowed costs for a gold plan to generate a ratio between 0.78 and 0.82).</w:t>
      </w:r>
    </w:p>
    <w:p w14:paraId="048E7505" w14:textId="5E66650A" w:rsidR="00D835E4" w:rsidRPr="008A3126" w:rsidRDefault="00D835E4" w:rsidP="00D835E4">
      <w:pPr>
        <w:ind w:left="720"/>
      </w:pPr>
      <w:r w:rsidRPr="008A3126">
        <w:t xml:space="preserve">Another difference between the AV Pricing Value and the AV Metal Value is the data used to generate the ratios. The AV Pricing Value is determined from the </w:t>
      </w:r>
      <w:r w:rsidR="00D86304">
        <w:t>i</w:t>
      </w:r>
      <w:r w:rsidRPr="008A3126">
        <w:t>ssuer’s own experience rather than the experience of the standard population or standard tables that are used in the calculation of the AV Metal Value. In addition the AV Pricing Value should reflect all of the allowable plan level adjustments to the Index Rate that are used by the issuer. This may include some or all of the following adjustments, so long as the adjustments do not include any assumptions related to the morbidity of the members assumed to select a given plan:</w:t>
      </w:r>
    </w:p>
    <w:p w14:paraId="682BF437" w14:textId="67C3F8C3" w:rsidR="00D835E4" w:rsidRPr="008A3126" w:rsidRDefault="00D835E4" w:rsidP="00D835E4">
      <w:pPr>
        <w:pStyle w:val="ListParagraph"/>
        <w:numPr>
          <w:ilvl w:val="0"/>
          <w:numId w:val="26"/>
        </w:numPr>
      </w:pPr>
      <w:r w:rsidRPr="008A3126">
        <w:t>The cost-sharing design of the plan.</w:t>
      </w:r>
      <w:r w:rsidR="008D51DB">
        <w:t xml:space="preserve"> </w:t>
      </w:r>
      <w:r w:rsidRPr="008A3126">
        <w:t xml:space="preserve">This adjustment may include expected differences in utilization of services based on differences in </w:t>
      </w:r>
      <w:r w:rsidR="006900FC">
        <w:t>cost-sharing</w:t>
      </w:r>
      <w:r w:rsidRPr="008A3126">
        <w:t>.</w:t>
      </w:r>
      <w:r w:rsidR="008D51DB">
        <w:t xml:space="preserve"> </w:t>
      </w:r>
      <w:r w:rsidRPr="008A3126">
        <w:t xml:space="preserve"> For example, lower </w:t>
      </w:r>
      <w:r w:rsidR="006900FC">
        <w:t>cost-sharing</w:t>
      </w:r>
      <w:r w:rsidRPr="008A3126">
        <w:t xml:space="preserve"> is generally associated with higher utilization of services, independent of health status. </w:t>
      </w:r>
      <w:r w:rsidR="008D51DB">
        <w:t xml:space="preserve"> </w:t>
      </w:r>
      <w:r w:rsidRPr="008A3126">
        <w:t>This adjustment must not include any differences in utilization due to differing health status of people with different cost-sharing designs.</w:t>
      </w:r>
    </w:p>
    <w:p w14:paraId="7944D30B" w14:textId="0A4C0940" w:rsidR="00D835E4" w:rsidRPr="008A3126" w:rsidRDefault="00D835E4" w:rsidP="0094517C">
      <w:pPr>
        <w:pStyle w:val="ListParagraph"/>
        <w:numPr>
          <w:ilvl w:val="0"/>
          <w:numId w:val="26"/>
        </w:numPr>
      </w:pPr>
      <w:r w:rsidRPr="008A3126">
        <w:t xml:space="preserve">If an issuer chooses to apply tobacco user factors, which is an allowable member-level rating factor, the issuer must make an adjustment so that the resulting Plan Adjusted Index Rate would remove the portion of the cost that is expected to be recouped through the tobacco surcharge. </w:t>
      </w:r>
      <w:r w:rsidR="008D51DB">
        <w:t xml:space="preserve"> </w:t>
      </w:r>
      <w:r w:rsidRPr="008A3126">
        <w:t xml:space="preserve">This adjustment should only reflect the expected surcharge collected for tobacco users, as an example, in the event tobacco users enter a wellness program which reduces the tobacco user load applied, only the net impact should be taken into account in the adjustment factor. </w:t>
      </w:r>
      <w:r w:rsidR="008D51DB">
        <w:t xml:space="preserve"> </w:t>
      </w:r>
      <w:r w:rsidRPr="008A3126">
        <w:t>Issuers that do not charge tobacco surcharges for a plan should not make this adjustment for that plan.</w:t>
      </w:r>
    </w:p>
    <w:p w14:paraId="606150DE" w14:textId="36C32765" w:rsidR="00D835E4" w:rsidRPr="008A3126" w:rsidRDefault="00D835E4" w:rsidP="00D835E4">
      <w:pPr>
        <w:pStyle w:val="ListParagraph"/>
        <w:numPr>
          <w:ilvl w:val="0"/>
          <w:numId w:val="26"/>
        </w:numPr>
      </w:pPr>
      <w:r w:rsidRPr="008A3126">
        <w:t>The plan’s provider network and delivery system characteristics, as well as utilization management practices.</w:t>
      </w:r>
    </w:p>
    <w:p w14:paraId="106848DE" w14:textId="680A0E7D" w:rsidR="00D835E4" w:rsidRPr="008A3126" w:rsidRDefault="00D835E4" w:rsidP="00D835E4">
      <w:pPr>
        <w:pStyle w:val="ListParagraph"/>
        <w:numPr>
          <w:ilvl w:val="0"/>
          <w:numId w:val="26"/>
        </w:numPr>
      </w:pPr>
      <w:r w:rsidRPr="008A3126">
        <w:t xml:space="preserve">Plan benefits </w:t>
      </w:r>
      <w:r w:rsidR="00685EE3">
        <w:t xml:space="preserve">that are not </w:t>
      </w:r>
      <w:r w:rsidR="0026206B">
        <w:t>EHB</w:t>
      </w:r>
      <w:r w:rsidR="00175AC6">
        <w:t>s</w:t>
      </w:r>
      <w:r w:rsidRPr="008A3126">
        <w:t>.</w:t>
      </w:r>
      <w:r w:rsidR="00175AC6">
        <w:t xml:space="preserve"> </w:t>
      </w:r>
      <w:r w:rsidRPr="008A3126">
        <w:t xml:space="preserve"> The additional benefits must be pooled with similar benefits provided in other plans to determine the allowable rate variation for plans that offer those benefits.</w:t>
      </w:r>
    </w:p>
    <w:p w14:paraId="0BC01590" w14:textId="2B2F9FDD" w:rsidR="00D835E4" w:rsidRPr="00674068" w:rsidRDefault="00D835E4" w:rsidP="00D835E4">
      <w:pPr>
        <w:pStyle w:val="ListParagraph"/>
        <w:numPr>
          <w:ilvl w:val="0"/>
          <w:numId w:val="26"/>
        </w:numPr>
      </w:pPr>
      <w:r w:rsidRPr="008A3126">
        <w:t xml:space="preserve">Administrative costs, excluding </w:t>
      </w:r>
      <w:r w:rsidR="00DE6C09">
        <w:t>Marketplace</w:t>
      </w:r>
      <w:r w:rsidRPr="008A3126">
        <w:t xml:space="preserve"> user fees. </w:t>
      </w:r>
      <w:r w:rsidR="008D51DB">
        <w:t xml:space="preserve"> </w:t>
      </w:r>
      <w:r w:rsidRPr="008A3126">
        <w:t>Note that this should reflect all applicable administrative costs for the plan, and not simply a differential from the average administrative costs across all plans.</w:t>
      </w:r>
    </w:p>
    <w:p w14:paraId="6307EF88" w14:textId="5C81CD36" w:rsidR="00D835E4" w:rsidRPr="00674068" w:rsidRDefault="00D835E4" w:rsidP="00D835E4">
      <w:pPr>
        <w:pStyle w:val="ListParagraph"/>
        <w:numPr>
          <w:ilvl w:val="0"/>
          <w:numId w:val="26"/>
        </w:numPr>
        <w:tabs>
          <w:tab w:val="left" w:pos="8550"/>
        </w:tabs>
      </w:pPr>
      <w:r w:rsidRPr="008A3126">
        <w:t>For catastrophic plans</w:t>
      </w:r>
      <w:r w:rsidR="008D51DB">
        <w:t xml:space="preserve"> only</w:t>
      </w:r>
      <w:r w:rsidRPr="008A3126">
        <w:t xml:space="preserve">, </w:t>
      </w:r>
      <w:r w:rsidR="008D51DB">
        <w:t xml:space="preserve">issuers may consider </w:t>
      </w:r>
      <w:r w:rsidRPr="008A3126">
        <w:t xml:space="preserve">the expected impact of specific eligibility categories for these plans. </w:t>
      </w:r>
      <w:r w:rsidR="008D51DB">
        <w:t xml:space="preserve"> </w:t>
      </w:r>
      <w:r w:rsidRPr="008A3126">
        <w:t xml:space="preserve">No adjustment </w:t>
      </w:r>
      <w:r w:rsidR="008D51DB">
        <w:t>is allowed on metal plans (platinum, gold, silver, or bronze) to account for a catastrophic plan adjustment</w:t>
      </w:r>
      <w:r w:rsidR="00CC5596">
        <w:t>.</w:t>
      </w:r>
      <w:r w:rsidR="008D51DB">
        <w:t xml:space="preserve"> </w:t>
      </w:r>
      <w:r w:rsidR="00CC5596">
        <w:t xml:space="preserve"> In other words</w:t>
      </w:r>
      <w:r w:rsidR="0098425D">
        <w:t>,</w:t>
      </w:r>
      <w:r w:rsidR="00CC5596">
        <w:t xml:space="preserve"> an issuer may not lower the rates of catastrophic plans due to an expectation that healthier members will choose these plans, then make up the revenue shortfall for this adjustment by increasing rates on the metal tier plans.  </w:t>
      </w:r>
      <w:r w:rsidR="0098425D">
        <w:t xml:space="preserve">While a separate </w:t>
      </w:r>
      <w:r w:rsidR="006A5861">
        <w:t>plan-level adjustment</w:t>
      </w:r>
      <w:r w:rsidR="0098425D">
        <w:t xml:space="preserve"> </w:t>
      </w:r>
      <w:r w:rsidR="003E3E58">
        <w:t xml:space="preserve">is permitted </w:t>
      </w:r>
      <w:r w:rsidR="0098425D">
        <w:t xml:space="preserve">for catastrophic members, catastrophic </w:t>
      </w:r>
      <w:r w:rsidR="003E3E58">
        <w:t xml:space="preserve">plan </w:t>
      </w:r>
      <w:r w:rsidR="0098425D">
        <w:t xml:space="preserve">experience </w:t>
      </w:r>
      <w:r w:rsidR="003E3E58">
        <w:t>must be included in</w:t>
      </w:r>
      <w:r w:rsidR="0098425D">
        <w:t xml:space="preserve"> the single risk pool. </w:t>
      </w:r>
      <w:r w:rsidR="003E3E58">
        <w:t>Permitting an adjustment to metal plans</w:t>
      </w:r>
      <w:r w:rsidR="00D420AE">
        <w:t xml:space="preserve"> to account for the catastrophic plan adjustment</w:t>
      </w:r>
      <w:r w:rsidR="0098425D">
        <w:t xml:space="preserve"> would be </w:t>
      </w:r>
      <w:r w:rsidR="00CC5596">
        <w:t xml:space="preserve">seen as effectively </w:t>
      </w:r>
      <w:r w:rsidR="00D420AE">
        <w:t>excluding catastrophic plan experience from the single risk pool</w:t>
      </w:r>
      <w:r w:rsidR="00CC5596">
        <w:t xml:space="preserve">, which is not </w:t>
      </w:r>
      <w:r w:rsidR="006469D7">
        <w:t xml:space="preserve">consistent with </w:t>
      </w:r>
      <w:r w:rsidR="00CC5596">
        <w:t xml:space="preserve">the </w:t>
      </w:r>
      <w:r w:rsidR="00D420AE">
        <w:t>single risk pool provision</w:t>
      </w:r>
      <w:r w:rsidR="00CC5596">
        <w:t>.</w:t>
      </w:r>
      <w:r w:rsidR="00CC5596" w:rsidRPr="008A3126">
        <w:t xml:space="preserve"> </w:t>
      </w:r>
      <w:r w:rsidR="00CC5596">
        <w:t xml:space="preserve"> </w:t>
      </w:r>
      <w:r w:rsidRPr="008A3126">
        <w:t xml:space="preserve">In addition, the catastrophic adjustment should not duplicate the impact of age that is reflected by application of the standard age curve to the calibrated </w:t>
      </w:r>
      <w:r w:rsidR="00A5323F">
        <w:t>Plan Adjusted Index Rate</w:t>
      </w:r>
      <w:r w:rsidRPr="008A3126">
        <w:t>.</w:t>
      </w:r>
    </w:p>
    <w:p w14:paraId="427D136A" w14:textId="32A75257" w:rsidR="00D835E4" w:rsidRPr="008A3126" w:rsidRDefault="00D835E4" w:rsidP="00D835E4">
      <w:r w:rsidRPr="008A3126">
        <w:rPr>
          <w:b/>
        </w:rPr>
        <w:t xml:space="preserve">Plan Type:  </w:t>
      </w:r>
      <w:r w:rsidRPr="008A3126">
        <w:t xml:space="preserve">Select the applicable plan type from the drop-down box. Valid Plan Types are Indemnity, PPO, POS, HMO or EPO. </w:t>
      </w:r>
    </w:p>
    <w:p w14:paraId="535EAFA2" w14:textId="580EA2A7" w:rsidR="00D835E4" w:rsidRPr="008A3126" w:rsidRDefault="004A6E0F" w:rsidP="00D835E4">
      <w:pPr>
        <w:ind w:left="720"/>
      </w:pPr>
      <w:r w:rsidRPr="001143FE">
        <w:rPr>
          <w:noProof/>
        </w:rPr>
        <mc:AlternateContent>
          <mc:Choice Requires="wps">
            <w:drawing>
              <wp:anchor distT="228600" distB="228600" distL="228600" distR="228600" simplePos="0" relativeHeight="251658752" behindDoc="1" locked="0" layoutInCell="1" allowOverlap="1" wp14:anchorId="181F960E" wp14:editId="43F17A07">
                <wp:simplePos x="0" y="0"/>
                <wp:positionH relativeFrom="margin">
                  <wp:posOffset>-32385</wp:posOffset>
                </wp:positionH>
                <wp:positionV relativeFrom="margin">
                  <wp:posOffset>5274615</wp:posOffset>
                </wp:positionV>
                <wp:extent cx="2230755" cy="1411605"/>
                <wp:effectExtent l="0" t="0" r="0" b="0"/>
                <wp:wrapSquare wrapText="bothSides"/>
                <wp:docPr id="13" name="Text Box 13"/>
                <wp:cNvGraphicFramePr/>
                <a:graphic xmlns:a="http://schemas.openxmlformats.org/drawingml/2006/main">
                  <a:graphicData uri="http://schemas.microsoft.com/office/word/2010/wordprocessingShape">
                    <wps:wsp>
                      <wps:cNvSpPr txBox="1"/>
                      <wps:spPr>
                        <a:xfrm>
                          <a:off x="0" y="0"/>
                          <a:ext cx="2230755" cy="1411605"/>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105FBA87" w14:textId="68A6DE86" w:rsidR="00634A44" w:rsidRPr="00B616D2" w:rsidRDefault="00634A44" w:rsidP="001143FE">
                            <w:pPr>
                              <w:rPr>
                                <w:color w:val="17365D" w:themeColor="text2" w:themeShade="BF"/>
                                <w:sz w:val="24"/>
                                <w:szCs w:val="24"/>
                              </w:rPr>
                            </w:pPr>
                            <w:r w:rsidRPr="00B616D2">
                              <w:rPr>
                                <w:b/>
                                <w:color w:val="17365D" w:themeColor="text2" w:themeShade="BF"/>
                                <w:sz w:val="24"/>
                                <w:szCs w:val="24"/>
                                <w:u w:val="single"/>
                              </w:rPr>
                              <w:t>TIP:</w:t>
                            </w:r>
                            <w:r>
                              <w:rPr>
                                <w:color w:val="17365D" w:themeColor="text2" w:themeShade="BF"/>
                                <w:sz w:val="24"/>
                                <w:szCs w:val="24"/>
                              </w:rPr>
                              <w:t xml:space="preserve">  A Product should have only one Plan Type listed under it.  A single product may not contain both HMO and PPO network types.</w:t>
                            </w:r>
                          </w:p>
                          <w:sdt>
                            <w:sdtPr>
                              <w:rPr>
                                <w:color w:val="1F497D" w:themeColor="text2"/>
                                <w:sz w:val="18"/>
                                <w:szCs w:val="18"/>
                              </w:rPr>
                              <w:id w:val="-497356900"/>
                              <w:temporary/>
                              <w:showingPlcHdr/>
                              <w:text w:multiLine="1"/>
                            </w:sdtPr>
                            <w:sdtEndPr/>
                            <w:sdtContent>
                              <w:p w14:paraId="43839234" w14:textId="77777777" w:rsidR="00634A44" w:rsidRDefault="00634A44" w:rsidP="001143FE">
                                <w:pPr>
                                  <w:pStyle w:val="NoSpacing"/>
                                  <w:jc w:val="center"/>
                                  <w:rPr>
                                    <w:color w:val="1F497D" w:themeColor="text2"/>
                                    <w:sz w:val="18"/>
                                    <w:szCs w:val="18"/>
                                  </w:rPr>
                                </w:pPr>
                                <w:r>
                                  <w:rPr>
                                    <w:color w:val="1F497D"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F960E" id="Text Box 13" o:spid="_x0000_s1037" type="#_x0000_t202" style="position:absolute;left:0;text-align:left;margin-left:-2.55pt;margin-top:415.3pt;width:175.65pt;height:111.15pt;z-index:-25165772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" stroked="f" strokeweight=".5pt">
                <v:fill color2="#eae7d8" rotate="t" focusposition=".5,.5" focussize="-.5,-.5" focus="100%" type="gradientRadial"/>
                <v:textbox inset="14.4pt,14.4pt,14.4pt,14.4pt">
                  <w:txbxContent>
                    <w:p w14:paraId="105FBA87" w14:textId="68A6DE86" w:rsidR="00634A44" w:rsidRPr="00B616D2" w:rsidRDefault="00634A44" w:rsidP="001143FE">
                      <w:pPr>
                        <w:rPr>
                          <w:color w:val="17365D" w:themeColor="text2" w:themeShade="BF"/>
                          <w:sz w:val="24"/>
                          <w:szCs w:val="24"/>
                        </w:rPr>
                      </w:pPr>
                      <w:r w:rsidRPr="00B616D2">
                        <w:rPr>
                          <w:b/>
                          <w:color w:val="17365D" w:themeColor="text2" w:themeShade="BF"/>
                          <w:sz w:val="24"/>
                          <w:szCs w:val="24"/>
                          <w:u w:val="single"/>
                        </w:rPr>
                        <w:t>TIP:</w:t>
                      </w:r>
                      <w:r>
                        <w:rPr>
                          <w:color w:val="17365D" w:themeColor="text2" w:themeShade="BF"/>
                          <w:sz w:val="24"/>
                          <w:szCs w:val="24"/>
                        </w:rPr>
                        <w:t xml:space="preserve">  A Product should have only one Plan Type listed under it.  A single product may not contain both HMO and PPO network types.</w:t>
                      </w:r>
                    </w:p>
                    <w:sdt>
                      <w:sdtPr>
                        <w:rPr>
                          <w:color w:val="1F497D" w:themeColor="text2"/>
                          <w:sz w:val="18"/>
                          <w:szCs w:val="18"/>
                        </w:rPr>
                        <w:id w:val="-497356900"/>
                        <w:temporary/>
                        <w:showingPlcHdr/>
                        <w:text w:multiLine="1"/>
                      </w:sdtPr>
                      <w:sdtContent>
                        <w:p w14:paraId="43839234" w14:textId="77777777" w:rsidR="00634A44" w:rsidRDefault="00634A44" w:rsidP="001143FE">
                          <w:pPr>
                            <w:pStyle w:val="NoSpacing"/>
                            <w:jc w:val="center"/>
                            <w:rPr>
                              <w:color w:val="1F497D" w:themeColor="text2"/>
                              <w:sz w:val="18"/>
                              <w:szCs w:val="18"/>
                            </w:rPr>
                          </w:pPr>
                          <w:r>
                            <w:rPr>
                              <w:color w:val="1F497D" w:themeColor="text2"/>
                              <w:sz w:val="18"/>
                              <w:szCs w:val="18"/>
                            </w:rPr>
                            <w:t>[Cite your source here.]</w:t>
                          </w:r>
                        </w:p>
                      </w:sdtContent>
                    </w:sdt>
                  </w:txbxContent>
                </v:textbox>
                <w10:wrap type="square" anchorx="margin" anchory="margin"/>
              </v:shape>
            </w:pict>
          </mc:Fallback>
        </mc:AlternateContent>
      </w:r>
      <w:r w:rsidR="00D835E4" w:rsidRPr="008A3126">
        <w:t>In the event that the list of plan types does not describe an issuer’s plan exactly, the issuer should select the closest plan available and provide further explanation of the Plan Type in the Actuarial Memorandum.</w:t>
      </w:r>
    </w:p>
    <w:p w14:paraId="7284C9CB" w14:textId="68391EC6" w:rsidR="00D835E4" w:rsidRPr="008A3126" w:rsidRDefault="00D835E4" w:rsidP="00D835E4">
      <w:pPr>
        <w:ind w:left="720"/>
      </w:pPr>
      <w:r w:rsidRPr="008A3126">
        <w:t>Definitions of each of these categories can be found on the Health</w:t>
      </w:r>
      <w:r w:rsidR="007B70D1">
        <w:t>C</w:t>
      </w:r>
      <w:r w:rsidRPr="008A3126">
        <w:t xml:space="preserve">are.gov website in the glossary. However, each state may have its own definition of these terms which would dictate the plan type. </w:t>
      </w:r>
    </w:p>
    <w:p w14:paraId="6B3E58D2" w14:textId="02DC17DF" w:rsidR="00D835E4" w:rsidRPr="008A3126" w:rsidRDefault="00D835E4" w:rsidP="00D835E4">
      <w:r w:rsidRPr="008A3126">
        <w:rPr>
          <w:b/>
        </w:rPr>
        <w:t>Plan Name:</w:t>
      </w:r>
      <w:r w:rsidRPr="008A3126">
        <w:t xml:space="preserve"> Enter the name of each plan within a product.</w:t>
      </w:r>
    </w:p>
    <w:p w14:paraId="51E255AB" w14:textId="68F3ADCB" w:rsidR="00D835E4" w:rsidRPr="008A3126" w:rsidRDefault="00D835E4" w:rsidP="00D835E4">
      <w:pPr>
        <w:ind w:left="720"/>
      </w:pPr>
      <w:r w:rsidRPr="008A3126">
        <w:t xml:space="preserve">The term “plan” </w:t>
      </w:r>
      <w:r w:rsidR="000212EF" w:rsidRPr="0076039B">
        <w:t xml:space="preserve">means, with respect to an issuer and a </w:t>
      </w:r>
      <w:r w:rsidR="00BA6F02" w:rsidRPr="0076039B">
        <w:t>product</w:t>
      </w:r>
      <w:r w:rsidR="00BA6F02">
        <w:t>, the</w:t>
      </w:r>
      <w:r w:rsidRPr="008A3126">
        <w:t xml:space="preserve"> pairing of the health ins</w:t>
      </w:r>
      <w:r w:rsidR="00724D7E">
        <w:t>urance coverage benefits under the product with</w:t>
      </w:r>
      <w:r w:rsidRPr="008A3126">
        <w:t xml:space="preserve"> a particular </w:t>
      </w:r>
      <w:r w:rsidR="006900FC">
        <w:t>cost-sharing</w:t>
      </w:r>
      <w:r w:rsidRPr="008A3126">
        <w:t xml:space="preserve"> </w:t>
      </w:r>
      <w:r w:rsidR="000212EF">
        <w:t>structure</w:t>
      </w:r>
      <w:r w:rsidRPr="008A3126">
        <w:t>,</w:t>
      </w:r>
      <w:r w:rsidR="000212EF" w:rsidRPr="0076039B">
        <w:t xml:space="preserve"> provider network</w:t>
      </w:r>
      <w:r w:rsidR="004931F1">
        <w:t xml:space="preserve">, </w:t>
      </w:r>
      <w:r w:rsidR="00724D7E">
        <w:t>and</w:t>
      </w:r>
      <w:r w:rsidRPr="008A3126">
        <w:t xml:space="preserve"> service area.</w:t>
      </w:r>
      <w:r w:rsidRPr="00674068">
        <w:t xml:space="preserve">  </w:t>
      </w:r>
      <w:r w:rsidRPr="008A3126">
        <w:t xml:space="preserve">Most products will consist of multiple plans where each plan must have an </w:t>
      </w:r>
      <w:r w:rsidR="00175AC6">
        <w:t>AV</w:t>
      </w:r>
      <w:r w:rsidRPr="008A3126">
        <w:t xml:space="preserve"> equal to one of the permitted metal levels or catastrophic coverage, and most products will have multiple metal levels represented under a single product. </w:t>
      </w:r>
      <w:r w:rsidRPr="00674068">
        <w:t xml:space="preserve">The Plan Name is the marketing name used when referring to the specific set of benefits and </w:t>
      </w:r>
      <w:r w:rsidR="006900FC">
        <w:t>cost-sharing</w:t>
      </w:r>
      <w:r w:rsidRPr="00674068">
        <w:t xml:space="preserve"> values.</w:t>
      </w:r>
      <w:r w:rsidRPr="008A3126">
        <w:t xml:space="preserve"> The Plan Name shown should be consistent across submissions (e.g., QHP application, state filings).</w:t>
      </w:r>
    </w:p>
    <w:p w14:paraId="72FD51D1" w14:textId="6F7B0EAD" w:rsidR="00D835E4" w:rsidRPr="00674068" w:rsidRDefault="00D835E4" w:rsidP="00D835E4">
      <w:pPr>
        <w:ind w:left="720"/>
      </w:pPr>
      <w:r w:rsidRPr="008A3126">
        <w:t xml:space="preserve">All plans included in the single risk pool experience shown on Worksheet 1 must be entered in this section of Worksheet 2. This includes any plans that are terminated but have experience included in the single risk pool during the Experience Period. It also includes any plans that were not in effect during the Experience Period but were made available thereafter. Issuers should not enter </w:t>
      </w:r>
      <w:r w:rsidR="006900FC">
        <w:t>cost-sharing</w:t>
      </w:r>
      <w:r w:rsidRPr="008A3126">
        <w:t xml:space="preserve"> reduction plan variations separately, since as described in 45 CFR 156.400</w:t>
      </w:r>
      <w:r w:rsidR="00B04C1A">
        <w:t xml:space="preserve"> through </w:t>
      </w:r>
      <w:r w:rsidRPr="008A3126">
        <w:t xml:space="preserve">156.420, plan variations are not separate plans, but rather variations of the corresponding standard plans, with the same premium, benefits, and network as the standard plan.  Further instructions are provided in Sections III and IV, below, on how to account for </w:t>
      </w:r>
      <w:r w:rsidR="006900FC">
        <w:t>cost-sharing</w:t>
      </w:r>
      <w:r w:rsidRPr="008A3126">
        <w:t xml:space="preserve"> reductions in this template. Non</w:t>
      </w:r>
      <w:r w:rsidRPr="00674068">
        <w:t xml:space="preserve">-grandfathered plans </w:t>
      </w:r>
      <w:r w:rsidRPr="008A3126">
        <w:t xml:space="preserve">are split </w:t>
      </w:r>
      <w:r w:rsidRPr="00674068">
        <w:t xml:space="preserve">into </w:t>
      </w:r>
      <w:r w:rsidRPr="008A3126">
        <w:t>five</w:t>
      </w:r>
      <w:r w:rsidRPr="00674068">
        <w:t xml:space="preserve"> categories</w:t>
      </w:r>
      <w:r w:rsidRPr="008A3126">
        <w:t xml:space="preserve"> and should be reported as follows</w:t>
      </w:r>
      <w:r w:rsidRPr="00674068">
        <w:t xml:space="preserve">:  </w:t>
      </w:r>
    </w:p>
    <w:p w14:paraId="7B38B0D0" w14:textId="1A804A30" w:rsidR="00D835E4" w:rsidRPr="008A3126" w:rsidRDefault="00D835E4" w:rsidP="009D2B17">
      <w:pPr>
        <w:pStyle w:val="ListParagraph"/>
        <w:numPr>
          <w:ilvl w:val="0"/>
          <w:numId w:val="35"/>
        </w:numPr>
      </w:pPr>
      <w:r w:rsidRPr="00E717E2">
        <w:rPr>
          <w:u w:val="single"/>
        </w:rPr>
        <w:t>New Plans</w:t>
      </w:r>
      <w:r w:rsidRPr="00674068">
        <w:t xml:space="preserve"> – </w:t>
      </w:r>
      <w:r w:rsidR="006469D7">
        <w:t>Single risk pool plans</w:t>
      </w:r>
      <w:r w:rsidRPr="00674068">
        <w:t xml:space="preserve"> the issuer offers on January 1, </w:t>
      </w:r>
      <w:r w:rsidR="00724D7E">
        <w:t>2017</w:t>
      </w:r>
      <w:r w:rsidRPr="00674068">
        <w:t xml:space="preserve"> and after.</w:t>
      </w:r>
      <w:r w:rsidRPr="008A3126">
        <w:t xml:space="preserve">  The issuer should enter information in the </w:t>
      </w:r>
      <w:r w:rsidR="006C6ECA">
        <w:t>P</w:t>
      </w:r>
      <w:r w:rsidRPr="008A3126">
        <w:t xml:space="preserve">rojection </w:t>
      </w:r>
      <w:r w:rsidR="006C6ECA">
        <w:t>P</w:t>
      </w:r>
      <w:r w:rsidRPr="008A3126">
        <w:t>eriod for each of the New Plans.</w:t>
      </w:r>
    </w:p>
    <w:p w14:paraId="48E41F5C" w14:textId="338F5730" w:rsidR="00D835E4" w:rsidRPr="008A3126" w:rsidRDefault="00D835E4" w:rsidP="00D835E4">
      <w:pPr>
        <w:pStyle w:val="ListParagraph"/>
        <w:ind w:left="1500"/>
      </w:pPr>
    </w:p>
    <w:p w14:paraId="7293F9BD" w14:textId="291B1D38" w:rsidR="00D835E4" w:rsidRDefault="00D835E4" w:rsidP="009D2B17">
      <w:pPr>
        <w:pStyle w:val="ListParagraph"/>
        <w:numPr>
          <w:ilvl w:val="0"/>
          <w:numId w:val="35"/>
        </w:numPr>
      </w:pPr>
      <w:r w:rsidRPr="00E717E2">
        <w:rPr>
          <w:u w:val="single"/>
        </w:rPr>
        <w:t>Renewing Plans</w:t>
      </w:r>
      <w:r w:rsidRPr="00674068">
        <w:t xml:space="preserve"> – </w:t>
      </w:r>
      <w:r w:rsidR="006469D7">
        <w:t>Single risk pool plans</w:t>
      </w:r>
      <w:r w:rsidRPr="00674068">
        <w:t xml:space="preserve"> that were issued in 2014 </w:t>
      </w:r>
      <w:r w:rsidRPr="008A3126">
        <w:t>or later</w:t>
      </w:r>
      <w:r w:rsidR="00F55911" w:rsidRPr="008A3126">
        <w:t>.</w:t>
      </w:r>
      <w:r w:rsidRPr="008A3126">
        <w:t xml:space="preserve">  The issuer should enter information in the </w:t>
      </w:r>
      <w:r w:rsidR="006C6ECA">
        <w:t>P</w:t>
      </w:r>
      <w:r w:rsidRPr="008A3126">
        <w:t xml:space="preserve">rojection </w:t>
      </w:r>
      <w:r w:rsidR="006C6ECA">
        <w:t>P</w:t>
      </w:r>
      <w:r w:rsidRPr="008A3126">
        <w:t xml:space="preserve">eriod for each of the Renewing Plans, as well as the </w:t>
      </w:r>
      <w:r w:rsidR="006C6ECA">
        <w:t>E</w:t>
      </w:r>
      <w:r w:rsidRPr="008A3126">
        <w:t xml:space="preserve">xperience </w:t>
      </w:r>
      <w:r w:rsidR="006C6ECA">
        <w:t>P</w:t>
      </w:r>
      <w:r w:rsidRPr="008A3126">
        <w:t>eriod if applicable</w:t>
      </w:r>
      <w:r w:rsidRPr="00674068">
        <w:t>.</w:t>
      </w:r>
    </w:p>
    <w:p w14:paraId="31E0C863" w14:textId="77777777" w:rsidR="005D07CF" w:rsidRPr="005D07CF" w:rsidRDefault="005D07CF" w:rsidP="005D07CF">
      <w:pPr>
        <w:pStyle w:val="ListParagraph"/>
        <w:ind w:left="1500"/>
      </w:pPr>
    </w:p>
    <w:p w14:paraId="17745A34" w14:textId="008052C4" w:rsidR="00D835E4" w:rsidRPr="00674068" w:rsidRDefault="00BA6F02" w:rsidP="009D2B17">
      <w:pPr>
        <w:pStyle w:val="ListParagraph"/>
        <w:numPr>
          <w:ilvl w:val="0"/>
          <w:numId w:val="35"/>
        </w:numPr>
      </w:pPr>
      <w:r w:rsidRPr="00E717E2">
        <w:rPr>
          <w:u w:val="single"/>
        </w:rPr>
        <w:t xml:space="preserve">Terminating </w:t>
      </w:r>
      <w:r w:rsidR="00661864">
        <w:rPr>
          <w:u w:val="single"/>
        </w:rPr>
        <w:t>Pre-2014</w:t>
      </w:r>
      <w:r>
        <w:rPr>
          <w:u w:val="single"/>
        </w:rPr>
        <w:t xml:space="preserve"> </w:t>
      </w:r>
      <w:r w:rsidRPr="00E717E2">
        <w:rPr>
          <w:u w:val="single"/>
        </w:rPr>
        <w:t xml:space="preserve">Plans and </w:t>
      </w:r>
      <w:r w:rsidRPr="008A3126">
        <w:rPr>
          <w:u w:val="single"/>
        </w:rPr>
        <w:t xml:space="preserve">All </w:t>
      </w:r>
      <w:r w:rsidRPr="00E717E2">
        <w:rPr>
          <w:u w:val="single"/>
        </w:rPr>
        <w:t>Transitional Plans</w:t>
      </w:r>
      <w:r w:rsidRPr="008A3126">
        <w:t xml:space="preserve"> </w:t>
      </w:r>
      <w:r w:rsidRPr="00674068">
        <w:t xml:space="preserve">– </w:t>
      </w:r>
      <w:r w:rsidR="00661864">
        <w:t>P</w:t>
      </w:r>
      <w:r>
        <w:t>lans</w:t>
      </w:r>
      <w:r w:rsidRPr="00674068">
        <w:t xml:space="preserve"> </w:t>
      </w:r>
      <w:r w:rsidR="00661864">
        <w:t>initially</w:t>
      </w:r>
      <w:r w:rsidRPr="00674068">
        <w:t xml:space="preserve"> issued </w:t>
      </w:r>
      <w:r w:rsidR="00661864">
        <w:t>prior to</w:t>
      </w:r>
      <w:r w:rsidR="00661864" w:rsidRPr="00674068">
        <w:t xml:space="preserve"> </w:t>
      </w:r>
      <w:r w:rsidRPr="00674068">
        <w:t xml:space="preserve">January 1, 2014 that </w:t>
      </w:r>
      <w:r w:rsidR="00661864">
        <w:t>are not required to</w:t>
      </w:r>
      <w:r w:rsidRPr="00674068">
        <w:t xml:space="preserve"> </w:t>
      </w:r>
      <w:r>
        <w:t>comply with the single risk pool requirement</w:t>
      </w:r>
      <w:r w:rsidR="00661864">
        <w:t>, other than student health plans</w:t>
      </w:r>
      <w:r w:rsidRPr="00674068">
        <w:t xml:space="preserve">. </w:t>
      </w:r>
      <w:r w:rsidR="00724D7E">
        <w:t xml:space="preserve"> </w:t>
      </w:r>
      <w:r w:rsidR="00D835E4" w:rsidRPr="00674068">
        <w:t>Issuers</w:t>
      </w:r>
      <w:r w:rsidR="00D835E4" w:rsidRPr="008A3126">
        <w:t xml:space="preserve"> should</w:t>
      </w:r>
      <w:r w:rsidR="00D835E4" w:rsidRPr="00674068">
        <w:t xml:space="preserve"> enter information for these p</w:t>
      </w:r>
      <w:r w:rsidR="00D835E4" w:rsidRPr="008A3126">
        <w:t xml:space="preserve">lans in the </w:t>
      </w:r>
      <w:r w:rsidR="006C6ECA">
        <w:t>E</w:t>
      </w:r>
      <w:r w:rsidR="00D835E4" w:rsidRPr="008A3126">
        <w:t xml:space="preserve">xperience </w:t>
      </w:r>
      <w:r w:rsidR="006C6ECA">
        <w:t>P</w:t>
      </w:r>
      <w:r w:rsidR="00D835E4" w:rsidRPr="008A3126">
        <w:t>eriod only, as neither of these plan types</w:t>
      </w:r>
      <w:r w:rsidR="00D835E4" w:rsidRPr="00674068">
        <w:t xml:space="preserve"> will contribute to the single risk pool</w:t>
      </w:r>
      <w:r w:rsidR="00D860E4">
        <w:t xml:space="preserve"> during the Projection Period</w:t>
      </w:r>
      <w:r w:rsidR="00D835E4" w:rsidRPr="00674068">
        <w:t xml:space="preserve">.  The </w:t>
      </w:r>
      <w:r w:rsidR="00D835E4" w:rsidRPr="008A3126">
        <w:t xml:space="preserve">experience information for these plans may be combined and entered in a single column.  The column that reflects Terminating pre-ACA </w:t>
      </w:r>
      <w:r w:rsidR="00D835E4" w:rsidRPr="00674068">
        <w:t>and Transitional Plans should indicate “</w:t>
      </w:r>
      <w:r w:rsidR="00D835E4" w:rsidRPr="008A3126">
        <w:t>2</w:t>
      </w:r>
      <w:r w:rsidR="00724D7E">
        <w:t>015</w:t>
      </w:r>
      <w:r w:rsidR="00D835E4" w:rsidRPr="00674068">
        <w:t xml:space="preserve"> experience” in the Plan Name.  The issuer should enter “</w:t>
      </w:r>
      <w:r w:rsidR="00724D7E">
        <w:t>Not Applicable</w:t>
      </w:r>
      <w:r w:rsidR="00D835E4" w:rsidRPr="00674068">
        <w:t>” in the Metal row for these plans.</w:t>
      </w:r>
    </w:p>
    <w:p w14:paraId="65B5475E" w14:textId="77777777" w:rsidR="00D835E4" w:rsidRPr="008A3126" w:rsidRDefault="00D835E4" w:rsidP="00D835E4">
      <w:pPr>
        <w:pStyle w:val="ListParagraph"/>
        <w:ind w:left="1500"/>
      </w:pPr>
    </w:p>
    <w:p w14:paraId="767FD01D" w14:textId="21942E9D" w:rsidR="00D835E4" w:rsidRPr="008A3126" w:rsidRDefault="00D835E4" w:rsidP="009D2B17">
      <w:pPr>
        <w:pStyle w:val="ListParagraph"/>
        <w:numPr>
          <w:ilvl w:val="0"/>
          <w:numId w:val="35"/>
        </w:numPr>
        <w:spacing w:after="240" w:line="240" w:lineRule="auto"/>
        <w:contextualSpacing w:val="0"/>
      </w:pPr>
      <w:r w:rsidRPr="008A3126">
        <w:rPr>
          <w:u w:val="single"/>
        </w:rPr>
        <w:t xml:space="preserve">Terminating </w:t>
      </w:r>
      <w:r w:rsidR="00654A5F">
        <w:rPr>
          <w:u w:val="single"/>
        </w:rPr>
        <w:t xml:space="preserve">Single Risk Pool </w:t>
      </w:r>
      <w:r w:rsidRPr="008A3126">
        <w:rPr>
          <w:u w:val="single"/>
        </w:rPr>
        <w:t>Plans, Mapped to New Plan</w:t>
      </w:r>
      <w:r w:rsidRPr="008A3126">
        <w:t xml:space="preserve"> – </w:t>
      </w:r>
      <w:r w:rsidR="004B122A">
        <w:t>Single risk pool plans</w:t>
      </w:r>
      <w:r w:rsidRPr="008A3126">
        <w:t xml:space="preserve"> terminated prior to the </w:t>
      </w:r>
      <w:r w:rsidR="00D860E4">
        <w:t>P</w:t>
      </w:r>
      <w:r w:rsidRPr="008A3126">
        <w:t xml:space="preserve">rojection </w:t>
      </w:r>
      <w:r w:rsidR="00D860E4">
        <w:t>P</w:t>
      </w:r>
      <w:r w:rsidRPr="008A3126">
        <w:t xml:space="preserve">eriod that are closed to new entrants and are mapped to a new Plan ID.  For </w:t>
      </w:r>
      <w:r w:rsidR="00724D7E">
        <w:t>these plans, the issuer should follow the Plan Mapping instructions found above in Section 2.2</w:t>
      </w:r>
      <w:r w:rsidRPr="008A3126">
        <w:t>.</w:t>
      </w:r>
    </w:p>
    <w:p w14:paraId="205FE91D" w14:textId="25B5DEFE" w:rsidR="00D835E4" w:rsidRPr="008A3126" w:rsidRDefault="00D835E4" w:rsidP="009D2B17">
      <w:pPr>
        <w:pStyle w:val="ListParagraph"/>
        <w:numPr>
          <w:ilvl w:val="0"/>
          <w:numId w:val="35"/>
        </w:numPr>
        <w:spacing w:after="240" w:line="240" w:lineRule="auto"/>
        <w:contextualSpacing w:val="0"/>
      </w:pPr>
      <w:r w:rsidRPr="008A3126">
        <w:rPr>
          <w:u w:val="single"/>
        </w:rPr>
        <w:t xml:space="preserve">Terminating </w:t>
      </w:r>
      <w:r w:rsidR="00654A5F">
        <w:rPr>
          <w:u w:val="single"/>
        </w:rPr>
        <w:t xml:space="preserve">Single Risk Pool </w:t>
      </w:r>
      <w:r w:rsidRPr="008A3126">
        <w:rPr>
          <w:u w:val="single"/>
        </w:rPr>
        <w:t xml:space="preserve">Plans, Not Mapped to New Plan </w:t>
      </w:r>
      <w:r w:rsidRPr="008A3126">
        <w:t xml:space="preserve">- </w:t>
      </w:r>
      <w:r w:rsidR="004B122A">
        <w:t>Single risk pool plans</w:t>
      </w:r>
      <w:r w:rsidR="004B122A" w:rsidRPr="008A3126">
        <w:t xml:space="preserve"> </w:t>
      </w:r>
      <w:r w:rsidRPr="008A3126">
        <w:t xml:space="preserve">that are terminated prior to the </w:t>
      </w:r>
      <w:r w:rsidR="00D860E4">
        <w:t>P</w:t>
      </w:r>
      <w:r w:rsidRPr="008A3126">
        <w:t xml:space="preserve">rojection </w:t>
      </w:r>
      <w:r w:rsidR="00D860E4">
        <w:t>P</w:t>
      </w:r>
      <w:r w:rsidRPr="008A3126">
        <w:t>eriod</w:t>
      </w:r>
      <w:r w:rsidRPr="008A3126" w:rsidDel="00BA0568">
        <w:t xml:space="preserve"> </w:t>
      </w:r>
      <w:r w:rsidRPr="008A3126">
        <w:t xml:space="preserve">must be shown in a separate column. For these plans, the issuer should enter a zero for the projected member months. The information for the </w:t>
      </w:r>
      <w:r w:rsidR="00D860E4">
        <w:t>P</w:t>
      </w:r>
      <w:r w:rsidRPr="008A3126">
        <w:t xml:space="preserve">rojection </w:t>
      </w:r>
      <w:r w:rsidR="00D860E4">
        <w:t>P</w:t>
      </w:r>
      <w:r w:rsidRPr="008A3126">
        <w:t xml:space="preserve">eriod (Section IV) should be </w:t>
      </w:r>
      <w:r w:rsidR="008566AD">
        <w:t>entered as 0 or other appropriate value</w:t>
      </w:r>
      <w:r w:rsidRPr="008A3126">
        <w:t>.</w:t>
      </w:r>
    </w:p>
    <w:p w14:paraId="1A7ECBB0" w14:textId="4183D39E" w:rsidR="00D835E4" w:rsidRPr="008A3126" w:rsidRDefault="00A3236F" w:rsidP="00D835E4">
      <w:pPr>
        <w:pStyle w:val="BodyText"/>
        <w:ind w:left="720"/>
      </w:pPr>
      <w:r>
        <w:t>If</w:t>
      </w:r>
      <w:r w:rsidR="00D835E4" w:rsidRPr="008A3126">
        <w:t xml:space="preserve"> an issuer makes changes to the plan on renewal, it will be considered the same plan for the renewal plan year if the following are true</w:t>
      </w:r>
      <w:r w:rsidR="00202A27">
        <w:t xml:space="preserve"> (see 45 CFR 144.103 under Plan definition)</w:t>
      </w:r>
      <w:r w:rsidR="00D835E4" w:rsidRPr="008A3126">
        <w:t>:</w:t>
      </w:r>
    </w:p>
    <w:p w14:paraId="0D58E3BA" w14:textId="77777777" w:rsidR="007136D3" w:rsidRDefault="007136D3" w:rsidP="009D2B17">
      <w:pPr>
        <w:pStyle w:val="BodyText"/>
        <w:numPr>
          <w:ilvl w:val="0"/>
          <w:numId w:val="51"/>
        </w:numPr>
      </w:pPr>
      <w:r>
        <w:t>The plan has the same cost-sharing structure as before the modification, or any variation in cost sharing is solely related to changes in cost or utilization of medical care, or is to maintain the same metal tier level described in sections 1302(d) and (e) of the Affordable Care Act;</w:t>
      </w:r>
    </w:p>
    <w:p w14:paraId="2625004F" w14:textId="77777777" w:rsidR="007136D3" w:rsidRDefault="007136D3" w:rsidP="009D2B17">
      <w:pPr>
        <w:pStyle w:val="BodyText"/>
        <w:numPr>
          <w:ilvl w:val="0"/>
          <w:numId w:val="51"/>
        </w:numPr>
      </w:pPr>
      <w:r>
        <w:t>The plan continues to cover a majority of the same service area; and</w:t>
      </w:r>
    </w:p>
    <w:p w14:paraId="748990D7" w14:textId="6C2DA48F" w:rsidR="007136D3" w:rsidRDefault="00651D85" w:rsidP="009D2B17">
      <w:pPr>
        <w:pStyle w:val="BodyText"/>
        <w:numPr>
          <w:ilvl w:val="0"/>
          <w:numId w:val="51"/>
        </w:numPr>
      </w:pPr>
      <w:r>
        <w:t>The plan c</w:t>
      </w:r>
      <w:r w:rsidR="007136D3">
        <w:t>ontinues to cover a majority of the same provider network.  For this purpose, the plan’s provider network on the first day of the plan year is compared with the plan’s provider network on the first day of the preceding plan year (as applicable).</w:t>
      </w:r>
    </w:p>
    <w:p w14:paraId="5C868682" w14:textId="6B82E130" w:rsidR="00D835E4" w:rsidRPr="008A3126" w:rsidRDefault="00D835E4" w:rsidP="00D835E4">
      <w:pPr>
        <w:ind w:left="720"/>
      </w:pPr>
      <w:r w:rsidRPr="00674068">
        <w:t>Currently, HIOS does not report plan names containing special characters, e.g</w:t>
      </w:r>
      <w:r w:rsidR="00560441" w:rsidRPr="00674068">
        <w:t>.</w:t>
      </w:r>
      <w:r w:rsidR="005D07CF">
        <w:t>”</w:t>
      </w:r>
      <w:r w:rsidRPr="00674068">
        <w:t xml:space="preserve"> %.</w:t>
      </w:r>
      <w:r w:rsidR="005D07CF">
        <w:t>”</w:t>
      </w:r>
      <w:r w:rsidRPr="00674068">
        <w:t xml:space="preserve"> It is recommended that plans containing special characters spell out the name of the special character, e.g. “</w:t>
      </w:r>
      <w:r w:rsidRPr="008A3126">
        <w:t>20 Percent</w:t>
      </w:r>
      <w:r w:rsidRPr="00674068">
        <w:t xml:space="preserve"> Coinsurance Plan” </w:t>
      </w:r>
      <w:r w:rsidRPr="008A3126">
        <w:t>should be entered instead of</w:t>
      </w:r>
      <w:r w:rsidRPr="00674068">
        <w:t xml:space="preserve"> “20% Coinsurance Plan.”</w:t>
      </w:r>
    </w:p>
    <w:p w14:paraId="2FE3138D" w14:textId="471A362D" w:rsidR="00D835E4" w:rsidRPr="008A3126" w:rsidRDefault="00D835E4" w:rsidP="00D835E4">
      <w:pPr>
        <w:ind w:left="720"/>
      </w:pPr>
      <w:r w:rsidRPr="008A3126">
        <w:t>Generally, if a plan is the “same plan” as the previous year, it should maintain the same HIOS Standard Component (plan) ID.  If a plan with a larger service area is divided into multiple smaller service area plans, but maintains all of other characteristics of the plan above, then the issuer should choose the plan with the largest existing enrollment in its service area to remain as the “same plan” and the other plans covering the remaining portions of the previous service area should be “new plans” with new HIOS Standard Component (plan) IDs.</w:t>
      </w:r>
    </w:p>
    <w:p w14:paraId="3571D866" w14:textId="7B5E367A" w:rsidR="00D835E4" w:rsidRPr="008A3126" w:rsidRDefault="00D835E4" w:rsidP="00D835E4">
      <w:r w:rsidRPr="00674068">
        <w:rPr>
          <w:b/>
        </w:rPr>
        <w:t>Plan ID:</w:t>
      </w:r>
      <w:r w:rsidRPr="00674068">
        <w:t xml:space="preserve"> Enter each assigned Plan ID. </w:t>
      </w:r>
      <w:r w:rsidRPr="008A3126">
        <w:t>The two-letter state code portion of the Plan ID must be entered using capital letters.</w:t>
      </w:r>
    </w:p>
    <w:p w14:paraId="6B87822A" w14:textId="3B71B22C" w:rsidR="00D835E4" w:rsidRPr="008A3126" w:rsidRDefault="00D835E4" w:rsidP="00D835E4">
      <w:pPr>
        <w:ind w:left="720"/>
      </w:pPr>
      <w:r w:rsidRPr="008A3126">
        <w:t xml:space="preserve">The Plan ID is a unique identifier for the set of benefits and </w:t>
      </w:r>
      <w:r w:rsidR="006900FC">
        <w:t>cost-sharing</w:t>
      </w:r>
      <w:r w:rsidRPr="008A3126">
        <w:t xml:space="preserve"> values offered within a product by the HIOS issuer, or in other words, a unique identifier of e</w:t>
      </w:r>
      <w:r w:rsidR="00173F46">
        <w:t xml:space="preserve">ach plan. Plan IDs </w:t>
      </w:r>
      <w:r w:rsidR="000F1FC7">
        <w:t>include</w:t>
      </w:r>
      <w:r w:rsidR="00173F46">
        <w:t xml:space="preserve"> </w:t>
      </w:r>
      <w:r w:rsidR="000F1FC7">
        <w:t>multiple</w:t>
      </w:r>
      <w:r w:rsidRPr="008A3126">
        <w:t xml:space="preserve"> digits. </w:t>
      </w:r>
      <w:r w:rsidR="000F1FC7">
        <w:t xml:space="preserve">The first ten digits are the Product ID and the next four identify the unique plan within the product.  </w:t>
      </w:r>
      <w:r w:rsidRPr="008A3126">
        <w:t xml:space="preserve">This field must be entered as a text input and must include any leading </w:t>
      </w:r>
      <w:proofErr w:type="spellStart"/>
      <w:r w:rsidRPr="008A3126">
        <w:t>zeros</w:t>
      </w:r>
      <w:proofErr w:type="spellEnd"/>
      <w:r w:rsidRPr="008A3126">
        <w:t xml:space="preserve"> (e.g. 0</w:t>
      </w:r>
      <w:r w:rsidR="00173F46">
        <w:t>0</w:t>
      </w:r>
      <w:r w:rsidR="000F1FC7">
        <w:t>30</w:t>
      </w:r>
      <w:r w:rsidRPr="008A3126">
        <w:t>).</w:t>
      </w:r>
    </w:p>
    <w:p w14:paraId="48997F8A" w14:textId="7C7B8156" w:rsidR="00D835E4" w:rsidRPr="008A3126" w:rsidRDefault="00D835E4" w:rsidP="00D835E4">
      <w:pPr>
        <w:ind w:left="720"/>
      </w:pPr>
      <w:r w:rsidRPr="008A3126">
        <w:t>For non-</w:t>
      </w:r>
      <w:r w:rsidR="00654A5F">
        <w:t xml:space="preserve">single risk pool </w:t>
      </w:r>
      <w:r w:rsidRPr="00674068">
        <w:t xml:space="preserve">products that are closed to new entrants prior to </w:t>
      </w:r>
      <w:r w:rsidRPr="008A3126">
        <w:t xml:space="preserve">the </w:t>
      </w:r>
      <w:r w:rsidR="00D860E4">
        <w:t>P</w:t>
      </w:r>
      <w:r w:rsidRPr="008A3126">
        <w:t xml:space="preserve">rojection </w:t>
      </w:r>
      <w:r w:rsidR="00D860E4">
        <w:t>P</w:t>
      </w:r>
      <w:r w:rsidRPr="008A3126">
        <w:t>eriod</w:t>
      </w:r>
      <w:r w:rsidRPr="00674068">
        <w:t>, the issuer should indicate that there is one plan in the product when completing the template. The Plan ID for the product or grouping of terminated products should be populated with the P</w:t>
      </w:r>
      <w:r w:rsidR="00B27F49">
        <w:t>lan</w:t>
      </w:r>
      <w:r w:rsidRPr="00674068">
        <w:t xml:space="preserve"> ID </w:t>
      </w:r>
      <w:r w:rsidR="00B27F49">
        <w:t xml:space="preserve">of the largest plan within the largest product (measured by member months during the experience period) being terminated, as </w:t>
      </w:r>
      <w:r w:rsidRPr="00674068">
        <w:t>discussed above.</w:t>
      </w:r>
    </w:p>
    <w:p w14:paraId="43BEBBC2" w14:textId="4D387D28" w:rsidR="00D835E4" w:rsidRPr="008A3126" w:rsidRDefault="00654A5F" w:rsidP="00D835E4">
      <w:pPr>
        <w:ind w:left="720"/>
      </w:pPr>
      <w:r>
        <w:t xml:space="preserve">Single risk pool </w:t>
      </w:r>
      <w:r w:rsidR="00D835E4" w:rsidRPr="008A3126">
        <w:t xml:space="preserve">plans that are closed to new entrants terminated prior to the </w:t>
      </w:r>
      <w:r w:rsidR="00D860E4">
        <w:t>P</w:t>
      </w:r>
      <w:r w:rsidR="00D835E4" w:rsidRPr="008A3126">
        <w:t xml:space="preserve">rojection </w:t>
      </w:r>
      <w:r w:rsidR="00D860E4">
        <w:t>P</w:t>
      </w:r>
      <w:r w:rsidR="00D835E4" w:rsidRPr="008A3126">
        <w:t>eriod</w:t>
      </w:r>
      <w:r w:rsidR="00D835E4" w:rsidRPr="008A3126" w:rsidDel="00BA0568">
        <w:t xml:space="preserve"> </w:t>
      </w:r>
      <w:r w:rsidR="00D835E4" w:rsidRPr="008A3126">
        <w:t xml:space="preserve">and not mapped to a new product must be shown in a separate column. For these plans, the issuer should enter a zero for the projected member months. The information for the </w:t>
      </w:r>
      <w:r w:rsidR="00D860E4">
        <w:t>P</w:t>
      </w:r>
      <w:r w:rsidR="00D835E4" w:rsidRPr="008A3126">
        <w:t xml:space="preserve">rojection </w:t>
      </w:r>
      <w:r w:rsidR="00D860E4">
        <w:t>P</w:t>
      </w:r>
      <w:r w:rsidR="00D835E4" w:rsidRPr="008A3126">
        <w:t xml:space="preserve">eriod (Section IV) should be </w:t>
      </w:r>
      <w:r w:rsidR="008566AD">
        <w:t>entered as 0 or other appropriate value</w:t>
      </w:r>
      <w:r w:rsidR="00D835E4" w:rsidRPr="008A3126">
        <w:t xml:space="preserve">. However, if </w:t>
      </w:r>
      <w:r>
        <w:t xml:space="preserve">single risk pool </w:t>
      </w:r>
      <w:r w:rsidR="00D835E4" w:rsidRPr="008A3126">
        <w:t xml:space="preserve">plan is terminated and mapped to a new </w:t>
      </w:r>
      <w:r>
        <w:t>single risk pool</w:t>
      </w:r>
      <w:r w:rsidR="00D835E4" w:rsidRPr="008A3126">
        <w:t xml:space="preserve"> plan, the information for the experience period should be included in the column for the new Plan ID.</w:t>
      </w:r>
    </w:p>
    <w:p w14:paraId="0735C72A" w14:textId="0BE90E19" w:rsidR="00D835E4" w:rsidRPr="008A3126" w:rsidRDefault="00B27F49" w:rsidP="00D835E4">
      <w:r>
        <w:rPr>
          <w:b/>
        </w:rPr>
        <w:t>Exchange</w:t>
      </w:r>
      <w:r w:rsidR="00D835E4" w:rsidRPr="00674068">
        <w:rPr>
          <w:b/>
        </w:rPr>
        <w:t xml:space="preserve"> Plan:</w:t>
      </w:r>
      <w:r w:rsidR="00D835E4" w:rsidRPr="00674068">
        <w:t xml:space="preserve"> For each plan, enter an indicator (yes or no) as to whether the plan will be offered inside a State-based or Federally</w:t>
      </w:r>
      <w:r w:rsidR="005D07CF">
        <w:t>-f</w:t>
      </w:r>
      <w:r w:rsidR="00D835E4" w:rsidRPr="00674068">
        <w:t xml:space="preserve">acilitated </w:t>
      </w:r>
      <w:r w:rsidR="00DE6C09">
        <w:t>Marketplace</w:t>
      </w:r>
      <w:r w:rsidR="00D835E4" w:rsidRPr="00674068">
        <w:t xml:space="preserve"> or </w:t>
      </w:r>
      <w:r w:rsidR="00D835E4" w:rsidRPr="008A3126">
        <w:t xml:space="preserve">Small Business Health Options Program (SHOP), regardless of whether or not it will also be offered or marketed outside the </w:t>
      </w:r>
      <w:r w:rsidR="00DE6C09">
        <w:t>Marketplace</w:t>
      </w:r>
      <w:r w:rsidR="00D835E4" w:rsidRPr="008A3126">
        <w:t>.  If an application for qualified health plan status is pending, enter “yes</w:t>
      </w:r>
      <w:r w:rsidR="005D07CF">
        <w:t>.</w:t>
      </w:r>
      <w:r w:rsidR="00D835E4" w:rsidRPr="008A3126">
        <w:t xml:space="preserve">” This indicator should not be used to identify whether a plan is offered on a private </w:t>
      </w:r>
      <w:r w:rsidR="00DE6C09">
        <w:t>Marketplace</w:t>
      </w:r>
      <w:r w:rsidR="00D835E4" w:rsidRPr="008A3126">
        <w:t>.  If you indicate “yes” for a plan</w:t>
      </w:r>
      <w:r w:rsidR="006A6A37">
        <w:t xml:space="preserve"> </w:t>
      </w:r>
      <w:r w:rsidR="00102AC0">
        <w:t>offering full EHB</w:t>
      </w:r>
      <w:r w:rsidR="00D835E4" w:rsidRPr="008A3126">
        <w:t>, the plan will automatically be considered as available on and off the Marketplace, due to guaranteed availability</w:t>
      </w:r>
      <w:r w:rsidR="0031459A">
        <w:t xml:space="preserve">.  </w:t>
      </w:r>
      <w:r w:rsidR="00DE6C09">
        <w:t>Marketplace</w:t>
      </w:r>
      <w:r w:rsidR="00D835E4" w:rsidRPr="008A3126">
        <w:t xml:space="preserve"> </w:t>
      </w:r>
      <w:r w:rsidR="008B7A77">
        <w:t>i</w:t>
      </w:r>
      <w:r w:rsidR="00D835E4" w:rsidRPr="008A3126">
        <w:t xml:space="preserve">ssuers are required to make all </w:t>
      </w:r>
      <w:r w:rsidR="00102AC0">
        <w:t xml:space="preserve">full EHB </w:t>
      </w:r>
      <w:r w:rsidR="00D835E4" w:rsidRPr="008A3126">
        <w:t xml:space="preserve">plans available upon request from consumers who meet the guaranteed availability and EHB requirements, but are not required to market or actively sell </w:t>
      </w:r>
      <w:r w:rsidR="00DE6C09">
        <w:t>Marketplace</w:t>
      </w:r>
      <w:r w:rsidR="00D835E4" w:rsidRPr="008A3126">
        <w:t xml:space="preserve"> plans outside the </w:t>
      </w:r>
      <w:r w:rsidR="00DE6C09">
        <w:t>Marketplace</w:t>
      </w:r>
      <w:r w:rsidR="00D835E4" w:rsidRPr="008A3126">
        <w:t>.</w:t>
      </w:r>
    </w:p>
    <w:p w14:paraId="352646E3" w14:textId="147E3EF7" w:rsidR="00D835E4" w:rsidRPr="008A3126" w:rsidRDefault="00D835E4" w:rsidP="00D835E4">
      <w:r w:rsidRPr="008A3126">
        <w:t xml:space="preserve">For terminated plans, the issuer should enter “No” in this field, even if the plan was offered on the </w:t>
      </w:r>
      <w:r w:rsidR="00DE6C09">
        <w:t>Marketplace</w:t>
      </w:r>
      <w:r w:rsidRPr="008A3126">
        <w:t xml:space="preserve"> just prior to its termination.</w:t>
      </w:r>
    </w:p>
    <w:p w14:paraId="187A47E3" w14:textId="7F17FABB" w:rsidR="00D835E4" w:rsidRPr="008A3126" w:rsidRDefault="00D835E4" w:rsidP="00D835E4">
      <w:r w:rsidRPr="00674068">
        <w:rPr>
          <w:b/>
        </w:rPr>
        <w:t xml:space="preserve">Historical Rate Increases: </w:t>
      </w:r>
      <w:r w:rsidRPr="00674068">
        <w:t>For each product</w:t>
      </w:r>
      <w:r w:rsidRPr="008A3126">
        <w:t>, enter the historical rate increase for the period two years prior to the current calendar year, one year prior to the current calendar year, and the current calendar year.</w:t>
      </w:r>
    </w:p>
    <w:p w14:paraId="262485A4" w14:textId="0CB95E82" w:rsidR="00D835E4" w:rsidRPr="008A3126" w:rsidRDefault="00D835E4" w:rsidP="00D835E4">
      <w:pPr>
        <w:ind w:left="720"/>
      </w:pPr>
      <w:r w:rsidRPr="008A3126">
        <w:t>For example, if t</w:t>
      </w:r>
      <w:r w:rsidR="00A01BEB">
        <w:t>he template is submitted in 2016</w:t>
      </w:r>
      <w:r w:rsidRPr="008A3126">
        <w:t xml:space="preserve"> for an E</w:t>
      </w:r>
      <w:r w:rsidR="00A01BEB">
        <w:t>ffective Date of January 1, 2017</w:t>
      </w:r>
      <w:r w:rsidRPr="008A3126">
        <w:t>, t</w:t>
      </w:r>
      <w:r w:rsidR="00A01BEB">
        <w:t>he current calendar year is 2016</w:t>
      </w:r>
      <w:r w:rsidRPr="008A3126">
        <w:t xml:space="preserve">. Rate increases are therefore required to be </w:t>
      </w:r>
      <w:r w:rsidR="00A01BEB">
        <w:t>entered for 2014, 2015, and 2016</w:t>
      </w:r>
      <w:r w:rsidRPr="008A3126">
        <w:t>.</w:t>
      </w:r>
    </w:p>
    <w:p w14:paraId="6227A491" w14:textId="39FC0206" w:rsidR="00D835E4" w:rsidRPr="008A3126" w:rsidRDefault="00D835E4" w:rsidP="00D835E4">
      <w:pPr>
        <w:ind w:left="720"/>
      </w:pPr>
      <w:r w:rsidRPr="008A3126">
        <w:t>Rate increases must reflect the full rate increase that is applied to a policy during the applicable year. For example, if rate tables in the market change quarterly but each policyholder’s premium rates change annually, then the rate increase for policies renewing during the year must reflect the total rate change that applies to each policyholder during that year, which is the cumulative effect of the four quarterly rate changes.</w:t>
      </w:r>
    </w:p>
    <w:p w14:paraId="25E12D2A" w14:textId="77777777" w:rsidR="00D835E4" w:rsidRPr="008A3126" w:rsidRDefault="00D835E4" w:rsidP="00D835E4">
      <w:pPr>
        <w:ind w:left="720"/>
      </w:pPr>
      <w:r w:rsidRPr="008A3126">
        <w:t>If multiple rate increases were implemented during the calendar year period being reported, enter the premium weighted average rate increase across the entire calendar year. For example, assume the submission is for the small group market in which 50% of groups (representing 50% of the annual revenue) renew in January, 25% renew in April, and 25% renew in October. The calendar year increases are 7% in January, 6% in April, and 5% in October, then the calendar year average rate increase is 6.25% (=7%*50% + 6%*25% + 5%*25%).</w:t>
      </w:r>
    </w:p>
    <w:p w14:paraId="4A8E599B" w14:textId="5132B871" w:rsidR="00D835E4" w:rsidRPr="008A3126" w:rsidRDefault="00D835E4" w:rsidP="00D835E4">
      <w:pPr>
        <w:ind w:left="720"/>
      </w:pPr>
      <w:r w:rsidRPr="008A3126">
        <w:t xml:space="preserve">For the current calendar year, include all rate changes that have been approved, are currently under review by the applicable regulatory agency, or are anticipated to be submitted. For example, if the template </w:t>
      </w:r>
      <w:r w:rsidR="00EB67F6">
        <w:t>is being submitted in April 2016</w:t>
      </w:r>
      <w:r w:rsidRPr="008A3126">
        <w:t xml:space="preserve"> for an e</w:t>
      </w:r>
      <w:r w:rsidR="00EB67F6">
        <w:t>ffective date of January 1, 2017</w:t>
      </w:r>
      <w:r w:rsidRPr="008A3126">
        <w:t xml:space="preserve"> for a market in which rates change quarterly, include in th</w:t>
      </w:r>
      <w:r w:rsidR="00EB67F6">
        <w:t>e average rate increase for 2016</w:t>
      </w:r>
      <w:r w:rsidRPr="008A3126">
        <w:t xml:space="preserve"> any rate increases that have already been approved or are in</w:t>
      </w:r>
      <w:r w:rsidR="00EB67F6">
        <w:t>tended to be implemented in 2016</w:t>
      </w:r>
      <w:r w:rsidRPr="008A3126">
        <w:t xml:space="preserve"> including those implemented after the submi</w:t>
      </w:r>
      <w:r w:rsidR="00EB67F6">
        <w:t>ssion (e.g., effective July 2016 and October 2016</w:t>
      </w:r>
      <w:r w:rsidRPr="008A3126">
        <w:t>).</w:t>
      </w:r>
    </w:p>
    <w:p w14:paraId="521075BC" w14:textId="77777777" w:rsidR="00D835E4" w:rsidRPr="008A3126" w:rsidRDefault="00D835E4" w:rsidP="00D835E4">
      <w:pPr>
        <w:ind w:left="720"/>
      </w:pPr>
      <w:r w:rsidRPr="008A3126">
        <w:t>For new plans, enter a value of 0.00</w:t>
      </w:r>
      <w:r w:rsidRPr="00674068">
        <w:t>% in the Historical Rate Increases</w:t>
      </w:r>
      <w:r w:rsidRPr="008A3126">
        <w:t>. If a plan was recently offered for the first time, and therefore does not have experience in the Experience Period, enter the actual Historical Rate Increases in the same manner as other existing plans. If an existing plan has not previously had a rate increase, enter 0.00%.</w:t>
      </w:r>
    </w:p>
    <w:p w14:paraId="5C8192C0" w14:textId="77777777" w:rsidR="00D835E4" w:rsidRPr="00674068" w:rsidRDefault="00D835E4" w:rsidP="00D835E4">
      <w:pPr>
        <w:ind w:left="720"/>
      </w:pPr>
      <w:r w:rsidRPr="008A3126">
        <w:t>For terminated products, the historical rate increase fields are optional. However, since the template expects an entry, enter 0.00</w:t>
      </w:r>
      <w:r w:rsidRPr="00674068">
        <w:t>% to avoid validation warnings.</w:t>
      </w:r>
    </w:p>
    <w:p w14:paraId="71E7A757" w14:textId="6391BD2D" w:rsidR="00D835E4" w:rsidRPr="008A3126" w:rsidRDefault="00D835E4" w:rsidP="00D835E4">
      <w:r w:rsidRPr="008A3126">
        <w:rPr>
          <w:b/>
        </w:rPr>
        <w:t>Effective Date of Proposed Rates:</w:t>
      </w:r>
      <w:r w:rsidRPr="008A3126">
        <w:t xml:space="preserve"> For each plan, enter the corresponding effective date of the proposed rate increases.</w:t>
      </w:r>
    </w:p>
    <w:p w14:paraId="5F0B9B68" w14:textId="4F359EE7" w:rsidR="00D835E4" w:rsidRPr="008A3126" w:rsidRDefault="00D835E4" w:rsidP="00D835E4">
      <w:pPr>
        <w:ind w:left="720"/>
      </w:pPr>
      <w:r w:rsidRPr="008A3126">
        <w:t>See Worksheet 1 instructions for Effective Date. All products and plans must have the same effective date. If some products or plans will have a rate change and others will not, then a 0% rate change may be entered in the “Rate Change % (over prior filing)” field described immediately below for those plans that will not have a rate change on the product’s effective date.</w:t>
      </w:r>
    </w:p>
    <w:p w14:paraId="5B55C6B6" w14:textId="3FBDBCB3" w:rsidR="00D835E4" w:rsidRPr="00674068" w:rsidRDefault="00D835E4" w:rsidP="00D835E4">
      <w:pPr>
        <w:ind w:left="720"/>
      </w:pPr>
      <w:r w:rsidRPr="008A3126">
        <w:t xml:space="preserve">As on Worksheet 1, if the submission is for the small group market, enter the effective date on which the products’ rates will change due to the Index Rate being revised. For example, if the small group </w:t>
      </w:r>
      <w:r w:rsidR="001E516D">
        <w:t xml:space="preserve">quarterly </w:t>
      </w:r>
      <w:r w:rsidRPr="008A3126">
        <w:t>submission revises</w:t>
      </w:r>
      <w:r w:rsidR="00EB67F6">
        <w:t xml:space="preserve"> the Index Rate for July 1, 2017</w:t>
      </w:r>
      <w:r w:rsidRPr="00674068">
        <w:t xml:space="preserve"> effective date and includes a trend increase applicable on October 1, </w:t>
      </w:r>
      <w:r w:rsidR="00EB67F6">
        <w:t>2017</w:t>
      </w:r>
      <w:r w:rsidRPr="00674068">
        <w:t xml:space="preserve">, enter July 1, </w:t>
      </w:r>
      <w:r w:rsidR="00EB67F6">
        <w:t>2017</w:t>
      </w:r>
      <w:r w:rsidRPr="00674068">
        <w:t>.</w:t>
      </w:r>
    </w:p>
    <w:p w14:paraId="04B51D78" w14:textId="25ACD56E" w:rsidR="00D835E4" w:rsidRPr="008A3126" w:rsidRDefault="00D835E4" w:rsidP="00D835E4">
      <w:r w:rsidRPr="008A3126">
        <w:rPr>
          <w:b/>
        </w:rPr>
        <w:t xml:space="preserve">Rate Change </w:t>
      </w:r>
      <w:r w:rsidR="00E97A07">
        <w:rPr>
          <w:b/>
        </w:rPr>
        <w:t>Percent</w:t>
      </w:r>
      <w:r w:rsidRPr="008A3126">
        <w:rPr>
          <w:b/>
        </w:rPr>
        <w:t xml:space="preserve"> (over prior filing): </w:t>
      </w:r>
      <w:r w:rsidRPr="008A3126">
        <w:t>Enter the average change in premium rates over the rates included in the prior filing for each plan.</w:t>
      </w:r>
    </w:p>
    <w:p w14:paraId="333846E8" w14:textId="6706204B" w:rsidR="00D835E4" w:rsidRPr="008A3126" w:rsidRDefault="00D835E4" w:rsidP="00D835E4">
      <w:pPr>
        <w:ind w:left="720"/>
      </w:pPr>
      <w:r w:rsidRPr="008A3126">
        <w:t>This should be measured as the change in premium rate tables over the rate tables of the previous filing using the current distribution of enrollment by age, geographic area, and tobacco status.</w:t>
      </w:r>
    </w:p>
    <w:p w14:paraId="1105029C" w14:textId="292D0A6D" w:rsidR="00D835E4" w:rsidRPr="008A3126" w:rsidRDefault="00D835E4" w:rsidP="00D835E4">
      <w:pPr>
        <w:ind w:left="720"/>
      </w:pPr>
      <w:r w:rsidRPr="00674068">
        <w:t xml:space="preserve">For new plans </w:t>
      </w:r>
      <w:r w:rsidR="001E516D">
        <w:t xml:space="preserve">without mapped enrollment, </w:t>
      </w:r>
      <w:r w:rsidRPr="008A3126">
        <w:t>enter 0.00% in this field.</w:t>
      </w:r>
    </w:p>
    <w:p w14:paraId="0841C35D" w14:textId="77777777" w:rsidR="00D835E4" w:rsidRPr="008A3126" w:rsidRDefault="00BA6F02" w:rsidP="00D835E4">
      <w:r w:rsidRPr="008A3126">
        <w:rPr>
          <w:b/>
        </w:rPr>
        <w:t>Cum</w:t>
      </w:r>
      <w:r>
        <w:rPr>
          <w:b/>
        </w:rPr>
        <w:t>ulative</w:t>
      </w:r>
      <w:r w:rsidR="00D835E4" w:rsidRPr="008A3126">
        <w:rPr>
          <w:b/>
        </w:rPr>
        <w:t xml:space="preserve"> Rate Change </w:t>
      </w:r>
      <w:r w:rsidR="00E97A07">
        <w:rPr>
          <w:b/>
        </w:rPr>
        <w:t>Percent</w:t>
      </w:r>
      <w:r w:rsidR="00D835E4" w:rsidRPr="008A3126">
        <w:rPr>
          <w:b/>
        </w:rPr>
        <w:t xml:space="preserve"> (over 12 </w:t>
      </w:r>
      <w:r w:rsidRPr="008A3126">
        <w:rPr>
          <w:b/>
        </w:rPr>
        <w:t>mo</w:t>
      </w:r>
      <w:r>
        <w:rPr>
          <w:b/>
        </w:rPr>
        <w:t>nths</w:t>
      </w:r>
      <w:r w:rsidR="00D835E4" w:rsidRPr="008A3126">
        <w:rPr>
          <w:b/>
        </w:rPr>
        <w:t xml:space="preserve"> prior):</w:t>
      </w:r>
      <w:r w:rsidR="00D835E4" w:rsidRPr="008A3126">
        <w:t xml:space="preserve"> Enter the average change in premium rates over the twelve month period prior to the effective date for each plan. This should be the premium-weighted average of the 12-month increases that apply at renewal.</w:t>
      </w:r>
    </w:p>
    <w:p w14:paraId="5DF06C19" w14:textId="1F235998" w:rsidR="00D835E4" w:rsidRPr="008A3126" w:rsidRDefault="00D835E4" w:rsidP="00D835E4">
      <w:pPr>
        <w:ind w:left="720"/>
      </w:pPr>
      <w:r w:rsidRPr="008A3126">
        <w:t xml:space="preserve">This should be measured as the change in premium rates tables over the 12 month prior rate table using the </w:t>
      </w:r>
      <w:r w:rsidR="008D5F56">
        <w:t xml:space="preserve">plan’s </w:t>
      </w:r>
      <w:r w:rsidRPr="008A3126">
        <w:t>current distribution of enrollment by age, geographic area, and tobacco status.</w:t>
      </w:r>
    </w:p>
    <w:p w14:paraId="6B6FE674" w14:textId="2C598328" w:rsidR="00731866" w:rsidRDefault="00015AD2" w:rsidP="003C5548">
      <w:pPr>
        <w:ind w:left="720"/>
      </w:pPr>
      <w:r w:rsidRPr="008A3126">
        <w:t xml:space="preserve">This is the rate increase that determines whether the </w:t>
      </w:r>
      <w:r w:rsidR="001E516D">
        <w:t>renewing product</w:t>
      </w:r>
      <w:r w:rsidRPr="008A3126">
        <w:t xml:space="preserve"> is subject to review, per 45 CFR 154.200. </w:t>
      </w:r>
      <w:r>
        <w:t xml:space="preserve"> </w:t>
      </w:r>
      <w:r w:rsidR="003C5548">
        <w:t xml:space="preserve">This field is </w:t>
      </w:r>
      <w:r>
        <w:t xml:space="preserve">also </w:t>
      </w:r>
      <w:r w:rsidR="003C5548">
        <w:t xml:space="preserve">the HIOS trigger </w:t>
      </w:r>
      <w:r w:rsidR="00191AF6">
        <w:t xml:space="preserve">to identify </w:t>
      </w:r>
      <w:r w:rsidR="003C5548">
        <w:t>a rate increase subject to review.  If any</w:t>
      </w:r>
      <w:r w:rsidR="001E516D">
        <w:t xml:space="preserve"> renewing</w:t>
      </w:r>
      <w:r w:rsidR="003C5548">
        <w:t xml:space="preserve"> plan within a product has a rate increase of 10% or greater, HIOS will require submission of Part II, the written description justifying the rate increase</w:t>
      </w:r>
      <w:r w:rsidR="00487FAA">
        <w:t xml:space="preserve"> for that product</w:t>
      </w:r>
      <w:r w:rsidR="003C5548">
        <w:t>.</w:t>
      </w:r>
    </w:p>
    <w:p w14:paraId="63CE1ACA" w14:textId="5C28A6B7" w:rsidR="00197DC4" w:rsidRDefault="00197DC4" w:rsidP="00197DC4">
      <w:pPr>
        <w:ind w:left="1440"/>
      </w:pPr>
      <w:r>
        <w:t xml:space="preserve">For new plans with </w:t>
      </w:r>
      <w:r w:rsidR="00F24451">
        <w:t xml:space="preserve">existing members from terminating plans being mapped (auto-enrolled) into the new plan, the rate increase information should be measured from the terminating Plan ID to the new Plan ID. If multiple plans are being mapped into a single new plan, provide the weighted average rate change of the mapped members into the new plan. Note even if these increases are 10% or greater, the product threshold increase review will not be triggered and HIOS will not require a submission of Part II (written description justifying the rate increase) as long as the issuer appropriately identifies the plan as New in the </w:t>
      </w:r>
      <w:r w:rsidR="001E516D">
        <w:t xml:space="preserve">Plan Category </w:t>
      </w:r>
      <w:r w:rsidR="00F24451">
        <w:t>dropdown box.</w:t>
      </w:r>
    </w:p>
    <w:p w14:paraId="7C15B98C" w14:textId="2B2FAE36" w:rsidR="00D66DFE" w:rsidRDefault="00D66DFE" w:rsidP="00197DC4">
      <w:pPr>
        <w:ind w:left="1440"/>
      </w:pPr>
      <w:r>
        <w:t>For new plans without existing members being mapped (auto-enrolled) into the new plan, the rate increase information should be entered as 0%.</w:t>
      </w:r>
    </w:p>
    <w:p w14:paraId="05346796" w14:textId="7E97A137" w:rsidR="00197DC4" w:rsidRDefault="00197DC4" w:rsidP="00197DC4">
      <w:pPr>
        <w:ind w:left="1440"/>
      </w:pPr>
      <w:r>
        <w:t xml:space="preserve">For renewing plans with existing membership who have members from terminated plans mapped to them, the rate increase entered for the renewing plans should only reflect the increase in the renewing plans. In other words, the rate increase should not </w:t>
      </w:r>
      <w:r w:rsidR="00661864">
        <w:t xml:space="preserve">reflect </w:t>
      </w:r>
      <w:r>
        <w:t xml:space="preserve">the increase </w:t>
      </w:r>
      <w:r w:rsidR="001E516D">
        <w:t xml:space="preserve">that </w:t>
      </w:r>
      <w:r>
        <w:t>members in terminating plans would observe.</w:t>
      </w:r>
    </w:p>
    <w:p w14:paraId="664E4586" w14:textId="79840F92" w:rsidR="00197DC4" w:rsidRPr="008A3126" w:rsidRDefault="00F24451" w:rsidP="00D66DFE">
      <w:pPr>
        <w:ind w:left="1440"/>
      </w:pPr>
      <w:r>
        <w:t>For terminating plans, the rate increase fields should be 0%.</w:t>
      </w:r>
    </w:p>
    <w:p w14:paraId="3EE8D525" w14:textId="361104DE" w:rsidR="00D835E4" w:rsidRPr="008A3126" w:rsidRDefault="00BA6F02" w:rsidP="00D835E4">
      <w:r w:rsidRPr="008A3126">
        <w:rPr>
          <w:b/>
        </w:rPr>
        <w:t>Proj</w:t>
      </w:r>
      <w:r>
        <w:rPr>
          <w:b/>
        </w:rPr>
        <w:t>ected</w:t>
      </w:r>
      <w:r w:rsidR="00D835E4" w:rsidRPr="008A3126">
        <w:rPr>
          <w:b/>
        </w:rPr>
        <w:t xml:space="preserve"> </w:t>
      </w:r>
      <w:proofErr w:type="gramStart"/>
      <w:r w:rsidR="00D835E4" w:rsidRPr="008A3126">
        <w:rPr>
          <w:b/>
        </w:rPr>
        <w:t>Per</w:t>
      </w:r>
      <w:proofErr w:type="gramEnd"/>
      <w:r w:rsidR="00D835E4" w:rsidRPr="008A3126">
        <w:rPr>
          <w:b/>
        </w:rPr>
        <w:t xml:space="preserve"> Rate Change </w:t>
      </w:r>
      <w:r w:rsidR="00560441">
        <w:rPr>
          <w:b/>
        </w:rPr>
        <w:t>Percent</w:t>
      </w:r>
      <w:r w:rsidR="00D835E4" w:rsidRPr="008A3126">
        <w:rPr>
          <w:b/>
        </w:rPr>
        <w:t xml:space="preserve"> (over </w:t>
      </w:r>
      <w:r w:rsidRPr="008A3126">
        <w:rPr>
          <w:b/>
        </w:rPr>
        <w:t>Exper</w:t>
      </w:r>
      <w:r>
        <w:rPr>
          <w:b/>
        </w:rPr>
        <w:t>ience</w:t>
      </w:r>
      <w:r w:rsidR="00D835E4" w:rsidRPr="008A3126">
        <w:rPr>
          <w:b/>
        </w:rPr>
        <w:t xml:space="preserve"> Period): </w:t>
      </w:r>
      <w:r w:rsidR="00D835E4" w:rsidRPr="008A3126">
        <w:t xml:space="preserve"> For each plan, the percentage change in Plan Adjusted Index Rates</w:t>
      </w:r>
      <w:r w:rsidR="00D835E4" w:rsidRPr="00674068">
        <w:t xml:space="preserve"> between the Experience Period </w:t>
      </w:r>
      <w:r w:rsidR="00D835E4" w:rsidRPr="008A3126">
        <w:t xml:space="preserve">and the Projection Period is shown. This </w:t>
      </w:r>
      <w:r w:rsidR="00B32C1F">
        <w:t>field is automatically calculated by the template.</w:t>
      </w:r>
    </w:p>
    <w:p w14:paraId="0545C097" w14:textId="6B9962EB" w:rsidR="00D835E4" w:rsidRPr="00674068" w:rsidRDefault="003C5548" w:rsidP="00D835E4">
      <w:r>
        <w:rPr>
          <w:b/>
        </w:rPr>
        <w:t>Product</w:t>
      </w:r>
      <w:r w:rsidR="00D835E4" w:rsidRPr="008A3126">
        <w:rPr>
          <w:b/>
        </w:rPr>
        <w:t xml:space="preserve"> Rate Increase </w:t>
      </w:r>
      <w:r w:rsidR="00560441">
        <w:rPr>
          <w:b/>
        </w:rPr>
        <w:t>Percent</w:t>
      </w:r>
      <w:r w:rsidR="00BA6F02">
        <w:rPr>
          <w:b/>
        </w:rPr>
        <w:t>:</w:t>
      </w:r>
      <w:r w:rsidR="00D835E4" w:rsidRPr="008A3126">
        <w:t xml:space="preserve"> The t</w:t>
      </w:r>
      <w:r>
        <w:t>emplate calculates the</w:t>
      </w:r>
      <w:r w:rsidR="00D835E4" w:rsidRPr="008A3126">
        <w:t xml:space="preserve"> </w:t>
      </w:r>
      <w:r w:rsidR="00B32C1F">
        <w:t xml:space="preserve">average </w:t>
      </w:r>
      <w:r w:rsidR="00D835E4" w:rsidRPr="008A3126">
        <w:t>rate increase for each product</w:t>
      </w:r>
      <w:r>
        <w:t xml:space="preserve"> by weighting the Cumulative Rate Change Percent (over 12 months prior) for each renewing plan</w:t>
      </w:r>
      <w:r w:rsidR="00D835E4" w:rsidRPr="008A3126">
        <w:t xml:space="preserve">. </w:t>
      </w:r>
      <w:r>
        <w:t xml:space="preserve"> If a plan is identified as New or Terminated in the Plan Category field, that plan’s Cumulative Rate Change will not be counted toward the Product Rate Increase Percent.  </w:t>
      </w:r>
      <w:r w:rsidR="00E505CD">
        <w:t xml:space="preserve">As proposed in the 2017 Payment Notice, this </w:t>
      </w:r>
      <w:r w:rsidR="00015AD2">
        <w:t xml:space="preserve">is the product rate increase that will appear when </w:t>
      </w:r>
      <w:r w:rsidR="00191AF6">
        <w:t xml:space="preserve">proposed </w:t>
      </w:r>
      <w:r w:rsidR="00015AD2">
        <w:t xml:space="preserve">and final rate increases </w:t>
      </w:r>
      <w:r w:rsidR="00E505CD">
        <w:t>(regardless of whether the increase is subject to review)</w:t>
      </w:r>
      <w:r w:rsidR="00015AD2">
        <w:t xml:space="preserve"> are released at </w:t>
      </w:r>
      <w:hyperlink r:id="rId12" w:history="1">
        <w:r w:rsidR="00015AD2" w:rsidRPr="00215DBC">
          <w:rPr>
            <w:rStyle w:val="Hyperlink"/>
            <w:szCs w:val="22"/>
          </w:rPr>
          <w:t>https://ratereview.healthcare.gov/</w:t>
        </w:r>
      </w:hyperlink>
      <w:r w:rsidR="00015AD2">
        <w:t xml:space="preserve">.  This </w:t>
      </w:r>
      <w:r w:rsidR="00B32C1F">
        <w:t>field is calculated by the template</w:t>
      </w:r>
      <w:r w:rsidR="00D835E4" w:rsidRPr="008A3126">
        <w:t>.</w:t>
      </w:r>
    </w:p>
    <w:p w14:paraId="5FFA13A8" w14:textId="406E4D1A" w:rsidR="00D835E4" w:rsidRPr="008A3126" w:rsidRDefault="00BD327D" w:rsidP="00926D0E">
      <w:pPr>
        <w:pStyle w:val="Heading3"/>
      </w:pPr>
      <w:bookmarkStart w:id="302" w:name="_Toc410525294"/>
      <w:bookmarkStart w:id="303" w:name="_Toc410525382"/>
      <w:bookmarkStart w:id="304" w:name="_Toc410588820"/>
      <w:bookmarkStart w:id="305" w:name="_Toc411866091"/>
      <w:bookmarkStart w:id="306" w:name="_Toc411866609"/>
      <w:bookmarkStart w:id="307" w:name="_Toc412032780"/>
      <w:bookmarkStart w:id="308" w:name="_Toc411936252"/>
      <w:bookmarkStart w:id="309" w:name="_Toc412287662"/>
      <w:bookmarkStart w:id="310" w:name="_Toc441756506"/>
      <w:bookmarkStart w:id="311" w:name="_Toc410468940"/>
      <w:r>
        <w:t xml:space="preserve">Section II: </w:t>
      </w:r>
      <w:r w:rsidR="00D835E4" w:rsidRPr="008A3126">
        <w:t>Components of Premium Increase</w:t>
      </w:r>
      <w:bookmarkEnd w:id="302"/>
      <w:bookmarkEnd w:id="303"/>
      <w:bookmarkEnd w:id="304"/>
      <w:bookmarkEnd w:id="305"/>
      <w:bookmarkEnd w:id="306"/>
      <w:bookmarkEnd w:id="307"/>
      <w:bookmarkEnd w:id="308"/>
      <w:bookmarkEnd w:id="309"/>
      <w:bookmarkEnd w:id="310"/>
      <w:r w:rsidR="00D835E4" w:rsidRPr="008A3126">
        <w:t xml:space="preserve"> </w:t>
      </w:r>
    </w:p>
    <w:bookmarkEnd w:id="311"/>
    <w:p w14:paraId="17D0F3B8" w14:textId="2A121737" w:rsidR="00D835E4" w:rsidRPr="00674068" w:rsidRDefault="00E505CD" w:rsidP="00D835E4">
      <w:r>
        <w:t xml:space="preserve">The </w:t>
      </w:r>
      <w:r w:rsidR="00D835E4" w:rsidRPr="008A3126">
        <w:t>information shown in this section should reflect the increase in each of the components based on the change in rates in the current rate tables by the issuer and the rates in the proposed rate tables using the age, geographic area, and tobacco status distribution of the current enrollment.</w:t>
      </w:r>
    </w:p>
    <w:p w14:paraId="36523770" w14:textId="577BAA48" w:rsidR="00D835E4" w:rsidRPr="008A3126" w:rsidRDefault="00015AD2" w:rsidP="00D835E4">
      <w:pPr>
        <w:ind w:left="720"/>
      </w:pPr>
      <w:r>
        <w:t>T</w:t>
      </w:r>
      <w:r w:rsidR="00D835E4" w:rsidRPr="008A3126">
        <w:t>he proposed rate increase for each plan can vary for items allowable by state and Federal laws and regulations.</w:t>
      </w:r>
      <w:r>
        <w:t xml:space="preserve"> </w:t>
      </w:r>
      <w:r w:rsidR="00D835E4" w:rsidRPr="008A3126">
        <w:t xml:space="preserve"> </w:t>
      </w:r>
      <w:r>
        <w:t>All</w:t>
      </w:r>
      <w:r w:rsidR="00D835E4" w:rsidRPr="008A3126">
        <w:t xml:space="preserve"> information input into the </w:t>
      </w:r>
      <w:r w:rsidR="00B4143A">
        <w:t>URRT</w:t>
      </w:r>
      <w:r w:rsidR="00D835E4" w:rsidRPr="008A3126">
        <w:t xml:space="preserve"> for each plan must reflect experience or best estimate projections for each specific plan. </w:t>
      </w:r>
      <w:r>
        <w:t xml:space="preserve"> </w:t>
      </w:r>
      <w:r w:rsidR="00D835E4" w:rsidRPr="008A3126">
        <w:t xml:space="preserve">For example, projected member months must reflect the issuer’s best estimate of expected enrollment in each plan. With the exception of terminated plans, no plan should have expected membership of zero. </w:t>
      </w:r>
      <w:r w:rsidR="0003790E">
        <w:t xml:space="preserve"> </w:t>
      </w:r>
      <w:r w:rsidR="00D835E4" w:rsidRPr="008A3126">
        <w:t xml:space="preserve">If </w:t>
      </w:r>
      <w:proofErr w:type="spellStart"/>
      <w:r w:rsidR="00D835E4" w:rsidRPr="008A3126">
        <w:t>zeros</w:t>
      </w:r>
      <w:proofErr w:type="spellEnd"/>
      <w:r w:rsidR="00D835E4" w:rsidRPr="008A3126">
        <w:t xml:space="preserve"> are entered in </w:t>
      </w:r>
      <w:r w:rsidR="00627B09">
        <w:t xml:space="preserve">these cells of </w:t>
      </w:r>
      <w:r w:rsidR="00D835E4" w:rsidRPr="008A3126">
        <w:t xml:space="preserve">the </w:t>
      </w:r>
      <w:r w:rsidR="00627B09">
        <w:t>URRT</w:t>
      </w:r>
      <w:r w:rsidR="00D835E4" w:rsidRPr="008A3126">
        <w:t>, an issuer may be required to resubmit the template which may cause delays in the rate review and approval process.</w:t>
      </w:r>
    </w:p>
    <w:p w14:paraId="0B2588C6" w14:textId="268DEBC4" w:rsidR="00D835E4" w:rsidRPr="008A3126" w:rsidRDefault="00D835E4" w:rsidP="00D835E4">
      <w:r w:rsidRPr="008A3126">
        <w:rPr>
          <w:b/>
        </w:rPr>
        <w:t>Inpatient:</w:t>
      </w:r>
      <w:r w:rsidRPr="008A3126">
        <w:t xml:space="preserve">  Enter the portion of the increase in the premium rate that corresponds to benefits provided for inpatient services for each plan. </w:t>
      </w:r>
      <w:r w:rsidR="0003790E">
        <w:t xml:space="preserve"> </w:t>
      </w:r>
      <w:r w:rsidRPr="008A3126">
        <w:t>See the instructions for Worksheet 1, Section II for the definition of Inpatient Hospital services.</w:t>
      </w:r>
    </w:p>
    <w:p w14:paraId="39FCD98A" w14:textId="3E406433" w:rsidR="00D835E4" w:rsidRPr="008A3126" w:rsidRDefault="00D835E4" w:rsidP="00D835E4">
      <w:r w:rsidRPr="008A3126">
        <w:rPr>
          <w:b/>
        </w:rPr>
        <w:t>Outpatient:</w:t>
      </w:r>
      <w:r w:rsidRPr="008A3126">
        <w:t xml:space="preserve"> Enter the portion of the increase in the premium rate that corresponds to benefits provided for outpatient services for each plan.</w:t>
      </w:r>
      <w:r w:rsidR="0003790E">
        <w:t xml:space="preserve"> </w:t>
      </w:r>
      <w:r w:rsidRPr="008A3126">
        <w:t>See the instructions for Worksheet 1, Section II for the definition of Outpatient Hospital services.</w:t>
      </w:r>
    </w:p>
    <w:p w14:paraId="34325328" w14:textId="1D9F9CFE" w:rsidR="00D835E4" w:rsidRPr="008A3126" w:rsidRDefault="00D835E4" w:rsidP="00D835E4">
      <w:r w:rsidRPr="008A3126">
        <w:rPr>
          <w:b/>
        </w:rPr>
        <w:t>Professional:</w:t>
      </w:r>
      <w:r w:rsidRPr="008A3126">
        <w:t xml:space="preserve"> Enter the portion of the increase in the premium rate that corresponds to benefits provided for professional services for each plan. </w:t>
      </w:r>
      <w:r w:rsidR="0003790E">
        <w:t xml:space="preserve"> </w:t>
      </w:r>
      <w:r w:rsidRPr="008A3126">
        <w:t>See the instructions for Worksheet 1, Section II for the definition of Professional services.</w:t>
      </w:r>
    </w:p>
    <w:p w14:paraId="09ACFF13" w14:textId="08BDCFEF" w:rsidR="00D835E4" w:rsidRPr="008A3126" w:rsidRDefault="00D835E4" w:rsidP="00D835E4">
      <w:r w:rsidRPr="008A3126">
        <w:rPr>
          <w:b/>
        </w:rPr>
        <w:t>Prescription Drugs:</w:t>
      </w:r>
      <w:r w:rsidRPr="008A3126">
        <w:t xml:space="preserve"> Enter the portion of the increase in the premium rate that corresponds to benefits provided for prescription drugs for each plan. </w:t>
      </w:r>
      <w:r w:rsidR="0003790E">
        <w:t xml:space="preserve"> </w:t>
      </w:r>
      <w:r w:rsidRPr="008A3126">
        <w:t>See the instructions for Worksheet 1, Section II for the definition of Prescription Drug services.</w:t>
      </w:r>
    </w:p>
    <w:p w14:paraId="4CC231B3" w14:textId="0391D249" w:rsidR="00D835E4" w:rsidRPr="008A3126" w:rsidRDefault="00D835E4" w:rsidP="00D835E4">
      <w:r w:rsidRPr="008A3126">
        <w:rPr>
          <w:b/>
        </w:rPr>
        <w:t>Other:</w:t>
      </w:r>
      <w:r w:rsidRPr="008A3126">
        <w:t xml:space="preserve"> Enter the portion of the increase in the premium rate that corresponds to benefits provided for services defined in the “other” benefit category for each plan. </w:t>
      </w:r>
      <w:r w:rsidR="0003790E">
        <w:t xml:space="preserve"> </w:t>
      </w:r>
      <w:r w:rsidRPr="008A3126">
        <w:t>See the instructions for Worksheet 1, Section II for the definition of Other Medical services.</w:t>
      </w:r>
    </w:p>
    <w:p w14:paraId="50F989E6" w14:textId="36EF53DA" w:rsidR="00D835E4" w:rsidRPr="008A3126" w:rsidRDefault="00D835E4" w:rsidP="00D835E4">
      <w:r w:rsidRPr="008A3126">
        <w:rPr>
          <w:b/>
        </w:rPr>
        <w:t>Capitation:</w:t>
      </w:r>
      <w:r w:rsidRPr="008A3126">
        <w:t xml:space="preserve"> Enter the portion of the increase in the premium rate that corresponds to benefits provided for services defined under capitation for each plan. </w:t>
      </w:r>
      <w:r w:rsidR="0003790E">
        <w:t xml:space="preserve"> </w:t>
      </w:r>
      <w:r w:rsidRPr="008A3126">
        <w:t>See the instructions for Worksheet 1, Section II for the definition of Capitation.</w:t>
      </w:r>
    </w:p>
    <w:p w14:paraId="102C2FA6" w14:textId="2CC9A598" w:rsidR="00D835E4" w:rsidRPr="008A3126" w:rsidRDefault="00D835E4" w:rsidP="00D835E4">
      <w:r w:rsidRPr="008A3126">
        <w:rPr>
          <w:b/>
        </w:rPr>
        <w:t>Administrative Expenses:</w:t>
      </w:r>
      <w:r w:rsidRPr="008A3126">
        <w:t xml:space="preserve"> Enter the portion of the increase in the premium rate that corresponds to administrative expenses incorporated in the premium rates for each plan.</w:t>
      </w:r>
      <w:r w:rsidR="0003790E">
        <w:t xml:space="preserve"> </w:t>
      </w:r>
      <w:r w:rsidRPr="008A3126">
        <w:t xml:space="preserve"> See the instructions for Worksheet 1, Section III for the definition of Administrative Expense Load.</w:t>
      </w:r>
    </w:p>
    <w:p w14:paraId="0A2CA6C9" w14:textId="479C3063" w:rsidR="00D835E4" w:rsidRPr="008A3126" w:rsidRDefault="00D835E4" w:rsidP="00D835E4">
      <w:r w:rsidRPr="008A3126">
        <w:rPr>
          <w:b/>
        </w:rPr>
        <w:t>Taxes &amp; Fees:</w:t>
      </w:r>
      <w:r w:rsidRPr="008A3126">
        <w:t xml:space="preserve"> Enter the portion of the increase in the premium rate that corresponds to the taxes and fees incorporated in the premium rates for each plan. Also include expected changes in the payments and charges under the risk adjustment and reinsurance programs, in addition to the administrative costs associated with these programs. Since the total rate increase is affected by changes in anticipated transfer payments, these </w:t>
      </w:r>
      <w:r w:rsidR="00A748DC">
        <w:t>must</w:t>
      </w:r>
      <w:r w:rsidRPr="008A3126">
        <w:t xml:space="preserve"> be reflected in order for the total to be calculated correctly.</w:t>
      </w:r>
    </w:p>
    <w:p w14:paraId="6E071853" w14:textId="77777777" w:rsidR="00D835E4" w:rsidRPr="008A3126" w:rsidRDefault="00D835E4" w:rsidP="00D835E4">
      <w:r w:rsidRPr="008A3126">
        <w:rPr>
          <w:b/>
        </w:rPr>
        <w:t>Risk &amp; Profit Charges:</w:t>
      </w:r>
      <w:r w:rsidRPr="008A3126">
        <w:t xml:space="preserve"> Enter the portion of the increase in the premium rate that corresponds to the risk and profit charges incorporated in the premium rates for each plan. See the instructions for Worksheet 1, Section III for the definition of Profit &amp; Risk Load.</w:t>
      </w:r>
    </w:p>
    <w:p w14:paraId="213D27E8" w14:textId="77777777" w:rsidR="00D835E4" w:rsidRPr="008A3126" w:rsidRDefault="00D835E4" w:rsidP="00D835E4">
      <w:r w:rsidRPr="008A3126">
        <w:rPr>
          <w:b/>
        </w:rPr>
        <w:t>Total Rate Increase:</w:t>
      </w:r>
      <w:r w:rsidRPr="008A3126">
        <w:t xml:space="preserve"> This is a calculated field and equals the sum of the benefit categories, administrative expenses and the risk and profit charges for each plan. It should equal the difference between the projected Average Current </w:t>
      </w:r>
      <w:r w:rsidRPr="00674068">
        <w:t>Rate PMPM</w:t>
      </w:r>
      <w:r w:rsidRPr="008A3126">
        <w:t xml:space="preserve"> * (1 + Rate Change % (over prior filing))</w:t>
      </w:r>
      <w:r w:rsidRPr="00674068">
        <w:t xml:space="preserve"> and the </w:t>
      </w:r>
      <w:r w:rsidRPr="008A3126">
        <w:t xml:space="preserve">Average Current Rate PMPM. </w:t>
      </w:r>
    </w:p>
    <w:p w14:paraId="4230BD95" w14:textId="690BD34B" w:rsidR="00D835E4" w:rsidRPr="008A3126" w:rsidRDefault="00D835E4" w:rsidP="00D835E4">
      <w:r w:rsidRPr="008A3126">
        <w:rPr>
          <w:b/>
        </w:rPr>
        <w:t>Member Cost Share Increase:</w:t>
      </w:r>
      <w:r w:rsidRPr="008A3126">
        <w:t xml:space="preserve"> Enter the expected increase in the member’s </w:t>
      </w:r>
      <w:r w:rsidR="006900FC">
        <w:t>cost-sharing</w:t>
      </w:r>
      <w:r w:rsidRPr="008A3126">
        <w:t xml:space="preserve"> portion from the period underlying the current rate for the plan to the projected rating period of the plan. This includes </w:t>
      </w:r>
      <w:r w:rsidR="006900FC">
        <w:t>cost-sharing</w:t>
      </w:r>
      <w:r w:rsidRPr="008A3126">
        <w:t xml:space="preserve"> paid by HHS on behalf of low-income members.</w:t>
      </w:r>
    </w:p>
    <w:p w14:paraId="62E5CFD9" w14:textId="707D298C" w:rsidR="00D835E4" w:rsidRPr="008A3126" w:rsidRDefault="00D835E4" w:rsidP="00D835E4">
      <w:pPr>
        <w:ind w:left="720"/>
      </w:pPr>
      <w:r w:rsidRPr="008A3126">
        <w:t xml:space="preserve">This might reflect the impact of trend on coinsurance, for example. This would not include any increase in the member’s cost associated with the increase in premium rates. </w:t>
      </w:r>
    </w:p>
    <w:p w14:paraId="2563A60E" w14:textId="5FA4A06B" w:rsidR="00D835E4" w:rsidRPr="008A3126" w:rsidRDefault="00D835E4" w:rsidP="00D835E4">
      <w:r w:rsidRPr="008A3126">
        <w:rPr>
          <w:b/>
        </w:rPr>
        <w:t>Average Current Rate PMPM:</w:t>
      </w:r>
      <w:r w:rsidRPr="008A3126">
        <w:t xml:space="preserve"> Enter the average premium rate on a per member basis for each plan for the most recently approved rates. </w:t>
      </w:r>
    </w:p>
    <w:p w14:paraId="7AE621FA" w14:textId="3225A738" w:rsidR="00D835E4" w:rsidRPr="00674068" w:rsidRDefault="00D835E4" w:rsidP="00D835E4">
      <w:pPr>
        <w:ind w:left="720"/>
      </w:pPr>
      <w:r w:rsidRPr="008A3126">
        <w:t>The Average Current Rate PMPM should be generated using the current</w:t>
      </w:r>
      <w:r w:rsidRPr="00674068">
        <w:t xml:space="preserve"> membership</w:t>
      </w:r>
      <w:r w:rsidRPr="008A3126">
        <w:t xml:space="preserve"> distribution by age, geographic area, and tobacco status</w:t>
      </w:r>
      <w:r w:rsidRPr="00674068">
        <w:t>.</w:t>
      </w:r>
    </w:p>
    <w:p w14:paraId="69B26B2E" w14:textId="33C2664B" w:rsidR="00D835E4" w:rsidRPr="008A3126" w:rsidRDefault="00D835E4" w:rsidP="00D835E4">
      <w:pPr>
        <w:ind w:left="720"/>
      </w:pPr>
      <w:r w:rsidRPr="008A3126">
        <w:t>In the case of small group rates where a trend factor is filed and approved, the Average Current Rate PMPM should reflect the latest approved rate</w:t>
      </w:r>
      <w:r w:rsidR="00A335C9">
        <w:t>, or the rates that are currently under review by the applicable regulatory agency, or are anticipated to be submitted</w:t>
      </w:r>
      <w:r w:rsidRPr="008A3126">
        <w:t>.  For example, assume the current rates were filed for effective dates between January and December with a quarterly trend factor. The current rates that should be entered in the rate filing would be the rates with effective dates October through December.</w:t>
      </w:r>
    </w:p>
    <w:p w14:paraId="7CC6AB2F" w14:textId="79000C92" w:rsidR="00D835E4" w:rsidRPr="008A3126" w:rsidRDefault="00D835E4" w:rsidP="00D835E4">
      <w:pPr>
        <w:ind w:left="720"/>
      </w:pPr>
      <w:r w:rsidRPr="008A3126">
        <w:t xml:space="preserve">For new plans </w:t>
      </w:r>
      <w:r w:rsidR="004375A0">
        <w:t>without mapped enrollment</w:t>
      </w:r>
      <w:r w:rsidR="00E712E8">
        <w:t>,</w:t>
      </w:r>
      <w:r w:rsidRPr="008A3126">
        <w:t xml:space="preserve"> </w:t>
      </w:r>
      <w:r w:rsidR="00EE6594">
        <w:t xml:space="preserve">leave this field blank. </w:t>
      </w:r>
      <w:r w:rsidR="004375A0">
        <w:t xml:space="preserve"> For new plans with mapped enrollment, enter the Average Current Rate PMPM of the mapped plans.  </w:t>
      </w:r>
      <w:r w:rsidR="00EE6594">
        <w:t xml:space="preserve">It is understood that the calculated Average Current Rate PMPM across all plans </w:t>
      </w:r>
      <w:r w:rsidR="004375A0">
        <w:t>may</w:t>
      </w:r>
      <w:r w:rsidR="00EE6594">
        <w:t xml:space="preserve"> be understated because the new plans </w:t>
      </w:r>
      <w:r w:rsidR="004375A0">
        <w:t xml:space="preserve">without mapped enrollment </w:t>
      </w:r>
      <w:r w:rsidR="00EE6594">
        <w:t xml:space="preserve">will be assigned positive weight based on the projected enrollment and a current rate of zero. </w:t>
      </w:r>
      <w:r w:rsidRPr="008A3126">
        <w:t>In fact, any time the Projected Member Months have a different distribution across plans than the current distribution, the Average Current Rate PMPM will not represent the true current average rate.</w:t>
      </w:r>
    </w:p>
    <w:p w14:paraId="6CA2245B" w14:textId="424391B5" w:rsidR="00D835E4" w:rsidRPr="008A3126" w:rsidRDefault="00D835E4" w:rsidP="00D835E4">
      <w:r w:rsidRPr="008A3126">
        <w:rPr>
          <w:b/>
        </w:rPr>
        <w:t>Projected Member Months:</w:t>
      </w:r>
      <w:r w:rsidRPr="008A3126">
        <w:t xml:space="preserve"> Enter the projected member months by plan that correspond to the effective period of the rates for each plan. See the instructions for Worksheet 1, Section I</w:t>
      </w:r>
      <w:r w:rsidR="004375A0">
        <w:t>I</w:t>
      </w:r>
      <w:r w:rsidRPr="008A3126">
        <w:t>I for the definition of Projected Member Months. The sum of the Projected Member Months for each of the plans should equal the Projected Member Months on Worksheet 1.</w:t>
      </w:r>
    </w:p>
    <w:p w14:paraId="2359A1AF" w14:textId="3539A864" w:rsidR="00D835E4" w:rsidRPr="008A3126" w:rsidRDefault="004A6E0F" w:rsidP="00D835E4">
      <w:pPr>
        <w:ind w:left="720"/>
      </w:pPr>
      <w:r>
        <w:rPr>
          <w:noProof/>
        </w:rPr>
        <mc:AlternateContent>
          <mc:Choice Requires="wps">
            <w:drawing>
              <wp:anchor distT="228600" distB="228600" distL="228600" distR="228600" simplePos="0" relativeHeight="251659776" behindDoc="1" locked="0" layoutInCell="1" allowOverlap="1" wp14:anchorId="7B743986" wp14:editId="053F7F5F">
                <wp:simplePos x="0" y="0"/>
                <wp:positionH relativeFrom="margin">
                  <wp:posOffset>8890</wp:posOffset>
                </wp:positionH>
                <wp:positionV relativeFrom="margin">
                  <wp:posOffset>3219145</wp:posOffset>
                </wp:positionV>
                <wp:extent cx="2340610" cy="950595"/>
                <wp:effectExtent l="0" t="0" r="2540" b="1905"/>
                <wp:wrapSquare wrapText="bothSides"/>
                <wp:docPr id="18" name="Text Box 18"/>
                <wp:cNvGraphicFramePr/>
                <a:graphic xmlns:a="http://schemas.openxmlformats.org/drawingml/2006/main">
                  <a:graphicData uri="http://schemas.microsoft.com/office/word/2010/wordprocessingShape">
                    <wps:wsp>
                      <wps:cNvSpPr txBox="1"/>
                      <wps:spPr>
                        <a:xfrm>
                          <a:off x="0" y="0"/>
                          <a:ext cx="2340610" cy="950595"/>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1F56C5EC" w14:textId="21F0ED7D" w:rsidR="00634A44" w:rsidRPr="00B616D2" w:rsidRDefault="00634A44" w:rsidP="00E575AA">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Only terminated plans should have projected membership of zero.</w:t>
                            </w:r>
                          </w:p>
                          <w:sdt>
                            <w:sdtPr>
                              <w:rPr>
                                <w:color w:val="1F497D" w:themeColor="text2"/>
                                <w:sz w:val="18"/>
                                <w:szCs w:val="18"/>
                              </w:rPr>
                              <w:id w:val="-1730988315"/>
                              <w:temporary/>
                              <w:showingPlcHdr/>
                              <w:text w:multiLine="1"/>
                            </w:sdtPr>
                            <w:sdtEndPr/>
                            <w:sdtContent>
                              <w:p w14:paraId="5EF3C1FA" w14:textId="77777777" w:rsidR="00634A44" w:rsidRDefault="00634A44" w:rsidP="00E575AA">
                                <w:pPr>
                                  <w:pStyle w:val="NoSpacing"/>
                                  <w:jc w:val="center"/>
                                  <w:rPr>
                                    <w:color w:val="1F497D" w:themeColor="text2"/>
                                    <w:sz w:val="18"/>
                                    <w:szCs w:val="18"/>
                                  </w:rPr>
                                </w:pPr>
                                <w:r>
                                  <w:rPr>
                                    <w:color w:val="1F497D"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43986" id="Text Box 18" o:spid="_x0000_s1038" type="#_x0000_t202" style="position:absolute;left:0;text-align:left;margin-left:.7pt;margin-top:253.5pt;width:184.3pt;height:74.85pt;z-index:-251656704;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" stroked="f" strokeweight=".5pt">
                <v:fill color2="#eae7d8" rotate="t" focusposition=".5,.5" focussize="-.5,-.5" focus="100%" type="gradientRadial"/>
                <v:textbox inset="14.4pt,14.4pt,14.4pt,14.4pt">
                  <w:txbxContent>
                    <w:p w14:paraId="1F56C5EC" w14:textId="21F0ED7D" w:rsidR="00634A44" w:rsidRPr="00B616D2" w:rsidRDefault="00634A44" w:rsidP="00E575AA">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Only terminated plans should have projected membership of zero.</w:t>
                      </w:r>
                    </w:p>
                    <w:sdt>
                      <w:sdtPr>
                        <w:rPr>
                          <w:color w:val="1F497D" w:themeColor="text2"/>
                          <w:sz w:val="18"/>
                          <w:szCs w:val="18"/>
                        </w:rPr>
                        <w:id w:val="-1730988315"/>
                        <w:temporary/>
                        <w:showingPlcHdr/>
                        <w:text w:multiLine="1"/>
                      </w:sdtPr>
                      <w:sdtContent>
                        <w:p w14:paraId="5EF3C1FA" w14:textId="77777777" w:rsidR="00634A44" w:rsidRDefault="00634A44" w:rsidP="00E575AA">
                          <w:pPr>
                            <w:pStyle w:val="NoSpacing"/>
                            <w:jc w:val="center"/>
                            <w:rPr>
                              <w:color w:val="1F497D" w:themeColor="text2"/>
                              <w:sz w:val="18"/>
                              <w:szCs w:val="18"/>
                            </w:rPr>
                          </w:pPr>
                          <w:r>
                            <w:rPr>
                              <w:color w:val="1F497D" w:themeColor="text2"/>
                              <w:sz w:val="18"/>
                              <w:szCs w:val="18"/>
                            </w:rPr>
                            <w:t>[Cite your source here.]</w:t>
                          </w:r>
                        </w:p>
                      </w:sdtContent>
                    </w:sdt>
                  </w:txbxContent>
                </v:textbox>
                <w10:wrap type="square" anchorx="margin" anchory="margin"/>
              </v:shape>
            </w:pict>
          </mc:Fallback>
        </mc:AlternateContent>
      </w:r>
      <w:r w:rsidR="00D835E4" w:rsidRPr="008A3126">
        <w:t xml:space="preserve">The total Member Months in the </w:t>
      </w:r>
      <w:r w:rsidR="00D315F2">
        <w:t>P</w:t>
      </w:r>
      <w:r w:rsidR="00D835E4" w:rsidRPr="008A3126">
        <w:t xml:space="preserve">rojection </w:t>
      </w:r>
      <w:r w:rsidR="00D315F2">
        <w:t>P</w:t>
      </w:r>
      <w:r w:rsidR="00D835E4" w:rsidRPr="008A3126">
        <w:t>eriod should be consistent with the Projected Member Months entered in Section III of Worksheet 1. However, the member months may differ if there are different effective dates for the products/plans. The template includes a “Warning” indicator if there is a significant difference between the member months found in Worksheet 1 and in Worksheet 2. In these cases, support for the member months in both worksheets should be documented in the Part III Actuarial Memorandum.</w:t>
      </w:r>
    </w:p>
    <w:p w14:paraId="409C7C55" w14:textId="36956126" w:rsidR="00D835E4" w:rsidRPr="008A3126" w:rsidRDefault="005478BA" w:rsidP="00D835E4">
      <w:pPr>
        <w:ind w:left="720"/>
      </w:pPr>
      <w:r>
        <w:t>P</w:t>
      </w:r>
      <w:r w:rsidR="00D835E4" w:rsidRPr="008A3126">
        <w:t>rojected member months entered in the template must reflect an issuer’s best estimate of projected enrollment for that specific plan.  With the exception of terminated plans, the projected member months for a plan should not be zero. If the projected membership does not meet this criteri</w:t>
      </w:r>
      <w:r w:rsidR="00285E0C">
        <w:t>on</w:t>
      </w:r>
      <w:r w:rsidR="00D835E4" w:rsidRPr="008A3126">
        <w:t xml:space="preserve">, issuers may be required to resubmit the </w:t>
      </w:r>
      <w:r w:rsidR="00D424AE">
        <w:t>URRT</w:t>
      </w:r>
      <w:r w:rsidR="00D835E4" w:rsidRPr="008A3126">
        <w:t xml:space="preserve"> which may cause delays in the rate review process.</w:t>
      </w:r>
    </w:p>
    <w:p w14:paraId="4E5AA6D7" w14:textId="343FB603" w:rsidR="00D835E4" w:rsidRPr="008A3126" w:rsidRDefault="00D835E4" w:rsidP="00926D0E">
      <w:pPr>
        <w:pStyle w:val="Heading3"/>
      </w:pPr>
      <w:bookmarkStart w:id="312" w:name="_Toc410468941"/>
      <w:bookmarkStart w:id="313" w:name="_Toc410525295"/>
      <w:bookmarkStart w:id="314" w:name="_Toc410525383"/>
      <w:bookmarkStart w:id="315" w:name="_Toc410588821"/>
      <w:bookmarkStart w:id="316" w:name="_Toc411866092"/>
      <w:bookmarkStart w:id="317" w:name="_Toc411866610"/>
      <w:bookmarkStart w:id="318" w:name="_Toc412032781"/>
      <w:bookmarkStart w:id="319" w:name="_Toc411936253"/>
      <w:bookmarkStart w:id="320" w:name="_Toc412287663"/>
      <w:bookmarkStart w:id="321" w:name="_Toc441756507"/>
      <w:r w:rsidRPr="008A3126">
        <w:t>Section III: Experience Period Information</w:t>
      </w:r>
      <w:bookmarkEnd w:id="312"/>
      <w:bookmarkEnd w:id="313"/>
      <w:bookmarkEnd w:id="314"/>
      <w:bookmarkEnd w:id="315"/>
      <w:bookmarkEnd w:id="316"/>
      <w:bookmarkEnd w:id="317"/>
      <w:bookmarkEnd w:id="318"/>
      <w:bookmarkEnd w:id="319"/>
      <w:bookmarkEnd w:id="320"/>
      <w:bookmarkEnd w:id="321"/>
    </w:p>
    <w:p w14:paraId="06BF5768" w14:textId="22CDD46E" w:rsidR="00D835E4" w:rsidRPr="008A3126" w:rsidRDefault="00D835E4" w:rsidP="00D835E4">
      <w:pPr>
        <w:keepNext/>
      </w:pPr>
      <w:r w:rsidRPr="00674068">
        <w:t>The information shown in this section captures the historical data for the twelve</w:t>
      </w:r>
      <w:r w:rsidR="00285E0C">
        <w:t>-</w:t>
      </w:r>
      <w:r w:rsidRPr="00674068">
        <w:t xml:space="preserve">month period used in the base period experience. This should be the same time period as the </w:t>
      </w:r>
      <w:r w:rsidRPr="008A3126">
        <w:t>Experience Period found in Worksheet 1. See the instructions for Worksheet 1 for the definition of the Experience Period.</w:t>
      </w:r>
    </w:p>
    <w:p w14:paraId="201F6459" w14:textId="301211AB" w:rsidR="00D835E4" w:rsidRPr="008A3126" w:rsidRDefault="00D835E4" w:rsidP="00D835E4">
      <w:r w:rsidRPr="008A3126">
        <w:t xml:space="preserve">For small group submissions, the information in this section, except where noted, should reflect the </w:t>
      </w:r>
      <w:r w:rsidR="000D2F18">
        <w:t>E</w:t>
      </w:r>
      <w:r w:rsidRPr="008A3126">
        <w:t xml:space="preserve">xperience </w:t>
      </w:r>
      <w:r w:rsidR="000D2F18">
        <w:t>P</w:t>
      </w:r>
      <w:r w:rsidRPr="008A3126">
        <w:t xml:space="preserve">eriod data on Worksheet 1. For example, if the </w:t>
      </w:r>
      <w:r w:rsidR="000D2F18">
        <w:t>E</w:t>
      </w:r>
      <w:r w:rsidRPr="008A3126">
        <w:t xml:space="preserve">xperience </w:t>
      </w:r>
      <w:r w:rsidR="000D2F18">
        <w:t>P</w:t>
      </w:r>
      <w:r w:rsidRPr="008A3126">
        <w:t>eriod on W</w:t>
      </w:r>
      <w:r w:rsidR="005478BA">
        <w:t>orksheet 1 is calendar year 2015</w:t>
      </w:r>
      <w:r w:rsidRPr="008A3126">
        <w:t xml:space="preserve">, the information on this section should be </w:t>
      </w:r>
      <w:r w:rsidR="000D2F18">
        <w:t xml:space="preserve">from </w:t>
      </w:r>
      <w:r w:rsidR="005478BA">
        <w:t>calendar year 2015</w:t>
      </w:r>
      <w:r w:rsidRPr="008A3126">
        <w:t>.</w:t>
      </w:r>
    </w:p>
    <w:p w14:paraId="6F597449" w14:textId="1C0FCDBA" w:rsidR="00D835E4" w:rsidRPr="008A3126" w:rsidRDefault="00D835E4" w:rsidP="00D835E4">
      <w:r w:rsidRPr="008A3126">
        <w:rPr>
          <w:b/>
        </w:rPr>
        <w:t>Plan Adjusted Index</w:t>
      </w:r>
      <w:r w:rsidRPr="00674068">
        <w:rPr>
          <w:b/>
        </w:rPr>
        <w:t xml:space="preserve"> Rate PMPM:</w:t>
      </w:r>
      <w:r w:rsidRPr="00674068">
        <w:t xml:space="preserve">  Enter the </w:t>
      </w:r>
      <w:r w:rsidRPr="008A3126">
        <w:t>Plan Adjusted Index Rate</w:t>
      </w:r>
      <w:r w:rsidRPr="00674068">
        <w:t xml:space="preserve"> PMPM for each plan during the </w:t>
      </w:r>
      <w:r w:rsidR="000D2F18">
        <w:t>E</w:t>
      </w:r>
      <w:r w:rsidRPr="00674068">
        <w:t xml:space="preserve">xperience </w:t>
      </w:r>
      <w:r w:rsidR="000D2F18">
        <w:t>P</w:t>
      </w:r>
      <w:r w:rsidRPr="00674068">
        <w:t xml:space="preserve">eriod.  The average should be generated using membership consistent with the </w:t>
      </w:r>
      <w:r w:rsidRPr="008A3126">
        <w:t>Experience Period for each plan.</w:t>
      </w:r>
    </w:p>
    <w:p w14:paraId="55CEF913" w14:textId="6D9DEB0E" w:rsidR="00D835E4" w:rsidRPr="008A3126" w:rsidRDefault="00D835E4" w:rsidP="00D835E4">
      <w:pPr>
        <w:ind w:left="720"/>
      </w:pPr>
      <w:r w:rsidRPr="008A3126">
        <w:t xml:space="preserve">The Plan Adjusted Index Rate of the </w:t>
      </w:r>
      <w:r w:rsidR="000D2F18">
        <w:t>E</w:t>
      </w:r>
      <w:r w:rsidRPr="008A3126">
        <w:t xml:space="preserve">xperience </w:t>
      </w:r>
      <w:r w:rsidR="000D2F18">
        <w:t>P</w:t>
      </w:r>
      <w:r w:rsidRPr="008A3126">
        <w:t>eriod is the Market Adjusted Index Rate of the experience period (defined in the introduction of these instructions) further adjusted for plan specific factors allowable by 45 CFR 156.80(d</w:t>
      </w:r>
      <w:proofErr w:type="gramStart"/>
      <w:r w:rsidRPr="008A3126">
        <w:t>)(</w:t>
      </w:r>
      <w:proofErr w:type="gramEnd"/>
      <w:r w:rsidRPr="008A3126">
        <w:t xml:space="preserve">2) such as provider network, utilization management, benefits </w:t>
      </w:r>
      <w:r w:rsidR="0095702D">
        <w:t>that are not EHB</w:t>
      </w:r>
      <w:r w:rsidRPr="008A3126">
        <w:t xml:space="preserve">, </w:t>
      </w:r>
      <w:r w:rsidR="00175AC6">
        <w:t>AV</w:t>
      </w:r>
      <w:r w:rsidRPr="008A3126">
        <w:t xml:space="preserve"> and </w:t>
      </w:r>
      <w:r w:rsidR="006900FC">
        <w:t>cost-sharing</w:t>
      </w:r>
      <w:r w:rsidRPr="008A3126">
        <w:t xml:space="preserve">, distribution and administrative costs (less </w:t>
      </w:r>
      <w:r w:rsidR="00DE6C09">
        <w:t>Marketplace</w:t>
      </w:r>
      <w:r w:rsidRPr="008A3126">
        <w:t xml:space="preserve"> fees) and catastrophic plan eligibility variation.</w:t>
      </w:r>
    </w:p>
    <w:p w14:paraId="00361EC1" w14:textId="7BD43A1C" w:rsidR="00D835E4" w:rsidRPr="008A3126" w:rsidRDefault="00D835E4" w:rsidP="00D835E4">
      <w:pPr>
        <w:ind w:left="720"/>
      </w:pPr>
      <w:r w:rsidRPr="008A3126">
        <w:t xml:space="preserve">The Plan Adjusted Index Rate entered should be the Plan Adjusted Index Rate that was filed for the </w:t>
      </w:r>
      <w:r w:rsidR="000D2F18">
        <w:t>E</w:t>
      </w:r>
      <w:r w:rsidRPr="008A3126">
        <w:t xml:space="preserve">xperience </w:t>
      </w:r>
      <w:r w:rsidR="000D2F18">
        <w:t>P</w:t>
      </w:r>
      <w:r w:rsidR="005478BA">
        <w:t>eriod.</w:t>
      </w:r>
    </w:p>
    <w:p w14:paraId="37468537" w14:textId="4512371B" w:rsidR="00D835E4" w:rsidRPr="008A3126" w:rsidRDefault="00D835E4" w:rsidP="00D835E4">
      <w:pPr>
        <w:ind w:left="720"/>
      </w:pPr>
      <w:r w:rsidRPr="00674068">
        <w:t xml:space="preserve">It is anticipated that the overall </w:t>
      </w:r>
      <w:r w:rsidRPr="008A3126">
        <w:t>Plan Adjusted Index</w:t>
      </w:r>
      <w:r w:rsidRPr="00674068">
        <w:t xml:space="preserve"> Rate PMPM during the Experience Period </w:t>
      </w:r>
      <w:r w:rsidRPr="008A3126">
        <w:t>may not</w:t>
      </w:r>
      <w:r w:rsidRPr="00674068">
        <w:t xml:space="preserve"> be similar to the average premium rate found in Section I of Worksheet 1</w:t>
      </w:r>
      <w:r w:rsidRPr="008A3126">
        <w:t xml:space="preserve"> due to differences in the distribution of ages, geography and benefits that was projected when the issuer was developing rates versus what actually emerged. However, the</w:t>
      </w:r>
      <w:r w:rsidRPr="00674068">
        <w:t xml:space="preserve"> template includes a “Warning” indicator if there is a significant difference be</w:t>
      </w:r>
      <w:r w:rsidRPr="008A3126">
        <w:t xml:space="preserve">tween the average premiums on the two worksheets. If the </w:t>
      </w:r>
      <w:r w:rsidR="00C237BA">
        <w:t>w</w:t>
      </w:r>
      <w:r w:rsidRPr="008A3126">
        <w:t xml:space="preserve">arning is </w:t>
      </w:r>
      <w:r w:rsidR="00C237BA">
        <w:t>trigger</w:t>
      </w:r>
      <w:r w:rsidRPr="008A3126">
        <w:t>ed, additional information should be provided in the Actuarial Memorandum that explains the differential.</w:t>
      </w:r>
    </w:p>
    <w:p w14:paraId="2771642D" w14:textId="722F3D96" w:rsidR="00100C15" w:rsidRDefault="00D835E4" w:rsidP="00D835E4">
      <w:pPr>
        <w:ind w:left="720"/>
      </w:pPr>
      <w:r w:rsidRPr="008A3126">
        <w:t xml:space="preserve">For small group filings, the Plan Adjusted Index Rate </w:t>
      </w:r>
      <w:r w:rsidR="00100C15">
        <w:t>in the Experience Period should be entered using the following approach:</w:t>
      </w:r>
    </w:p>
    <w:p w14:paraId="441CE85E" w14:textId="318F017C" w:rsidR="00100C15" w:rsidRDefault="00100C15" w:rsidP="009D2B17">
      <w:pPr>
        <w:pStyle w:val="ListParagraph"/>
        <w:numPr>
          <w:ilvl w:val="0"/>
          <w:numId w:val="46"/>
        </w:numPr>
      </w:pPr>
      <w:r>
        <w:t xml:space="preserve">Annual rate filings: please enter the Plan Adjusted Index Rate filed </w:t>
      </w:r>
      <w:r w:rsidR="00EE6594">
        <w:t>during the Exp</w:t>
      </w:r>
      <w:r w:rsidR="005478BA">
        <w:t>erience Period.</w:t>
      </w:r>
    </w:p>
    <w:p w14:paraId="240B25B5" w14:textId="3884AD63" w:rsidR="00D835E4" w:rsidRPr="008A3126" w:rsidRDefault="00EE6594" w:rsidP="009D2B17">
      <w:pPr>
        <w:pStyle w:val="ListParagraph"/>
        <w:numPr>
          <w:ilvl w:val="0"/>
          <w:numId w:val="46"/>
        </w:numPr>
      </w:pPr>
      <w:r>
        <w:t>Quarterly rate filings: please enter the Plan Adjusted Index Rate filed for the most recent filing during the Experience Period.</w:t>
      </w:r>
    </w:p>
    <w:p w14:paraId="5AB25623" w14:textId="75726886" w:rsidR="00D835E4" w:rsidRPr="008A3126" w:rsidRDefault="00D835E4" w:rsidP="00D835E4">
      <w:pPr>
        <w:ind w:left="720"/>
      </w:pPr>
      <w:r w:rsidRPr="008A3126">
        <w:t>For terminated non-</w:t>
      </w:r>
      <w:r w:rsidR="001506C4">
        <w:t xml:space="preserve">single risk pool </w:t>
      </w:r>
      <w:r w:rsidRPr="008A3126">
        <w:t>plans, enter zero in the template.</w:t>
      </w:r>
    </w:p>
    <w:p w14:paraId="069F5E33" w14:textId="375D0B0D" w:rsidR="00D835E4" w:rsidRPr="008A3126" w:rsidRDefault="00D835E4" w:rsidP="00D835E4">
      <w:r w:rsidRPr="00674068">
        <w:rPr>
          <w:b/>
        </w:rPr>
        <w:t>Member Months:</w:t>
      </w:r>
      <w:r w:rsidRPr="00674068">
        <w:t xml:space="preserve"> Enter the total member months during the </w:t>
      </w:r>
      <w:r w:rsidRPr="008A3126">
        <w:t>Experience Period. See the instructions for Worksheet 1 for the definition of Experience Period Member Months.</w:t>
      </w:r>
    </w:p>
    <w:p w14:paraId="2AED8A11" w14:textId="5244EB18" w:rsidR="00D835E4" w:rsidRPr="008A3126" w:rsidRDefault="00D835E4" w:rsidP="00D835E4">
      <w:pPr>
        <w:ind w:left="720"/>
      </w:pPr>
      <w:r w:rsidRPr="008A3126">
        <w:t>The total Member Months in the Experience Period should be consistent with the Experience Period Member Months entered in Worksheet 1. The template includes a “Warning” indicator if there is a significant difference between the member months found in Worksheet 1 and in Worksheet 2. In these cases, support for the member months in both worksheets should be documented in the Actuarial Memorandum.</w:t>
      </w:r>
    </w:p>
    <w:p w14:paraId="75D68936" w14:textId="3EAEFF13" w:rsidR="00D835E4" w:rsidRPr="008A3126" w:rsidRDefault="00D835E4" w:rsidP="00D835E4">
      <w:r w:rsidRPr="008A3126">
        <w:rPr>
          <w:b/>
        </w:rPr>
        <w:t>Total Premium (TP):</w:t>
      </w:r>
      <w:r w:rsidRPr="008A3126">
        <w:t xml:space="preserve"> The total premium earned in the Experience Period for each plan is calculated as the </w:t>
      </w:r>
      <w:r w:rsidR="00855307">
        <w:t>Plan Adjusted Index</w:t>
      </w:r>
      <w:r w:rsidR="00855307" w:rsidRPr="008A3126">
        <w:t xml:space="preserve"> </w:t>
      </w:r>
      <w:r w:rsidRPr="008A3126">
        <w:t>Rate PMPM multiplied by the Member Months in a given plan.</w:t>
      </w:r>
    </w:p>
    <w:p w14:paraId="425AD10E" w14:textId="37CEBB80" w:rsidR="00D835E4" w:rsidRPr="008A3126" w:rsidRDefault="00855307" w:rsidP="00D835E4">
      <w:pPr>
        <w:ind w:left="720"/>
      </w:pPr>
      <w:r w:rsidRPr="00674068">
        <w:t xml:space="preserve">It is anticipated that the overall </w:t>
      </w:r>
      <w:r w:rsidRPr="008A3126">
        <w:t>Plan Adjusted Index</w:t>
      </w:r>
      <w:r w:rsidRPr="00674068">
        <w:t xml:space="preserve"> Rate PMPM during the Experience Period </w:t>
      </w:r>
      <w:r w:rsidRPr="008A3126">
        <w:t>may not</w:t>
      </w:r>
      <w:r w:rsidRPr="00674068">
        <w:t xml:space="preserve"> be similar to the average premium rate found in Section I of Worksheet 1</w:t>
      </w:r>
      <w:r w:rsidRPr="008A3126">
        <w:t xml:space="preserve"> due to differences in the distribution of ages, geography and benefits that w</w:t>
      </w:r>
      <w:r w:rsidR="00E712E8">
        <w:t>ere</w:t>
      </w:r>
      <w:r w:rsidRPr="008A3126">
        <w:t xml:space="preserve"> projected when the issuer was developing rates versus what actually emerged. However, the</w:t>
      </w:r>
      <w:r w:rsidRPr="00674068">
        <w:t xml:space="preserve"> template includes a “Warning” indicator if there is a significant difference be</w:t>
      </w:r>
      <w:r w:rsidRPr="008A3126">
        <w:t xml:space="preserve">tween the average premiums on the two worksheets. If the </w:t>
      </w:r>
      <w:r w:rsidR="00C237BA">
        <w:t>w</w:t>
      </w:r>
      <w:r w:rsidRPr="008A3126">
        <w:t xml:space="preserve">arning is </w:t>
      </w:r>
      <w:r w:rsidR="00C237BA">
        <w:t>trigger</w:t>
      </w:r>
      <w:r w:rsidRPr="008A3126">
        <w:t>ed, additional information should be provided in the Actuarial Memorandum that explains the differential.</w:t>
      </w:r>
    </w:p>
    <w:p w14:paraId="6640617B" w14:textId="5A6A126A" w:rsidR="00D835E4" w:rsidRPr="00674068" w:rsidRDefault="00D835E4" w:rsidP="00D835E4">
      <w:r w:rsidRPr="008A3126">
        <w:rPr>
          <w:b/>
        </w:rPr>
        <w:t>EHB Percent of TP:</w:t>
      </w:r>
      <w:r w:rsidRPr="008A3126">
        <w:t xml:space="preserve">  Enter the percentage of the total premium that is associated with </w:t>
      </w:r>
      <w:r w:rsidR="00E304DB">
        <w:t xml:space="preserve">Essential Health Benefits </w:t>
      </w:r>
      <w:r w:rsidRPr="008A3126">
        <w:t xml:space="preserve">in each plan (including administrative expenses and profit associated with those services).  </w:t>
      </w:r>
    </w:p>
    <w:p w14:paraId="3112EA6B" w14:textId="453CB3D1" w:rsidR="00D835E4" w:rsidRPr="00A568D9" w:rsidRDefault="00E304DB" w:rsidP="00F21829">
      <w:pPr>
        <w:rPr>
          <w:color w:val="000000" w:themeColor="text1"/>
        </w:rPr>
      </w:pPr>
      <w:r w:rsidRPr="00A568D9">
        <w:t xml:space="preserve">Certain benefits, including </w:t>
      </w:r>
      <w:r w:rsidRPr="00A568D9">
        <w:rPr>
          <w:color w:val="333333"/>
          <w:shd w:val="clear" w:color="auto" w:fill="FFFFFF"/>
        </w:rPr>
        <w:t xml:space="preserve">routine non-pediatric dental services, routine non-pediatric eye exam services, long-term/custodial nursing home care benefits, </w:t>
      </w:r>
      <w:r w:rsidR="00DE027E" w:rsidRPr="00A568D9">
        <w:rPr>
          <w:color w:val="333333"/>
          <w:shd w:val="clear" w:color="auto" w:fill="FFFFFF"/>
        </w:rPr>
        <w:t xml:space="preserve">and </w:t>
      </w:r>
      <w:r w:rsidRPr="00A568D9">
        <w:rPr>
          <w:color w:val="333333"/>
          <w:shd w:val="clear" w:color="auto" w:fill="FFFFFF"/>
        </w:rPr>
        <w:t>non-medically necessary orthodontia</w:t>
      </w:r>
      <w:r w:rsidRPr="00A568D9">
        <w:rPr>
          <w:rStyle w:val="apple-converted-space"/>
          <w:color w:val="333333"/>
          <w:shd w:val="clear" w:color="auto" w:fill="FFFFFF"/>
        </w:rPr>
        <w:t> </w:t>
      </w:r>
      <w:r w:rsidR="00DE027E" w:rsidRPr="00A568D9">
        <w:rPr>
          <w:rStyle w:val="apple-converted-space"/>
          <w:color w:val="333333"/>
          <w:shd w:val="clear" w:color="auto" w:fill="FFFFFF"/>
        </w:rPr>
        <w:t>should not be considered EHB, even if the State EHB Benchmark plan covers such benefits.</w:t>
      </w:r>
      <w:r w:rsidR="00996ECA" w:rsidRPr="00A568D9">
        <w:rPr>
          <w:rStyle w:val="FootnoteReference"/>
          <w:color w:val="333333"/>
          <w:shd w:val="clear" w:color="auto" w:fill="FFFFFF"/>
        </w:rPr>
        <w:footnoteReference w:id="11"/>
      </w:r>
      <w:r w:rsidR="00D835E4" w:rsidRPr="00A568D9">
        <w:t xml:space="preserve">  </w:t>
      </w:r>
    </w:p>
    <w:p w14:paraId="3DB7C6AA" w14:textId="136B436D" w:rsidR="00D835E4" w:rsidRPr="008A3126" w:rsidRDefault="00D835E4" w:rsidP="00D835E4">
      <w:pPr>
        <w:ind w:left="720"/>
      </w:pPr>
      <w:r w:rsidRPr="008A3126">
        <w:t xml:space="preserve">When calculating the EHB Percent of TP, the Administrative Expense Load, Profit &amp; Risk Load, and Taxes &amp; Fees should be allocated to the various categories in this section of the template in proportion to the claims expenses.  </w:t>
      </w:r>
      <w:r w:rsidR="00E304DB">
        <w:t xml:space="preserve">Those categories include </w:t>
      </w:r>
      <w:r w:rsidR="00E304DB" w:rsidRPr="008A3126">
        <w:t xml:space="preserve">EHB, state mandated benefits that are not EHB, and other </w:t>
      </w:r>
      <w:r w:rsidR="00E304DB">
        <w:t xml:space="preserve">non-EHB </w:t>
      </w:r>
      <w:r w:rsidR="00E304DB" w:rsidRPr="008A3126">
        <w:t>benefits</w:t>
      </w:r>
      <w:r w:rsidR="00E304DB">
        <w:t xml:space="preserve">.  </w:t>
      </w:r>
      <w:r w:rsidRPr="008A3126">
        <w:t xml:space="preserve">For example, if 95% of claims are EHB and 5% of claims are </w:t>
      </w:r>
      <w:r w:rsidR="00E304DB">
        <w:t>non-EHBs</w:t>
      </w:r>
      <w:r w:rsidRPr="008A3126">
        <w:t xml:space="preserve">, then the EHB Percent of TP should be 95%. Similarly, the </w:t>
      </w:r>
      <w:r w:rsidR="00E304DB">
        <w:t>“</w:t>
      </w:r>
      <w:r w:rsidRPr="008A3126">
        <w:t>Other</w:t>
      </w:r>
      <w:r w:rsidR="00E304DB">
        <w:t>”</w:t>
      </w:r>
      <w:r w:rsidRPr="008A3126">
        <w:t xml:space="preserve"> benefits portion of TP should be 5% in the example and would be calculated as such by the template. Administrative expenses and profit should not be disproportionately allocated to one benefit over another. The sum of the EHB percentage, the state mandated benefits percentage and the other </w:t>
      </w:r>
      <w:r w:rsidR="00A32FF4">
        <w:t>benefits</w:t>
      </w:r>
      <w:r w:rsidRPr="008A3126">
        <w:t xml:space="preserve"> percentage should equal 100%. </w:t>
      </w:r>
    </w:p>
    <w:p w14:paraId="4E4D3FA6" w14:textId="649F2DFD" w:rsidR="00D835E4" w:rsidRPr="008A3126" w:rsidRDefault="00D835E4" w:rsidP="00D835E4">
      <w:pPr>
        <w:ind w:left="720"/>
      </w:pPr>
      <w:r w:rsidRPr="008A3126">
        <w:t xml:space="preserve">If abortion services are included in the </w:t>
      </w:r>
      <w:r w:rsidR="00FC1077">
        <w:t xml:space="preserve">State </w:t>
      </w:r>
      <w:r w:rsidRPr="008A3126">
        <w:t xml:space="preserve">EHB </w:t>
      </w:r>
      <w:r w:rsidR="00FC1077">
        <w:t>Benchmark Plan</w:t>
      </w:r>
      <w:r w:rsidRPr="008A3126">
        <w:t>, the portion of the premium related to these services is to be handled using two different methods in accordance with the criteria described below.</w:t>
      </w:r>
    </w:p>
    <w:p w14:paraId="048F9F9F" w14:textId="0C31612B" w:rsidR="00D835E4" w:rsidRPr="008A3126" w:rsidRDefault="00D835E4" w:rsidP="009D2B17">
      <w:pPr>
        <w:pStyle w:val="ListParagraph"/>
        <w:numPr>
          <w:ilvl w:val="0"/>
          <w:numId w:val="31"/>
        </w:numPr>
      </w:pPr>
      <w:r w:rsidRPr="008A3126">
        <w:t>If the plan is a QHP offered in the Federally</w:t>
      </w:r>
      <w:r w:rsidR="00F0556E">
        <w:t>-f</w:t>
      </w:r>
      <w:r w:rsidRPr="008A3126">
        <w:t xml:space="preserve">acilitated </w:t>
      </w:r>
      <w:r w:rsidR="00DE6C09">
        <w:t>Marketplace</w:t>
      </w:r>
      <w:r w:rsidRPr="008A3126">
        <w:t xml:space="preserve"> or State-</w:t>
      </w:r>
      <w:r w:rsidR="00630307">
        <w:t>b</w:t>
      </w:r>
      <w:r w:rsidRPr="008A3126">
        <w:t xml:space="preserve">ased </w:t>
      </w:r>
      <w:r w:rsidR="00DE6C09">
        <w:t>Marketplace</w:t>
      </w:r>
      <w:r w:rsidRPr="008A3126">
        <w:t xml:space="preserve">, the percentage of the premium associated with abortion services should not be included in the EHB percentage (even though these services may be </w:t>
      </w:r>
      <w:r w:rsidR="00E304DB">
        <w:t xml:space="preserve">covered by the State </w:t>
      </w:r>
      <w:r w:rsidRPr="008A3126">
        <w:t xml:space="preserve">EHB </w:t>
      </w:r>
      <w:r w:rsidR="00EF34E7">
        <w:t>B</w:t>
      </w:r>
      <w:r w:rsidRPr="008A3126">
        <w:t xml:space="preserve">enchmark </w:t>
      </w:r>
      <w:r w:rsidR="00FC1077">
        <w:t>P</w:t>
      </w:r>
      <w:r w:rsidR="00E304DB">
        <w:t>lan</w:t>
      </w:r>
      <w:r w:rsidRPr="008A3126">
        <w:t>). The EHB percentage will be used in the calculation of subsidy amounts. Since subsidy payments may not be provided for costs associated with abortion services, they must be excluded from the EHB proportion.</w:t>
      </w:r>
    </w:p>
    <w:p w14:paraId="14EB41D9" w14:textId="77777777" w:rsidR="00D835E4" w:rsidRPr="008A3126" w:rsidRDefault="00D835E4" w:rsidP="009D2B17">
      <w:pPr>
        <w:pStyle w:val="ListParagraph"/>
        <w:numPr>
          <w:ilvl w:val="0"/>
          <w:numId w:val="31"/>
        </w:numPr>
      </w:pPr>
      <w:r w:rsidRPr="008A3126">
        <w:t>If the plan is not a QHP offered in the Federally</w:t>
      </w:r>
      <w:r w:rsidR="00F0556E">
        <w:t>-f</w:t>
      </w:r>
      <w:r w:rsidRPr="008A3126">
        <w:t xml:space="preserve">acilitated </w:t>
      </w:r>
      <w:r w:rsidR="00DE6C09">
        <w:t>Marketplace</w:t>
      </w:r>
      <w:r w:rsidRPr="008A3126">
        <w:t xml:space="preserve"> or State-</w:t>
      </w:r>
      <w:r w:rsidR="00630307">
        <w:t>b</w:t>
      </w:r>
      <w:r w:rsidRPr="008A3126">
        <w:t xml:space="preserve">ased </w:t>
      </w:r>
      <w:r w:rsidR="00DE6C09">
        <w:t>Marketplace</w:t>
      </w:r>
      <w:r w:rsidRPr="008A3126">
        <w:t>, but rather is only offered in the outside market, the percentage of premium associated with abortion services should be included in the EHB percentage.</w:t>
      </w:r>
    </w:p>
    <w:p w14:paraId="2049E652" w14:textId="6C5909D9" w:rsidR="00D835E4" w:rsidRPr="008A3126" w:rsidRDefault="00D835E4" w:rsidP="00D835E4">
      <w:pPr>
        <w:ind w:left="720"/>
      </w:pPr>
      <w:r w:rsidRPr="008A3126">
        <w:t xml:space="preserve">If abortion services are not </w:t>
      </w:r>
      <w:r w:rsidR="00E304DB">
        <w:t xml:space="preserve">covered by </w:t>
      </w:r>
      <w:r w:rsidRPr="008A3126">
        <w:t xml:space="preserve">the </w:t>
      </w:r>
      <w:r w:rsidR="00E304DB">
        <w:t xml:space="preserve">State </w:t>
      </w:r>
      <w:r w:rsidRPr="008A3126">
        <w:t xml:space="preserve">EHB </w:t>
      </w:r>
      <w:r w:rsidR="00E304DB">
        <w:t>B</w:t>
      </w:r>
      <w:r w:rsidRPr="008A3126">
        <w:t>enchmark</w:t>
      </w:r>
      <w:r w:rsidR="00E304DB">
        <w:t xml:space="preserve"> plan</w:t>
      </w:r>
      <w:r w:rsidRPr="008A3126">
        <w:t xml:space="preserve">, any covered abortion services should be reflected in either the state mandated benefits portion or the other benefits portion regardless of whether the plan is sold inside or outside of the </w:t>
      </w:r>
      <w:r w:rsidR="00DE6C09">
        <w:t>Marketplace</w:t>
      </w:r>
      <w:r w:rsidRPr="008A3126">
        <w:t>.</w:t>
      </w:r>
    </w:p>
    <w:p w14:paraId="4E158C03" w14:textId="3EBDD996" w:rsidR="00D835E4" w:rsidRPr="00674068" w:rsidRDefault="00D835E4" w:rsidP="00D835E4">
      <w:r w:rsidRPr="008A3126">
        <w:rPr>
          <w:b/>
        </w:rPr>
        <w:t xml:space="preserve">State </w:t>
      </w:r>
      <w:r w:rsidR="004845E2">
        <w:rPr>
          <w:b/>
        </w:rPr>
        <w:t>M</w:t>
      </w:r>
      <w:r w:rsidRPr="008A3126">
        <w:rPr>
          <w:b/>
        </w:rPr>
        <w:t xml:space="preserve">andated </w:t>
      </w:r>
      <w:r w:rsidR="004845E2">
        <w:rPr>
          <w:b/>
        </w:rPr>
        <w:t>B</w:t>
      </w:r>
      <w:r w:rsidRPr="008A3126">
        <w:rPr>
          <w:b/>
        </w:rPr>
        <w:t xml:space="preserve">enefits </w:t>
      </w:r>
      <w:r w:rsidR="00BA6F02">
        <w:rPr>
          <w:b/>
        </w:rPr>
        <w:t>P</w:t>
      </w:r>
      <w:r w:rsidR="00BA6F02" w:rsidRPr="008A3126">
        <w:rPr>
          <w:b/>
        </w:rPr>
        <w:t>ortion</w:t>
      </w:r>
      <w:r w:rsidRPr="008A3126">
        <w:rPr>
          <w:b/>
        </w:rPr>
        <w:t xml:space="preserve"> of TP that are </w:t>
      </w:r>
      <w:r w:rsidR="004845E2">
        <w:rPr>
          <w:b/>
        </w:rPr>
        <w:t>O</w:t>
      </w:r>
      <w:r w:rsidRPr="008A3126">
        <w:rPr>
          <w:b/>
        </w:rPr>
        <w:t xml:space="preserve">ther </w:t>
      </w:r>
      <w:r w:rsidR="00BA6F02">
        <w:rPr>
          <w:b/>
        </w:rPr>
        <w:t>T</w:t>
      </w:r>
      <w:r w:rsidR="00BA6F02" w:rsidRPr="008A3126">
        <w:rPr>
          <w:b/>
        </w:rPr>
        <w:t>han</w:t>
      </w:r>
      <w:r w:rsidRPr="008A3126">
        <w:rPr>
          <w:b/>
        </w:rPr>
        <w:t xml:space="preserve"> EHB</w:t>
      </w:r>
      <w:r w:rsidRPr="008A3126">
        <w:t xml:space="preserve">: Enter the percentage of the total premium for each plan that is associated with state mandated benefits that are not </w:t>
      </w:r>
      <w:r w:rsidR="00D9702F">
        <w:t>Essential Health Benefits</w:t>
      </w:r>
      <w:r w:rsidRPr="008A3126">
        <w:t xml:space="preserve">. </w:t>
      </w:r>
    </w:p>
    <w:p w14:paraId="2BA94015" w14:textId="77777777" w:rsidR="00D835E4" w:rsidRDefault="00D835E4" w:rsidP="00D835E4">
      <w:pPr>
        <w:ind w:left="720"/>
      </w:pPr>
      <w:r w:rsidRPr="008A3126">
        <w:t>Similar to the EHB percentage, the state mandated benefit percentage of the total premium should include the portion of administrative expenses, taxes and fees and risk and profit loads associated with these services.</w:t>
      </w:r>
    </w:p>
    <w:p w14:paraId="403E4723" w14:textId="77777777" w:rsidR="00361628" w:rsidRDefault="00361628" w:rsidP="00D835E4">
      <w:pPr>
        <w:ind w:left="720"/>
      </w:pPr>
      <w:r w:rsidRPr="00A568D9">
        <w:rPr>
          <w:color w:val="000000"/>
          <w:shd w:val="clear" w:color="auto" w:fill="FFFFFF"/>
        </w:rPr>
        <w:t>For purposes of determining EHB, state-required benefits (or mandates) are considered to include only requirements that a health plan cover specific care, treatment, or services. Provider mandates, which require a health plan to reimburse specific health care professionals who render a covered service within their scope of practice, are not considered to be state-required benefits for purposes of EHB coverage. Similarly, state-required benefits are not considered to include dependent mandates, which require a health plan to define dependents in a specific manner or to cover dependents under certain circumstances (e.g., newborn coverage, adopted children, domestic partners, and disabled children). Finally, state anti-discrimination requirements relating to service delivery method (e.g., telemedicine) are not considered to be state-required benefits.</w:t>
      </w:r>
    </w:p>
    <w:p w14:paraId="303BDDB6" w14:textId="6D807848" w:rsidR="00361628" w:rsidRDefault="00361628" w:rsidP="00D835E4">
      <w:pPr>
        <w:ind w:left="720"/>
      </w:pPr>
      <w:r>
        <w:t xml:space="preserve">In most cases if the state required coverage of benefits after December 31, 2011, the benefit in question is considered a non-EHB, even if the benefit is covered by the State EHB Benchmark Plan.  </w:t>
      </w:r>
    </w:p>
    <w:p w14:paraId="170C3C2D" w14:textId="1451127B" w:rsidR="00647AA8" w:rsidRDefault="00647AA8" w:rsidP="00D835E4">
      <w:pPr>
        <w:ind w:left="720"/>
      </w:pPr>
      <w:r w:rsidRPr="00E712E8">
        <w:t xml:space="preserve">If a state mandates that issuers </w:t>
      </w:r>
      <w:r w:rsidRPr="00E712E8">
        <w:rPr>
          <w:i/>
        </w:rPr>
        <w:t>cover</w:t>
      </w:r>
      <w:r w:rsidRPr="00E712E8">
        <w:t xml:space="preserve"> a non-EHB, include the portion of premium associated with the non-EHB in this field.  If a state mandates that issuers </w:t>
      </w:r>
      <w:r w:rsidRPr="00E712E8">
        <w:rPr>
          <w:i/>
        </w:rPr>
        <w:t>offer</w:t>
      </w:r>
      <w:r w:rsidRPr="00E712E8">
        <w:t xml:space="preserve"> a non-EHB (but the </w:t>
      </w:r>
      <w:r w:rsidR="007005FB">
        <w:t>benefit is not required to be included in every plan</w:t>
      </w:r>
      <w:r w:rsidRPr="00E712E8">
        <w:t xml:space="preserve">), do not </w:t>
      </w:r>
      <w:r w:rsidR="00CC5B36" w:rsidRPr="00E712E8">
        <w:t>include</w:t>
      </w:r>
      <w:r w:rsidRPr="00E712E8">
        <w:t xml:space="preserve"> that portion of premium in this field; it should be reflected in the </w:t>
      </w:r>
      <w:r w:rsidR="00CC5B36" w:rsidRPr="00E712E8">
        <w:t>“</w:t>
      </w:r>
      <w:r w:rsidRPr="00E712E8">
        <w:t>Other benefits</w:t>
      </w:r>
      <w:r w:rsidR="00CC5B36">
        <w:t>” field.</w:t>
      </w:r>
    </w:p>
    <w:p w14:paraId="4B6D35F5" w14:textId="31C9EE3C" w:rsidR="00D835E4" w:rsidRPr="008A3126" w:rsidRDefault="00D835E4" w:rsidP="00D835E4">
      <w:pPr>
        <w:ind w:left="720"/>
      </w:pPr>
      <w:r w:rsidRPr="008A3126">
        <w:t xml:space="preserve">The percentages in these fields are required as states will need to </w:t>
      </w:r>
      <w:r w:rsidR="00361628">
        <w:t xml:space="preserve">defray the cost of </w:t>
      </w:r>
      <w:r w:rsidRPr="008A3126">
        <w:t>state mandated benefits that are not EHB</w:t>
      </w:r>
      <w:r w:rsidR="00361628">
        <w:t>, pursuant to 45 CFR 155.170.</w:t>
      </w:r>
    </w:p>
    <w:p w14:paraId="37BBC6E7" w14:textId="77777777" w:rsidR="00D835E4" w:rsidRPr="008A3126" w:rsidRDefault="00D835E4" w:rsidP="00D835E4">
      <w:r w:rsidRPr="008A3126">
        <w:rPr>
          <w:b/>
        </w:rPr>
        <w:t xml:space="preserve">Other </w:t>
      </w:r>
      <w:r w:rsidR="004845E2">
        <w:rPr>
          <w:b/>
        </w:rPr>
        <w:t>B</w:t>
      </w:r>
      <w:r w:rsidRPr="008A3126">
        <w:rPr>
          <w:b/>
        </w:rPr>
        <w:t xml:space="preserve">enefits </w:t>
      </w:r>
      <w:r w:rsidR="00BA6F02">
        <w:rPr>
          <w:b/>
        </w:rPr>
        <w:t>P</w:t>
      </w:r>
      <w:r w:rsidR="00BA6F02" w:rsidRPr="008A3126">
        <w:rPr>
          <w:b/>
        </w:rPr>
        <w:t>ortion</w:t>
      </w:r>
      <w:r w:rsidRPr="008A3126">
        <w:rPr>
          <w:b/>
        </w:rPr>
        <w:t xml:space="preserve"> of TP:</w:t>
      </w:r>
      <w:r w:rsidRPr="008A3126">
        <w:t xml:space="preserve">  This is a calculated field which generates the remaining percentage of the total premium based on the values entered from the EHB and state mandated benefits portions, described above. </w:t>
      </w:r>
    </w:p>
    <w:p w14:paraId="39CA7006" w14:textId="2AC53270" w:rsidR="00D835E4" w:rsidRPr="008A3126" w:rsidRDefault="00D835E4" w:rsidP="00D835E4">
      <w:pPr>
        <w:ind w:left="720"/>
      </w:pPr>
      <w:r w:rsidRPr="008A3126">
        <w:t xml:space="preserve">As stated previously, the sum of the EHB portion, the state mandated benefit portion </w:t>
      </w:r>
      <w:r w:rsidR="00361628">
        <w:t>for non-</w:t>
      </w:r>
      <w:r w:rsidRPr="008A3126">
        <w:t>EHBs and the other benefits portion should equal 100%.</w:t>
      </w:r>
    </w:p>
    <w:p w14:paraId="2638636F" w14:textId="77777777" w:rsidR="00D835E4" w:rsidRPr="008A3126" w:rsidRDefault="00D835E4" w:rsidP="00D835E4">
      <w:r w:rsidRPr="008A3126">
        <w:rPr>
          <w:b/>
        </w:rPr>
        <w:t>Total Allowed Claims (TAC):</w:t>
      </w:r>
      <w:r w:rsidRPr="008A3126">
        <w:t xml:space="preserve"> Enter the total allowed claims for each benefit plan with service dates within the Experience Period.  </w:t>
      </w:r>
    </w:p>
    <w:p w14:paraId="5C4B5737" w14:textId="2907B6EF" w:rsidR="00D835E4" w:rsidRPr="008A3126" w:rsidRDefault="00D835E4" w:rsidP="00D835E4">
      <w:pPr>
        <w:ind w:left="720"/>
      </w:pPr>
      <w:r w:rsidRPr="008A3126">
        <w:t xml:space="preserve">The Total Allowed Claims (TAC) across all benefit plans for the Experience Period should be consistent with the Allowed Claims entered in Section I of Worksheet 1. The template includes a “Warning” indicator when the allowed claims between Worksheet 1 and Worksheet 2 are significantly different. If a </w:t>
      </w:r>
      <w:r w:rsidR="00D3268C">
        <w:t>w</w:t>
      </w:r>
      <w:r w:rsidRPr="008A3126">
        <w:t xml:space="preserve">arning is </w:t>
      </w:r>
      <w:r w:rsidR="00D3268C">
        <w:t>trigger</w:t>
      </w:r>
      <w:r w:rsidRPr="008A3126">
        <w:t>ed, the issuer should provide additional support for the difference between the total allowed claims between Worksheet</w:t>
      </w:r>
      <w:r w:rsidR="00B3367C">
        <w:t>s</w:t>
      </w:r>
      <w:r w:rsidRPr="008A3126">
        <w:t xml:space="preserve"> 1 and 2 in the Actuarial Memorandum.</w:t>
      </w:r>
    </w:p>
    <w:p w14:paraId="515DB42B" w14:textId="52D4B28B" w:rsidR="00D835E4" w:rsidRPr="00674068" w:rsidRDefault="00D835E4" w:rsidP="00D835E4">
      <w:r w:rsidRPr="008A3126">
        <w:rPr>
          <w:b/>
        </w:rPr>
        <w:t>EHB Percent of TAC:</w:t>
      </w:r>
      <w:r w:rsidRPr="008A3126">
        <w:t xml:space="preserve">  Enter the percentage of the total allowed claims that are associated with EHB</w:t>
      </w:r>
      <w:r w:rsidR="00657CE5">
        <w:t>s</w:t>
      </w:r>
      <w:r w:rsidRPr="008A3126">
        <w:t xml:space="preserve"> in each plan during the Experience Period.  </w:t>
      </w:r>
    </w:p>
    <w:p w14:paraId="12D5B1A3" w14:textId="57F894B0" w:rsidR="00D835E4" w:rsidRPr="008A3126" w:rsidRDefault="00D835E4" w:rsidP="00D835E4">
      <w:pPr>
        <w:ind w:left="720"/>
      </w:pPr>
      <w:r w:rsidRPr="008A3126">
        <w:t xml:space="preserve">If abortion services are included in the </w:t>
      </w:r>
      <w:r w:rsidR="00FC1077">
        <w:t xml:space="preserve">State </w:t>
      </w:r>
      <w:r w:rsidRPr="008A3126">
        <w:t xml:space="preserve">EHB </w:t>
      </w:r>
      <w:r w:rsidR="00FC1077">
        <w:t>Benchmark Plan</w:t>
      </w:r>
      <w:r w:rsidRPr="008A3126">
        <w:t>, the portion of the allowed claims related to these services is to be handled in two different methods in accordance with the criteria described below.</w:t>
      </w:r>
    </w:p>
    <w:p w14:paraId="2B0C6FCA" w14:textId="51B9D934" w:rsidR="00D835E4" w:rsidRPr="008A3126" w:rsidRDefault="00D835E4" w:rsidP="009D2B17">
      <w:pPr>
        <w:pStyle w:val="ListParagraph"/>
        <w:numPr>
          <w:ilvl w:val="0"/>
          <w:numId w:val="31"/>
        </w:numPr>
      </w:pPr>
      <w:r w:rsidRPr="008A3126">
        <w:t>If the plan is a QHP offered in the Federally</w:t>
      </w:r>
      <w:r w:rsidR="00F0556E">
        <w:t>-f</w:t>
      </w:r>
      <w:r w:rsidRPr="008A3126">
        <w:t xml:space="preserve">acilitated </w:t>
      </w:r>
      <w:r w:rsidR="00DE6C09">
        <w:t>Marketplace</w:t>
      </w:r>
      <w:r w:rsidRPr="008A3126">
        <w:t xml:space="preserve"> or State-</w:t>
      </w:r>
      <w:r w:rsidR="00F0556E">
        <w:t>b</w:t>
      </w:r>
      <w:r w:rsidRPr="008A3126">
        <w:t xml:space="preserve">ased </w:t>
      </w:r>
      <w:r w:rsidR="00DE6C09">
        <w:t>Marketplace</w:t>
      </w:r>
      <w:r w:rsidRPr="008A3126">
        <w:t xml:space="preserve">, the percentage of the allowed claims associated with abortion services should not be included in the EHB percentage (even though these services may be </w:t>
      </w:r>
      <w:r w:rsidR="00995D34">
        <w:t xml:space="preserve">covered by the State </w:t>
      </w:r>
      <w:r w:rsidRPr="008A3126">
        <w:t xml:space="preserve">EHB </w:t>
      </w:r>
      <w:r w:rsidR="00995D34">
        <w:t>Benchmark Plan</w:t>
      </w:r>
      <w:r w:rsidRPr="008A3126">
        <w:t xml:space="preserve">). </w:t>
      </w:r>
    </w:p>
    <w:p w14:paraId="17296D5B" w14:textId="77777777" w:rsidR="00D835E4" w:rsidRPr="008A3126" w:rsidRDefault="00D835E4" w:rsidP="009D2B17">
      <w:pPr>
        <w:pStyle w:val="ListParagraph"/>
        <w:numPr>
          <w:ilvl w:val="0"/>
          <w:numId w:val="31"/>
        </w:numPr>
      </w:pPr>
      <w:r w:rsidRPr="008A3126">
        <w:t>If the plan is not a QHP offered in the Federally</w:t>
      </w:r>
      <w:r w:rsidR="00F0556E">
        <w:t>-f</w:t>
      </w:r>
      <w:r w:rsidRPr="008A3126">
        <w:t xml:space="preserve">acilitated </w:t>
      </w:r>
      <w:r w:rsidR="00DE6C09">
        <w:t>Marketplace</w:t>
      </w:r>
      <w:r w:rsidRPr="008A3126">
        <w:t xml:space="preserve"> or State-</w:t>
      </w:r>
      <w:r w:rsidR="00F0556E">
        <w:t>b</w:t>
      </w:r>
      <w:r w:rsidRPr="008A3126">
        <w:t xml:space="preserve">ased </w:t>
      </w:r>
      <w:r w:rsidR="00DE6C09">
        <w:t>Marketplace</w:t>
      </w:r>
      <w:r w:rsidRPr="008A3126">
        <w:t>, but rather is only offered in the outside market, the percentage of allowed claims associated with abortion services should be included in the EHB percentage.</w:t>
      </w:r>
    </w:p>
    <w:p w14:paraId="2B54EEC9" w14:textId="12D8CDAD" w:rsidR="00D835E4" w:rsidRPr="008A3126" w:rsidRDefault="00D835E4" w:rsidP="00D835E4">
      <w:pPr>
        <w:ind w:left="720"/>
      </w:pPr>
      <w:r w:rsidRPr="008A3126">
        <w:t xml:space="preserve">If abortion services are not included in the </w:t>
      </w:r>
      <w:r w:rsidR="00663C10">
        <w:t xml:space="preserve">State </w:t>
      </w:r>
      <w:r w:rsidRPr="008A3126">
        <w:t xml:space="preserve">EHB </w:t>
      </w:r>
      <w:r w:rsidR="00663C10">
        <w:t>Benchmark Plan</w:t>
      </w:r>
      <w:r w:rsidRPr="008A3126">
        <w:t xml:space="preserve">, any covered abortion services should be reflected in either the state mandated benefits portion or the other benefits portion regardless of whether the plan is sold inside or outside of the </w:t>
      </w:r>
      <w:r w:rsidR="00DE6C09">
        <w:t>Marketplace</w:t>
      </w:r>
      <w:r w:rsidRPr="008A3126">
        <w:t>.</w:t>
      </w:r>
    </w:p>
    <w:p w14:paraId="74596DBB" w14:textId="0475DFAE" w:rsidR="00D835E4" w:rsidRPr="00674068" w:rsidRDefault="00D835E4" w:rsidP="00D835E4">
      <w:pPr>
        <w:tabs>
          <w:tab w:val="left" w:pos="8100"/>
        </w:tabs>
      </w:pPr>
      <w:r w:rsidRPr="008A3126">
        <w:rPr>
          <w:b/>
        </w:rPr>
        <w:t xml:space="preserve">State </w:t>
      </w:r>
      <w:r w:rsidR="004845E2">
        <w:rPr>
          <w:b/>
        </w:rPr>
        <w:t>M</w:t>
      </w:r>
      <w:r w:rsidRPr="008A3126">
        <w:rPr>
          <w:b/>
        </w:rPr>
        <w:t xml:space="preserve">andated </w:t>
      </w:r>
      <w:r w:rsidR="004845E2">
        <w:rPr>
          <w:b/>
        </w:rPr>
        <w:t>B</w:t>
      </w:r>
      <w:r w:rsidRPr="008A3126">
        <w:rPr>
          <w:b/>
        </w:rPr>
        <w:t xml:space="preserve">enefits </w:t>
      </w:r>
      <w:r w:rsidR="00BA6F02">
        <w:rPr>
          <w:b/>
        </w:rPr>
        <w:t>P</w:t>
      </w:r>
      <w:r w:rsidR="00BA6F02" w:rsidRPr="008A3126">
        <w:rPr>
          <w:b/>
        </w:rPr>
        <w:t>ortion</w:t>
      </w:r>
      <w:r w:rsidRPr="008A3126">
        <w:rPr>
          <w:b/>
        </w:rPr>
        <w:t xml:space="preserve"> of TAC that are other </w:t>
      </w:r>
      <w:r w:rsidR="00BA6F02">
        <w:rPr>
          <w:b/>
        </w:rPr>
        <w:t>T</w:t>
      </w:r>
      <w:r w:rsidR="00BA6F02" w:rsidRPr="008A3126">
        <w:rPr>
          <w:b/>
        </w:rPr>
        <w:t>han</w:t>
      </w:r>
      <w:r w:rsidRPr="008A3126">
        <w:rPr>
          <w:b/>
        </w:rPr>
        <w:t xml:space="preserve"> EHB</w:t>
      </w:r>
      <w:r w:rsidRPr="008A3126">
        <w:t>: Enter the percentage of the total allowed claims for each plan that are associated with state mandated benefits that are not EHB</w:t>
      </w:r>
      <w:r w:rsidR="0028021E">
        <w:t>.</w:t>
      </w:r>
      <w:r w:rsidRPr="00674068">
        <w:t xml:space="preserve"> </w:t>
      </w:r>
    </w:p>
    <w:p w14:paraId="25D3A189" w14:textId="3912C079" w:rsidR="00CC5B36" w:rsidRDefault="00CC5B36" w:rsidP="00CC5B36">
      <w:pPr>
        <w:ind w:left="720"/>
      </w:pPr>
      <w:r>
        <w:t xml:space="preserve">If a state mandates that issuers </w:t>
      </w:r>
      <w:r w:rsidRPr="00647AA8">
        <w:rPr>
          <w:i/>
        </w:rPr>
        <w:t>cover</w:t>
      </w:r>
      <w:r>
        <w:t xml:space="preserve"> a non-EHB, include the allowed claims associated with the non-EHB in this field.  If a state mandates that issuers </w:t>
      </w:r>
      <w:r w:rsidRPr="00647AA8">
        <w:rPr>
          <w:i/>
        </w:rPr>
        <w:t>offer</w:t>
      </w:r>
      <w:r>
        <w:t xml:space="preserve"> a non-EHB (but the </w:t>
      </w:r>
      <w:r w:rsidR="007005FB">
        <w:t>benefit is not required to be included in every plan</w:t>
      </w:r>
      <w:r>
        <w:t>), do not include that portion of allowed claims in this field; it should be reflected in the “Other benefits” field.</w:t>
      </w:r>
    </w:p>
    <w:p w14:paraId="42E8CF53" w14:textId="77777777" w:rsidR="00D835E4" w:rsidRPr="008A3126" w:rsidRDefault="00D835E4" w:rsidP="00D835E4">
      <w:r w:rsidRPr="008A3126">
        <w:rPr>
          <w:b/>
        </w:rPr>
        <w:t xml:space="preserve">Other </w:t>
      </w:r>
      <w:r w:rsidR="004845E2">
        <w:rPr>
          <w:b/>
        </w:rPr>
        <w:t>B</w:t>
      </w:r>
      <w:r w:rsidRPr="008A3126">
        <w:rPr>
          <w:b/>
        </w:rPr>
        <w:t xml:space="preserve">enefits </w:t>
      </w:r>
      <w:r w:rsidR="004845E2">
        <w:rPr>
          <w:b/>
        </w:rPr>
        <w:t>P</w:t>
      </w:r>
      <w:r w:rsidRPr="008A3126">
        <w:rPr>
          <w:b/>
        </w:rPr>
        <w:t>ortion of TAC:</w:t>
      </w:r>
      <w:r w:rsidRPr="008A3126">
        <w:t xml:space="preserve">  This is a calculated field which generates the remaining percentage of the total allowed claims based on the values entered from the EHB and state mandated benefits portions, described above. </w:t>
      </w:r>
    </w:p>
    <w:p w14:paraId="786672B9" w14:textId="1F6EA685" w:rsidR="00D835E4" w:rsidRPr="008A3126" w:rsidRDefault="00D835E4" w:rsidP="00D835E4">
      <w:pPr>
        <w:ind w:left="720"/>
      </w:pPr>
      <w:r w:rsidRPr="008A3126">
        <w:t xml:space="preserve">As stated previously, the sum of the EHB portion, the state mandated benefit portion </w:t>
      </w:r>
      <w:r w:rsidR="00995D34">
        <w:t>for non-EHBs</w:t>
      </w:r>
      <w:r w:rsidRPr="008A3126">
        <w:t xml:space="preserve"> and the other benefits portion should equal 100%.</w:t>
      </w:r>
    </w:p>
    <w:p w14:paraId="0D4C1FAB" w14:textId="72F6F782" w:rsidR="00D835E4" w:rsidRPr="008A3126" w:rsidRDefault="00D835E4" w:rsidP="00D835E4">
      <w:r w:rsidRPr="008A3126">
        <w:rPr>
          <w:b/>
        </w:rPr>
        <w:t xml:space="preserve">Allowed Claims </w:t>
      </w:r>
      <w:r w:rsidR="007005FB">
        <w:rPr>
          <w:b/>
        </w:rPr>
        <w:t>w</w:t>
      </w:r>
      <w:r w:rsidRPr="008A3126">
        <w:rPr>
          <w:b/>
        </w:rPr>
        <w:t xml:space="preserve">hich are not the </w:t>
      </w:r>
      <w:r w:rsidR="004845E2">
        <w:rPr>
          <w:b/>
        </w:rPr>
        <w:t>I</w:t>
      </w:r>
      <w:r w:rsidRPr="008A3126">
        <w:rPr>
          <w:b/>
        </w:rPr>
        <w:t xml:space="preserve">ssuer’s </w:t>
      </w:r>
      <w:r w:rsidR="004845E2">
        <w:rPr>
          <w:b/>
        </w:rPr>
        <w:t>O</w:t>
      </w:r>
      <w:r w:rsidRPr="008A3126">
        <w:rPr>
          <w:b/>
        </w:rPr>
        <w:t>bligation:</w:t>
      </w:r>
      <w:r w:rsidR="007F48A6" w:rsidRPr="00212166" w:rsidDel="007F48A6">
        <w:rPr>
          <w:b/>
        </w:rPr>
        <w:t xml:space="preserve"> </w:t>
      </w:r>
      <w:r w:rsidRPr="008A3126">
        <w:t xml:space="preserve"> Enter the portion of the allowed claims (as defined on Worksheet 2) that were paid by the insured or other funds for each plan separately during the </w:t>
      </w:r>
      <w:r w:rsidR="00335EA5">
        <w:t>E</w:t>
      </w:r>
      <w:r w:rsidRPr="008A3126">
        <w:t xml:space="preserve">xperience </w:t>
      </w:r>
      <w:r w:rsidR="00335EA5">
        <w:t>P</w:t>
      </w:r>
      <w:r w:rsidRPr="008A3126">
        <w:t>eriod. These would include the following types of payments:</w:t>
      </w:r>
    </w:p>
    <w:p w14:paraId="3C678B5C" w14:textId="749360B5" w:rsidR="00D835E4" w:rsidRPr="008A3126" w:rsidRDefault="00D835E4" w:rsidP="009D2B17">
      <w:pPr>
        <w:pStyle w:val="ListParagraph"/>
        <w:numPr>
          <w:ilvl w:val="0"/>
          <w:numId w:val="32"/>
        </w:numPr>
      </w:pPr>
      <w:r w:rsidRPr="008A3126">
        <w:t xml:space="preserve">Member </w:t>
      </w:r>
      <w:r w:rsidR="006900FC">
        <w:t>cost-sharing</w:t>
      </w:r>
      <w:r w:rsidRPr="008A3126">
        <w:t xml:space="preserve"> (i.e.</w:t>
      </w:r>
      <w:r w:rsidR="00195260">
        <w:t>,</w:t>
      </w:r>
      <w:r w:rsidRPr="008A3126">
        <w:t xml:space="preserve"> deductible, coinsurance and copays). This should be based on the </w:t>
      </w:r>
      <w:r w:rsidR="006900FC">
        <w:t>cost-sharing</w:t>
      </w:r>
      <w:r w:rsidRPr="008A3126">
        <w:t xml:space="preserve"> associated with the benefits of each plan. For those plans with reduced </w:t>
      </w:r>
      <w:r w:rsidR="006900FC">
        <w:t>cost-sharing</w:t>
      </w:r>
      <w:r w:rsidRPr="008A3126">
        <w:t xml:space="preserve"> subsidies for the member, the </w:t>
      </w:r>
      <w:r w:rsidR="006900FC">
        <w:t>cost-sharing</w:t>
      </w:r>
      <w:r w:rsidRPr="008A3126">
        <w:t xml:space="preserve"> amount should reflect both the amount paid by the member and the subsidies. For example, for the silver plan variation with 94% </w:t>
      </w:r>
      <w:r w:rsidR="006900FC">
        <w:t>cost-sharing</w:t>
      </w:r>
      <w:r w:rsidRPr="008A3126">
        <w:t xml:space="preserve">, the value of the </w:t>
      </w:r>
      <w:r w:rsidR="006900FC">
        <w:t>cost-sharing</w:t>
      </w:r>
      <w:r w:rsidRPr="008A3126">
        <w:t xml:space="preserve"> included in this field should reflect the approximately 6% </w:t>
      </w:r>
      <w:r w:rsidR="006900FC">
        <w:t>cost-sharing</w:t>
      </w:r>
      <w:r w:rsidRPr="008A3126">
        <w:t xml:space="preserve"> expected from the member and the approximately 24% </w:t>
      </w:r>
      <w:r w:rsidR="006900FC">
        <w:t>cost-sharing</w:t>
      </w:r>
      <w:r w:rsidRPr="008A3126">
        <w:t xml:space="preserve"> covered by the </w:t>
      </w:r>
      <w:r w:rsidR="006900FC">
        <w:t>Federal</w:t>
      </w:r>
      <w:r w:rsidRPr="008A3126">
        <w:t xml:space="preserve"> subsidy for a total </w:t>
      </w:r>
      <w:r w:rsidR="006900FC">
        <w:t>cost-sharing</w:t>
      </w:r>
      <w:r w:rsidRPr="008A3126">
        <w:t xml:space="preserve"> value of approximately 30% (6% + 24%).</w:t>
      </w:r>
    </w:p>
    <w:p w14:paraId="6B5A10A7" w14:textId="77777777" w:rsidR="00D835E4" w:rsidRPr="008A3126" w:rsidRDefault="00D835E4" w:rsidP="009D2B17">
      <w:pPr>
        <w:pStyle w:val="ListParagraph"/>
        <w:numPr>
          <w:ilvl w:val="0"/>
          <w:numId w:val="32"/>
        </w:numPr>
      </w:pPr>
      <w:r w:rsidRPr="008A3126">
        <w:t>Risk transfer charges or payments associated with the risk adjustment program. In this case, risk adjustment charges made to the program should be entered as a negative amount and payments received from the program should be entered as a positive amount. The issuer should estimate the risk transfer charge or payment by plan and provide detailed information in the Actuarial Memorandum on the methodology used to allocate the payments between plans. The risk adjustment user fees should not be included since they are not part of allowed claims.</w:t>
      </w:r>
    </w:p>
    <w:p w14:paraId="793DB466" w14:textId="77777777" w:rsidR="00D835E4" w:rsidRPr="008A3126" w:rsidRDefault="00D835E4" w:rsidP="009D2B17">
      <w:pPr>
        <w:pStyle w:val="ListParagraph"/>
        <w:numPr>
          <w:ilvl w:val="0"/>
          <w:numId w:val="32"/>
        </w:numPr>
      </w:pPr>
      <w:r w:rsidRPr="008A3126">
        <w:t xml:space="preserve">Federal reinsurance payments received should be included in this field. The </w:t>
      </w:r>
      <w:r w:rsidR="00F0556E">
        <w:t>F</w:t>
      </w:r>
      <w:r w:rsidRPr="008A3126">
        <w:t xml:space="preserve">ederal reinsurance payments should be entered by plan. Payments should be entered as positive amounts. The method used to determine these payments by plan should be described in the Actuarial Memorandum. The </w:t>
      </w:r>
      <w:r w:rsidR="00F0556E">
        <w:t>F</w:t>
      </w:r>
      <w:r w:rsidRPr="008A3126">
        <w:t>ederal reinsurance contributions should not be included since they are not part of allowed claims.</w:t>
      </w:r>
    </w:p>
    <w:p w14:paraId="4F3EB63F" w14:textId="77777777" w:rsidR="00D835E4" w:rsidRPr="008A3126" w:rsidRDefault="00D835E4" w:rsidP="009D2B17">
      <w:pPr>
        <w:pStyle w:val="ListParagraph"/>
        <w:numPr>
          <w:ilvl w:val="0"/>
          <w:numId w:val="32"/>
        </w:numPr>
      </w:pPr>
      <w:r w:rsidRPr="008A3126">
        <w:t xml:space="preserve">Other claims that are not described above but included in this cell should be described in detail in the Actuarial Memorandum. </w:t>
      </w:r>
    </w:p>
    <w:p w14:paraId="33E27F35" w14:textId="449384DF" w:rsidR="00D835E4" w:rsidRPr="008A3126" w:rsidRDefault="00BA6F02" w:rsidP="00D835E4">
      <w:r w:rsidRPr="008A3126">
        <w:rPr>
          <w:b/>
        </w:rPr>
        <w:t xml:space="preserve">Portion of </w:t>
      </w:r>
      <w:r>
        <w:rPr>
          <w:b/>
        </w:rPr>
        <w:t>A</w:t>
      </w:r>
      <w:r w:rsidRPr="008A3126">
        <w:rPr>
          <w:b/>
        </w:rPr>
        <w:t xml:space="preserve">bove </w:t>
      </w:r>
      <w:r>
        <w:rPr>
          <w:b/>
        </w:rPr>
        <w:t>P</w:t>
      </w:r>
      <w:r w:rsidRPr="008A3126">
        <w:rPr>
          <w:b/>
        </w:rPr>
        <w:t xml:space="preserve">ayable by HHS’s </w:t>
      </w:r>
      <w:r>
        <w:rPr>
          <w:b/>
        </w:rPr>
        <w:t>F</w:t>
      </w:r>
      <w:r w:rsidRPr="008A3126">
        <w:rPr>
          <w:b/>
        </w:rPr>
        <w:t xml:space="preserve">und on </w:t>
      </w:r>
      <w:r>
        <w:rPr>
          <w:b/>
        </w:rPr>
        <w:t>B</w:t>
      </w:r>
      <w:r w:rsidRPr="008A3126">
        <w:rPr>
          <w:b/>
        </w:rPr>
        <w:t xml:space="preserve">ehalf of </w:t>
      </w:r>
      <w:r>
        <w:rPr>
          <w:b/>
        </w:rPr>
        <w:t>I</w:t>
      </w:r>
      <w:r w:rsidRPr="008A3126">
        <w:rPr>
          <w:b/>
        </w:rPr>
        <w:t xml:space="preserve">nsured </w:t>
      </w:r>
      <w:r>
        <w:rPr>
          <w:b/>
        </w:rPr>
        <w:t>P</w:t>
      </w:r>
      <w:r w:rsidRPr="008A3126">
        <w:rPr>
          <w:b/>
        </w:rPr>
        <w:t xml:space="preserve">erson, in </w:t>
      </w:r>
      <w:r>
        <w:rPr>
          <w:b/>
        </w:rPr>
        <w:t>D</w:t>
      </w:r>
      <w:r w:rsidRPr="008A3126">
        <w:rPr>
          <w:b/>
        </w:rPr>
        <w:t>ollars:</w:t>
      </w:r>
      <w:r w:rsidR="00663C10">
        <w:rPr>
          <w:b/>
        </w:rPr>
        <w:t xml:space="preserve"> </w:t>
      </w:r>
      <w:r w:rsidRPr="008A3126">
        <w:rPr>
          <w:b/>
        </w:rPr>
        <w:t xml:space="preserve"> </w:t>
      </w:r>
      <w:r w:rsidRPr="008A3126">
        <w:t xml:space="preserve">Enter the portion of the total dollars that are attributable to HHS during the Experience Period. </w:t>
      </w:r>
      <w:r w:rsidR="00D835E4" w:rsidRPr="008A3126">
        <w:t xml:space="preserve">This is the </w:t>
      </w:r>
      <w:r w:rsidR="006900FC">
        <w:t>cost-sharing</w:t>
      </w:r>
      <w:r w:rsidR="00D835E4" w:rsidRPr="008A3126">
        <w:t xml:space="preserve"> reduction subsidies. </w:t>
      </w:r>
    </w:p>
    <w:p w14:paraId="1336D273" w14:textId="6A5D4549" w:rsidR="00D835E4" w:rsidRDefault="00D835E4" w:rsidP="00D835E4">
      <w:r w:rsidRPr="008A3126">
        <w:rPr>
          <w:b/>
        </w:rPr>
        <w:t xml:space="preserve">Portion of </w:t>
      </w:r>
      <w:r w:rsidR="00560441" w:rsidRPr="008A3126">
        <w:rPr>
          <w:b/>
        </w:rPr>
        <w:t>Above</w:t>
      </w:r>
      <w:r w:rsidRPr="008A3126">
        <w:rPr>
          <w:b/>
        </w:rPr>
        <w:t xml:space="preserve"> </w:t>
      </w:r>
      <w:r w:rsidR="00BA6F02">
        <w:rPr>
          <w:b/>
        </w:rPr>
        <w:t>P</w:t>
      </w:r>
      <w:r w:rsidR="00BA6F02" w:rsidRPr="008A3126">
        <w:rPr>
          <w:b/>
        </w:rPr>
        <w:t>ayable</w:t>
      </w:r>
      <w:r w:rsidRPr="008A3126">
        <w:rPr>
          <w:b/>
        </w:rPr>
        <w:t xml:space="preserve"> by HHS on </w:t>
      </w:r>
      <w:r w:rsidR="00BA6F02">
        <w:rPr>
          <w:b/>
        </w:rPr>
        <w:t>B</w:t>
      </w:r>
      <w:r w:rsidR="00BA6F02" w:rsidRPr="008A3126">
        <w:rPr>
          <w:b/>
        </w:rPr>
        <w:t>ehalf</w:t>
      </w:r>
      <w:r w:rsidRPr="008A3126">
        <w:rPr>
          <w:b/>
        </w:rPr>
        <w:t xml:space="preserve"> of </w:t>
      </w:r>
      <w:r w:rsidR="004845E2">
        <w:rPr>
          <w:b/>
        </w:rPr>
        <w:t>I</w:t>
      </w:r>
      <w:r w:rsidRPr="008A3126">
        <w:rPr>
          <w:b/>
        </w:rPr>
        <w:t xml:space="preserve">nsured </w:t>
      </w:r>
      <w:r w:rsidR="004845E2">
        <w:rPr>
          <w:b/>
        </w:rPr>
        <w:t>P</w:t>
      </w:r>
      <w:r w:rsidRPr="008A3126">
        <w:rPr>
          <w:b/>
        </w:rPr>
        <w:t xml:space="preserve">erson, as </w:t>
      </w:r>
      <w:r w:rsidR="004845E2">
        <w:rPr>
          <w:b/>
        </w:rPr>
        <w:t>Percent</w:t>
      </w:r>
      <w:r w:rsidR="00663C10">
        <w:rPr>
          <w:b/>
        </w:rPr>
        <w:t xml:space="preserve">: </w:t>
      </w:r>
      <w:r w:rsidRPr="008A3126">
        <w:rPr>
          <w:b/>
        </w:rPr>
        <w:t xml:space="preserve"> </w:t>
      </w:r>
      <w:r w:rsidRPr="008A3126">
        <w:t>This is a calculated field and displays the percentage of claims covered by HHS over the value of all claims not covered by the issuer.</w:t>
      </w:r>
    </w:p>
    <w:p w14:paraId="15795C13" w14:textId="3E6D3F65" w:rsidR="00D3268C" w:rsidRDefault="00D3268C" w:rsidP="00D835E4">
      <w:r>
        <w:rPr>
          <w:b/>
        </w:rPr>
        <w:t xml:space="preserve">Total Incurred claims, payable with issuer funds:  </w:t>
      </w:r>
      <w:r>
        <w:t>This is a calculated field</w:t>
      </w:r>
      <w:r w:rsidR="003707D0">
        <w:t xml:space="preserve"> that displays the incurred claims which the issuer is responsible for paying.</w:t>
      </w:r>
    </w:p>
    <w:p w14:paraId="0025D498" w14:textId="648A4F0E" w:rsidR="003707D0" w:rsidRPr="00D3268C" w:rsidRDefault="003707D0" w:rsidP="00D835E4">
      <w:r>
        <w:tab/>
        <w:t>The Total</w:t>
      </w:r>
      <w:r w:rsidR="00E0449C">
        <w:t xml:space="preserve"> Incurred claims from all plans should share a relationship with the Incurred Claims in Experience Period from Worksheet 1.  While it is understood these values may not match due to differences such as risk adjustment, </w:t>
      </w:r>
      <w:r w:rsidR="00B3367C">
        <w:t xml:space="preserve">a warning is triggered when the incurred claims are significantly different between Worksheet 1 and Worksheet 2.  </w:t>
      </w:r>
      <w:r w:rsidR="00B3367C" w:rsidRPr="00B3367C">
        <w:t>If a warning is triggered, the issuer should provide additional support for the di</w:t>
      </w:r>
      <w:r w:rsidR="00B3367C">
        <w:t>fference between the total incurred claims in</w:t>
      </w:r>
      <w:r w:rsidR="00B3367C" w:rsidRPr="00B3367C">
        <w:t xml:space="preserve"> Worksheet</w:t>
      </w:r>
      <w:r w:rsidR="00B3367C">
        <w:t>s</w:t>
      </w:r>
      <w:r w:rsidR="00B3367C" w:rsidRPr="00B3367C">
        <w:t xml:space="preserve"> 1 and 2 in the Actuarial Memorandum.</w:t>
      </w:r>
    </w:p>
    <w:p w14:paraId="3934301D" w14:textId="77777777" w:rsidR="00D835E4" w:rsidRPr="008A3126" w:rsidRDefault="00D835E4" w:rsidP="00D835E4">
      <w:r w:rsidRPr="008A3126">
        <w:rPr>
          <w:b/>
        </w:rPr>
        <w:t xml:space="preserve">Net </w:t>
      </w:r>
      <w:r w:rsidR="00BA6F02" w:rsidRPr="008A3126">
        <w:rPr>
          <w:b/>
        </w:rPr>
        <w:t>Am</w:t>
      </w:r>
      <w:r w:rsidR="00BA6F02">
        <w:rPr>
          <w:b/>
        </w:rPr>
        <w:t>ount</w:t>
      </w:r>
      <w:r w:rsidRPr="008A3126">
        <w:rPr>
          <w:b/>
        </w:rPr>
        <w:t xml:space="preserve"> of Rein:</w:t>
      </w:r>
      <w:r w:rsidRPr="008A3126">
        <w:t xml:space="preserve"> Enter the Federal reinsurance amount received for each plan during the Experience Period. </w:t>
      </w:r>
    </w:p>
    <w:p w14:paraId="22269411" w14:textId="05C610CB" w:rsidR="00D835E4" w:rsidRPr="008A3126" w:rsidRDefault="00D835E4" w:rsidP="00D835E4">
      <w:pPr>
        <w:ind w:left="720"/>
      </w:pPr>
      <w:r w:rsidRPr="008A3126">
        <w:t xml:space="preserve">This value should be calculated consistently with the </w:t>
      </w:r>
      <w:r w:rsidR="00F0556E">
        <w:t>F</w:t>
      </w:r>
      <w:r w:rsidRPr="008A3126">
        <w:t xml:space="preserve">ederal reinsurance amount included in the Allowed Claims which are not the issuer’s obligations. However, it will differ from that amount </w:t>
      </w:r>
      <w:r w:rsidR="00B3367C">
        <w:t>because</w:t>
      </w:r>
      <w:r w:rsidRPr="008A3126">
        <w:t xml:space="preserve"> this field is net of the reinsurance contribution amount.</w:t>
      </w:r>
    </w:p>
    <w:p w14:paraId="3D0B0740" w14:textId="77777777" w:rsidR="00D835E4" w:rsidRPr="008A3126" w:rsidRDefault="00D835E4" w:rsidP="00D835E4">
      <w:pPr>
        <w:ind w:left="720"/>
      </w:pPr>
      <w:r w:rsidRPr="008A3126">
        <w:t>While the final information on the reinsurance recoveries during the Experience Period may not be available at the time of the filing, issuers should enter their best estimate of the expected recoveries.</w:t>
      </w:r>
    </w:p>
    <w:p w14:paraId="6B21E921" w14:textId="77777777" w:rsidR="00D835E4" w:rsidRPr="008A3126" w:rsidRDefault="00D835E4" w:rsidP="00D835E4">
      <w:r w:rsidRPr="00674068">
        <w:rPr>
          <w:b/>
        </w:rPr>
        <w:t>Net Am</w:t>
      </w:r>
      <w:r w:rsidR="004845E2">
        <w:rPr>
          <w:b/>
        </w:rPr>
        <w:t>ount</w:t>
      </w:r>
      <w:r w:rsidRPr="00674068">
        <w:rPr>
          <w:b/>
        </w:rPr>
        <w:t xml:space="preserve"> of Risk Adj</w:t>
      </w:r>
      <w:r w:rsidR="004845E2">
        <w:rPr>
          <w:b/>
        </w:rPr>
        <w:t>ustment</w:t>
      </w:r>
      <w:r w:rsidRPr="00674068">
        <w:rPr>
          <w:b/>
        </w:rPr>
        <w:t>:</w:t>
      </w:r>
      <w:r w:rsidRPr="00674068">
        <w:t xml:space="preserve"> Enter the risk transfer charge or payment during the Experience Period </w:t>
      </w:r>
      <w:r w:rsidRPr="008A3126">
        <w:t>for each plan.</w:t>
      </w:r>
    </w:p>
    <w:p w14:paraId="0EF990C0" w14:textId="54FECD9F" w:rsidR="00D835E4" w:rsidRPr="008A3126" w:rsidRDefault="00D835E4" w:rsidP="00D835E4">
      <w:pPr>
        <w:ind w:left="720"/>
      </w:pPr>
      <w:r w:rsidRPr="008A3126">
        <w:t>This value should be calculated consistently with the risk transfer charge or payment included in the Allowed Claims which are not the issuer’s obligation.  However, it will differ from that amount in that this field is net of the risk adjustment user fees. If the transfer amount is a charge (liability payment made to other issuers)</w:t>
      </w:r>
      <w:r w:rsidR="00ED7D02">
        <w:t>,</w:t>
      </w:r>
      <w:r w:rsidRPr="008A3126">
        <w:t xml:space="preserve"> the value should be a negative amount. If the transfer amount is a payment received from other issuers</w:t>
      </w:r>
      <w:r w:rsidR="00ED7D02">
        <w:t>,</w:t>
      </w:r>
      <w:r w:rsidRPr="008A3126">
        <w:t xml:space="preserve"> the value should be entered as a positive amount.</w:t>
      </w:r>
    </w:p>
    <w:p w14:paraId="1732CFAC" w14:textId="77777777" w:rsidR="00D835E4" w:rsidRPr="008A3126" w:rsidRDefault="00D835E4" w:rsidP="00D835E4">
      <w:pPr>
        <w:ind w:left="720"/>
      </w:pPr>
      <w:r w:rsidRPr="008A3126">
        <w:t>While the final information on the risk transfer charges or payments during the Experience Period may not be available at the time of the filing, issuers should enter their best estimate of the expected risk transfer charge or payment.</w:t>
      </w:r>
    </w:p>
    <w:p w14:paraId="1355BCA0" w14:textId="77777777" w:rsidR="00D835E4" w:rsidRPr="008A3126" w:rsidRDefault="00D835E4" w:rsidP="00926D0E">
      <w:pPr>
        <w:pStyle w:val="Heading3"/>
      </w:pPr>
      <w:bookmarkStart w:id="322" w:name="_Toc410588306"/>
      <w:bookmarkStart w:id="323" w:name="_Toc410588388"/>
      <w:bookmarkStart w:id="324" w:name="_Toc410588614"/>
      <w:bookmarkStart w:id="325" w:name="_Toc410588822"/>
      <w:bookmarkStart w:id="326" w:name="_Toc410637598"/>
      <w:bookmarkStart w:id="327" w:name="_Toc410637728"/>
      <w:bookmarkStart w:id="328" w:name="_Toc410637837"/>
      <w:bookmarkStart w:id="329" w:name="_Toc410588823"/>
      <w:bookmarkStart w:id="330" w:name="_Toc410468942"/>
      <w:bookmarkStart w:id="331" w:name="_Toc410525296"/>
      <w:bookmarkStart w:id="332" w:name="_Toc410525384"/>
      <w:bookmarkStart w:id="333" w:name="_Toc411866093"/>
      <w:bookmarkStart w:id="334" w:name="_Toc411866611"/>
      <w:bookmarkStart w:id="335" w:name="_Toc412032782"/>
      <w:bookmarkStart w:id="336" w:name="_Toc411936254"/>
      <w:bookmarkStart w:id="337" w:name="_Toc412287664"/>
      <w:bookmarkStart w:id="338" w:name="_Toc441756508"/>
      <w:bookmarkEnd w:id="322"/>
      <w:bookmarkEnd w:id="323"/>
      <w:bookmarkEnd w:id="324"/>
      <w:bookmarkEnd w:id="325"/>
      <w:bookmarkEnd w:id="326"/>
      <w:bookmarkEnd w:id="327"/>
      <w:bookmarkEnd w:id="328"/>
      <w:r w:rsidRPr="008A3126">
        <w:t>Section IV: Projected Experience</w:t>
      </w:r>
      <w:bookmarkEnd w:id="329"/>
      <w:bookmarkEnd w:id="330"/>
      <w:bookmarkEnd w:id="331"/>
      <w:bookmarkEnd w:id="332"/>
      <w:bookmarkEnd w:id="333"/>
      <w:bookmarkEnd w:id="334"/>
      <w:bookmarkEnd w:id="335"/>
      <w:bookmarkEnd w:id="336"/>
      <w:bookmarkEnd w:id="337"/>
      <w:bookmarkEnd w:id="338"/>
    </w:p>
    <w:p w14:paraId="5B31F002" w14:textId="5A4DCBE3" w:rsidR="00D835E4" w:rsidRPr="008A3126" w:rsidRDefault="00D835E4" w:rsidP="00D835E4">
      <w:r w:rsidRPr="00674068">
        <w:t>The information shown in this section captures the projected data for the twelve month period following the effective date for each plan.</w:t>
      </w:r>
    </w:p>
    <w:p w14:paraId="25D16B2C" w14:textId="7593A984" w:rsidR="00D835E4" w:rsidRPr="008A3126" w:rsidRDefault="00D835E4" w:rsidP="00D835E4">
      <w:r w:rsidRPr="008A3126">
        <w:t>It is expected that in general, the projection period found in this section should be the same as the Projection Period found in Section II of Worksheet 1. However, there are circumstances where the projection periods may differ. These circumstances occur in the small group market when prospective trend is included in the submission (if permitted by the state). In this case:</w:t>
      </w:r>
    </w:p>
    <w:p w14:paraId="6E0946C8" w14:textId="77777777" w:rsidR="00D835E4" w:rsidRPr="008A3126" w:rsidRDefault="00D835E4" w:rsidP="009D2B17">
      <w:pPr>
        <w:pStyle w:val="ListParagraph"/>
        <w:numPr>
          <w:ilvl w:val="0"/>
          <w:numId w:val="52"/>
        </w:numPr>
      </w:pPr>
      <w:r w:rsidRPr="008A3126">
        <w:t xml:space="preserve">Similar to the Index Rate for Projection Period on Worksheet 1, the Plan Adjusted Index Rate must reflect the member weighted average of the projected trended </w:t>
      </w:r>
      <w:r w:rsidR="000C472E">
        <w:t>P</w:t>
      </w:r>
      <w:r w:rsidRPr="008A3126">
        <w:t xml:space="preserve">lan </w:t>
      </w:r>
      <w:r w:rsidR="000C472E">
        <w:t>A</w:t>
      </w:r>
      <w:r w:rsidRPr="008A3126">
        <w:t>djusted Index Rates applicable for all effective dates in the submission. See the Appendix for more information on the calculation of the member weighted average Index Rate.</w:t>
      </w:r>
    </w:p>
    <w:p w14:paraId="74ED51A7" w14:textId="77777777" w:rsidR="00D835E4" w:rsidRPr="008A3126" w:rsidRDefault="00D835E4" w:rsidP="009D2B17">
      <w:pPr>
        <w:pStyle w:val="ListParagraph"/>
        <w:numPr>
          <w:ilvl w:val="0"/>
          <w:numId w:val="52"/>
        </w:numPr>
      </w:pPr>
      <w:r w:rsidRPr="008A3126">
        <w:t xml:space="preserve">Member months should be consistent with those reflected on Worksheet 1. Since the single risk pool requires the Index Rate be based on ALL enrollees in the market in the state for that issuer, the member months should reflect all projected member months for the single risk pool in the </w:t>
      </w:r>
      <w:r w:rsidR="00335EA5">
        <w:t>P</w:t>
      </w:r>
      <w:r w:rsidRPr="008A3126">
        <w:t xml:space="preserve">rojection </w:t>
      </w:r>
      <w:r w:rsidR="00335EA5">
        <w:t>P</w:t>
      </w:r>
      <w:r w:rsidRPr="008A3126">
        <w:t>eriod, regardless of the expected renewal month.</w:t>
      </w:r>
    </w:p>
    <w:p w14:paraId="4F625C31" w14:textId="77777777" w:rsidR="00D835E4" w:rsidRPr="008A3126" w:rsidRDefault="00D835E4" w:rsidP="009D2B17">
      <w:pPr>
        <w:pStyle w:val="ListParagraph"/>
        <w:numPr>
          <w:ilvl w:val="0"/>
          <w:numId w:val="52"/>
        </w:numPr>
      </w:pPr>
      <w:r w:rsidRPr="008A3126">
        <w:t xml:space="preserve">Since Total Premium (TP) for the projection period is calculated as the Plan Adjusted Index Rate multiplied by the member months, this will reflect the weighted average Plan Adjusted Index Rates for all effective dates. </w:t>
      </w:r>
    </w:p>
    <w:p w14:paraId="0B77ACA1" w14:textId="77777777" w:rsidR="00D835E4" w:rsidRPr="008A3126" w:rsidRDefault="00D835E4" w:rsidP="00D835E4">
      <w:r w:rsidRPr="008A3126">
        <w:t xml:space="preserve">All data entered in the Claims Information section (rows 86 through 96) should be consistent with the </w:t>
      </w:r>
      <w:r w:rsidR="00335EA5">
        <w:t>P</w:t>
      </w:r>
      <w:r w:rsidRPr="008A3126">
        <w:t xml:space="preserve">rojection </w:t>
      </w:r>
      <w:r w:rsidR="00335EA5">
        <w:t>P</w:t>
      </w:r>
      <w:r w:rsidRPr="008A3126">
        <w:t>eriod shown on Worksheet 1. Therefore, the amount of trend reflected in the claims section will differ from that reflected in the premium information.</w:t>
      </w:r>
    </w:p>
    <w:p w14:paraId="09265463" w14:textId="4991A86A" w:rsidR="00D835E4" w:rsidRPr="008A3126" w:rsidRDefault="00D835E4" w:rsidP="00D835E4">
      <w:r w:rsidRPr="008A3126">
        <w:t xml:space="preserve">For small group submissions, the information in this section, except where noted, should reflect the </w:t>
      </w:r>
      <w:r w:rsidR="00335EA5">
        <w:t>P</w:t>
      </w:r>
      <w:r w:rsidRPr="008A3126">
        <w:t xml:space="preserve">rojection </w:t>
      </w:r>
      <w:r w:rsidR="00335EA5">
        <w:t>P</w:t>
      </w:r>
      <w:r w:rsidRPr="008A3126">
        <w:t>eriod on Worksheet 1. For example, if the projection period on Worksheet 1 is calendar year 201</w:t>
      </w:r>
      <w:r w:rsidR="002225FC">
        <w:t>7</w:t>
      </w:r>
      <w:r w:rsidRPr="008A3126">
        <w:t>, the information on this section should be calendar year 201</w:t>
      </w:r>
      <w:r w:rsidR="002225FC">
        <w:t>7</w:t>
      </w:r>
      <w:r w:rsidRPr="008A3126">
        <w:t>.</w:t>
      </w:r>
    </w:p>
    <w:p w14:paraId="1E8020C6" w14:textId="77777777" w:rsidR="00D835E4" w:rsidRPr="008A3126" w:rsidRDefault="00D835E4" w:rsidP="00D835E4">
      <w:r w:rsidRPr="00674068">
        <w:rPr>
          <w:b/>
        </w:rPr>
        <w:t>Plan Adjusted Index Rate:</w:t>
      </w:r>
      <w:r w:rsidRPr="00674068">
        <w:t xml:space="preserve">  </w:t>
      </w:r>
      <w:r w:rsidRPr="008A3126">
        <w:t xml:space="preserve">Enter the projected Plan Adjusted Index Rate into these cells for each plan ID for the effective period of the proposed rates.  </w:t>
      </w:r>
    </w:p>
    <w:p w14:paraId="3476185C" w14:textId="0CF6738E" w:rsidR="00D835E4" w:rsidRPr="00674068" w:rsidRDefault="00D835E4" w:rsidP="00D835E4">
      <w:pPr>
        <w:ind w:left="720"/>
      </w:pPr>
      <w:r w:rsidRPr="008A3126">
        <w:t xml:space="preserve">The Plan Adjusted Index Rate is the Market Adjusted Index Rate (defined in the introduction of these instructions) adjusted for plan specific factors allowable by 45 CFR 156.80(d)(2) such as provider network, utilization management, </w:t>
      </w:r>
      <w:r w:rsidR="00DE304A">
        <w:t>non-</w:t>
      </w:r>
      <w:r w:rsidRPr="008A3126">
        <w:t xml:space="preserve">EHBs, </w:t>
      </w:r>
      <w:r w:rsidR="00175AC6">
        <w:t>AV</w:t>
      </w:r>
      <w:r w:rsidRPr="008A3126">
        <w:t xml:space="preserve"> and </w:t>
      </w:r>
      <w:r w:rsidR="006900FC">
        <w:t>cost-sharing</w:t>
      </w:r>
      <w:r w:rsidRPr="008A3126">
        <w:t xml:space="preserve">, distribution and administrative costs (less </w:t>
      </w:r>
      <w:r w:rsidR="00DE6C09">
        <w:t>Marketplace</w:t>
      </w:r>
      <w:r w:rsidRPr="008A3126">
        <w:t xml:space="preserve"> fees) and catastrophic plan eligibility variation.</w:t>
      </w:r>
    </w:p>
    <w:p w14:paraId="31913F64" w14:textId="624619A2" w:rsidR="00D835E4" w:rsidRPr="00674068" w:rsidRDefault="00D835E4" w:rsidP="00D835E4">
      <w:pPr>
        <w:ind w:left="720"/>
      </w:pPr>
      <w:r w:rsidRPr="008A3126">
        <w:t xml:space="preserve">The overall weighted average of the Plan Adjusted Index Rates should be similar to the Single Risk Pool Gross Premium Avg. Rate, PMPM found in Section III of Worksheet 1. The template includes a “Warning” indicator if there is a significant difference between the average premiums on the two worksheets. If the </w:t>
      </w:r>
      <w:r w:rsidR="00AB13C6">
        <w:t>w</w:t>
      </w:r>
      <w:r w:rsidRPr="008A3126">
        <w:t xml:space="preserve">arning is </w:t>
      </w:r>
      <w:r w:rsidR="00AB13C6">
        <w:t>trigger</w:t>
      </w:r>
      <w:r w:rsidRPr="008A3126">
        <w:t>ed, additional information should be provided in the Actuarial Memorandum that explains the differential. One explanation that may apply is that the small group Plan Adjusted Index Rate reflect</w:t>
      </w:r>
      <w:r w:rsidR="00E712E8">
        <w:t>s</w:t>
      </w:r>
      <w:r w:rsidRPr="00674068">
        <w:t xml:space="preserve"> the member weighted average of the rates for all effective dates in the filing, whereas the Worksheet 1 Single Risk Pool Gross Premium Avg. Rate reflects the effective date of the change in the I</w:t>
      </w:r>
      <w:r w:rsidRPr="008A3126">
        <w:t xml:space="preserve">ndex Rate. </w:t>
      </w:r>
    </w:p>
    <w:p w14:paraId="2C399B1F" w14:textId="77777777" w:rsidR="00D835E4" w:rsidRPr="008A3126" w:rsidRDefault="00D835E4" w:rsidP="00D835E4">
      <w:pPr>
        <w:ind w:left="720"/>
      </w:pPr>
      <w:r w:rsidRPr="008A3126">
        <w:t xml:space="preserve">For small group filings with predefined quarterly trends, the Plan Adjusted Index Rate should reflect the weighted average of the member enrollment. This is consistent with the Index Rate </w:t>
      </w:r>
      <w:r w:rsidR="00335EA5">
        <w:t xml:space="preserve">for Projection Period </w:t>
      </w:r>
      <w:r w:rsidRPr="008A3126">
        <w:t>entered on Worksheet 1.</w:t>
      </w:r>
    </w:p>
    <w:p w14:paraId="3900CC27" w14:textId="77777777" w:rsidR="00D835E4" w:rsidRPr="008A3126" w:rsidRDefault="00D835E4" w:rsidP="00D835E4">
      <w:r w:rsidRPr="00674068">
        <w:rPr>
          <w:b/>
        </w:rPr>
        <w:t>Member Months:</w:t>
      </w:r>
      <w:r w:rsidRPr="00674068">
        <w:t xml:space="preserve"> The template populates the projected Member Months using the </w:t>
      </w:r>
      <w:r w:rsidRPr="008A3126">
        <w:t>Projected Member Months entered in Section II of the worksheet.</w:t>
      </w:r>
    </w:p>
    <w:p w14:paraId="6EA4D07A" w14:textId="77777777" w:rsidR="00D835E4" w:rsidRPr="008A3126" w:rsidRDefault="00D835E4" w:rsidP="00D835E4">
      <w:r w:rsidRPr="008A3126">
        <w:rPr>
          <w:b/>
        </w:rPr>
        <w:t>Total Premium (TP):</w:t>
      </w:r>
      <w:r w:rsidRPr="008A3126">
        <w:t xml:space="preserve"> </w:t>
      </w:r>
      <w:r w:rsidR="0076424A">
        <w:t xml:space="preserve"> </w:t>
      </w:r>
      <w:r w:rsidRPr="008A3126">
        <w:t xml:space="preserve">The total premium earned in the </w:t>
      </w:r>
      <w:r w:rsidR="00335EA5">
        <w:t>P</w:t>
      </w:r>
      <w:r w:rsidRPr="008A3126">
        <w:t xml:space="preserve">rojection </w:t>
      </w:r>
      <w:r w:rsidR="00335EA5">
        <w:t>P</w:t>
      </w:r>
      <w:r w:rsidRPr="008A3126">
        <w:t xml:space="preserve">eriod for each plan is calculated as the </w:t>
      </w:r>
      <w:r w:rsidR="00335EA5">
        <w:t>Plan Adjusted Index</w:t>
      </w:r>
      <w:r w:rsidR="00335EA5" w:rsidRPr="008A3126">
        <w:t xml:space="preserve"> </w:t>
      </w:r>
      <w:r w:rsidRPr="008A3126">
        <w:t>Rate PMPM multiplied by the Member Months in a given plan.</w:t>
      </w:r>
    </w:p>
    <w:p w14:paraId="43DED021" w14:textId="0C5C3B55" w:rsidR="00D835E4" w:rsidRPr="008A3126" w:rsidRDefault="00D835E4" w:rsidP="00D835E4">
      <w:pPr>
        <w:ind w:left="720"/>
      </w:pPr>
      <w:r w:rsidRPr="008A3126">
        <w:t xml:space="preserve">The Total Premium (TP) in the </w:t>
      </w:r>
      <w:r w:rsidR="00335EA5">
        <w:t>P</w:t>
      </w:r>
      <w:r w:rsidRPr="008A3126">
        <w:t xml:space="preserve">rojection </w:t>
      </w:r>
      <w:r w:rsidR="00335EA5">
        <w:t>P</w:t>
      </w:r>
      <w:r w:rsidRPr="008A3126">
        <w:t>eriod should be similar to the total premium found in Section III of Worksheet 1.</w:t>
      </w:r>
      <w:r w:rsidR="009F439A">
        <w:t xml:space="preserve"> </w:t>
      </w:r>
      <w:r w:rsidRPr="008A3126">
        <w:t xml:space="preserve"> The template includes a “Warning” indicator if there is a significant difference between the total premiums shown on both worksheets. </w:t>
      </w:r>
      <w:r w:rsidR="009F439A">
        <w:t xml:space="preserve"> </w:t>
      </w:r>
      <w:r w:rsidRPr="008A3126">
        <w:t xml:space="preserve">If the </w:t>
      </w:r>
      <w:r w:rsidR="00AB13C6">
        <w:t>w</w:t>
      </w:r>
      <w:r w:rsidRPr="008A3126">
        <w:t xml:space="preserve">arning is </w:t>
      </w:r>
      <w:r w:rsidR="00AB13C6">
        <w:t>trigger</w:t>
      </w:r>
      <w:r w:rsidRPr="008A3126">
        <w:t>ed, additional information should be provided in the Actuarial Memorandum that explains the cause.</w:t>
      </w:r>
      <w:r w:rsidR="00335EA5" w:rsidRPr="00335EA5">
        <w:t xml:space="preserve"> </w:t>
      </w:r>
      <w:r w:rsidR="00BA6F02" w:rsidRPr="008A3126">
        <w:t>One explanation that may apply is that the small group Plan Adjusted Index Rates reflect</w:t>
      </w:r>
      <w:r w:rsidR="00BA6F02">
        <w:t>s</w:t>
      </w:r>
      <w:r w:rsidR="00BA6F02" w:rsidRPr="00674068">
        <w:t xml:space="preserve"> the member weighted average of the rates for all effective dates in the filing, whereas the Worksheet 1 Single Risk Pool Gross Premium Avg.</w:t>
      </w:r>
      <w:r w:rsidR="009F439A">
        <w:t xml:space="preserve"> </w:t>
      </w:r>
      <w:r w:rsidR="00BA6F02" w:rsidRPr="00674068">
        <w:t xml:space="preserve"> Rate reflects the effective date of the change in the I</w:t>
      </w:r>
      <w:r w:rsidR="00BA6F02" w:rsidRPr="008A3126">
        <w:t>ndex Rate.</w:t>
      </w:r>
    </w:p>
    <w:p w14:paraId="55E36CE9" w14:textId="2DCB75C5" w:rsidR="00D835E4" w:rsidRPr="008A3126" w:rsidRDefault="00D835E4" w:rsidP="00D835E4">
      <w:r w:rsidRPr="008A3126">
        <w:rPr>
          <w:b/>
        </w:rPr>
        <w:t>EHB Percent of TP:</w:t>
      </w:r>
      <w:r w:rsidRPr="008A3126">
        <w:t xml:space="preserve">  Enter the percentage of the total premium that is associated with EHB</w:t>
      </w:r>
      <w:r w:rsidR="006D5ACE">
        <w:t>s</w:t>
      </w:r>
      <w:r w:rsidRPr="008A3126">
        <w:t xml:space="preserve"> in each plan.  It is critical that this percentage be entered correctly and consistently with any QHP application. </w:t>
      </w:r>
      <w:r w:rsidR="009F439A">
        <w:t xml:space="preserve"> T</w:t>
      </w:r>
      <w:r w:rsidRPr="008A3126">
        <w:t xml:space="preserve">his field </w:t>
      </w:r>
      <w:r w:rsidR="009F439A">
        <w:t>may</w:t>
      </w:r>
      <w:r w:rsidRPr="008A3126">
        <w:t xml:space="preserve"> be used by </w:t>
      </w:r>
      <w:r w:rsidR="00F0556E">
        <w:t>CMS</w:t>
      </w:r>
      <w:r w:rsidR="00F0556E" w:rsidRPr="008A3126">
        <w:t xml:space="preserve"> </w:t>
      </w:r>
      <w:r w:rsidRPr="008A3126">
        <w:t>to calculate the advance premium tax credits for subsidy-eligible enrollees.</w:t>
      </w:r>
      <w:r w:rsidR="009F439A">
        <w:t xml:space="preserve"> </w:t>
      </w:r>
      <w:r w:rsidRPr="008A3126">
        <w:t xml:space="preserve"> If the values in this field are not entered correctly, the calculation of the advance premium tax credits may be incorrect for an issuer.</w:t>
      </w:r>
    </w:p>
    <w:p w14:paraId="10D60834" w14:textId="54F1F803" w:rsidR="00D835E4" w:rsidRPr="008A3126" w:rsidRDefault="00D835E4" w:rsidP="00D835E4">
      <w:r w:rsidRPr="008A3126">
        <w:t xml:space="preserve">For non-terminated </w:t>
      </w:r>
      <w:r w:rsidR="00654A5F">
        <w:t>single risk pool</w:t>
      </w:r>
      <w:r w:rsidRPr="008A3126">
        <w:t xml:space="preserve"> plans, the value entered into the EHB Percent of TP field must be greater than zero.</w:t>
      </w:r>
      <w:r w:rsidR="009F439A">
        <w:t xml:space="preserve"> </w:t>
      </w:r>
      <w:r w:rsidRPr="008A3126">
        <w:t xml:space="preserve"> It is critical that this percentage be entered correctly as it </w:t>
      </w:r>
      <w:r w:rsidR="00AA016F">
        <w:t>may</w:t>
      </w:r>
      <w:r w:rsidRPr="008A3126">
        <w:t xml:space="preserve"> be used to calculate the advance premium tax credits for subsidy-eligible members.</w:t>
      </w:r>
    </w:p>
    <w:p w14:paraId="7E057965" w14:textId="15882A5C" w:rsidR="00D835E4" w:rsidRPr="008A3126" w:rsidRDefault="00D835E4" w:rsidP="00D835E4">
      <w:r w:rsidRPr="008A3126">
        <w:t>For pre-ACA plans and terminated plans, the field may be left blank.</w:t>
      </w:r>
    </w:p>
    <w:p w14:paraId="330F14F9" w14:textId="77777777" w:rsidR="00D835E4" w:rsidRPr="008A3126" w:rsidRDefault="00D835E4" w:rsidP="00D835E4">
      <w:pPr>
        <w:ind w:left="720"/>
      </w:pPr>
      <w:r w:rsidRPr="008A3126">
        <w:t>When calculating the EHB percentage, the Administrative Expense Load, Profit &amp; Risk Load, and Taxes &amp; Fees should be allocated to the various categories in this section of the template in proportion to the claims expenses.  The sum of the EHB percentage, the state mandated benefits percentage</w:t>
      </w:r>
      <w:r w:rsidR="000C472E">
        <w:t>,</w:t>
      </w:r>
      <w:r w:rsidRPr="008A3126">
        <w:t xml:space="preserve"> and the other benefits percentage should equal 100%. </w:t>
      </w:r>
    </w:p>
    <w:p w14:paraId="64A462E8" w14:textId="3D50045D" w:rsidR="00D835E4" w:rsidRPr="008A3126" w:rsidRDefault="00D835E4" w:rsidP="00D835E4">
      <w:pPr>
        <w:ind w:left="720"/>
      </w:pPr>
      <w:r w:rsidRPr="008A3126">
        <w:t xml:space="preserve">If abortion services are included in the </w:t>
      </w:r>
      <w:r w:rsidR="00663C10">
        <w:t xml:space="preserve">State </w:t>
      </w:r>
      <w:r w:rsidRPr="008A3126">
        <w:t xml:space="preserve">EHB </w:t>
      </w:r>
      <w:r w:rsidR="00663C10">
        <w:t>Benefit Plan</w:t>
      </w:r>
      <w:r w:rsidRPr="008A3126">
        <w:t>, the portion of the premium related to these services is to be handled using two different methods in accordance with the criteria described below.</w:t>
      </w:r>
    </w:p>
    <w:p w14:paraId="11733EF1" w14:textId="77777777" w:rsidR="00D835E4" w:rsidRPr="008A3126" w:rsidRDefault="00D835E4" w:rsidP="009D2B17">
      <w:pPr>
        <w:pStyle w:val="ListParagraph"/>
        <w:numPr>
          <w:ilvl w:val="0"/>
          <w:numId w:val="31"/>
        </w:numPr>
      </w:pPr>
      <w:r w:rsidRPr="008A3126">
        <w:t>If the plan is a QHP offered in the Federally</w:t>
      </w:r>
      <w:r w:rsidR="00F0556E">
        <w:t>-f</w:t>
      </w:r>
      <w:r w:rsidRPr="008A3126">
        <w:t xml:space="preserve">acilitated </w:t>
      </w:r>
      <w:r w:rsidR="00DE6C09">
        <w:t>Marketplace</w:t>
      </w:r>
      <w:r w:rsidRPr="008A3126">
        <w:t xml:space="preserve"> or State-</w:t>
      </w:r>
      <w:r w:rsidR="00F0556E">
        <w:t>b</w:t>
      </w:r>
      <w:r w:rsidRPr="008A3126">
        <w:t xml:space="preserve">ased </w:t>
      </w:r>
      <w:r w:rsidR="00DE6C09">
        <w:t>Marketplace</w:t>
      </w:r>
      <w:r w:rsidRPr="008A3126">
        <w:t>, the percentage of the premium associated with abortion services should not be included in the EHB percentage (even though these services may be in the EHB benchmark package). The EHB percentage will be used in the calculation of subsidy amounts. Since subsidy payments may not be provided for costs associated with abortion services, they must be excluded from the EHB proportion.</w:t>
      </w:r>
    </w:p>
    <w:p w14:paraId="0D42632B" w14:textId="77777777" w:rsidR="00D835E4" w:rsidRPr="008A3126" w:rsidRDefault="00D835E4" w:rsidP="009D2B17">
      <w:pPr>
        <w:pStyle w:val="ListParagraph"/>
        <w:numPr>
          <w:ilvl w:val="0"/>
          <w:numId w:val="31"/>
        </w:numPr>
      </w:pPr>
      <w:r w:rsidRPr="008A3126">
        <w:t>If the plan is not a QHP offered in the Federally</w:t>
      </w:r>
      <w:r w:rsidR="00F0556E">
        <w:t>-f</w:t>
      </w:r>
      <w:r w:rsidRPr="008A3126">
        <w:t xml:space="preserve">acilitated </w:t>
      </w:r>
      <w:r w:rsidR="00DE6C09">
        <w:t>Marketplace</w:t>
      </w:r>
      <w:r w:rsidRPr="008A3126">
        <w:t xml:space="preserve"> or State-</w:t>
      </w:r>
      <w:r w:rsidR="00F0556E">
        <w:t>b</w:t>
      </w:r>
      <w:r w:rsidRPr="008A3126">
        <w:t xml:space="preserve">ased </w:t>
      </w:r>
      <w:r w:rsidR="00DE6C09">
        <w:t>Marketplace</w:t>
      </w:r>
      <w:r w:rsidRPr="008A3126">
        <w:t>, but rather is only offered in the outside market, the percentage of premium associated with abortion services should be included in the EHB percentage.</w:t>
      </w:r>
    </w:p>
    <w:p w14:paraId="46E32444" w14:textId="5C5B8874" w:rsidR="00D835E4" w:rsidRPr="008A3126" w:rsidRDefault="00D835E4" w:rsidP="00D835E4">
      <w:pPr>
        <w:ind w:left="720"/>
      </w:pPr>
      <w:r w:rsidRPr="008A3126">
        <w:t xml:space="preserve">If abortion services are not included in the </w:t>
      </w:r>
      <w:r w:rsidR="00663C10">
        <w:t xml:space="preserve">State </w:t>
      </w:r>
      <w:r w:rsidRPr="008A3126">
        <w:t xml:space="preserve">EHB </w:t>
      </w:r>
      <w:r w:rsidR="00663C10">
        <w:t>B</w:t>
      </w:r>
      <w:r w:rsidRPr="008A3126">
        <w:t xml:space="preserve">enchmark </w:t>
      </w:r>
      <w:r w:rsidR="00663C10">
        <w:t>Plan</w:t>
      </w:r>
      <w:r w:rsidRPr="008A3126">
        <w:t xml:space="preserve">, any covered abortion services should be reflected in either the state mandated benefits portion or the other benefits portion regardless of whether the plan is sold inside or outside of the </w:t>
      </w:r>
      <w:r w:rsidR="00DE6C09">
        <w:t>Marketplace</w:t>
      </w:r>
      <w:r w:rsidRPr="008A3126">
        <w:t>.</w:t>
      </w:r>
    </w:p>
    <w:p w14:paraId="12F30EA9" w14:textId="3270AB64" w:rsidR="00D835E4" w:rsidRPr="008A3126" w:rsidRDefault="00D835E4" w:rsidP="00D835E4">
      <w:pPr>
        <w:ind w:left="720"/>
      </w:pPr>
      <w:r w:rsidRPr="008A3126">
        <w:t xml:space="preserve">Submission of the </w:t>
      </w:r>
      <w:r w:rsidR="00DF1D2C">
        <w:t xml:space="preserve">Part I </w:t>
      </w:r>
      <w:r w:rsidR="00335EA5">
        <w:t>URRT</w:t>
      </w:r>
      <w:r w:rsidRPr="008A3126">
        <w:t xml:space="preserve"> and corresponding </w:t>
      </w:r>
      <w:r w:rsidR="00DF1D2C">
        <w:t xml:space="preserve">Part III </w:t>
      </w:r>
      <w:r w:rsidRPr="008A3126">
        <w:t>Actuarial Memorandum satisfies the requirements of 45 CFR 154.215 and 156.470.</w:t>
      </w:r>
    </w:p>
    <w:p w14:paraId="11862797" w14:textId="7A5901BC" w:rsidR="00D835E4" w:rsidRPr="00E712E8" w:rsidRDefault="00D835E4" w:rsidP="00D835E4">
      <w:r w:rsidRPr="00E712E8">
        <w:rPr>
          <w:b/>
        </w:rPr>
        <w:t xml:space="preserve">State </w:t>
      </w:r>
      <w:r w:rsidR="004845E2" w:rsidRPr="00E712E8">
        <w:rPr>
          <w:b/>
        </w:rPr>
        <w:t>M</w:t>
      </w:r>
      <w:r w:rsidRPr="00E712E8">
        <w:rPr>
          <w:b/>
        </w:rPr>
        <w:t xml:space="preserve">andated </w:t>
      </w:r>
      <w:r w:rsidR="004845E2" w:rsidRPr="00E712E8">
        <w:rPr>
          <w:b/>
        </w:rPr>
        <w:t>B</w:t>
      </w:r>
      <w:r w:rsidRPr="00E712E8">
        <w:rPr>
          <w:b/>
        </w:rPr>
        <w:t xml:space="preserve">enefits </w:t>
      </w:r>
      <w:r w:rsidR="004845E2" w:rsidRPr="00E712E8">
        <w:rPr>
          <w:b/>
        </w:rPr>
        <w:t>P</w:t>
      </w:r>
      <w:r w:rsidRPr="00E712E8">
        <w:rPr>
          <w:b/>
        </w:rPr>
        <w:t xml:space="preserve">ortion of TP that are </w:t>
      </w:r>
      <w:r w:rsidR="004845E2" w:rsidRPr="00E712E8">
        <w:rPr>
          <w:b/>
        </w:rPr>
        <w:t>O</w:t>
      </w:r>
      <w:r w:rsidRPr="00E712E8">
        <w:rPr>
          <w:b/>
        </w:rPr>
        <w:t xml:space="preserve">ther </w:t>
      </w:r>
      <w:r w:rsidR="004845E2" w:rsidRPr="00E712E8">
        <w:rPr>
          <w:b/>
        </w:rPr>
        <w:t>T</w:t>
      </w:r>
      <w:r w:rsidRPr="00E712E8">
        <w:rPr>
          <w:b/>
        </w:rPr>
        <w:t>han EHB</w:t>
      </w:r>
      <w:r w:rsidRPr="00E712E8">
        <w:t xml:space="preserve">: </w:t>
      </w:r>
      <w:r w:rsidR="0053623F">
        <w:t xml:space="preserve"> </w:t>
      </w:r>
      <w:r w:rsidRPr="00E712E8">
        <w:t xml:space="preserve">Enter the percentage of the total premium for each plan that is associated with state mandated benefits that are not EHB. </w:t>
      </w:r>
    </w:p>
    <w:p w14:paraId="62A97630" w14:textId="77777777" w:rsidR="00D835E4" w:rsidRPr="00E712E8" w:rsidRDefault="00D835E4" w:rsidP="00D835E4">
      <w:pPr>
        <w:ind w:left="720"/>
      </w:pPr>
      <w:r w:rsidRPr="00E712E8">
        <w:t>Similar to the EHB percentage, the state mandated benefit percentage of the total premium should include the portion of administrative expenses, taxes and fees and risk and profit loads associated with these services.</w:t>
      </w:r>
    </w:p>
    <w:p w14:paraId="1A280155" w14:textId="43A4768B" w:rsidR="00222A9C" w:rsidRDefault="00222A9C" w:rsidP="00222A9C">
      <w:pPr>
        <w:ind w:left="720"/>
      </w:pPr>
      <w:r>
        <w:t xml:space="preserve">If a state mandates that issuers </w:t>
      </w:r>
      <w:r w:rsidRPr="00647AA8">
        <w:rPr>
          <w:i/>
        </w:rPr>
        <w:t>cover</w:t>
      </w:r>
      <w:r>
        <w:t xml:space="preserve"> a non-EHB, include the portion of premium associated with the non-EHB in this field.  If a state mandates that issuers </w:t>
      </w:r>
      <w:r w:rsidRPr="00647AA8">
        <w:rPr>
          <w:i/>
        </w:rPr>
        <w:t>offer</w:t>
      </w:r>
      <w:r>
        <w:t xml:space="preserve"> a non-EHB (but the </w:t>
      </w:r>
      <w:r w:rsidR="00AA016F">
        <w:t>benefit is not required to be included in every plan</w:t>
      </w:r>
      <w:r>
        <w:t>), do not include that portion of premium in this field; it should be reflected in the “Other benefits” field.</w:t>
      </w:r>
    </w:p>
    <w:p w14:paraId="0BA7E787" w14:textId="22717B95" w:rsidR="00D835E4" w:rsidRPr="008A3126" w:rsidRDefault="00D835E4" w:rsidP="00D835E4">
      <w:pPr>
        <w:ind w:left="720"/>
      </w:pPr>
      <w:r w:rsidRPr="008A3126">
        <w:t xml:space="preserve">The percentages in these fields are required as states will need to </w:t>
      </w:r>
      <w:r w:rsidR="00203D02">
        <w:t>defray the cost of</w:t>
      </w:r>
      <w:r w:rsidRPr="008A3126">
        <w:t xml:space="preserve"> state mandated benefits that are not EHB.</w:t>
      </w:r>
    </w:p>
    <w:p w14:paraId="4369D313" w14:textId="77777777" w:rsidR="00D835E4" w:rsidRPr="008A3126" w:rsidRDefault="00D835E4" w:rsidP="00D835E4">
      <w:r w:rsidRPr="008A3126">
        <w:rPr>
          <w:b/>
        </w:rPr>
        <w:t xml:space="preserve">Other </w:t>
      </w:r>
      <w:r w:rsidR="004845E2">
        <w:rPr>
          <w:b/>
        </w:rPr>
        <w:t>B</w:t>
      </w:r>
      <w:r w:rsidRPr="008A3126">
        <w:rPr>
          <w:b/>
        </w:rPr>
        <w:t xml:space="preserve">enefits </w:t>
      </w:r>
      <w:r w:rsidR="004845E2">
        <w:rPr>
          <w:b/>
        </w:rPr>
        <w:t>P</w:t>
      </w:r>
      <w:r w:rsidRPr="008A3126">
        <w:rPr>
          <w:b/>
        </w:rPr>
        <w:t>ortion of TP:</w:t>
      </w:r>
      <w:r w:rsidRPr="008A3126">
        <w:t xml:space="preserve">  This is a calculated field which generates the remaining percentage of the total premium based on the values entered from the EHB and state mandated benefits portions, described above. </w:t>
      </w:r>
    </w:p>
    <w:p w14:paraId="4DD3601C" w14:textId="46DACFEA" w:rsidR="00D835E4" w:rsidRPr="008A3126" w:rsidRDefault="00AA016F" w:rsidP="00D835E4">
      <w:pPr>
        <w:ind w:left="720"/>
      </w:pPr>
      <w:r>
        <w:t xml:space="preserve">The </w:t>
      </w:r>
      <w:r w:rsidR="00D835E4" w:rsidRPr="008A3126">
        <w:t xml:space="preserve">sum of the EHB portion, the state mandated benefit portion </w:t>
      </w:r>
      <w:r w:rsidR="00203D02">
        <w:t>for non-</w:t>
      </w:r>
      <w:r w:rsidR="00D835E4" w:rsidRPr="008A3126">
        <w:t>EHBs</w:t>
      </w:r>
      <w:r>
        <w:t>,</w:t>
      </w:r>
      <w:r w:rsidR="00D835E4" w:rsidRPr="008A3126">
        <w:t xml:space="preserve"> and the other benefits portion should equal 100%.</w:t>
      </w:r>
    </w:p>
    <w:p w14:paraId="411AF4B4" w14:textId="348C6F8B" w:rsidR="00D835E4" w:rsidRPr="008A3126" w:rsidRDefault="00D835E4" w:rsidP="00D835E4">
      <w:r w:rsidRPr="008A3126">
        <w:rPr>
          <w:b/>
        </w:rPr>
        <w:t>Total Allowed Claims (TAC):</w:t>
      </w:r>
      <w:r w:rsidR="0053623F">
        <w:t xml:space="preserve"> </w:t>
      </w:r>
      <w:r w:rsidR="00AB3365">
        <w:t xml:space="preserve"> </w:t>
      </w:r>
      <w:r w:rsidRPr="008A3126">
        <w:t>Enter the total allowed claims for each benefit plan with service dates within the projection period. See the instructions for Worksheet 1 for the definition of Allowed Claims.</w:t>
      </w:r>
    </w:p>
    <w:p w14:paraId="422A71C3" w14:textId="3954336E" w:rsidR="00D835E4" w:rsidRPr="008A3126" w:rsidRDefault="00D835E4" w:rsidP="00D835E4">
      <w:pPr>
        <w:ind w:left="720"/>
      </w:pPr>
      <w:r w:rsidRPr="008A3126">
        <w:t xml:space="preserve">The Total Allowed Claims (TAC) across all benefit plans for the projection period should be consistent with the total allowed claims, the projected risk adjustments and the projected ACA reinsurance recoveries entered in Section III of Worksheet 1. The template includes a “Warning” indicator when the sum of the allowed claims, the projected risk adjustments and the projected ACA reinsurance recoveries in Worksheet 1 and the allowed claims in Worksheet 2 are significantly different. If a </w:t>
      </w:r>
      <w:r w:rsidR="00256281">
        <w:t>w</w:t>
      </w:r>
      <w:r w:rsidRPr="008A3126">
        <w:t xml:space="preserve">arning is </w:t>
      </w:r>
      <w:r w:rsidR="00256281">
        <w:t>trigger</w:t>
      </w:r>
      <w:r w:rsidRPr="008A3126">
        <w:t>ed, the issuer should provide additional support for the difference between these amounts in the Actuarial Memorandum.</w:t>
      </w:r>
    </w:p>
    <w:p w14:paraId="715B0D8B" w14:textId="0A9FE6D0" w:rsidR="00D835E4" w:rsidRPr="008A3126" w:rsidRDefault="00D835E4" w:rsidP="00D835E4">
      <w:r w:rsidRPr="008A3126">
        <w:rPr>
          <w:b/>
        </w:rPr>
        <w:t>EHB Percent of TAC:</w:t>
      </w:r>
      <w:r w:rsidRPr="008A3126">
        <w:t xml:space="preserve">  Enter the percentage of the total allowed claims that are associated with EHB services in each plan during the </w:t>
      </w:r>
      <w:r w:rsidR="00433464">
        <w:t>P</w:t>
      </w:r>
      <w:r w:rsidRPr="008A3126">
        <w:t xml:space="preserve">rojection </w:t>
      </w:r>
      <w:r w:rsidR="00433464">
        <w:t>P</w:t>
      </w:r>
      <w:r w:rsidRPr="008A3126">
        <w:t xml:space="preserve">eriod.  If abortion services are included in the EHB package, the portion of the allowed claims related to these services is to be handled in two different methods in accordance with the criteria described below. It is critical that this percentage be entered correctly. This field </w:t>
      </w:r>
      <w:r w:rsidR="0053623F">
        <w:t>may be</w:t>
      </w:r>
      <w:r w:rsidRPr="008A3126">
        <w:t xml:space="preserve"> used by CCIIO to calculate </w:t>
      </w:r>
      <w:r w:rsidR="006900FC">
        <w:t>cost-sharing</w:t>
      </w:r>
      <w:r w:rsidRPr="008A3126">
        <w:t xml:space="preserve"> reduction advance payments for subsidy-eligible enrollees. If the values in this field are not entered correctly, the calculation of the </w:t>
      </w:r>
      <w:r w:rsidR="006900FC">
        <w:t>cost-sharing</w:t>
      </w:r>
      <w:r w:rsidRPr="008A3126">
        <w:t xml:space="preserve"> reduction advance payments may be incorrect for an issuer. </w:t>
      </w:r>
    </w:p>
    <w:p w14:paraId="4D23872E" w14:textId="77777777" w:rsidR="00D835E4" w:rsidRPr="008A3126" w:rsidRDefault="00D835E4" w:rsidP="009D2B17">
      <w:pPr>
        <w:pStyle w:val="ListParagraph"/>
        <w:numPr>
          <w:ilvl w:val="0"/>
          <w:numId w:val="31"/>
        </w:numPr>
      </w:pPr>
      <w:r w:rsidRPr="008A3126">
        <w:t>If the plan is a QHP offered in the Federally</w:t>
      </w:r>
      <w:r w:rsidR="00F0556E">
        <w:t>-f</w:t>
      </w:r>
      <w:r w:rsidRPr="008A3126">
        <w:t xml:space="preserve">acilitated </w:t>
      </w:r>
      <w:r w:rsidR="00DE6C09">
        <w:t>Marketplace</w:t>
      </w:r>
      <w:r w:rsidRPr="008A3126">
        <w:t xml:space="preserve"> or State-</w:t>
      </w:r>
      <w:r w:rsidR="00F0556E">
        <w:t>b</w:t>
      </w:r>
      <w:r w:rsidRPr="008A3126">
        <w:t xml:space="preserve">ased </w:t>
      </w:r>
      <w:r w:rsidR="00DE6C09">
        <w:t>Marketplace</w:t>
      </w:r>
      <w:r w:rsidRPr="008A3126">
        <w:t xml:space="preserve">, the percentage of the allowed claims associated with abortion services should not be included in the EHB percentage (even though these services may be in the EHB package). </w:t>
      </w:r>
    </w:p>
    <w:p w14:paraId="6705C8F3" w14:textId="77777777" w:rsidR="00D835E4" w:rsidRPr="008A3126" w:rsidRDefault="00D835E4" w:rsidP="009D2B17">
      <w:pPr>
        <w:pStyle w:val="ListParagraph"/>
        <w:numPr>
          <w:ilvl w:val="0"/>
          <w:numId w:val="31"/>
        </w:numPr>
      </w:pPr>
      <w:r w:rsidRPr="008A3126">
        <w:t>If the plan is not a QHP offered in the Federally</w:t>
      </w:r>
      <w:r w:rsidR="00F0556E">
        <w:t>-f</w:t>
      </w:r>
      <w:r w:rsidRPr="008A3126">
        <w:t xml:space="preserve">acilitated </w:t>
      </w:r>
      <w:r w:rsidR="00DE6C09">
        <w:t>Marketplace</w:t>
      </w:r>
      <w:r w:rsidRPr="008A3126">
        <w:t xml:space="preserve"> or State-</w:t>
      </w:r>
      <w:r w:rsidR="00F0556E">
        <w:t>b</w:t>
      </w:r>
      <w:r w:rsidRPr="008A3126">
        <w:t xml:space="preserve">ased </w:t>
      </w:r>
      <w:r w:rsidR="00DE6C09">
        <w:t>Marketplace</w:t>
      </w:r>
      <w:r w:rsidRPr="008A3126">
        <w:t>, but rather is only offered in the outside market, the percentage of allowed claims associated with abortion services should be included in the EHB percentage.</w:t>
      </w:r>
    </w:p>
    <w:p w14:paraId="63FAF8ED" w14:textId="77777777" w:rsidR="00D835E4" w:rsidRPr="008A3126" w:rsidRDefault="00D835E4" w:rsidP="00D835E4">
      <w:pPr>
        <w:ind w:left="720"/>
      </w:pPr>
      <w:r w:rsidRPr="008A3126">
        <w:t xml:space="preserve">If abortion services are not included in the EHB package, any covered abortion services should be reflected in either the state mandated benefits portion or the other benefits portion regardless of whether the plan is sold inside or outside of the </w:t>
      </w:r>
      <w:r w:rsidR="00DE6C09">
        <w:t>Marketplace</w:t>
      </w:r>
      <w:r w:rsidRPr="008A3126">
        <w:t>.</w:t>
      </w:r>
    </w:p>
    <w:p w14:paraId="2E2C9675" w14:textId="77777777" w:rsidR="00D835E4" w:rsidRPr="008A3126" w:rsidRDefault="00D835E4" w:rsidP="00D835E4">
      <w:pPr>
        <w:ind w:left="720"/>
      </w:pPr>
      <w:r w:rsidRPr="008A3126">
        <w:t xml:space="preserve">Submission of the Part I </w:t>
      </w:r>
      <w:r w:rsidR="00533C29">
        <w:t>URRT</w:t>
      </w:r>
      <w:r w:rsidRPr="008A3126">
        <w:t xml:space="preserve"> and corresponding Part III Actuarial Memorandum satisfy the requirements of 45 CFR </w:t>
      </w:r>
      <w:r w:rsidR="00F0556E">
        <w:t xml:space="preserve">§§ </w:t>
      </w:r>
      <w:r w:rsidRPr="008A3126">
        <w:t>154.215 and 156.470.</w:t>
      </w:r>
    </w:p>
    <w:p w14:paraId="7F94D1BA" w14:textId="7E3DAA19" w:rsidR="00D835E4" w:rsidRPr="008A3126" w:rsidRDefault="00D835E4" w:rsidP="00D835E4">
      <w:r w:rsidRPr="008A3126">
        <w:rPr>
          <w:b/>
        </w:rPr>
        <w:t xml:space="preserve">State </w:t>
      </w:r>
      <w:r w:rsidR="004845E2">
        <w:rPr>
          <w:b/>
        </w:rPr>
        <w:t>M</w:t>
      </w:r>
      <w:r w:rsidRPr="008A3126">
        <w:rPr>
          <w:b/>
        </w:rPr>
        <w:t xml:space="preserve">andated </w:t>
      </w:r>
      <w:r w:rsidR="004845E2">
        <w:rPr>
          <w:b/>
        </w:rPr>
        <w:t>B</w:t>
      </w:r>
      <w:r w:rsidRPr="008A3126">
        <w:rPr>
          <w:b/>
        </w:rPr>
        <w:t xml:space="preserve">enefits </w:t>
      </w:r>
      <w:r w:rsidR="004845E2">
        <w:rPr>
          <w:b/>
        </w:rPr>
        <w:t>P</w:t>
      </w:r>
      <w:r w:rsidRPr="008A3126">
        <w:rPr>
          <w:b/>
        </w:rPr>
        <w:t xml:space="preserve">ortion of TAC that are </w:t>
      </w:r>
      <w:r w:rsidR="004845E2">
        <w:rPr>
          <w:b/>
        </w:rPr>
        <w:t>O</w:t>
      </w:r>
      <w:r w:rsidRPr="008A3126">
        <w:rPr>
          <w:b/>
        </w:rPr>
        <w:t xml:space="preserve">ther </w:t>
      </w:r>
      <w:r w:rsidR="004845E2">
        <w:rPr>
          <w:b/>
        </w:rPr>
        <w:t>T</w:t>
      </w:r>
      <w:r w:rsidRPr="008A3126">
        <w:rPr>
          <w:b/>
        </w:rPr>
        <w:t>han EHB</w:t>
      </w:r>
      <w:r w:rsidRPr="008A3126">
        <w:t>:</w:t>
      </w:r>
      <w:r w:rsidR="0053623F">
        <w:t xml:space="preserve"> </w:t>
      </w:r>
      <w:r w:rsidR="00AB3365">
        <w:t xml:space="preserve"> </w:t>
      </w:r>
      <w:r w:rsidRPr="008A3126">
        <w:t xml:space="preserve">Enter the percentage of the total allowed claims for each plan that are associated with state mandated benefits that are not part of the EHB package. </w:t>
      </w:r>
    </w:p>
    <w:p w14:paraId="0B3EDADD" w14:textId="68D52F6F" w:rsidR="00222A9C" w:rsidRDefault="00222A9C" w:rsidP="00222A9C">
      <w:pPr>
        <w:ind w:left="720"/>
      </w:pPr>
      <w:r>
        <w:t xml:space="preserve">If a state mandates that issuers </w:t>
      </w:r>
      <w:r w:rsidRPr="00647AA8">
        <w:rPr>
          <w:i/>
        </w:rPr>
        <w:t>cover</w:t>
      </w:r>
      <w:r>
        <w:t xml:space="preserve"> a non-EHB, include the portion of allowed claims associated with the non-EHB in this field.  If a state mandates that an issuers must </w:t>
      </w:r>
      <w:r w:rsidRPr="00647AA8">
        <w:rPr>
          <w:i/>
        </w:rPr>
        <w:t>offer</w:t>
      </w:r>
      <w:r>
        <w:t xml:space="preserve"> a non-EHB (but the </w:t>
      </w:r>
      <w:r w:rsidR="0053623F">
        <w:t>benefit is not required to be included in every plan</w:t>
      </w:r>
      <w:r>
        <w:t>), do not include that portion of allowed claims in this field; it should be reflected in the “Other benefits” field.</w:t>
      </w:r>
    </w:p>
    <w:p w14:paraId="055F015E" w14:textId="2051D871" w:rsidR="00D835E4" w:rsidRPr="008A3126" w:rsidRDefault="00D835E4" w:rsidP="00E43DD1">
      <w:r w:rsidRPr="008A3126">
        <w:rPr>
          <w:b/>
        </w:rPr>
        <w:t xml:space="preserve">Other </w:t>
      </w:r>
      <w:r w:rsidR="004845E2">
        <w:rPr>
          <w:b/>
        </w:rPr>
        <w:t>B</w:t>
      </w:r>
      <w:r w:rsidRPr="008A3126">
        <w:rPr>
          <w:b/>
        </w:rPr>
        <w:t xml:space="preserve">enefits </w:t>
      </w:r>
      <w:r w:rsidR="004845E2">
        <w:rPr>
          <w:b/>
        </w:rPr>
        <w:t>P</w:t>
      </w:r>
      <w:r w:rsidRPr="008A3126">
        <w:rPr>
          <w:b/>
        </w:rPr>
        <w:t>ortion of TAC:</w:t>
      </w:r>
      <w:r w:rsidRPr="008A3126">
        <w:t xml:space="preserve">  This is a calculated field which generates the remaining percentage of the total allowed claims based on the values entered from the EHB and state mandated benefits portions, described above. </w:t>
      </w:r>
    </w:p>
    <w:p w14:paraId="28C425A7" w14:textId="77777777" w:rsidR="00D835E4" w:rsidRPr="008A3126" w:rsidRDefault="00D835E4" w:rsidP="00593B2E">
      <w:pPr>
        <w:ind w:left="720"/>
      </w:pPr>
      <w:r w:rsidRPr="008A3126">
        <w:t>As stated previously, the sum of the EHB portion, the state mandated benefit portion not associated with EHBs</w:t>
      </w:r>
      <w:r w:rsidR="0076424A">
        <w:t>,</w:t>
      </w:r>
      <w:r w:rsidRPr="008A3126">
        <w:t xml:space="preserve"> and the other benefits portion should equal 100%.</w:t>
      </w:r>
    </w:p>
    <w:p w14:paraId="07E53B7B" w14:textId="5589947B" w:rsidR="00D835E4" w:rsidRPr="008A3126" w:rsidRDefault="00D835E4" w:rsidP="00D835E4">
      <w:r w:rsidRPr="008A3126">
        <w:rPr>
          <w:b/>
        </w:rPr>
        <w:t xml:space="preserve">Allowed Claims </w:t>
      </w:r>
      <w:r w:rsidR="0053623F">
        <w:rPr>
          <w:b/>
        </w:rPr>
        <w:t>w</w:t>
      </w:r>
      <w:r w:rsidRPr="008A3126">
        <w:rPr>
          <w:b/>
        </w:rPr>
        <w:t xml:space="preserve">hich are not the </w:t>
      </w:r>
      <w:r w:rsidR="004845E2">
        <w:rPr>
          <w:b/>
        </w:rPr>
        <w:t>I</w:t>
      </w:r>
      <w:r w:rsidRPr="008A3126">
        <w:rPr>
          <w:b/>
        </w:rPr>
        <w:t xml:space="preserve">ssuer’s </w:t>
      </w:r>
      <w:r w:rsidR="004845E2">
        <w:rPr>
          <w:b/>
        </w:rPr>
        <w:t>O</w:t>
      </w:r>
      <w:r w:rsidRPr="008A3126">
        <w:rPr>
          <w:b/>
        </w:rPr>
        <w:t>bligation:</w:t>
      </w:r>
      <w:r w:rsidR="00915B9B" w:rsidDel="00915B9B">
        <w:rPr>
          <w:b/>
        </w:rPr>
        <w:t xml:space="preserve"> </w:t>
      </w:r>
      <w:r w:rsidRPr="008A3126">
        <w:t xml:space="preserve"> Enter the portion of the allowed claims (as defined in Worksheet 2) that were paid by the insured or other funds for each plan separately during the projection period. These would include the following types of payments:</w:t>
      </w:r>
    </w:p>
    <w:p w14:paraId="00279FED" w14:textId="549CC3C0" w:rsidR="00D835E4" w:rsidRPr="008A3126" w:rsidRDefault="00D835E4" w:rsidP="009D2B17">
      <w:pPr>
        <w:pStyle w:val="ListParagraph"/>
        <w:numPr>
          <w:ilvl w:val="0"/>
          <w:numId w:val="32"/>
        </w:numPr>
      </w:pPr>
      <w:r w:rsidRPr="008A3126">
        <w:t xml:space="preserve">Member </w:t>
      </w:r>
      <w:r w:rsidR="006900FC">
        <w:t>cost-sharing</w:t>
      </w:r>
      <w:r w:rsidRPr="008A3126">
        <w:t xml:space="preserve"> (i.e. deductible, coinsurance and copays). This should be based on the </w:t>
      </w:r>
      <w:r w:rsidR="006900FC">
        <w:t>cost-sharing</w:t>
      </w:r>
      <w:r w:rsidRPr="008A3126">
        <w:t xml:space="preserve"> associated with the benefits of each plan. For those plans with reduced </w:t>
      </w:r>
      <w:r w:rsidR="006900FC">
        <w:t>cost-sharing</w:t>
      </w:r>
      <w:r w:rsidRPr="008A3126">
        <w:t xml:space="preserve"> subsidies for the member, the </w:t>
      </w:r>
      <w:r w:rsidR="006900FC">
        <w:t>cost-sharing</w:t>
      </w:r>
      <w:r w:rsidRPr="008A3126">
        <w:t xml:space="preserve"> amount included </w:t>
      </w:r>
      <w:r w:rsidR="00A335C9">
        <w:t xml:space="preserve">in </w:t>
      </w:r>
      <w:r w:rsidRPr="008A3126">
        <w:t>this value should reflect both the amount paid by the member and the subsidies.</w:t>
      </w:r>
    </w:p>
    <w:p w14:paraId="0B2EEA18" w14:textId="69A48264" w:rsidR="00D835E4" w:rsidRPr="008A3126" w:rsidRDefault="00D835E4" w:rsidP="009D2B17">
      <w:pPr>
        <w:pStyle w:val="ListParagraph"/>
        <w:numPr>
          <w:ilvl w:val="0"/>
          <w:numId w:val="32"/>
        </w:numPr>
      </w:pPr>
      <w:r w:rsidRPr="008A3126">
        <w:t>Risk transfer charges or payments associated with the risk adjustment program. In this case, risk adjustment charges made to the program should be entered as a negative amount and payments received from the program should be entered as a positive amount. The issuer should estimate the risk transfer charge or payment by plan and provide detailed information in the Actuarial Memorandum on the methodology used to allocate the payments between plans.</w:t>
      </w:r>
    </w:p>
    <w:p w14:paraId="5ADFDFB9" w14:textId="5B27987F" w:rsidR="00D835E4" w:rsidRPr="008A3126" w:rsidRDefault="00D835E4" w:rsidP="009D2B17">
      <w:pPr>
        <w:pStyle w:val="ListParagraph"/>
        <w:numPr>
          <w:ilvl w:val="0"/>
          <w:numId w:val="32"/>
        </w:numPr>
      </w:pPr>
      <w:r w:rsidRPr="008A3126">
        <w:t xml:space="preserve">Other claims that are not described above but included in this cell should be described in detail in the Actuarial Memorandum. </w:t>
      </w:r>
    </w:p>
    <w:p w14:paraId="5996970E" w14:textId="2F87DC3D" w:rsidR="00D835E4" w:rsidRPr="008A3126" w:rsidRDefault="00BA6F02" w:rsidP="00D835E4">
      <w:r w:rsidRPr="008A3126">
        <w:rPr>
          <w:b/>
        </w:rPr>
        <w:t xml:space="preserve">Portion of </w:t>
      </w:r>
      <w:r>
        <w:rPr>
          <w:b/>
        </w:rPr>
        <w:t>A</w:t>
      </w:r>
      <w:r w:rsidRPr="008A3126">
        <w:rPr>
          <w:b/>
        </w:rPr>
        <w:t xml:space="preserve">bove </w:t>
      </w:r>
      <w:r>
        <w:rPr>
          <w:b/>
        </w:rPr>
        <w:t>P</w:t>
      </w:r>
      <w:r w:rsidRPr="008A3126">
        <w:rPr>
          <w:b/>
        </w:rPr>
        <w:t xml:space="preserve">ayable by HHS’s </w:t>
      </w:r>
      <w:r>
        <w:rPr>
          <w:b/>
        </w:rPr>
        <w:t>F</w:t>
      </w:r>
      <w:r w:rsidRPr="008A3126">
        <w:rPr>
          <w:b/>
        </w:rPr>
        <w:t xml:space="preserve">und on </w:t>
      </w:r>
      <w:r>
        <w:rPr>
          <w:b/>
        </w:rPr>
        <w:t>B</w:t>
      </w:r>
      <w:r w:rsidRPr="008A3126">
        <w:rPr>
          <w:b/>
        </w:rPr>
        <w:t xml:space="preserve">ehalf of </w:t>
      </w:r>
      <w:r>
        <w:rPr>
          <w:b/>
        </w:rPr>
        <w:t>I</w:t>
      </w:r>
      <w:r w:rsidRPr="008A3126">
        <w:rPr>
          <w:b/>
        </w:rPr>
        <w:t xml:space="preserve">nsured </w:t>
      </w:r>
      <w:r>
        <w:rPr>
          <w:b/>
        </w:rPr>
        <w:t>P</w:t>
      </w:r>
      <w:r w:rsidRPr="008A3126">
        <w:rPr>
          <w:b/>
        </w:rPr>
        <w:t xml:space="preserve">erson, in </w:t>
      </w:r>
      <w:r>
        <w:rPr>
          <w:b/>
        </w:rPr>
        <w:t>D</w:t>
      </w:r>
      <w:r w:rsidRPr="008A3126">
        <w:rPr>
          <w:b/>
        </w:rPr>
        <w:t>ollars:</w:t>
      </w:r>
      <w:r w:rsidR="0053623F">
        <w:rPr>
          <w:b/>
        </w:rPr>
        <w:t xml:space="preserve"> </w:t>
      </w:r>
      <w:r w:rsidR="00AB3365">
        <w:rPr>
          <w:b/>
        </w:rPr>
        <w:t xml:space="preserve"> </w:t>
      </w:r>
      <w:r w:rsidRPr="008A3126">
        <w:t xml:space="preserve">Enter the portion of the total dollars that are attributable to HHS during the </w:t>
      </w:r>
      <w:r>
        <w:t>P</w:t>
      </w:r>
      <w:r w:rsidRPr="008A3126">
        <w:t xml:space="preserve">rojection </w:t>
      </w:r>
      <w:r>
        <w:t>P</w:t>
      </w:r>
      <w:r w:rsidRPr="008A3126">
        <w:t xml:space="preserve">eriod. </w:t>
      </w:r>
      <w:r w:rsidR="00D835E4" w:rsidRPr="008A3126">
        <w:t xml:space="preserve">This is the </w:t>
      </w:r>
      <w:r w:rsidR="006900FC">
        <w:t>cost-sharing</w:t>
      </w:r>
      <w:r w:rsidR="00D835E4" w:rsidRPr="008A3126">
        <w:t xml:space="preserve"> reduction subsidies. </w:t>
      </w:r>
    </w:p>
    <w:p w14:paraId="012DEA54" w14:textId="7071CCE2" w:rsidR="00D835E4" w:rsidRPr="008A3126" w:rsidRDefault="00D835E4" w:rsidP="00D835E4">
      <w:pPr>
        <w:ind w:left="720"/>
      </w:pPr>
      <w:r w:rsidRPr="008A3126">
        <w:t xml:space="preserve">These estimates should be based on the issuer’s expected enrollment of </w:t>
      </w:r>
      <w:r w:rsidR="006900FC">
        <w:t>cost-sharing</w:t>
      </w:r>
      <w:r w:rsidRPr="008A3126">
        <w:t xml:space="preserve"> reduction eligible members. The methodology used to estimate these values should be explained in the Actuarial Memorandum.</w:t>
      </w:r>
    </w:p>
    <w:p w14:paraId="59833DC1" w14:textId="1F12DE69" w:rsidR="00D835E4" w:rsidRPr="008A3126" w:rsidRDefault="00D835E4" w:rsidP="00D835E4">
      <w:pPr>
        <w:ind w:left="720"/>
      </w:pPr>
      <w:r w:rsidRPr="008A3126">
        <w:t>Since this value is a portion of the payments entered in the Allowed Claims which are not the issuer’s obligations (described above), the same methodology to estimate these payments should be employed.</w:t>
      </w:r>
    </w:p>
    <w:p w14:paraId="1AE4F985" w14:textId="18F7118B" w:rsidR="00D835E4" w:rsidRDefault="00D835E4" w:rsidP="00D835E4">
      <w:r w:rsidRPr="008A3126">
        <w:rPr>
          <w:b/>
        </w:rPr>
        <w:t xml:space="preserve">Portion of </w:t>
      </w:r>
      <w:r w:rsidR="004845E2">
        <w:rPr>
          <w:b/>
        </w:rPr>
        <w:t>A</w:t>
      </w:r>
      <w:r w:rsidRPr="008A3126">
        <w:rPr>
          <w:b/>
        </w:rPr>
        <w:t xml:space="preserve">bove </w:t>
      </w:r>
      <w:r w:rsidR="00BA6F02">
        <w:rPr>
          <w:b/>
        </w:rPr>
        <w:t>P</w:t>
      </w:r>
      <w:r w:rsidR="00BA6F02" w:rsidRPr="008A3126">
        <w:rPr>
          <w:b/>
        </w:rPr>
        <w:t>ayable</w:t>
      </w:r>
      <w:r w:rsidRPr="008A3126">
        <w:rPr>
          <w:b/>
        </w:rPr>
        <w:t xml:space="preserve"> by HHS on </w:t>
      </w:r>
      <w:r w:rsidR="00BA6F02">
        <w:rPr>
          <w:b/>
        </w:rPr>
        <w:t>B</w:t>
      </w:r>
      <w:r w:rsidR="00BA6F02" w:rsidRPr="008A3126">
        <w:rPr>
          <w:b/>
        </w:rPr>
        <w:t>ehalf</w:t>
      </w:r>
      <w:r w:rsidRPr="008A3126">
        <w:rPr>
          <w:b/>
        </w:rPr>
        <w:t xml:space="preserve"> of </w:t>
      </w:r>
      <w:r w:rsidR="004845E2">
        <w:rPr>
          <w:b/>
        </w:rPr>
        <w:t>I</w:t>
      </w:r>
      <w:r w:rsidRPr="008A3126">
        <w:rPr>
          <w:b/>
        </w:rPr>
        <w:t xml:space="preserve">nsured </w:t>
      </w:r>
      <w:r w:rsidR="00BA6F02">
        <w:rPr>
          <w:b/>
        </w:rPr>
        <w:t>P</w:t>
      </w:r>
      <w:r w:rsidR="00BA6F02" w:rsidRPr="008A3126">
        <w:rPr>
          <w:b/>
        </w:rPr>
        <w:t>erson</w:t>
      </w:r>
      <w:r w:rsidRPr="008A3126">
        <w:rPr>
          <w:b/>
        </w:rPr>
        <w:t xml:space="preserve">, as </w:t>
      </w:r>
      <w:r w:rsidR="00203D02">
        <w:rPr>
          <w:b/>
        </w:rPr>
        <w:t>a Percentage</w:t>
      </w:r>
      <w:r w:rsidRPr="008A3126">
        <w:rPr>
          <w:b/>
        </w:rPr>
        <w:t>:</w:t>
      </w:r>
      <w:r w:rsidR="0053623F">
        <w:rPr>
          <w:b/>
        </w:rPr>
        <w:t xml:space="preserve"> </w:t>
      </w:r>
      <w:r w:rsidR="00AB3365">
        <w:rPr>
          <w:b/>
        </w:rPr>
        <w:t xml:space="preserve"> </w:t>
      </w:r>
      <w:r w:rsidRPr="008A3126">
        <w:t>This is a calculated field and displays the percentage of claims covered by HHS over the value of claims not covered by the issuer.</w:t>
      </w:r>
    </w:p>
    <w:p w14:paraId="186AB91F" w14:textId="27B67B19" w:rsidR="00256281" w:rsidRDefault="00256281" w:rsidP="00256281">
      <w:r>
        <w:rPr>
          <w:b/>
        </w:rPr>
        <w:t xml:space="preserve">Total Incurred claims, payable with issuer funds:  </w:t>
      </w:r>
      <w:r>
        <w:t>This is a calculated field that displays the projected incurred claims which the issuer is responsible for paying.</w:t>
      </w:r>
    </w:p>
    <w:p w14:paraId="514CAC02" w14:textId="24E8B6BC" w:rsidR="00256281" w:rsidRPr="00D3268C" w:rsidRDefault="00256281" w:rsidP="00256281">
      <w:r>
        <w:tab/>
        <w:t xml:space="preserve">The Total Incurred claims from all plans should </w:t>
      </w:r>
      <w:r w:rsidR="006A141B">
        <w:t>be consistent</w:t>
      </w:r>
      <w:r>
        <w:t xml:space="preserve"> with the Projected Incurred Claims from Worksheet 1.  A warning is triggered when the incurred claims are significantly different between Worksheet 1 and Worksheet 2.  </w:t>
      </w:r>
      <w:r w:rsidRPr="00B3367C">
        <w:t>If a warning is triggered, the issuer should provide additional support for the di</w:t>
      </w:r>
      <w:r>
        <w:t>fference between the total incurred claims in</w:t>
      </w:r>
      <w:r w:rsidRPr="00B3367C">
        <w:t xml:space="preserve"> Worksheet</w:t>
      </w:r>
      <w:r>
        <w:t>s</w:t>
      </w:r>
      <w:r w:rsidRPr="00B3367C">
        <w:t xml:space="preserve"> 1 and 2 in the Actuarial Memorandum.</w:t>
      </w:r>
    </w:p>
    <w:p w14:paraId="428A6D40" w14:textId="13CD275E" w:rsidR="00D835E4" w:rsidRPr="008A3126" w:rsidRDefault="00D835E4" w:rsidP="00EC3992">
      <w:r w:rsidRPr="008A3126">
        <w:rPr>
          <w:b/>
        </w:rPr>
        <w:t xml:space="preserve">Net </w:t>
      </w:r>
      <w:r w:rsidR="00BA6F02" w:rsidRPr="008A3126">
        <w:rPr>
          <w:b/>
        </w:rPr>
        <w:t>Am</w:t>
      </w:r>
      <w:r w:rsidR="00BA6F02">
        <w:rPr>
          <w:b/>
        </w:rPr>
        <w:t>oun</w:t>
      </w:r>
      <w:r w:rsidR="00BA6F02" w:rsidRPr="008A3126">
        <w:rPr>
          <w:b/>
        </w:rPr>
        <w:t>t</w:t>
      </w:r>
      <w:r w:rsidRPr="008A3126">
        <w:rPr>
          <w:b/>
        </w:rPr>
        <w:t xml:space="preserve"> of Rein:</w:t>
      </w:r>
      <w:r w:rsidR="00ED7D02">
        <w:rPr>
          <w:b/>
        </w:rPr>
        <w:t xml:space="preserve"> </w:t>
      </w:r>
      <w:r w:rsidRPr="008A3126">
        <w:t xml:space="preserve"> </w:t>
      </w:r>
      <w:r w:rsidR="0053623F">
        <w:t xml:space="preserve">This is a holdover from prior years.  As </w:t>
      </w:r>
      <w:r w:rsidR="00183B5F">
        <w:t xml:space="preserve">proposed in the 2017 Payment Notice, </w:t>
      </w:r>
      <w:r w:rsidR="0053623F">
        <w:t xml:space="preserve">the reinsurance program </w:t>
      </w:r>
      <w:r w:rsidR="00183B5F">
        <w:t xml:space="preserve">will end with the </w:t>
      </w:r>
      <w:r w:rsidR="0053623F">
        <w:t>2016</w:t>
      </w:r>
      <w:r w:rsidR="00183B5F">
        <w:t xml:space="preserve"> benefit year</w:t>
      </w:r>
      <w:r w:rsidR="0053623F">
        <w:t xml:space="preserve">, it is expected </w:t>
      </w:r>
      <w:r w:rsidR="000F1FC7">
        <w:t xml:space="preserve">issuers will populate </w:t>
      </w:r>
      <w:r w:rsidR="0053623F">
        <w:t>this field with “0.”</w:t>
      </w:r>
    </w:p>
    <w:p w14:paraId="538DFC3A" w14:textId="382341AE" w:rsidR="00D835E4" w:rsidRPr="008A3126" w:rsidRDefault="00D835E4" w:rsidP="00D835E4">
      <w:r w:rsidRPr="008A3126">
        <w:rPr>
          <w:b/>
        </w:rPr>
        <w:t xml:space="preserve">Net </w:t>
      </w:r>
      <w:r w:rsidR="00BA6F02" w:rsidRPr="008A3126">
        <w:rPr>
          <w:b/>
        </w:rPr>
        <w:t>Am</w:t>
      </w:r>
      <w:r w:rsidR="00BA6F02">
        <w:rPr>
          <w:b/>
        </w:rPr>
        <w:t>oun</w:t>
      </w:r>
      <w:r w:rsidR="00BA6F02" w:rsidRPr="008A3126">
        <w:rPr>
          <w:b/>
        </w:rPr>
        <w:t>t</w:t>
      </w:r>
      <w:r w:rsidRPr="008A3126">
        <w:rPr>
          <w:b/>
        </w:rPr>
        <w:t xml:space="preserve"> of Risk</w:t>
      </w:r>
      <w:r w:rsidR="00ED7D02">
        <w:rPr>
          <w:b/>
        </w:rPr>
        <w:t xml:space="preserve"> </w:t>
      </w:r>
      <w:r w:rsidRPr="008A3126">
        <w:rPr>
          <w:b/>
        </w:rPr>
        <w:t>Adj</w:t>
      </w:r>
      <w:r w:rsidR="004845E2">
        <w:rPr>
          <w:b/>
        </w:rPr>
        <w:t>ustment</w:t>
      </w:r>
      <w:r w:rsidRPr="008A3126">
        <w:rPr>
          <w:b/>
        </w:rPr>
        <w:t>:</w:t>
      </w:r>
      <w:r w:rsidR="0053623F">
        <w:t xml:space="preserve"> </w:t>
      </w:r>
      <w:r w:rsidR="00EC3992">
        <w:t xml:space="preserve"> </w:t>
      </w:r>
      <w:r w:rsidRPr="008A3126">
        <w:t>Enter the amount of any risk transfer payment expected to be received during the projection period for each plan. If a risk transfer charge is anticipated to be assessed, the value entered should be negative.</w:t>
      </w:r>
    </w:p>
    <w:p w14:paraId="09121DF5" w14:textId="7F95E0A0" w:rsidR="007174BB" w:rsidRPr="00674068" w:rsidRDefault="00D835E4" w:rsidP="00D835E4">
      <w:r w:rsidRPr="008A3126">
        <w:t>This value should be consistent with the risk transfer payment, if any, included in the Allowed Claims which are not the issuer’s obligation. If the transfer amount is expected to be a payment received from other issuers</w:t>
      </w:r>
      <w:r w:rsidR="00ED7D02">
        <w:t>,</w:t>
      </w:r>
      <w:r w:rsidRPr="008A3126">
        <w:t xml:space="preserve"> the value should be entered as a positive amount. If the transfer amount is expected to be a charge (liability payment made to other issuers)</w:t>
      </w:r>
      <w:r w:rsidR="00ED7D02">
        <w:t>,</w:t>
      </w:r>
      <w:r w:rsidRPr="008A3126">
        <w:t xml:space="preserve"> a negative value should be entered. </w:t>
      </w:r>
    </w:p>
    <w:p w14:paraId="1713EE2A" w14:textId="151D29E4" w:rsidR="00FB2F5F" w:rsidRDefault="00FB2F5F" w:rsidP="008E5B0B">
      <w:pPr>
        <w:pStyle w:val="Heading1"/>
      </w:pPr>
      <w:bookmarkStart w:id="339" w:name="_Toc410468943"/>
      <w:bookmarkStart w:id="340" w:name="_Toc410468994"/>
      <w:bookmarkStart w:id="341" w:name="_Toc410469502"/>
      <w:bookmarkStart w:id="342" w:name="_Toc410469629"/>
      <w:bookmarkStart w:id="343" w:name="_Toc410469918"/>
      <w:bookmarkStart w:id="344" w:name="_Toc410469984"/>
      <w:bookmarkStart w:id="345" w:name="_Toc410470125"/>
      <w:bookmarkStart w:id="346" w:name="_Toc411934950"/>
      <w:bookmarkStart w:id="347" w:name="_Toc411934951"/>
      <w:bookmarkStart w:id="348" w:name="_Toc411934955"/>
      <w:bookmarkStart w:id="349" w:name="_Toc411934958"/>
      <w:bookmarkStart w:id="350" w:name="_Toc411934960"/>
      <w:bookmarkStart w:id="351" w:name="_Toc411934977"/>
      <w:bookmarkStart w:id="352" w:name="_Toc411934996"/>
      <w:bookmarkStart w:id="353" w:name="_Toc411935005"/>
      <w:bookmarkStart w:id="354" w:name="_Toc411935010"/>
      <w:bookmarkStart w:id="355" w:name="_Toc411935017"/>
      <w:bookmarkStart w:id="356" w:name="_Toc411935018"/>
      <w:bookmarkStart w:id="357" w:name="_Toc411935020"/>
      <w:bookmarkStart w:id="358" w:name="_Toc411935023"/>
      <w:bookmarkStart w:id="359" w:name="_Toc411935032"/>
      <w:bookmarkStart w:id="360" w:name="_Toc411935033"/>
      <w:bookmarkStart w:id="361" w:name="_Toc411926684"/>
      <w:bookmarkStart w:id="362" w:name="_Toc411927135"/>
      <w:bookmarkStart w:id="363" w:name="_Toc411927396"/>
      <w:bookmarkStart w:id="364" w:name="_Toc411934216"/>
      <w:bookmarkStart w:id="365" w:name="_Toc411935034"/>
      <w:bookmarkStart w:id="366" w:name="_Toc411926685"/>
      <w:bookmarkStart w:id="367" w:name="_Toc411927136"/>
      <w:bookmarkStart w:id="368" w:name="_Toc411927397"/>
      <w:bookmarkStart w:id="369" w:name="_Toc411934217"/>
      <w:bookmarkStart w:id="370" w:name="_Toc411935035"/>
      <w:bookmarkStart w:id="371" w:name="_Toc411926686"/>
      <w:bookmarkStart w:id="372" w:name="_Toc411927137"/>
      <w:bookmarkStart w:id="373" w:name="_Toc411927398"/>
      <w:bookmarkStart w:id="374" w:name="_Toc411934218"/>
      <w:bookmarkStart w:id="375" w:name="_Toc411935036"/>
      <w:bookmarkStart w:id="376" w:name="_Toc411926687"/>
      <w:bookmarkStart w:id="377" w:name="_Toc411927138"/>
      <w:bookmarkStart w:id="378" w:name="_Toc411927399"/>
      <w:bookmarkStart w:id="379" w:name="_Toc411934219"/>
      <w:bookmarkStart w:id="380" w:name="_Toc411935037"/>
      <w:bookmarkStart w:id="381" w:name="_Toc411926688"/>
      <w:bookmarkStart w:id="382" w:name="_Toc411927139"/>
      <w:bookmarkStart w:id="383" w:name="_Toc411927400"/>
      <w:bookmarkStart w:id="384" w:name="_Toc411934220"/>
      <w:bookmarkStart w:id="385" w:name="_Toc411935038"/>
      <w:bookmarkStart w:id="386" w:name="_Toc411926689"/>
      <w:bookmarkStart w:id="387" w:name="_Toc411927140"/>
      <w:bookmarkStart w:id="388" w:name="_Toc411927401"/>
      <w:bookmarkStart w:id="389" w:name="_Toc411934221"/>
      <w:bookmarkStart w:id="390" w:name="_Toc411935039"/>
      <w:bookmarkStart w:id="391" w:name="_Toc411926690"/>
      <w:bookmarkStart w:id="392" w:name="_Toc411927141"/>
      <w:bookmarkStart w:id="393" w:name="_Toc411927402"/>
      <w:bookmarkStart w:id="394" w:name="_Toc411934222"/>
      <w:bookmarkStart w:id="395" w:name="_Toc411935040"/>
      <w:bookmarkStart w:id="396" w:name="_Toc411866096"/>
      <w:bookmarkStart w:id="397" w:name="_Toc411866614"/>
      <w:bookmarkStart w:id="398" w:name="_Toc412032783"/>
      <w:bookmarkStart w:id="399" w:name="_Toc411936255"/>
      <w:bookmarkStart w:id="400" w:name="_Toc412287665"/>
      <w:bookmarkStart w:id="401" w:name="_Toc441756509"/>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r>
        <w:t>Part II</w:t>
      </w:r>
      <w:r w:rsidR="008C6DBE">
        <w:t>:</w:t>
      </w:r>
      <w:r w:rsidR="0009156E">
        <w:t xml:space="preserve"> Written Description Justifying the Rate Increase</w:t>
      </w:r>
      <w:bookmarkEnd w:id="396"/>
      <w:bookmarkEnd w:id="397"/>
      <w:bookmarkEnd w:id="398"/>
      <w:bookmarkEnd w:id="399"/>
      <w:bookmarkEnd w:id="400"/>
      <w:bookmarkEnd w:id="401"/>
    </w:p>
    <w:p w14:paraId="72A47089" w14:textId="5B327089" w:rsidR="0009156E" w:rsidRPr="00481A0B" w:rsidRDefault="0009156E" w:rsidP="0009156E">
      <w:pPr>
        <w:rPr>
          <w:rFonts w:cstheme="minorHAnsi"/>
        </w:rPr>
      </w:pPr>
      <w:r w:rsidRPr="00481A0B">
        <w:rPr>
          <w:rFonts w:cstheme="minorHAnsi"/>
        </w:rPr>
        <w:t>Part II is a brief, non-technical consumer-oriented explanation of the rate increase</w:t>
      </w:r>
      <w:r w:rsidR="00654A5F" w:rsidRPr="00481A0B">
        <w:rPr>
          <w:rFonts w:cstheme="minorHAnsi"/>
        </w:rPr>
        <w:t xml:space="preserve"> subject to review</w:t>
      </w:r>
      <w:r w:rsidRPr="00481A0B">
        <w:rPr>
          <w:rFonts w:cstheme="minorHAnsi"/>
        </w:rPr>
        <w:t xml:space="preserve">, intended to provide context for the quantitative information provided in Part I. This data should clearly explain the information given in Part I. </w:t>
      </w:r>
    </w:p>
    <w:p w14:paraId="297E2936" w14:textId="183EA26E" w:rsidR="0009156E" w:rsidRPr="00481A0B" w:rsidRDefault="0009156E" w:rsidP="0009156E">
      <w:pPr>
        <w:rPr>
          <w:rFonts w:cstheme="minorHAnsi"/>
        </w:rPr>
      </w:pPr>
      <w:r w:rsidRPr="00481A0B">
        <w:rPr>
          <w:rFonts w:cstheme="minorHAnsi"/>
        </w:rPr>
        <w:t xml:space="preserve">Accordingly, it should identify and explain the key drivers of the rate increase in Part I. For example, if inpatient costs are reported as the main factor of the rate increase, the written explanation should describe why hospital costs are increasing. </w:t>
      </w:r>
    </w:p>
    <w:p w14:paraId="67FFD6C1" w14:textId="77777777" w:rsidR="0009156E" w:rsidRPr="00481A0B" w:rsidRDefault="0009156E" w:rsidP="0009156E">
      <w:pPr>
        <w:rPr>
          <w:rFonts w:cstheme="minorHAnsi"/>
        </w:rPr>
      </w:pPr>
      <w:r w:rsidRPr="00481A0B">
        <w:rPr>
          <w:rFonts w:cstheme="minorHAnsi"/>
        </w:rPr>
        <w:t xml:space="preserve">The explanation should include information on the following components related to the rate increase: </w:t>
      </w:r>
    </w:p>
    <w:p w14:paraId="5CDE97A8" w14:textId="77777777" w:rsidR="0009156E" w:rsidRPr="00481A0B" w:rsidRDefault="0009156E" w:rsidP="009D2B17">
      <w:pPr>
        <w:pStyle w:val="ListParagraph"/>
        <w:numPr>
          <w:ilvl w:val="0"/>
          <w:numId w:val="37"/>
        </w:numPr>
        <w:rPr>
          <w:rFonts w:cstheme="minorHAnsi"/>
        </w:rPr>
      </w:pPr>
      <w:r w:rsidRPr="00481A0B">
        <w:rPr>
          <w:rFonts w:cstheme="minorHAnsi"/>
          <w:u w:val="single"/>
        </w:rPr>
        <w:t>Scope and range of the rate increase</w:t>
      </w:r>
      <w:r w:rsidRPr="00481A0B">
        <w:rPr>
          <w:rFonts w:cstheme="minorHAnsi"/>
        </w:rPr>
        <w:t xml:space="preserve">: Provide the number of individuals impacted by the rate increase. Explain any variation in the increase among affected individuals (e.g., describe how any changes to the rating structure impact premium). </w:t>
      </w:r>
    </w:p>
    <w:p w14:paraId="626CF74C" w14:textId="060C480C" w:rsidR="0009156E" w:rsidRPr="00481A0B" w:rsidRDefault="0009156E" w:rsidP="009D2B17">
      <w:pPr>
        <w:pStyle w:val="ListParagraph"/>
        <w:numPr>
          <w:ilvl w:val="0"/>
          <w:numId w:val="37"/>
        </w:numPr>
        <w:rPr>
          <w:rFonts w:cstheme="minorHAnsi"/>
        </w:rPr>
      </w:pPr>
      <w:r w:rsidRPr="00481A0B">
        <w:rPr>
          <w:rFonts w:cstheme="minorHAnsi"/>
          <w:u w:val="single"/>
        </w:rPr>
        <w:t>Financial experience of the product</w:t>
      </w:r>
      <w:r w:rsidRPr="00481A0B">
        <w:rPr>
          <w:rFonts w:cstheme="minorHAnsi"/>
        </w:rPr>
        <w:t xml:space="preserve">: </w:t>
      </w:r>
      <w:r w:rsidR="00ED7D02" w:rsidRPr="00481A0B">
        <w:rPr>
          <w:rFonts w:cstheme="minorHAnsi"/>
        </w:rPr>
        <w:t xml:space="preserve"> </w:t>
      </w:r>
      <w:r w:rsidRPr="00481A0B">
        <w:rPr>
          <w:rFonts w:cstheme="minorHAnsi"/>
        </w:rPr>
        <w:t>Describe the overall financial experience of the product, including historical summary-level information on historical premium revenue, claims expenses</w:t>
      </w:r>
      <w:r w:rsidR="00ED7D02" w:rsidRPr="00481A0B">
        <w:rPr>
          <w:rFonts w:cstheme="minorHAnsi"/>
        </w:rPr>
        <w:t>,</w:t>
      </w:r>
      <w:r w:rsidRPr="00481A0B">
        <w:rPr>
          <w:rFonts w:cstheme="minorHAnsi"/>
        </w:rPr>
        <w:t xml:space="preserve"> and profit. Discuss how the rate increase will affect the projected financial experience of the product. </w:t>
      </w:r>
    </w:p>
    <w:p w14:paraId="095814B3" w14:textId="45C7DBED" w:rsidR="0009156E" w:rsidRPr="00481A0B" w:rsidRDefault="0009156E" w:rsidP="009D2B17">
      <w:pPr>
        <w:pStyle w:val="ListParagraph"/>
        <w:numPr>
          <w:ilvl w:val="0"/>
          <w:numId w:val="37"/>
        </w:numPr>
        <w:rPr>
          <w:rFonts w:cstheme="minorHAnsi"/>
        </w:rPr>
      </w:pPr>
      <w:r w:rsidRPr="00481A0B">
        <w:rPr>
          <w:rFonts w:cstheme="minorHAnsi"/>
          <w:u w:val="single"/>
        </w:rPr>
        <w:t>Changes in Medical Service Costs</w:t>
      </w:r>
      <w:r w:rsidRPr="00481A0B">
        <w:rPr>
          <w:rFonts w:cstheme="minorHAnsi"/>
        </w:rPr>
        <w:t xml:space="preserve">: </w:t>
      </w:r>
      <w:r w:rsidR="00ED7D02" w:rsidRPr="00481A0B">
        <w:rPr>
          <w:rFonts w:cstheme="minorHAnsi"/>
        </w:rPr>
        <w:t xml:space="preserve"> </w:t>
      </w:r>
      <w:r w:rsidRPr="00481A0B">
        <w:rPr>
          <w:rFonts w:cstheme="minorHAnsi"/>
        </w:rPr>
        <w:t xml:space="preserve">Describe how changes in medical service costs are contributing to the overall rate increase. Discuss cost and utilization changes as well as any other relevant factors that are impacting overall service costs. </w:t>
      </w:r>
    </w:p>
    <w:p w14:paraId="131ED4B2" w14:textId="2D8C285C" w:rsidR="0009156E" w:rsidRPr="00481A0B" w:rsidRDefault="0009156E" w:rsidP="009D2B17">
      <w:pPr>
        <w:pStyle w:val="ListParagraph"/>
        <w:numPr>
          <w:ilvl w:val="0"/>
          <w:numId w:val="37"/>
        </w:numPr>
        <w:rPr>
          <w:rFonts w:cstheme="minorHAnsi"/>
        </w:rPr>
      </w:pPr>
      <w:r w:rsidRPr="00481A0B">
        <w:rPr>
          <w:rFonts w:cstheme="minorHAnsi"/>
          <w:u w:val="single"/>
        </w:rPr>
        <w:t>Changes in benefits</w:t>
      </w:r>
      <w:r w:rsidRPr="00481A0B">
        <w:rPr>
          <w:rFonts w:cstheme="minorHAnsi"/>
        </w:rPr>
        <w:t xml:space="preserve">: </w:t>
      </w:r>
      <w:r w:rsidR="00ED7D02" w:rsidRPr="00481A0B">
        <w:rPr>
          <w:rFonts w:cstheme="minorHAnsi"/>
        </w:rPr>
        <w:t xml:space="preserve"> </w:t>
      </w:r>
      <w:r w:rsidRPr="00481A0B">
        <w:rPr>
          <w:rFonts w:cstheme="minorHAnsi"/>
        </w:rPr>
        <w:t xml:space="preserve">Describe any changes in benefits and explain how benefit changes affect the rate increase. Issuers should explain whether the applicable benefit changes are required by law. </w:t>
      </w:r>
    </w:p>
    <w:p w14:paraId="20D276F3" w14:textId="406BEB69" w:rsidR="0009156E" w:rsidRPr="00481A0B" w:rsidRDefault="0009156E" w:rsidP="009D2B17">
      <w:pPr>
        <w:pStyle w:val="ListParagraph"/>
        <w:numPr>
          <w:ilvl w:val="0"/>
          <w:numId w:val="37"/>
        </w:numPr>
        <w:rPr>
          <w:rFonts w:cstheme="minorHAnsi"/>
        </w:rPr>
      </w:pPr>
      <w:r w:rsidRPr="00481A0B">
        <w:rPr>
          <w:rFonts w:cstheme="minorHAnsi"/>
          <w:u w:val="single"/>
        </w:rPr>
        <w:t xml:space="preserve">Administrative costs and anticipated </w:t>
      </w:r>
      <w:r w:rsidR="000F1FC7">
        <w:rPr>
          <w:rFonts w:cstheme="minorHAnsi"/>
          <w:u w:val="single"/>
        </w:rPr>
        <w:t>margin</w:t>
      </w:r>
      <w:r w:rsidRPr="00481A0B">
        <w:rPr>
          <w:rFonts w:cstheme="minorHAnsi"/>
          <w:u w:val="single"/>
        </w:rPr>
        <w:t>s</w:t>
      </w:r>
      <w:r w:rsidRPr="00481A0B">
        <w:rPr>
          <w:rFonts w:cstheme="minorHAnsi"/>
        </w:rPr>
        <w:t xml:space="preserve">: </w:t>
      </w:r>
      <w:r w:rsidR="00ED7D02" w:rsidRPr="00481A0B">
        <w:rPr>
          <w:rFonts w:cstheme="minorHAnsi"/>
        </w:rPr>
        <w:t xml:space="preserve"> </w:t>
      </w:r>
      <w:r w:rsidRPr="00481A0B">
        <w:rPr>
          <w:rFonts w:cstheme="minorHAnsi"/>
        </w:rPr>
        <w:t xml:space="preserve">Identify the main drivers of changes in administrative costs. Discuss how changes in anticipated administrative costs and underwriting gain/loss are impacting the rate increase. </w:t>
      </w:r>
    </w:p>
    <w:p w14:paraId="452A0A4A" w14:textId="765666AA" w:rsidR="00FB2F5F" w:rsidRPr="00481A0B" w:rsidRDefault="0009156E" w:rsidP="0009156E">
      <w:pPr>
        <w:rPr>
          <w:rFonts w:cstheme="minorHAnsi"/>
        </w:rPr>
      </w:pPr>
      <w:r w:rsidRPr="00481A0B">
        <w:rPr>
          <w:rFonts w:cstheme="minorHAnsi"/>
        </w:rPr>
        <w:t xml:space="preserve">There is no standardized reporting form for Part II, but issuers are expected to cover </w:t>
      </w:r>
      <w:r w:rsidR="0098693E">
        <w:rPr>
          <w:rFonts w:cstheme="minorHAnsi"/>
        </w:rPr>
        <w:t xml:space="preserve">the </w:t>
      </w:r>
      <w:r w:rsidRPr="00481A0B">
        <w:rPr>
          <w:rFonts w:cstheme="minorHAnsi"/>
        </w:rPr>
        <w:t xml:space="preserve">items listed above in their submissions. </w:t>
      </w:r>
      <w:r w:rsidR="006A141B">
        <w:rPr>
          <w:rFonts w:cstheme="minorHAnsi"/>
        </w:rPr>
        <w:t xml:space="preserve"> HIOS will require the issuer to enter Part II if any renewing plan within a product has a rate increase of 10% or more.  </w:t>
      </w:r>
      <w:r w:rsidRPr="00481A0B">
        <w:rPr>
          <w:rFonts w:cstheme="minorHAnsi"/>
        </w:rPr>
        <w:t xml:space="preserve">The written statement must be </w:t>
      </w:r>
      <w:r w:rsidR="006A141B">
        <w:rPr>
          <w:rFonts w:cstheme="minorHAnsi"/>
        </w:rPr>
        <w:t>enter</w:t>
      </w:r>
      <w:r w:rsidRPr="00481A0B">
        <w:rPr>
          <w:rFonts w:cstheme="minorHAnsi"/>
        </w:rPr>
        <w:t xml:space="preserve">ed in HIOS via a text box. Such information posted by the issuer will be clearly displayed as the statements of the issuer. CMS will not edit the statements provided by issuers for Part II.  </w:t>
      </w:r>
    </w:p>
    <w:p w14:paraId="78D993B1" w14:textId="301488D2" w:rsidR="00B87B08" w:rsidRDefault="00FB2F5F" w:rsidP="008E5B0B">
      <w:pPr>
        <w:pStyle w:val="Heading1"/>
      </w:pPr>
      <w:bookmarkStart w:id="402" w:name="_Toc411866097"/>
      <w:bookmarkStart w:id="403" w:name="_Toc411866615"/>
      <w:bookmarkStart w:id="404" w:name="_Toc412032784"/>
      <w:bookmarkStart w:id="405" w:name="_Toc411936256"/>
      <w:bookmarkStart w:id="406" w:name="_Toc412287666"/>
      <w:bookmarkStart w:id="407" w:name="_Toc441756510"/>
      <w:r>
        <w:t>Part III</w:t>
      </w:r>
      <w:r w:rsidR="008C6DBE">
        <w:t>:</w:t>
      </w:r>
      <w:r>
        <w:t xml:space="preserve"> </w:t>
      </w:r>
      <w:r w:rsidR="00B87B08" w:rsidRPr="00BF6BDD">
        <w:t>Actuarial Memorandum and Certification</w:t>
      </w:r>
      <w:r w:rsidR="007A366F">
        <w:t xml:space="preserve"> Instructions</w:t>
      </w:r>
      <w:bookmarkEnd w:id="402"/>
      <w:bookmarkEnd w:id="403"/>
      <w:bookmarkEnd w:id="404"/>
      <w:bookmarkEnd w:id="405"/>
      <w:bookmarkEnd w:id="406"/>
      <w:bookmarkEnd w:id="407"/>
    </w:p>
    <w:p w14:paraId="4E03F332" w14:textId="57A8C911" w:rsidR="00B21D62" w:rsidRPr="00292AAB" w:rsidRDefault="00076760" w:rsidP="00076760">
      <w:r>
        <w:t xml:space="preserve">The Part III Actuarial Memorandum instructions </w:t>
      </w:r>
      <w:r w:rsidR="00FD0FF0">
        <w:t xml:space="preserve">below are considered </w:t>
      </w:r>
      <w:r>
        <w:t>the minimum requirements for a Part III submission.  However, i</w:t>
      </w:r>
      <w:r w:rsidR="00B21D62">
        <w:t>ssuers</w:t>
      </w:r>
      <w:r w:rsidR="00B21D62" w:rsidRPr="00292AAB">
        <w:t xml:space="preserve"> are encouraged to provide as much detail and supporting documentation as possible </w:t>
      </w:r>
      <w:r>
        <w:t>in advance to avoid delaying the review process.  If, in the opinion of the regulator</w:t>
      </w:r>
      <w:r w:rsidR="001547CF">
        <w:t>,</w:t>
      </w:r>
      <w:r>
        <w:t xml:space="preserve"> given the facts and circumstances of the submission, additional</w:t>
      </w:r>
      <w:r w:rsidR="00B21D62" w:rsidRPr="00292AAB">
        <w:t xml:space="preserve"> information </w:t>
      </w:r>
      <w:r>
        <w:t>is necessary to properly complete the review, issuers</w:t>
      </w:r>
      <w:r w:rsidR="00B21D62">
        <w:t xml:space="preserve"> </w:t>
      </w:r>
      <w:r>
        <w:t>are</w:t>
      </w:r>
      <w:r w:rsidR="00B21D62">
        <w:t xml:space="preserve"> required to respond to all questions in a limited timeframe. Failure to provide information on a timely basis or failure to provide accurate information </w:t>
      </w:r>
      <w:r w:rsidR="00FD0FF0">
        <w:t>slows the review process and</w:t>
      </w:r>
      <w:r w:rsidR="00B21D62">
        <w:t xml:space="preserve"> puts the issuer at risk for missing critical deadlines to offer products and plans in the individual and small group markets.</w:t>
      </w:r>
    </w:p>
    <w:p w14:paraId="0895B5C9" w14:textId="082D4F01" w:rsidR="00B21D62" w:rsidRDefault="00B21D62" w:rsidP="00B21D62">
      <w:r w:rsidRPr="00292AAB">
        <w:t xml:space="preserve">The </w:t>
      </w:r>
      <w:r>
        <w:t>A</w:t>
      </w:r>
      <w:r w:rsidRPr="00292AAB">
        <w:t xml:space="preserve">ctuarial </w:t>
      </w:r>
      <w:r>
        <w:t>M</w:t>
      </w:r>
      <w:r w:rsidRPr="00292AAB">
        <w:t>emorandum must also capture appropriate actuarial certifications</w:t>
      </w:r>
      <w:r>
        <w:t xml:space="preserve"> related to:</w:t>
      </w:r>
      <w:r w:rsidRPr="00292AAB">
        <w:t xml:space="preserve"> </w:t>
      </w:r>
    </w:p>
    <w:p w14:paraId="726B93B8" w14:textId="2756EF8C" w:rsidR="00B21D62" w:rsidRDefault="00B21D62" w:rsidP="00B21D62">
      <w:pPr>
        <w:pStyle w:val="ListParagraph"/>
        <w:numPr>
          <w:ilvl w:val="0"/>
          <w:numId w:val="25"/>
        </w:numPr>
      </w:pPr>
      <w:r>
        <w:t>T</w:t>
      </w:r>
      <w:r w:rsidRPr="009E4EED">
        <w:t xml:space="preserve">he methodology used to calculate the </w:t>
      </w:r>
      <w:r>
        <w:t xml:space="preserve">AV </w:t>
      </w:r>
      <w:r w:rsidRPr="009E4EED">
        <w:t>Metal Value for each plan</w:t>
      </w:r>
      <w:r>
        <w:t>;</w:t>
      </w:r>
    </w:p>
    <w:p w14:paraId="240EE06C" w14:textId="514A4425" w:rsidR="00B21D62" w:rsidRDefault="00B21D62" w:rsidP="00B21D62">
      <w:pPr>
        <w:pStyle w:val="ListParagraph"/>
        <w:numPr>
          <w:ilvl w:val="0"/>
          <w:numId w:val="25"/>
        </w:numPr>
      </w:pPr>
      <w:r>
        <w:t>T</w:t>
      </w:r>
      <w:r w:rsidRPr="009E4EED">
        <w:t xml:space="preserve">he appropriateness of the </w:t>
      </w:r>
      <w:r>
        <w:t xml:space="preserve">EHB </w:t>
      </w:r>
      <w:r w:rsidRPr="009E4EED">
        <w:t xml:space="preserve">portion of premium upon which </w:t>
      </w:r>
      <w:r>
        <w:t xml:space="preserve">APTCs </w:t>
      </w:r>
      <w:r w:rsidRPr="009E4EED">
        <w:t>are based</w:t>
      </w:r>
      <w:r>
        <w:t>;</w:t>
      </w:r>
    </w:p>
    <w:p w14:paraId="69C45C55" w14:textId="1C5033BE" w:rsidR="00B21D62" w:rsidRDefault="00B21D62" w:rsidP="00B21D62">
      <w:pPr>
        <w:pStyle w:val="ListParagraph"/>
        <w:numPr>
          <w:ilvl w:val="0"/>
          <w:numId w:val="25"/>
        </w:numPr>
      </w:pPr>
      <w:r>
        <w:t xml:space="preserve">The development of the Index Rate in accordance with Federal regulations, and the development of plan specific premium rates using allowable modifiers to the Index Rate; and </w:t>
      </w:r>
    </w:p>
    <w:p w14:paraId="2D172590" w14:textId="66D8AAF0" w:rsidR="00B21D62" w:rsidRDefault="00B21D62" w:rsidP="00B21D62">
      <w:pPr>
        <w:pStyle w:val="ListParagraph"/>
        <w:numPr>
          <w:ilvl w:val="0"/>
          <w:numId w:val="25"/>
        </w:numPr>
      </w:pPr>
      <w:r>
        <w:t>The geographic rating factors, which should reflect differences only in the costs of delivery (which can include unit cost and provider practice pattern differences) and not differences in population morbidity by geographic area.</w:t>
      </w:r>
    </w:p>
    <w:p w14:paraId="6C08C260" w14:textId="618A10F5" w:rsidR="00B21D62" w:rsidRDefault="00B21D62" w:rsidP="00B21D62">
      <w:pPr>
        <w:pStyle w:val="ListParagraph"/>
      </w:pPr>
    </w:p>
    <w:p w14:paraId="2715DE81" w14:textId="7D04A9FB" w:rsidR="00B21D62" w:rsidRPr="009E4EED" w:rsidRDefault="00B21D62" w:rsidP="00B21D62">
      <w:pPr>
        <w:pStyle w:val="ListParagraph"/>
        <w:ind w:left="0"/>
      </w:pPr>
      <w:r>
        <w:t>S</w:t>
      </w:r>
      <w:r w:rsidRPr="009E4EED">
        <w:t>tate specific required information or certifications may also be included</w:t>
      </w:r>
      <w:r>
        <w:t xml:space="preserve"> at the actuary’s discretion</w:t>
      </w:r>
      <w:r w:rsidRPr="009E4EED">
        <w:t>.</w:t>
      </w:r>
      <w:r>
        <w:t xml:space="preserve"> If an actuary chooses to exclude this information from the Actuarial Memorandum, this information would need to be provided to the state regulatory agency, under separate cover.</w:t>
      </w:r>
    </w:p>
    <w:p w14:paraId="0D05B7A2" w14:textId="22709417" w:rsidR="00B21D62" w:rsidRPr="00BF7EBE" w:rsidRDefault="00B21D62" w:rsidP="00B21D62">
      <w:pPr>
        <w:rPr>
          <w:rFonts w:asciiTheme="majorHAnsi" w:hAnsiTheme="majorHAnsi"/>
          <w:sz w:val="26"/>
          <w:szCs w:val="26"/>
        </w:rPr>
      </w:pPr>
      <w:r w:rsidRPr="00292AAB">
        <w:t xml:space="preserve">In any case where information provided is not broadly applicable to all products and plans included in the </w:t>
      </w:r>
      <w:r>
        <w:t>submission</w:t>
      </w:r>
      <w:r w:rsidRPr="00292AAB">
        <w:t>, please clearly indicate to which products and plans the information applies.</w:t>
      </w:r>
    </w:p>
    <w:p w14:paraId="2F62813E" w14:textId="0B10AD93" w:rsidR="004D12BC" w:rsidRPr="004D12BC" w:rsidRDefault="008C6DBE" w:rsidP="008E5B0B">
      <w:pPr>
        <w:pStyle w:val="Heading2"/>
      </w:pPr>
      <w:bookmarkStart w:id="408" w:name="_Toc411866034"/>
      <w:bookmarkStart w:id="409" w:name="_Toc411866098"/>
      <w:bookmarkStart w:id="410" w:name="_Toc411866311"/>
      <w:bookmarkStart w:id="411" w:name="_Toc411866390"/>
      <w:bookmarkStart w:id="412" w:name="_Toc411866616"/>
      <w:bookmarkStart w:id="413" w:name="_Toc411921556"/>
      <w:bookmarkStart w:id="414" w:name="_Toc411926693"/>
      <w:bookmarkStart w:id="415" w:name="_Toc411927144"/>
      <w:bookmarkStart w:id="416" w:name="_Toc411927405"/>
      <w:bookmarkStart w:id="417" w:name="_Toc411934225"/>
      <w:bookmarkStart w:id="418" w:name="_Toc411935043"/>
      <w:bookmarkStart w:id="419" w:name="_Toc412032785"/>
      <w:bookmarkStart w:id="420" w:name="_Toc411936257"/>
      <w:bookmarkStart w:id="421" w:name="_Toc412287667"/>
      <w:bookmarkStart w:id="422" w:name="_Toc441756511"/>
      <w:bookmarkEnd w:id="408"/>
      <w:bookmarkEnd w:id="409"/>
      <w:bookmarkEnd w:id="410"/>
      <w:bookmarkEnd w:id="411"/>
      <w:bookmarkEnd w:id="412"/>
      <w:bookmarkEnd w:id="413"/>
      <w:bookmarkEnd w:id="414"/>
      <w:bookmarkEnd w:id="415"/>
      <w:bookmarkEnd w:id="416"/>
      <w:bookmarkEnd w:id="417"/>
      <w:bookmarkEnd w:id="418"/>
      <w:r>
        <w:t>Redacted Actuarial Memorandum</w:t>
      </w:r>
      <w:bookmarkEnd w:id="419"/>
      <w:bookmarkEnd w:id="420"/>
      <w:bookmarkEnd w:id="421"/>
      <w:bookmarkEnd w:id="422"/>
    </w:p>
    <w:p w14:paraId="756D27E8" w14:textId="427A1BE0" w:rsidR="007B710A" w:rsidRDefault="004D12BC" w:rsidP="00481A0B">
      <w:pPr>
        <w:spacing w:after="0"/>
      </w:pPr>
      <w:r>
        <w:t>As required by 45 CFR 154.215(h)(2), CMS will make available to the public the information contained in Part III of each Rate Filing Justification that is not a trade secret or confidential commercial or financial information as defined in HHS’s FOIA regulations, 45 CFR 5.65.  To facilitate release of Part III to the public, health insurance issuers must upload two versions of Part III: (1) an un-redacted version for CMS review (“CMS version”); and (2) a redacted version that will be made available to the public (“public version”).  The CMS version should contain all data elements and information required in this manual</w:t>
      </w:r>
      <w:r w:rsidR="00A951D7">
        <w:t xml:space="preserve"> with no redactions</w:t>
      </w:r>
      <w:r>
        <w:t xml:space="preserve">.  </w:t>
      </w:r>
      <w:r w:rsidR="00E009A4">
        <w:t xml:space="preserve">The public version should redact </w:t>
      </w:r>
      <w:r w:rsidR="007B710A">
        <w:t>only</w:t>
      </w:r>
      <w:r w:rsidR="00E009A4">
        <w:t xml:space="preserve"> information that is a trade secret or confidential commercial or financial information.  </w:t>
      </w:r>
      <w:r w:rsidR="007B710A" w:rsidRPr="00B56761">
        <w:rPr>
          <w:b/>
        </w:rPr>
        <w:t>Redacted Actuarial Memorandums will be reviewed for compliance with 45 CFR 5.65 to</w:t>
      </w:r>
      <w:r w:rsidR="001547CF" w:rsidRPr="00B56761">
        <w:rPr>
          <w:b/>
        </w:rPr>
        <w:t xml:space="preserve"> ensure that</w:t>
      </w:r>
      <w:r w:rsidR="007B710A" w:rsidRPr="00B56761">
        <w:rPr>
          <w:b/>
        </w:rPr>
        <w:t xml:space="preserve"> issuers are not redacting more information than is allowable according to the regulation.</w:t>
      </w:r>
    </w:p>
    <w:p w14:paraId="736C613D" w14:textId="77777777" w:rsidR="007B710A" w:rsidRDefault="007B710A" w:rsidP="00481A0B">
      <w:pPr>
        <w:spacing w:after="0"/>
      </w:pPr>
    </w:p>
    <w:p w14:paraId="7104F49F" w14:textId="304D2272" w:rsidR="00051259" w:rsidRDefault="007B710A" w:rsidP="00481A0B">
      <w:pPr>
        <w:spacing w:after="0"/>
        <w:rPr>
          <w:rFonts w:ascii="Calibri" w:hAnsi="Calibri"/>
          <w:b/>
          <w:bCs/>
        </w:rPr>
      </w:pPr>
      <w:r>
        <w:t>The HIOS system has been updated so the Redacted Actuarial Memorandum must be uploaded to a particular field, or a box may be checke</w:t>
      </w:r>
      <w:r w:rsidR="005D2E6F">
        <w:t xml:space="preserve">d indicating CMS should use the Un-redacted Actuarial Memorandum uploaded for CMS review.  If an issuer selects this box, the un-redacted version will appear on the </w:t>
      </w:r>
      <w:r w:rsidR="001547CF">
        <w:t>HHS website (</w:t>
      </w:r>
      <w:r w:rsidR="005D2E6F">
        <w:t>RateReview.Healthcare.gov</w:t>
      </w:r>
      <w:r w:rsidR="001547CF">
        <w:t>)</w:t>
      </w:r>
      <w:r w:rsidR="005D2E6F">
        <w:t>.</w:t>
      </w:r>
      <w:bookmarkStart w:id="423" w:name="_Toc411600848"/>
      <w:bookmarkStart w:id="424" w:name="_Toc411600910"/>
      <w:bookmarkStart w:id="425" w:name="_Toc411601121"/>
      <w:bookmarkStart w:id="426" w:name="_Toc411600850"/>
      <w:bookmarkStart w:id="427" w:name="_Toc411600912"/>
      <w:bookmarkStart w:id="428" w:name="_Toc411601123"/>
      <w:bookmarkStart w:id="429" w:name="_Toc411343289"/>
      <w:bookmarkStart w:id="430" w:name="_Toc411344313"/>
      <w:bookmarkStart w:id="431" w:name="_Toc411345240"/>
      <w:bookmarkStart w:id="432" w:name="_Toc411345291"/>
      <w:bookmarkStart w:id="433" w:name="_Toc411345395"/>
      <w:bookmarkStart w:id="434" w:name="_Toc411345445"/>
      <w:bookmarkStart w:id="435" w:name="_Toc411345496"/>
      <w:bookmarkStart w:id="436" w:name="_Toc411347405"/>
      <w:bookmarkStart w:id="437" w:name="_Toc411347469"/>
      <w:bookmarkStart w:id="438" w:name="_Toc411431799"/>
      <w:bookmarkStart w:id="439" w:name="_Toc411431842"/>
      <w:bookmarkStart w:id="440" w:name="_Toc411432036"/>
      <w:bookmarkStart w:id="441" w:name="_Toc411432079"/>
      <w:bookmarkStart w:id="442" w:name="_Toc411432122"/>
      <w:bookmarkStart w:id="443" w:name="_Toc411343290"/>
      <w:bookmarkStart w:id="444" w:name="_Toc411344314"/>
      <w:bookmarkStart w:id="445" w:name="_Toc411345241"/>
      <w:bookmarkStart w:id="446" w:name="_Toc411345292"/>
      <w:bookmarkStart w:id="447" w:name="_Toc411345396"/>
      <w:bookmarkStart w:id="448" w:name="_Toc411345446"/>
      <w:bookmarkStart w:id="449" w:name="_Toc411345497"/>
      <w:bookmarkStart w:id="450" w:name="_Toc411347406"/>
      <w:bookmarkStart w:id="451" w:name="_Toc411347470"/>
      <w:bookmarkStart w:id="452" w:name="_Toc411431800"/>
      <w:bookmarkStart w:id="453" w:name="_Toc411431843"/>
      <w:bookmarkStart w:id="454" w:name="_Toc411432037"/>
      <w:bookmarkStart w:id="455" w:name="_Toc411432080"/>
      <w:bookmarkStart w:id="456" w:name="_Toc411432123"/>
      <w:bookmarkStart w:id="457" w:name="_Toc411343291"/>
      <w:bookmarkStart w:id="458" w:name="_Toc411344315"/>
      <w:bookmarkStart w:id="459" w:name="_Toc411345242"/>
      <w:bookmarkStart w:id="460" w:name="_Toc411345293"/>
      <w:bookmarkStart w:id="461" w:name="_Toc411345397"/>
      <w:bookmarkStart w:id="462" w:name="_Toc411345447"/>
      <w:bookmarkStart w:id="463" w:name="_Toc411345498"/>
      <w:bookmarkStart w:id="464" w:name="_Toc411343292"/>
      <w:bookmarkStart w:id="465" w:name="_Toc411344316"/>
      <w:bookmarkStart w:id="466" w:name="_Toc411345243"/>
      <w:bookmarkStart w:id="467" w:name="_Toc411345294"/>
      <w:bookmarkStart w:id="468" w:name="_Toc411345398"/>
      <w:bookmarkStart w:id="469" w:name="_Toc411345448"/>
      <w:bookmarkStart w:id="470" w:name="_Toc411345499"/>
      <w:bookmarkStart w:id="471" w:name="_Toc411347408"/>
      <w:bookmarkStart w:id="472" w:name="_Toc411347472"/>
      <w:bookmarkStart w:id="473" w:name="_Toc411431802"/>
      <w:bookmarkStart w:id="474" w:name="_Toc411431845"/>
      <w:bookmarkStart w:id="475" w:name="_Toc411432039"/>
      <w:bookmarkStart w:id="476" w:name="_Toc411432082"/>
      <w:bookmarkStart w:id="477" w:name="_Toc411432125"/>
      <w:bookmarkStart w:id="478" w:name="_Toc411343293"/>
      <w:bookmarkStart w:id="479" w:name="_Toc411344317"/>
      <w:bookmarkStart w:id="480" w:name="_Toc411345244"/>
      <w:bookmarkStart w:id="481" w:name="_Toc411345295"/>
      <w:bookmarkStart w:id="482" w:name="_Toc411345399"/>
      <w:bookmarkStart w:id="483" w:name="_Toc411345449"/>
      <w:bookmarkStart w:id="484" w:name="_Toc411345500"/>
      <w:bookmarkStart w:id="485" w:name="_Toc411347409"/>
      <w:bookmarkStart w:id="486" w:name="_Toc411347473"/>
      <w:bookmarkStart w:id="487" w:name="_Toc411431803"/>
      <w:bookmarkStart w:id="488" w:name="_Toc411431846"/>
      <w:bookmarkStart w:id="489" w:name="_Toc411432040"/>
      <w:bookmarkStart w:id="490" w:name="_Toc411432083"/>
      <w:bookmarkStart w:id="491" w:name="_Toc41143212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 w14:paraId="66297471" w14:textId="77777777" w:rsidR="00007992" w:rsidRPr="00007992" w:rsidRDefault="00007992" w:rsidP="008E5B0B">
      <w:pPr>
        <w:pStyle w:val="Heading2"/>
      </w:pPr>
      <w:bookmarkStart w:id="492" w:name="_Toc411347477"/>
      <w:bookmarkStart w:id="493" w:name="_Toc411523380"/>
      <w:bookmarkStart w:id="494" w:name="_Toc411866100"/>
      <w:bookmarkStart w:id="495" w:name="_Toc411866618"/>
      <w:bookmarkStart w:id="496" w:name="_Toc412032786"/>
      <w:bookmarkStart w:id="497" w:name="_Toc411936258"/>
      <w:bookmarkStart w:id="498" w:name="_Toc412287668"/>
      <w:bookmarkStart w:id="499" w:name="_Toc441756512"/>
      <w:r>
        <w:t>General Information</w:t>
      </w:r>
      <w:bookmarkEnd w:id="492"/>
      <w:bookmarkEnd w:id="493"/>
      <w:r w:rsidR="00B21D62">
        <w:t xml:space="preserve"> Section</w:t>
      </w:r>
      <w:bookmarkEnd w:id="494"/>
      <w:bookmarkEnd w:id="495"/>
      <w:bookmarkEnd w:id="496"/>
      <w:bookmarkEnd w:id="497"/>
      <w:bookmarkEnd w:id="498"/>
      <w:bookmarkEnd w:id="499"/>
    </w:p>
    <w:p w14:paraId="5F64F67B" w14:textId="1A2F3254" w:rsidR="00B87B08" w:rsidRPr="00292AAB" w:rsidRDefault="00B87B08" w:rsidP="00B87B08">
      <w:r w:rsidRPr="00292AAB">
        <w:t xml:space="preserve">This section of the </w:t>
      </w:r>
      <w:r w:rsidR="009C3D1A">
        <w:t>A</w:t>
      </w:r>
      <w:r w:rsidRPr="00292AAB">
        <w:t xml:space="preserve">ctuarial </w:t>
      </w:r>
      <w:r w:rsidR="009C3D1A">
        <w:t>M</w:t>
      </w:r>
      <w:r w:rsidRPr="00292AAB">
        <w:t xml:space="preserve">emorandum should include general information about the issuer and the policies which are the subject of the </w:t>
      </w:r>
      <w:r w:rsidR="00A54358">
        <w:t>submission</w:t>
      </w:r>
      <w:r w:rsidRPr="00292AAB">
        <w:t>. The information provided in this section should include at least the following:</w:t>
      </w:r>
    </w:p>
    <w:p w14:paraId="3F50A7F2" w14:textId="7B3FFFF2" w:rsidR="00B87B08" w:rsidRPr="00292AAB" w:rsidRDefault="00B87B08" w:rsidP="00B87B08">
      <w:r w:rsidRPr="00292AAB">
        <w:rPr>
          <w:b/>
        </w:rPr>
        <w:t>Company Identifying Information</w:t>
      </w:r>
      <w:r w:rsidRPr="00292AAB">
        <w:t xml:space="preserve">: </w:t>
      </w:r>
      <w:r w:rsidR="00F90ABB">
        <w:t>Provid</w:t>
      </w:r>
      <w:r w:rsidRPr="00292AAB">
        <w:t xml:space="preserve">e the following information that uniquely identifies the </w:t>
      </w:r>
      <w:r w:rsidR="00CC776B">
        <w:t>issuer</w:t>
      </w:r>
      <w:r w:rsidR="00CC776B" w:rsidRPr="00292AAB">
        <w:t xml:space="preserve"> </w:t>
      </w:r>
      <w:r w:rsidRPr="00292AAB">
        <w:t xml:space="preserve">submitting the </w:t>
      </w:r>
      <w:r w:rsidR="00CC776B">
        <w:t>memorandum</w:t>
      </w:r>
      <w:r w:rsidR="00A54358">
        <w:t xml:space="preserve">. </w:t>
      </w:r>
      <w:r w:rsidR="00B56761">
        <w:t xml:space="preserve"> </w:t>
      </w:r>
      <w:r w:rsidR="00A54358">
        <w:t>The information</w:t>
      </w:r>
      <w:r w:rsidR="00CC776B">
        <w:t xml:space="preserve"> must </w:t>
      </w:r>
      <w:r w:rsidR="00F24A5F">
        <w:t xml:space="preserve">be the same as the entries in the general information section of Worksheet 1 of the </w:t>
      </w:r>
      <w:r w:rsidR="00333B85">
        <w:t>URRT</w:t>
      </w:r>
      <w:r w:rsidR="00B07E6B">
        <w:t xml:space="preserve"> (see the instructions for the </w:t>
      </w:r>
      <w:r w:rsidR="00333B85">
        <w:t>URRT</w:t>
      </w:r>
      <w:r w:rsidR="00B07E6B">
        <w:t xml:space="preserve"> for additional definition of these fields)</w:t>
      </w:r>
      <w:r w:rsidRPr="00292AAB">
        <w:t>:</w:t>
      </w:r>
    </w:p>
    <w:p w14:paraId="1447D1E6" w14:textId="4AA5B46D" w:rsidR="00B87B08" w:rsidRPr="00292AAB" w:rsidRDefault="00B87B08" w:rsidP="006723F5">
      <w:pPr>
        <w:pStyle w:val="ListParagraph"/>
        <w:numPr>
          <w:ilvl w:val="0"/>
          <w:numId w:val="17"/>
        </w:numPr>
      </w:pPr>
      <w:r w:rsidRPr="00292AAB">
        <w:t xml:space="preserve">Company </w:t>
      </w:r>
      <w:r w:rsidR="00780424">
        <w:t>L</w:t>
      </w:r>
      <w:r w:rsidR="00780424" w:rsidRPr="00292AAB">
        <w:t xml:space="preserve">egal </w:t>
      </w:r>
      <w:r w:rsidR="00780424">
        <w:t>N</w:t>
      </w:r>
      <w:r w:rsidR="00780424" w:rsidRPr="00292AAB">
        <w:t>ame</w:t>
      </w:r>
      <w:r w:rsidRPr="00292AAB">
        <w:t xml:space="preserve">: </w:t>
      </w:r>
      <w:r w:rsidR="0061530D">
        <w:t xml:space="preserve"> </w:t>
      </w:r>
      <w:r w:rsidR="00F24A5F">
        <w:t>t</w:t>
      </w:r>
      <w:r w:rsidR="00F24A5F" w:rsidRPr="00292AAB">
        <w:t xml:space="preserve">he </w:t>
      </w:r>
      <w:r w:rsidRPr="00292AAB">
        <w:t xml:space="preserve">organization’s legal entity name associated with the HIOS </w:t>
      </w:r>
      <w:r w:rsidR="00780424">
        <w:t>I</w:t>
      </w:r>
      <w:r w:rsidR="00780424" w:rsidRPr="00292AAB">
        <w:t xml:space="preserve">ssuer </w:t>
      </w:r>
      <w:r w:rsidRPr="00292AAB">
        <w:t>ID</w:t>
      </w:r>
    </w:p>
    <w:p w14:paraId="224C1602" w14:textId="45AF93D3" w:rsidR="00B87B08" w:rsidRPr="00292AAB" w:rsidRDefault="00B87B08" w:rsidP="006723F5">
      <w:pPr>
        <w:pStyle w:val="ListParagraph"/>
        <w:numPr>
          <w:ilvl w:val="0"/>
          <w:numId w:val="17"/>
        </w:numPr>
      </w:pPr>
      <w:r w:rsidRPr="00292AAB">
        <w:t xml:space="preserve">State: </w:t>
      </w:r>
      <w:r w:rsidR="00B56761">
        <w:t xml:space="preserve"> </w:t>
      </w:r>
      <w:r w:rsidR="00F24A5F">
        <w:t>t</w:t>
      </w:r>
      <w:r w:rsidR="00F24A5F" w:rsidRPr="00292AAB">
        <w:t xml:space="preserve">he </w:t>
      </w:r>
      <w:r w:rsidRPr="00292AAB">
        <w:t xml:space="preserve">state </w:t>
      </w:r>
      <w:r w:rsidR="00F24A5F">
        <w:t>that has regulatory authority over the policies</w:t>
      </w:r>
    </w:p>
    <w:p w14:paraId="5BF52012" w14:textId="0935D23D" w:rsidR="00B87B08" w:rsidRDefault="00B87B08" w:rsidP="006723F5">
      <w:pPr>
        <w:pStyle w:val="ListParagraph"/>
        <w:numPr>
          <w:ilvl w:val="0"/>
          <w:numId w:val="17"/>
        </w:numPr>
      </w:pPr>
      <w:r w:rsidRPr="00292AAB">
        <w:t xml:space="preserve">HIOS </w:t>
      </w:r>
      <w:r w:rsidR="00780424">
        <w:t>I</w:t>
      </w:r>
      <w:r w:rsidR="00780424" w:rsidRPr="00292AAB">
        <w:t xml:space="preserve">ssuer </w:t>
      </w:r>
      <w:r w:rsidRPr="00292AAB">
        <w:t xml:space="preserve">ID: </w:t>
      </w:r>
      <w:r w:rsidR="0061530D">
        <w:t xml:space="preserve"> </w:t>
      </w:r>
      <w:r w:rsidRPr="00292AAB">
        <w:t>the HIOS ID assigned to the legal entity</w:t>
      </w:r>
    </w:p>
    <w:p w14:paraId="65DC281B" w14:textId="70CF368A" w:rsidR="00F24A5F" w:rsidRDefault="00F24A5F" w:rsidP="006723F5">
      <w:pPr>
        <w:pStyle w:val="ListParagraph"/>
        <w:numPr>
          <w:ilvl w:val="0"/>
          <w:numId w:val="17"/>
        </w:numPr>
      </w:pPr>
      <w:r>
        <w:t>Market:</w:t>
      </w:r>
      <w:r w:rsidR="0061530D">
        <w:t xml:space="preserve"> </w:t>
      </w:r>
      <w:r>
        <w:t xml:space="preserve"> the market in which the products and plans are offered</w:t>
      </w:r>
    </w:p>
    <w:p w14:paraId="49FB7E48" w14:textId="7BC6D4D9" w:rsidR="00F24A5F" w:rsidRPr="00292AAB" w:rsidRDefault="00F24A5F" w:rsidP="006723F5">
      <w:pPr>
        <w:pStyle w:val="ListParagraph"/>
        <w:numPr>
          <w:ilvl w:val="0"/>
          <w:numId w:val="17"/>
        </w:numPr>
      </w:pPr>
      <w:r>
        <w:t xml:space="preserve">Effective </w:t>
      </w:r>
      <w:r w:rsidR="00780424">
        <w:t>Date</w:t>
      </w:r>
      <w:r>
        <w:t>:</w:t>
      </w:r>
      <w:r w:rsidR="0061530D">
        <w:t xml:space="preserve"> </w:t>
      </w:r>
      <w:r w:rsidR="00B56761">
        <w:t xml:space="preserve"> </w:t>
      </w:r>
      <w:r>
        <w:t xml:space="preserve">the effective date </w:t>
      </w:r>
      <w:r w:rsidR="0036606D">
        <w:t xml:space="preserve">of the change of the Index Rate </w:t>
      </w:r>
    </w:p>
    <w:p w14:paraId="50286E44" w14:textId="77777777" w:rsidR="00B87B08" w:rsidRPr="00292AAB" w:rsidRDefault="00B87B08" w:rsidP="00B87B08">
      <w:r w:rsidRPr="00292AAB">
        <w:rPr>
          <w:b/>
        </w:rPr>
        <w:t>Company Contact Information</w:t>
      </w:r>
      <w:r w:rsidRPr="00292AAB">
        <w:t>: Provide the following information detailing how the reviewing regulator should contact the company in the case additional information is needed.</w:t>
      </w:r>
    </w:p>
    <w:p w14:paraId="3A1B05F0" w14:textId="05687B9E" w:rsidR="00B87B08" w:rsidRPr="00292AAB" w:rsidRDefault="00B87B08" w:rsidP="006723F5">
      <w:pPr>
        <w:pStyle w:val="ListParagraph"/>
        <w:numPr>
          <w:ilvl w:val="0"/>
          <w:numId w:val="17"/>
        </w:numPr>
      </w:pPr>
      <w:r w:rsidRPr="00292AAB">
        <w:t xml:space="preserve">Primary Contact Name: </w:t>
      </w:r>
      <w:r w:rsidR="0061530D">
        <w:t xml:space="preserve"> </w:t>
      </w:r>
      <w:r w:rsidRPr="00292AAB">
        <w:t xml:space="preserve">Provide the name of the person at the company who will serve as the primary contact for the submission. </w:t>
      </w:r>
      <w:r w:rsidR="0061530D">
        <w:t xml:space="preserve"> </w:t>
      </w:r>
      <w:r w:rsidRPr="00292AAB">
        <w:t xml:space="preserve">The regulator will contact this person if there are questions related to the </w:t>
      </w:r>
      <w:r w:rsidR="00F24A5F">
        <w:t>information submitted</w:t>
      </w:r>
      <w:r w:rsidRPr="00292AAB">
        <w:t>, or if additional information is needed.</w:t>
      </w:r>
    </w:p>
    <w:p w14:paraId="39BF9CDB" w14:textId="145B0802" w:rsidR="00B87B08" w:rsidRPr="00292AAB" w:rsidRDefault="00B87B08" w:rsidP="006723F5">
      <w:pPr>
        <w:pStyle w:val="ListParagraph"/>
        <w:numPr>
          <w:ilvl w:val="0"/>
          <w:numId w:val="17"/>
        </w:numPr>
      </w:pPr>
      <w:r w:rsidRPr="00292AAB">
        <w:t xml:space="preserve">Primary Contact Telephone Number: </w:t>
      </w:r>
      <w:r w:rsidR="0061530D">
        <w:t xml:space="preserve"> </w:t>
      </w:r>
      <w:r w:rsidRPr="00292AAB">
        <w:t>Provide the phone number for the primary contact</w:t>
      </w:r>
    </w:p>
    <w:p w14:paraId="06F16124" w14:textId="034F03A1" w:rsidR="00B87B08" w:rsidRDefault="00B87B08" w:rsidP="006723F5">
      <w:pPr>
        <w:pStyle w:val="ListParagraph"/>
        <w:numPr>
          <w:ilvl w:val="0"/>
          <w:numId w:val="17"/>
        </w:numPr>
      </w:pPr>
      <w:r w:rsidRPr="00292AAB">
        <w:t xml:space="preserve">Primary Contact Email Address: </w:t>
      </w:r>
      <w:r w:rsidR="0061530D">
        <w:t xml:space="preserve"> </w:t>
      </w:r>
      <w:r w:rsidRPr="00292AAB">
        <w:t>Provide the email address for the primary contact</w:t>
      </w:r>
    </w:p>
    <w:p w14:paraId="752864E9" w14:textId="77777777" w:rsidR="0067668D" w:rsidRPr="00C52FBC" w:rsidRDefault="007024A6" w:rsidP="008E5B0B">
      <w:pPr>
        <w:pStyle w:val="Heading2"/>
      </w:pPr>
      <w:bookmarkStart w:id="500" w:name="_Toc411345249"/>
      <w:bookmarkStart w:id="501" w:name="_Toc411345300"/>
      <w:bookmarkStart w:id="502" w:name="_Toc411345404"/>
      <w:bookmarkStart w:id="503" w:name="_Toc411345454"/>
      <w:bookmarkStart w:id="504" w:name="_Toc411345505"/>
      <w:bookmarkStart w:id="505" w:name="_Toc411347414"/>
      <w:bookmarkStart w:id="506" w:name="_Toc411347478"/>
      <w:bookmarkStart w:id="507" w:name="_Toc411345250"/>
      <w:bookmarkStart w:id="508" w:name="_Toc411345301"/>
      <w:bookmarkStart w:id="509" w:name="_Toc411345405"/>
      <w:bookmarkStart w:id="510" w:name="_Toc411345455"/>
      <w:bookmarkStart w:id="511" w:name="_Toc411345506"/>
      <w:bookmarkStart w:id="512" w:name="_Toc411347415"/>
      <w:bookmarkStart w:id="513" w:name="_Toc411347479"/>
      <w:bookmarkStart w:id="514" w:name="_Toc411345251"/>
      <w:bookmarkStart w:id="515" w:name="_Toc411345302"/>
      <w:bookmarkStart w:id="516" w:name="_Toc411345406"/>
      <w:bookmarkStart w:id="517" w:name="_Toc411345456"/>
      <w:bookmarkStart w:id="518" w:name="_Toc411345507"/>
      <w:bookmarkStart w:id="519" w:name="_Toc411347416"/>
      <w:bookmarkStart w:id="520" w:name="_Toc411347480"/>
      <w:bookmarkStart w:id="521" w:name="_Toc411345252"/>
      <w:bookmarkStart w:id="522" w:name="_Toc411345303"/>
      <w:bookmarkStart w:id="523" w:name="_Toc411345407"/>
      <w:bookmarkStart w:id="524" w:name="_Toc411345457"/>
      <w:bookmarkStart w:id="525" w:name="_Toc411345508"/>
      <w:bookmarkStart w:id="526" w:name="_Toc411347417"/>
      <w:bookmarkStart w:id="527" w:name="_Toc411347481"/>
      <w:bookmarkStart w:id="528" w:name="_Toc411345253"/>
      <w:bookmarkStart w:id="529" w:name="_Toc411345304"/>
      <w:bookmarkStart w:id="530" w:name="_Toc411345408"/>
      <w:bookmarkStart w:id="531" w:name="_Toc411345458"/>
      <w:bookmarkStart w:id="532" w:name="_Toc411345509"/>
      <w:bookmarkStart w:id="533" w:name="_Toc411347418"/>
      <w:bookmarkStart w:id="534" w:name="_Toc411347482"/>
      <w:bookmarkStart w:id="535" w:name="_Toc411345254"/>
      <w:bookmarkStart w:id="536" w:name="_Toc411345305"/>
      <w:bookmarkStart w:id="537" w:name="_Toc411345409"/>
      <w:bookmarkStart w:id="538" w:name="_Toc411345459"/>
      <w:bookmarkStart w:id="539" w:name="_Toc411345510"/>
      <w:bookmarkStart w:id="540" w:name="_Toc411347419"/>
      <w:bookmarkStart w:id="541" w:name="_Toc411347483"/>
      <w:bookmarkStart w:id="542" w:name="_Toc411345255"/>
      <w:bookmarkStart w:id="543" w:name="_Toc411345306"/>
      <w:bookmarkStart w:id="544" w:name="_Toc411345410"/>
      <w:bookmarkStart w:id="545" w:name="_Toc411345460"/>
      <w:bookmarkStart w:id="546" w:name="_Toc411345511"/>
      <w:bookmarkStart w:id="547" w:name="_Toc411347420"/>
      <w:bookmarkStart w:id="548" w:name="_Toc411347484"/>
      <w:bookmarkStart w:id="549" w:name="_Toc411345256"/>
      <w:bookmarkStart w:id="550" w:name="_Toc411345307"/>
      <w:bookmarkStart w:id="551" w:name="_Toc411345411"/>
      <w:bookmarkStart w:id="552" w:name="_Toc411345461"/>
      <w:bookmarkStart w:id="553" w:name="_Toc411345512"/>
      <w:bookmarkStart w:id="554" w:name="_Toc411347421"/>
      <w:bookmarkStart w:id="555" w:name="_Toc411347485"/>
      <w:bookmarkStart w:id="556" w:name="_Toc411345257"/>
      <w:bookmarkStart w:id="557" w:name="_Toc411345308"/>
      <w:bookmarkStart w:id="558" w:name="_Toc411345412"/>
      <w:bookmarkStart w:id="559" w:name="_Toc411345462"/>
      <w:bookmarkStart w:id="560" w:name="_Toc411345513"/>
      <w:bookmarkStart w:id="561" w:name="_Toc411347422"/>
      <w:bookmarkStart w:id="562" w:name="_Toc411347486"/>
      <w:bookmarkStart w:id="563" w:name="_Toc411345258"/>
      <w:bookmarkStart w:id="564" w:name="_Toc411345309"/>
      <w:bookmarkStart w:id="565" w:name="_Toc411345413"/>
      <w:bookmarkStart w:id="566" w:name="_Toc411345463"/>
      <w:bookmarkStart w:id="567" w:name="_Toc411345514"/>
      <w:bookmarkStart w:id="568" w:name="_Toc411347423"/>
      <w:bookmarkStart w:id="569" w:name="_Toc411347487"/>
      <w:bookmarkStart w:id="570" w:name="_Toc411345259"/>
      <w:bookmarkStart w:id="571" w:name="_Toc411345310"/>
      <w:bookmarkStart w:id="572" w:name="_Toc411345414"/>
      <w:bookmarkStart w:id="573" w:name="_Toc411345464"/>
      <w:bookmarkStart w:id="574" w:name="_Toc411345515"/>
      <w:bookmarkStart w:id="575" w:name="_Toc411347424"/>
      <w:bookmarkStart w:id="576" w:name="_Toc411347488"/>
      <w:bookmarkStart w:id="577" w:name="_Toc411345260"/>
      <w:bookmarkStart w:id="578" w:name="_Toc411345311"/>
      <w:bookmarkStart w:id="579" w:name="_Toc411345415"/>
      <w:bookmarkStart w:id="580" w:name="_Toc411345465"/>
      <w:bookmarkStart w:id="581" w:name="_Toc411345516"/>
      <w:bookmarkStart w:id="582" w:name="_Toc411347425"/>
      <w:bookmarkStart w:id="583" w:name="_Toc411347489"/>
      <w:bookmarkStart w:id="584" w:name="_Toc411347490"/>
      <w:bookmarkStart w:id="585" w:name="_Toc411523381"/>
      <w:bookmarkStart w:id="586" w:name="_Toc411866101"/>
      <w:bookmarkStart w:id="587" w:name="_Toc411866619"/>
      <w:bookmarkStart w:id="588" w:name="_Toc412032787"/>
      <w:bookmarkStart w:id="589" w:name="_Toc411936259"/>
      <w:bookmarkStart w:id="590" w:name="_Toc412287669"/>
      <w:bookmarkStart w:id="591" w:name="_Toc441756513"/>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r w:rsidRPr="00C52FBC">
        <w:t>Proposed Rate Increase(s)</w:t>
      </w:r>
      <w:bookmarkEnd w:id="584"/>
      <w:bookmarkEnd w:id="585"/>
      <w:bookmarkEnd w:id="586"/>
      <w:bookmarkEnd w:id="587"/>
      <w:bookmarkEnd w:id="588"/>
      <w:bookmarkEnd w:id="589"/>
      <w:bookmarkEnd w:id="590"/>
      <w:bookmarkEnd w:id="591"/>
    </w:p>
    <w:p w14:paraId="29B43FBF" w14:textId="2A8690AA" w:rsidR="007024A6" w:rsidRPr="00292AAB" w:rsidRDefault="007024A6" w:rsidP="007024A6">
      <w:r w:rsidRPr="00292AAB">
        <w:t xml:space="preserve">In this section the actuary must provide information related to the proposed rate </w:t>
      </w:r>
      <w:r>
        <w:t>increase</w:t>
      </w:r>
      <w:r w:rsidRPr="00292AAB">
        <w:t xml:space="preserve">(s). </w:t>
      </w:r>
      <w:r w:rsidR="0061530D">
        <w:t xml:space="preserve"> </w:t>
      </w:r>
      <w:r w:rsidRPr="00292AAB">
        <w:t xml:space="preserve">If the </w:t>
      </w:r>
      <w:r>
        <w:t>proposed</w:t>
      </w:r>
      <w:r w:rsidRPr="00292AAB">
        <w:t xml:space="preserve"> rate adjustment varies by product, the information provided should clearly identify which </w:t>
      </w:r>
      <w:r>
        <w:t>propos</w:t>
      </w:r>
      <w:r w:rsidRPr="00292AAB">
        <w:t>ed adjustments apply to which products. Include all products which are part of the single risk pool</w:t>
      </w:r>
      <w:r>
        <w:t xml:space="preserve">, as defined by 45 CFR </w:t>
      </w:r>
      <w:r w:rsidRPr="00C02596">
        <w:t>156.80</w:t>
      </w:r>
      <w:r w:rsidRPr="00292AAB">
        <w:t xml:space="preserve">, including those products for which no rate adjustment is being </w:t>
      </w:r>
      <w:r>
        <w:t>proposed</w:t>
      </w:r>
      <w:r w:rsidRPr="00292AAB">
        <w:t>. The information that must be provided includes the following items</w:t>
      </w:r>
      <w:r>
        <w:t>:</w:t>
      </w:r>
    </w:p>
    <w:p w14:paraId="02FE5B08" w14:textId="4F29534C" w:rsidR="007024A6" w:rsidRPr="00292AAB" w:rsidRDefault="007024A6" w:rsidP="007024A6">
      <w:r w:rsidRPr="00292AAB">
        <w:rPr>
          <w:b/>
        </w:rPr>
        <w:t xml:space="preserve">Reason for Rate </w:t>
      </w:r>
      <w:r>
        <w:rPr>
          <w:b/>
        </w:rPr>
        <w:t>Increase</w:t>
      </w:r>
      <w:r w:rsidRPr="00292AAB">
        <w:rPr>
          <w:b/>
        </w:rPr>
        <w:t xml:space="preserve">(s): </w:t>
      </w:r>
      <w:r>
        <w:t>P</w:t>
      </w:r>
      <w:r w:rsidRPr="00292AAB">
        <w:t xml:space="preserve">rovide a narrative description of all significant factors driving a proposed </w:t>
      </w:r>
      <w:r>
        <w:t>rate increase</w:t>
      </w:r>
      <w:r w:rsidRPr="00292AAB">
        <w:t>. As an example, these factors could include but are not limited to:</w:t>
      </w:r>
    </w:p>
    <w:p w14:paraId="72F6F0CF" w14:textId="77777777" w:rsidR="007024A6" w:rsidRPr="00292AAB" w:rsidRDefault="007024A6" w:rsidP="006723F5">
      <w:pPr>
        <w:pStyle w:val="ListParagraph"/>
        <w:numPr>
          <w:ilvl w:val="0"/>
          <w:numId w:val="18"/>
        </w:numPr>
      </w:pPr>
      <w:r>
        <w:t>Single risk pool e</w:t>
      </w:r>
      <w:r w:rsidRPr="00292AAB">
        <w:t>xperience which is more adverse than that assumed in the current rates</w:t>
      </w:r>
    </w:p>
    <w:p w14:paraId="06812A2B" w14:textId="77777777" w:rsidR="007024A6" w:rsidRPr="00292AAB" w:rsidRDefault="007024A6" w:rsidP="006723F5">
      <w:pPr>
        <w:pStyle w:val="ListParagraph"/>
        <w:numPr>
          <w:ilvl w:val="0"/>
          <w:numId w:val="18"/>
        </w:numPr>
      </w:pPr>
      <w:r w:rsidRPr="00292AAB">
        <w:t>Medical inflation</w:t>
      </w:r>
    </w:p>
    <w:p w14:paraId="243B6C7E" w14:textId="77777777" w:rsidR="007024A6" w:rsidRPr="00292AAB" w:rsidRDefault="007024A6" w:rsidP="006723F5">
      <w:pPr>
        <w:pStyle w:val="ListParagraph"/>
        <w:numPr>
          <w:ilvl w:val="0"/>
          <w:numId w:val="18"/>
        </w:numPr>
      </w:pPr>
      <w:r w:rsidRPr="00292AAB">
        <w:t>Increased utilization</w:t>
      </w:r>
    </w:p>
    <w:p w14:paraId="16BDF272" w14:textId="77777777" w:rsidR="007024A6" w:rsidRPr="00292AAB" w:rsidRDefault="007024A6" w:rsidP="006723F5">
      <w:pPr>
        <w:pStyle w:val="ListParagraph"/>
        <w:numPr>
          <w:ilvl w:val="0"/>
          <w:numId w:val="18"/>
        </w:numPr>
      </w:pPr>
      <w:r w:rsidRPr="00292AAB">
        <w:t xml:space="preserve">Prospective changes to benefits covered by the </w:t>
      </w:r>
      <w:r>
        <w:t>product or successor products</w:t>
      </w:r>
    </w:p>
    <w:p w14:paraId="100ABCA2" w14:textId="77777777" w:rsidR="007024A6" w:rsidRPr="00292AAB" w:rsidRDefault="007024A6" w:rsidP="006723F5">
      <w:pPr>
        <w:pStyle w:val="ListParagraph"/>
        <w:numPr>
          <w:ilvl w:val="0"/>
          <w:numId w:val="18"/>
        </w:numPr>
      </w:pPr>
      <w:r w:rsidRPr="00292AAB">
        <w:t xml:space="preserve">New taxes and fees imposed on the </w:t>
      </w:r>
      <w:r>
        <w:t>issu</w:t>
      </w:r>
      <w:r w:rsidRPr="00292AAB">
        <w:t>er</w:t>
      </w:r>
    </w:p>
    <w:p w14:paraId="06F355B1" w14:textId="77777777" w:rsidR="007024A6" w:rsidRDefault="007024A6" w:rsidP="006723F5">
      <w:pPr>
        <w:pStyle w:val="ListParagraph"/>
        <w:numPr>
          <w:ilvl w:val="0"/>
          <w:numId w:val="18"/>
        </w:numPr>
      </w:pPr>
      <w:r w:rsidRPr="00292AAB">
        <w:t>Anticipated changes in the average morbidity of the covered population</w:t>
      </w:r>
      <w:r>
        <w:t xml:space="preserve"> that is market</w:t>
      </w:r>
      <w:r w:rsidR="00F12391">
        <w:t>-</w:t>
      </w:r>
      <w:r>
        <w:t>wide, as opposed to issuer specific morbidity that is reflected in risk adjustment</w:t>
      </w:r>
      <w:r w:rsidRPr="00292AAB">
        <w:t xml:space="preserve"> </w:t>
      </w:r>
    </w:p>
    <w:p w14:paraId="50D1946A" w14:textId="5D205BAD" w:rsidR="007024A6" w:rsidRPr="007024A6" w:rsidRDefault="007024A6" w:rsidP="009A198A">
      <w:r w:rsidRPr="00394C68">
        <w:t xml:space="preserve">If the requested rate </w:t>
      </w:r>
      <w:r>
        <w:t>increase</w:t>
      </w:r>
      <w:r w:rsidRPr="00394C68">
        <w:t xml:space="preserve"> is not the same across all products and plans, provide a narrative discussion as to why the rate</w:t>
      </w:r>
      <w:r>
        <w:t xml:space="preserve"> changes</w:t>
      </w:r>
      <w:r w:rsidRPr="00394C68">
        <w:t xml:space="preserve"> vary by product </w:t>
      </w:r>
      <w:r>
        <w:t xml:space="preserve">or plan </w:t>
      </w:r>
      <w:r w:rsidRPr="00394C68">
        <w:t>given they are based on the same single risk pool of experience for the market.</w:t>
      </w:r>
      <w:r w:rsidR="00CF4549">
        <w:t xml:space="preserve">  Large variation in the requested rate change across products and plans will likely require further information f</w:t>
      </w:r>
      <w:r w:rsidR="00120DBA">
        <w:t>or</w:t>
      </w:r>
      <w:r w:rsidR="00CF4549">
        <w:t xml:space="preserve"> the regulator demonstrating morbidity was not a factor in the varying rate changes.</w:t>
      </w:r>
    </w:p>
    <w:p w14:paraId="133774D0" w14:textId="77777777" w:rsidR="000F40B3" w:rsidRPr="00972FE7" w:rsidRDefault="000F40B3" w:rsidP="008E5B0B">
      <w:pPr>
        <w:pStyle w:val="Heading2"/>
      </w:pPr>
      <w:bookmarkStart w:id="592" w:name="_Toc411523382"/>
      <w:bookmarkStart w:id="593" w:name="_Toc411866102"/>
      <w:bookmarkStart w:id="594" w:name="_Toc411866620"/>
      <w:bookmarkStart w:id="595" w:name="_Toc412032788"/>
      <w:bookmarkStart w:id="596" w:name="_Toc411936260"/>
      <w:bookmarkStart w:id="597" w:name="_Toc412287670"/>
      <w:bookmarkStart w:id="598" w:name="_Toc441756514"/>
      <w:bookmarkStart w:id="599" w:name="_Toc411347491"/>
      <w:r w:rsidRPr="00972FE7">
        <w:t>Market Experience</w:t>
      </w:r>
      <w:bookmarkEnd w:id="592"/>
      <w:bookmarkEnd w:id="593"/>
      <w:bookmarkEnd w:id="594"/>
      <w:bookmarkEnd w:id="595"/>
      <w:bookmarkEnd w:id="596"/>
      <w:bookmarkEnd w:id="597"/>
      <w:bookmarkEnd w:id="598"/>
    </w:p>
    <w:p w14:paraId="5188FBEB" w14:textId="77777777" w:rsidR="007024A6" w:rsidRDefault="007024A6" w:rsidP="008E5B0B">
      <w:pPr>
        <w:pStyle w:val="Heading3"/>
      </w:pPr>
      <w:bookmarkStart w:id="600" w:name="_Toc411523383"/>
      <w:bookmarkStart w:id="601" w:name="_Toc411866103"/>
      <w:bookmarkStart w:id="602" w:name="_Toc411866621"/>
      <w:bookmarkStart w:id="603" w:name="_Toc412032789"/>
      <w:bookmarkStart w:id="604" w:name="_Toc411936261"/>
      <w:bookmarkStart w:id="605" w:name="_Toc412287671"/>
      <w:bookmarkStart w:id="606" w:name="_Toc441756515"/>
      <w:r>
        <w:t>Experience Period Premium and Claims</w:t>
      </w:r>
      <w:bookmarkEnd w:id="599"/>
      <w:bookmarkEnd w:id="600"/>
      <w:bookmarkEnd w:id="601"/>
      <w:bookmarkEnd w:id="602"/>
      <w:bookmarkEnd w:id="603"/>
      <w:bookmarkEnd w:id="604"/>
      <w:bookmarkEnd w:id="605"/>
      <w:bookmarkEnd w:id="606"/>
    </w:p>
    <w:p w14:paraId="0F355498" w14:textId="77777777" w:rsidR="00B87B08" w:rsidRPr="00292AAB" w:rsidRDefault="00B87B08" w:rsidP="00B87B08">
      <w:r w:rsidRPr="00292AAB">
        <w:t xml:space="preserve">This section of the </w:t>
      </w:r>
      <w:r w:rsidR="009C3D1A">
        <w:t>A</w:t>
      </w:r>
      <w:r w:rsidR="00780424" w:rsidRPr="00292AAB">
        <w:t xml:space="preserve">ctuarial </w:t>
      </w:r>
      <w:r w:rsidR="009C3D1A">
        <w:t>M</w:t>
      </w:r>
      <w:r w:rsidR="00780424" w:rsidRPr="00292AAB">
        <w:t xml:space="preserve">emorandum </w:t>
      </w:r>
      <w:r w:rsidRPr="00292AAB">
        <w:t xml:space="preserve">should include information related to the actuary’s best estimate of premium and claims </w:t>
      </w:r>
      <w:r w:rsidR="00E3612E">
        <w:t xml:space="preserve">for the single risk pool </w:t>
      </w:r>
      <w:r w:rsidRPr="00292AAB">
        <w:t xml:space="preserve">during the experience period reported in Worksheet 1, Section </w:t>
      </w:r>
      <w:r w:rsidR="005475C1">
        <w:t>I</w:t>
      </w:r>
      <w:r w:rsidR="005475C1" w:rsidRPr="00292AAB">
        <w:t xml:space="preserve"> </w:t>
      </w:r>
      <w:r w:rsidRPr="00292AAB">
        <w:t xml:space="preserve">of the </w:t>
      </w:r>
      <w:r w:rsidR="00705E5C">
        <w:t>URRT</w:t>
      </w:r>
      <w:r>
        <w:t>.</w:t>
      </w:r>
      <w:r w:rsidRPr="00292AAB">
        <w:t xml:space="preserve"> </w:t>
      </w:r>
    </w:p>
    <w:p w14:paraId="0BFB061E" w14:textId="77777777" w:rsidR="00B87B08" w:rsidRPr="00292AAB" w:rsidRDefault="00B87B08" w:rsidP="00B87B08">
      <w:r w:rsidRPr="00292AAB">
        <w:rPr>
          <w:b/>
        </w:rPr>
        <w:t>Paid Through Date:</w:t>
      </w:r>
      <w:r w:rsidR="008D7DEF">
        <w:rPr>
          <w:b/>
        </w:rPr>
        <w:t xml:space="preserve"> </w:t>
      </w:r>
      <w:r w:rsidRPr="00292AAB">
        <w:rPr>
          <w:b/>
        </w:rPr>
        <w:t xml:space="preserve"> </w:t>
      </w:r>
      <w:r w:rsidRPr="00292AAB">
        <w:t>Indicate the date through which payments have been made on claims incurred during the experience period.</w:t>
      </w:r>
    </w:p>
    <w:p w14:paraId="38265789" w14:textId="78DA7719" w:rsidR="00CA0AE3" w:rsidRPr="00292AAB" w:rsidRDefault="00CA0AE3" w:rsidP="00CA0AE3">
      <w:pPr>
        <w:tabs>
          <w:tab w:val="left" w:pos="2700"/>
        </w:tabs>
      </w:pPr>
      <w:r w:rsidRPr="00292AAB">
        <w:rPr>
          <w:b/>
        </w:rPr>
        <w:t>Premiums (net of MLR Rebate) in Experience Period:</w:t>
      </w:r>
      <w:r w:rsidR="00577C98" w:rsidRPr="00B56761">
        <w:rPr>
          <w:b/>
        </w:rPr>
        <w:t xml:space="preserve"> </w:t>
      </w:r>
      <w:r w:rsidRPr="00292AAB">
        <w:t xml:space="preserve"> Provide support for how the amount of premium earned during the experience period, net of MLR rebates to policyholders, was developed. </w:t>
      </w:r>
      <w:r w:rsidR="00F90ABB">
        <w:t>Expected r</w:t>
      </w:r>
      <w:r w:rsidR="00670D6C">
        <w:t>isk adjustment receivables or payables should be included in the experience period premium.  Small group quarterly submissions should adjust the experience period premium to account for expected risk adjustment accruals.</w:t>
      </w:r>
    </w:p>
    <w:p w14:paraId="31F8E3CF" w14:textId="57C41F50" w:rsidR="00CA0AE3" w:rsidRPr="00292AAB" w:rsidRDefault="00CA0AE3" w:rsidP="006723F5">
      <w:pPr>
        <w:pStyle w:val="ListParagraph"/>
        <w:numPr>
          <w:ilvl w:val="0"/>
          <w:numId w:val="20"/>
        </w:numPr>
        <w:tabs>
          <w:tab w:val="left" w:pos="2700"/>
        </w:tabs>
        <w:ind w:left="720"/>
      </w:pPr>
      <w:r w:rsidRPr="00292AAB">
        <w:t xml:space="preserve">Separately indicate the earned premium prior to MLR rebates and the amount of MLR rebates refunded </w:t>
      </w:r>
      <w:r>
        <w:t xml:space="preserve">(or expected to be refunded) </w:t>
      </w:r>
      <w:r w:rsidRPr="00292AAB">
        <w:t xml:space="preserve">for the market during the experience period. </w:t>
      </w:r>
      <w:r w:rsidR="0061530D">
        <w:t xml:space="preserve"> </w:t>
      </w:r>
      <w:r w:rsidRPr="00292AAB">
        <w:t xml:space="preserve">Earned premium should not be reduced for any reductions prescribed when calculating the issuer’s MLR, such as taxes and assessments. </w:t>
      </w:r>
    </w:p>
    <w:p w14:paraId="34484927" w14:textId="1A235016" w:rsidR="00CA0AE3" w:rsidRDefault="00CA0AE3" w:rsidP="006723F5">
      <w:pPr>
        <w:pStyle w:val="ListParagraph"/>
        <w:numPr>
          <w:ilvl w:val="0"/>
          <w:numId w:val="20"/>
        </w:numPr>
        <w:tabs>
          <w:tab w:val="left" w:pos="2700"/>
        </w:tabs>
        <w:ind w:left="720"/>
      </w:pPr>
      <w:r w:rsidRPr="00292AAB">
        <w:t xml:space="preserve">For portions of the experience premium for which the MLR rebate has not been finalized, a best estimate of the rebates is to be included. </w:t>
      </w:r>
      <w:r w:rsidR="0061530D">
        <w:t xml:space="preserve"> </w:t>
      </w:r>
      <w:r w:rsidRPr="00292AAB">
        <w:t>Describe the methodology used to estimate such rebates.</w:t>
      </w:r>
    </w:p>
    <w:p w14:paraId="7635EE0F" w14:textId="63DED435" w:rsidR="00670D6C" w:rsidRDefault="00670D6C" w:rsidP="006723F5">
      <w:pPr>
        <w:pStyle w:val="ListParagraph"/>
        <w:numPr>
          <w:ilvl w:val="0"/>
          <w:numId w:val="20"/>
        </w:numPr>
        <w:tabs>
          <w:tab w:val="left" w:pos="2700"/>
        </w:tabs>
        <w:ind w:left="720"/>
      </w:pPr>
      <w:r>
        <w:t>For quarterly submissions in the small group market, provide a best estimate of expected risk adjustment accruals.</w:t>
      </w:r>
    </w:p>
    <w:p w14:paraId="542B258C" w14:textId="77777777" w:rsidR="00B87B08" w:rsidRPr="00292AAB" w:rsidRDefault="00B87B08" w:rsidP="00B87B08">
      <w:r w:rsidRPr="00292AAB">
        <w:rPr>
          <w:b/>
        </w:rPr>
        <w:t xml:space="preserve">Allowed and </w:t>
      </w:r>
      <w:r w:rsidR="00965A91">
        <w:rPr>
          <w:b/>
        </w:rPr>
        <w:t>Incurred</w:t>
      </w:r>
      <w:r w:rsidR="00965A91" w:rsidRPr="00292AAB">
        <w:rPr>
          <w:b/>
        </w:rPr>
        <w:t xml:space="preserve"> </w:t>
      </w:r>
      <w:r w:rsidRPr="00292AAB">
        <w:rPr>
          <w:b/>
        </w:rPr>
        <w:t xml:space="preserve">Claims Incurred </w:t>
      </w:r>
      <w:proofErr w:type="gramStart"/>
      <w:r w:rsidRPr="00292AAB">
        <w:rPr>
          <w:b/>
        </w:rPr>
        <w:t>During</w:t>
      </w:r>
      <w:proofErr w:type="gramEnd"/>
      <w:r w:rsidRPr="00292AAB">
        <w:rPr>
          <w:b/>
        </w:rPr>
        <w:t xml:space="preserve"> the Experience Period:</w:t>
      </w:r>
      <w:r w:rsidR="008D7DEF">
        <w:rPr>
          <w:b/>
        </w:rPr>
        <w:t xml:space="preserve"> </w:t>
      </w:r>
      <w:r w:rsidRPr="00292AAB">
        <w:rPr>
          <w:b/>
        </w:rPr>
        <w:t xml:space="preserve"> </w:t>
      </w:r>
      <w:r w:rsidRPr="00292AAB">
        <w:t>Provide support for the development of the actuary’s best estimate of allowed and paid claims incurred during the experience period</w:t>
      </w:r>
      <w:r w:rsidR="00446ACC">
        <w:t>.</w:t>
      </w:r>
    </w:p>
    <w:p w14:paraId="164C5789" w14:textId="3D054016" w:rsidR="00B87B08" w:rsidRPr="00292AAB" w:rsidRDefault="00E3612E" w:rsidP="006723F5">
      <w:pPr>
        <w:pStyle w:val="BodyText"/>
        <w:numPr>
          <w:ilvl w:val="0"/>
          <w:numId w:val="19"/>
        </w:numPr>
      </w:pPr>
      <w:r>
        <w:t>Worksheet 1, Section I shows</w:t>
      </w:r>
      <w:r w:rsidRPr="00292AAB">
        <w:t xml:space="preserve"> </w:t>
      </w:r>
      <w:r w:rsidR="00B87B08" w:rsidRPr="00292AAB">
        <w:t xml:space="preserve">the actuary’s best estimate of the amount of claims that were incurred during the 12-month </w:t>
      </w:r>
      <w:r>
        <w:t>experience</w:t>
      </w:r>
      <w:r w:rsidRPr="00292AAB">
        <w:t xml:space="preserve"> </w:t>
      </w:r>
      <w:r w:rsidR="00B87B08" w:rsidRPr="00292AAB">
        <w:t>period.</w:t>
      </w:r>
      <w:r w:rsidR="00577C98">
        <w:t xml:space="preserve"> </w:t>
      </w:r>
      <w:r w:rsidR="00B87B08" w:rsidRPr="00292AAB">
        <w:t xml:space="preserve"> Separately indicate the amount of claims which were processed through the </w:t>
      </w:r>
      <w:r>
        <w:t>issuer</w:t>
      </w:r>
      <w:r w:rsidRPr="00292AAB">
        <w:t xml:space="preserve">’s </w:t>
      </w:r>
      <w:r w:rsidR="00B87B08" w:rsidRPr="00292AAB">
        <w:t xml:space="preserve">claim system, processed outside of the </w:t>
      </w:r>
      <w:r w:rsidR="001B0EF0">
        <w:t>issuer</w:t>
      </w:r>
      <w:r w:rsidR="001B0EF0" w:rsidRPr="00292AAB">
        <w:t xml:space="preserve">’s </w:t>
      </w:r>
      <w:r w:rsidR="00B87B08" w:rsidRPr="00292AAB">
        <w:t xml:space="preserve">claims system, and the amount that represents the actuary’s best estimate of claims incurred but not paid as of the Paid </w:t>
      </w:r>
      <w:proofErr w:type="gramStart"/>
      <w:r w:rsidR="00B87B08" w:rsidRPr="00292AAB">
        <w:t>Through</w:t>
      </w:r>
      <w:proofErr w:type="gramEnd"/>
      <w:r w:rsidR="00B87B08" w:rsidRPr="00292AAB">
        <w:t xml:space="preserve"> Date stated above.</w:t>
      </w:r>
      <w:r>
        <w:t xml:space="preserve"> </w:t>
      </w:r>
      <w:r w:rsidR="00577C98">
        <w:t xml:space="preserve"> </w:t>
      </w:r>
      <w:r>
        <w:t xml:space="preserve">This should be provided separately for </w:t>
      </w:r>
      <w:r w:rsidR="00965A91">
        <w:t>Incurred Claims in Experience Period</w:t>
      </w:r>
      <w:r w:rsidR="00F46611">
        <w:t xml:space="preserve"> </w:t>
      </w:r>
      <w:r>
        <w:t xml:space="preserve">and </w:t>
      </w:r>
      <w:r w:rsidR="00965A91">
        <w:t>Allowed Claims</w:t>
      </w:r>
      <w:r>
        <w:t>, as defined and reported on Worksheet 1, Section I.</w:t>
      </w:r>
    </w:p>
    <w:p w14:paraId="09C6D6EC" w14:textId="77777777" w:rsidR="00B87B08" w:rsidRPr="00292AAB" w:rsidRDefault="00B87B08" w:rsidP="006723F5">
      <w:pPr>
        <w:pStyle w:val="BodyText"/>
        <w:numPr>
          <w:ilvl w:val="0"/>
          <w:numId w:val="14"/>
        </w:numPr>
      </w:pPr>
      <w:r w:rsidRPr="00292AAB">
        <w:t xml:space="preserve">Describe the method used for determining </w:t>
      </w:r>
      <w:r w:rsidR="00965A91">
        <w:t>A</w:t>
      </w:r>
      <w:r w:rsidR="00965A91" w:rsidRPr="00292AAB">
        <w:t xml:space="preserve">llowed </w:t>
      </w:r>
      <w:r w:rsidR="00965A91">
        <w:t>C</w:t>
      </w:r>
      <w:r w:rsidR="00965A91" w:rsidRPr="00292AAB">
        <w:t>laims</w:t>
      </w:r>
      <w:r w:rsidRPr="00292AAB">
        <w:t xml:space="preserve">. For example, </w:t>
      </w:r>
      <w:r w:rsidR="00965A91">
        <w:t>A</w:t>
      </w:r>
      <w:r w:rsidR="00965A91" w:rsidRPr="00292AAB">
        <w:t xml:space="preserve">llowed </w:t>
      </w:r>
      <w:r w:rsidR="00965A91">
        <w:t>C</w:t>
      </w:r>
      <w:r w:rsidR="00965A91" w:rsidRPr="00292AAB">
        <w:t xml:space="preserve">laims </w:t>
      </w:r>
      <w:r w:rsidRPr="00292AAB">
        <w:t xml:space="preserve">could come directly from an </w:t>
      </w:r>
      <w:r w:rsidR="00965A91">
        <w:t>issuer</w:t>
      </w:r>
      <w:r w:rsidR="00965A91" w:rsidRPr="00292AAB">
        <w:t xml:space="preserve">’s </w:t>
      </w:r>
      <w:r w:rsidRPr="00292AAB">
        <w:t xml:space="preserve">claim records or alternatively could be developed by combining paid claims or capitation payments with member </w:t>
      </w:r>
      <w:r w:rsidR="00F12391">
        <w:t>cost-sharing</w:t>
      </w:r>
      <w:r w:rsidRPr="00292AAB">
        <w:t xml:space="preserve">. </w:t>
      </w:r>
    </w:p>
    <w:p w14:paraId="2C2FDF65" w14:textId="77777777" w:rsidR="00B87B08" w:rsidRPr="00292AAB" w:rsidRDefault="00B87B08" w:rsidP="006723F5">
      <w:pPr>
        <w:pStyle w:val="BodyText"/>
        <w:numPr>
          <w:ilvl w:val="0"/>
          <w:numId w:val="14"/>
        </w:numPr>
      </w:pPr>
      <w:r w:rsidRPr="00292AAB">
        <w:t>Provide support for the estimate of incurred but not paid claims</w:t>
      </w:r>
    </w:p>
    <w:p w14:paraId="439A005B" w14:textId="0D785174" w:rsidR="00B87B08" w:rsidRPr="00292AAB" w:rsidRDefault="00B87B08" w:rsidP="006723F5">
      <w:pPr>
        <w:pStyle w:val="BodyText"/>
        <w:numPr>
          <w:ilvl w:val="1"/>
          <w:numId w:val="14"/>
        </w:numPr>
      </w:pPr>
      <w:r w:rsidRPr="00292AAB">
        <w:t xml:space="preserve">Describe the methodology used to develop the estimate of claims incurred but not paid for both </w:t>
      </w:r>
      <w:r w:rsidR="00965A91">
        <w:t>A</w:t>
      </w:r>
      <w:r w:rsidR="00965A91" w:rsidRPr="00292AAB">
        <w:t xml:space="preserve">llowed </w:t>
      </w:r>
      <w:r w:rsidR="00965A91">
        <w:t>C</w:t>
      </w:r>
      <w:r w:rsidR="00965A91" w:rsidRPr="00292AAB">
        <w:t xml:space="preserve">laims </w:t>
      </w:r>
      <w:r w:rsidRPr="00292AAB">
        <w:t xml:space="preserve">and </w:t>
      </w:r>
      <w:r w:rsidR="00965A91">
        <w:t xml:space="preserve">Incurred Claims in </w:t>
      </w:r>
      <w:r w:rsidR="001F475A">
        <w:t xml:space="preserve">the </w:t>
      </w:r>
      <w:r w:rsidR="00965A91">
        <w:t>Experience Period</w:t>
      </w:r>
      <w:r w:rsidRPr="00292AAB">
        <w:t xml:space="preserve">. </w:t>
      </w:r>
      <w:r w:rsidR="00577C98">
        <w:t xml:space="preserve"> </w:t>
      </w:r>
      <w:r w:rsidRPr="00292AAB">
        <w:t xml:space="preserve">To the extent that the methodology or completion factors used to estimate incurred but not paid claims on an allowed basis differs from the methodology or completion factors used to estimate </w:t>
      </w:r>
      <w:r w:rsidR="00601920">
        <w:t>incurred</w:t>
      </w:r>
      <w:r w:rsidR="00601920" w:rsidRPr="00292AAB">
        <w:t xml:space="preserve"> </w:t>
      </w:r>
      <w:r w:rsidRPr="00292AAB">
        <w:t xml:space="preserve">claims, describe and support why they are different. </w:t>
      </w:r>
    </w:p>
    <w:p w14:paraId="060C74A9" w14:textId="5BD9913A" w:rsidR="00B87B08" w:rsidRPr="00292AAB" w:rsidRDefault="00B87B08" w:rsidP="006723F5">
      <w:pPr>
        <w:pStyle w:val="BodyText"/>
        <w:numPr>
          <w:ilvl w:val="1"/>
          <w:numId w:val="14"/>
        </w:numPr>
      </w:pPr>
      <w:r w:rsidRPr="00292AAB">
        <w:t>Indicate whether the claims used to develop any completion factors reflect the experience period claims for th</w:t>
      </w:r>
      <w:r w:rsidR="00A54358">
        <w:t>e information submitted</w:t>
      </w:r>
      <w:r w:rsidRPr="00292AAB">
        <w:t xml:space="preserve"> or some alternate claims set, such as a larger block of the </w:t>
      </w:r>
      <w:r w:rsidR="00601920">
        <w:t>issuer</w:t>
      </w:r>
      <w:r w:rsidR="00601920" w:rsidRPr="00292AAB">
        <w:t xml:space="preserve">’s </w:t>
      </w:r>
      <w:r w:rsidRPr="00292AAB">
        <w:t xml:space="preserve">experience. </w:t>
      </w:r>
      <w:r w:rsidR="00577C98">
        <w:t xml:space="preserve"> </w:t>
      </w:r>
      <w:r w:rsidRPr="00292AAB">
        <w:t>If an alternate claims set was used, please provide support for why it is appropriate.</w:t>
      </w:r>
    </w:p>
    <w:p w14:paraId="26E42374" w14:textId="77777777" w:rsidR="00B87B08" w:rsidRPr="00292AAB" w:rsidRDefault="00B87B08" w:rsidP="006723F5">
      <w:pPr>
        <w:pStyle w:val="BodyText"/>
        <w:numPr>
          <w:ilvl w:val="1"/>
          <w:numId w:val="14"/>
        </w:numPr>
      </w:pPr>
      <w:r w:rsidRPr="00292AAB">
        <w:t xml:space="preserve">If the incurred but not paid claims are unusually high or unusually low relative to the experience period claims paid as of the Paid </w:t>
      </w:r>
      <w:proofErr w:type="gramStart"/>
      <w:r w:rsidRPr="00292AAB">
        <w:t>Through</w:t>
      </w:r>
      <w:proofErr w:type="gramEnd"/>
      <w:r w:rsidRPr="00292AAB">
        <w:t xml:space="preserve"> Date, explain what is </w:t>
      </w:r>
      <w:r w:rsidR="005475C1">
        <w:t>caus</w:t>
      </w:r>
      <w:r w:rsidR="005475C1" w:rsidRPr="00292AAB">
        <w:t xml:space="preserve">ing </w:t>
      </w:r>
      <w:r w:rsidRPr="00292AAB">
        <w:t>them to be unusually high or unusually low (e.g. introduction of a new claims system, significant employee turnover, etc.)</w:t>
      </w:r>
    </w:p>
    <w:p w14:paraId="1930EB7D" w14:textId="77777777" w:rsidR="00FF666C" w:rsidRDefault="00FF666C" w:rsidP="00926D0E">
      <w:pPr>
        <w:pStyle w:val="Heading3"/>
      </w:pPr>
      <w:bookmarkStart w:id="607" w:name="_Toc411347492"/>
      <w:bookmarkStart w:id="608" w:name="_Toc411523384"/>
      <w:bookmarkStart w:id="609" w:name="_Toc411866104"/>
      <w:bookmarkStart w:id="610" w:name="_Toc411866622"/>
      <w:bookmarkStart w:id="611" w:name="_Toc412032790"/>
      <w:bookmarkStart w:id="612" w:name="_Toc411936262"/>
      <w:bookmarkStart w:id="613" w:name="_Toc412287672"/>
      <w:bookmarkStart w:id="614" w:name="_Toc441756516"/>
      <w:r w:rsidRPr="00F61439">
        <w:t>Benefit Categories</w:t>
      </w:r>
      <w:bookmarkEnd w:id="607"/>
      <w:bookmarkEnd w:id="608"/>
      <w:bookmarkEnd w:id="609"/>
      <w:bookmarkEnd w:id="610"/>
      <w:bookmarkEnd w:id="611"/>
      <w:bookmarkEnd w:id="612"/>
      <w:bookmarkEnd w:id="613"/>
      <w:bookmarkEnd w:id="614"/>
    </w:p>
    <w:p w14:paraId="04C6E5CB" w14:textId="44A53FDA" w:rsidR="00FF666C" w:rsidRDefault="00FF666C" w:rsidP="00A54358">
      <w:pPr>
        <w:pStyle w:val="BodyText"/>
      </w:pPr>
      <w:r w:rsidRPr="00F61439">
        <w:t xml:space="preserve">For each of the </w:t>
      </w:r>
      <w:r w:rsidR="00601920">
        <w:t>Benefit C</w:t>
      </w:r>
      <w:r w:rsidR="00601920" w:rsidRPr="00F61439">
        <w:t xml:space="preserve">ategories </w:t>
      </w:r>
      <w:r w:rsidRPr="00F61439">
        <w:t>in Worksheet 1, Section II</w:t>
      </w:r>
      <w:r>
        <w:t>,</w:t>
      </w:r>
      <w:r w:rsidRPr="00F61439">
        <w:t xml:space="preserve"> describe the methodology used to determine which category each claim</w:t>
      </w:r>
      <w:r>
        <w:t xml:space="preserve"> in the experience</w:t>
      </w:r>
      <w:r w:rsidRPr="00F61439">
        <w:t xml:space="preserve"> </w:t>
      </w:r>
      <w:r w:rsidR="00601920">
        <w:t xml:space="preserve">period </w:t>
      </w:r>
      <w:r w:rsidRPr="00F61439">
        <w:t>falls.</w:t>
      </w:r>
      <w:r>
        <w:t xml:space="preserve"> </w:t>
      </w:r>
      <w:r w:rsidR="00577C98">
        <w:t xml:space="preserve"> </w:t>
      </w:r>
      <w:r w:rsidR="009E7408">
        <w:t xml:space="preserve">For benefit categories where “Other” was selected as the Utilization Description in the </w:t>
      </w:r>
      <w:r w:rsidR="00705E5C">
        <w:t>URRT</w:t>
      </w:r>
      <w:r w:rsidR="009E7408">
        <w:t>, please describe the measurement units that were used.</w:t>
      </w:r>
    </w:p>
    <w:p w14:paraId="5D6A45E1" w14:textId="77777777" w:rsidR="00D70E23" w:rsidRDefault="00D70E23" w:rsidP="00926D0E">
      <w:pPr>
        <w:pStyle w:val="Heading3"/>
      </w:pPr>
      <w:bookmarkStart w:id="615" w:name="_Toc411347493"/>
      <w:bookmarkStart w:id="616" w:name="_Toc411523385"/>
      <w:bookmarkStart w:id="617" w:name="_Toc411866105"/>
      <w:bookmarkStart w:id="618" w:name="_Toc411866623"/>
      <w:bookmarkStart w:id="619" w:name="_Toc412032791"/>
      <w:bookmarkStart w:id="620" w:name="_Toc411936263"/>
      <w:bookmarkStart w:id="621" w:name="_Toc412287673"/>
      <w:bookmarkStart w:id="622" w:name="_Toc441756517"/>
      <w:r w:rsidRPr="007718AD">
        <w:t>Projection Factors</w:t>
      </w:r>
      <w:bookmarkEnd w:id="615"/>
      <w:bookmarkEnd w:id="616"/>
      <w:bookmarkEnd w:id="617"/>
      <w:bookmarkEnd w:id="618"/>
      <w:bookmarkEnd w:id="619"/>
      <w:bookmarkEnd w:id="620"/>
      <w:bookmarkEnd w:id="621"/>
      <w:bookmarkEnd w:id="622"/>
    </w:p>
    <w:p w14:paraId="5107BE3A" w14:textId="77777777" w:rsidR="00D70E23" w:rsidRPr="00CD1386" w:rsidRDefault="00D70E23" w:rsidP="004F2BF2">
      <w:pPr>
        <w:tabs>
          <w:tab w:val="left" w:pos="2700"/>
        </w:tabs>
      </w:pPr>
      <w:r w:rsidRPr="007718AD">
        <w:t xml:space="preserve">This section </w:t>
      </w:r>
      <w:r w:rsidR="007718AD" w:rsidRPr="007718AD">
        <w:t xml:space="preserve">should include </w:t>
      </w:r>
      <w:r w:rsidRPr="007718AD">
        <w:t xml:space="preserve">a description of each factor used to project the </w:t>
      </w:r>
      <w:r w:rsidR="00FF666C">
        <w:t>experience</w:t>
      </w:r>
      <w:r w:rsidR="00FF666C" w:rsidRPr="007718AD">
        <w:t xml:space="preserve"> </w:t>
      </w:r>
      <w:r w:rsidR="00F61439">
        <w:t xml:space="preserve">period </w:t>
      </w:r>
      <w:r w:rsidR="00FF666C">
        <w:t>allowed claims</w:t>
      </w:r>
      <w:r w:rsidR="00FF666C" w:rsidRPr="007718AD">
        <w:t xml:space="preserve"> </w:t>
      </w:r>
      <w:r w:rsidRPr="007718AD">
        <w:t>to the projection period, and supporting information related to the development of th</w:t>
      </w:r>
      <w:r w:rsidR="000D5145" w:rsidRPr="007718AD">
        <w:t>os</w:t>
      </w:r>
      <w:r w:rsidRPr="007718AD">
        <w:t>e factor</w:t>
      </w:r>
      <w:r w:rsidR="000D5145" w:rsidRPr="007718AD">
        <w:t>s</w:t>
      </w:r>
      <w:r w:rsidRPr="007718AD">
        <w:t xml:space="preserve">. For each factor, the actuary </w:t>
      </w:r>
      <w:r w:rsidR="00CA3B30" w:rsidRPr="007718AD">
        <w:t xml:space="preserve">should </w:t>
      </w:r>
      <w:r w:rsidRPr="007718AD">
        <w:t xml:space="preserve">include a description of the source data </w:t>
      </w:r>
      <w:r w:rsidR="00687A8B">
        <w:t xml:space="preserve">or assumptions </w:t>
      </w:r>
      <w:r w:rsidRPr="007718AD">
        <w:t>used</w:t>
      </w:r>
      <w:r w:rsidR="00D11AF0" w:rsidRPr="007718AD">
        <w:t xml:space="preserve">, why </w:t>
      </w:r>
      <w:r w:rsidR="002837DE">
        <w:t>they are</w:t>
      </w:r>
      <w:r w:rsidR="00D11AF0" w:rsidRPr="007718AD">
        <w:t xml:space="preserve"> appropriate</w:t>
      </w:r>
      <w:r w:rsidR="007718AD">
        <w:t xml:space="preserve"> for the </w:t>
      </w:r>
      <w:r w:rsidR="00FF666C">
        <w:t>single risk pool</w:t>
      </w:r>
      <w:r w:rsidR="00D11AF0" w:rsidRPr="007718AD">
        <w:t>,</w:t>
      </w:r>
      <w:r w:rsidRPr="007718AD">
        <w:t xml:space="preserve"> and any applicable adjustments made to the data, such as considerations for </w:t>
      </w:r>
      <w:r w:rsidR="00FF666C">
        <w:t>issuer</w:t>
      </w:r>
      <w:r w:rsidR="00FF666C" w:rsidRPr="007718AD">
        <w:t xml:space="preserve"> </w:t>
      </w:r>
      <w:r w:rsidRPr="007718AD">
        <w:t xml:space="preserve">specific experience, industry or internal </w:t>
      </w:r>
      <w:r w:rsidR="00D11AF0" w:rsidRPr="007718AD">
        <w:t>studies,</w:t>
      </w:r>
      <w:r w:rsidRPr="007718AD">
        <w:t xml:space="preserve"> benefit design and credibility of the source data. </w:t>
      </w:r>
      <w:r w:rsidR="00F65F38">
        <w:t>At a minimum, include support for the following factors</w:t>
      </w:r>
      <w:r w:rsidRPr="007718AD">
        <w:t>:</w:t>
      </w:r>
    </w:p>
    <w:p w14:paraId="311989B8" w14:textId="1FB990A5" w:rsidR="00983772" w:rsidRDefault="00983772" w:rsidP="00983772">
      <w:pPr>
        <w:pStyle w:val="BodyText"/>
        <w:rPr>
          <w:b/>
        </w:rPr>
      </w:pPr>
      <w:r w:rsidRPr="00E13E6E">
        <w:rPr>
          <w:b/>
        </w:rPr>
        <w:t>Changes in the Morbidity of the Population Insured:</w:t>
      </w:r>
      <w:r w:rsidR="00577C98">
        <w:rPr>
          <w:b/>
        </w:rPr>
        <w:t xml:space="preserve"> </w:t>
      </w:r>
      <w:r w:rsidRPr="00E13E6E">
        <w:rPr>
          <w:b/>
        </w:rPr>
        <w:t xml:space="preserve"> </w:t>
      </w:r>
      <w:r w:rsidRPr="00E13E6E">
        <w:t>Describe an</w:t>
      </w:r>
      <w:r>
        <w:t>y</w:t>
      </w:r>
      <w:r w:rsidRPr="00E13E6E">
        <w:t xml:space="preserve"> adjustment</w:t>
      </w:r>
      <w:r>
        <w:t xml:space="preserve"> factors applied</w:t>
      </w:r>
      <w:r w:rsidRPr="00E13E6E">
        <w:t xml:space="preserve"> to the </w:t>
      </w:r>
      <w:r>
        <w:t xml:space="preserve">experience period claims </w:t>
      </w:r>
      <w:r w:rsidRPr="00E13E6E">
        <w:t>to account for anticipated</w:t>
      </w:r>
      <w:r>
        <w:t xml:space="preserve"> differences</w:t>
      </w:r>
      <w:r w:rsidRPr="00E13E6E">
        <w:t xml:space="preserve"> in the average morbidity of the </w:t>
      </w:r>
      <w:r w:rsidR="00CD018B">
        <w:t xml:space="preserve">pooled </w:t>
      </w:r>
      <w:r w:rsidRPr="00E13E6E">
        <w:t>population</w:t>
      </w:r>
      <w:r>
        <w:t xml:space="preserve"> underlying the experience </w:t>
      </w:r>
      <w:r w:rsidR="004518ED">
        <w:t xml:space="preserve">period </w:t>
      </w:r>
      <w:r>
        <w:t xml:space="preserve">and the </w:t>
      </w:r>
      <w:r w:rsidR="00644473">
        <w:t xml:space="preserve">issuer’s </w:t>
      </w:r>
      <w:r>
        <w:t>population anticipated to be insured in the projection period</w:t>
      </w:r>
      <w:r w:rsidRPr="00E13E6E">
        <w:t xml:space="preserve">. </w:t>
      </w:r>
      <w:r w:rsidR="00577C98">
        <w:t xml:space="preserve"> </w:t>
      </w:r>
      <w:r>
        <w:t xml:space="preserve">These adjustments are </w:t>
      </w:r>
      <w:r w:rsidR="004518ED">
        <w:t>shown in the “</w:t>
      </w:r>
      <w:proofErr w:type="spellStart"/>
      <w:r w:rsidR="004518ED">
        <w:t>Pop’l</w:t>
      </w:r>
      <w:proofErr w:type="spellEnd"/>
      <w:r w:rsidR="004518ED">
        <w:t xml:space="preserve"> risk Morbidity” column on Worksheet 1, Section II, and are </w:t>
      </w:r>
      <w:r>
        <w:t>in addition to the anticipated change in claims cost as a result of changes in the average mix by age and gender of the covered population</w:t>
      </w:r>
      <w:r w:rsidR="004518ED">
        <w:t xml:space="preserve"> (which are shown in the “Other” adjustment column</w:t>
      </w:r>
      <w:r w:rsidR="00283FAB">
        <w:t>)</w:t>
      </w:r>
      <w:r>
        <w:t xml:space="preserve">. </w:t>
      </w:r>
      <w:r w:rsidR="00577C98">
        <w:t xml:space="preserve"> </w:t>
      </w:r>
      <w:r w:rsidRPr="00E13E6E">
        <w:t>The</w:t>
      </w:r>
      <w:r w:rsidR="004518ED">
        <w:t xml:space="preserve"> morbidity of the population</w:t>
      </w:r>
      <w:r w:rsidRPr="00E13E6E">
        <w:t xml:space="preserve"> could be impacted by items such as guarantee</w:t>
      </w:r>
      <w:r w:rsidR="004D2CC3">
        <w:t>d</w:t>
      </w:r>
      <w:r w:rsidRPr="00E13E6E">
        <w:t xml:space="preserve"> </w:t>
      </w:r>
      <w:r w:rsidR="00F42673">
        <w:t>availability</w:t>
      </w:r>
      <w:r w:rsidRPr="00E13E6E">
        <w:t>, an individual mandate to maintain coverage, expansion of Medicaid programs, and the introduction of a Basic Health Program.</w:t>
      </w:r>
    </w:p>
    <w:p w14:paraId="3BC518BB" w14:textId="4C075E5F" w:rsidR="00733F94" w:rsidRPr="00AA0FBE" w:rsidRDefault="00733F94" w:rsidP="00733F94">
      <w:pPr>
        <w:pStyle w:val="BodyText"/>
      </w:pPr>
      <w:r w:rsidRPr="00E13E6E">
        <w:rPr>
          <w:b/>
        </w:rPr>
        <w:t xml:space="preserve">Changes in Benefits: </w:t>
      </w:r>
      <w:r w:rsidR="00577C98">
        <w:rPr>
          <w:b/>
        </w:rPr>
        <w:t xml:space="preserve"> </w:t>
      </w:r>
      <w:r w:rsidRPr="00E13E6E">
        <w:t>Describe</w:t>
      </w:r>
      <w:r>
        <w:t xml:space="preserve"> the development of</w:t>
      </w:r>
      <w:r w:rsidRPr="00E13E6E">
        <w:t xml:space="preserve"> factors used to adjust the </w:t>
      </w:r>
      <w:r>
        <w:t>experience</w:t>
      </w:r>
      <w:r w:rsidRPr="00E13E6E">
        <w:t xml:space="preserve"> period </w:t>
      </w:r>
      <w:r>
        <w:t>claims</w:t>
      </w:r>
      <w:r w:rsidRPr="00E13E6E">
        <w:t xml:space="preserve"> to reflect the </w:t>
      </w:r>
      <w:r w:rsidR="00DA3606">
        <w:t xml:space="preserve">average </w:t>
      </w:r>
      <w:r w:rsidRPr="00E13E6E">
        <w:t xml:space="preserve">benefits that will be </w:t>
      </w:r>
      <w:r>
        <w:t>c</w:t>
      </w:r>
      <w:r w:rsidRPr="00AA0FBE">
        <w:t xml:space="preserve">overed during the projection period, including any newly mandated benefits. </w:t>
      </w:r>
      <w:r w:rsidR="00577C98">
        <w:t xml:space="preserve"> </w:t>
      </w:r>
      <w:r w:rsidR="003657F8">
        <w:t xml:space="preserve">These changes are reflected in the “Other” adjustments column on Worksheet 1, Section II. </w:t>
      </w:r>
      <w:r w:rsidR="00577C98">
        <w:t xml:space="preserve"> </w:t>
      </w:r>
      <w:r w:rsidRPr="00AA0FBE">
        <w:t>The factors could adjust for items including but not limited to the following:</w:t>
      </w:r>
    </w:p>
    <w:p w14:paraId="1352A351" w14:textId="76E3A584" w:rsidR="00733F94" w:rsidRPr="00AA0FBE" w:rsidRDefault="00733F94" w:rsidP="006723F5">
      <w:pPr>
        <w:pStyle w:val="BodyText"/>
        <w:numPr>
          <w:ilvl w:val="0"/>
          <w:numId w:val="24"/>
        </w:numPr>
      </w:pPr>
      <w:r w:rsidRPr="00AA0FBE">
        <w:t xml:space="preserve">Addition of any benefits covered under the </w:t>
      </w:r>
      <w:r w:rsidR="00B56761">
        <w:t>State EHB Benchmark Plan</w:t>
      </w:r>
    </w:p>
    <w:p w14:paraId="645004AF" w14:textId="77777777" w:rsidR="00733F94" w:rsidRPr="00AA0FBE" w:rsidRDefault="00733F94" w:rsidP="006723F5">
      <w:pPr>
        <w:pStyle w:val="BodyText"/>
        <w:numPr>
          <w:ilvl w:val="0"/>
          <w:numId w:val="24"/>
        </w:numPr>
      </w:pPr>
      <w:r w:rsidRPr="00AA0FBE">
        <w:t xml:space="preserve">Any </w:t>
      </w:r>
      <w:r w:rsidR="00DA3606">
        <w:t xml:space="preserve">newly </w:t>
      </w:r>
      <w:r w:rsidRPr="00AA0FBE">
        <w:t xml:space="preserve">mandated benefits required under state law that are not reflected in the </w:t>
      </w:r>
      <w:r w:rsidR="003657F8">
        <w:t xml:space="preserve">experience </w:t>
      </w:r>
      <w:r w:rsidRPr="00AA0FBE">
        <w:t xml:space="preserve"> period </w:t>
      </w:r>
      <w:r w:rsidR="003657F8">
        <w:t>claims</w:t>
      </w:r>
    </w:p>
    <w:p w14:paraId="6CD0987F" w14:textId="77777777" w:rsidR="00733F94" w:rsidRPr="00AA0FBE" w:rsidRDefault="00733F94" w:rsidP="006723F5">
      <w:pPr>
        <w:pStyle w:val="BodyText"/>
        <w:numPr>
          <w:ilvl w:val="0"/>
          <w:numId w:val="24"/>
        </w:numPr>
      </w:pPr>
      <w:r w:rsidRPr="00AA0FBE">
        <w:t xml:space="preserve">Adjustment for the removal of benefits covered in the experience period </w:t>
      </w:r>
      <w:r w:rsidR="003657F8">
        <w:t xml:space="preserve">claims </w:t>
      </w:r>
      <w:r w:rsidRPr="00AA0FBE">
        <w:t>that will not be covered in the projection period</w:t>
      </w:r>
    </w:p>
    <w:p w14:paraId="197721B2" w14:textId="77777777" w:rsidR="00733F94" w:rsidRPr="00AA0FBE" w:rsidRDefault="00733F94" w:rsidP="006723F5">
      <w:pPr>
        <w:pStyle w:val="BodyText"/>
        <w:numPr>
          <w:ilvl w:val="0"/>
          <w:numId w:val="24"/>
        </w:numPr>
      </w:pPr>
      <w:r w:rsidRPr="00AA0FBE">
        <w:t xml:space="preserve">Anticipated </w:t>
      </w:r>
      <w:r>
        <w:t>changes in</w:t>
      </w:r>
      <w:r w:rsidRPr="00AA0FBE">
        <w:t xml:space="preserve"> the</w:t>
      </w:r>
      <w:r>
        <w:t xml:space="preserve"> </w:t>
      </w:r>
      <w:r w:rsidRPr="00AA0FBE">
        <w:t xml:space="preserve">average utilization of services due to differences in average </w:t>
      </w:r>
      <w:r w:rsidR="00F12391">
        <w:t>cost-sharing</w:t>
      </w:r>
      <w:r w:rsidRPr="00AA0FBE">
        <w:t xml:space="preserve"> requirements during the </w:t>
      </w:r>
      <w:r w:rsidR="003657F8">
        <w:t>experience</w:t>
      </w:r>
      <w:r w:rsidRPr="00AA0FBE">
        <w:t xml:space="preserve"> period and average </w:t>
      </w:r>
      <w:r w:rsidR="00F12391">
        <w:t>cost-sharing</w:t>
      </w:r>
      <w:r w:rsidRPr="00AA0FBE">
        <w:t xml:space="preserve"> requirements in the projection period</w:t>
      </w:r>
    </w:p>
    <w:p w14:paraId="0A547053" w14:textId="2884453D" w:rsidR="004518ED" w:rsidRDefault="004518ED" w:rsidP="004518ED">
      <w:pPr>
        <w:pStyle w:val="BodyText"/>
      </w:pPr>
      <w:r w:rsidRPr="00E13E6E">
        <w:rPr>
          <w:b/>
        </w:rPr>
        <w:t xml:space="preserve">Changes in </w:t>
      </w:r>
      <w:r>
        <w:rPr>
          <w:b/>
        </w:rPr>
        <w:t>Demographics</w:t>
      </w:r>
      <w:r w:rsidRPr="00E13E6E">
        <w:rPr>
          <w:b/>
        </w:rPr>
        <w:t>:</w:t>
      </w:r>
      <w:r w:rsidR="00577C98">
        <w:rPr>
          <w:b/>
        </w:rPr>
        <w:t xml:space="preserve"> </w:t>
      </w:r>
      <w:r w:rsidRPr="00E13E6E">
        <w:rPr>
          <w:b/>
        </w:rPr>
        <w:t xml:space="preserve"> </w:t>
      </w:r>
      <w:r w:rsidRPr="00E13E6E">
        <w:t>Describe</w:t>
      </w:r>
      <w:r>
        <w:t xml:space="preserve"> the development of</w:t>
      </w:r>
      <w:r w:rsidRPr="00E13E6E">
        <w:t xml:space="preserve"> factors used to adjust the </w:t>
      </w:r>
      <w:r w:rsidR="00733F94">
        <w:t>experience</w:t>
      </w:r>
      <w:r w:rsidRPr="00E13E6E">
        <w:t xml:space="preserve"> period </w:t>
      </w:r>
      <w:r w:rsidR="00733F94">
        <w:t>claims</w:t>
      </w:r>
      <w:r>
        <w:t xml:space="preserve"> to reflect differences between the average mix of the population by age</w:t>
      </w:r>
      <w:r w:rsidR="00CD018B">
        <w:t>,</w:t>
      </w:r>
      <w:r>
        <w:t xml:space="preserve"> gender</w:t>
      </w:r>
      <w:r w:rsidR="00CD018B">
        <w:t>, and region</w:t>
      </w:r>
      <w:r>
        <w:t xml:space="preserve"> underlying the base period experience and the average mix anticipated to underlie the projection period. </w:t>
      </w:r>
      <w:r w:rsidR="00577C98">
        <w:t xml:space="preserve"> </w:t>
      </w:r>
      <w:r w:rsidR="00733F94">
        <w:t>These changes are reflected in the “Other” adjustments column on Worksheet 1, Section II.</w:t>
      </w:r>
      <w:r w:rsidR="00577C98">
        <w:t xml:space="preserve"> </w:t>
      </w:r>
      <w:r>
        <w:t>Describe and support the age/gender factors underlying the development of these claims</w:t>
      </w:r>
      <w:r w:rsidR="00733F94">
        <w:t>-</w:t>
      </w:r>
      <w:r>
        <w:t>based demographic adjustment factors.</w:t>
      </w:r>
    </w:p>
    <w:p w14:paraId="6465DEA4" w14:textId="04C3CEA9" w:rsidR="00733F94" w:rsidRDefault="00733F94" w:rsidP="004518ED">
      <w:pPr>
        <w:pStyle w:val="BodyText"/>
      </w:pPr>
      <w:r w:rsidRPr="00733F94">
        <w:rPr>
          <w:b/>
        </w:rPr>
        <w:t>Other Adjustments</w:t>
      </w:r>
      <w:r>
        <w:t xml:space="preserve">: </w:t>
      </w:r>
      <w:r w:rsidR="00577C98">
        <w:t xml:space="preserve"> </w:t>
      </w:r>
      <w:r>
        <w:t xml:space="preserve">Describe any other adjustments, in addition to benefits and demographics which are specifically addressed above, that are reflected in the “Other” adjustments column on Worksheet 1, Section II. </w:t>
      </w:r>
      <w:r w:rsidR="00577C98">
        <w:t xml:space="preserve"> </w:t>
      </w:r>
      <w:r w:rsidR="003657F8">
        <w:t>Also describe how these factors were developed.</w:t>
      </w:r>
    </w:p>
    <w:p w14:paraId="331B2626" w14:textId="1CAC5D90" w:rsidR="00D70E23" w:rsidRPr="00F65F38" w:rsidRDefault="00D70E23" w:rsidP="00F65F38">
      <w:pPr>
        <w:pStyle w:val="BodyText"/>
      </w:pPr>
      <w:r w:rsidRPr="00F65F38">
        <w:rPr>
          <w:b/>
        </w:rPr>
        <w:t>Trend Factors (cost/utilization)</w:t>
      </w:r>
      <w:r w:rsidR="00B92763" w:rsidRPr="00F65F38">
        <w:rPr>
          <w:b/>
        </w:rPr>
        <w:t>:</w:t>
      </w:r>
      <w:r w:rsidR="00B92763" w:rsidRPr="00F65F38">
        <w:t xml:space="preserve"> </w:t>
      </w:r>
      <w:r w:rsidR="00577C98">
        <w:t xml:space="preserve"> </w:t>
      </w:r>
      <w:r w:rsidR="00B92763" w:rsidRPr="00F65F38">
        <w:t xml:space="preserve">Describe the source </w:t>
      </w:r>
      <w:r w:rsidR="00F65F38">
        <w:t xml:space="preserve">claims data </w:t>
      </w:r>
      <w:r w:rsidR="002C6885" w:rsidRPr="00F65F38">
        <w:t>used</w:t>
      </w:r>
      <w:r w:rsidR="00E13E6E">
        <w:t xml:space="preserve"> and methodology used</w:t>
      </w:r>
      <w:r w:rsidR="002C6885" w:rsidRPr="00F65F38">
        <w:t xml:space="preserve"> for developing</w:t>
      </w:r>
      <w:r w:rsidR="00B92763" w:rsidRPr="00F65F38">
        <w:t xml:space="preserve"> the cost and utilization</w:t>
      </w:r>
      <w:r w:rsidR="002C6885" w:rsidRPr="00F65F38">
        <w:t xml:space="preserve"> projection factors</w:t>
      </w:r>
      <w:r w:rsidR="00F65F38">
        <w:t xml:space="preserve">, including </w:t>
      </w:r>
      <w:r w:rsidR="00F65F38" w:rsidRPr="00F65F38">
        <w:t xml:space="preserve">all adjustments made to the </w:t>
      </w:r>
      <w:r w:rsidR="00F65F38">
        <w:t>data</w:t>
      </w:r>
      <w:r w:rsidR="00F65F38" w:rsidRPr="00F65F38">
        <w:t xml:space="preserve">. </w:t>
      </w:r>
      <w:r w:rsidR="00577C98">
        <w:t xml:space="preserve"> </w:t>
      </w:r>
      <w:r w:rsidR="00687A8B">
        <w:t xml:space="preserve">Explain why the adjusted source data is applicable to the single risk pool. </w:t>
      </w:r>
      <w:r w:rsidR="00F65F38" w:rsidRPr="00F65F38">
        <w:t>Some examples of such adjustments include</w:t>
      </w:r>
      <w:r w:rsidR="00E13E6E">
        <w:t xml:space="preserve"> but are not limited to</w:t>
      </w:r>
      <w:r w:rsidR="00F65F38" w:rsidRPr="00F65F38">
        <w:t xml:space="preserve"> the following:</w:t>
      </w:r>
    </w:p>
    <w:p w14:paraId="33936136" w14:textId="77777777" w:rsidR="00F65F38" w:rsidRPr="00F65F38" w:rsidRDefault="00F65F38" w:rsidP="006723F5">
      <w:pPr>
        <w:pStyle w:val="BodyText"/>
        <w:numPr>
          <w:ilvl w:val="0"/>
          <w:numId w:val="23"/>
        </w:numPr>
      </w:pPr>
      <w:r w:rsidRPr="00F65F38">
        <w:t xml:space="preserve">Normalization for changes in age </w:t>
      </w:r>
    </w:p>
    <w:p w14:paraId="3805338D" w14:textId="77777777" w:rsidR="00F65F38" w:rsidRPr="00F65F38" w:rsidRDefault="00F65F38" w:rsidP="006723F5">
      <w:pPr>
        <w:pStyle w:val="BodyText"/>
        <w:numPr>
          <w:ilvl w:val="0"/>
          <w:numId w:val="23"/>
        </w:numPr>
      </w:pPr>
      <w:r w:rsidRPr="00F65F38">
        <w:t>Normalization for benefit changes that occurred during the period (</w:t>
      </w:r>
      <w:r w:rsidR="00C04862">
        <w:t>e</w:t>
      </w:r>
      <w:r w:rsidRPr="00F65F38">
        <w:t>ven if allowed claims are used to project trend</w:t>
      </w:r>
      <w:r w:rsidR="00C04862">
        <w:t>,</w:t>
      </w:r>
      <w:r w:rsidRPr="00F65F38">
        <w:t xml:space="preserve"> a normalization adjustment may be warranted to account for the influence that changes in benefits </w:t>
      </w:r>
      <w:r w:rsidR="00F43B36" w:rsidRPr="00F65F38">
        <w:t>ha</w:t>
      </w:r>
      <w:r w:rsidR="00F43B36">
        <w:t>ve</w:t>
      </w:r>
      <w:r w:rsidR="00F43B36" w:rsidRPr="00F65F38">
        <w:t xml:space="preserve"> </w:t>
      </w:r>
      <w:r w:rsidRPr="00F65F38">
        <w:t>on utilization)</w:t>
      </w:r>
    </w:p>
    <w:p w14:paraId="3A978762" w14:textId="77777777" w:rsidR="00F65F38" w:rsidRPr="00F65F38" w:rsidRDefault="00F65F38" w:rsidP="006723F5">
      <w:pPr>
        <w:pStyle w:val="BodyText"/>
        <w:numPr>
          <w:ilvl w:val="0"/>
          <w:numId w:val="23"/>
        </w:numPr>
      </w:pPr>
      <w:r w:rsidRPr="00F65F38">
        <w:t>Adjustments for seasonality patterns underlying the claims that may skew calculated trend</w:t>
      </w:r>
      <w:r w:rsidR="00E13E6E">
        <w:t>s</w:t>
      </w:r>
    </w:p>
    <w:p w14:paraId="6231884D" w14:textId="77777777" w:rsidR="00F65F38" w:rsidRPr="00F65F38" w:rsidRDefault="00F65F38" w:rsidP="006723F5">
      <w:pPr>
        <w:pStyle w:val="BodyText"/>
        <w:numPr>
          <w:ilvl w:val="0"/>
          <w:numId w:val="23"/>
        </w:numPr>
      </w:pPr>
      <w:r w:rsidRPr="00F65F38">
        <w:t>Normalization for any one-time events which are not anticipated to reocc</w:t>
      </w:r>
      <w:r w:rsidR="002F3CE3">
        <w:t>ur during the projection period</w:t>
      </w:r>
    </w:p>
    <w:p w14:paraId="2146D9AD" w14:textId="77777777" w:rsidR="0054262D" w:rsidRDefault="00F65F38" w:rsidP="006723F5">
      <w:pPr>
        <w:pStyle w:val="BodyText"/>
        <w:numPr>
          <w:ilvl w:val="0"/>
          <w:numId w:val="23"/>
        </w:numPr>
      </w:pPr>
      <w:r w:rsidRPr="00F65F38">
        <w:t>Adjustments for anticipated changes in provider contracts that differ from those underlying the experience used</w:t>
      </w:r>
    </w:p>
    <w:p w14:paraId="3619844F" w14:textId="77777777" w:rsidR="00F65F38" w:rsidRPr="00E13E6E" w:rsidRDefault="00F65F38" w:rsidP="006723F5">
      <w:pPr>
        <w:pStyle w:val="BodyText"/>
        <w:numPr>
          <w:ilvl w:val="0"/>
          <w:numId w:val="23"/>
        </w:numPr>
      </w:pPr>
      <w:r>
        <w:t xml:space="preserve">For prescription drugs, </w:t>
      </w:r>
      <w:r w:rsidR="002F3CE3">
        <w:t>any adjustments made to acco</w:t>
      </w:r>
      <w:r w:rsidR="002F3CE3" w:rsidRPr="00E13E6E">
        <w:t xml:space="preserve">unt for changes in the formulary, expiration of patents, or introduction </w:t>
      </w:r>
      <w:r w:rsidR="00A40D0F" w:rsidRPr="00E13E6E">
        <w:t>o</w:t>
      </w:r>
      <w:r w:rsidR="00A40D0F">
        <w:t>f</w:t>
      </w:r>
      <w:r w:rsidR="00A40D0F" w:rsidRPr="00E13E6E">
        <w:t xml:space="preserve"> </w:t>
      </w:r>
      <w:r w:rsidR="002F3CE3" w:rsidRPr="00E13E6E">
        <w:t>new drugs</w:t>
      </w:r>
    </w:p>
    <w:p w14:paraId="0BF5A8F6" w14:textId="77777777" w:rsidR="00657610" w:rsidRDefault="00200707" w:rsidP="00926D0E">
      <w:pPr>
        <w:pStyle w:val="Heading3"/>
      </w:pPr>
      <w:bookmarkStart w:id="623" w:name="_Toc411347494"/>
      <w:bookmarkStart w:id="624" w:name="_Toc411523386"/>
      <w:bookmarkStart w:id="625" w:name="_Toc411866106"/>
      <w:bookmarkStart w:id="626" w:name="_Toc411866624"/>
      <w:bookmarkStart w:id="627" w:name="_Toc412032792"/>
      <w:bookmarkStart w:id="628" w:name="_Toc411936264"/>
      <w:bookmarkStart w:id="629" w:name="_Toc412287674"/>
      <w:bookmarkStart w:id="630" w:name="_Toc441756518"/>
      <w:r w:rsidRPr="00822862">
        <w:t xml:space="preserve">Credibility </w:t>
      </w:r>
      <w:r w:rsidR="00657610" w:rsidRPr="00822862">
        <w:t>Manual Rate Development</w:t>
      </w:r>
      <w:bookmarkEnd w:id="623"/>
      <w:bookmarkEnd w:id="624"/>
      <w:bookmarkEnd w:id="625"/>
      <w:bookmarkEnd w:id="626"/>
      <w:bookmarkEnd w:id="627"/>
      <w:bookmarkEnd w:id="628"/>
      <w:bookmarkEnd w:id="629"/>
      <w:bookmarkEnd w:id="630"/>
    </w:p>
    <w:p w14:paraId="6A5FAC2C" w14:textId="1E642285" w:rsidR="00CD1386" w:rsidRPr="00822862" w:rsidRDefault="00CD1386" w:rsidP="00CD1386">
      <w:r w:rsidRPr="00822862">
        <w:t xml:space="preserve">For </w:t>
      </w:r>
      <w:r w:rsidR="00C62A45" w:rsidRPr="00822862">
        <w:t>issuer</w:t>
      </w:r>
      <w:r w:rsidRPr="00822862">
        <w:t xml:space="preserve">s with </w:t>
      </w:r>
      <w:r w:rsidR="00704919">
        <w:t>experience</w:t>
      </w:r>
      <w:r w:rsidR="00704919" w:rsidRPr="00822862">
        <w:t xml:space="preserve"> </w:t>
      </w:r>
      <w:r w:rsidRPr="00822862">
        <w:t xml:space="preserve">period </w:t>
      </w:r>
      <w:r w:rsidR="00704919">
        <w:t>claims</w:t>
      </w:r>
      <w:r w:rsidR="00704919" w:rsidRPr="00822862">
        <w:t xml:space="preserve"> </w:t>
      </w:r>
      <w:r w:rsidRPr="00822862">
        <w:t xml:space="preserve">that </w:t>
      </w:r>
      <w:r w:rsidR="00704919">
        <w:t>are</w:t>
      </w:r>
      <w:r w:rsidR="00704919" w:rsidRPr="00822862">
        <w:t xml:space="preserve"> </w:t>
      </w:r>
      <w:r w:rsidRPr="00822862">
        <w:t>not</w:t>
      </w:r>
      <w:r w:rsidR="00822862">
        <w:t xml:space="preserve"> determined to be</w:t>
      </w:r>
      <w:r w:rsidRPr="00822862">
        <w:t xml:space="preserve"> fully credible, the use of </w:t>
      </w:r>
      <w:r w:rsidR="003247EB" w:rsidRPr="00822862">
        <w:t xml:space="preserve">other </w:t>
      </w:r>
      <w:r w:rsidR="006D3169">
        <w:t xml:space="preserve">credible </w:t>
      </w:r>
      <w:r w:rsidR="00704919">
        <w:t xml:space="preserve">claims </w:t>
      </w:r>
      <w:r w:rsidR="003247EB" w:rsidRPr="00822862">
        <w:t xml:space="preserve">experience </w:t>
      </w:r>
      <w:r w:rsidR="00822862">
        <w:t xml:space="preserve">must be employed in developing a credibility manual rate for blending with the </w:t>
      </w:r>
      <w:r w:rsidR="00704919">
        <w:t xml:space="preserve">experience </w:t>
      </w:r>
      <w:r w:rsidR="00822862">
        <w:t xml:space="preserve">period </w:t>
      </w:r>
      <w:r w:rsidR="00704919">
        <w:t>claims</w:t>
      </w:r>
      <w:r w:rsidR="00822862">
        <w:t xml:space="preserve">. </w:t>
      </w:r>
      <w:r w:rsidR="00DB3F85">
        <w:t xml:space="preserve"> </w:t>
      </w:r>
      <w:r w:rsidR="002C6885" w:rsidRPr="00822862">
        <w:t xml:space="preserve">The actuary must provide </w:t>
      </w:r>
      <w:r w:rsidRPr="00822862">
        <w:t xml:space="preserve">information related to the </w:t>
      </w:r>
      <w:r w:rsidR="003247EB" w:rsidRPr="00822862">
        <w:t xml:space="preserve">other experience </w:t>
      </w:r>
      <w:r w:rsidR="002C6885" w:rsidRPr="00822862">
        <w:t xml:space="preserve">and general methodology </w:t>
      </w:r>
      <w:r w:rsidR="003247EB" w:rsidRPr="00822862">
        <w:t>used</w:t>
      </w:r>
      <w:r w:rsidR="002C6885" w:rsidRPr="00822862">
        <w:t xml:space="preserve"> in</w:t>
      </w:r>
      <w:r w:rsidR="000F314A" w:rsidRPr="00822862">
        <w:t xml:space="preserve"> developing</w:t>
      </w:r>
      <w:r w:rsidR="002C6885" w:rsidRPr="00822862">
        <w:t xml:space="preserve"> </w:t>
      </w:r>
      <w:r w:rsidR="003247EB" w:rsidRPr="00822862">
        <w:t>the</w:t>
      </w:r>
      <w:r w:rsidR="002C6885" w:rsidRPr="00822862">
        <w:t xml:space="preserve"> manual</w:t>
      </w:r>
      <w:r w:rsidR="003247EB" w:rsidRPr="00822862">
        <w:t xml:space="preserve"> rate</w:t>
      </w:r>
      <w:bookmarkStart w:id="631" w:name="OLE_LINK1"/>
      <w:bookmarkStart w:id="632" w:name="OLE_LINK2"/>
      <w:r w:rsidR="002C6885" w:rsidRPr="00822862">
        <w:t>.</w:t>
      </w:r>
    </w:p>
    <w:bookmarkEnd w:id="631"/>
    <w:bookmarkEnd w:id="632"/>
    <w:p w14:paraId="735D06C6" w14:textId="028D08C2" w:rsidR="0054262D" w:rsidRPr="00822862" w:rsidRDefault="00E00AD5" w:rsidP="00822862">
      <w:pPr>
        <w:pStyle w:val="BodyText"/>
      </w:pPr>
      <w:r w:rsidRPr="00822862">
        <w:rPr>
          <w:b/>
        </w:rPr>
        <w:t xml:space="preserve">Source </w:t>
      </w:r>
      <w:r w:rsidR="00CD1386" w:rsidRPr="00822862">
        <w:rPr>
          <w:b/>
        </w:rPr>
        <w:t xml:space="preserve">and Appropriateness </w:t>
      </w:r>
      <w:r w:rsidRPr="00822862">
        <w:rPr>
          <w:b/>
        </w:rPr>
        <w:t xml:space="preserve">of </w:t>
      </w:r>
      <w:r w:rsidR="00657610" w:rsidRPr="00822862">
        <w:rPr>
          <w:b/>
        </w:rPr>
        <w:t xml:space="preserve">Experience </w:t>
      </w:r>
      <w:r w:rsidRPr="00822862">
        <w:rPr>
          <w:b/>
        </w:rPr>
        <w:t>Data U</w:t>
      </w:r>
      <w:r w:rsidR="00657610" w:rsidRPr="00822862">
        <w:rPr>
          <w:b/>
        </w:rPr>
        <w:t>sed</w:t>
      </w:r>
      <w:r w:rsidR="00822862" w:rsidRPr="00822862">
        <w:rPr>
          <w:b/>
        </w:rPr>
        <w:t>:</w:t>
      </w:r>
      <w:r w:rsidR="004770CA">
        <w:rPr>
          <w:b/>
        </w:rPr>
        <w:t xml:space="preserve"> </w:t>
      </w:r>
      <w:r w:rsidR="00822862" w:rsidRPr="00822862">
        <w:t xml:space="preserve"> Describe the source data used to develop the manual rate and why such data is appropriate. </w:t>
      </w:r>
      <w:r w:rsidR="00DB3F85">
        <w:t xml:space="preserve"> </w:t>
      </w:r>
      <w:r w:rsidR="00822862" w:rsidRPr="00822862">
        <w:t>Sources considered reasonable for developing manual rates include but are not limited to:</w:t>
      </w:r>
      <w:r w:rsidR="00657610" w:rsidRPr="00822862">
        <w:t xml:space="preserve"> </w:t>
      </w:r>
    </w:p>
    <w:p w14:paraId="52D9BE42" w14:textId="77777777" w:rsidR="00822862" w:rsidRPr="00E85395" w:rsidRDefault="00822862" w:rsidP="006723F5">
      <w:pPr>
        <w:pStyle w:val="BodyText"/>
        <w:numPr>
          <w:ilvl w:val="0"/>
          <w:numId w:val="15"/>
        </w:numPr>
      </w:pPr>
      <w:r w:rsidRPr="00E85395">
        <w:t xml:space="preserve">Multiple years of experience for the </w:t>
      </w:r>
      <w:r w:rsidR="000F416F">
        <w:t>market</w:t>
      </w:r>
      <w:r w:rsidR="000F416F" w:rsidRPr="00E85395">
        <w:t xml:space="preserve"> </w:t>
      </w:r>
      <w:r w:rsidRPr="00E85395">
        <w:t xml:space="preserve">for which rates are being </w:t>
      </w:r>
      <w:r w:rsidR="000F416F">
        <w:t>submitted</w:t>
      </w:r>
    </w:p>
    <w:p w14:paraId="0664CC36" w14:textId="77777777" w:rsidR="00822862" w:rsidRPr="00E85395" w:rsidRDefault="00822862" w:rsidP="006723F5">
      <w:pPr>
        <w:pStyle w:val="BodyText"/>
        <w:numPr>
          <w:ilvl w:val="0"/>
          <w:numId w:val="15"/>
        </w:numPr>
      </w:pPr>
      <w:r w:rsidRPr="00E85395">
        <w:t>The issuer’s experience for similar policies</w:t>
      </w:r>
      <w:r w:rsidR="00E85395" w:rsidRPr="00E85395">
        <w:t xml:space="preserve"> nationwide, including rationale for inclusion/exclusion of various blocks of business </w:t>
      </w:r>
    </w:p>
    <w:p w14:paraId="63FAEC1C" w14:textId="77777777" w:rsidR="00822862" w:rsidRPr="00CB30C9" w:rsidRDefault="00822862" w:rsidP="006723F5">
      <w:pPr>
        <w:pStyle w:val="BodyText"/>
        <w:numPr>
          <w:ilvl w:val="0"/>
          <w:numId w:val="15"/>
        </w:numPr>
      </w:pPr>
      <w:r w:rsidRPr="00E85395">
        <w:t>A manual rate developed by a consultant</w:t>
      </w:r>
      <w:r w:rsidR="00E85395" w:rsidRPr="00E85395">
        <w:t xml:space="preserve"> </w:t>
      </w:r>
      <w:r w:rsidR="00E85395" w:rsidRPr="00CB30C9">
        <w:t>with appropriate supporting documentation as to the underlying source data for development of the manual rate</w:t>
      </w:r>
    </w:p>
    <w:p w14:paraId="2C40ECBA" w14:textId="7795B60B" w:rsidR="00E00AD5" w:rsidRPr="00CB30C9" w:rsidRDefault="00657610" w:rsidP="00E85395">
      <w:pPr>
        <w:pStyle w:val="BodyText"/>
      </w:pPr>
      <w:r w:rsidRPr="00CB30C9">
        <w:rPr>
          <w:b/>
        </w:rPr>
        <w:t xml:space="preserve">Adjustments </w:t>
      </w:r>
      <w:r w:rsidR="00E00AD5" w:rsidRPr="00CB30C9">
        <w:rPr>
          <w:b/>
        </w:rPr>
        <w:t>M</w:t>
      </w:r>
      <w:r w:rsidRPr="00CB30C9">
        <w:rPr>
          <w:b/>
        </w:rPr>
        <w:t>ade</w:t>
      </w:r>
      <w:r w:rsidR="00E00AD5" w:rsidRPr="00CB30C9">
        <w:rPr>
          <w:b/>
        </w:rPr>
        <w:t xml:space="preserve"> to the Data</w:t>
      </w:r>
      <w:r w:rsidR="00E85395" w:rsidRPr="00CB30C9">
        <w:rPr>
          <w:b/>
        </w:rPr>
        <w:t>:</w:t>
      </w:r>
      <w:r w:rsidR="00E85395" w:rsidRPr="00CB30C9">
        <w:t xml:space="preserve"> </w:t>
      </w:r>
      <w:r w:rsidR="004770CA">
        <w:t xml:space="preserve"> </w:t>
      </w:r>
      <w:r w:rsidR="00E85395" w:rsidRPr="00CB30C9">
        <w:t>The experience upon which the manual rate is based must be adjusted to be reflective of the population</w:t>
      </w:r>
      <w:r w:rsidR="00AB725F">
        <w:t>, region,</w:t>
      </w:r>
      <w:r w:rsidR="00E85395" w:rsidRPr="00CB30C9">
        <w:t xml:space="preserve"> </w:t>
      </w:r>
      <w:r w:rsidR="00514537">
        <w:t xml:space="preserve">provider network, </w:t>
      </w:r>
      <w:r w:rsidR="00E85395" w:rsidRPr="00CB30C9">
        <w:t xml:space="preserve">and benefits </w:t>
      </w:r>
      <w:r w:rsidR="00CB30C9" w:rsidRPr="00CB30C9">
        <w:t xml:space="preserve">anticipated </w:t>
      </w:r>
      <w:r w:rsidR="00E85395" w:rsidRPr="00CB30C9">
        <w:t>under the policies for which rate</w:t>
      </w:r>
      <w:r w:rsidR="00704919">
        <w:t xml:space="preserve"> increase</w:t>
      </w:r>
      <w:r w:rsidR="00E85395" w:rsidRPr="00CB30C9">
        <w:t>s are being</w:t>
      </w:r>
      <w:r w:rsidR="00CB30C9" w:rsidRPr="00CB30C9">
        <w:t xml:space="preserve"> </w:t>
      </w:r>
      <w:r w:rsidR="00704919">
        <w:t>submitted</w:t>
      </w:r>
      <w:r w:rsidR="00CB30C9" w:rsidRPr="00CB30C9">
        <w:t xml:space="preserve">. </w:t>
      </w:r>
      <w:r w:rsidR="00DB3F85">
        <w:t xml:space="preserve"> </w:t>
      </w:r>
      <w:r w:rsidR="00E85395" w:rsidRPr="00CB30C9">
        <w:t>Describe all adjustments made to the data underlying the development of the manual rate</w:t>
      </w:r>
      <w:r w:rsidR="00CB30C9" w:rsidRPr="00CB30C9">
        <w:t xml:space="preserve"> to account for differences in demographics, benefits</w:t>
      </w:r>
      <w:r w:rsidR="004770CA">
        <w:t>,</w:t>
      </w:r>
      <w:r w:rsidR="00CB30C9" w:rsidRPr="00CB30C9">
        <w:t xml:space="preserve"> and morbidity/risk to ensure that th</w:t>
      </w:r>
      <w:r w:rsidR="004770CA">
        <w:t>e</w:t>
      </w:r>
      <w:r w:rsidR="00CB30C9" w:rsidRPr="00CB30C9">
        <w:t xml:space="preserve"> resulting manual rate is appropriate for blending with the adjusted </w:t>
      </w:r>
      <w:r w:rsidR="00704919">
        <w:t>experience</w:t>
      </w:r>
      <w:r w:rsidR="00704919" w:rsidRPr="00CB30C9">
        <w:t xml:space="preserve"> </w:t>
      </w:r>
      <w:r w:rsidR="00CB30C9" w:rsidRPr="00CB30C9">
        <w:t xml:space="preserve">period </w:t>
      </w:r>
      <w:r w:rsidR="00704919">
        <w:t>claims</w:t>
      </w:r>
      <w:r w:rsidR="00CB30C9" w:rsidRPr="00CB30C9">
        <w:t>.</w:t>
      </w:r>
    </w:p>
    <w:p w14:paraId="51C66D64" w14:textId="4575AD59" w:rsidR="003E2159" w:rsidRDefault="00CD1386" w:rsidP="00F61439">
      <w:pPr>
        <w:pStyle w:val="BodyText"/>
      </w:pPr>
      <w:r w:rsidRPr="00F61439">
        <w:rPr>
          <w:b/>
        </w:rPr>
        <w:t xml:space="preserve">Inclusion of </w:t>
      </w:r>
      <w:r w:rsidR="003E2159" w:rsidRPr="00F61439">
        <w:rPr>
          <w:b/>
        </w:rPr>
        <w:t>Capitation Payments</w:t>
      </w:r>
      <w:r w:rsidR="00F61439" w:rsidRPr="00F61439">
        <w:rPr>
          <w:b/>
        </w:rPr>
        <w:t>:</w:t>
      </w:r>
      <w:r w:rsidR="00F61439" w:rsidRPr="00481A0B">
        <w:rPr>
          <w:b/>
        </w:rPr>
        <w:t xml:space="preserve"> </w:t>
      </w:r>
      <w:r w:rsidR="00DB3F85">
        <w:rPr>
          <w:b/>
        </w:rPr>
        <w:t xml:space="preserve"> </w:t>
      </w:r>
      <w:r w:rsidR="00F61439" w:rsidRPr="00F61439">
        <w:t>If some of the services in the projection period will be provided under a capitation arrangement, specifically describe how these payments were accounted for in the development</w:t>
      </w:r>
      <w:r w:rsidR="00F61439">
        <w:t xml:space="preserve"> of the </w:t>
      </w:r>
      <w:r w:rsidR="00687A8B">
        <w:t xml:space="preserve">credibility </w:t>
      </w:r>
      <w:r w:rsidR="00F61439">
        <w:t>manual</w:t>
      </w:r>
      <w:r w:rsidR="004770CA">
        <w:t xml:space="preserve"> rate</w:t>
      </w:r>
      <w:r w:rsidR="00F61439">
        <w:t>.</w:t>
      </w:r>
    </w:p>
    <w:p w14:paraId="445F7CA8" w14:textId="77777777" w:rsidR="00E85395" w:rsidRDefault="00E85395" w:rsidP="00926D0E">
      <w:pPr>
        <w:pStyle w:val="Heading3"/>
      </w:pPr>
      <w:bookmarkStart w:id="633" w:name="_Toc411347495"/>
      <w:bookmarkStart w:id="634" w:name="_Toc411523387"/>
      <w:bookmarkStart w:id="635" w:name="_Toc411866107"/>
      <w:bookmarkStart w:id="636" w:name="_Toc411866625"/>
      <w:bookmarkStart w:id="637" w:name="_Toc412032793"/>
      <w:bookmarkStart w:id="638" w:name="_Toc411936265"/>
      <w:bookmarkStart w:id="639" w:name="_Toc412287675"/>
      <w:bookmarkStart w:id="640" w:name="_Toc441756519"/>
      <w:r w:rsidRPr="007718AD">
        <w:t>Credibility of Experience</w:t>
      </w:r>
      <w:bookmarkEnd w:id="633"/>
      <w:bookmarkEnd w:id="634"/>
      <w:bookmarkEnd w:id="635"/>
      <w:bookmarkEnd w:id="636"/>
      <w:bookmarkEnd w:id="637"/>
      <w:bookmarkEnd w:id="638"/>
      <w:bookmarkEnd w:id="639"/>
      <w:bookmarkEnd w:id="640"/>
    </w:p>
    <w:p w14:paraId="1E3DFF04" w14:textId="4E8808B9" w:rsidR="00E85395" w:rsidRPr="007718AD" w:rsidRDefault="00E85395" w:rsidP="00E85395">
      <w:pPr>
        <w:pStyle w:val="BodyText"/>
      </w:pPr>
      <w:r w:rsidRPr="007718AD">
        <w:t xml:space="preserve">In this section issuers must provide support for the credibility level assigned to their base period experience, with the </w:t>
      </w:r>
      <w:r w:rsidR="00571591" w:rsidRPr="007718AD">
        <w:t>compl</w:t>
      </w:r>
      <w:r w:rsidR="00571591">
        <w:t>e</w:t>
      </w:r>
      <w:r w:rsidR="00571591" w:rsidRPr="007718AD">
        <w:t xml:space="preserve">ment </w:t>
      </w:r>
      <w:r w:rsidRPr="007718AD">
        <w:t>being applied to a credibility manual</w:t>
      </w:r>
      <w:r w:rsidR="00664E8F">
        <w:t xml:space="preserve"> rate</w:t>
      </w:r>
      <w:r w:rsidRPr="007718AD">
        <w:t xml:space="preserve">. </w:t>
      </w:r>
      <w:r w:rsidR="00DB3F85">
        <w:t xml:space="preserve"> </w:t>
      </w:r>
      <w:r w:rsidRPr="007718AD">
        <w:t>The requested information will include items such as:</w:t>
      </w:r>
    </w:p>
    <w:p w14:paraId="4B6D08F4" w14:textId="77777777" w:rsidR="00E85395" w:rsidRPr="007718AD" w:rsidRDefault="00E85395" w:rsidP="006723F5">
      <w:pPr>
        <w:pStyle w:val="BodyText"/>
        <w:numPr>
          <w:ilvl w:val="0"/>
          <w:numId w:val="16"/>
        </w:numPr>
      </w:pPr>
      <w:r w:rsidRPr="007718AD">
        <w:t>Description of the Credibility Methodology Used</w:t>
      </w:r>
    </w:p>
    <w:p w14:paraId="30FD63F0" w14:textId="77777777" w:rsidR="00E85395" w:rsidRPr="007718AD" w:rsidRDefault="00E85395" w:rsidP="006723F5">
      <w:pPr>
        <w:pStyle w:val="BodyText"/>
        <w:numPr>
          <w:ilvl w:val="0"/>
          <w:numId w:val="16"/>
        </w:numPr>
      </w:pPr>
      <w:r w:rsidRPr="007718AD">
        <w:t>Resulting Credibility Level Assigned to Base Period Experience when applying the proposed credibility methodology</w:t>
      </w:r>
    </w:p>
    <w:p w14:paraId="03EFCC3A" w14:textId="6C14CFC4" w:rsidR="00E85395" w:rsidRPr="007718AD" w:rsidRDefault="00E85395" w:rsidP="00E85395">
      <w:pPr>
        <w:pStyle w:val="BodyText"/>
      </w:pPr>
      <w:r w:rsidRPr="007718AD">
        <w:rPr>
          <w:sz w:val="23"/>
          <w:szCs w:val="23"/>
        </w:rPr>
        <w:t>When the base period experience is partially credible and included in experience used to develop the manual rate, the actuary must consider the extent to which the manual rate development double counts the base period experience</w:t>
      </w:r>
      <w:r w:rsidR="006670F1">
        <w:rPr>
          <w:sz w:val="23"/>
          <w:szCs w:val="23"/>
        </w:rPr>
        <w:t xml:space="preserve">. </w:t>
      </w:r>
      <w:r w:rsidR="00855BA2">
        <w:rPr>
          <w:sz w:val="23"/>
          <w:szCs w:val="23"/>
        </w:rPr>
        <w:t xml:space="preserve"> </w:t>
      </w:r>
      <w:r w:rsidRPr="007718AD">
        <w:rPr>
          <w:sz w:val="23"/>
          <w:szCs w:val="23"/>
        </w:rPr>
        <w:t>If the proposed manual rate lacks sufficient independence from the base period experience, the credibility percentage in the template should be adjusted such that the experience is assigned the appropriate credibility (based on the issuer’s credibility formula), taking into consideration the proportion of the manual experience that is from the subject base experience.</w:t>
      </w:r>
      <w:r w:rsidR="00855BA2">
        <w:rPr>
          <w:sz w:val="23"/>
          <w:szCs w:val="23"/>
        </w:rPr>
        <w:t xml:space="preserve"> </w:t>
      </w:r>
      <w:r w:rsidRPr="007718AD">
        <w:rPr>
          <w:sz w:val="23"/>
          <w:szCs w:val="23"/>
        </w:rPr>
        <w:t xml:space="preserve"> In this case additional documentation should be included in the </w:t>
      </w:r>
      <w:r w:rsidR="009C3D1A">
        <w:rPr>
          <w:sz w:val="23"/>
          <w:szCs w:val="23"/>
        </w:rPr>
        <w:t>A</w:t>
      </w:r>
      <w:r w:rsidRPr="007718AD">
        <w:rPr>
          <w:sz w:val="23"/>
          <w:szCs w:val="23"/>
        </w:rPr>
        <w:t xml:space="preserve">ctuarial </w:t>
      </w:r>
      <w:r w:rsidR="009C3D1A">
        <w:rPr>
          <w:sz w:val="23"/>
          <w:szCs w:val="23"/>
        </w:rPr>
        <w:t>M</w:t>
      </w:r>
      <w:r w:rsidRPr="007718AD">
        <w:rPr>
          <w:sz w:val="23"/>
          <w:szCs w:val="23"/>
        </w:rPr>
        <w:t>emorandum to demonstrate that the credibility factor applied in the template is consistent with the issuer’s credibility formula.</w:t>
      </w:r>
    </w:p>
    <w:p w14:paraId="217A7EFA" w14:textId="77777777" w:rsidR="00E85395" w:rsidRDefault="00E85395" w:rsidP="00E85395">
      <w:pPr>
        <w:pStyle w:val="BodyText"/>
        <w:rPr>
          <w:i/>
        </w:rPr>
      </w:pPr>
      <w:r w:rsidRPr="007718AD">
        <w:t>When determining credibility, the actuary should consider Actuarial Standard of Practice #25, “</w:t>
      </w:r>
      <w:r w:rsidRPr="007718AD">
        <w:rPr>
          <w:i/>
        </w:rPr>
        <w:t xml:space="preserve">Credibility Procedures Applicable to Accident and Health, Group Term Life, and Property/Casualty </w:t>
      </w:r>
      <w:proofErr w:type="spellStart"/>
      <w:r w:rsidRPr="007718AD">
        <w:rPr>
          <w:i/>
        </w:rPr>
        <w:t>Coverages</w:t>
      </w:r>
      <w:proofErr w:type="spellEnd"/>
      <w:r w:rsidRPr="007718AD">
        <w:rPr>
          <w:i/>
        </w:rPr>
        <w:t>.”</w:t>
      </w:r>
    </w:p>
    <w:p w14:paraId="7365EF3F" w14:textId="77777777" w:rsidR="00D11AF0" w:rsidRDefault="00D11AF0" w:rsidP="00926D0E">
      <w:pPr>
        <w:pStyle w:val="Heading3"/>
      </w:pPr>
      <w:bookmarkStart w:id="641" w:name="_Toc411345318"/>
      <w:bookmarkStart w:id="642" w:name="_Toc411345422"/>
      <w:bookmarkStart w:id="643" w:name="_Toc411345472"/>
      <w:bookmarkStart w:id="644" w:name="_Toc411345523"/>
      <w:bookmarkStart w:id="645" w:name="_Toc411347432"/>
      <w:bookmarkStart w:id="646" w:name="_Toc411347496"/>
      <w:bookmarkStart w:id="647" w:name="_Toc411431815"/>
      <w:bookmarkStart w:id="648" w:name="_Toc411431858"/>
      <w:bookmarkStart w:id="649" w:name="_Toc411432052"/>
      <w:bookmarkStart w:id="650" w:name="_Toc411432095"/>
      <w:bookmarkStart w:id="651" w:name="_Toc411432138"/>
      <w:bookmarkStart w:id="652" w:name="_Toc411347497"/>
      <w:bookmarkStart w:id="653" w:name="_Toc411523388"/>
      <w:bookmarkStart w:id="654" w:name="_Toc411866108"/>
      <w:bookmarkStart w:id="655" w:name="_Toc411866626"/>
      <w:bookmarkStart w:id="656" w:name="_Toc412032794"/>
      <w:bookmarkStart w:id="657" w:name="_Toc411936266"/>
      <w:bookmarkStart w:id="658" w:name="_Toc412287676"/>
      <w:bookmarkStart w:id="659" w:name="_Toc441756520"/>
      <w:bookmarkEnd w:id="641"/>
      <w:bookmarkEnd w:id="642"/>
      <w:bookmarkEnd w:id="643"/>
      <w:bookmarkEnd w:id="644"/>
      <w:bookmarkEnd w:id="645"/>
      <w:bookmarkEnd w:id="646"/>
      <w:bookmarkEnd w:id="647"/>
      <w:bookmarkEnd w:id="648"/>
      <w:bookmarkEnd w:id="649"/>
      <w:bookmarkEnd w:id="650"/>
      <w:bookmarkEnd w:id="651"/>
      <w:r w:rsidRPr="007718AD">
        <w:t>Paid to Allowed Ratio</w:t>
      </w:r>
      <w:bookmarkEnd w:id="652"/>
      <w:bookmarkEnd w:id="653"/>
      <w:bookmarkEnd w:id="654"/>
      <w:bookmarkEnd w:id="655"/>
      <w:bookmarkEnd w:id="656"/>
      <w:bookmarkEnd w:id="657"/>
      <w:bookmarkEnd w:id="658"/>
      <w:bookmarkEnd w:id="659"/>
    </w:p>
    <w:p w14:paraId="28982718" w14:textId="75738C69" w:rsidR="00BD71F6" w:rsidDel="00BD71F6" w:rsidRDefault="00E11F6C" w:rsidP="00BD71F6">
      <w:pPr>
        <w:pStyle w:val="BodyText"/>
      </w:pPr>
      <w:r w:rsidRPr="007718AD">
        <w:t>P</w:t>
      </w:r>
      <w:r w:rsidR="00BD71F6" w:rsidRPr="007718AD">
        <w:t xml:space="preserve">rovide support for the </w:t>
      </w:r>
      <w:r w:rsidR="00F43B36">
        <w:t>P</w:t>
      </w:r>
      <w:r w:rsidR="00BD71F6" w:rsidRPr="007718AD">
        <w:t xml:space="preserve">aid to </w:t>
      </w:r>
      <w:r w:rsidR="00F43B36">
        <w:t>A</w:t>
      </w:r>
      <w:r w:rsidR="00F43B36" w:rsidRPr="007718AD">
        <w:t xml:space="preserve">llowed </w:t>
      </w:r>
      <w:r w:rsidR="00F43B36">
        <w:t>Average Factor in Projection Period</w:t>
      </w:r>
      <w:r w:rsidR="00F43B36" w:rsidRPr="007718AD">
        <w:t xml:space="preserve"> </w:t>
      </w:r>
      <w:r w:rsidRPr="007718AD">
        <w:t>for the market</w:t>
      </w:r>
      <w:r w:rsidR="00BD71F6" w:rsidRPr="007718AD">
        <w:t>, shown in Worksheet 1</w:t>
      </w:r>
      <w:r w:rsidRPr="007718AD">
        <w:t>, Section III</w:t>
      </w:r>
      <w:r w:rsidR="00BD71F6" w:rsidRPr="007718AD">
        <w:t xml:space="preserve">. </w:t>
      </w:r>
      <w:r w:rsidRPr="007718AD">
        <w:t>D</w:t>
      </w:r>
      <w:r w:rsidR="00BD71F6" w:rsidRPr="007718AD">
        <w:t xml:space="preserve">emonstrate that the ratio is consistent with membership projections by plan </w:t>
      </w:r>
      <w:r w:rsidRPr="007718AD">
        <w:t xml:space="preserve">included </w:t>
      </w:r>
      <w:r w:rsidR="00BD71F6" w:rsidRPr="007718AD">
        <w:t>in Worksheet 2.</w:t>
      </w:r>
      <w:r w:rsidRPr="007718AD">
        <w:t xml:space="preserve"> </w:t>
      </w:r>
      <w:r w:rsidR="00855BA2">
        <w:t xml:space="preserve"> </w:t>
      </w:r>
      <w:r w:rsidRPr="007718AD">
        <w:t xml:space="preserve">The ratio for each plan should be relatively consistent with </w:t>
      </w:r>
      <w:r w:rsidR="00F43B36">
        <w:t xml:space="preserve">the </w:t>
      </w:r>
      <w:r w:rsidRPr="007718AD">
        <w:t xml:space="preserve">metallic </w:t>
      </w:r>
      <w:r w:rsidR="00175AC6">
        <w:t>AV</w:t>
      </w:r>
      <w:r w:rsidRPr="007718AD">
        <w:t xml:space="preserve"> for the plan to which the actuary is attesting, however it is recognized that they may not be exactly the same due to differences between the </w:t>
      </w:r>
      <w:r w:rsidR="00C62A45" w:rsidRPr="007718AD">
        <w:t>issuer</w:t>
      </w:r>
      <w:r w:rsidRPr="007718AD">
        <w:t>’s experience and the experience underlying the AV Calculator</w:t>
      </w:r>
      <w:r w:rsidR="00BA10BC">
        <w:t xml:space="preserve">. </w:t>
      </w:r>
    </w:p>
    <w:p w14:paraId="70208A13" w14:textId="77777777" w:rsidR="00BD71F6" w:rsidRDefault="00BD71F6" w:rsidP="00926D0E">
      <w:pPr>
        <w:pStyle w:val="Heading3"/>
      </w:pPr>
      <w:bookmarkStart w:id="660" w:name="_Toc411347498"/>
      <w:bookmarkStart w:id="661" w:name="_Toc411523389"/>
      <w:bookmarkStart w:id="662" w:name="_Toc411866109"/>
      <w:bookmarkStart w:id="663" w:name="_Toc411866627"/>
      <w:bookmarkStart w:id="664" w:name="_Toc412032795"/>
      <w:bookmarkStart w:id="665" w:name="_Toc411936267"/>
      <w:bookmarkStart w:id="666" w:name="_Toc412287677"/>
      <w:bookmarkStart w:id="667" w:name="_Toc441756521"/>
      <w:r w:rsidRPr="005D797D">
        <w:t>Risk Adjustment and Reinsurance</w:t>
      </w:r>
      <w:bookmarkEnd w:id="660"/>
      <w:bookmarkEnd w:id="661"/>
      <w:bookmarkEnd w:id="662"/>
      <w:bookmarkEnd w:id="663"/>
      <w:bookmarkEnd w:id="664"/>
      <w:bookmarkEnd w:id="665"/>
      <w:bookmarkEnd w:id="666"/>
      <w:bookmarkEnd w:id="667"/>
    </w:p>
    <w:p w14:paraId="2B5DEA3F" w14:textId="3C1CC170" w:rsidR="00D11AF0" w:rsidRPr="005D797D" w:rsidRDefault="00D11AF0" w:rsidP="00D11AF0">
      <w:r w:rsidRPr="005D797D">
        <w:t xml:space="preserve">This section includes information related to the experience </w:t>
      </w:r>
      <w:r w:rsidR="001A144C" w:rsidRPr="005D797D">
        <w:t xml:space="preserve">and methodology </w:t>
      </w:r>
      <w:r w:rsidRPr="005D797D">
        <w:t xml:space="preserve">used to </w:t>
      </w:r>
      <w:r w:rsidR="001A144C" w:rsidRPr="005D797D">
        <w:t xml:space="preserve">estimate risk transfer payments </w:t>
      </w:r>
      <w:r w:rsidR="00571591" w:rsidRPr="005D797D">
        <w:t xml:space="preserve">and charges, </w:t>
      </w:r>
      <w:r w:rsidR="001A144C" w:rsidRPr="005D797D">
        <w:t xml:space="preserve">and reinsurance </w:t>
      </w:r>
      <w:r w:rsidR="00D45909" w:rsidRPr="005D797D">
        <w:t xml:space="preserve">amounts </w:t>
      </w:r>
      <w:r w:rsidR="001A144C" w:rsidRPr="005D797D">
        <w:t xml:space="preserve">that are incorporated in </w:t>
      </w:r>
      <w:r w:rsidR="00571591" w:rsidRPr="005D797D">
        <w:t>Worksheet 1, Section III</w:t>
      </w:r>
      <w:r w:rsidR="005E13B8">
        <w:t xml:space="preserve"> and Worksheet 2, Sections III</w:t>
      </w:r>
      <w:r w:rsidR="006D3169">
        <w:t xml:space="preserve"> </w:t>
      </w:r>
      <w:r w:rsidR="005E13B8">
        <w:t>and IV</w:t>
      </w:r>
      <w:r w:rsidR="00BA3933">
        <w:t xml:space="preserve"> (if applicable)</w:t>
      </w:r>
      <w:r w:rsidR="001A144C" w:rsidRPr="005D797D">
        <w:t xml:space="preserve">. </w:t>
      </w:r>
    </w:p>
    <w:p w14:paraId="4CF049BA" w14:textId="77777777" w:rsidR="00CF4176" w:rsidRDefault="0005390B" w:rsidP="00EA48E8">
      <w:pPr>
        <w:spacing w:after="0"/>
      </w:pPr>
      <w:r>
        <w:rPr>
          <w:b/>
        </w:rPr>
        <w:t>Experience Period Risk Adjustment and Reinsurance Adjustments PMPM:</w:t>
      </w:r>
    </w:p>
    <w:p w14:paraId="3949526A" w14:textId="77777777" w:rsidR="0005390B" w:rsidRPr="00EA48E8" w:rsidRDefault="0005390B" w:rsidP="00CF4176">
      <w:r w:rsidRPr="00EA48E8">
        <w:t>Sinc</w:t>
      </w:r>
      <w:r>
        <w:t>e the final risk adjustment transfers and reinsurance recoveries may not be known at the time of the initial filing, the issuer should explain the methodology that was used to estimate the amounts in the experience period.</w:t>
      </w:r>
    </w:p>
    <w:p w14:paraId="4CEB9149" w14:textId="77777777" w:rsidR="005D797D" w:rsidRPr="005D797D" w:rsidRDefault="00786658" w:rsidP="008E5B0B">
      <w:pPr>
        <w:spacing w:after="0"/>
      </w:pPr>
      <w:r w:rsidRPr="005D797D">
        <w:rPr>
          <w:b/>
        </w:rPr>
        <w:t xml:space="preserve">Projected </w:t>
      </w:r>
      <w:r w:rsidR="00BD721F" w:rsidRPr="005D797D">
        <w:rPr>
          <w:b/>
        </w:rPr>
        <w:t xml:space="preserve">Risk </w:t>
      </w:r>
      <w:r w:rsidRPr="005D797D">
        <w:rPr>
          <w:b/>
        </w:rPr>
        <w:t>Adjustments PMPM</w:t>
      </w:r>
      <w:r w:rsidRPr="005D797D">
        <w:t xml:space="preserve">: </w:t>
      </w:r>
    </w:p>
    <w:p w14:paraId="04318320" w14:textId="2E431139" w:rsidR="005D797D" w:rsidRPr="005D797D" w:rsidRDefault="005D797D" w:rsidP="005D797D">
      <w:r w:rsidRPr="005D797D">
        <w:t>Under the single risk pool pricing requirements</w:t>
      </w:r>
      <w:r w:rsidR="00E35018">
        <w:t>,</w:t>
      </w:r>
      <w:r w:rsidRPr="005D797D">
        <w:t xml:space="preserve"> issuers are required to make a market</w:t>
      </w:r>
      <w:r w:rsidR="00F12391">
        <w:t>-</w:t>
      </w:r>
      <w:r w:rsidRPr="005D797D">
        <w:t>wide adjustment</w:t>
      </w:r>
      <w:r>
        <w:t xml:space="preserve"> </w:t>
      </w:r>
      <w:r w:rsidRPr="005D797D">
        <w:t xml:space="preserve">to the pooled market level </w:t>
      </w:r>
      <w:r w:rsidR="00D47158">
        <w:t>Index Rate</w:t>
      </w:r>
      <w:r w:rsidRPr="005D797D">
        <w:t xml:space="preserve"> to account for </w:t>
      </w:r>
      <w:r w:rsidR="00F12391">
        <w:t>F</w:t>
      </w:r>
      <w:r w:rsidRPr="005D797D">
        <w:t>ederal risk adjustment and reinsurance payments.</w:t>
      </w:r>
      <w:r>
        <w:t xml:space="preserve"> </w:t>
      </w:r>
      <w:r w:rsidR="00855BA2">
        <w:t xml:space="preserve"> </w:t>
      </w:r>
      <w:r w:rsidRPr="005D797D">
        <w:t>Consistent with this adjustment, anticipated risk adjustment revenue must be allocated proportionally</w:t>
      </w:r>
      <w:r>
        <w:t xml:space="preserve"> </w:t>
      </w:r>
      <w:r w:rsidRPr="005D797D">
        <w:t>based on plan premiums for all plans within a risk pool</w:t>
      </w:r>
      <w:r w:rsidR="00B857FC" w:rsidRPr="00B857FC">
        <w:rPr>
          <w:rFonts w:ascii="Times New Roman" w:eastAsia="Times New Roman" w:hAnsi="Times New Roman"/>
          <w:snapToGrid w:val="0"/>
        </w:rPr>
        <w:t xml:space="preserve"> </w:t>
      </w:r>
      <w:r w:rsidR="00B857FC" w:rsidRPr="00B64BD5">
        <w:rPr>
          <w:rFonts w:eastAsia="Times New Roman" w:cstheme="minorHAnsi"/>
          <w:snapToGrid w:val="0"/>
        </w:rPr>
        <w:t xml:space="preserve">by </w:t>
      </w:r>
      <w:r w:rsidR="00B857FC" w:rsidRPr="00765440">
        <w:rPr>
          <w:rFonts w:eastAsia="Times New Roman"/>
          <w:snapToGrid w:val="0"/>
        </w:rPr>
        <w:t xml:space="preserve">applying </w:t>
      </w:r>
      <w:r w:rsidR="00B857FC">
        <w:rPr>
          <w:rFonts w:eastAsia="Times New Roman"/>
          <w:snapToGrid w:val="0"/>
        </w:rPr>
        <w:t xml:space="preserve">the risk adjustment transfer </w:t>
      </w:r>
      <w:r w:rsidR="00B857FC" w:rsidRPr="00765440">
        <w:rPr>
          <w:rFonts w:eastAsia="Times New Roman"/>
          <w:snapToGrid w:val="0"/>
        </w:rPr>
        <w:t xml:space="preserve">adjustment factor </w:t>
      </w:r>
      <w:r w:rsidR="00E02C3A">
        <w:rPr>
          <w:rFonts w:eastAsia="Times New Roman"/>
          <w:snapToGrid w:val="0"/>
        </w:rPr>
        <w:t>as a market level adjustment</w:t>
      </w:r>
      <w:r w:rsidRPr="005D797D">
        <w:t>.</w:t>
      </w:r>
      <w:r w:rsidR="00CF3325">
        <w:t xml:space="preserve"> </w:t>
      </w:r>
      <w:r w:rsidR="00855BA2">
        <w:t xml:space="preserve"> </w:t>
      </w:r>
      <w:r w:rsidR="00CF3325">
        <w:t>The risk adjustment transfer amount should be net of the risk adjustment fees.</w:t>
      </w:r>
    </w:p>
    <w:p w14:paraId="7A8021C9" w14:textId="535732BF" w:rsidR="005D797D" w:rsidRPr="005D797D" w:rsidRDefault="006D3169" w:rsidP="005D797D">
      <w:r>
        <w:t>I</w:t>
      </w:r>
      <w:r w:rsidR="005D797D" w:rsidRPr="005D797D">
        <w:t>ssuers must explain how they developed their estimated risk adjustment</w:t>
      </w:r>
      <w:r w:rsidR="005D797D">
        <w:t xml:space="preserve"> </w:t>
      </w:r>
      <w:r w:rsidR="005D797D" w:rsidRPr="005D797D">
        <w:t>revenue</w:t>
      </w:r>
      <w:r w:rsidR="005D797D">
        <w:t xml:space="preserve"> </w:t>
      </w:r>
      <w:r w:rsidR="005D797D" w:rsidRPr="005D797D">
        <w:t>for</w:t>
      </w:r>
      <w:r w:rsidR="005D797D">
        <w:t xml:space="preserve"> </w:t>
      </w:r>
      <w:r w:rsidR="005D797D" w:rsidRPr="005D797D">
        <w:t>all</w:t>
      </w:r>
      <w:r w:rsidR="005D797D">
        <w:t xml:space="preserve"> </w:t>
      </w:r>
      <w:r w:rsidR="005D797D" w:rsidRPr="005D797D">
        <w:t>of</w:t>
      </w:r>
      <w:r w:rsidR="005D797D">
        <w:t xml:space="preserve"> </w:t>
      </w:r>
      <w:r w:rsidR="005D797D" w:rsidRPr="005D797D">
        <w:t>the</w:t>
      </w:r>
      <w:r w:rsidR="005D797D">
        <w:t xml:space="preserve"> </w:t>
      </w:r>
      <w:r w:rsidR="005D797D" w:rsidRPr="005D797D">
        <w:t>plans</w:t>
      </w:r>
      <w:r w:rsidR="005D797D">
        <w:t xml:space="preserve"> </w:t>
      </w:r>
      <w:r w:rsidR="005D797D" w:rsidRPr="005D797D">
        <w:t>in</w:t>
      </w:r>
      <w:r w:rsidR="005D797D">
        <w:t xml:space="preserve"> </w:t>
      </w:r>
      <w:r w:rsidR="005D797D" w:rsidRPr="005D797D">
        <w:t>the</w:t>
      </w:r>
      <w:r w:rsidR="005D797D">
        <w:t xml:space="preserve"> </w:t>
      </w:r>
      <w:r w:rsidR="005D797D" w:rsidRPr="005D797D">
        <w:t>risk</w:t>
      </w:r>
      <w:r w:rsidR="005D797D">
        <w:t xml:space="preserve"> </w:t>
      </w:r>
      <w:r w:rsidR="005D797D" w:rsidRPr="005D797D">
        <w:t>pool.</w:t>
      </w:r>
      <w:r w:rsidR="00855BA2">
        <w:t xml:space="preserve"> </w:t>
      </w:r>
      <w:r w:rsidR="005D797D">
        <w:t xml:space="preserve"> I</w:t>
      </w:r>
      <w:r w:rsidR="005D797D" w:rsidRPr="005D797D">
        <w:t>ssuers</w:t>
      </w:r>
      <w:r w:rsidR="005D797D">
        <w:t xml:space="preserve"> </w:t>
      </w:r>
      <w:r w:rsidR="005D797D" w:rsidRPr="005D797D">
        <w:t>are</w:t>
      </w:r>
      <w:r w:rsidR="005D797D">
        <w:t xml:space="preserve"> </w:t>
      </w:r>
      <w:r w:rsidR="005D797D" w:rsidRPr="005D797D">
        <w:t>expected</w:t>
      </w:r>
      <w:r w:rsidR="005D797D">
        <w:t xml:space="preserve"> </w:t>
      </w:r>
      <w:r w:rsidR="005D797D" w:rsidRPr="005D797D">
        <w:t>to</w:t>
      </w:r>
      <w:r w:rsidR="005D797D">
        <w:t xml:space="preserve"> </w:t>
      </w:r>
      <w:r w:rsidR="005D797D" w:rsidRPr="005D797D">
        <w:t>explain</w:t>
      </w:r>
      <w:r w:rsidR="005D797D">
        <w:t xml:space="preserve"> </w:t>
      </w:r>
      <w:r w:rsidR="005D797D" w:rsidRPr="005D797D">
        <w:t>all</w:t>
      </w:r>
      <w:r w:rsidR="005D797D">
        <w:t xml:space="preserve"> </w:t>
      </w:r>
      <w:r w:rsidR="005D797D" w:rsidRPr="005D797D">
        <w:t>of</w:t>
      </w:r>
      <w:r w:rsidR="005D797D">
        <w:t xml:space="preserve"> </w:t>
      </w:r>
      <w:r w:rsidR="005D797D" w:rsidRPr="005D797D">
        <w:t>their</w:t>
      </w:r>
      <w:r w:rsidR="005D797D">
        <w:t xml:space="preserve"> </w:t>
      </w:r>
      <w:r w:rsidR="005D797D" w:rsidRPr="005D797D">
        <w:t>market</w:t>
      </w:r>
      <w:r w:rsidR="005D797D">
        <w:t xml:space="preserve"> </w:t>
      </w:r>
      <w:r w:rsidR="005D797D" w:rsidRPr="005D797D">
        <w:t>and</w:t>
      </w:r>
      <w:r w:rsidR="005D797D">
        <w:t xml:space="preserve"> </w:t>
      </w:r>
      <w:r w:rsidR="005D797D" w:rsidRPr="005D797D">
        <w:t>plan</w:t>
      </w:r>
      <w:r w:rsidR="005D797D">
        <w:t xml:space="preserve"> </w:t>
      </w:r>
      <w:r w:rsidR="005D797D" w:rsidRPr="005D797D">
        <w:t xml:space="preserve">level assumptions related to the inputs of the HHS payment transfer formula (or alternative </w:t>
      </w:r>
      <w:r w:rsidR="00F43B36">
        <w:t>s</w:t>
      </w:r>
      <w:r w:rsidR="00F43B36" w:rsidRPr="005D797D">
        <w:t>tate</w:t>
      </w:r>
      <w:r w:rsidR="00F43B36">
        <w:t xml:space="preserve"> </w:t>
      </w:r>
      <w:r w:rsidR="005D797D" w:rsidRPr="005D797D">
        <w:t>payment tra</w:t>
      </w:r>
      <w:r>
        <w:t xml:space="preserve">nsfer formula, if applicable). </w:t>
      </w:r>
      <w:r w:rsidR="00855BA2">
        <w:t xml:space="preserve"> </w:t>
      </w:r>
      <w:r>
        <w:t>I</w:t>
      </w:r>
      <w:r w:rsidR="005D797D" w:rsidRPr="005D797D">
        <w:t>n other words, issuers must explain their assumptions related</w:t>
      </w:r>
      <w:r w:rsidR="005D797D">
        <w:t xml:space="preserve"> </w:t>
      </w:r>
      <w:r w:rsidR="005D797D" w:rsidRPr="005D797D">
        <w:t>to plan and market level risk scores and other relevant cost factor adjustments that are used to calculate</w:t>
      </w:r>
      <w:r w:rsidR="005D797D">
        <w:t xml:space="preserve"> </w:t>
      </w:r>
      <w:r w:rsidR="005D797D" w:rsidRPr="005D797D">
        <w:t>payment transfers under the risk adjustment program.</w:t>
      </w:r>
      <w:r w:rsidR="00855BA2">
        <w:t xml:space="preserve"> </w:t>
      </w:r>
      <w:r w:rsidR="005D797D" w:rsidRPr="005D797D">
        <w:t xml:space="preserve"> </w:t>
      </w:r>
      <w:r>
        <w:t>I</w:t>
      </w:r>
      <w:r w:rsidRPr="005D797D">
        <w:t>ssuers</w:t>
      </w:r>
      <w:r w:rsidR="005D797D" w:rsidRPr="005D797D">
        <w:t xml:space="preserve"> should explain any potential outlier</w:t>
      </w:r>
      <w:r w:rsidR="005D797D">
        <w:t xml:space="preserve"> </w:t>
      </w:r>
      <w:r w:rsidR="005D797D" w:rsidRPr="005D797D">
        <w:t xml:space="preserve">assumptions that have a significant impact on transfers. </w:t>
      </w:r>
      <w:r w:rsidR="00855BA2">
        <w:t xml:space="preserve"> </w:t>
      </w:r>
      <w:r>
        <w:t>I</w:t>
      </w:r>
      <w:r w:rsidRPr="005D797D">
        <w:t>ssuers</w:t>
      </w:r>
      <w:r w:rsidR="005D797D" w:rsidRPr="005D797D">
        <w:t xml:space="preserve"> may elect to provide supplemental exhibits detailing</w:t>
      </w:r>
      <w:r w:rsidR="005D797D">
        <w:t xml:space="preserve"> </w:t>
      </w:r>
      <w:r w:rsidR="005D797D" w:rsidRPr="005D797D">
        <w:t>their plan level transfer calculations in order to demonstrate that their transfer estimates</w:t>
      </w:r>
      <w:r w:rsidR="005D797D">
        <w:t xml:space="preserve"> </w:t>
      </w:r>
      <w:r w:rsidR="005D797D" w:rsidRPr="005D797D">
        <w:t>appropriately track with the</w:t>
      </w:r>
      <w:r w:rsidR="005D797D">
        <w:t xml:space="preserve"> HHS payment transfer formula.</w:t>
      </w:r>
    </w:p>
    <w:p w14:paraId="209D20F2" w14:textId="395FB733" w:rsidR="00BD721F" w:rsidRDefault="006D3169" w:rsidP="005D797D">
      <w:r>
        <w:t>I</w:t>
      </w:r>
      <w:r w:rsidRPr="005D797D">
        <w:t>ssuers</w:t>
      </w:r>
      <w:r w:rsidR="005D797D" w:rsidRPr="005D797D">
        <w:t xml:space="preserve"> must also explain how anticipated risk adjustment transfer revenue was </w:t>
      </w:r>
      <w:r w:rsidR="00596F57">
        <w:t>applied to the Index Rate in the development of the Market Adjusted Index Rate</w:t>
      </w:r>
      <w:r w:rsidR="005D797D" w:rsidRPr="005D797D">
        <w:t xml:space="preserve"> (as noted above</w:t>
      </w:r>
      <w:r w:rsidR="00CE433E">
        <w:t>,</w:t>
      </w:r>
      <w:r w:rsidR="005D797D" w:rsidRPr="005D797D">
        <w:t xml:space="preserve"> transfers must be </w:t>
      </w:r>
      <w:r w:rsidR="00596F57">
        <w:t>applied at the market level</w:t>
      </w:r>
      <w:r>
        <w:t xml:space="preserve">). </w:t>
      </w:r>
      <w:r w:rsidR="001C5B1A">
        <w:t xml:space="preserve"> </w:t>
      </w:r>
      <w:r>
        <w:t>I</w:t>
      </w:r>
      <w:r w:rsidR="005D797D" w:rsidRPr="005D797D">
        <w:t xml:space="preserve">ssuers should describe the overall impact of risk adjustment transfers on premiums. </w:t>
      </w:r>
    </w:p>
    <w:p w14:paraId="4705A062" w14:textId="2803F53F" w:rsidR="00521BF0" w:rsidRPr="005D797D" w:rsidRDefault="00521BF0" w:rsidP="005D797D">
      <w:r>
        <w:t xml:space="preserve">Please note that the risk adjustment transfer amounts shown on Worksheet 1 of the URRT </w:t>
      </w:r>
      <w:r w:rsidR="00202A4C">
        <w:t xml:space="preserve">should take into account the </w:t>
      </w:r>
      <w:r w:rsidR="00EE0A72">
        <w:rPr>
          <w:rFonts w:cstheme="minorHAnsi"/>
        </w:rPr>
        <w:t xml:space="preserve">actual PMPM amounts </w:t>
      </w:r>
      <w:r w:rsidR="00202A4C">
        <w:t>expected in the projection period.</w:t>
      </w:r>
      <w:r w:rsidR="001C5B1A">
        <w:t xml:space="preserve"> </w:t>
      </w:r>
      <w:r w:rsidR="00202A4C">
        <w:t xml:space="preserve"> However, the risk adjustment transfer amount applied to the Index Rate in the development of the Market Adjusted Index Rate is on an allowed claims basis (i.e.</w:t>
      </w:r>
      <w:r w:rsidR="00CE433E">
        <w:t>,</w:t>
      </w:r>
      <w:r w:rsidR="00202A4C">
        <w:t xml:space="preserve"> prior to the application of the expected paid to allowed ratio) as the Index Rate is on an allowed claim</w:t>
      </w:r>
      <w:r w:rsidR="00CE433E">
        <w:t>s</w:t>
      </w:r>
      <w:r w:rsidR="00202A4C">
        <w:t xml:space="preserve"> basis.</w:t>
      </w:r>
    </w:p>
    <w:p w14:paraId="3DE6997B" w14:textId="77777777" w:rsidR="005D797D" w:rsidRDefault="00786658" w:rsidP="008E5B0B">
      <w:pPr>
        <w:spacing w:after="0"/>
      </w:pPr>
      <w:r w:rsidRPr="005D797D">
        <w:rPr>
          <w:b/>
        </w:rPr>
        <w:t xml:space="preserve">Projected ACA </w:t>
      </w:r>
      <w:r w:rsidR="00BD721F" w:rsidRPr="005D797D">
        <w:rPr>
          <w:b/>
        </w:rPr>
        <w:t xml:space="preserve">Reinsurance </w:t>
      </w:r>
      <w:r w:rsidRPr="005D797D">
        <w:rPr>
          <w:b/>
        </w:rPr>
        <w:t xml:space="preserve">Recoveries </w:t>
      </w:r>
      <w:r w:rsidR="005D797D">
        <w:rPr>
          <w:b/>
        </w:rPr>
        <w:t xml:space="preserve">Net of Reinsurance Premium </w:t>
      </w:r>
      <w:r w:rsidR="00BD721F" w:rsidRPr="005D797D">
        <w:rPr>
          <w:b/>
        </w:rPr>
        <w:t xml:space="preserve">(Individual Market </w:t>
      </w:r>
      <w:r w:rsidRPr="005D797D">
        <w:rPr>
          <w:b/>
        </w:rPr>
        <w:t xml:space="preserve">and </w:t>
      </w:r>
      <w:r w:rsidR="00A951D7">
        <w:rPr>
          <w:b/>
        </w:rPr>
        <w:t>Merged</w:t>
      </w:r>
      <w:r w:rsidR="00A951D7" w:rsidRPr="005D797D">
        <w:rPr>
          <w:b/>
        </w:rPr>
        <w:t xml:space="preserve"> </w:t>
      </w:r>
      <w:r w:rsidRPr="005D797D">
        <w:rPr>
          <w:b/>
        </w:rPr>
        <w:t xml:space="preserve">Markets </w:t>
      </w:r>
      <w:r w:rsidR="00BD721F" w:rsidRPr="005D797D">
        <w:rPr>
          <w:b/>
        </w:rPr>
        <w:t>Only)</w:t>
      </w:r>
      <w:r w:rsidRPr="005D797D">
        <w:t xml:space="preserve">: </w:t>
      </w:r>
    </w:p>
    <w:p w14:paraId="4C7C4332" w14:textId="0732DFB5" w:rsidR="00202A4C" w:rsidRPr="001510CE" w:rsidRDefault="001C5B1A" w:rsidP="00B857FC">
      <w:pPr>
        <w:pStyle w:val="BodyText"/>
      </w:pPr>
      <w:r>
        <w:t xml:space="preserve">This is a holdover from prior years.  As </w:t>
      </w:r>
      <w:r w:rsidR="00183B5F">
        <w:t xml:space="preserve">proposed in the 2017 Payment Notice, </w:t>
      </w:r>
      <w:r>
        <w:t xml:space="preserve">the reinsurance program </w:t>
      </w:r>
      <w:r w:rsidR="00183B5F">
        <w:t xml:space="preserve">will end with the </w:t>
      </w:r>
      <w:r>
        <w:t>2016</w:t>
      </w:r>
      <w:r w:rsidR="00183B5F">
        <w:t xml:space="preserve"> benefit year</w:t>
      </w:r>
      <w:r>
        <w:t xml:space="preserve">, it is expected </w:t>
      </w:r>
      <w:r w:rsidR="000F1FC7">
        <w:t xml:space="preserve">issuers will populate </w:t>
      </w:r>
      <w:r>
        <w:t>this field with “0” for the 2017 plan year.</w:t>
      </w:r>
    </w:p>
    <w:p w14:paraId="562AC5B5" w14:textId="77777777" w:rsidR="00786658" w:rsidRDefault="00786658" w:rsidP="00926D0E">
      <w:pPr>
        <w:pStyle w:val="Heading3"/>
      </w:pPr>
      <w:bookmarkStart w:id="668" w:name="_Toc411347499"/>
      <w:bookmarkStart w:id="669" w:name="_Toc411523390"/>
      <w:bookmarkStart w:id="670" w:name="_Toc411866110"/>
      <w:bookmarkStart w:id="671" w:name="_Toc411866628"/>
      <w:bookmarkStart w:id="672" w:name="_Toc412032796"/>
      <w:bookmarkStart w:id="673" w:name="_Toc411936268"/>
      <w:bookmarkStart w:id="674" w:name="_Toc412287678"/>
      <w:bookmarkStart w:id="675" w:name="_Toc441756522"/>
      <w:r w:rsidRPr="00C95D91">
        <w:t>Non-Benefit Expenses</w:t>
      </w:r>
      <w:r w:rsidR="00947C36">
        <w:t xml:space="preserve"> and Profit &amp; Risk</w:t>
      </w:r>
      <w:bookmarkEnd w:id="668"/>
      <w:bookmarkEnd w:id="669"/>
      <w:bookmarkEnd w:id="670"/>
      <w:bookmarkEnd w:id="671"/>
      <w:bookmarkEnd w:id="672"/>
      <w:bookmarkEnd w:id="673"/>
      <w:bookmarkEnd w:id="674"/>
      <w:bookmarkEnd w:id="675"/>
    </w:p>
    <w:p w14:paraId="41EF83D9" w14:textId="79D091A4" w:rsidR="00786658" w:rsidRDefault="00947C36" w:rsidP="00786658">
      <w:r w:rsidRPr="00C95D91">
        <w:rPr>
          <w:b/>
        </w:rPr>
        <w:t>Administrative Expense</w:t>
      </w:r>
      <w:r>
        <w:rPr>
          <w:b/>
        </w:rPr>
        <w:t xml:space="preserve"> Load:</w:t>
      </w:r>
      <w:r w:rsidR="00007DB9">
        <w:rPr>
          <w:b/>
        </w:rPr>
        <w:t xml:space="preserve"> </w:t>
      </w:r>
      <w:r w:rsidRPr="00C95D91">
        <w:t xml:space="preserve"> </w:t>
      </w:r>
      <w:r w:rsidR="00786658" w:rsidRPr="00C95D91">
        <w:t xml:space="preserve">Provide support for all expenses </w:t>
      </w:r>
      <w:r w:rsidR="004A0A7E">
        <w:t>that</w:t>
      </w:r>
      <w:r w:rsidR="00786658" w:rsidRPr="00C95D91">
        <w:t xml:space="preserve"> do not reflect payments made to providers under the contract for covered medical services. </w:t>
      </w:r>
      <w:r w:rsidR="001C5B1A">
        <w:t xml:space="preserve"> </w:t>
      </w:r>
      <w:r w:rsidR="00786658" w:rsidRPr="00C95D91">
        <w:t>Describe the methodology used for developing the estimate of these non-benefit expenses expected during the projection period</w:t>
      </w:r>
      <w:r w:rsidR="00786658">
        <w:t xml:space="preserve"> for the </w:t>
      </w:r>
      <w:r w:rsidR="004A0A7E">
        <w:t xml:space="preserve">applicable </w:t>
      </w:r>
      <w:r w:rsidR="00786658">
        <w:t>market, including any allocation of corporate overhead</w:t>
      </w:r>
      <w:r w:rsidR="00786658" w:rsidRPr="00C95D91">
        <w:t>.</w:t>
      </w:r>
      <w:r w:rsidR="001C5B1A">
        <w:t xml:space="preserve"> </w:t>
      </w:r>
      <w:r w:rsidR="00786658" w:rsidRPr="00C95D91">
        <w:t xml:space="preserve"> </w:t>
      </w:r>
      <w:r w:rsidR="004A0A7E">
        <w:t xml:space="preserve">Discuss how </w:t>
      </w:r>
      <w:r w:rsidR="00A95466">
        <w:t>the percentage load</w:t>
      </w:r>
      <w:r w:rsidR="004A0A7E">
        <w:t xml:space="preserve"> var</w:t>
      </w:r>
      <w:r>
        <w:t>ies</w:t>
      </w:r>
      <w:r w:rsidR="004A0A7E">
        <w:t xml:space="preserve"> by product or plan, if applicable. </w:t>
      </w:r>
      <w:r w:rsidR="001C5B1A">
        <w:t xml:space="preserve"> </w:t>
      </w:r>
      <w:r w:rsidR="00786658" w:rsidRPr="00C95D91">
        <w:t xml:space="preserve">Describe the source data that was used as a basis for the projections and why that data is appropriate. </w:t>
      </w:r>
    </w:p>
    <w:p w14:paraId="1CA20688" w14:textId="77777777" w:rsidR="00B71728" w:rsidRDefault="00B71728" w:rsidP="00786658">
      <w:r>
        <w:t xml:space="preserve">For reporting purposes, </w:t>
      </w:r>
      <w:r w:rsidR="00645CC9">
        <w:t>the Administrative Expense Load</w:t>
      </w:r>
      <w:r>
        <w:t xml:space="preserve"> should not include the </w:t>
      </w:r>
      <w:r w:rsidR="00645CC9">
        <w:t>P</w:t>
      </w:r>
      <w:r>
        <w:t xml:space="preserve">rofit </w:t>
      </w:r>
      <w:r w:rsidR="00645CC9">
        <w:t>&amp;</w:t>
      </w:r>
      <w:r>
        <w:t xml:space="preserve"> </w:t>
      </w:r>
      <w:r w:rsidR="00645CC9">
        <w:t>R</w:t>
      </w:r>
      <w:r>
        <w:t xml:space="preserve">isk </w:t>
      </w:r>
      <w:r w:rsidR="00645CC9">
        <w:t>L</w:t>
      </w:r>
      <w:r>
        <w:t xml:space="preserve">oad or the </w:t>
      </w:r>
      <w:r w:rsidR="00645CC9">
        <w:t>T</w:t>
      </w:r>
      <w:r>
        <w:t xml:space="preserve">axes </w:t>
      </w:r>
      <w:r w:rsidR="00645CC9">
        <w:t>&amp;</w:t>
      </w:r>
      <w:r>
        <w:t xml:space="preserve"> </w:t>
      </w:r>
      <w:r w:rsidR="00645CC9">
        <w:t>F</w:t>
      </w:r>
      <w:r>
        <w:t xml:space="preserve">ees load, both described below, even though they are considered administrative expenses for the purposes of adjusting the </w:t>
      </w:r>
      <w:r w:rsidR="00D47158">
        <w:t>Index Rate</w:t>
      </w:r>
      <w:r>
        <w:t xml:space="preserve"> to arrive at premium in the pricing process.</w:t>
      </w:r>
    </w:p>
    <w:p w14:paraId="0EE15C10" w14:textId="77777777" w:rsidR="00A95466" w:rsidRPr="00E11F6C" w:rsidRDefault="00A95466" w:rsidP="00A95466">
      <w:r w:rsidRPr="00C95D91">
        <w:t>It is suggested that the issuer maintain documentation of the expense allocation methodology, including expenses identified by function and whether they are fixed or variable, so that it can be made readily available to the regulator upon request.</w:t>
      </w:r>
    </w:p>
    <w:p w14:paraId="76957E51" w14:textId="1BD7B13E" w:rsidR="00A95466" w:rsidRDefault="00A95466" w:rsidP="00A95466">
      <w:r w:rsidRPr="00BF789C">
        <w:rPr>
          <w:b/>
        </w:rPr>
        <w:t xml:space="preserve">Profit </w:t>
      </w:r>
      <w:r>
        <w:rPr>
          <w:b/>
        </w:rPr>
        <w:t xml:space="preserve">(or </w:t>
      </w:r>
      <w:r w:rsidRPr="00BF789C">
        <w:rPr>
          <w:b/>
        </w:rPr>
        <w:t>Contribution to Surplus</w:t>
      </w:r>
      <w:r>
        <w:rPr>
          <w:b/>
        </w:rPr>
        <w:t>) &amp; Risk</w:t>
      </w:r>
      <w:r w:rsidRPr="00BF789C">
        <w:rPr>
          <w:b/>
        </w:rPr>
        <w:t xml:space="preserve"> Margin:</w:t>
      </w:r>
      <w:r w:rsidR="00007DB9">
        <w:rPr>
          <w:b/>
        </w:rPr>
        <w:t xml:space="preserve"> </w:t>
      </w:r>
      <w:r w:rsidRPr="00BF789C">
        <w:rPr>
          <w:b/>
        </w:rPr>
        <w:t xml:space="preserve"> </w:t>
      </w:r>
      <w:r w:rsidRPr="00BF789C">
        <w:t>Describe the target underwriting gain/loss margin</w:t>
      </w:r>
      <w:r>
        <w:t>, and any additional risk margin</w:t>
      </w:r>
      <w:r w:rsidRPr="00BF789C">
        <w:t xml:space="preserve">. </w:t>
      </w:r>
      <w:r w:rsidR="001C5B1A">
        <w:t xml:space="preserve"> </w:t>
      </w:r>
      <w:r w:rsidRPr="00BF789C">
        <w:t xml:space="preserve">To the extent that the target as a percent of premium has changed from the prior </w:t>
      </w:r>
      <w:r>
        <w:t>submission</w:t>
      </w:r>
      <w:r w:rsidRPr="00BF789C">
        <w:t xml:space="preserve">, provide additional support for why the change is warranted. </w:t>
      </w:r>
      <w:r w:rsidR="001C5B1A">
        <w:t xml:space="preserve"> </w:t>
      </w:r>
      <w:r>
        <w:t>Discuss how the percentage load varies by product or plan, if applicable.</w:t>
      </w:r>
    </w:p>
    <w:p w14:paraId="601BE595" w14:textId="0320A7A9" w:rsidR="00B71728" w:rsidRDefault="00B71728" w:rsidP="00A95466">
      <w:r>
        <w:t xml:space="preserve">Note that for pricing purposes, </w:t>
      </w:r>
      <w:r w:rsidR="00645CC9">
        <w:t>P</w:t>
      </w:r>
      <w:r>
        <w:t xml:space="preserve">rofit </w:t>
      </w:r>
      <w:r w:rsidR="00645CC9">
        <w:t>&amp;</w:t>
      </w:r>
      <w:r>
        <w:t xml:space="preserve"> </w:t>
      </w:r>
      <w:r w:rsidR="00645CC9">
        <w:t>R</w:t>
      </w:r>
      <w:r>
        <w:t xml:space="preserve">isk </w:t>
      </w:r>
      <w:r w:rsidR="00645CC9">
        <w:t>L</w:t>
      </w:r>
      <w:r>
        <w:t xml:space="preserve">oad is considered part of administrative expenses, per 45 CFR </w:t>
      </w:r>
      <w:r w:rsidRPr="00E111EF">
        <w:t>156</w:t>
      </w:r>
      <w:r>
        <w:t xml:space="preserve">.80(d). It is described separately in the </w:t>
      </w:r>
      <w:r w:rsidR="009C3D1A">
        <w:t>A</w:t>
      </w:r>
      <w:r>
        <w:t xml:space="preserve">ctuarial </w:t>
      </w:r>
      <w:r w:rsidR="009C3D1A">
        <w:t>M</w:t>
      </w:r>
      <w:r>
        <w:t>emorandum to facilitate rate review.</w:t>
      </w:r>
    </w:p>
    <w:p w14:paraId="29435E38" w14:textId="4E55B6B3" w:rsidR="00C8688D" w:rsidRDefault="00C8688D" w:rsidP="00A95466">
      <w:pPr>
        <w:rPr>
          <w:rFonts w:cstheme="minorHAnsi"/>
        </w:rPr>
      </w:pPr>
      <w:r>
        <w:rPr>
          <w:b/>
        </w:rPr>
        <w:t>Taxes and Fees</w:t>
      </w:r>
      <w:r w:rsidRPr="00BF789C">
        <w:rPr>
          <w:b/>
        </w:rPr>
        <w:t xml:space="preserve">: </w:t>
      </w:r>
      <w:r w:rsidR="00E9266D">
        <w:t>Describe</w:t>
      </w:r>
      <w:r w:rsidR="00603E5D">
        <w:t xml:space="preserve"> each tax and/or fee and</w:t>
      </w:r>
      <w:r w:rsidR="00E9266D">
        <w:t xml:space="preserve"> indicate</w:t>
      </w:r>
      <w:r w:rsidR="00603E5D">
        <w:t xml:space="preserve"> the amount for each</w:t>
      </w:r>
      <w:r w:rsidR="00E9266D">
        <w:t xml:space="preserve">, either as a percent of premium or a </w:t>
      </w:r>
      <w:r w:rsidR="00E9741C">
        <w:t>PMPM</w:t>
      </w:r>
      <w:r w:rsidR="00E9266D">
        <w:t xml:space="preserve"> amount.</w:t>
      </w:r>
      <w:r w:rsidR="00C60540" w:rsidRPr="00C60540">
        <w:rPr>
          <w:rFonts w:cstheme="minorHAnsi"/>
        </w:rPr>
        <w:t xml:space="preserve"> </w:t>
      </w:r>
      <w:r w:rsidR="00C60540">
        <w:rPr>
          <w:rFonts w:cstheme="minorHAnsi"/>
        </w:rPr>
        <w:t xml:space="preserve">Describe only the taxes and fees that may be subtracted from premiums for purposes of calculating MLR. </w:t>
      </w:r>
      <w:r w:rsidR="009B2216">
        <w:rPr>
          <w:rFonts w:cstheme="minorHAnsi"/>
        </w:rPr>
        <w:t xml:space="preserve">However, do not include any contributions to </w:t>
      </w:r>
      <w:r w:rsidR="00046406">
        <w:rPr>
          <w:rFonts w:cstheme="minorHAnsi"/>
        </w:rPr>
        <w:t xml:space="preserve">risk adjustment user fees </w:t>
      </w:r>
      <w:r w:rsidR="009B2216">
        <w:rPr>
          <w:rFonts w:cstheme="minorHAnsi"/>
        </w:rPr>
        <w:t>in this amount despite their treatment in MLR calculations, since</w:t>
      </w:r>
      <w:r w:rsidR="00046406">
        <w:rPr>
          <w:rFonts w:cstheme="minorHAnsi"/>
        </w:rPr>
        <w:t xml:space="preserve"> risk adjustment </w:t>
      </w:r>
      <w:r w:rsidR="00B46596">
        <w:rPr>
          <w:rFonts w:cstheme="minorHAnsi"/>
        </w:rPr>
        <w:t>is</w:t>
      </w:r>
      <w:r w:rsidR="009B2216">
        <w:rPr>
          <w:rFonts w:cstheme="minorHAnsi"/>
        </w:rPr>
        <w:t xml:space="preserve"> expressed in the </w:t>
      </w:r>
      <w:r w:rsidR="00BA3933">
        <w:rPr>
          <w:rFonts w:cstheme="minorHAnsi"/>
        </w:rPr>
        <w:t>URRT</w:t>
      </w:r>
      <w:r w:rsidR="009B2216">
        <w:rPr>
          <w:rFonts w:cstheme="minorHAnsi"/>
        </w:rPr>
        <w:t xml:space="preserve"> net of </w:t>
      </w:r>
      <w:r w:rsidR="00046406">
        <w:rPr>
          <w:rFonts w:cstheme="minorHAnsi"/>
        </w:rPr>
        <w:t>risk adjustment user fees</w:t>
      </w:r>
      <w:r w:rsidR="009B2216">
        <w:rPr>
          <w:rFonts w:cstheme="minorHAnsi"/>
        </w:rPr>
        <w:t xml:space="preserve">. </w:t>
      </w:r>
      <w:r w:rsidR="00C60540">
        <w:rPr>
          <w:rFonts w:cstheme="minorHAnsi"/>
        </w:rPr>
        <w:t xml:space="preserve">Any additional taxes and fees should be reflected in the </w:t>
      </w:r>
      <w:r w:rsidR="00645CC9">
        <w:rPr>
          <w:rFonts w:cstheme="minorHAnsi"/>
        </w:rPr>
        <w:t>A</w:t>
      </w:r>
      <w:r w:rsidR="00C60540">
        <w:rPr>
          <w:rFonts w:cstheme="minorHAnsi"/>
        </w:rPr>
        <w:t xml:space="preserve">dministrative </w:t>
      </w:r>
      <w:r w:rsidR="00645CC9">
        <w:rPr>
          <w:rFonts w:cstheme="minorHAnsi"/>
        </w:rPr>
        <w:t>E</w:t>
      </w:r>
      <w:r w:rsidR="00C60540">
        <w:rPr>
          <w:rFonts w:cstheme="minorHAnsi"/>
        </w:rPr>
        <w:t xml:space="preserve">xpense </w:t>
      </w:r>
      <w:r w:rsidR="00645CC9">
        <w:rPr>
          <w:rFonts w:cstheme="minorHAnsi"/>
        </w:rPr>
        <w:t>L</w:t>
      </w:r>
      <w:r w:rsidR="00C60540">
        <w:rPr>
          <w:rFonts w:cstheme="minorHAnsi"/>
        </w:rPr>
        <w:t>oad.</w:t>
      </w:r>
    </w:p>
    <w:p w14:paraId="18826310" w14:textId="44F1F341" w:rsidR="00082166" w:rsidRDefault="00082166" w:rsidP="00082166">
      <w:r>
        <w:t xml:space="preserve">Note that for pricing purposes, </w:t>
      </w:r>
      <w:r w:rsidR="00645CC9">
        <w:t>T</w:t>
      </w:r>
      <w:r>
        <w:t xml:space="preserve">axes </w:t>
      </w:r>
      <w:r w:rsidR="00645CC9">
        <w:t>&amp;</w:t>
      </w:r>
      <w:r>
        <w:t xml:space="preserve"> </w:t>
      </w:r>
      <w:r w:rsidR="00645CC9">
        <w:t>F</w:t>
      </w:r>
      <w:r>
        <w:t>ees</w:t>
      </w:r>
      <w:r w:rsidR="00BF6BDD">
        <w:t xml:space="preserve"> (including </w:t>
      </w:r>
      <w:r w:rsidR="00DE6C09">
        <w:t>Marketplace</w:t>
      </w:r>
      <w:r w:rsidR="00BF6BDD">
        <w:t xml:space="preserve"> user fees)</w:t>
      </w:r>
      <w:r>
        <w:t xml:space="preserve"> are considered part of administrative expenses, per 45 CFR </w:t>
      </w:r>
      <w:r w:rsidRPr="00E111EF">
        <w:t>156</w:t>
      </w:r>
      <w:r>
        <w:t xml:space="preserve">.80(d). </w:t>
      </w:r>
      <w:r w:rsidR="0058638B">
        <w:t>Taxes and fees are</w:t>
      </w:r>
      <w:r>
        <w:t xml:space="preserve"> described separately in the </w:t>
      </w:r>
      <w:r w:rsidR="009C3D1A">
        <w:t>A</w:t>
      </w:r>
      <w:r>
        <w:t xml:space="preserve">ctuarial </w:t>
      </w:r>
      <w:r w:rsidR="009C3D1A">
        <w:t>M</w:t>
      </w:r>
      <w:r>
        <w:t>emorandum to facilitate rate review.</w:t>
      </w:r>
    </w:p>
    <w:p w14:paraId="5D1F12AF" w14:textId="77777777" w:rsidR="00C35D2B" w:rsidRPr="00E63A21" w:rsidRDefault="00DE6C09" w:rsidP="00082166">
      <w:pPr>
        <w:rPr>
          <w:rFonts w:cstheme="minorHAnsi"/>
        </w:rPr>
      </w:pPr>
      <w:r>
        <w:rPr>
          <w:rFonts w:cstheme="minorHAnsi"/>
        </w:rPr>
        <w:t>Marketplace</w:t>
      </w:r>
      <w:r w:rsidR="00C35D2B" w:rsidRPr="00E63A21">
        <w:rPr>
          <w:rFonts w:cstheme="minorHAnsi"/>
        </w:rPr>
        <w:t xml:space="preserve"> user fees should be included in the template in Taxes </w:t>
      </w:r>
      <w:r w:rsidR="00E35018">
        <w:rPr>
          <w:rFonts w:cstheme="minorHAnsi"/>
        </w:rPr>
        <w:t>&amp;</w:t>
      </w:r>
      <w:r w:rsidR="00E35018" w:rsidRPr="00E63A21">
        <w:rPr>
          <w:rFonts w:cstheme="minorHAnsi"/>
        </w:rPr>
        <w:t xml:space="preserve"> </w:t>
      </w:r>
      <w:r w:rsidR="00C35D2B" w:rsidRPr="00E63A21">
        <w:rPr>
          <w:rFonts w:cstheme="minorHAnsi"/>
        </w:rPr>
        <w:t xml:space="preserve">Fees. The issuer should provide a narrative verifying the </w:t>
      </w:r>
      <w:r>
        <w:rPr>
          <w:rFonts w:cstheme="minorHAnsi"/>
        </w:rPr>
        <w:t>Marketplace</w:t>
      </w:r>
      <w:r w:rsidR="00C35D2B" w:rsidRPr="00E63A21">
        <w:rPr>
          <w:rFonts w:cstheme="minorHAnsi"/>
        </w:rPr>
        <w:t xml:space="preserve"> user fees are applied as an adjustment to the </w:t>
      </w:r>
      <w:r w:rsidR="00D47158">
        <w:rPr>
          <w:rFonts w:cstheme="minorHAnsi"/>
        </w:rPr>
        <w:t>Index Rate</w:t>
      </w:r>
      <w:r w:rsidR="00C35D2B" w:rsidRPr="00E63A21">
        <w:rPr>
          <w:rFonts w:cstheme="minorHAnsi"/>
        </w:rPr>
        <w:t xml:space="preserve"> at the market level. A description of the process the issuer used to calculate the adjustment should be included. The value should reflect the expected mix of </w:t>
      </w:r>
      <w:r>
        <w:rPr>
          <w:rFonts w:cstheme="minorHAnsi"/>
        </w:rPr>
        <w:t>Marketplace</w:t>
      </w:r>
      <w:r w:rsidR="00C35D2B" w:rsidRPr="00E63A21">
        <w:rPr>
          <w:rFonts w:cstheme="minorHAnsi"/>
        </w:rPr>
        <w:t xml:space="preserve"> and non-</w:t>
      </w:r>
      <w:r>
        <w:rPr>
          <w:rFonts w:cstheme="minorHAnsi"/>
        </w:rPr>
        <w:t>Marketplace</w:t>
      </w:r>
      <w:r w:rsidR="00C35D2B" w:rsidRPr="00E63A21">
        <w:rPr>
          <w:rFonts w:cstheme="minorHAnsi"/>
        </w:rPr>
        <w:t xml:space="preserve"> enrollees.</w:t>
      </w:r>
    </w:p>
    <w:p w14:paraId="0C1CB46B" w14:textId="77777777" w:rsidR="00687A8B" w:rsidRDefault="00687A8B" w:rsidP="008E5B0B">
      <w:pPr>
        <w:pStyle w:val="Heading2"/>
      </w:pPr>
      <w:bookmarkStart w:id="676" w:name="_Toc411347500"/>
      <w:bookmarkStart w:id="677" w:name="_Toc411523391"/>
      <w:bookmarkStart w:id="678" w:name="_Toc411866111"/>
      <w:bookmarkStart w:id="679" w:name="_Toc411866629"/>
      <w:bookmarkStart w:id="680" w:name="_Toc412032797"/>
      <w:bookmarkStart w:id="681" w:name="_Toc411936269"/>
      <w:bookmarkStart w:id="682" w:name="_Toc412287679"/>
      <w:bookmarkStart w:id="683" w:name="_Toc441756523"/>
      <w:r>
        <w:t>Projected Loss Ratio</w:t>
      </w:r>
      <w:bookmarkEnd w:id="676"/>
      <w:bookmarkEnd w:id="677"/>
      <w:bookmarkEnd w:id="678"/>
      <w:bookmarkEnd w:id="679"/>
      <w:bookmarkEnd w:id="680"/>
      <w:bookmarkEnd w:id="681"/>
      <w:bookmarkEnd w:id="682"/>
      <w:bookmarkEnd w:id="683"/>
    </w:p>
    <w:p w14:paraId="4442357A" w14:textId="5B979FC3" w:rsidR="00687A8B" w:rsidRDefault="00687A8B" w:rsidP="00B64BD5">
      <w:pPr>
        <w:pStyle w:val="BodyText"/>
      </w:pPr>
      <w:r>
        <w:t xml:space="preserve">Indicate the projected loss ratio using the </w:t>
      </w:r>
      <w:r w:rsidR="00645CC9">
        <w:t>F</w:t>
      </w:r>
      <w:r>
        <w:t>ederally</w:t>
      </w:r>
      <w:r w:rsidR="00E35018">
        <w:t>-</w:t>
      </w:r>
      <w:r>
        <w:t xml:space="preserve">prescribed MLR methodology. If the projected loss ratio is less than 80%, explain </w:t>
      </w:r>
      <w:r w:rsidR="003C4917">
        <w:t xml:space="preserve">how </w:t>
      </w:r>
      <w:r w:rsidR="007D317D">
        <w:t xml:space="preserve">the issuer </w:t>
      </w:r>
      <w:r w:rsidR="00BF6BDD">
        <w:t>plan</w:t>
      </w:r>
      <w:r w:rsidR="007D317D">
        <w:t>s</w:t>
      </w:r>
      <w:r w:rsidR="00BF6BDD">
        <w:t xml:space="preserve"> to </w:t>
      </w:r>
      <w:r w:rsidR="004845E2">
        <w:t>comply</w:t>
      </w:r>
      <w:r w:rsidR="00BF6BDD">
        <w:t xml:space="preserve"> with the Federal MLR requirement found in </w:t>
      </w:r>
      <w:r w:rsidR="00E35018">
        <w:t>Public Health Service Act (</w:t>
      </w:r>
      <w:r w:rsidR="00BF6BDD">
        <w:t>PHS</w:t>
      </w:r>
      <w:r w:rsidR="00E35018">
        <w:t xml:space="preserve"> </w:t>
      </w:r>
      <w:r w:rsidR="00BF6BDD">
        <w:t>A</w:t>
      </w:r>
      <w:r w:rsidR="00E35018">
        <w:t>ct) section</w:t>
      </w:r>
      <w:r w:rsidR="00BF6BDD">
        <w:t xml:space="preserve"> 2718</w:t>
      </w:r>
      <w:r>
        <w:t>.</w:t>
      </w:r>
    </w:p>
    <w:p w14:paraId="3B0A6389" w14:textId="77777777" w:rsidR="00687A8B" w:rsidRDefault="00687A8B" w:rsidP="00B64BD5">
      <w:pPr>
        <w:pStyle w:val="BodyText"/>
        <w:rPr>
          <w:rFonts w:cstheme="minorHAnsi"/>
        </w:rPr>
      </w:pPr>
      <w:r w:rsidRPr="00687A8B">
        <w:rPr>
          <w:rFonts w:cstheme="minorHAnsi"/>
        </w:rPr>
        <w:t xml:space="preserve">If the state requires a projected loss ratio demonstration, then such a demonstration should </w:t>
      </w:r>
      <w:r w:rsidR="006259BD">
        <w:rPr>
          <w:rFonts w:cstheme="minorHAnsi"/>
        </w:rPr>
        <w:t xml:space="preserve">also </w:t>
      </w:r>
      <w:r w:rsidRPr="00687A8B">
        <w:rPr>
          <w:rFonts w:cstheme="minorHAnsi"/>
        </w:rPr>
        <w:t>be included.</w:t>
      </w:r>
    </w:p>
    <w:p w14:paraId="18994CEC" w14:textId="77777777" w:rsidR="00ED2EAD" w:rsidRPr="00291D8A" w:rsidRDefault="00ED2EAD" w:rsidP="008E5B0B">
      <w:pPr>
        <w:pStyle w:val="Heading2"/>
      </w:pPr>
      <w:bookmarkStart w:id="684" w:name="_Toc411523392"/>
      <w:bookmarkStart w:id="685" w:name="_Toc411866112"/>
      <w:bookmarkStart w:id="686" w:name="_Toc411866630"/>
      <w:bookmarkStart w:id="687" w:name="_Toc412032798"/>
      <w:bookmarkStart w:id="688" w:name="_Toc411936270"/>
      <w:bookmarkStart w:id="689" w:name="_Toc412287680"/>
      <w:bookmarkStart w:id="690" w:name="_Toc441756524"/>
      <w:r>
        <w:t>Application of Market Reform Rating Rules</w:t>
      </w:r>
      <w:bookmarkEnd w:id="684"/>
      <w:bookmarkEnd w:id="685"/>
      <w:bookmarkEnd w:id="686"/>
      <w:bookmarkEnd w:id="687"/>
      <w:bookmarkEnd w:id="688"/>
      <w:bookmarkEnd w:id="689"/>
      <w:bookmarkEnd w:id="690"/>
    </w:p>
    <w:p w14:paraId="4C28BE85" w14:textId="77777777" w:rsidR="002E425F" w:rsidRDefault="002E425F" w:rsidP="00926D0E">
      <w:pPr>
        <w:pStyle w:val="Heading3"/>
      </w:pPr>
      <w:bookmarkStart w:id="691" w:name="_Toc411347501"/>
      <w:bookmarkStart w:id="692" w:name="_Toc411523393"/>
      <w:bookmarkStart w:id="693" w:name="_Toc411866113"/>
      <w:bookmarkStart w:id="694" w:name="_Toc411866631"/>
      <w:bookmarkStart w:id="695" w:name="_Toc412032799"/>
      <w:bookmarkStart w:id="696" w:name="_Toc411936271"/>
      <w:bookmarkStart w:id="697" w:name="_Toc412287681"/>
      <w:bookmarkStart w:id="698" w:name="_Toc441756525"/>
      <w:r>
        <w:t>Single Risk Pool</w:t>
      </w:r>
      <w:bookmarkEnd w:id="691"/>
      <w:bookmarkEnd w:id="692"/>
      <w:bookmarkEnd w:id="693"/>
      <w:bookmarkEnd w:id="694"/>
      <w:bookmarkEnd w:id="695"/>
      <w:bookmarkEnd w:id="696"/>
      <w:bookmarkEnd w:id="697"/>
      <w:bookmarkEnd w:id="698"/>
    </w:p>
    <w:p w14:paraId="5221C46A" w14:textId="6CA32E85" w:rsidR="00E26248" w:rsidRDefault="002E425F" w:rsidP="00A03BEC">
      <w:pPr>
        <w:pStyle w:val="ListParagraph"/>
        <w:spacing w:after="0"/>
        <w:ind w:left="0"/>
      </w:pPr>
      <w:r>
        <w:t>The issuer is required to p</w:t>
      </w:r>
      <w:r w:rsidRPr="00D50621">
        <w:t xml:space="preserve">rovide support </w:t>
      </w:r>
      <w:r>
        <w:t xml:space="preserve">that the </w:t>
      </w:r>
      <w:r w:rsidR="00F12391">
        <w:t>single risk pool</w:t>
      </w:r>
      <w:r>
        <w:t xml:space="preserve"> in a particular state and market is established according to the requirements in 45 CFR 156.80.  The </w:t>
      </w:r>
      <w:r w:rsidR="00F12391">
        <w:t>single risk pool</w:t>
      </w:r>
      <w:r>
        <w:t xml:space="preserve"> reflects </w:t>
      </w:r>
      <w:r w:rsidR="001910A4">
        <w:t>all covered live</w:t>
      </w:r>
      <w:r w:rsidR="0089100A">
        <w:t>s</w:t>
      </w:r>
      <w:r w:rsidR="001910A4">
        <w:t xml:space="preserve"> for </w:t>
      </w:r>
      <w:r>
        <w:t>every non-grandfathered product/plan combination</w:t>
      </w:r>
      <w:r w:rsidR="001910A4">
        <w:t xml:space="preserve"> for an issuer</w:t>
      </w:r>
      <w:r>
        <w:t xml:space="preserve"> in a state and market.  The </w:t>
      </w:r>
      <w:r w:rsidR="00F12391">
        <w:t>single risk pool</w:t>
      </w:r>
      <w:r>
        <w:t xml:space="preserve"> is specific to the legal entity for the state and market for which it is submitted.</w:t>
      </w:r>
      <w:r w:rsidRPr="00D50621">
        <w:t xml:space="preserve"> </w:t>
      </w:r>
    </w:p>
    <w:p w14:paraId="7478F703" w14:textId="77777777" w:rsidR="00E26248" w:rsidRDefault="00E26248" w:rsidP="00A03BEC">
      <w:pPr>
        <w:pStyle w:val="ListParagraph"/>
        <w:spacing w:after="0"/>
        <w:ind w:left="0"/>
      </w:pPr>
    </w:p>
    <w:p w14:paraId="5FA92C7E" w14:textId="4B3C91B6" w:rsidR="005E5558" w:rsidRDefault="005E5558" w:rsidP="00A03BEC">
      <w:pPr>
        <w:pStyle w:val="ListParagraph"/>
        <w:spacing w:after="0"/>
        <w:ind w:left="0"/>
        <w:rPr>
          <w:rFonts w:ascii="Calibri" w:hAnsi="Calibri"/>
        </w:rPr>
      </w:pPr>
      <w:r>
        <w:t xml:space="preserve">The </w:t>
      </w:r>
      <w:r w:rsidR="00F12391">
        <w:t>single risk pool</w:t>
      </w:r>
      <w:r>
        <w:t xml:space="preserve"> should include transitional products/plans for purposes of base rate experience used to demonstrate the single risk pool. </w:t>
      </w:r>
      <w:r w:rsidR="00F71B90">
        <w:t xml:space="preserve"> </w:t>
      </w:r>
      <w:r>
        <w:t xml:space="preserve">The projection period should reflect experience of transitional policies to the extent the issuer anticipates </w:t>
      </w:r>
      <w:r w:rsidR="00C67084">
        <w:t>the members in those policies</w:t>
      </w:r>
      <w:r>
        <w:t xml:space="preserve"> will be enrolled in </w:t>
      </w:r>
      <w:r w:rsidR="001506C4">
        <w:t xml:space="preserve">single risk pool </w:t>
      </w:r>
      <w:r>
        <w:t>plans during the projection period.</w:t>
      </w:r>
    </w:p>
    <w:p w14:paraId="781CC818" w14:textId="77777777" w:rsidR="000F314A" w:rsidRDefault="000F314A" w:rsidP="00926D0E">
      <w:pPr>
        <w:pStyle w:val="Heading3"/>
      </w:pPr>
      <w:bookmarkStart w:id="699" w:name="_Toc411347502"/>
      <w:bookmarkStart w:id="700" w:name="_Toc411523394"/>
      <w:bookmarkStart w:id="701" w:name="_Toc411866114"/>
      <w:bookmarkStart w:id="702" w:name="_Toc411866632"/>
      <w:bookmarkStart w:id="703" w:name="_Toc412032800"/>
      <w:bookmarkStart w:id="704" w:name="_Toc411936272"/>
      <w:bookmarkStart w:id="705" w:name="_Toc412287682"/>
      <w:bookmarkStart w:id="706" w:name="_Toc441756526"/>
      <w:r>
        <w:t>Index R</w:t>
      </w:r>
      <w:r w:rsidRPr="00D50621">
        <w:t>ate</w:t>
      </w:r>
      <w:bookmarkEnd w:id="699"/>
      <w:bookmarkEnd w:id="700"/>
      <w:bookmarkEnd w:id="701"/>
      <w:bookmarkEnd w:id="702"/>
      <w:bookmarkEnd w:id="703"/>
      <w:bookmarkEnd w:id="704"/>
      <w:bookmarkEnd w:id="705"/>
      <w:bookmarkEnd w:id="706"/>
    </w:p>
    <w:p w14:paraId="03353742" w14:textId="18579E54" w:rsidR="005538A1" w:rsidRDefault="002E425F" w:rsidP="00ED2EAD">
      <w:pPr>
        <w:pStyle w:val="BodyText"/>
        <w:tabs>
          <w:tab w:val="left" w:pos="720"/>
        </w:tabs>
      </w:pPr>
      <w:r>
        <w:t>The issuer is required t</w:t>
      </w:r>
      <w:r w:rsidR="00111E85">
        <w:t>o</w:t>
      </w:r>
      <w:r>
        <w:t xml:space="preserve"> p</w:t>
      </w:r>
      <w:r w:rsidR="00D50621" w:rsidRPr="00D50621">
        <w:t xml:space="preserve">rovide support </w:t>
      </w:r>
      <w:r w:rsidR="000B4311">
        <w:t xml:space="preserve">for </w:t>
      </w:r>
      <w:r w:rsidR="00D50621" w:rsidRPr="00D50621">
        <w:t xml:space="preserve">the </w:t>
      </w:r>
      <w:r w:rsidR="005E559F">
        <w:t xml:space="preserve">development of the </w:t>
      </w:r>
      <w:r w:rsidR="00D47158">
        <w:t>Index Rate</w:t>
      </w:r>
      <w:r w:rsidR="00D50621" w:rsidRPr="00D50621">
        <w:t xml:space="preserve"> in both the experience period and the</w:t>
      </w:r>
      <w:r w:rsidR="004D1B26">
        <w:t xml:space="preserve"> </w:t>
      </w:r>
      <w:r w:rsidR="00D50621" w:rsidRPr="00D50621">
        <w:t xml:space="preserve">projection period. </w:t>
      </w:r>
      <w:r w:rsidR="00F71B90">
        <w:t xml:space="preserve"> </w:t>
      </w:r>
      <w:r w:rsidR="00481CB6">
        <w:t>The Index Rate</w:t>
      </w:r>
      <w:r w:rsidR="00142E54">
        <w:t xml:space="preserve"> is </w:t>
      </w:r>
      <w:r w:rsidR="00481CB6">
        <w:t xml:space="preserve">specific to </w:t>
      </w:r>
      <w:r w:rsidR="00142E54">
        <w:t>the legal</w:t>
      </w:r>
      <w:r w:rsidR="003F3E54">
        <w:t xml:space="preserve"> </w:t>
      </w:r>
      <w:r w:rsidR="00142E54">
        <w:t xml:space="preserve">entity for the </w:t>
      </w:r>
      <w:r w:rsidR="003F3E54">
        <w:t xml:space="preserve">state and </w:t>
      </w:r>
      <w:r w:rsidR="00142E54">
        <w:t xml:space="preserve">market </w:t>
      </w:r>
      <w:r w:rsidR="00481CB6">
        <w:t>for which it</w:t>
      </w:r>
      <w:r w:rsidR="00142E54">
        <w:t xml:space="preserve"> is </w:t>
      </w:r>
      <w:r w:rsidR="003F3E54">
        <w:t>submitted</w:t>
      </w:r>
      <w:r w:rsidR="00142E54">
        <w:t>.</w:t>
      </w:r>
      <w:r w:rsidR="00142E54" w:rsidRPr="00D50621">
        <w:t xml:space="preserve"> </w:t>
      </w:r>
      <w:r w:rsidR="00D50621" w:rsidRPr="00D50621">
        <w:t xml:space="preserve">The </w:t>
      </w:r>
      <w:r w:rsidR="00D47158">
        <w:t>Index Rate</w:t>
      </w:r>
      <w:r w:rsidR="00D50621" w:rsidRPr="00D50621">
        <w:t xml:space="preserve"> represents the estimated total combined </w:t>
      </w:r>
      <w:r w:rsidR="00433B0C">
        <w:t xml:space="preserve">allowed </w:t>
      </w:r>
      <w:r w:rsidR="00BA3933">
        <w:t xml:space="preserve">EHB </w:t>
      </w:r>
      <w:r w:rsidR="00D50621" w:rsidRPr="00D50621">
        <w:t xml:space="preserve">claims experience </w:t>
      </w:r>
      <w:r w:rsidR="00377F15">
        <w:t xml:space="preserve">PMPM </w:t>
      </w:r>
      <w:r>
        <w:t xml:space="preserve">in the </w:t>
      </w:r>
      <w:r w:rsidR="00F12391">
        <w:t>single risk pool</w:t>
      </w:r>
      <w:r w:rsidR="0021771A">
        <w:t>,</w:t>
      </w:r>
      <w:r w:rsidR="0021771A" w:rsidRPr="0021771A">
        <w:t xml:space="preserve"> </w:t>
      </w:r>
      <w:r w:rsidR="0021771A">
        <w:t>and should not be adjusted for payments and charges under the risk adjustment and reinsurance programs</w:t>
      </w:r>
      <w:r w:rsidR="00142E54">
        <w:t>,</w:t>
      </w:r>
      <w:r w:rsidR="0021771A">
        <w:t xml:space="preserve"> or for </w:t>
      </w:r>
      <w:r w:rsidR="00DE6C09">
        <w:t>Marketplace</w:t>
      </w:r>
      <w:r w:rsidR="0021771A">
        <w:t xml:space="preserve"> user fees</w:t>
      </w:r>
      <w:r w:rsidR="00D50621" w:rsidRPr="00D50621">
        <w:t xml:space="preserve">. </w:t>
      </w:r>
    </w:p>
    <w:p w14:paraId="2B95A03E" w14:textId="5D1B209F" w:rsidR="00B230FD" w:rsidRDefault="005538A1" w:rsidP="008E5B0B">
      <w:pPr>
        <w:pStyle w:val="BodyText"/>
      </w:pPr>
      <w:r>
        <w:t>The Index Rate is to be developed following the specifications of 45 CFR 156.80(d</w:t>
      </w:r>
      <w:proofErr w:type="gramStart"/>
      <w:r>
        <w:t>)(</w:t>
      </w:r>
      <w:proofErr w:type="gramEnd"/>
      <w:r>
        <w:t>1).</w:t>
      </w:r>
      <w:r w:rsidR="00F71B90">
        <w:t xml:space="preserve"> </w:t>
      </w:r>
      <w:r>
        <w:t xml:space="preserve">The Index Rate is based on the </w:t>
      </w:r>
      <w:r w:rsidR="00B230FD">
        <w:t xml:space="preserve">total combined claim costs for providing EHBs </w:t>
      </w:r>
      <w:r w:rsidR="007D317D">
        <w:t xml:space="preserve">only </w:t>
      </w:r>
      <w:r w:rsidR="001910A4">
        <w:t>for</w:t>
      </w:r>
      <w:r w:rsidR="00B230FD">
        <w:t xml:space="preserve"> the </w:t>
      </w:r>
      <w:r w:rsidR="00F12391">
        <w:t>single risk pool</w:t>
      </w:r>
      <w:r w:rsidR="00B230FD">
        <w:t xml:space="preserve"> of that state market. </w:t>
      </w:r>
      <w:r w:rsidR="00F71B90">
        <w:t xml:space="preserve"> </w:t>
      </w:r>
      <w:r w:rsidR="00B230FD">
        <w:t xml:space="preserve">The </w:t>
      </w:r>
      <w:r w:rsidR="00D9217E">
        <w:t xml:space="preserve">Index Rate is derived by dividing the </w:t>
      </w:r>
      <w:r w:rsidR="00B230FD">
        <w:t xml:space="preserve">total combined </w:t>
      </w:r>
      <w:r w:rsidR="00F02293">
        <w:t xml:space="preserve">EHB allowed </w:t>
      </w:r>
      <w:r w:rsidR="00B230FD">
        <w:t xml:space="preserve">claims </w:t>
      </w:r>
      <w:r w:rsidR="001910A4">
        <w:t xml:space="preserve">for the </w:t>
      </w:r>
      <w:r w:rsidR="00F12391">
        <w:t>single risk pool</w:t>
      </w:r>
      <w:r w:rsidR="001910A4">
        <w:t xml:space="preserve"> </w:t>
      </w:r>
      <w:r w:rsidR="00B230FD">
        <w:t xml:space="preserve">by all covered lives in the </w:t>
      </w:r>
      <w:r w:rsidR="00F12391">
        <w:t>single risk pool</w:t>
      </w:r>
      <w:r w:rsidR="00B230FD">
        <w:t xml:space="preserve"> of that state market.</w:t>
      </w:r>
      <w:r w:rsidR="001910A4">
        <w:t xml:space="preserve">  Issuers must establish a single Index Rate for all product/plan combinations in the </w:t>
      </w:r>
      <w:r w:rsidR="00F12391">
        <w:t>single risk pool</w:t>
      </w:r>
      <w:r w:rsidR="001910A4">
        <w:t>.</w:t>
      </w:r>
    </w:p>
    <w:p w14:paraId="26312605" w14:textId="5EDC612B" w:rsidR="00D50621" w:rsidRDefault="00D50621" w:rsidP="000F314A">
      <w:pPr>
        <w:pStyle w:val="BodyText"/>
      </w:pPr>
      <w:r w:rsidRPr="00D50621">
        <w:t xml:space="preserve">Describe the </w:t>
      </w:r>
      <w:r w:rsidR="00E3385C">
        <w:t xml:space="preserve">difference between the total allowed claims </w:t>
      </w:r>
      <w:r w:rsidR="00377F15">
        <w:t xml:space="preserve">PMPM </w:t>
      </w:r>
      <w:r w:rsidR="00E3385C">
        <w:t xml:space="preserve">and the </w:t>
      </w:r>
      <w:r w:rsidR="00D47158">
        <w:t>Index Rate</w:t>
      </w:r>
      <w:r w:rsidR="00E3385C">
        <w:t xml:space="preserve">. </w:t>
      </w:r>
      <w:r w:rsidR="00F71B90">
        <w:t xml:space="preserve"> </w:t>
      </w:r>
      <w:r w:rsidR="00E3385C">
        <w:t xml:space="preserve">For example, describe any covered </w:t>
      </w:r>
      <w:r w:rsidR="007D317D">
        <w:t>non-EHBs</w:t>
      </w:r>
      <w:r w:rsidR="00E3385C">
        <w:t xml:space="preserve"> that are included in allowed claims but excluded from the </w:t>
      </w:r>
      <w:r w:rsidR="00D47158">
        <w:t>Index Rate</w:t>
      </w:r>
      <w:r w:rsidR="00E3385C">
        <w:t>.</w:t>
      </w:r>
    </w:p>
    <w:p w14:paraId="468C60D6" w14:textId="4EFD19DF" w:rsidR="00E9266D" w:rsidRDefault="008E5B0B" w:rsidP="00E9266D">
      <w:r>
        <w:t>T</w:t>
      </w:r>
      <w:r w:rsidR="00E9266D">
        <w:t xml:space="preserve">he Index Rate of the Experience Period reported in Worksheet 1 </w:t>
      </w:r>
      <w:r>
        <w:t xml:space="preserve">should </w:t>
      </w:r>
      <w:r w:rsidR="00E9266D">
        <w:t xml:space="preserve">be consistent with the </w:t>
      </w:r>
      <w:r w:rsidR="00451469">
        <w:t>Experience Period Allowed Claims PMPM</w:t>
      </w:r>
      <w:r w:rsidR="00E9266D">
        <w:t>.</w:t>
      </w:r>
      <w:r w:rsidR="00F71B90">
        <w:t xml:space="preserve"> </w:t>
      </w:r>
      <w:r w:rsidR="00E9266D">
        <w:t xml:space="preserve"> </w:t>
      </w:r>
      <w:r w:rsidR="00BF6BDD">
        <w:t>While these two amounts may not be identical due to the inclusion of non-EHB</w:t>
      </w:r>
      <w:r w:rsidR="007D317D">
        <w:t>s</w:t>
      </w:r>
      <w:r w:rsidR="00BF6BDD">
        <w:t xml:space="preserve"> in the Experience Period Allowed Claims PMPM</w:t>
      </w:r>
      <w:r w:rsidR="00185AC3">
        <w:t xml:space="preserve"> (</w:t>
      </w:r>
      <w:r w:rsidR="006B76C4">
        <w:t>because of</w:t>
      </w:r>
      <w:r w:rsidR="00185AC3">
        <w:t xml:space="preserve"> transitional policies or small groups that have not reached their renewal date to move to a </w:t>
      </w:r>
      <w:r w:rsidR="009A79D5">
        <w:t xml:space="preserve">single risk pool </w:t>
      </w:r>
      <w:r w:rsidR="00185AC3">
        <w:t>plan)</w:t>
      </w:r>
      <w:r w:rsidR="00EE2B3B">
        <w:t>,</w:t>
      </w:r>
      <w:r w:rsidR="00BF6BDD">
        <w:t xml:space="preserve"> which would not be included in the Index Rate of the Experience Period, it </w:t>
      </w:r>
      <w:r w:rsidR="00EE2B3B">
        <w:t>is</w:t>
      </w:r>
      <w:r w:rsidR="00BF6BDD">
        <w:t xml:space="preserve"> anticipated that these amounts would </w:t>
      </w:r>
      <w:r w:rsidR="00EE2B3B">
        <w:t xml:space="preserve">be </w:t>
      </w:r>
      <w:r w:rsidR="00BF6BDD">
        <w:t>developed on a consistent basis.</w:t>
      </w:r>
    </w:p>
    <w:p w14:paraId="126BD57A" w14:textId="3E7AB867" w:rsidR="00FF5D25" w:rsidRPr="00FF5D25" w:rsidRDefault="00FF5D25" w:rsidP="00755671">
      <w:pPr>
        <w:pStyle w:val="BodyText"/>
      </w:pPr>
      <w:r w:rsidRPr="00481A0B">
        <w:t xml:space="preserve">If the </w:t>
      </w:r>
      <w:r w:rsidR="0055192E" w:rsidRPr="00481A0B">
        <w:t>experience period</w:t>
      </w:r>
      <w:r w:rsidR="00451469" w:rsidRPr="00481A0B">
        <w:t xml:space="preserve"> </w:t>
      </w:r>
      <w:r w:rsidRPr="00481A0B">
        <w:t>contains non-</w:t>
      </w:r>
      <w:r w:rsidR="009A79D5" w:rsidRPr="00481A0B">
        <w:t xml:space="preserve">single risk pool </w:t>
      </w:r>
      <w:r w:rsidR="00185AC3" w:rsidRPr="00481A0B">
        <w:t>plan</w:t>
      </w:r>
      <w:r w:rsidR="0055192E" w:rsidRPr="00481A0B">
        <w:t>s</w:t>
      </w:r>
      <w:r w:rsidR="00451469" w:rsidRPr="00481A0B">
        <w:t>,</w:t>
      </w:r>
      <w:r w:rsidRPr="00481A0B">
        <w:t xml:space="preserve"> </w:t>
      </w:r>
      <w:r w:rsidR="00451469" w:rsidRPr="00481A0B">
        <w:t>provide the methodology used to develop the reported Index Rate of Experience Period</w:t>
      </w:r>
      <w:r w:rsidRPr="00481A0B">
        <w:t xml:space="preserve">. </w:t>
      </w:r>
      <w:r w:rsidR="00F71B90">
        <w:t xml:space="preserve"> </w:t>
      </w:r>
      <w:r w:rsidR="00451469" w:rsidRPr="00481A0B">
        <w:t xml:space="preserve">Describe how claims for benefits which were covered during the experience period but are not </w:t>
      </w:r>
      <w:r w:rsidR="00560441" w:rsidRPr="00481A0B">
        <w:t>EHB</w:t>
      </w:r>
      <w:r w:rsidRPr="00481A0B">
        <w:t>s</w:t>
      </w:r>
      <w:r w:rsidR="00451469" w:rsidRPr="00481A0B">
        <w:t xml:space="preserve"> were identified and removed</w:t>
      </w:r>
      <w:r w:rsidRPr="00481A0B">
        <w:t>.</w:t>
      </w:r>
      <w:r w:rsidR="00560441" w:rsidRPr="00481A0B">
        <w:t xml:space="preserve"> </w:t>
      </w:r>
    </w:p>
    <w:p w14:paraId="4DE953BB" w14:textId="47286C44" w:rsidR="006902A0" w:rsidRDefault="00A029FD" w:rsidP="00755671">
      <w:pPr>
        <w:pStyle w:val="BodyText"/>
      </w:pPr>
      <w:r w:rsidRPr="00086BA4">
        <w:t xml:space="preserve">If the submission is for the </w:t>
      </w:r>
      <w:r w:rsidR="00645CC9" w:rsidRPr="00086BA4">
        <w:t>i</w:t>
      </w:r>
      <w:r w:rsidRPr="00086BA4">
        <w:t xml:space="preserve">ndividual or </w:t>
      </w:r>
      <w:r w:rsidR="00645CC9" w:rsidRPr="00086BA4">
        <w:t>c</w:t>
      </w:r>
      <w:r w:rsidRPr="00086BA4">
        <w:t>ombined market,</w:t>
      </w:r>
      <w:r w:rsidRPr="00FF5D25">
        <w:rPr>
          <w:rFonts w:cstheme="minorHAnsi"/>
        </w:rPr>
        <w:t xml:space="preserve"> the </w:t>
      </w:r>
      <w:r w:rsidR="00082166" w:rsidRPr="00FF5D25">
        <w:rPr>
          <w:rFonts w:cstheme="minorHAnsi"/>
        </w:rPr>
        <w:t>I</w:t>
      </w:r>
      <w:r w:rsidRPr="00FF5D25">
        <w:rPr>
          <w:rFonts w:cstheme="minorHAnsi"/>
        </w:rPr>
        <w:t xml:space="preserve">ndex </w:t>
      </w:r>
      <w:r w:rsidR="00082166" w:rsidRPr="00FF5D25">
        <w:rPr>
          <w:rFonts w:cstheme="minorHAnsi"/>
        </w:rPr>
        <w:t>R</w:t>
      </w:r>
      <w:r w:rsidRPr="00FF5D25">
        <w:rPr>
          <w:rFonts w:cstheme="minorHAnsi"/>
        </w:rPr>
        <w:t xml:space="preserve">ate </w:t>
      </w:r>
      <w:r w:rsidR="00645CC9" w:rsidRPr="00FF5D25">
        <w:rPr>
          <w:rFonts w:cstheme="minorHAnsi"/>
        </w:rPr>
        <w:t xml:space="preserve">for Projection Period </w:t>
      </w:r>
      <w:r w:rsidRPr="00FF5D25">
        <w:rPr>
          <w:rFonts w:cstheme="minorHAnsi"/>
        </w:rPr>
        <w:t>should</w:t>
      </w:r>
      <w:r>
        <w:rPr>
          <w:rFonts w:cstheme="minorHAnsi"/>
        </w:rPr>
        <w:t xml:space="preserve"> reflect the twelve month projection </w:t>
      </w:r>
      <w:r w:rsidRPr="00A029FD">
        <w:rPr>
          <w:rFonts w:cstheme="minorHAnsi"/>
        </w:rPr>
        <w:t>period</w:t>
      </w:r>
      <w:r w:rsidRPr="00A029FD">
        <w:t xml:space="preserve"> shown on Worksheet 1, Section II</w:t>
      </w:r>
      <w:r w:rsidRPr="00A029FD">
        <w:rPr>
          <w:rFonts w:cstheme="minorHAnsi"/>
        </w:rPr>
        <w:t>.</w:t>
      </w:r>
      <w:r w:rsidR="00F71B90">
        <w:rPr>
          <w:rFonts w:cstheme="minorHAnsi"/>
        </w:rPr>
        <w:t xml:space="preserve"> </w:t>
      </w:r>
      <w:r>
        <w:rPr>
          <w:rFonts w:cstheme="minorHAnsi"/>
        </w:rPr>
        <w:t xml:space="preserve"> If the submission is for the </w:t>
      </w:r>
      <w:r w:rsidR="00645CC9">
        <w:rPr>
          <w:rFonts w:cstheme="minorHAnsi"/>
        </w:rPr>
        <w:t>s</w:t>
      </w:r>
      <w:r>
        <w:rPr>
          <w:rFonts w:cstheme="minorHAnsi"/>
        </w:rPr>
        <w:t xml:space="preserve">mall </w:t>
      </w:r>
      <w:r w:rsidR="00645CC9">
        <w:rPr>
          <w:rFonts w:cstheme="minorHAnsi"/>
        </w:rPr>
        <w:t>g</w:t>
      </w:r>
      <w:r>
        <w:rPr>
          <w:rFonts w:cstheme="minorHAnsi"/>
        </w:rPr>
        <w:t xml:space="preserve">roup market and includes prospective trend adjustments (only if permitted by the state), then the </w:t>
      </w:r>
      <w:r w:rsidR="00082166">
        <w:rPr>
          <w:rFonts w:cstheme="minorHAnsi"/>
        </w:rPr>
        <w:t>I</w:t>
      </w:r>
      <w:r>
        <w:rPr>
          <w:rFonts w:cstheme="minorHAnsi"/>
        </w:rPr>
        <w:t xml:space="preserve">ndex </w:t>
      </w:r>
      <w:r w:rsidR="00082166">
        <w:rPr>
          <w:rFonts w:cstheme="minorHAnsi"/>
        </w:rPr>
        <w:t>R</w:t>
      </w:r>
      <w:r>
        <w:rPr>
          <w:rFonts w:cstheme="minorHAnsi"/>
        </w:rPr>
        <w:t xml:space="preserve">ate </w:t>
      </w:r>
      <w:r w:rsidR="00645CC9">
        <w:rPr>
          <w:rFonts w:cstheme="minorHAnsi"/>
        </w:rPr>
        <w:t xml:space="preserve">for Projection Period </w:t>
      </w:r>
      <w:r>
        <w:rPr>
          <w:rFonts w:cstheme="minorHAnsi"/>
        </w:rPr>
        <w:t xml:space="preserve">should reflect the member weighted average of the projected </w:t>
      </w:r>
      <w:r w:rsidR="00D47158">
        <w:rPr>
          <w:rFonts w:cstheme="minorHAnsi"/>
        </w:rPr>
        <w:t>Index Rate</w:t>
      </w:r>
      <w:r>
        <w:rPr>
          <w:rFonts w:cstheme="minorHAnsi"/>
        </w:rPr>
        <w:t xml:space="preserve">s applicable for each effective date in the submission. </w:t>
      </w:r>
      <w:r w:rsidR="00F71B90">
        <w:rPr>
          <w:rFonts w:cstheme="minorHAnsi"/>
        </w:rPr>
        <w:t xml:space="preserve"> </w:t>
      </w:r>
      <w:r w:rsidR="006902A0">
        <w:rPr>
          <w:rFonts w:cstheme="minorHAnsi"/>
        </w:rPr>
        <w:t xml:space="preserve">Show the projected </w:t>
      </w:r>
      <w:r w:rsidR="00700BD4">
        <w:rPr>
          <w:rFonts w:cstheme="minorHAnsi"/>
        </w:rPr>
        <w:t xml:space="preserve">trended </w:t>
      </w:r>
      <w:r w:rsidR="00D47158">
        <w:rPr>
          <w:rFonts w:cstheme="minorHAnsi"/>
        </w:rPr>
        <w:t>Index Rate</w:t>
      </w:r>
      <w:r w:rsidR="006902A0">
        <w:rPr>
          <w:rFonts w:cstheme="minorHAnsi"/>
        </w:rPr>
        <w:t xml:space="preserve"> for each effective date in the submission.</w:t>
      </w:r>
    </w:p>
    <w:p w14:paraId="0B3DFF6F" w14:textId="3FE61CA6" w:rsidR="00565266" w:rsidRDefault="006902A0" w:rsidP="00755671">
      <w:pPr>
        <w:pStyle w:val="BodyText"/>
      </w:pPr>
      <w:r>
        <w:t xml:space="preserve">The projected </w:t>
      </w:r>
      <w:r w:rsidR="00D47158">
        <w:t>Index Rate</w:t>
      </w:r>
      <w:r w:rsidR="00244206">
        <w:t xml:space="preserve"> must reflect the anticipated </w:t>
      </w:r>
      <w:r w:rsidR="006B76C4">
        <w:t xml:space="preserve">EHB </w:t>
      </w:r>
      <w:r w:rsidR="00244206">
        <w:t>claim level of the projection period with respect to trend</w:t>
      </w:r>
      <w:r w:rsidR="00852E65">
        <w:t>, benefit</w:t>
      </w:r>
      <w:r w:rsidR="001507FF">
        <w:t>,</w:t>
      </w:r>
      <w:r w:rsidR="00852E65">
        <w:t xml:space="preserve"> and demographics</w:t>
      </w:r>
      <w:r w:rsidR="00244206">
        <w:t xml:space="preserve">. </w:t>
      </w:r>
      <w:r w:rsidR="00F71B90">
        <w:t xml:space="preserve"> </w:t>
      </w:r>
      <w:r w:rsidR="00244206">
        <w:t xml:space="preserve">It must reflect the experience of all policies </w:t>
      </w:r>
      <w:r w:rsidR="00687A8B">
        <w:t xml:space="preserve">expected to be </w:t>
      </w:r>
      <w:r w:rsidR="00244206">
        <w:t xml:space="preserve">in the single risk pool </w:t>
      </w:r>
      <w:r w:rsidR="00C60540">
        <w:t>(with all necessary adjustments to reflect the benefits, market rules, etc</w:t>
      </w:r>
      <w:r w:rsidR="00687A8B">
        <w:t>. applicable to policies upon issue or renewal during the projection period</w:t>
      </w:r>
      <w:r w:rsidR="00C60540">
        <w:t>)</w:t>
      </w:r>
      <w:r w:rsidR="0078277B">
        <w:t>.</w:t>
      </w:r>
      <w:r w:rsidR="00C60540">
        <w:t xml:space="preserve"> </w:t>
      </w:r>
      <w:r w:rsidR="00F71B90">
        <w:t xml:space="preserve"> </w:t>
      </w:r>
      <w:r w:rsidR="0078277B">
        <w:t xml:space="preserve">For transitional policies, the issuer should include those policies anticipated to be enrolled in a </w:t>
      </w:r>
      <w:r w:rsidR="001506C4">
        <w:t xml:space="preserve">single risk pool </w:t>
      </w:r>
      <w:r w:rsidR="00E35018">
        <w:t xml:space="preserve">plan </w:t>
      </w:r>
      <w:r w:rsidR="0078277B">
        <w:t>during the projection period</w:t>
      </w:r>
      <w:r w:rsidR="00AC0AFD">
        <w:t xml:space="preserve"> at a point when the members in these plans move to </w:t>
      </w:r>
      <w:r w:rsidR="001506C4">
        <w:t xml:space="preserve">non-single risk pool </w:t>
      </w:r>
      <w:r w:rsidR="00AC0AFD">
        <w:t>plan</w:t>
      </w:r>
      <w:r w:rsidR="0078277B">
        <w:t>.</w:t>
      </w:r>
      <w:r w:rsidR="00F71B90">
        <w:t xml:space="preserve"> </w:t>
      </w:r>
      <w:r w:rsidR="0078277B">
        <w:t xml:space="preserve"> </w:t>
      </w:r>
      <w:r w:rsidR="00565266">
        <w:t>If an issuer wants the renewal rates to increase with trend</w:t>
      </w:r>
      <w:r w:rsidR="0079310B">
        <w:t xml:space="preserve"> in the small group market</w:t>
      </w:r>
      <w:r w:rsidR="00565266">
        <w:t xml:space="preserve"> </w:t>
      </w:r>
      <w:r w:rsidR="0079310B">
        <w:t xml:space="preserve">as allowed by the state regulatory authority, </w:t>
      </w:r>
      <w:r w:rsidR="00565266">
        <w:t xml:space="preserve">the issuer may file </w:t>
      </w:r>
      <w:r w:rsidR="0079310B">
        <w:t xml:space="preserve">the quarterly trend amounts for the </w:t>
      </w:r>
      <w:r w:rsidR="00185AC3">
        <w:t>remainder of the calendar year</w:t>
      </w:r>
      <w:r w:rsidR="0079310B">
        <w:t xml:space="preserve"> at one time. </w:t>
      </w:r>
      <w:r w:rsidR="00F71B90">
        <w:t xml:space="preserve"> </w:t>
      </w:r>
      <w:r w:rsidR="0079310B">
        <w:t xml:space="preserve">The quarterly trend factors applied to the issuer’s rates should be included in the Actuarial Memorandum. </w:t>
      </w:r>
    </w:p>
    <w:p w14:paraId="647CF846" w14:textId="14EE77BF" w:rsidR="00E26248" w:rsidRDefault="00CD5D08" w:rsidP="00E26248">
      <w:pPr>
        <w:tabs>
          <w:tab w:val="left" w:pos="8820"/>
        </w:tabs>
      </w:pPr>
      <w:r>
        <w:t>T</w:t>
      </w:r>
      <w:r w:rsidR="008D7A9B">
        <w:t xml:space="preserve">he </w:t>
      </w:r>
      <w:r w:rsidR="00D47158">
        <w:t>Index Rate</w:t>
      </w:r>
      <w:r w:rsidR="008D7A9B">
        <w:t xml:space="preserve"> may only change at uniform interval</w:t>
      </w:r>
      <w:r>
        <w:t>s</w:t>
      </w:r>
      <w:r w:rsidR="008D7A9B">
        <w:t>.</w:t>
      </w:r>
      <w:r w:rsidR="00F71B90">
        <w:t xml:space="preserve"> </w:t>
      </w:r>
      <w:r w:rsidR="008D7A9B">
        <w:t xml:space="preserve"> </w:t>
      </w:r>
      <w:r w:rsidR="00E26248">
        <w:t>All issuers are required to set the Index Rate for an effective date of January 1 of each year, and file the Index Rate with the applicable regulatory authority.</w:t>
      </w:r>
      <w:r w:rsidR="00F71B90">
        <w:t xml:space="preserve"> </w:t>
      </w:r>
      <w:r w:rsidR="00E26248">
        <w:t xml:space="preserve"> Subject to state requirements, small group issuers are allowed to file subsequent submissions that reset the Index Rate for the remaining quarters of the calendar year.</w:t>
      </w:r>
    </w:p>
    <w:p w14:paraId="294D830D" w14:textId="77777777" w:rsidR="00BD465E" w:rsidRDefault="00BD465E" w:rsidP="00593B2E">
      <w:pPr>
        <w:pStyle w:val="Heading4"/>
      </w:pPr>
      <w:r>
        <w:t xml:space="preserve">Small Group Quarterly Rate Filings </w:t>
      </w:r>
    </w:p>
    <w:p w14:paraId="1DA95999" w14:textId="37318E90" w:rsidR="008D7A9B" w:rsidRDefault="00C243FE" w:rsidP="00755671">
      <w:pPr>
        <w:pStyle w:val="BodyText"/>
      </w:pPr>
      <w:r>
        <w:t xml:space="preserve">Rate adjustments for the small group market may be filed on a quarterly basis if permitted by the state. </w:t>
      </w:r>
      <w:r w:rsidR="00224534">
        <w:t xml:space="preserve"> </w:t>
      </w:r>
      <w:r w:rsidR="00BD465E">
        <w:t>T</w:t>
      </w:r>
      <w:r w:rsidR="00EE1148">
        <w:t xml:space="preserve">hese </w:t>
      </w:r>
      <w:r w:rsidR="00C44E28">
        <w:t xml:space="preserve">quarterly </w:t>
      </w:r>
      <w:r>
        <w:t>filings may</w:t>
      </w:r>
      <w:r w:rsidR="00BD465E">
        <w:t xml:space="preserve"> </w:t>
      </w:r>
      <w:r w:rsidR="00EE1148">
        <w:t xml:space="preserve">include adjustments for other items, such as new products, </w:t>
      </w:r>
      <w:r w:rsidR="00CF41E8">
        <w:t xml:space="preserve">more recent experience period claims, </w:t>
      </w:r>
      <w:r w:rsidR="00EE1148">
        <w:t xml:space="preserve">etc. </w:t>
      </w:r>
      <w:r w:rsidR="00224534">
        <w:t xml:space="preserve"> </w:t>
      </w:r>
      <w:r w:rsidR="00EE1148">
        <w:t xml:space="preserve">However, the rate development for these interim filings must be based on the single risk pool. </w:t>
      </w:r>
      <w:r w:rsidR="00224534">
        <w:t xml:space="preserve"> </w:t>
      </w:r>
      <w:r w:rsidR="008D7A9B">
        <w:t xml:space="preserve">For example, take an </w:t>
      </w:r>
      <w:r w:rsidR="00EB4353">
        <w:t xml:space="preserve">issuer </w:t>
      </w:r>
      <w:r w:rsidR="008D7A9B">
        <w:t>with two cohorts of small employers</w:t>
      </w:r>
      <w:r w:rsidR="00CF41E8" w:rsidRPr="00CF41E8">
        <w:t xml:space="preserve"> </w:t>
      </w:r>
      <w:r w:rsidR="00CF41E8">
        <w:t>that files on an interim quarterly basis</w:t>
      </w:r>
      <w:r w:rsidR="008D7A9B">
        <w:t xml:space="preserve">. </w:t>
      </w:r>
      <w:r w:rsidR="00224534">
        <w:t xml:space="preserve"> </w:t>
      </w:r>
      <w:r w:rsidR="008D7A9B">
        <w:t xml:space="preserve">The small employers with young enrollees renew in January, while the small employers with older enrollees renew in April. </w:t>
      </w:r>
      <w:r w:rsidR="00224534">
        <w:t xml:space="preserve"> </w:t>
      </w:r>
      <w:r w:rsidR="008D7A9B">
        <w:t xml:space="preserve">The issuer’s </w:t>
      </w:r>
      <w:r w:rsidR="00D47158">
        <w:t>Index Rate</w:t>
      </w:r>
      <w:r w:rsidR="008D7A9B">
        <w:t xml:space="preserve"> in the applicable </w:t>
      </w:r>
      <w:r w:rsidR="00EB4353">
        <w:t xml:space="preserve">submissions </w:t>
      </w:r>
      <w:r w:rsidR="008D7A9B">
        <w:t xml:space="preserve">would be derived as follows (assuming the same experience period is used for the two submissions with no projected changes to the population between the experience period and the </w:t>
      </w:r>
      <w:r w:rsidR="00EB4353">
        <w:t xml:space="preserve">projection </w:t>
      </w:r>
      <w:r w:rsidR="008D7A9B">
        <w:t>period):</w:t>
      </w:r>
    </w:p>
    <w:tbl>
      <w:tblPr>
        <w:tblStyle w:val="MediumGrid3-Accent1"/>
        <w:tblW w:w="0" w:type="auto"/>
        <w:tblLook w:val="04A0" w:firstRow="1" w:lastRow="0" w:firstColumn="1" w:lastColumn="0" w:noHBand="0" w:noVBand="1"/>
        <w:tblCaption w:val="Example Method for Small Group Issuer to Calculate the Index Rate"/>
        <w:tblDescription w:val="The table illustrates an example of a method a small group issuer could use to calculate its index rate.  The example is described in the text immediately following the table."/>
      </w:tblPr>
      <w:tblGrid>
        <w:gridCol w:w="4930"/>
        <w:gridCol w:w="1563"/>
        <w:gridCol w:w="1438"/>
        <w:gridCol w:w="1409"/>
      </w:tblGrid>
      <w:tr w:rsidR="008D7A9B" w14:paraId="570CFEA1" w14:textId="77777777" w:rsidTr="00AC094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04DF0E30" w14:textId="77777777" w:rsidR="008D7A9B" w:rsidRDefault="008D7A9B" w:rsidP="00755671">
            <w:pPr>
              <w:pStyle w:val="BodyText"/>
            </w:pPr>
          </w:p>
        </w:tc>
        <w:tc>
          <w:tcPr>
            <w:tcW w:w="0" w:type="auto"/>
          </w:tcPr>
          <w:p w14:paraId="7C30057A" w14:textId="35BD00B9" w:rsidR="008D7A9B" w:rsidRDefault="008D7A9B" w:rsidP="00755671">
            <w:pPr>
              <w:pStyle w:val="BodyText"/>
              <w:cnfStyle w:val="100000000000" w:firstRow="1" w:lastRow="0" w:firstColumn="0" w:lastColumn="0" w:oddVBand="0" w:evenVBand="0" w:oddHBand="0" w:evenHBand="0" w:firstRowFirstColumn="0" w:firstRowLastColumn="0" w:lastRowFirstColumn="0" w:lastRowLastColumn="0"/>
            </w:pPr>
            <w:r>
              <w:t xml:space="preserve">January </w:t>
            </w:r>
            <w:r w:rsidR="006B76C4">
              <w:t>E</w:t>
            </w:r>
            <w:r>
              <w:t xml:space="preserve">ffective </w:t>
            </w:r>
            <w:r w:rsidR="006B76C4">
              <w:t>D</w:t>
            </w:r>
            <w:r>
              <w:t>ate</w:t>
            </w:r>
          </w:p>
        </w:tc>
        <w:tc>
          <w:tcPr>
            <w:tcW w:w="0" w:type="auto"/>
          </w:tcPr>
          <w:p w14:paraId="594F0272" w14:textId="2F989C7B" w:rsidR="008D7A9B" w:rsidRDefault="008D7A9B" w:rsidP="00755671">
            <w:pPr>
              <w:pStyle w:val="BodyText"/>
              <w:cnfStyle w:val="100000000000" w:firstRow="1" w:lastRow="0" w:firstColumn="0" w:lastColumn="0" w:oddVBand="0" w:evenVBand="0" w:oddHBand="0" w:evenHBand="0" w:firstRowFirstColumn="0" w:firstRowLastColumn="0" w:lastRowFirstColumn="0" w:lastRowLastColumn="0"/>
            </w:pPr>
            <w:r>
              <w:t xml:space="preserve">April </w:t>
            </w:r>
            <w:r w:rsidR="006B76C4">
              <w:t>E</w:t>
            </w:r>
            <w:r>
              <w:t xml:space="preserve">ffective </w:t>
            </w:r>
            <w:r w:rsidR="006B76C4">
              <w:t>D</w:t>
            </w:r>
            <w:r>
              <w:t>ate</w:t>
            </w:r>
          </w:p>
        </w:tc>
        <w:tc>
          <w:tcPr>
            <w:tcW w:w="0" w:type="auto"/>
          </w:tcPr>
          <w:p w14:paraId="471DA342" w14:textId="77777777" w:rsidR="008D7A9B" w:rsidRDefault="008D7A9B" w:rsidP="00755671">
            <w:pPr>
              <w:pStyle w:val="BodyText"/>
              <w:cnfStyle w:val="100000000000" w:firstRow="1" w:lastRow="0" w:firstColumn="0" w:lastColumn="0" w:oddVBand="0" w:evenVBand="0" w:oddHBand="0" w:evenHBand="0" w:firstRowFirstColumn="0" w:firstRowLastColumn="0" w:lastRowFirstColumn="0" w:lastRowLastColumn="0"/>
            </w:pPr>
            <w:r>
              <w:t>Total Single Risk Pool</w:t>
            </w:r>
          </w:p>
        </w:tc>
      </w:tr>
      <w:tr w:rsidR="008D7A9B" w14:paraId="7B865362" w14:textId="77777777" w:rsidTr="002A4C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89156A8" w14:textId="7871A71B" w:rsidR="008D7A9B" w:rsidRDefault="008D7A9B" w:rsidP="00544F61">
            <w:pPr>
              <w:pStyle w:val="BodyText"/>
            </w:pPr>
            <w:r>
              <w:t>Member Months (</w:t>
            </w:r>
            <w:r w:rsidR="00544F61">
              <w:t>2015</w:t>
            </w:r>
            <w:r>
              <w:t>)</w:t>
            </w:r>
          </w:p>
        </w:tc>
        <w:tc>
          <w:tcPr>
            <w:tcW w:w="0" w:type="auto"/>
          </w:tcPr>
          <w:p w14:paraId="6AB641A5" w14:textId="77777777" w:rsidR="008D7A9B" w:rsidRDefault="008D7A9B" w:rsidP="00755671">
            <w:pPr>
              <w:pStyle w:val="BodyText"/>
              <w:cnfStyle w:val="000000100000" w:firstRow="0" w:lastRow="0" w:firstColumn="0" w:lastColumn="0" w:oddVBand="0" w:evenVBand="0" w:oddHBand="1" w:evenHBand="0" w:firstRowFirstColumn="0" w:firstRowLastColumn="0" w:lastRowFirstColumn="0" w:lastRowLastColumn="0"/>
            </w:pPr>
            <w:r>
              <w:t>1000</w:t>
            </w:r>
          </w:p>
        </w:tc>
        <w:tc>
          <w:tcPr>
            <w:tcW w:w="0" w:type="auto"/>
          </w:tcPr>
          <w:p w14:paraId="6D01563E" w14:textId="77777777" w:rsidR="008D7A9B" w:rsidRDefault="008D7A9B" w:rsidP="00755671">
            <w:pPr>
              <w:pStyle w:val="BodyText"/>
              <w:cnfStyle w:val="000000100000" w:firstRow="0" w:lastRow="0" w:firstColumn="0" w:lastColumn="0" w:oddVBand="0" w:evenVBand="0" w:oddHBand="1" w:evenHBand="0" w:firstRowFirstColumn="0" w:firstRowLastColumn="0" w:lastRowFirstColumn="0" w:lastRowLastColumn="0"/>
            </w:pPr>
            <w:r>
              <w:t>1000</w:t>
            </w:r>
          </w:p>
        </w:tc>
        <w:tc>
          <w:tcPr>
            <w:tcW w:w="0" w:type="auto"/>
          </w:tcPr>
          <w:p w14:paraId="675679AA" w14:textId="77777777" w:rsidR="008D7A9B" w:rsidRDefault="008D7A9B" w:rsidP="00755671">
            <w:pPr>
              <w:pStyle w:val="BodyText"/>
              <w:cnfStyle w:val="000000100000" w:firstRow="0" w:lastRow="0" w:firstColumn="0" w:lastColumn="0" w:oddVBand="0" w:evenVBand="0" w:oddHBand="1" w:evenHBand="0" w:firstRowFirstColumn="0" w:firstRowLastColumn="0" w:lastRowFirstColumn="0" w:lastRowLastColumn="0"/>
            </w:pPr>
            <w:r>
              <w:t>2000</w:t>
            </w:r>
          </w:p>
        </w:tc>
      </w:tr>
      <w:tr w:rsidR="008D7A9B" w14:paraId="35603379" w14:textId="77777777" w:rsidTr="002A4CEB">
        <w:tc>
          <w:tcPr>
            <w:cnfStyle w:val="001000000000" w:firstRow="0" w:lastRow="0" w:firstColumn="1" w:lastColumn="0" w:oddVBand="0" w:evenVBand="0" w:oddHBand="0" w:evenHBand="0" w:firstRowFirstColumn="0" w:firstRowLastColumn="0" w:lastRowFirstColumn="0" w:lastRowLastColumn="0"/>
            <w:tcW w:w="0" w:type="auto"/>
          </w:tcPr>
          <w:p w14:paraId="6B39D4A1" w14:textId="61A79942" w:rsidR="008D7A9B" w:rsidRDefault="008D7A9B" w:rsidP="00544F61">
            <w:pPr>
              <w:pStyle w:val="BodyText"/>
            </w:pPr>
            <w:r>
              <w:t>Base Allowed Claims (</w:t>
            </w:r>
            <w:r w:rsidR="00544F61">
              <w:t>2015</w:t>
            </w:r>
            <w:r>
              <w:t>) PMPM</w:t>
            </w:r>
          </w:p>
        </w:tc>
        <w:tc>
          <w:tcPr>
            <w:tcW w:w="0" w:type="auto"/>
          </w:tcPr>
          <w:p w14:paraId="249F1269" w14:textId="77777777" w:rsidR="008D7A9B" w:rsidRDefault="008D7A9B" w:rsidP="00755671">
            <w:pPr>
              <w:pStyle w:val="BodyText"/>
              <w:cnfStyle w:val="000000000000" w:firstRow="0" w:lastRow="0" w:firstColumn="0" w:lastColumn="0" w:oddVBand="0" w:evenVBand="0" w:oddHBand="0" w:evenHBand="0" w:firstRowFirstColumn="0" w:firstRowLastColumn="0" w:lastRowFirstColumn="0" w:lastRowLastColumn="0"/>
            </w:pPr>
            <w:r>
              <w:t>$250</w:t>
            </w:r>
          </w:p>
        </w:tc>
        <w:tc>
          <w:tcPr>
            <w:tcW w:w="0" w:type="auto"/>
          </w:tcPr>
          <w:p w14:paraId="05920B9B" w14:textId="77777777" w:rsidR="008D7A9B" w:rsidRDefault="008D7A9B" w:rsidP="00755671">
            <w:pPr>
              <w:pStyle w:val="BodyText"/>
              <w:cnfStyle w:val="000000000000" w:firstRow="0" w:lastRow="0" w:firstColumn="0" w:lastColumn="0" w:oddVBand="0" w:evenVBand="0" w:oddHBand="0" w:evenHBand="0" w:firstRowFirstColumn="0" w:firstRowLastColumn="0" w:lastRowFirstColumn="0" w:lastRowLastColumn="0"/>
            </w:pPr>
            <w:r>
              <w:t>$400</w:t>
            </w:r>
          </w:p>
        </w:tc>
        <w:tc>
          <w:tcPr>
            <w:tcW w:w="0" w:type="auto"/>
          </w:tcPr>
          <w:p w14:paraId="4ED3FB65" w14:textId="77777777" w:rsidR="008D7A9B" w:rsidRDefault="008D7A9B" w:rsidP="00755671">
            <w:pPr>
              <w:pStyle w:val="BodyText"/>
              <w:cnfStyle w:val="000000000000" w:firstRow="0" w:lastRow="0" w:firstColumn="0" w:lastColumn="0" w:oddVBand="0" w:evenVBand="0" w:oddHBand="0" w:evenHBand="0" w:firstRowFirstColumn="0" w:firstRowLastColumn="0" w:lastRowFirstColumn="0" w:lastRowLastColumn="0"/>
            </w:pPr>
            <w:r>
              <w:t>$325</w:t>
            </w:r>
          </w:p>
        </w:tc>
      </w:tr>
      <w:tr w:rsidR="008D7A9B" w14:paraId="0023D5FF" w14:textId="77777777" w:rsidTr="00AC0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6A3845F" w14:textId="77777777" w:rsidR="008D7A9B" w:rsidRDefault="008D7A9B" w:rsidP="00755671">
            <w:pPr>
              <w:pStyle w:val="BodyText"/>
            </w:pPr>
            <w:r>
              <w:t>Months of Trend</w:t>
            </w:r>
          </w:p>
        </w:tc>
        <w:tc>
          <w:tcPr>
            <w:tcW w:w="0" w:type="auto"/>
          </w:tcPr>
          <w:p w14:paraId="0A19FB12" w14:textId="77777777" w:rsidR="008D7A9B" w:rsidRDefault="008D7A9B" w:rsidP="00755671">
            <w:pPr>
              <w:pStyle w:val="BodyText"/>
              <w:cnfStyle w:val="000000100000" w:firstRow="0" w:lastRow="0" w:firstColumn="0" w:lastColumn="0" w:oddVBand="0" w:evenVBand="0" w:oddHBand="1" w:evenHBand="0" w:firstRowFirstColumn="0" w:firstRowLastColumn="0" w:lastRowFirstColumn="0" w:lastRowLastColumn="0"/>
            </w:pPr>
            <w:r>
              <w:t>24</w:t>
            </w:r>
          </w:p>
        </w:tc>
        <w:tc>
          <w:tcPr>
            <w:tcW w:w="0" w:type="auto"/>
          </w:tcPr>
          <w:p w14:paraId="21C18AC0" w14:textId="77777777" w:rsidR="008D7A9B" w:rsidRDefault="008D7A9B" w:rsidP="00755671">
            <w:pPr>
              <w:pStyle w:val="BodyText"/>
              <w:cnfStyle w:val="000000100000" w:firstRow="0" w:lastRow="0" w:firstColumn="0" w:lastColumn="0" w:oddVBand="0" w:evenVBand="0" w:oddHBand="1" w:evenHBand="0" w:firstRowFirstColumn="0" w:firstRowLastColumn="0" w:lastRowFirstColumn="0" w:lastRowLastColumn="0"/>
            </w:pPr>
            <w:r>
              <w:t>27</w:t>
            </w:r>
          </w:p>
        </w:tc>
        <w:tc>
          <w:tcPr>
            <w:tcW w:w="0" w:type="auto"/>
          </w:tcPr>
          <w:p w14:paraId="18F4BDD8" w14:textId="77777777" w:rsidR="008D7A9B" w:rsidRDefault="008D7A9B" w:rsidP="00755671">
            <w:pPr>
              <w:pStyle w:val="BodyText"/>
              <w:cnfStyle w:val="000000100000" w:firstRow="0" w:lastRow="0" w:firstColumn="0" w:lastColumn="0" w:oddVBand="0" w:evenVBand="0" w:oddHBand="1" w:evenHBand="0" w:firstRowFirstColumn="0" w:firstRowLastColumn="0" w:lastRowFirstColumn="0" w:lastRowLastColumn="0"/>
            </w:pPr>
          </w:p>
        </w:tc>
      </w:tr>
      <w:tr w:rsidR="008D7A9B" w14:paraId="0B398348" w14:textId="77777777" w:rsidTr="00AC0942">
        <w:tc>
          <w:tcPr>
            <w:cnfStyle w:val="001000000000" w:firstRow="0" w:lastRow="0" w:firstColumn="1" w:lastColumn="0" w:oddVBand="0" w:evenVBand="0" w:oddHBand="0" w:evenHBand="0" w:firstRowFirstColumn="0" w:firstRowLastColumn="0" w:lastRowFirstColumn="0" w:lastRowLastColumn="0"/>
            <w:tcW w:w="0" w:type="auto"/>
          </w:tcPr>
          <w:p w14:paraId="79D558E5" w14:textId="77777777" w:rsidR="008D7A9B" w:rsidRDefault="008D7A9B" w:rsidP="00755671">
            <w:pPr>
              <w:pStyle w:val="BodyText"/>
            </w:pPr>
            <w:r>
              <w:t>Annual Trend Rate</w:t>
            </w:r>
          </w:p>
        </w:tc>
        <w:tc>
          <w:tcPr>
            <w:tcW w:w="0" w:type="auto"/>
          </w:tcPr>
          <w:p w14:paraId="08C0516B" w14:textId="77777777" w:rsidR="008D7A9B" w:rsidRDefault="008D7A9B" w:rsidP="00755671">
            <w:pPr>
              <w:pStyle w:val="BodyText"/>
              <w:cnfStyle w:val="000000000000" w:firstRow="0" w:lastRow="0" w:firstColumn="0" w:lastColumn="0" w:oddVBand="0" w:evenVBand="0" w:oddHBand="0" w:evenHBand="0" w:firstRowFirstColumn="0" w:firstRowLastColumn="0" w:lastRowFirstColumn="0" w:lastRowLastColumn="0"/>
            </w:pPr>
            <w:r>
              <w:t>5%</w:t>
            </w:r>
          </w:p>
        </w:tc>
        <w:tc>
          <w:tcPr>
            <w:tcW w:w="0" w:type="auto"/>
          </w:tcPr>
          <w:p w14:paraId="550019E9" w14:textId="77777777" w:rsidR="008D7A9B" w:rsidRDefault="008D7A9B" w:rsidP="00755671">
            <w:pPr>
              <w:pStyle w:val="BodyText"/>
              <w:cnfStyle w:val="000000000000" w:firstRow="0" w:lastRow="0" w:firstColumn="0" w:lastColumn="0" w:oddVBand="0" w:evenVBand="0" w:oddHBand="0" w:evenHBand="0" w:firstRowFirstColumn="0" w:firstRowLastColumn="0" w:lastRowFirstColumn="0" w:lastRowLastColumn="0"/>
            </w:pPr>
            <w:r>
              <w:t>5%</w:t>
            </w:r>
          </w:p>
        </w:tc>
        <w:tc>
          <w:tcPr>
            <w:tcW w:w="0" w:type="auto"/>
          </w:tcPr>
          <w:p w14:paraId="7FEEE7A4" w14:textId="77777777" w:rsidR="008D7A9B" w:rsidRDefault="008D7A9B" w:rsidP="00755671">
            <w:pPr>
              <w:pStyle w:val="BodyText"/>
              <w:cnfStyle w:val="000000000000" w:firstRow="0" w:lastRow="0" w:firstColumn="0" w:lastColumn="0" w:oddVBand="0" w:evenVBand="0" w:oddHBand="0" w:evenHBand="0" w:firstRowFirstColumn="0" w:firstRowLastColumn="0" w:lastRowFirstColumn="0" w:lastRowLastColumn="0"/>
            </w:pPr>
          </w:p>
        </w:tc>
      </w:tr>
      <w:tr w:rsidR="008D7A9B" w14:paraId="6D3C99C9" w14:textId="77777777" w:rsidTr="00AC09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86E08A5" w14:textId="77777777" w:rsidR="008D7A9B" w:rsidRDefault="004600A1" w:rsidP="008D7A9B">
            <w:pPr>
              <w:pStyle w:val="BodyText"/>
            </w:pPr>
            <w:r>
              <w:t xml:space="preserve">Single Risk Pool </w:t>
            </w:r>
            <w:r w:rsidR="008D7A9B">
              <w:t xml:space="preserve">Projected Allowed Claims </w:t>
            </w:r>
            <w:r w:rsidRPr="00673212">
              <w:t>(=</w:t>
            </w:r>
            <w:r w:rsidR="00852E65" w:rsidRPr="00673212">
              <w:t>$</w:t>
            </w:r>
            <w:r w:rsidRPr="00673212">
              <w:t>325*(1+Annual Trend)^(Months of Trend/12))</w:t>
            </w:r>
          </w:p>
        </w:tc>
        <w:tc>
          <w:tcPr>
            <w:tcW w:w="0" w:type="auto"/>
          </w:tcPr>
          <w:p w14:paraId="704E7137" w14:textId="77777777" w:rsidR="008D7A9B" w:rsidRDefault="008D7A9B" w:rsidP="004600A1">
            <w:pPr>
              <w:pStyle w:val="BodyText"/>
              <w:cnfStyle w:val="000000100000" w:firstRow="0" w:lastRow="0" w:firstColumn="0" w:lastColumn="0" w:oddVBand="0" w:evenVBand="0" w:oddHBand="1" w:evenHBand="0" w:firstRowFirstColumn="0" w:firstRowLastColumn="0" w:lastRowFirstColumn="0" w:lastRowLastColumn="0"/>
            </w:pPr>
            <w:r>
              <w:t>$</w:t>
            </w:r>
            <w:r w:rsidR="004600A1">
              <w:t>358.31</w:t>
            </w:r>
          </w:p>
        </w:tc>
        <w:tc>
          <w:tcPr>
            <w:tcW w:w="0" w:type="auto"/>
          </w:tcPr>
          <w:p w14:paraId="0C5A2B91" w14:textId="77777777" w:rsidR="008D7A9B" w:rsidRDefault="008D7A9B" w:rsidP="004600A1">
            <w:pPr>
              <w:pStyle w:val="BodyText"/>
              <w:cnfStyle w:val="000000100000" w:firstRow="0" w:lastRow="0" w:firstColumn="0" w:lastColumn="0" w:oddVBand="0" w:evenVBand="0" w:oddHBand="1" w:evenHBand="0" w:firstRowFirstColumn="0" w:firstRowLastColumn="0" w:lastRowFirstColumn="0" w:lastRowLastColumn="0"/>
            </w:pPr>
            <w:r>
              <w:t>$</w:t>
            </w:r>
            <w:r w:rsidR="004600A1">
              <w:t>362.71</w:t>
            </w:r>
          </w:p>
        </w:tc>
        <w:tc>
          <w:tcPr>
            <w:tcW w:w="0" w:type="auto"/>
          </w:tcPr>
          <w:p w14:paraId="7A461265" w14:textId="77777777" w:rsidR="008D7A9B" w:rsidRDefault="008D7A9B" w:rsidP="00755671">
            <w:pPr>
              <w:pStyle w:val="BodyText"/>
              <w:cnfStyle w:val="000000100000" w:firstRow="0" w:lastRow="0" w:firstColumn="0" w:lastColumn="0" w:oddVBand="0" w:evenVBand="0" w:oddHBand="1" w:evenHBand="0" w:firstRowFirstColumn="0" w:firstRowLastColumn="0" w:lastRowFirstColumn="0" w:lastRowLastColumn="0"/>
            </w:pPr>
          </w:p>
        </w:tc>
      </w:tr>
      <w:tr w:rsidR="004600A1" w14:paraId="1B95DC12" w14:textId="77777777" w:rsidTr="00AC0942">
        <w:tc>
          <w:tcPr>
            <w:cnfStyle w:val="001000000000" w:firstRow="0" w:lastRow="0" w:firstColumn="1" w:lastColumn="0" w:oddVBand="0" w:evenVBand="0" w:oddHBand="0" w:evenHBand="0" w:firstRowFirstColumn="0" w:firstRowLastColumn="0" w:lastRowFirstColumn="0" w:lastRowLastColumn="0"/>
            <w:tcW w:w="0" w:type="auto"/>
          </w:tcPr>
          <w:p w14:paraId="48E49FD7" w14:textId="77777777" w:rsidR="004600A1" w:rsidRDefault="004600A1" w:rsidP="008D7A9B">
            <w:pPr>
              <w:pStyle w:val="BodyText"/>
            </w:pPr>
            <w:r>
              <w:t>Index Rate</w:t>
            </w:r>
          </w:p>
        </w:tc>
        <w:tc>
          <w:tcPr>
            <w:tcW w:w="0" w:type="auto"/>
          </w:tcPr>
          <w:p w14:paraId="05D4E3A2" w14:textId="77777777" w:rsidR="004600A1" w:rsidRDefault="004600A1" w:rsidP="00755671">
            <w:pPr>
              <w:pStyle w:val="BodyText"/>
              <w:cnfStyle w:val="000000000000" w:firstRow="0" w:lastRow="0" w:firstColumn="0" w:lastColumn="0" w:oddVBand="0" w:evenVBand="0" w:oddHBand="0" w:evenHBand="0" w:firstRowFirstColumn="0" w:firstRowLastColumn="0" w:lastRowFirstColumn="0" w:lastRowLastColumn="0"/>
            </w:pPr>
            <w:r>
              <w:t>$358.31</w:t>
            </w:r>
          </w:p>
        </w:tc>
        <w:tc>
          <w:tcPr>
            <w:tcW w:w="0" w:type="auto"/>
          </w:tcPr>
          <w:p w14:paraId="532D803D" w14:textId="77777777" w:rsidR="004600A1" w:rsidRDefault="004600A1" w:rsidP="00755671">
            <w:pPr>
              <w:pStyle w:val="BodyText"/>
              <w:cnfStyle w:val="000000000000" w:firstRow="0" w:lastRow="0" w:firstColumn="0" w:lastColumn="0" w:oddVBand="0" w:evenVBand="0" w:oddHBand="0" w:evenHBand="0" w:firstRowFirstColumn="0" w:firstRowLastColumn="0" w:lastRowFirstColumn="0" w:lastRowLastColumn="0"/>
            </w:pPr>
            <w:r>
              <w:t>$362.71</w:t>
            </w:r>
          </w:p>
        </w:tc>
        <w:tc>
          <w:tcPr>
            <w:tcW w:w="0" w:type="auto"/>
          </w:tcPr>
          <w:p w14:paraId="139D7B74" w14:textId="77777777" w:rsidR="004600A1" w:rsidRDefault="004600A1" w:rsidP="00755671">
            <w:pPr>
              <w:pStyle w:val="BodyText"/>
              <w:cnfStyle w:val="000000000000" w:firstRow="0" w:lastRow="0" w:firstColumn="0" w:lastColumn="0" w:oddVBand="0" w:evenVBand="0" w:oddHBand="0" w:evenHBand="0" w:firstRowFirstColumn="0" w:firstRowLastColumn="0" w:lastRowFirstColumn="0" w:lastRowLastColumn="0"/>
            </w:pPr>
          </w:p>
        </w:tc>
      </w:tr>
    </w:tbl>
    <w:p w14:paraId="5F286A97" w14:textId="77777777" w:rsidR="004600A1" w:rsidRDefault="004600A1" w:rsidP="00755671">
      <w:pPr>
        <w:pStyle w:val="BodyText"/>
      </w:pPr>
      <w:r>
        <w:t xml:space="preserve">As shown in the table above, the </w:t>
      </w:r>
      <w:r w:rsidR="00BF6BDD">
        <w:t xml:space="preserve">projected </w:t>
      </w:r>
      <w:r w:rsidR="00D47158">
        <w:t>Index Rate</w:t>
      </w:r>
      <w:r>
        <w:t xml:space="preserve"> is based on the </w:t>
      </w:r>
      <w:r w:rsidR="00BF6BDD">
        <w:t xml:space="preserve">weighted </w:t>
      </w:r>
      <w:r>
        <w:t>average claims, benefit mix, demographic mix, etc. of the entire single risk pool, even if it is only submitted to be effective for a portion of the single risk pool (e.g., one quarter of renewals).</w:t>
      </w:r>
    </w:p>
    <w:p w14:paraId="2C8E0AB5" w14:textId="77777777" w:rsidR="00D9557E" w:rsidRDefault="00C243FE" w:rsidP="00755671">
      <w:pPr>
        <w:pStyle w:val="BodyText"/>
      </w:pPr>
      <w:r>
        <w:t>The</w:t>
      </w:r>
      <w:r w:rsidR="00D9557E">
        <w:t xml:space="preserve"> change in the Index Rate is only allowed to occur for the remainder of the </w:t>
      </w:r>
      <w:r w:rsidR="00046406">
        <w:t xml:space="preserve">calendar </w:t>
      </w:r>
      <w:r w:rsidR="00D9557E">
        <w:t>year and subsequent submission is required at the beginning of the next calendar year.</w:t>
      </w:r>
    </w:p>
    <w:p w14:paraId="603D9226" w14:textId="6D3A6548" w:rsidR="00D9557E" w:rsidRDefault="00D9557E" w:rsidP="00593B2E">
      <w:pPr>
        <w:pStyle w:val="BodyText"/>
      </w:pPr>
      <w:r>
        <w:t xml:space="preserve">For example, if a small group issuer submits the </w:t>
      </w:r>
      <w:r w:rsidR="00333B85">
        <w:t>URRT</w:t>
      </w:r>
      <w:r>
        <w:t xml:space="preserve"> for January 1, they may submit a subsequent </w:t>
      </w:r>
      <w:r w:rsidR="00333B85">
        <w:t>URRT</w:t>
      </w:r>
      <w:r>
        <w:t xml:space="preserve"> that resets the Index Rate effective July 1 of that same year. </w:t>
      </w:r>
      <w:r w:rsidR="00224534">
        <w:t xml:space="preserve"> </w:t>
      </w:r>
      <w:r>
        <w:t xml:space="preserve">The </w:t>
      </w:r>
      <w:r w:rsidR="00333B85">
        <w:t>URRT</w:t>
      </w:r>
      <w:r>
        <w:t xml:space="preserve"> effective July 1 in this example is only allowed to contain a trend increase for October 1 of that same year. </w:t>
      </w:r>
      <w:r w:rsidR="00224534">
        <w:t xml:space="preserve"> </w:t>
      </w:r>
      <w:r>
        <w:t>Quarters after October 1</w:t>
      </w:r>
      <w:r w:rsidR="00E24794">
        <w:t xml:space="preserve"> would be included in the next annual submission effective January 1 of the next calendar year.</w:t>
      </w:r>
    </w:p>
    <w:p w14:paraId="351CB830" w14:textId="77777777" w:rsidR="00BD465E" w:rsidRPr="00D95236" w:rsidRDefault="00BD465E" w:rsidP="00053087">
      <w:pPr>
        <w:pStyle w:val="BodyText"/>
      </w:pPr>
      <w:r>
        <w:t>See Appendix A for more guidance on quarterly rate filings in the small group market.</w:t>
      </w:r>
    </w:p>
    <w:p w14:paraId="29D2D0FF" w14:textId="77777777" w:rsidR="00D9217E" w:rsidRDefault="00D9217E" w:rsidP="00926D0E">
      <w:pPr>
        <w:pStyle w:val="Heading3"/>
      </w:pPr>
      <w:bookmarkStart w:id="707" w:name="_Toc411347503"/>
      <w:bookmarkStart w:id="708" w:name="_Toc411523395"/>
      <w:bookmarkStart w:id="709" w:name="_Toc411866115"/>
      <w:bookmarkStart w:id="710" w:name="_Toc411866633"/>
      <w:bookmarkStart w:id="711" w:name="_Toc412032801"/>
      <w:bookmarkStart w:id="712" w:name="_Toc411936273"/>
      <w:bookmarkStart w:id="713" w:name="_Toc412287683"/>
      <w:bookmarkStart w:id="714" w:name="_Toc441756527"/>
      <w:r>
        <w:t>Market Adjusted Index Rate</w:t>
      </w:r>
      <w:bookmarkEnd w:id="707"/>
      <w:bookmarkEnd w:id="708"/>
      <w:bookmarkEnd w:id="709"/>
      <w:bookmarkEnd w:id="710"/>
      <w:bookmarkEnd w:id="711"/>
      <w:bookmarkEnd w:id="712"/>
      <w:bookmarkEnd w:id="713"/>
      <w:bookmarkEnd w:id="714"/>
    </w:p>
    <w:p w14:paraId="17A88C06" w14:textId="77777777" w:rsidR="00D9217E" w:rsidRDefault="00D9217E" w:rsidP="00D9217E">
      <w:pPr>
        <w:pStyle w:val="BodyText"/>
      </w:pPr>
      <w:r>
        <w:t>Issuers are required to include the Market Adjusted Index Rate</w:t>
      </w:r>
      <w:r w:rsidR="00D43A75">
        <w:t>.</w:t>
      </w:r>
      <w:r>
        <w:t xml:space="preserve"> </w:t>
      </w:r>
    </w:p>
    <w:p w14:paraId="38107D4D" w14:textId="108A4828" w:rsidR="00D9217E" w:rsidRDefault="00D9217E" w:rsidP="00D9217E">
      <w:pPr>
        <w:pStyle w:val="BodyText"/>
      </w:pPr>
      <w:r>
        <w:t xml:space="preserve">The Market Adjusted Index </w:t>
      </w:r>
      <w:r w:rsidR="005122DB">
        <w:t>R</w:t>
      </w:r>
      <w:r>
        <w:t>ate is calculated as the Index Rate adjusted for all allowable market</w:t>
      </w:r>
      <w:r w:rsidR="007E051D">
        <w:t>-</w:t>
      </w:r>
      <w:r>
        <w:t xml:space="preserve">wide modifiers defined in the market rating rules, 45 CFR 156.80(d)(1). </w:t>
      </w:r>
      <w:r w:rsidR="00224534">
        <w:t xml:space="preserve"> </w:t>
      </w:r>
      <w:r>
        <w:t xml:space="preserve">The following </w:t>
      </w:r>
      <w:r w:rsidR="007E051D">
        <w:t xml:space="preserve">market-wide </w:t>
      </w:r>
      <w:r>
        <w:t xml:space="preserve">adjustments </w:t>
      </w:r>
      <w:r w:rsidR="007E051D">
        <w:t xml:space="preserve">to the Index Rate </w:t>
      </w:r>
      <w:r>
        <w:t>are allowable under th</w:t>
      </w:r>
      <w:r w:rsidR="007E051D">
        <w:t>e</w:t>
      </w:r>
      <w:r>
        <w:t>s</w:t>
      </w:r>
      <w:r w:rsidR="007E051D">
        <w:t>e</w:t>
      </w:r>
      <w:r>
        <w:t xml:space="preserve"> rule</w:t>
      </w:r>
      <w:r w:rsidR="007E051D">
        <w:t>s</w:t>
      </w:r>
      <w:r>
        <w:t>:</w:t>
      </w:r>
    </w:p>
    <w:p w14:paraId="6BA3B282" w14:textId="49A1C9AB" w:rsidR="00D9217E" w:rsidRDefault="00D9217E" w:rsidP="006723F5">
      <w:pPr>
        <w:pStyle w:val="BodyText"/>
        <w:numPr>
          <w:ilvl w:val="0"/>
          <w:numId w:val="27"/>
        </w:numPr>
      </w:pPr>
      <w:r>
        <w:t>Federal reinsurance program adjustment</w:t>
      </w:r>
      <w:r w:rsidR="00224534">
        <w:t xml:space="preserve">, although this </w:t>
      </w:r>
      <w:r w:rsidR="009B1768">
        <w:t>program has ended for</w:t>
      </w:r>
      <w:r w:rsidR="00224534">
        <w:t xml:space="preserve"> 2017</w:t>
      </w:r>
    </w:p>
    <w:p w14:paraId="020426A2" w14:textId="5370E255" w:rsidR="00D9217E" w:rsidRDefault="00D9217E" w:rsidP="006723F5">
      <w:pPr>
        <w:pStyle w:val="BodyText"/>
        <w:numPr>
          <w:ilvl w:val="0"/>
          <w:numId w:val="27"/>
        </w:numPr>
      </w:pPr>
      <w:r>
        <w:t>Risk adjustment</w:t>
      </w:r>
      <w:r w:rsidR="00391295">
        <w:t xml:space="preserve"> </w:t>
      </w:r>
      <w:proofErr w:type="spellStart"/>
      <w:r w:rsidR="00391295">
        <w:t>adjustment</w:t>
      </w:r>
      <w:proofErr w:type="spellEnd"/>
    </w:p>
    <w:p w14:paraId="744ABCA3" w14:textId="36E81D6C" w:rsidR="00D9217E" w:rsidRDefault="00DE6C09" w:rsidP="006723F5">
      <w:pPr>
        <w:pStyle w:val="BodyText"/>
        <w:numPr>
          <w:ilvl w:val="0"/>
          <w:numId w:val="27"/>
        </w:numPr>
      </w:pPr>
      <w:r>
        <w:t>Marketplace</w:t>
      </w:r>
      <w:r w:rsidR="00D9217E">
        <w:t xml:space="preserve"> user fee adjustment</w:t>
      </w:r>
    </w:p>
    <w:p w14:paraId="7233A45D" w14:textId="77777777" w:rsidR="00C44E28" w:rsidRDefault="00C44E28" w:rsidP="00D9217E">
      <w:pPr>
        <w:pStyle w:val="BodyText"/>
      </w:pPr>
      <w:r>
        <w:t>Since the Index Rate is on an allowed claims basis, the market level adjustments for the Federal reinsurance program, risk adjustment program</w:t>
      </w:r>
      <w:r w:rsidR="005122DB">
        <w:t>,</w:t>
      </w:r>
      <w:r>
        <w:t xml:space="preserve"> and the </w:t>
      </w:r>
      <w:r w:rsidR="00DE6C09">
        <w:t>Marketplace</w:t>
      </w:r>
      <w:r>
        <w:t xml:space="preserve"> user fees should be on an allowed basis.</w:t>
      </w:r>
    </w:p>
    <w:p w14:paraId="11BDBE16" w14:textId="44253528" w:rsidR="006A09B9" w:rsidRPr="00481A0B" w:rsidRDefault="00791615" w:rsidP="006A09B9">
      <w:pPr>
        <w:pStyle w:val="BodyText"/>
      </w:pPr>
      <w:r>
        <w:t xml:space="preserve">The issuer is required to provide an explanation of how these modifiers are developed and applied to the Index Rate to develop the Market Adjusted Index Rate.  </w:t>
      </w:r>
      <w:r w:rsidR="00D9217E">
        <w:t xml:space="preserve">Similar to the Index Rate, the Market Adjusted Index </w:t>
      </w:r>
      <w:r w:rsidR="007E051D">
        <w:t xml:space="preserve">Rate </w:t>
      </w:r>
      <w:r w:rsidR="00D9217E">
        <w:t>reflects the average demographic characteristics of the single risk pool</w:t>
      </w:r>
      <w:r w:rsidR="007E051D">
        <w:t>.</w:t>
      </w:r>
      <w:r w:rsidR="00D9217E">
        <w:t xml:space="preserve"> </w:t>
      </w:r>
      <w:r w:rsidR="00224534">
        <w:t xml:space="preserve"> </w:t>
      </w:r>
      <w:r w:rsidR="007E051D">
        <w:t>I</w:t>
      </w:r>
      <w:r w:rsidR="00D9217E">
        <w:t xml:space="preserve">n other </w:t>
      </w:r>
      <w:r w:rsidR="00D9217E" w:rsidRPr="00481A0B">
        <w:t xml:space="preserve">words, the </w:t>
      </w:r>
      <w:r w:rsidR="00897210" w:rsidRPr="00481A0B">
        <w:t xml:space="preserve">Market </w:t>
      </w:r>
      <w:r w:rsidR="00D9217E" w:rsidRPr="00481A0B">
        <w:t xml:space="preserve">Adjusted Index </w:t>
      </w:r>
      <w:r w:rsidR="007E051D" w:rsidRPr="00481A0B">
        <w:t>R</w:t>
      </w:r>
      <w:r w:rsidR="00D9217E" w:rsidRPr="00481A0B">
        <w:t xml:space="preserve">ate is not </w:t>
      </w:r>
      <w:r w:rsidR="00BF154D" w:rsidRPr="00481A0B">
        <w:t>calibrated</w:t>
      </w:r>
      <w:r w:rsidR="00D9217E" w:rsidRPr="00481A0B">
        <w:t>.</w:t>
      </w:r>
      <w:bookmarkStart w:id="715" w:name="_Toc436401763"/>
      <w:bookmarkEnd w:id="715"/>
    </w:p>
    <w:p w14:paraId="5F32AFE8" w14:textId="77777777" w:rsidR="00B81D15" w:rsidRDefault="00B81D15" w:rsidP="00926D0E">
      <w:pPr>
        <w:pStyle w:val="Heading3"/>
      </w:pPr>
      <w:bookmarkStart w:id="716" w:name="_Toc411347504"/>
      <w:bookmarkStart w:id="717" w:name="_Toc411523396"/>
      <w:bookmarkStart w:id="718" w:name="_Toc411866116"/>
      <w:bookmarkStart w:id="719" w:name="_Toc411866634"/>
      <w:bookmarkStart w:id="720" w:name="_Toc412032802"/>
      <w:bookmarkStart w:id="721" w:name="_Toc411936274"/>
      <w:bookmarkStart w:id="722" w:name="_Toc412287684"/>
      <w:bookmarkStart w:id="723" w:name="_Toc441756528"/>
      <w:r w:rsidRPr="00481A0B">
        <w:t>Plan Adjusted</w:t>
      </w:r>
      <w:r>
        <w:t xml:space="preserve"> Index Rates</w:t>
      </w:r>
      <w:bookmarkEnd w:id="716"/>
      <w:bookmarkEnd w:id="717"/>
      <w:bookmarkEnd w:id="718"/>
      <w:bookmarkEnd w:id="719"/>
      <w:bookmarkEnd w:id="720"/>
      <w:bookmarkEnd w:id="721"/>
      <w:bookmarkEnd w:id="722"/>
      <w:bookmarkEnd w:id="723"/>
    </w:p>
    <w:p w14:paraId="36933DB6" w14:textId="73F656FB" w:rsidR="00B81D15" w:rsidRDefault="00394628" w:rsidP="0079768A">
      <w:pPr>
        <w:pStyle w:val="BodyText"/>
      </w:pPr>
      <w:r>
        <w:t>T</w:t>
      </w:r>
      <w:r w:rsidR="00EB74E8">
        <w:t xml:space="preserve">he Plan Adjusted Index </w:t>
      </w:r>
      <w:r>
        <w:t>Rates</w:t>
      </w:r>
      <w:r w:rsidR="00533725">
        <w:t xml:space="preserve"> </w:t>
      </w:r>
      <w:r w:rsidR="00013A52">
        <w:t>f</w:t>
      </w:r>
      <w:r w:rsidR="00533725">
        <w:t>o</w:t>
      </w:r>
      <w:r w:rsidR="00013A52">
        <w:t>r the projection period</w:t>
      </w:r>
      <w:r>
        <w:t xml:space="preserve"> </w:t>
      </w:r>
      <w:r w:rsidR="00EB74E8">
        <w:t xml:space="preserve">are included in </w:t>
      </w:r>
      <w:r>
        <w:t xml:space="preserve">Worksheet 2, Section IV of the </w:t>
      </w:r>
      <w:r w:rsidR="00533C29">
        <w:t>URRT</w:t>
      </w:r>
      <w:r w:rsidR="00EB74E8">
        <w:t>.</w:t>
      </w:r>
      <w:r w:rsidR="00C62558">
        <w:t xml:space="preserve"> </w:t>
      </w:r>
    </w:p>
    <w:p w14:paraId="49B32E35" w14:textId="6451AF19" w:rsidR="00C62558" w:rsidRDefault="00C62558" w:rsidP="0079768A">
      <w:pPr>
        <w:pStyle w:val="BodyText"/>
      </w:pPr>
      <w:r>
        <w:t xml:space="preserve">The Plan Adjusted Index </w:t>
      </w:r>
      <w:r w:rsidR="000A63B1">
        <w:t xml:space="preserve">Rate </w:t>
      </w:r>
      <w:r>
        <w:t>is calculated as the issuer</w:t>
      </w:r>
      <w:r w:rsidR="007D317D">
        <w:t>’s</w:t>
      </w:r>
      <w:r>
        <w:t xml:space="preserve"> </w:t>
      </w:r>
      <w:r w:rsidR="00D9217E">
        <w:t>M</w:t>
      </w:r>
      <w:r>
        <w:t>arket</w:t>
      </w:r>
      <w:r w:rsidR="00D9217E">
        <w:t xml:space="preserve"> Adjusted I</w:t>
      </w:r>
      <w:r>
        <w:t xml:space="preserve">ndex </w:t>
      </w:r>
      <w:r w:rsidR="00D9217E">
        <w:t>R</w:t>
      </w:r>
      <w:r>
        <w:t xml:space="preserve">ate adjusted for all allowable </w:t>
      </w:r>
      <w:r w:rsidR="00F02293">
        <w:t xml:space="preserve">plan level </w:t>
      </w:r>
      <w:r>
        <w:t xml:space="preserve">modifiers defined in the market rating rules, 45 CFR </w:t>
      </w:r>
      <w:r w:rsidR="00E302B5">
        <w:t>156.80</w:t>
      </w:r>
      <w:r w:rsidR="00D9217E">
        <w:t>(d)(2)</w:t>
      </w:r>
      <w:r w:rsidR="00E302B5">
        <w:t xml:space="preserve">. </w:t>
      </w:r>
      <w:r w:rsidR="009B1768">
        <w:t>Only t</w:t>
      </w:r>
      <w:r w:rsidR="00424448">
        <w:t xml:space="preserve">he following adjustments are allowable under </w:t>
      </w:r>
      <w:r w:rsidR="000A63B1">
        <w:t xml:space="preserve">these </w:t>
      </w:r>
      <w:r w:rsidR="00424448">
        <w:t>rule</w:t>
      </w:r>
      <w:r w:rsidR="000A63B1">
        <w:t>s</w:t>
      </w:r>
      <w:r w:rsidR="00424448">
        <w:t>:</w:t>
      </w:r>
    </w:p>
    <w:p w14:paraId="6AFEE7C2" w14:textId="1D92C556" w:rsidR="009B1768" w:rsidRDefault="009B1768" w:rsidP="009D2B17">
      <w:pPr>
        <w:pStyle w:val="ListParagraph"/>
        <w:numPr>
          <w:ilvl w:val="0"/>
          <w:numId w:val="47"/>
        </w:numPr>
        <w:spacing w:after="0"/>
      </w:pPr>
      <w:r>
        <w:t>Actuarial value and cost-sharing design of the plan.</w:t>
      </w:r>
    </w:p>
    <w:p w14:paraId="500DE16E" w14:textId="3F57C755" w:rsidR="009B1768" w:rsidRDefault="009B1768" w:rsidP="009D2B17">
      <w:pPr>
        <w:pStyle w:val="ListParagraph"/>
        <w:numPr>
          <w:ilvl w:val="0"/>
          <w:numId w:val="47"/>
        </w:numPr>
        <w:spacing w:after="0"/>
      </w:pPr>
      <w:r>
        <w:t>The plan’s provider network, delivery system characteristics, and utilization management practices.</w:t>
      </w:r>
    </w:p>
    <w:p w14:paraId="3F8E1ECA" w14:textId="2878AB48" w:rsidR="009B1768" w:rsidRDefault="009B1768" w:rsidP="009D2B17">
      <w:pPr>
        <w:pStyle w:val="ListParagraph"/>
        <w:numPr>
          <w:ilvl w:val="0"/>
          <w:numId w:val="47"/>
        </w:numPr>
        <w:spacing w:after="0"/>
      </w:pPr>
      <w:r>
        <w:t>Benefits provided under the plan that are in addition to EHBs.</w:t>
      </w:r>
    </w:p>
    <w:p w14:paraId="4A3FFF74" w14:textId="47DC7AC1" w:rsidR="009B1768" w:rsidRDefault="009B1768" w:rsidP="009D2B17">
      <w:pPr>
        <w:pStyle w:val="ListParagraph"/>
        <w:numPr>
          <w:ilvl w:val="0"/>
          <w:numId w:val="47"/>
        </w:numPr>
        <w:spacing w:after="0"/>
      </w:pPr>
      <w:r>
        <w:t>Administrative costs, excluding Exchange user fees (which are already accounted for in the Market-Wide Adjusted Index Rate).</w:t>
      </w:r>
    </w:p>
    <w:p w14:paraId="1437D757" w14:textId="705E2AAF" w:rsidR="009B1768" w:rsidRDefault="004A6E0F" w:rsidP="009D2B17">
      <w:pPr>
        <w:pStyle w:val="ListParagraph"/>
        <w:numPr>
          <w:ilvl w:val="0"/>
          <w:numId w:val="47"/>
        </w:numPr>
        <w:spacing w:after="0"/>
      </w:pPr>
      <w:r>
        <w:rPr>
          <w:noProof/>
        </w:rPr>
        <mc:AlternateContent>
          <mc:Choice Requires="wps">
            <w:drawing>
              <wp:anchor distT="228600" distB="228600" distL="228600" distR="228600" simplePos="0" relativeHeight="251662848" behindDoc="1" locked="0" layoutInCell="1" allowOverlap="1" wp14:anchorId="1DF1B9D3" wp14:editId="2B466E8A">
                <wp:simplePos x="0" y="0"/>
                <wp:positionH relativeFrom="margin">
                  <wp:posOffset>3839210</wp:posOffset>
                </wp:positionH>
                <wp:positionV relativeFrom="margin">
                  <wp:posOffset>4988052</wp:posOffset>
                </wp:positionV>
                <wp:extent cx="2654935" cy="1221105"/>
                <wp:effectExtent l="0" t="0" r="0" b="0"/>
                <wp:wrapSquare wrapText="bothSides"/>
                <wp:docPr id="16" name="Text Box 16"/>
                <wp:cNvGraphicFramePr/>
                <a:graphic xmlns:a="http://schemas.openxmlformats.org/drawingml/2006/main">
                  <a:graphicData uri="http://schemas.microsoft.com/office/word/2010/wordprocessingShape">
                    <wps:wsp>
                      <wps:cNvSpPr txBox="1"/>
                      <wps:spPr>
                        <a:xfrm>
                          <a:off x="0" y="0"/>
                          <a:ext cx="2654935" cy="1221105"/>
                        </a:xfrm>
                        <a:prstGeom prst="rect">
                          <a:avLst/>
                        </a:prstGeom>
                        <a:gradFill>
                          <a:gsLst>
                            <a:gs pos="0">
                              <a:schemeClr val="lt2">
                                <a:tint val="90000"/>
                                <a:satMod val="92000"/>
                                <a:lumMod val="120000"/>
                              </a:schemeClr>
                            </a:gs>
                            <a:gs pos="100000">
                              <a:schemeClr val="lt2">
                                <a:shade val="98000"/>
                                <a:satMod val="120000"/>
                                <a:lumMod val="98000"/>
                              </a:schemeClr>
                            </a:gs>
                          </a:gsLst>
                          <a:path path="circle">
                            <a:fillToRect l="50000" t="50000" r="100000" b="100000"/>
                          </a:path>
                        </a:gradFill>
                        <a:ln w="6350">
                          <a:noFill/>
                        </a:ln>
                        <a:effectLst/>
                      </wps:spPr>
                      <wps:style>
                        <a:lnRef idx="0">
                          <a:schemeClr val="accent1"/>
                        </a:lnRef>
                        <a:fillRef idx="1003">
                          <a:schemeClr val="lt2"/>
                        </a:fillRef>
                        <a:effectRef idx="0">
                          <a:schemeClr val="accent1"/>
                        </a:effectRef>
                        <a:fontRef idx="minor">
                          <a:schemeClr val="dk1"/>
                        </a:fontRef>
                      </wps:style>
                      <wps:txbx>
                        <w:txbxContent>
                          <w:p w14:paraId="735D9BD3" w14:textId="1D174B0F" w:rsidR="00634A44" w:rsidRPr="00B616D2" w:rsidRDefault="00634A44" w:rsidP="009B1768">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The only allowable plan adjustments are found in 45 CFR § 156.80(d</w:t>
                            </w:r>
                            <w:proofErr w:type="gramStart"/>
                            <w:r>
                              <w:rPr>
                                <w:color w:val="17365D" w:themeColor="text2" w:themeShade="BF"/>
                                <w:sz w:val="24"/>
                                <w:szCs w:val="24"/>
                              </w:rPr>
                              <w:t>)(</w:t>
                            </w:r>
                            <w:proofErr w:type="gramEnd"/>
                            <w:r>
                              <w:rPr>
                                <w:color w:val="17365D" w:themeColor="text2" w:themeShade="BF"/>
                                <w:sz w:val="24"/>
                                <w:szCs w:val="24"/>
                              </w:rPr>
                              <w:t xml:space="preserve">2).  “Other” is </w:t>
                            </w:r>
                            <w:r w:rsidRPr="00B616D2">
                              <w:rPr>
                                <w:b/>
                                <w:color w:val="17365D" w:themeColor="text2" w:themeShade="BF"/>
                                <w:sz w:val="24"/>
                                <w:szCs w:val="24"/>
                              </w:rPr>
                              <w:t>not</w:t>
                            </w:r>
                            <w:r>
                              <w:rPr>
                                <w:color w:val="17365D" w:themeColor="text2" w:themeShade="BF"/>
                                <w:sz w:val="24"/>
                                <w:szCs w:val="24"/>
                              </w:rPr>
                              <w:t xml:space="preserve"> an allowable plan adjustment.</w:t>
                            </w:r>
                          </w:p>
                          <w:sdt>
                            <w:sdtPr>
                              <w:rPr>
                                <w:color w:val="1F497D" w:themeColor="text2"/>
                                <w:sz w:val="18"/>
                                <w:szCs w:val="18"/>
                              </w:rPr>
                              <w:id w:val="1356160810"/>
                              <w:temporary/>
                              <w:showingPlcHdr/>
                              <w:text w:multiLine="1"/>
                            </w:sdtPr>
                            <w:sdtEndPr/>
                            <w:sdtContent>
                              <w:p w14:paraId="692FD4AD" w14:textId="77777777" w:rsidR="00634A44" w:rsidRDefault="00634A44" w:rsidP="009B1768">
                                <w:pPr>
                                  <w:pStyle w:val="NoSpacing"/>
                                  <w:jc w:val="center"/>
                                  <w:rPr>
                                    <w:color w:val="1F497D" w:themeColor="text2"/>
                                    <w:sz w:val="18"/>
                                    <w:szCs w:val="18"/>
                                  </w:rPr>
                                </w:pPr>
                                <w:r>
                                  <w:rPr>
                                    <w:color w:val="1F497D"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1B9D3" id="Text Box 16" o:spid="_x0000_s1039" type="#_x0000_t202" style="position:absolute;left:0;text-align:left;margin-left:302.3pt;margin-top:392.75pt;width:209.05pt;height:96.15pt;z-index:-251653632;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" fillcolor="#efede3 [2899]" stroked="f" strokeweight=".5pt">
                <v:fill color2="#eae7d9 [3139]" rotate="t" focusposition=".5,.5" focussize="-.5,-.5" focus="100%" type="gradientRadial"/>
                <v:textbox inset="14.4pt,14.4pt,14.4pt,14.4pt">
                  <w:txbxContent>
                    <w:p w14:paraId="735D9BD3" w14:textId="1D174B0F" w:rsidR="00634A44" w:rsidRPr="00B616D2" w:rsidRDefault="00634A44" w:rsidP="009B1768">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The only allowable plan adjustments are found in 45 CFR § 156.80(d)(2).  “Other” is </w:t>
                      </w:r>
                      <w:r w:rsidRPr="00B616D2">
                        <w:rPr>
                          <w:b/>
                          <w:color w:val="17365D" w:themeColor="text2" w:themeShade="BF"/>
                          <w:sz w:val="24"/>
                          <w:szCs w:val="24"/>
                        </w:rPr>
                        <w:t>not</w:t>
                      </w:r>
                      <w:r>
                        <w:rPr>
                          <w:color w:val="17365D" w:themeColor="text2" w:themeShade="BF"/>
                          <w:sz w:val="24"/>
                          <w:szCs w:val="24"/>
                        </w:rPr>
                        <w:t xml:space="preserve"> an allowable plan adjustment.</w:t>
                      </w:r>
                    </w:p>
                    <w:sdt>
                      <w:sdtPr>
                        <w:rPr>
                          <w:color w:val="1F497D" w:themeColor="text2"/>
                          <w:sz w:val="18"/>
                          <w:szCs w:val="18"/>
                        </w:rPr>
                        <w:id w:val="1356160810"/>
                        <w:temporary/>
                        <w:showingPlcHdr/>
                        <w:text w:multiLine="1"/>
                      </w:sdtPr>
                      <w:sdtContent>
                        <w:p w14:paraId="692FD4AD" w14:textId="77777777" w:rsidR="00634A44" w:rsidRDefault="00634A44" w:rsidP="009B1768">
                          <w:pPr>
                            <w:pStyle w:val="NoSpacing"/>
                            <w:jc w:val="center"/>
                            <w:rPr>
                              <w:color w:val="1F497D" w:themeColor="text2"/>
                              <w:sz w:val="18"/>
                              <w:szCs w:val="18"/>
                            </w:rPr>
                          </w:pPr>
                          <w:r>
                            <w:rPr>
                              <w:color w:val="1F497D" w:themeColor="text2"/>
                              <w:sz w:val="18"/>
                              <w:szCs w:val="18"/>
                            </w:rPr>
                            <w:t>[Cite your source here.]</w:t>
                          </w:r>
                        </w:p>
                      </w:sdtContent>
                    </w:sdt>
                  </w:txbxContent>
                </v:textbox>
                <w10:wrap type="square" anchorx="margin" anchory="margin"/>
              </v:shape>
            </w:pict>
          </mc:Fallback>
        </mc:AlternateContent>
      </w:r>
      <w:r w:rsidR="00E17B62">
        <w:t>Only c</w:t>
      </w:r>
      <w:r w:rsidR="009B1768">
        <w:t xml:space="preserve">atastrophic plans may adjust for the expected impact of the specific eligibility categories for these plans.  If an adjustment is made to catastrophic plans, this adjustment may </w:t>
      </w:r>
      <w:r w:rsidR="009B1768" w:rsidRPr="00B616D2">
        <w:rPr>
          <w:b/>
        </w:rPr>
        <w:t>not</w:t>
      </w:r>
      <w:r w:rsidR="009B1768">
        <w:t xml:space="preserve"> be recovered elsewhere in the rating process, as that would be seen as removing the catastrophic plan experience from the single risk pool.</w:t>
      </w:r>
    </w:p>
    <w:p w14:paraId="3D4CE20C" w14:textId="53A599F0" w:rsidR="009B1768" w:rsidRDefault="009B1768" w:rsidP="009B1768">
      <w:pPr>
        <w:pStyle w:val="ListParagraph"/>
        <w:spacing w:after="0"/>
        <w:ind w:left="0"/>
      </w:pPr>
      <w:r w:rsidRPr="008A3126">
        <w:t xml:space="preserve"> </w:t>
      </w:r>
    </w:p>
    <w:p w14:paraId="4988BE1A" w14:textId="0FDE32C5" w:rsidR="009B1768" w:rsidRDefault="009B1768" w:rsidP="009B1768">
      <w:pPr>
        <w:pStyle w:val="ListParagraph"/>
        <w:spacing w:after="0"/>
        <w:ind w:left="0"/>
      </w:pPr>
      <w:r w:rsidRPr="008A3126">
        <w:t xml:space="preserve">Other adjustments not specified by 45 CFR </w:t>
      </w:r>
      <w:r>
        <w:t>§</w:t>
      </w:r>
      <w:r w:rsidRPr="008A3126">
        <w:t xml:space="preserve"> 156.80(d)(2) are not allowed</w:t>
      </w:r>
      <w:r>
        <w:t xml:space="preserve"> at this point in the development</w:t>
      </w:r>
      <w:r w:rsidRPr="008A3126">
        <w:t xml:space="preserve">, such as adjustments to recoup revenue related to the </w:t>
      </w:r>
      <w:r>
        <w:t>three</w:t>
      </w:r>
      <w:r w:rsidRPr="008A3126">
        <w:t xml:space="preserve"> </w:t>
      </w:r>
      <w:r w:rsidR="00FC0A3C">
        <w:t xml:space="preserve">under age 21 child </w:t>
      </w:r>
      <w:r w:rsidRPr="008A3126">
        <w:t xml:space="preserve">dependent </w:t>
      </w:r>
      <w:r w:rsidR="00FC0A3C">
        <w:t>cap</w:t>
      </w:r>
      <w:r w:rsidRPr="008A3126">
        <w:t xml:space="preserve"> or a catastrophic adjustment to non-catastrophic plans.</w:t>
      </w:r>
    </w:p>
    <w:p w14:paraId="0B00697F" w14:textId="0AA562B1" w:rsidR="00312427" w:rsidRDefault="004A19B6" w:rsidP="0079768A">
      <w:pPr>
        <w:pStyle w:val="BodyText"/>
      </w:pPr>
      <w:r>
        <w:t xml:space="preserve"> </w:t>
      </w:r>
      <w:r w:rsidR="00562F3C">
        <w:t>The issuer is required to provide an explanation of how these modifiers are developed and applied to the Market Adjusted Index Rate to derive the Plan Adjusted Index Rate.</w:t>
      </w:r>
      <w:r w:rsidR="00791615">
        <w:t xml:space="preserve">  </w:t>
      </w:r>
    </w:p>
    <w:p w14:paraId="29DBE70F" w14:textId="17BF698B" w:rsidR="006623A2" w:rsidRDefault="00312427" w:rsidP="0079768A">
      <w:pPr>
        <w:pStyle w:val="BodyText"/>
      </w:pPr>
      <w:r>
        <w:t xml:space="preserve">The </w:t>
      </w:r>
      <w:r w:rsidR="00175AC6">
        <w:t>AV</w:t>
      </w:r>
      <w:r>
        <w:t xml:space="preserve"> and </w:t>
      </w:r>
      <w:r w:rsidR="00F12391">
        <w:t>cost-sharing</w:t>
      </w:r>
      <w:r>
        <w:t xml:space="preserve"> adjustment (plan</w:t>
      </w:r>
      <w:r w:rsidR="006263C0">
        <w:t xml:space="preserve"> level</w:t>
      </w:r>
      <w:r>
        <w:t xml:space="preserve"> adjustment)</w:t>
      </w:r>
      <w:r w:rsidR="005A2F32">
        <w:t xml:space="preserve"> would take into account </w:t>
      </w:r>
      <w:r w:rsidR="00851CE0">
        <w:t xml:space="preserve">the benefit differences, utilization differences due to differences in </w:t>
      </w:r>
      <w:r w:rsidR="00F12391">
        <w:t>cost-sharing</w:t>
      </w:r>
      <w:r w:rsidR="00851CE0">
        <w:t xml:space="preserve"> and an adjustment for non-tobacco user status.</w:t>
      </w:r>
      <w:r w:rsidR="009B1768">
        <w:t xml:space="preserve"> </w:t>
      </w:r>
      <w:r w:rsidR="00851CE0">
        <w:t xml:space="preserve">The utilization difference may reflect the impact higher </w:t>
      </w:r>
      <w:r w:rsidR="00F12391">
        <w:t>cost-sharing</w:t>
      </w:r>
      <w:r w:rsidR="00851CE0">
        <w:t xml:space="preserve"> has on utilization but cannot reflect differences due to health status.</w:t>
      </w:r>
    </w:p>
    <w:p w14:paraId="743BED95" w14:textId="1FF2B477" w:rsidR="00312427" w:rsidRDefault="00851CE0" w:rsidP="0079768A">
      <w:pPr>
        <w:pStyle w:val="BodyText"/>
      </w:pPr>
      <w:r>
        <w:t xml:space="preserve">If an issuer chooses to apply tobacco user factors, which is an allowable </w:t>
      </w:r>
      <w:r w:rsidR="001267D7">
        <w:t xml:space="preserve">member-level </w:t>
      </w:r>
      <w:r>
        <w:t>rating factor,</w:t>
      </w:r>
      <w:r w:rsidR="006B529D">
        <w:t xml:space="preserve"> the issuer must</w:t>
      </w:r>
      <w:r>
        <w:t xml:space="preserve"> make an adjustment </w:t>
      </w:r>
      <w:r w:rsidR="002F54CD">
        <w:t xml:space="preserve">so </w:t>
      </w:r>
      <w:r w:rsidR="00CD0F31">
        <w:t xml:space="preserve">that the resulting Plan Adjusted Index Rate would </w:t>
      </w:r>
      <w:r w:rsidR="006623A2">
        <w:t>remove the portion of the cost that is expected to be recouped through the tobacco surcharge</w:t>
      </w:r>
      <w:r w:rsidR="00CD0F31">
        <w:t xml:space="preserve">. </w:t>
      </w:r>
      <w:r w:rsidR="0096402F">
        <w:t xml:space="preserve">This adjustment should only reflect the expected </w:t>
      </w:r>
      <w:r w:rsidR="001267D7">
        <w:t>surcharge</w:t>
      </w:r>
      <w:r w:rsidR="0096402F">
        <w:t xml:space="preserve"> collected for tobacco users</w:t>
      </w:r>
      <w:r w:rsidR="00A34026">
        <w:t>.  For</w:t>
      </w:r>
      <w:r w:rsidR="00FF4EB4">
        <w:t xml:space="preserve"> example, </w:t>
      </w:r>
      <w:r w:rsidR="0096402F">
        <w:t xml:space="preserve">in the event tobacco users enter a wellness program which reduces the tobacco user load applied, only the net </w:t>
      </w:r>
      <w:r w:rsidR="00FF4EB4">
        <w:t xml:space="preserve">impact on revenue should be taken into account in the adjustment </w:t>
      </w:r>
      <w:r w:rsidR="00FF4EB4" w:rsidRPr="003C16B2">
        <w:t>factor.</w:t>
      </w:r>
      <w:r w:rsidR="001267D7" w:rsidRPr="003C16B2">
        <w:t xml:space="preserve"> Issuers that do not charge tobacco surcharges </w:t>
      </w:r>
      <w:r w:rsidR="00ED0668" w:rsidRPr="003C16B2">
        <w:t xml:space="preserve">for a plan </w:t>
      </w:r>
      <w:r w:rsidR="001267D7" w:rsidRPr="003C16B2">
        <w:t xml:space="preserve">should </w:t>
      </w:r>
      <w:r w:rsidR="00ED0668" w:rsidRPr="003C16B2">
        <w:t xml:space="preserve">not </w:t>
      </w:r>
      <w:r w:rsidR="001267D7" w:rsidRPr="003C16B2">
        <w:t xml:space="preserve">make </w:t>
      </w:r>
      <w:r w:rsidR="00ED0668" w:rsidRPr="003C16B2">
        <w:t xml:space="preserve">this </w:t>
      </w:r>
      <w:r w:rsidR="001267D7" w:rsidRPr="003C16B2">
        <w:t>adjustment</w:t>
      </w:r>
      <w:r w:rsidR="00ED0668" w:rsidRPr="003C16B2">
        <w:t xml:space="preserve"> for that plan</w:t>
      </w:r>
      <w:r w:rsidR="001267D7" w:rsidRPr="003C16B2">
        <w:t>.</w:t>
      </w:r>
    </w:p>
    <w:p w14:paraId="3A1663BE" w14:textId="7686D7A5" w:rsidR="00CD5D08" w:rsidRDefault="00CD5D08" w:rsidP="0079768A">
      <w:pPr>
        <w:pStyle w:val="BodyText"/>
      </w:pPr>
      <w:r>
        <w:t xml:space="preserve">Specifically for the catastrophic plan rate, describe the methodology used to estimate the adjustment reflecting differences in anticipated demographics and morbidity of the </w:t>
      </w:r>
      <w:r w:rsidR="00D9217E">
        <w:t>c</w:t>
      </w:r>
      <w:r>
        <w:t xml:space="preserve">atastrophic population as compared to the single risk pool. </w:t>
      </w:r>
    </w:p>
    <w:p w14:paraId="07FD382F" w14:textId="58E2FF44" w:rsidR="00B81D15" w:rsidRDefault="00B230FD" w:rsidP="0079768A">
      <w:pPr>
        <w:pStyle w:val="BodyText"/>
      </w:pPr>
      <w:r>
        <w:t>S</w:t>
      </w:r>
      <w:r w:rsidR="004A19B6">
        <w:t>imilar to the Index Rate</w:t>
      </w:r>
      <w:r w:rsidR="000A63B1">
        <w:t xml:space="preserve"> and Market Adjusted Index Rate</w:t>
      </w:r>
      <w:r w:rsidR="00F02293">
        <w:t>,</w:t>
      </w:r>
      <w:r w:rsidR="004A19B6">
        <w:t xml:space="preserve"> the Plan Adjusted Index </w:t>
      </w:r>
      <w:r w:rsidR="00D9217E">
        <w:t>R</w:t>
      </w:r>
      <w:r w:rsidR="004A19B6">
        <w:t>ate</w:t>
      </w:r>
      <w:r w:rsidR="003A2E1A">
        <w:t>s</w:t>
      </w:r>
      <w:r w:rsidR="004A19B6">
        <w:t xml:space="preserve"> reflect the average demographic characteristics of the single risk pool</w:t>
      </w:r>
      <w:r w:rsidR="00046406">
        <w:t>.</w:t>
      </w:r>
      <w:r w:rsidR="004A19B6">
        <w:t xml:space="preserve"> </w:t>
      </w:r>
      <w:r w:rsidR="00046406">
        <w:t>I</w:t>
      </w:r>
      <w:r w:rsidR="004A19B6">
        <w:t xml:space="preserve">n other words, the Plan Adjusted Index </w:t>
      </w:r>
      <w:r w:rsidR="003A2E1A">
        <w:t xml:space="preserve">Rate </w:t>
      </w:r>
      <w:r w:rsidR="004A19B6">
        <w:t>is not</w:t>
      </w:r>
      <w:r w:rsidR="005E559F">
        <w:t xml:space="preserve"> </w:t>
      </w:r>
      <w:r w:rsidR="00BF154D">
        <w:t>calibrated</w:t>
      </w:r>
      <w:r w:rsidR="004A19B6">
        <w:t>.</w:t>
      </w:r>
    </w:p>
    <w:p w14:paraId="5F351632" w14:textId="015CD2B2" w:rsidR="003B1CE0" w:rsidRPr="0022635E" w:rsidRDefault="003B1CE0" w:rsidP="0022635E">
      <w:pPr>
        <w:pStyle w:val="BodyText"/>
      </w:pPr>
      <w:r>
        <w:t xml:space="preserve">Issuers must enter the Plan Adjusted Index Rates for the experience period in Worksheet 2 of the URRT. </w:t>
      </w:r>
      <w:r w:rsidRPr="00E3544D">
        <w:t>The Plan Adjusted Index Rate entered should be the Plan Adjusted Index Rate that was filed for the experience period</w:t>
      </w:r>
      <w:r w:rsidR="00A34026">
        <w:t>.</w:t>
      </w:r>
    </w:p>
    <w:p w14:paraId="12A16511" w14:textId="05250172" w:rsidR="00AF54FC" w:rsidRDefault="00784A9D" w:rsidP="00926D0E">
      <w:pPr>
        <w:pStyle w:val="Heading3"/>
      </w:pPr>
      <w:bookmarkStart w:id="724" w:name="_Toc411347505"/>
      <w:bookmarkStart w:id="725" w:name="_Toc411523397"/>
      <w:bookmarkStart w:id="726" w:name="_Toc411866117"/>
      <w:bookmarkStart w:id="727" w:name="_Toc411866635"/>
      <w:bookmarkStart w:id="728" w:name="_Toc412032803"/>
      <w:bookmarkStart w:id="729" w:name="_Toc411936275"/>
      <w:bookmarkStart w:id="730" w:name="_Toc412287685"/>
      <w:bookmarkStart w:id="731" w:name="_Toc441756529"/>
      <w:r>
        <w:t>Calibration</w:t>
      </w:r>
      <w:bookmarkEnd w:id="724"/>
      <w:bookmarkEnd w:id="725"/>
      <w:bookmarkEnd w:id="726"/>
      <w:bookmarkEnd w:id="727"/>
      <w:bookmarkEnd w:id="728"/>
      <w:bookmarkEnd w:id="729"/>
      <w:bookmarkEnd w:id="730"/>
      <w:bookmarkEnd w:id="731"/>
    </w:p>
    <w:p w14:paraId="54AEFC0A" w14:textId="3ED12B42" w:rsidR="0052020F" w:rsidRPr="004700DF" w:rsidRDefault="009A03F2" w:rsidP="004700DF">
      <w:r>
        <w:rPr>
          <w:rFonts w:ascii="Calibri" w:hAnsi="Calibri"/>
        </w:rPr>
        <w:t xml:space="preserve">At this time, calibration </w:t>
      </w:r>
      <w:r w:rsidR="0052020F">
        <w:rPr>
          <w:rFonts w:ascii="Calibri" w:hAnsi="Calibri"/>
        </w:rPr>
        <w:t>factors are ONLY allowed for the age and geography factors.</w:t>
      </w:r>
      <w:r w:rsidR="008D7AD3">
        <w:rPr>
          <w:rFonts w:ascii="Calibri" w:hAnsi="Calibri"/>
        </w:rPr>
        <w:t xml:space="preserve"> Calibration for tobacco-use cannot be applied at this point since it is incorporated in the </w:t>
      </w:r>
      <w:r w:rsidR="00175AC6">
        <w:rPr>
          <w:rFonts w:ascii="Calibri" w:hAnsi="Calibri"/>
        </w:rPr>
        <w:t>AV</w:t>
      </w:r>
      <w:r w:rsidR="008D7AD3">
        <w:rPr>
          <w:rFonts w:ascii="Calibri" w:hAnsi="Calibri"/>
        </w:rPr>
        <w:t xml:space="preserve"> component of the plan level adjustments (see Pla</w:t>
      </w:r>
      <w:r w:rsidR="00ED0668">
        <w:rPr>
          <w:rFonts w:ascii="Calibri" w:hAnsi="Calibri"/>
        </w:rPr>
        <w:t>n Adjusted Index Rates section)</w:t>
      </w:r>
      <w:r w:rsidR="008D7AD3">
        <w:rPr>
          <w:rFonts w:ascii="Calibri" w:hAnsi="Calibri"/>
        </w:rPr>
        <w:t>.</w:t>
      </w:r>
    </w:p>
    <w:p w14:paraId="5807F4AE" w14:textId="496F8BBB" w:rsidR="004700DF" w:rsidRPr="00EA48E8" w:rsidRDefault="004700DF" w:rsidP="008E5B0B">
      <w:pPr>
        <w:spacing w:after="0"/>
        <w:rPr>
          <w:b/>
        </w:rPr>
      </w:pPr>
      <w:r w:rsidRPr="00EA48E8">
        <w:rPr>
          <w:b/>
        </w:rPr>
        <w:t>Age Curve Calibration</w:t>
      </w:r>
    </w:p>
    <w:p w14:paraId="565FD699" w14:textId="36AFF3E8" w:rsidR="00E2796A" w:rsidRDefault="004700DF" w:rsidP="004700DF">
      <w:r w:rsidRPr="004700DF">
        <w:t>Issuers must provide the approximate weighted average age, rounded to a whole number, associated with the projected single risk pool</w:t>
      </w:r>
      <w:r w:rsidR="00E2796A">
        <w:t>.</w:t>
      </w:r>
    </w:p>
    <w:p w14:paraId="7C5F53F2" w14:textId="78966B38" w:rsidR="0012008E" w:rsidRDefault="00E2796A" w:rsidP="004700DF">
      <w:r>
        <w:t>At this time</w:t>
      </w:r>
      <w:r w:rsidR="00F335CE">
        <w:t xml:space="preserve"> </w:t>
      </w:r>
      <w:r>
        <w:t xml:space="preserve">CMS will allow </w:t>
      </w:r>
      <w:r w:rsidR="00293FDF">
        <w:t>for the application of</w:t>
      </w:r>
      <w:r>
        <w:t xml:space="preserve"> a </w:t>
      </w:r>
      <w:r w:rsidR="0012008E">
        <w:t>factor of zero</w:t>
      </w:r>
      <w:r>
        <w:t xml:space="preserve"> </w:t>
      </w:r>
      <w:r w:rsidR="0012008E">
        <w:t>(</w:t>
      </w:r>
      <w:r>
        <w:t>0</w:t>
      </w:r>
      <w:r w:rsidR="0012008E">
        <w:t>)</w:t>
      </w:r>
      <w:r>
        <w:t xml:space="preserve"> </w:t>
      </w:r>
      <w:r w:rsidR="0012008E">
        <w:t>for the distribution of members expected to pay no premium when developing the approximate weighted average age</w:t>
      </w:r>
      <w:r w:rsidR="00887578">
        <w:t xml:space="preserve"> </w:t>
      </w:r>
      <w:r w:rsidR="00293FDF">
        <w:t>in states that follow the standard CMS age curve</w:t>
      </w:r>
      <w:r w:rsidR="00F335CE">
        <w:t xml:space="preserve"> to account for the lost revenue due to the three under age 21 </w:t>
      </w:r>
      <w:r w:rsidR="00643EF7">
        <w:t xml:space="preserve">child dependent </w:t>
      </w:r>
      <w:r w:rsidR="00F335CE">
        <w:t>cap</w:t>
      </w:r>
      <w:r w:rsidR="0012008E">
        <w:t>.</w:t>
      </w:r>
      <w:r w:rsidR="00887578">
        <w:t xml:space="preserve">  While CMS is allowing this methodology</w:t>
      </w:r>
      <w:r w:rsidR="0012008E">
        <w:t xml:space="preserve">, states with Effective Rate Review </w:t>
      </w:r>
      <w:r w:rsidR="00293FDF">
        <w:t xml:space="preserve">Programs that follow the standard CMS age curve </w:t>
      </w:r>
      <w:r w:rsidR="00887578">
        <w:t>may choose to allow or disallow this practice.</w:t>
      </w:r>
    </w:p>
    <w:p w14:paraId="4442AA60" w14:textId="3D9C2B1F" w:rsidR="004700DF" w:rsidRPr="004700DF" w:rsidRDefault="004A6E0F" w:rsidP="004700DF">
      <w:r w:rsidRPr="00887578">
        <w:rPr>
          <w:noProof/>
        </w:rPr>
        <mc:AlternateContent>
          <mc:Choice Requires="wps">
            <w:drawing>
              <wp:anchor distT="228600" distB="228600" distL="228600" distR="228600" simplePos="0" relativeHeight="251663872" behindDoc="1" locked="0" layoutInCell="1" allowOverlap="1" wp14:anchorId="54352FBA" wp14:editId="2FE655C9">
                <wp:simplePos x="0" y="0"/>
                <wp:positionH relativeFrom="margin">
                  <wp:posOffset>13412</wp:posOffset>
                </wp:positionH>
                <wp:positionV relativeFrom="margin">
                  <wp:posOffset>6778803</wp:posOffset>
                </wp:positionV>
                <wp:extent cx="2574925" cy="1418590"/>
                <wp:effectExtent l="0" t="0" r="0" b="0"/>
                <wp:wrapSquare wrapText="bothSides"/>
                <wp:docPr id="17" name="Text Box 17"/>
                <wp:cNvGraphicFramePr/>
                <a:graphic xmlns:a="http://schemas.openxmlformats.org/drawingml/2006/main">
                  <a:graphicData uri="http://schemas.microsoft.com/office/word/2010/wordprocessingShape">
                    <wps:wsp>
                      <wps:cNvSpPr txBox="1"/>
                      <wps:spPr>
                        <a:xfrm>
                          <a:off x="0" y="0"/>
                          <a:ext cx="2574925" cy="1418590"/>
                        </a:xfrm>
                        <a:prstGeom prst="rect">
                          <a:avLst/>
                        </a:prstGeom>
                        <a:gradFill rotWithShape="1">
                          <a:gsLst>
                            <a:gs pos="0">
                              <a:srgbClr val="EEECE1">
                                <a:tint val="90000"/>
                                <a:satMod val="92000"/>
                                <a:lumMod val="120000"/>
                              </a:srgbClr>
                            </a:gs>
                            <a:gs pos="100000">
                              <a:srgbClr val="EEECE1">
                                <a:shade val="98000"/>
                                <a:satMod val="120000"/>
                                <a:lumMod val="98000"/>
                              </a:srgbClr>
                            </a:gs>
                          </a:gsLst>
                          <a:path path="circle">
                            <a:fillToRect l="50000" t="50000" r="100000" b="100000"/>
                          </a:path>
                        </a:gradFill>
                        <a:ln w="6350">
                          <a:noFill/>
                        </a:ln>
                        <a:effectLst/>
                      </wps:spPr>
                      <wps:txbx>
                        <w:txbxContent>
                          <w:p w14:paraId="78985C5C" w14:textId="60E4900A" w:rsidR="00634A44" w:rsidRPr="00B616D2" w:rsidRDefault="00634A44" w:rsidP="00887578">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The age curve is not linear.  Attempts to treat it as such when performing the age curve calibration will likely result in unexpected results.</w:t>
                            </w:r>
                          </w:p>
                          <w:sdt>
                            <w:sdtPr>
                              <w:rPr>
                                <w:color w:val="1F497D" w:themeColor="text2"/>
                                <w:sz w:val="18"/>
                                <w:szCs w:val="18"/>
                              </w:rPr>
                              <w:id w:val="694817396"/>
                              <w:temporary/>
                              <w:showingPlcHdr/>
                              <w:text w:multiLine="1"/>
                            </w:sdtPr>
                            <w:sdtEndPr/>
                            <w:sdtContent>
                              <w:p w14:paraId="081C2B5D" w14:textId="77777777" w:rsidR="00634A44" w:rsidRDefault="00634A44" w:rsidP="00887578">
                                <w:pPr>
                                  <w:pStyle w:val="NoSpacing"/>
                                  <w:jc w:val="center"/>
                                  <w:rPr>
                                    <w:color w:val="1F497D" w:themeColor="text2"/>
                                    <w:sz w:val="18"/>
                                    <w:szCs w:val="18"/>
                                  </w:rPr>
                                </w:pPr>
                                <w:r>
                                  <w:rPr>
                                    <w:color w:val="1F497D" w:themeColor="text2"/>
                                    <w:sz w:val="18"/>
                                    <w:szCs w:val="18"/>
                                  </w:rPr>
                                  <w:t>[Cite your source here.]</w:t>
                                </w:r>
                              </w:p>
                            </w:sdtContent>
                          </w:sdt>
                        </w:txbxContent>
                      </wps:txbx>
                      <wps:bodyPr rot="0" spcFirstLastPara="0" vertOverflow="overflow" horzOverflow="overflow" vert="horz" wrap="square" lIns="182880" tIns="182880" rIns="182880" bIns="18288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352FBA" id="Text Box 17" o:spid="_x0000_s1040" type="#_x0000_t202" style="position:absolute;margin-left:1.05pt;margin-top:533.75pt;width:202.75pt;height:111.7pt;z-index:-251652608;visibility:visible;mso-wrap-style:square;mso-width-percent:0;mso-height-percent:0;mso-wrap-distance-left:18pt;mso-wrap-distance-top:18pt;mso-wrap-distance-right:18pt;mso-wrap-distance-bottom:1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" stroked="f" strokeweight=".5pt">
                <v:fill color2="#eae7d8" rotate="t" focusposition=".5,.5" focussize="-.5,-.5" focus="100%" type="gradientRadial"/>
                <v:textbox inset="14.4pt,14.4pt,14.4pt,14.4pt">
                  <w:txbxContent>
                    <w:p w14:paraId="78985C5C" w14:textId="60E4900A" w:rsidR="00634A44" w:rsidRPr="00B616D2" w:rsidRDefault="00634A44" w:rsidP="00887578">
                      <w:pPr>
                        <w:rPr>
                          <w:color w:val="17365D" w:themeColor="text2" w:themeShade="BF"/>
                          <w:sz w:val="24"/>
                          <w:szCs w:val="24"/>
                        </w:rPr>
                      </w:pPr>
                      <w:r w:rsidRPr="00B616D2">
                        <w:rPr>
                          <w:b/>
                          <w:color w:val="17365D" w:themeColor="text2" w:themeShade="BF"/>
                          <w:sz w:val="24"/>
                          <w:szCs w:val="24"/>
                          <w:u w:val="single"/>
                        </w:rPr>
                        <w:t>T</w:t>
                      </w:r>
                      <w:r>
                        <w:rPr>
                          <w:b/>
                          <w:color w:val="17365D" w:themeColor="text2" w:themeShade="BF"/>
                          <w:sz w:val="24"/>
                          <w:szCs w:val="24"/>
                          <w:u w:val="single"/>
                        </w:rPr>
                        <w:t>ip</w:t>
                      </w:r>
                      <w:r w:rsidRPr="00B616D2">
                        <w:rPr>
                          <w:b/>
                          <w:color w:val="17365D" w:themeColor="text2" w:themeShade="BF"/>
                          <w:sz w:val="24"/>
                          <w:szCs w:val="24"/>
                          <w:u w:val="single"/>
                        </w:rPr>
                        <w:t>:</w:t>
                      </w:r>
                      <w:r>
                        <w:rPr>
                          <w:color w:val="17365D" w:themeColor="text2" w:themeShade="BF"/>
                          <w:sz w:val="24"/>
                          <w:szCs w:val="24"/>
                        </w:rPr>
                        <w:t xml:space="preserve">  The age curve is not linear.  Attempts to treat it as such when performing the age curve calibration will likely result in unexpected results.</w:t>
                      </w:r>
                    </w:p>
                    <w:sdt>
                      <w:sdtPr>
                        <w:rPr>
                          <w:color w:val="1F497D" w:themeColor="text2"/>
                          <w:sz w:val="18"/>
                          <w:szCs w:val="18"/>
                        </w:rPr>
                        <w:id w:val="694817396"/>
                        <w:temporary/>
                        <w:showingPlcHdr/>
                        <w:text w:multiLine="1"/>
                      </w:sdtPr>
                      <w:sdtContent>
                        <w:p w14:paraId="081C2B5D" w14:textId="77777777" w:rsidR="00634A44" w:rsidRDefault="00634A44" w:rsidP="00887578">
                          <w:pPr>
                            <w:pStyle w:val="NoSpacing"/>
                            <w:jc w:val="center"/>
                            <w:rPr>
                              <w:color w:val="1F497D" w:themeColor="text2"/>
                              <w:sz w:val="18"/>
                              <w:szCs w:val="18"/>
                            </w:rPr>
                          </w:pPr>
                          <w:r>
                            <w:rPr>
                              <w:color w:val="1F497D" w:themeColor="text2"/>
                              <w:sz w:val="18"/>
                              <w:szCs w:val="18"/>
                            </w:rPr>
                            <w:t>[Cite your source here.]</w:t>
                          </w:r>
                        </w:p>
                      </w:sdtContent>
                    </w:sdt>
                  </w:txbxContent>
                </v:textbox>
                <w10:wrap type="square" anchorx="margin" anchory="margin"/>
              </v:shape>
            </w:pict>
          </mc:Fallback>
        </mc:AlternateContent>
      </w:r>
      <w:r w:rsidR="0012008E">
        <w:t xml:space="preserve">Some states have established their own age curves that are different from the standard CMS age curve.  In this case, issuers should check with their state regulators to determine if </w:t>
      </w:r>
      <w:r w:rsidR="00F335CE">
        <w:t>applying a factor of zero (0) for the distribution of members expected to pay no premium</w:t>
      </w:r>
      <w:r w:rsidR="00645D8F">
        <w:t xml:space="preserve"> is an appropriate and allowable adjustment for </w:t>
      </w:r>
      <w:r w:rsidR="0012008E">
        <w:t xml:space="preserve">the three </w:t>
      </w:r>
      <w:r w:rsidR="00AB3CCC">
        <w:t>under age 21</w:t>
      </w:r>
      <w:r w:rsidR="0012008E">
        <w:t xml:space="preserve"> </w:t>
      </w:r>
      <w:r w:rsidR="00643EF7">
        <w:t xml:space="preserve">child dependent </w:t>
      </w:r>
      <w:r w:rsidR="0012008E">
        <w:t>cap.</w:t>
      </w:r>
    </w:p>
    <w:p w14:paraId="4C8F05AF" w14:textId="23288B95" w:rsidR="004700DF" w:rsidRPr="004700DF" w:rsidRDefault="004700DF" w:rsidP="004700DF">
      <w:r w:rsidRPr="004700DF">
        <w:t xml:space="preserve">Issuers must provide a detailed explanation of the methodology used </w:t>
      </w:r>
      <w:r>
        <w:t>in the calibration</w:t>
      </w:r>
      <w:r w:rsidRPr="004700DF">
        <w:t xml:space="preserve"> </w:t>
      </w:r>
      <w:r>
        <w:t xml:space="preserve">to </w:t>
      </w:r>
      <w:r w:rsidRPr="004700DF">
        <w:t>the age</w:t>
      </w:r>
      <w:r>
        <w:t xml:space="preserve"> </w:t>
      </w:r>
      <w:r w:rsidRPr="004700DF">
        <w:t>curve.  Specifically, issuers should describe the factors used in the determination of the risk pool weighted average age</w:t>
      </w:r>
      <w:r>
        <w:t>, a description of data used to weight the factors</w:t>
      </w:r>
      <w:r w:rsidR="00FD2916">
        <w:t>,</w:t>
      </w:r>
      <w:r>
        <w:t xml:space="preserve"> and a description of the exact calculation</w:t>
      </w:r>
      <w:r w:rsidRPr="004700DF">
        <w:t>.</w:t>
      </w:r>
      <w:r w:rsidRPr="004700DF" w:rsidDel="00BB2FCF">
        <w:t xml:space="preserve"> </w:t>
      </w:r>
      <w:r w:rsidR="00887578">
        <w:t xml:space="preserve"> </w:t>
      </w:r>
      <w:r w:rsidRPr="004700DF">
        <w:t xml:space="preserve">Issuers will need to provide actuarial justification that the methodology employed in the calculation of the average age and the calibration </w:t>
      </w:r>
      <w:r>
        <w:t>to</w:t>
      </w:r>
      <w:r w:rsidRPr="004700DF">
        <w:t xml:space="preserve"> the age curve complies with the standard age curve methodology.</w:t>
      </w:r>
    </w:p>
    <w:p w14:paraId="25D9D820" w14:textId="5EA4CC0C" w:rsidR="00CE25EB" w:rsidRDefault="006B76C4" w:rsidP="00EA48E8">
      <w:r>
        <w:t>Include a</w:t>
      </w:r>
      <w:r w:rsidR="004700DF" w:rsidRPr="004700DF">
        <w:t xml:space="preserve"> demonstration of how the Plan Adjusted Index Rate and the age curve are used to generate the schedule of premium rates for each plan</w:t>
      </w:r>
      <w:r w:rsidR="009A198A">
        <w:t>. Note that</w:t>
      </w:r>
      <w:r w:rsidR="004700DF" w:rsidRPr="004700DF">
        <w:t xml:space="preserve"> the age curve calibration adjustment is not plan specific. In other words, the same age curve calibration must be applied to all plans in the projected single risk pool.</w:t>
      </w:r>
      <w:r w:rsidR="00887578" w:rsidRPr="00887578">
        <w:rPr>
          <w:noProof/>
        </w:rPr>
        <w:t xml:space="preserve"> </w:t>
      </w:r>
    </w:p>
    <w:p w14:paraId="31451D64" w14:textId="73C11636" w:rsidR="00CE25EB" w:rsidRPr="00EA48E8" w:rsidRDefault="00CE25EB" w:rsidP="008E5B0B">
      <w:pPr>
        <w:pStyle w:val="BodyText"/>
        <w:spacing w:after="0"/>
        <w:rPr>
          <w:b/>
        </w:rPr>
      </w:pPr>
      <w:r w:rsidRPr="00EA48E8">
        <w:rPr>
          <w:b/>
        </w:rPr>
        <w:t>Geographic Factor Calibration</w:t>
      </w:r>
    </w:p>
    <w:p w14:paraId="43855008" w14:textId="005FEED8" w:rsidR="00CE25EB" w:rsidRDefault="00CE25EB" w:rsidP="00CE25EB">
      <w:pPr>
        <w:pStyle w:val="BodyText"/>
      </w:pPr>
      <w:r>
        <w:t>The issuer is required to include a listing of all geographic rating factors applied to the Plan Adjusted Index Rate in the Actuarial Memorandum.</w:t>
      </w:r>
    </w:p>
    <w:p w14:paraId="6C5C206A" w14:textId="64B2A703" w:rsidR="00CE25EB" w:rsidRPr="00740B6A" w:rsidRDefault="00CE25EB" w:rsidP="00CE25EB">
      <w:pPr>
        <w:pStyle w:val="BodyText"/>
      </w:pPr>
      <w:r>
        <w:t>The issuer must provide the geographic factor calibration that is applied to the projected single risk pool if one is necessary.</w:t>
      </w:r>
      <w:r w:rsidR="00791615">
        <w:t xml:space="preserve"> </w:t>
      </w:r>
      <w:r>
        <w:t xml:space="preserve"> For example, if the weighted average of the geographic factors does not equal 1.0, calibration may be required. </w:t>
      </w:r>
    </w:p>
    <w:p w14:paraId="255476B9" w14:textId="4C46F168" w:rsidR="00872447" w:rsidRDefault="004442D7" w:rsidP="00CE25EB">
      <w:pPr>
        <w:pStyle w:val="BodyText"/>
      </w:pPr>
      <w:r>
        <w:t>The Actuarial Memorandum must include a</w:t>
      </w:r>
      <w:r w:rsidR="00CE25EB">
        <w:t xml:space="preserve"> detailed description of the development of the geographic rating factors </w:t>
      </w:r>
      <w:r w:rsidR="009A03F2">
        <w:t>(including a description of how the methodology results in factors that reflect delivery cost differences only, or are otherwise adjusted for differences in population morbidity)</w:t>
      </w:r>
      <w:r w:rsidR="00FD2916">
        <w:t xml:space="preserve"> </w:t>
      </w:r>
      <w:r w:rsidR="00CE25EB">
        <w:t xml:space="preserve">and a demonstration of how these factors are applied to the Plan Adjusted Index Rate. </w:t>
      </w:r>
      <w:r w:rsidR="00D26C00">
        <w:t xml:space="preserve"> </w:t>
      </w:r>
      <w:r w:rsidR="00CE25EB">
        <w:t xml:space="preserve">For example, if the weighted average of the geographic factors does not equal 1.0, the calibration adjustment that is applied should be included in the Actuarial Memorandum along with documentation of the calculation of the calibration adjustment. </w:t>
      </w:r>
      <w:r w:rsidR="00D26C00">
        <w:t xml:space="preserve"> </w:t>
      </w:r>
      <w:r w:rsidR="00CE25EB">
        <w:t>Note</w:t>
      </w:r>
      <w:r w:rsidR="009A198A">
        <w:t xml:space="preserve"> that</w:t>
      </w:r>
      <w:r w:rsidR="00CE25EB">
        <w:t xml:space="preserve"> the geographic calibration adjustment is not plan specific. </w:t>
      </w:r>
      <w:r w:rsidR="00D26C00">
        <w:t xml:space="preserve"> </w:t>
      </w:r>
      <w:r w:rsidR="00CE25EB">
        <w:t>In other words, the same geographic calibration would be applied to all plans in the projected single risk pool.</w:t>
      </w:r>
      <w:r w:rsidR="00D26C00">
        <w:t xml:space="preserve"> </w:t>
      </w:r>
      <w:r w:rsidR="00872447">
        <w:t xml:space="preserve"> If an issuer has multiple networks within a given rating area and wants to develop premiums specific for each network, the issuer must have a separate plan for each network with</w:t>
      </w:r>
      <w:r w:rsidR="00401158">
        <w:t>in</w:t>
      </w:r>
      <w:r w:rsidR="00872447">
        <w:t xml:space="preserve"> the rating area.</w:t>
      </w:r>
    </w:p>
    <w:p w14:paraId="345B668F" w14:textId="4CBD8F5C" w:rsidR="00CE25EB" w:rsidRDefault="00CE25EB" w:rsidP="008E5B0B">
      <w:pPr>
        <w:pStyle w:val="BodyText"/>
        <w:spacing w:after="0"/>
        <w:rPr>
          <w:b/>
        </w:rPr>
      </w:pPr>
      <w:r w:rsidRPr="00784A9D">
        <w:rPr>
          <w:b/>
        </w:rPr>
        <w:t xml:space="preserve">The </w:t>
      </w:r>
      <w:r>
        <w:rPr>
          <w:b/>
        </w:rPr>
        <w:t xml:space="preserve">calibration adjustments </w:t>
      </w:r>
      <w:r w:rsidRPr="00784A9D">
        <w:rPr>
          <w:b/>
        </w:rPr>
        <w:t xml:space="preserve">are to be applied uniformly to all plans; plan specific </w:t>
      </w:r>
      <w:r>
        <w:rPr>
          <w:b/>
        </w:rPr>
        <w:t xml:space="preserve">calibration is </w:t>
      </w:r>
      <w:r w:rsidRPr="00784A9D">
        <w:rPr>
          <w:b/>
        </w:rPr>
        <w:t>not allowed.</w:t>
      </w:r>
    </w:p>
    <w:p w14:paraId="317A3D23" w14:textId="502F5C8B" w:rsidR="0055192E" w:rsidRPr="00784A9D" w:rsidRDefault="0055192E" w:rsidP="008E5B0B">
      <w:pPr>
        <w:pStyle w:val="BodyText"/>
        <w:spacing w:after="0"/>
        <w:rPr>
          <w:b/>
        </w:rPr>
      </w:pPr>
    </w:p>
    <w:p w14:paraId="3988429B" w14:textId="3953EA39" w:rsidR="00CE25EB" w:rsidRPr="00F02293" w:rsidRDefault="00CE25EB" w:rsidP="00CE25EB">
      <w:pPr>
        <w:pStyle w:val="BodyText"/>
      </w:pPr>
      <w:r w:rsidRPr="00481A0B">
        <w:t xml:space="preserve">Calibration adjustments are not </w:t>
      </w:r>
      <w:r w:rsidR="00D529D2" w:rsidRPr="00481A0B">
        <w:t xml:space="preserve">displayed </w:t>
      </w:r>
      <w:r w:rsidRPr="00481A0B">
        <w:t xml:space="preserve">in the </w:t>
      </w:r>
      <w:r w:rsidR="001B0327" w:rsidRPr="00481A0B">
        <w:t>URRT</w:t>
      </w:r>
      <w:r w:rsidR="00D529D2" w:rsidRPr="00481A0B">
        <w:t>.</w:t>
      </w:r>
    </w:p>
    <w:p w14:paraId="3B6FF473" w14:textId="5983D142" w:rsidR="00E820AA" w:rsidRPr="00A03BEC" w:rsidRDefault="00E820AA" w:rsidP="00A03BEC">
      <w:pPr>
        <w:rPr>
          <w:rFonts w:ascii="Calibri" w:hAnsi="Calibri"/>
        </w:rPr>
      </w:pPr>
      <w:r w:rsidRPr="00A03BEC">
        <w:rPr>
          <w:rFonts w:ascii="Calibri" w:hAnsi="Calibri"/>
        </w:rPr>
        <w:t>Once the Plan Adjusted Index Rate is calibrated to the age curve using the weighted average age</w:t>
      </w:r>
      <w:r w:rsidR="00013A52">
        <w:rPr>
          <w:rFonts w:ascii="Calibri" w:hAnsi="Calibri"/>
        </w:rPr>
        <w:t xml:space="preserve"> and </w:t>
      </w:r>
      <w:r w:rsidR="00013A52" w:rsidRPr="00A03BEC">
        <w:rPr>
          <w:rFonts w:ascii="Calibri" w:hAnsi="Calibri"/>
        </w:rPr>
        <w:t xml:space="preserve">calibrated </w:t>
      </w:r>
      <w:r w:rsidR="00013A52">
        <w:rPr>
          <w:rFonts w:ascii="Calibri" w:hAnsi="Calibri"/>
        </w:rPr>
        <w:t>to the geographic rating area factors</w:t>
      </w:r>
      <w:r w:rsidRPr="00A03BEC">
        <w:rPr>
          <w:rFonts w:ascii="Calibri" w:hAnsi="Calibri"/>
        </w:rPr>
        <w:t xml:space="preserve">, the entire set of age rates is determined using the standard age factor of each age relative to the standard age factor for the rounded weighted average age. </w:t>
      </w:r>
      <w:r w:rsidR="00D26C00">
        <w:rPr>
          <w:rFonts w:ascii="Calibri" w:hAnsi="Calibri"/>
        </w:rPr>
        <w:t xml:space="preserve"> </w:t>
      </w:r>
      <w:r w:rsidRPr="00A03BEC">
        <w:rPr>
          <w:rFonts w:ascii="Calibri" w:hAnsi="Calibri"/>
        </w:rPr>
        <w:t xml:space="preserve">The age factors must be the standard age curve set by HHS or a state specific age curve (if the state requires different age factors than the standard </w:t>
      </w:r>
      <w:r w:rsidR="00F12391">
        <w:rPr>
          <w:rFonts w:ascii="Calibri" w:hAnsi="Calibri"/>
        </w:rPr>
        <w:t>F</w:t>
      </w:r>
      <w:r w:rsidRPr="00A03BEC">
        <w:rPr>
          <w:rFonts w:ascii="Calibri" w:hAnsi="Calibri"/>
        </w:rPr>
        <w:t>ederal age curve).</w:t>
      </w:r>
    </w:p>
    <w:p w14:paraId="5101A5D6" w14:textId="77777777" w:rsidR="00F31442" w:rsidRDefault="00F31442" w:rsidP="00F31442">
      <w:pPr>
        <w:pStyle w:val="BodyText"/>
      </w:pPr>
      <w:r>
        <w:t xml:space="preserve">Issuers </w:t>
      </w:r>
      <w:r w:rsidR="00A21326">
        <w:t xml:space="preserve">that calibrate the Plan Adjusted Index Rate as described in the </w:t>
      </w:r>
      <w:r>
        <w:t xml:space="preserve">previous section </w:t>
      </w:r>
      <w:r w:rsidR="00A21326">
        <w:t xml:space="preserve">must calibrate the </w:t>
      </w:r>
      <w:r>
        <w:t>plans</w:t>
      </w:r>
      <w:r w:rsidR="00A21326">
        <w:t xml:space="preserve"> </w:t>
      </w:r>
      <w:r>
        <w:t xml:space="preserve">in the </w:t>
      </w:r>
      <w:r w:rsidR="00F12391">
        <w:t>single risk pool</w:t>
      </w:r>
      <w:r w:rsidR="00A21326">
        <w:t xml:space="preserve"> consistently</w:t>
      </w:r>
      <w:r>
        <w:t xml:space="preserve">; </w:t>
      </w:r>
      <w:r w:rsidR="00A21326" w:rsidRPr="006723F5">
        <w:t>in other words</w:t>
      </w:r>
      <w:r w:rsidR="00FD2916" w:rsidRPr="006723F5">
        <w:t>,</w:t>
      </w:r>
      <w:r w:rsidR="00A21326" w:rsidRPr="006723F5">
        <w:t xml:space="preserve"> </w:t>
      </w:r>
      <w:r w:rsidRPr="00784A9D">
        <w:rPr>
          <w:b/>
        </w:rPr>
        <w:t xml:space="preserve">the </w:t>
      </w:r>
      <w:r w:rsidR="00A21326">
        <w:rPr>
          <w:b/>
        </w:rPr>
        <w:t xml:space="preserve">calibration </w:t>
      </w:r>
      <w:r w:rsidRPr="00784A9D">
        <w:rPr>
          <w:b/>
        </w:rPr>
        <w:t>cannot vary by plan</w:t>
      </w:r>
      <w:r>
        <w:t xml:space="preserve">. </w:t>
      </w:r>
    </w:p>
    <w:p w14:paraId="4743D636" w14:textId="2DCF5B9E" w:rsidR="0023550E" w:rsidRDefault="00D74289" w:rsidP="00EA48E8">
      <w:pPr>
        <w:pStyle w:val="BodyText"/>
      </w:pPr>
      <w:r>
        <w:t>Issuers must apply the</w:t>
      </w:r>
      <w:r w:rsidR="00F31442">
        <w:t>se</w:t>
      </w:r>
      <w:r>
        <w:t xml:space="preserve"> </w:t>
      </w:r>
      <w:r w:rsidR="006D3657">
        <w:t xml:space="preserve">member </w:t>
      </w:r>
      <w:r>
        <w:t xml:space="preserve">level adjustments </w:t>
      </w:r>
      <w:r w:rsidR="00F31442">
        <w:t xml:space="preserve">as </w:t>
      </w:r>
      <w:r>
        <w:t xml:space="preserve">described in </w:t>
      </w:r>
      <w:r w:rsidR="00012173">
        <w:t>45 CFR</w:t>
      </w:r>
      <w:r w:rsidR="00FD2916">
        <w:t xml:space="preserve"> </w:t>
      </w:r>
      <w:r>
        <w:t xml:space="preserve">147.102 uniformly to all plans in the </w:t>
      </w:r>
      <w:r w:rsidR="00F12391">
        <w:t>single risk pool</w:t>
      </w:r>
      <w:r>
        <w:t xml:space="preserve">; </w:t>
      </w:r>
      <w:r w:rsidRPr="00784A9D">
        <w:rPr>
          <w:b/>
        </w:rPr>
        <w:t>these adjustments cannot vary by plan</w:t>
      </w:r>
      <w:r>
        <w:t>.</w:t>
      </w:r>
      <w:r w:rsidR="00F31442">
        <w:t xml:space="preserve"> </w:t>
      </w:r>
    </w:p>
    <w:p w14:paraId="107DBCCC" w14:textId="04FE0E1B" w:rsidR="0023550E" w:rsidRDefault="0023550E" w:rsidP="00926D0E">
      <w:pPr>
        <w:pStyle w:val="Heading3"/>
      </w:pPr>
      <w:bookmarkStart w:id="732" w:name="_Toc411347506"/>
      <w:bookmarkStart w:id="733" w:name="_Toc411523398"/>
      <w:bookmarkStart w:id="734" w:name="_Toc411866118"/>
      <w:bookmarkStart w:id="735" w:name="_Toc411866636"/>
      <w:bookmarkStart w:id="736" w:name="_Toc412032804"/>
      <w:bookmarkStart w:id="737" w:name="_Toc411936276"/>
      <w:bookmarkStart w:id="738" w:name="_Toc412287686"/>
      <w:bookmarkStart w:id="739" w:name="_Toc441756530"/>
      <w:r>
        <w:t>Consumer Adjusted Premium Rate Development</w:t>
      </w:r>
      <w:bookmarkEnd w:id="732"/>
      <w:bookmarkEnd w:id="733"/>
      <w:bookmarkEnd w:id="734"/>
      <w:bookmarkEnd w:id="735"/>
      <w:bookmarkEnd w:id="736"/>
      <w:bookmarkEnd w:id="737"/>
      <w:bookmarkEnd w:id="738"/>
      <w:bookmarkEnd w:id="739"/>
    </w:p>
    <w:p w14:paraId="42C09628" w14:textId="38CCA1C7" w:rsidR="0023550E" w:rsidRDefault="0023550E" w:rsidP="00481CB6">
      <w:pPr>
        <w:pStyle w:val="BodyText"/>
      </w:pPr>
      <w:r>
        <w:t>The Actuarial Memorandum should describe how each allowable consumer level adjustment is applied to the Plan Adjusted Index Rate so that the reviewing actuary can readily use the information to approximate Consumer Adjusted Premium Rates filed by the issuer.</w:t>
      </w:r>
    </w:p>
    <w:p w14:paraId="714D5146" w14:textId="593ADD0E" w:rsidR="0023550E" w:rsidRPr="00F02293" w:rsidRDefault="0023550E" w:rsidP="0023550E">
      <w:pPr>
        <w:pStyle w:val="BodyText"/>
      </w:pPr>
      <w:r>
        <w:t xml:space="preserve">The </w:t>
      </w:r>
      <w:r w:rsidRPr="0023550E">
        <w:t>Consumer Adjusted Premium Rate</w:t>
      </w:r>
      <w:r>
        <w:t xml:space="preserve">s are not </w:t>
      </w:r>
      <w:r w:rsidR="00481A0B">
        <w:t xml:space="preserve">displayed </w:t>
      </w:r>
      <w:r>
        <w:t xml:space="preserve">in the </w:t>
      </w:r>
      <w:r w:rsidR="00333B85">
        <w:t>URRT</w:t>
      </w:r>
      <w:r w:rsidR="00481A0B">
        <w:t>.</w:t>
      </w:r>
    </w:p>
    <w:p w14:paraId="3E33D4FA" w14:textId="77777777" w:rsidR="00E24794" w:rsidRPr="00D95236" w:rsidRDefault="00E24794" w:rsidP="008E5B0B">
      <w:pPr>
        <w:pStyle w:val="BodyText"/>
        <w:spacing w:after="0"/>
        <w:rPr>
          <w:b/>
        </w:rPr>
      </w:pPr>
      <w:r w:rsidRPr="00D95236">
        <w:rPr>
          <w:b/>
        </w:rPr>
        <w:t>Small Group Plan Premium Rates</w:t>
      </w:r>
    </w:p>
    <w:p w14:paraId="657E600C" w14:textId="3C7CD82D" w:rsidR="00E24794" w:rsidRDefault="00E24794" w:rsidP="00481CB6">
      <w:pPr>
        <w:pStyle w:val="BodyText"/>
      </w:pPr>
      <w:r>
        <w:t xml:space="preserve">If an issuer files small group rates with trend, </w:t>
      </w:r>
      <w:r w:rsidR="007637E3">
        <w:t xml:space="preserve">then </w:t>
      </w:r>
      <w:r>
        <w:t>the Index Rate, the Market Adjusted Index Rate</w:t>
      </w:r>
      <w:r w:rsidR="00EC1A0D">
        <w:t>,</w:t>
      </w:r>
      <w:r>
        <w:t xml:space="preserve"> and the Plan Adjusted Index Rate reflect the member weighted average premium over the calendar year (see example in Appendix </w:t>
      </w:r>
      <w:r w:rsidR="00ED5061">
        <w:t>A</w:t>
      </w:r>
      <w:r>
        <w:t>).</w:t>
      </w:r>
      <w:r w:rsidR="00D26C00">
        <w:t xml:space="preserve"> </w:t>
      </w:r>
      <w:r>
        <w:t xml:space="preserve"> As such, in the development of the </w:t>
      </w:r>
      <w:r w:rsidR="00EF43D5">
        <w:t>Consumer Adjusted</w:t>
      </w:r>
      <w:r>
        <w:t xml:space="preserve"> Premium Rates for small group plans in this case, the Plan Adjusted Index Rate must be adjusted to reflect the appropriate quarter</w:t>
      </w:r>
      <w:r w:rsidR="00A5178F">
        <w:t xml:space="preserve"> when the consumer level modifiers are applied.</w:t>
      </w:r>
      <w:r w:rsidR="00EF43D5">
        <w:t xml:space="preserve"> </w:t>
      </w:r>
      <w:r w:rsidR="00D26C00">
        <w:t xml:space="preserve"> </w:t>
      </w:r>
      <w:r w:rsidR="00EF43D5">
        <w:t>Issuers should provide the trend factors that apply to the weighted average Plan Adjusted Index Rates to develop the rates for each effective date included in the submission.</w:t>
      </w:r>
    </w:p>
    <w:p w14:paraId="3C379569" w14:textId="44083154" w:rsidR="00CE1846" w:rsidRDefault="00CE1846" w:rsidP="008E5B0B">
      <w:pPr>
        <w:pStyle w:val="Heading2"/>
      </w:pPr>
      <w:bookmarkStart w:id="740" w:name="_Toc411523399"/>
      <w:bookmarkStart w:id="741" w:name="_Toc411866119"/>
      <w:bookmarkStart w:id="742" w:name="_Toc411866637"/>
      <w:bookmarkStart w:id="743" w:name="_Toc412032805"/>
      <w:bookmarkStart w:id="744" w:name="_Toc411936277"/>
      <w:bookmarkStart w:id="745" w:name="_Toc412287687"/>
      <w:bookmarkStart w:id="746" w:name="_Toc441756531"/>
      <w:r>
        <w:t>Plan Product Info</w:t>
      </w:r>
      <w:bookmarkEnd w:id="740"/>
      <w:bookmarkEnd w:id="741"/>
      <w:bookmarkEnd w:id="742"/>
      <w:bookmarkEnd w:id="743"/>
      <w:bookmarkEnd w:id="744"/>
      <w:bookmarkEnd w:id="745"/>
      <w:bookmarkEnd w:id="746"/>
    </w:p>
    <w:p w14:paraId="3B6BA9F2" w14:textId="77777777" w:rsidR="006D2ED0" w:rsidRPr="006D2ED0" w:rsidRDefault="00481CB6" w:rsidP="00926D0E">
      <w:pPr>
        <w:pStyle w:val="Heading3"/>
      </w:pPr>
      <w:bookmarkStart w:id="747" w:name="_Toc411347507"/>
      <w:bookmarkStart w:id="748" w:name="_Toc411523400"/>
      <w:bookmarkStart w:id="749" w:name="_Toc411866120"/>
      <w:bookmarkStart w:id="750" w:name="_Toc411866638"/>
      <w:bookmarkStart w:id="751" w:name="_Toc412032806"/>
      <w:bookmarkStart w:id="752" w:name="_Toc411936278"/>
      <w:bookmarkStart w:id="753" w:name="_Toc412287688"/>
      <w:bookmarkStart w:id="754" w:name="_Toc441756532"/>
      <w:r w:rsidRPr="007718AD">
        <w:t xml:space="preserve">AV </w:t>
      </w:r>
      <w:r>
        <w:t>Metal</w:t>
      </w:r>
      <w:r w:rsidRPr="007718AD">
        <w:t xml:space="preserve"> Values</w:t>
      </w:r>
      <w:bookmarkEnd w:id="747"/>
      <w:bookmarkEnd w:id="748"/>
      <w:bookmarkEnd w:id="749"/>
      <w:bookmarkEnd w:id="750"/>
      <w:bookmarkEnd w:id="751"/>
      <w:bookmarkEnd w:id="752"/>
      <w:bookmarkEnd w:id="753"/>
      <w:bookmarkEnd w:id="754"/>
    </w:p>
    <w:p w14:paraId="2C6389B9" w14:textId="3FE6F9FB" w:rsidR="00481CB6" w:rsidRDefault="00481CB6" w:rsidP="00481CB6">
      <w:r w:rsidRPr="007718AD">
        <w:t xml:space="preserve">The issuer must describe whether the </w:t>
      </w:r>
      <w:r>
        <w:t>AV</w:t>
      </w:r>
      <w:r w:rsidRPr="007718AD">
        <w:t xml:space="preserve"> </w:t>
      </w:r>
      <w:r>
        <w:t>Metal V</w:t>
      </w:r>
      <w:r w:rsidRPr="007718AD">
        <w:t xml:space="preserve">alues included in Worksheet 2 of the </w:t>
      </w:r>
      <w:r w:rsidR="00333B85">
        <w:t>URRT</w:t>
      </w:r>
      <w:r w:rsidRPr="007718AD">
        <w:t xml:space="preserve"> were entirely based on the AV Calculator, or whether an acceptable alternative methodology was used to generate the </w:t>
      </w:r>
      <w:r>
        <w:t>AV</w:t>
      </w:r>
      <w:r w:rsidRPr="007718AD">
        <w:t xml:space="preserve"> </w:t>
      </w:r>
      <w:r>
        <w:t>Metal V</w:t>
      </w:r>
      <w:r w:rsidRPr="007718AD">
        <w:t xml:space="preserve">alue of one or more plans. </w:t>
      </w:r>
      <w:r w:rsidR="00D26C00">
        <w:t xml:space="preserve"> </w:t>
      </w:r>
      <w:r w:rsidRPr="007718AD">
        <w:t xml:space="preserve">If an alternate methodology was employed to develop the </w:t>
      </w:r>
      <w:r>
        <w:t>AV</w:t>
      </w:r>
      <w:r w:rsidRPr="007718AD">
        <w:t xml:space="preserve"> </w:t>
      </w:r>
      <w:r>
        <w:t>Metal V</w:t>
      </w:r>
      <w:r w:rsidRPr="007718AD">
        <w:t xml:space="preserve">alue(s), the actuary must </w:t>
      </w:r>
      <w:r>
        <w:t xml:space="preserve">provide a copy of the actuarial certification required by 45 CFR 156.135. </w:t>
      </w:r>
      <w:r w:rsidR="00D26C00">
        <w:t xml:space="preserve"> </w:t>
      </w:r>
      <w:r>
        <w:t xml:space="preserve">The certification must be signed by a member of the American Academy of Actuaries, and must indicate that the values were developed in accordance with generally accepted actuarial principles and methodologies. </w:t>
      </w:r>
    </w:p>
    <w:p w14:paraId="01A74BC3" w14:textId="3987B36B" w:rsidR="00481CB6" w:rsidRPr="007718AD" w:rsidRDefault="00481CB6" w:rsidP="00481CB6">
      <w:r>
        <w:t>The actuary must indicate the reason an alternate methodology was used,</w:t>
      </w:r>
      <w:r w:rsidRPr="005E5235">
        <w:t xml:space="preserve"> </w:t>
      </w:r>
      <w:r>
        <w:t xml:space="preserve">explain why the benefits for those plans for which an acceptable alternative methodology was used are not compatible with the AV Calculator, and state the chosen alternate methodology that was used for each applicable plan. </w:t>
      </w:r>
      <w:r w:rsidR="00D26C00">
        <w:t xml:space="preserve"> </w:t>
      </w:r>
      <w:r>
        <w:t xml:space="preserve">The actuary must describe the process that was used to develop the AV Metal Value. </w:t>
      </w:r>
    </w:p>
    <w:p w14:paraId="0A122B3F" w14:textId="77777777" w:rsidR="00481CB6" w:rsidRDefault="00481CB6" w:rsidP="00481CB6">
      <w:r w:rsidRPr="007718AD">
        <w:t xml:space="preserve">Actuaries are encouraged to refer to </w:t>
      </w:r>
      <w:r>
        <w:t>applicable</w:t>
      </w:r>
      <w:r w:rsidRPr="007718AD">
        <w:t xml:space="preserve"> practice note</w:t>
      </w:r>
      <w:r>
        <w:t>(s)</w:t>
      </w:r>
      <w:r w:rsidRPr="007718AD">
        <w:t xml:space="preserve"> for guidance on alternate methods of calculating </w:t>
      </w:r>
      <w:r w:rsidR="00175AC6">
        <w:t>AV</w:t>
      </w:r>
      <w:r w:rsidRPr="007718AD">
        <w:t>.</w:t>
      </w:r>
    </w:p>
    <w:p w14:paraId="7611B43A" w14:textId="77777777" w:rsidR="00B72160" w:rsidRPr="00B72160" w:rsidRDefault="00481CB6" w:rsidP="00926D0E">
      <w:pPr>
        <w:pStyle w:val="Heading3"/>
      </w:pPr>
      <w:bookmarkStart w:id="755" w:name="_Toc411347508"/>
      <w:bookmarkStart w:id="756" w:name="_Toc411523401"/>
      <w:bookmarkStart w:id="757" w:name="_Toc411866121"/>
      <w:bookmarkStart w:id="758" w:name="_Toc411866639"/>
      <w:bookmarkStart w:id="759" w:name="_Toc412032807"/>
      <w:bookmarkStart w:id="760" w:name="_Toc411936279"/>
      <w:bookmarkStart w:id="761" w:name="_Toc412287689"/>
      <w:bookmarkStart w:id="762" w:name="_Toc441756533"/>
      <w:r>
        <w:t>AV Pricing Values</w:t>
      </w:r>
      <w:bookmarkEnd w:id="755"/>
      <w:bookmarkEnd w:id="756"/>
      <w:bookmarkEnd w:id="757"/>
      <w:bookmarkEnd w:id="758"/>
      <w:bookmarkEnd w:id="759"/>
      <w:bookmarkEnd w:id="760"/>
      <w:bookmarkEnd w:id="761"/>
      <w:bookmarkEnd w:id="762"/>
    </w:p>
    <w:p w14:paraId="203BFE16" w14:textId="72809C41" w:rsidR="00481CB6" w:rsidRPr="00244206" w:rsidRDefault="00481CB6" w:rsidP="00481CB6">
      <w:pPr>
        <w:pStyle w:val="BodyText"/>
      </w:pPr>
      <w:r>
        <w:t xml:space="preserve">For each plan, indicate the portion of the AV Pricing Value that is attributable to each of the allowable modifiers to the </w:t>
      </w:r>
      <w:r w:rsidR="00D47158">
        <w:t>Index Rate</w:t>
      </w:r>
      <w:r>
        <w:t xml:space="preserve">, as described in 45 CFR </w:t>
      </w:r>
      <w:r w:rsidRPr="00EA2DAD">
        <w:t>156.80</w:t>
      </w:r>
      <w:r>
        <w:t xml:space="preserve">(d)(2). </w:t>
      </w:r>
      <w:r w:rsidR="00D26C00">
        <w:t xml:space="preserve"> </w:t>
      </w:r>
      <w:r>
        <w:t xml:space="preserve">If the adjustment for plan cost-sharing includes any expected differences in utilization due to these differences in </w:t>
      </w:r>
      <w:r w:rsidR="00F12391">
        <w:t>cost-sharing</w:t>
      </w:r>
      <w:r>
        <w:t>, describe in detail how the difference was estimated and how the methodology ensures that differences due to health status are not included in the adjustment.</w:t>
      </w:r>
    </w:p>
    <w:p w14:paraId="388F482B" w14:textId="77777777" w:rsidR="00FF74F3" w:rsidRDefault="00FF74F3" w:rsidP="00926D0E">
      <w:pPr>
        <w:pStyle w:val="Heading3"/>
      </w:pPr>
      <w:bookmarkStart w:id="763" w:name="_Toc411347509"/>
      <w:bookmarkStart w:id="764" w:name="_Toc411523402"/>
      <w:bookmarkStart w:id="765" w:name="_Toc411866122"/>
      <w:bookmarkStart w:id="766" w:name="_Toc411866640"/>
      <w:bookmarkStart w:id="767" w:name="_Toc412032808"/>
      <w:bookmarkStart w:id="768" w:name="_Toc411936280"/>
      <w:bookmarkStart w:id="769" w:name="_Toc412287690"/>
      <w:bookmarkStart w:id="770" w:name="_Toc441756534"/>
      <w:r>
        <w:t>Membership Projections</w:t>
      </w:r>
      <w:bookmarkEnd w:id="763"/>
      <w:bookmarkEnd w:id="764"/>
      <w:bookmarkEnd w:id="765"/>
      <w:bookmarkEnd w:id="766"/>
      <w:bookmarkEnd w:id="767"/>
      <w:bookmarkEnd w:id="768"/>
      <w:bookmarkEnd w:id="769"/>
      <w:bookmarkEnd w:id="770"/>
    </w:p>
    <w:p w14:paraId="6BD0599C" w14:textId="6BE621C0" w:rsidR="00EE5D33" w:rsidRDefault="00EE5D33" w:rsidP="00754E85">
      <w:pPr>
        <w:pStyle w:val="BodyText"/>
      </w:pPr>
      <w:r>
        <w:t>Describe how</w:t>
      </w:r>
      <w:r w:rsidR="00FF74F3">
        <w:t xml:space="preserve"> the membership projections</w:t>
      </w:r>
      <w:r>
        <w:t xml:space="preserve"> </w:t>
      </w:r>
      <w:r w:rsidR="00FF74F3">
        <w:t xml:space="preserve">found in Worksheet 2 of the </w:t>
      </w:r>
      <w:r w:rsidR="002467DF">
        <w:t>URRT</w:t>
      </w:r>
      <w:r>
        <w:t xml:space="preserve"> were developed</w:t>
      </w:r>
      <w:r w:rsidR="00FF74F3">
        <w:t>.</w:t>
      </w:r>
      <w:r>
        <w:t xml:space="preserve"> </w:t>
      </w:r>
      <w:r w:rsidR="00D26C00">
        <w:t xml:space="preserve"> </w:t>
      </w:r>
      <w:r>
        <w:t>Items impacting these projection</w:t>
      </w:r>
      <w:r w:rsidR="00754E85">
        <w:t>s</w:t>
      </w:r>
      <w:r>
        <w:t xml:space="preserve"> could include</w:t>
      </w:r>
      <w:r w:rsidR="00FD2916">
        <w:t>,</w:t>
      </w:r>
      <w:r>
        <w:t xml:space="preserve"> but </w:t>
      </w:r>
      <w:r w:rsidR="008F44D5">
        <w:t xml:space="preserve">are </w:t>
      </w:r>
      <w:r>
        <w:t>not limited to</w:t>
      </w:r>
      <w:r w:rsidR="00FD2916">
        <w:t>,</w:t>
      </w:r>
      <w:r w:rsidR="00754E85">
        <w:t xml:space="preserve"> changes</w:t>
      </w:r>
      <w:r>
        <w:t xml:space="preserve"> </w:t>
      </w:r>
      <w:r w:rsidR="00754E85">
        <w:t>in</w:t>
      </w:r>
      <w:r>
        <w:t xml:space="preserve"> the size of the market due to introduction of guarantee</w:t>
      </w:r>
      <w:r w:rsidR="00496F5D">
        <w:t>d</w:t>
      </w:r>
      <w:r>
        <w:t xml:space="preserve"> </w:t>
      </w:r>
      <w:r w:rsidR="00FD2916">
        <w:t xml:space="preserve">availability </w:t>
      </w:r>
      <w:r>
        <w:t>requirements (individual market)</w:t>
      </w:r>
      <w:r w:rsidR="00754E85">
        <w:t>, the individual mandate, expansion of Medicaid, and the introduction of a Basic Health Program</w:t>
      </w:r>
      <w:r w:rsidR="008F44D5">
        <w:t>.</w:t>
      </w:r>
    </w:p>
    <w:p w14:paraId="330A9428" w14:textId="77777777" w:rsidR="002C4FA6" w:rsidRDefault="0005390B" w:rsidP="00754E85">
      <w:pPr>
        <w:pStyle w:val="BodyText"/>
      </w:pPr>
      <w:r w:rsidRPr="0005390B">
        <w:t>Describe how projected member months by plan were developed relative to current membership by plan and explain any differences.</w:t>
      </w:r>
    </w:p>
    <w:p w14:paraId="37E29E52" w14:textId="5163A3D1" w:rsidR="00387C18" w:rsidRDefault="00387C18" w:rsidP="00754E85">
      <w:pPr>
        <w:pStyle w:val="BodyText"/>
      </w:pPr>
      <w:r>
        <w:t>For Silver level plans</w:t>
      </w:r>
      <w:r w:rsidR="007E42FA">
        <w:t xml:space="preserve"> in the individual or combined markets</w:t>
      </w:r>
      <w:r>
        <w:t xml:space="preserve">, describe the methodology used to estimate the portion of projected enrollment that will be eligible for </w:t>
      </w:r>
      <w:r w:rsidR="00F12391">
        <w:t>cost-sharing</w:t>
      </w:r>
      <w:r>
        <w:t xml:space="preserve"> reduction subsidies</w:t>
      </w:r>
      <w:r w:rsidR="00BF6BDD">
        <w:t xml:space="preserve"> at each subsidy level.</w:t>
      </w:r>
      <w:r w:rsidR="003F3E54">
        <w:t xml:space="preserve"> </w:t>
      </w:r>
      <w:r w:rsidR="00D26C00">
        <w:t xml:space="preserve"> </w:t>
      </w:r>
      <w:r w:rsidR="003F3E54">
        <w:t>State the resulting projected enrollment by plan and subsidy level.</w:t>
      </w:r>
    </w:p>
    <w:p w14:paraId="0BE076D3" w14:textId="77777777" w:rsidR="006D2ED0" w:rsidRDefault="00F560D8" w:rsidP="00926D0E">
      <w:pPr>
        <w:pStyle w:val="Heading3"/>
      </w:pPr>
      <w:bookmarkStart w:id="771" w:name="_Toc411347510"/>
      <w:bookmarkStart w:id="772" w:name="_Toc411523403"/>
      <w:bookmarkStart w:id="773" w:name="_Toc411866123"/>
      <w:bookmarkStart w:id="774" w:name="_Toc411866641"/>
      <w:bookmarkStart w:id="775" w:name="_Toc412032809"/>
      <w:bookmarkStart w:id="776" w:name="_Toc411936281"/>
      <w:bookmarkStart w:id="777" w:name="_Toc412287691"/>
      <w:bookmarkStart w:id="778" w:name="_Toc441756535"/>
      <w:r>
        <w:t xml:space="preserve">Terminated </w:t>
      </w:r>
      <w:r w:rsidR="00E46D7F">
        <w:t xml:space="preserve">Plans and </w:t>
      </w:r>
      <w:r>
        <w:t>Products</w:t>
      </w:r>
      <w:bookmarkEnd w:id="771"/>
      <w:bookmarkEnd w:id="772"/>
      <w:bookmarkEnd w:id="773"/>
      <w:bookmarkEnd w:id="774"/>
      <w:bookmarkEnd w:id="775"/>
      <w:bookmarkEnd w:id="776"/>
      <w:bookmarkEnd w:id="777"/>
      <w:bookmarkEnd w:id="778"/>
    </w:p>
    <w:p w14:paraId="3D3B379F" w14:textId="5C00FEF5" w:rsidR="00E5660F" w:rsidRDefault="00206CA7" w:rsidP="002764E0">
      <w:pPr>
        <w:pStyle w:val="BodyText"/>
        <w:keepNext/>
      </w:pPr>
      <w:r>
        <w:t>Include a</w:t>
      </w:r>
      <w:r w:rsidR="002764E0" w:rsidRPr="002764E0">
        <w:t xml:space="preserve"> list of terminated plans and any mappings to existing</w:t>
      </w:r>
      <w:r w:rsidR="007F09E6">
        <w:t xml:space="preserve"> or new</w:t>
      </w:r>
      <w:r w:rsidR="002764E0" w:rsidRPr="002764E0">
        <w:t xml:space="preserve"> plans. </w:t>
      </w:r>
      <w:r w:rsidR="00D26C00">
        <w:t xml:space="preserve"> </w:t>
      </w:r>
      <w:r w:rsidR="002764E0" w:rsidRPr="002764E0">
        <w:t xml:space="preserve">List the name of each plan and product that will be terminated prior to the effective date. </w:t>
      </w:r>
      <w:r w:rsidR="00D26C00">
        <w:t xml:space="preserve"> </w:t>
      </w:r>
      <w:r w:rsidR="002764E0" w:rsidRPr="002764E0">
        <w:t xml:space="preserve">Include plans and products that have experience included in the single risk pool during the experience period and any products that were not in effect during the experience but were made available thereafter. </w:t>
      </w:r>
      <w:r w:rsidR="00D26C00">
        <w:t xml:space="preserve"> </w:t>
      </w:r>
      <w:r w:rsidR="002764E0" w:rsidRPr="002764E0">
        <w:t xml:space="preserve">If a terminated plan will be mapped to </w:t>
      </w:r>
      <w:r w:rsidR="007602BB">
        <w:t xml:space="preserve">a </w:t>
      </w:r>
      <w:r w:rsidR="002764E0" w:rsidRPr="002764E0">
        <w:t xml:space="preserve">different plan in the projection period, the issuer must provide a cross-walk between the terminated plan(s) and the new plan(s). </w:t>
      </w:r>
    </w:p>
    <w:p w14:paraId="23D1A6BB" w14:textId="77777777" w:rsidR="007024A6" w:rsidRPr="007024A6" w:rsidRDefault="00387C18" w:rsidP="00926D0E">
      <w:pPr>
        <w:pStyle w:val="Heading3"/>
      </w:pPr>
      <w:bookmarkStart w:id="779" w:name="_Toc411347511"/>
      <w:bookmarkStart w:id="780" w:name="_Toc411523404"/>
      <w:bookmarkStart w:id="781" w:name="_Toc411866124"/>
      <w:bookmarkStart w:id="782" w:name="_Toc411866642"/>
      <w:bookmarkStart w:id="783" w:name="_Toc412032810"/>
      <w:bookmarkStart w:id="784" w:name="_Toc411936282"/>
      <w:bookmarkStart w:id="785" w:name="_Toc412287692"/>
      <w:bookmarkStart w:id="786" w:name="_Toc441756536"/>
      <w:r>
        <w:t>Plan Type</w:t>
      </w:r>
      <w:bookmarkEnd w:id="779"/>
      <w:bookmarkEnd w:id="780"/>
      <w:bookmarkEnd w:id="781"/>
      <w:bookmarkEnd w:id="782"/>
      <w:bookmarkEnd w:id="783"/>
      <w:bookmarkEnd w:id="784"/>
      <w:bookmarkEnd w:id="785"/>
      <w:bookmarkEnd w:id="786"/>
    </w:p>
    <w:p w14:paraId="3CF610DA" w14:textId="77777777" w:rsidR="00387C18" w:rsidRDefault="00387C18" w:rsidP="00387C18">
      <w:pPr>
        <w:pStyle w:val="BodyText"/>
      </w:pPr>
      <w:r>
        <w:t xml:space="preserve">In the event that the plan types listed in the drop-down box in Worksheet 2, Section I of the </w:t>
      </w:r>
      <w:r w:rsidR="00333B85">
        <w:t>URRT</w:t>
      </w:r>
      <w:r>
        <w:t xml:space="preserve"> do not describe an issuer’s plan exactly and the issuer has selected the closest plan available, per the instructions, please describe the differences between the issuer’s plan and the plan type selected.  </w:t>
      </w:r>
    </w:p>
    <w:p w14:paraId="46F14885" w14:textId="77777777" w:rsidR="0057732A" w:rsidRDefault="0057732A" w:rsidP="00926D0E">
      <w:pPr>
        <w:pStyle w:val="Heading3"/>
      </w:pPr>
      <w:bookmarkStart w:id="787" w:name="_Toc411347512"/>
      <w:bookmarkStart w:id="788" w:name="_Toc411523405"/>
      <w:bookmarkStart w:id="789" w:name="_Toc411866125"/>
      <w:bookmarkStart w:id="790" w:name="_Toc411866643"/>
      <w:bookmarkStart w:id="791" w:name="_Toc412032811"/>
      <w:bookmarkStart w:id="792" w:name="_Toc411936283"/>
      <w:bookmarkStart w:id="793" w:name="_Toc412287693"/>
      <w:bookmarkStart w:id="794" w:name="_Toc441756537"/>
      <w:r>
        <w:t>Warning Alerts</w:t>
      </w:r>
      <w:bookmarkEnd w:id="787"/>
      <w:bookmarkEnd w:id="788"/>
      <w:bookmarkEnd w:id="789"/>
      <w:bookmarkEnd w:id="790"/>
      <w:bookmarkEnd w:id="791"/>
      <w:bookmarkEnd w:id="792"/>
      <w:bookmarkEnd w:id="793"/>
      <w:bookmarkEnd w:id="794"/>
    </w:p>
    <w:p w14:paraId="3178018A" w14:textId="239BAB2A" w:rsidR="002C4FA6" w:rsidRDefault="002C4FA6" w:rsidP="00754E85">
      <w:pPr>
        <w:pStyle w:val="BodyText"/>
      </w:pPr>
      <w:r>
        <w:t xml:space="preserve">Describe any difference between the sum of the plan level projections in Worksheet 2 and the total projected </w:t>
      </w:r>
      <w:r w:rsidR="0057732A">
        <w:t>amounts</w:t>
      </w:r>
      <w:r>
        <w:t xml:space="preserve"> found on Worksheet 1.</w:t>
      </w:r>
      <w:r w:rsidR="0057732A">
        <w:t xml:space="preserve"> </w:t>
      </w:r>
      <w:r w:rsidR="00D26C00">
        <w:t xml:space="preserve"> </w:t>
      </w:r>
      <w:r w:rsidR="0057732A">
        <w:t>These differences are indicated by Warning Alerts in Worksheet 2.</w:t>
      </w:r>
    </w:p>
    <w:p w14:paraId="63DFE233" w14:textId="77777777" w:rsidR="00CE1846" w:rsidRDefault="00CE1846" w:rsidP="008E5B0B">
      <w:pPr>
        <w:pStyle w:val="Heading2"/>
      </w:pPr>
      <w:bookmarkStart w:id="795" w:name="_Toc411523406"/>
      <w:bookmarkStart w:id="796" w:name="_Toc411866126"/>
      <w:bookmarkStart w:id="797" w:name="_Toc411866644"/>
      <w:bookmarkStart w:id="798" w:name="_Toc412032812"/>
      <w:bookmarkStart w:id="799" w:name="_Toc411936284"/>
      <w:bookmarkStart w:id="800" w:name="_Toc412287694"/>
      <w:bookmarkStart w:id="801" w:name="_Toc441756538"/>
      <w:r>
        <w:t>Miscellaneous Instructions</w:t>
      </w:r>
      <w:bookmarkEnd w:id="795"/>
      <w:bookmarkEnd w:id="796"/>
      <w:bookmarkEnd w:id="797"/>
      <w:bookmarkEnd w:id="798"/>
      <w:bookmarkEnd w:id="799"/>
      <w:bookmarkEnd w:id="800"/>
      <w:bookmarkEnd w:id="801"/>
    </w:p>
    <w:p w14:paraId="1EF59AEB" w14:textId="77777777" w:rsidR="007024A6" w:rsidRDefault="002C043A" w:rsidP="00926D0E">
      <w:pPr>
        <w:pStyle w:val="Heading3"/>
      </w:pPr>
      <w:bookmarkStart w:id="802" w:name="_Toc411347513"/>
      <w:bookmarkStart w:id="803" w:name="_Toc411523407"/>
      <w:bookmarkStart w:id="804" w:name="_Toc411866127"/>
      <w:bookmarkStart w:id="805" w:name="_Toc411866645"/>
      <w:bookmarkStart w:id="806" w:name="_Toc412032813"/>
      <w:bookmarkStart w:id="807" w:name="_Toc411936285"/>
      <w:bookmarkStart w:id="808" w:name="_Toc412287695"/>
      <w:bookmarkStart w:id="809" w:name="_Toc441756539"/>
      <w:r>
        <w:t>Effective Rate Review Information (optional)</w:t>
      </w:r>
      <w:bookmarkEnd w:id="802"/>
      <w:bookmarkEnd w:id="803"/>
      <w:bookmarkEnd w:id="804"/>
      <w:bookmarkEnd w:id="805"/>
      <w:bookmarkEnd w:id="806"/>
      <w:bookmarkEnd w:id="807"/>
      <w:bookmarkEnd w:id="808"/>
      <w:bookmarkEnd w:id="809"/>
    </w:p>
    <w:p w14:paraId="4F44DB6C" w14:textId="19A8C252" w:rsidR="002C043A" w:rsidRPr="004F1A59" w:rsidRDefault="002C043A" w:rsidP="00A54358">
      <w:pPr>
        <w:pStyle w:val="BodyText"/>
      </w:pPr>
      <w:r>
        <w:t xml:space="preserve">45 CFR </w:t>
      </w:r>
      <w:r w:rsidRPr="002C043A">
        <w:t>154.301</w:t>
      </w:r>
      <w:r>
        <w:t xml:space="preserve"> describes the elements of an </w:t>
      </w:r>
      <w:r w:rsidR="007602BB">
        <w:t>E</w:t>
      </w:r>
      <w:r>
        <w:t xml:space="preserve">ffective </w:t>
      </w:r>
      <w:r w:rsidR="007602BB">
        <w:t>R</w:t>
      </w:r>
      <w:r>
        <w:t xml:space="preserve">ate </w:t>
      </w:r>
      <w:r w:rsidR="007602BB">
        <w:t>R</w:t>
      </w:r>
      <w:r>
        <w:t xml:space="preserve">eview </w:t>
      </w:r>
      <w:r w:rsidR="007602BB">
        <w:t>P</w:t>
      </w:r>
      <w:r>
        <w:t xml:space="preserve">rogram. </w:t>
      </w:r>
      <w:r w:rsidR="00D26C00">
        <w:t xml:space="preserve"> </w:t>
      </w:r>
      <w:r>
        <w:t xml:space="preserve">There are elements of an effective rate review for which the data needed to perform the review is not explicitly shown on </w:t>
      </w:r>
      <w:r w:rsidR="00566DE7">
        <w:t>URRT</w:t>
      </w:r>
      <w:r>
        <w:t xml:space="preserve"> </w:t>
      </w:r>
      <w:r w:rsidR="00C63366">
        <w:t>(</w:t>
      </w:r>
      <w:r>
        <w:t>e.g., the health insurance issuer’s capital and surplus</w:t>
      </w:r>
      <w:r w:rsidR="00C63366">
        <w:t>)</w:t>
      </w:r>
      <w:r>
        <w:t xml:space="preserve">. </w:t>
      </w:r>
      <w:r w:rsidR="00D26C00">
        <w:t xml:space="preserve"> </w:t>
      </w:r>
      <w:r>
        <w:t xml:space="preserve">Issuers may optionally provide additional information to facilitate an effective review of the submitted rate increase(s). </w:t>
      </w:r>
      <w:r w:rsidR="00D26C00">
        <w:t xml:space="preserve"> </w:t>
      </w:r>
      <w:r>
        <w:t xml:space="preserve">While this information is </w:t>
      </w:r>
      <w:r w:rsidR="00C243FE">
        <w:t>optional, providing</w:t>
      </w:r>
      <w:r>
        <w:t xml:space="preserve"> the information with the initial submission reduces the likelihood of the reviewer requesting supplemental information during the course of the rate review.</w:t>
      </w:r>
      <w:r w:rsidR="008523D0">
        <w:t xml:space="preserve"> </w:t>
      </w:r>
      <w:r w:rsidR="00D26C00">
        <w:t xml:space="preserve"> </w:t>
      </w:r>
      <w:r w:rsidR="008523D0">
        <w:t xml:space="preserve">In addition, states may have additional data requirements. </w:t>
      </w:r>
      <w:r w:rsidR="00D26C00">
        <w:t xml:space="preserve"> </w:t>
      </w:r>
      <w:r w:rsidR="008523D0">
        <w:t>Additional state-</w:t>
      </w:r>
      <w:r w:rsidR="00391183">
        <w:t xml:space="preserve">specific </w:t>
      </w:r>
      <w:r w:rsidR="008523D0">
        <w:t xml:space="preserve">required data may be submitted with the </w:t>
      </w:r>
      <w:r w:rsidR="001506C4">
        <w:t xml:space="preserve">URR </w:t>
      </w:r>
      <w:r w:rsidR="008523D0">
        <w:t>submission</w:t>
      </w:r>
      <w:r w:rsidR="00206CA7">
        <w:t>.</w:t>
      </w:r>
    </w:p>
    <w:p w14:paraId="1FA2A4F7" w14:textId="77777777" w:rsidR="004342BB" w:rsidRDefault="004342BB" w:rsidP="00926D0E">
      <w:pPr>
        <w:pStyle w:val="Heading3"/>
      </w:pPr>
      <w:bookmarkStart w:id="810" w:name="_Toc411347514"/>
      <w:bookmarkStart w:id="811" w:name="_Toc411523408"/>
      <w:bookmarkStart w:id="812" w:name="_Toc411866128"/>
      <w:bookmarkStart w:id="813" w:name="_Toc411866646"/>
      <w:bookmarkStart w:id="814" w:name="_Toc412032814"/>
      <w:bookmarkStart w:id="815" w:name="_Toc411936286"/>
      <w:bookmarkStart w:id="816" w:name="_Toc412287696"/>
      <w:bookmarkStart w:id="817" w:name="_Toc441756540"/>
      <w:r w:rsidRPr="007718AD">
        <w:t>Reliance</w:t>
      </w:r>
      <w:bookmarkEnd w:id="810"/>
      <w:bookmarkEnd w:id="811"/>
      <w:bookmarkEnd w:id="812"/>
      <w:bookmarkEnd w:id="813"/>
      <w:bookmarkEnd w:id="814"/>
      <w:bookmarkEnd w:id="815"/>
      <w:bookmarkEnd w:id="816"/>
      <w:bookmarkEnd w:id="817"/>
    </w:p>
    <w:p w14:paraId="3D9F4C55" w14:textId="77777777" w:rsidR="004342BB" w:rsidRPr="007718AD" w:rsidRDefault="004342BB" w:rsidP="000771D9">
      <w:pPr>
        <w:pStyle w:val="BodyText"/>
      </w:pPr>
      <w:r w:rsidRPr="007718AD">
        <w:t>If</w:t>
      </w:r>
      <w:r w:rsidR="00955B70" w:rsidRPr="007718AD">
        <w:t xml:space="preserve">, in </w:t>
      </w:r>
      <w:r w:rsidR="008523D0">
        <w:t xml:space="preserve">preparing the </w:t>
      </w:r>
      <w:r w:rsidR="00566DE7">
        <w:t>URRT</w:t>
      </w:r>
      <w:r w:rsidR="00A57AE8">
        <w:t xml:space="preserve"> </w:t>
      </w:r>
      <w:r w:rsidR="008523D0">
        <w:t>submission</w:t>
      </w:r>
      <w:r w:rsidR="00955B70" w:rsidRPr="007718AD">
        <w:t xml:space="preserve">, </w:t>
      </w:r>
      <w:r w:rsidRPr="007718AD">
        <w:t xml:space="preserve">the certifying actuary relied on any information </w:t>
      </w:r>
      <w:r w:rsidR="00955B70" w:rsidRPr="007718AD">
        <w:t xml:space="preserve">or underlying assumptions </w:t>
      </w:r>
      <w:r w:rsidRPr="007718AD">
        <w:t>provided by another individual</w:t>
      </w:r>
      <w:r w:rsidR="00813FED" w:rsidRPr="007718AD">
        <w:t>,</w:t>
      </w:r>
      <w:r w:rsidR="00955B70" w:rsidRPr="007718AD">
        <w:t xml:space="preserve"> the information relied upon and the name of the individual providing that information </w:t>
      </w:r>
      <w:r w:rsidR="008523D0">
        <w:t>may</w:t>
      </w:r>
      <w:r w:rsidR="008523D0" w:rsidRPr="007718AD">
        <w:t xml:space="preserve"> </w:t>
      </w:r>
      <w:r w:rsidR="00955B70" w:rsidRPr="007718AD">
        <w:t>be disclosed.</w:t>
      </w:r>
      <w:r w:rsidRPr="007718AD">
        <w:t xml:space="preserve"> </w:t>
      </w:r>
    </w:p>
    <w:p w14:paraId="23401FFD" w14:textId="77777777" w:rsidR="00C01F04" w:rsidRPr="007718AD" w:rsidRDefault="00C01F04" w:rsidP="00926D0E">
      <w:pPr>
        <w:pStyle w:val="Heading3"/>
      </w:pPr>
      <w:bookmarkStart w:id="818" w:name="_Toc411347515"/>
      <w:bookmarkStart w:id="819" w:name="_Toc411523409"/>
      <w:bookmarkStart w:id="820" w:name="_Toc411866129"/>
      <w:bookmarkStart w:id="821" w:name="_Toc411866647"/>
      <w:bookmarkStart w:id="822" w:name="_Toc412032815"/>
      <w:bookmarkStart w:id="823" w:name="_Toc411936287"/>
      <w:bookmarkStart w:id="824" w:name="_Toc412287697"/>
      <w:bookmarkStart w:id="825" w:name="_Toc441756541"/>
      <w:r w:rsidRPr="007718AD">
        <w:t>Actuarial Certification</w:t>
      </w:r>
      <w:bookmarkEnd w:id="818"/>
      <w:bookmarkEnd w:id="819"/>
      <w:bookmarkEnd w:id="820"/>
      <w:bookmarkEnd w:id="821"/>
      <w:bookmarkEnd w:id="822"/>
      <w:bookmarkEnd w:id="823"/>
      <w:bookmarkEnd w:id="824"/>
      <w:bookmarkEnd w:id="825"/>
    </w:p>
    <w:p w14:paraId="6E17EED8" w14:textId="77777777" w:rsidR="00B556B2" w:rsidRDefault="0033352F" w:rsidP="00ED5D1B">
      <w:r w:rsidRPr="007718AD">
        <w:t xml:space="preserve">An actuarial certification must be provided for </w:t>
      </w:r>
      <w:r w:rsidR="00B556B2">
        <w:t>the following:</w:t>
      </w:r>
    </w:p>
    <w:p w14:paraId="2732CEAE" w14:textId="77777777" w:rsidR="00B556B2" w:rsidRDefault="007602BB" w:rsidP="006723F5">
      <w:pPr>
        <w:pStyle w:val="ListParagraph"/>
        <w:numPr>
          <w:ilvl w:val="0"/>
          <w:numId w:val="25"/>
        </w:numPr>
      </w:pPr>
      <w:r>
        <w:t>T</w:t>
      </w:r>
      <w:r w:rsidR="00B556B2" w:rsidRPr="009E4EED">
        <w:t xml:space="preserve">he methodology used to calculate the </w:t>
      </w:r>
      <w:r w:rsidR="00A57AE8">
        <w:t>AV Metal Value</w:t>
      </w:r>
      <w:r w:rsidR="00B556B2" w:rsidRPr="009E4EED">
        <w:t xml:space="preserve"> for each plan</w:t>
      </w:r>
      <w:r>
        <w:t>;</w:t>
      </w:r>
      <w:r w:rsidR="00B556B2">
        <w:t xml:space="preserve"> </w:t>
      </w:r>
    </w:p>
    <w:p w14:paraId="632FA693" w14:textId="77777777" w:rsidR="00B556B2" w:rsidRDefault="007602BB" w:rsidP="006723F5">
      <w:pPr>
        <w:pStyle w:val="ListParagraph"/>
        <w:numPr>
          <w:ilvl w:val="0"/>
          <w:numId w:val="25"/>
        </w:numPr>
      </w:pPr>
      <w:r>
        <w:t>T</w:t>
      </w:r>
      <w:r w:rsidR="00B556B2" w:rsidRPr="009E4EED">
        <w:t xml:space="preserve">he appropriateness of the essential health benefit portion of premium upon which </w:t>
      </w:r>
      <w:r w:rsidR="00B556B2">
        <w:t xml:space="preserve">advanced payment of premium tax credits (APTCs) </w:t>
      </w:r>
      <w:r w:rsidR="00B556B2" w:rsidRPr="009E4EED">
        <w:t>are based</w:t>
      </w:r>
      <w:r>
        <w:t>;</w:t>
      </w:r>
    </w:p>
    <w:p w14:paraId="36164C8A" w14:textId="50015F80" w:rsidR="00B556B2" w:rsidRDefault="007602BB" w:rsidP="006723F5">
      <w:pPr>
        <w:pStyle w:val="ListParagraph"/>
        <w:numPr>
          <w:ilvl w:val="0"/>
          <w:numId w:val="25"/>
        </w:numPr>
      </w:pPr>
      <w:r>
        <w:t>T</w:t>
      </w:r>
      <w:r w:rsidR="00B556B2">
        <w:t xml:space="preserve">he </w:t>
      </w:r>
      <w:r w:rsidR="00D47158">
        <w:t>Index Rate</w:t>
      </w:r>
      <w:r w:rsidR="00B556B2">
        <w:t xml:space="preserve"> is developed in accordance with </w:t>
      </w:r>
      <w:r w:rsidR="00F12391">
        <w:t>F</w:t>
      </w:r>
      <w:r w:rsidR="00B556B2">
        <w:t>ederal regulations</w:t>
      </w:r>
      <w:r w:rsidR="00C63366">
        <w:t>,</w:t>
      </w:r>
      <w:r w:rsidR="00B556B2">
        <w:t xml:space="preserve"> and the </w:t>
      </w:r>
      <w:r w:rsidR="00D47158">
        <w:t>Index Rate</w:t>
      </w:r>
      <w:r w:rsidR="00B556B2">
        <w:t xml:space="preserve"> along with allowable modif</w:t>
      </w:r>
      <w:r w:rsidR="000D17AF">
        <w:t>i</w:t>
      </w:r>
      <w:r w:rsidR="00B556B2">
        <w:t>ers are used in the development of plan specific premium rates</w:t>
      </w:r>
      <w:r>
        <w:t>; and</w:t>
      </w:r>
    </w:p>
    <w:p w14:paraId="10831CA2" w14:textId="77777777" w:rsidR="00755D2C" w:rsidRDefault="007602BB" w:rsidP="006723F5">
      <w:pPr>
        <w:pStyle w:val="ListParagraph"/>
        <w:numPr>
          <w:ilvl w:val="0"/>
          <w:numId w:val="25"/>
        </w:numPr>
      </w:pPr>
      <w:r>
        <w:t>T</w:t>
      </w:r>
      <w:r w:rsidR="00755D2C">
        <w:t xml:space="preserve">he geographic rating factors reflect only differences in the costs of delivery (which can </w:t>
      </w:r>
      <w:r w:rsidR="003B1CE0">
        <w:t xml:space="preserve">include </w:t>
      </w:r>
      <w:r w:rsidR="00755D2C">
        <w:t>unit cost and provider practice pattern differences) and do not include differences for population morbidity by geographic area.</w:t>
      </w:r>
    </w:p>
    <w:p w14:paraId="10EE25CE" w14:textId="77777777" w:rsidR="00CF4176" w:rsidRDefault="00CF4176" w:rsidP="00B556B2">
      <w:pPr>
        <w:pStyle w:val="ListParagraph"/>
        <w:ind w:left="0"/>
      </w:pPr>
    </w:p>
    <w:p w14:paraId="1B2D1718" w14:textId="77777777" w:rsidR="00B556B2" w:rsidRPr="009E4EED" w:rsidRDefault="00B556B2" w:rsidP="00B556B2">
      <w:pPr>
        <w:pStyle w:val="ListParagraph"/>
        <w:ind w:left="0"/>
      </w:pPr>
      <w:r>
        <w:t>S</w:t>
      </w:r>
      <w:r w:rsidRPr="009E4EED">
        <w:t>tate specific required information or certifications may also be included</w:t>
      </w:r>
      <w:r>
        <w:t xml:space="preserve"> at the actuary’s discretion</w:t>
      </w:r>
      <w:r w:rsidRPr="009E4EED">
        <w:t>.</w:t>
      </w:r>
      <w:r>
        <w:t xml:space="preserve"> If an actuary chooses to exclude this information from the Actuarial Memorandum, this information would need to be provided to the </w:t>
      </w:r>
      <w:r w:rsidR="00A57AE8">
        <w:t xml:space="preserve">state </w:t>
      </w:r>
      <w:r>
        <w:t>regulatory agency under separate cover.</w:t>
      </w:r>
    </w:p>
    <w:p w14:paraId="2BDBC398" w14:textId="2F9303B2" w:rsidR="0033352F" w:rsidRPr="007718AD" w:rsidRDefault="0033352F" w:rsidP="00ED5D1B">
      <w:r w:rsidRPr="007718AD">
        <w:t xml:space="preserve">The opining actuary must be a member of the American Academy of Actuaries, in good standing, and have the education and experience necessary to perform the work. </w:t>
      </w:r>
      <w:r w:rsidR="00D26C00">
        <w:t xml:space="preserve"> </w:t>
      </w:r>
      <w:r w:rsidRPr="007718AD">
        <w:t xml:space="preserve">The actuary must </w:t>
      </w:r>
      <w:r w:rsidR="00475673" w:rsidRPr="007718AD">
        <w:t>develop rates</w:t>
      </w:r>
      <w:r w:rsidRPr="007718AD">
        <w:t xml:space="preserve"> in accordance with the appropriate Actuarial Standards of Practice (ASOPs) and the profession’s Code of Professional Conduct. </w:t>
      </w:r>
      <w:r w:rsidR="00D26C00">
        <w:t xml:space="preserve"> </w:t>
      </w:r>
      <w:r w:rsidRPr="007718AD">
        <w:t xml:space="preserve">While other ASOPs </w:t>
      </w:r>
      <w:r w:rsidR="00475673" w:rsidRPr="007718AD">
        <w:t>apply, particular emphasis is placed on the following:</w:t>
      </w:r>
    </w:p>
    <w:p w14:paraId="28EB69D3" w14:textId="77777777" w:rsidR="00475673" w:rsidRPr="007718AD" w:rsidRDefault="00475673" w:rsidP="006723F5">
      <w:pPr>
        <w:pStyle w:val="ListParagraph"/>
        <w:numPr>
          <w:ilvl w:val="0"/>
          <w:numId w:val="21"/>
        </w:numPr>
        <w:autoSpaceDE w:val="0"/>
        <w:autoSpaceDN w:val="0"/>
        <w:adjustRightInd w:val="0"/>
        <w:spacing w:after="61"/>
        <w:rPr>
          <w:rFonts w:eastAsiaTheme="minorHAnsi" w:cstheme="minorHAnsi"/>
          <w:color w:val="000000"/>
        </w:rPr>
      </w:pPr>
      <w:r w:rsidRPr="007718AD">
        <w:rPr>
          <w:rFonts w:eastAsiaTheme="minorHAnsi" w:cstheme="minorHAnsi"/>
          <w:color w:val="000000"/>
        </w:rPr>
        <w:t xml:space="preserve">ASOP No. 5, </w:t>
      </w:r>
      <w:r w:rsidRPr="007718AD">
        <w:rPr>
          <w:rFonts w:eastAsiaTheme="minorHAnsi" w:cstheme="minorHAnsi"/>
          <w:i/>
          <w:iCs/>
          <w:color w:val="000000"/>
        </w:rPr>
        <w:t>Incurred Health and Disability Claims</w:t>
      </w:r>
    </w:p>
    <w:p w14:paraId="6A4781B1" w14:textId="77777777" w:rsidR="00475673" w:rsidRPr="007718AD" w:rsidRDefault="00475673" w:rsidP="006723F5">
      <w:pPr>
        <w:pStyle w:val="ListParagraph"/>
        <w:numPr>
          <w:ilvl w:val="0"/>
          <w:numId w:val="21"/>
        </w:numPr>
        <w:autoSpaceDE w:val="0"/>
        <w:autoSpaceDN w:val="0"/>
        <w:adjustRightInd w:val="0"/>
        <w:spacing w:after="61"/>
        <w:rPr>
          <w:rFonts w:eastAsiaTheme="minorHAnsi" w:cstheme="minorHAnsi"/>
          <w:color w:val="000000"/>
        </w:rPr>
      </w:pPr>
      <w:r w:rsidRPr="007718AD">
        <w:rPr>
          <w:rFonts w:eastAsiaTheme="minorHAnsi" w:cstheme="minorHAnsi"/>
          <w:color w:val="000000"/>
        </w:rPr>
        <w:t xml:space="preserve">ASOP No. 8, </w:t>
      </w:r>
      <w:r w:rsidRPr="007718AD">
        <w:rPr>
          <w:rFonts w:eastAsiaTheme="minorHAnsi" w:cstheme="minorHAnsi"/>
          <w:i/>
          <w:iCs/>
          <w:color w:val="000000"/>
        </w:rPr>
        <w:t>Regulatory Filings for Health Plan Entities</w:t>
      </w:r>
    </w:p>
    <w:p w14:paraId="54474C6D" w14:textId="77777777" w:rsidR="00FC5F2D" w:rsidRPr="007718AD" w:rsidRDefault="00FC5F2D" w:rsidP="006723F5">
      <w:pPr>
        <w:pStyle w:val="ListParagraph"/>
        <w:numPr>
          <w:ilvl w:val="0"/>
          <w:numId w:val="21"/>
        </w:numPr>
        <w:autoSpaceDE w:val="0"/>
        <w:autoSpaceDN w:val="0"/>
        <w:adjustRightInd w:val="0"/>
        <w:spacing w:after="61"/>
        <w:rPr>
          <w:rFonts w:eastAsiaTheme="minorHAnsi" w:cstheme="minorHAnsi"/>
          <w:color w:val="000000"/>
        </w:rPr>
      </w:pPr>
      <w:r w:rsidRPr="007718AD">
        <w:rPr>
          <w:rFonts w:eastAsiaTheme="minorHAnsi" w:cstheme="minorHAnsi"/>
          <w:color w:val="000000"/>
        </w:rPr>
        <w:t xml:space="preserve">ASOP No. 12, </w:t>
      </w:r>
      <w:r w:rsidRPr="007718AD">
        <w:rPr>
          <w:rFonts w:eastAsiaTheme="minorHAnsi" w:cstheme="minorHAnsi"/>
          <w:i/>
          <w:iCs/>
          <w:color w:val="000000"/>
        </w:rPr>
        <w:t>Risk Classification</w:t>
      </w:r>
      <w:r w:rsidRPr="007718AD">
        <w:rPr>
          <w:rFonts w:eastAsiaTheme="minorHAnsi" w:cstheme="minorHAnsi"/>
          <w:color w:val="000000"/>
        </w:rPr>
        <w:t xml:space="preserve"> </w:t>
      </w:r>
    </w:p>
    <w:p w14:paraId="4E4BC55E" w14:textId="77777777" w:rsidR="00475673" w:rsidRPr="007718AD" w:rsidRDefault="00475673" w:rsidP="006723F5">
      <w:pPr>
        <w:pStyle w:val="ListParagraph"/>
        <w:numPr>
          <w:ilvl w:val="0"/>
          <w:numId w:val="21"/>
        </w:numPr>
        <w:autoSpaceDE w:val="0"/>
        <w:autoSpaceDN w:val="0"/>
        <w:adjustRightInd w:val="0"/>
        <w:spacing w:after="61"/>
        <w:rPr>
          <w:rFonts w:eastAsiaTheme="minorHAnsi" w:cstheme="minorHAnsi"/>
          <w:color w:val="000000"/>
        </w:rPr>
      </w:pPr>
      <w:r w:rsidRPr="007718AD">
        <w:rPr>
          <w:rFonts w:eastAsiaTheme="minorHAnsi" w:cstheme="minorHAnsi"/>
          <w:color w:val="000000"/>
        </w:rPr>
        <w:t xml:space="preserve">ASOP No. 23, </w:t>
      </w:r>
      <w:r w:rsidRPr="007718AD">
        <w:rPr>
          <w:rFonts w:eastAsiaTheme="minorHAnsi" w:cstheme="minorHAnsi"/>
          <w:i/>
          <w:iCs/>
          <w:color w:val="000000"/>
        </w:rPr>
        <w:t>Data Quality</w:t>
      </w:r>
    </w:p>
    <w:p w14:paraId="4BDF83D6" w14:textId="77777777" w:rsidR="00475673" w:rsidRPr="007718AD" w:rsidRDefault="00475673" w:rsidP="006723F5">
      <w:pPr>
        <w:pStyle w:val="ListParagraph"/>
        <w:numPr>
          <w:ilvl w:val="0"/>
          <w:numId w:val="21"/>
        </w:numPr>
        <w:autoSpaceDE w:val="0"/>
        <w:autoSpaceDN w:val="0"/>
        <w:adjustRightInd w:val="0"/>
        <w:spacing w:after="61"/>
        <w:rPr>
          <w:rFonts w:eastAsiaTheme="minorHAnsi" w:cstheme="minorHAnsi"/>
          <w:color w:val="000000"/>
        </w:rPr>
      </w:pPr>
      <w:r w:rsidRPr="007718AD">
        <w:rPr>
          <w:rFonts w:eastAsiaTheme="minorHAnsi" w:cstheme="minorHAnsi"/>
          <w:color w:val="000000"/>
        </w:rPr>
        <w:t xml:space="preserve">ASOP No. 25, </w:t>
      </w:r>
      <w:r w:rsidRPr="007718AD">
        <w:rPr>
          <w:rFonts w:eastAsiaTheme="minorHAnsi" w:cstheme="minorHAnsi"/>
          <w:i/>
          <w:iCs/>
          <w:color w:val="000000"/>
        </w:rPr>
        <w:t xml:space="preserve">Credibility Procedures Applicable to Accident and Health, Group Term Life, and Property/Casualty </w:t>
      </w:r>
      <w:proofErr w:type="spellStart"/>
      <w:r w:rsidRPr="007718AD">
        <w:rPr>
          <w:rFonts w:eastAsiaTheme="minorHAnsi" w:cstheme="minorHAnsi"/>
          <w:i/>
          <w:iCs/>
          <w:color w:val="000000"/>
        </w:rPr>
        <w:t>Coverages</w:t>
      </w:r>
      <w:proofErr w:type="spellEnd"/>
    </w:p>
    <w:p w14:paraId="58D176AB" w14:textId="77777777" w:rsidR="00FC5F2D" w:rsidRPr="007718AD" w:rsidRDefault="00FC5F2D" w:rsidP="006723F5">
      <w:pPr>
        <w:pStyle w:val="ListParagraph"/>
        <w:numPr>
          <w:ilvl w:val="0"/>
          <w:numId w:val="21"/>
        </w:numPr>
        <w:autoSpaceDE w:val="0"/>
        <w:autoSpaceDN w:val="0"/>
        <w:adjustRightInd w:val="0"/>
        <w:spacing w:after="0"/>
        <w:rPr>
          <w:rFonts w:eastAsiaTheme="minorHAnsi" w:cstheme="minorHAnsi"/>
          <w:color w:val="000000"/>
        </w:rPr>
      </w:pPr>
      <w:r w:rsidRPr="007718AD">
        <w:rPr>
          <w:rFonts w:eastAsiaTheme="minorHAnsi" w:cstheme="minorHAnsi"/>
          <w:color w:val="000000"/>
        </w:rPr>
        <w:t xml:space="preserve">ASOP No. 26, </w:t>
      </w:r>
      <w:r w:rsidRPr="007718AD">
        <w:rPr>
          <w:rFonts w:eastAsiaTheme="minorHAnsi" w:cstheme="minorHAnsi"/>
          <w:i/>
          <w:iCs/>
          <w:color w:val="000000"/>
        </w:rPr>
        <w:t>Compliance with Statutory and Regulatory Requirements for the Actuarial Certification of Small Employer Health Benefit Plans</w:t>
      </w:r>
    </w:p>
    <w:p w14:paraId="76C2545C" w14:textId="77777777" w:rsidR="00475673" w:rsidRPr="007718AD" w:rsidRDefault="00475673" w:rsidP="006723F5">
      <w:pPr>
        <w:pStyle w:val="ListParagraph"/>
        <w:numPr>
          <w:ilvl w:val="0"/>
          <w:numId w:val="21"/>
        </w:numPr>
        <w:autoSpaceDE w:val="0"/>
        <w:autoSpaceDN w:val="0"/>
        <w:adjustRightInd w:val="0"/>
        <w:spacing w:after="0"/>
        <w:rPr>
          <w:rFonts w:eastAsiaTheme="minorHAnsi" w:cstheme="minorHAnsi"/>
          <w:color w:val="000000"/>
        </w:rPr>
      </w:pPr>
      <w:r w:rsidRPr="007718AD">
        <w:rPr>
          <w:rFonts w:eastAsiaTheme="minorHAnsi" w:cstheme="minorHAnsi"/>
          <w:color w:val="000000"/>
        </w:rPr>
        <w:t xml:space="preserve">ASOP No. 41, </w:t>
      </w:r>
      <w:r w:rsidRPr="007718AD">
        <w:rPr>
          <w:rFonts w:eastAsiaTheme="minorHAnsi" w:cstheme="minorHAnsi"/>
          <w:i/>
          <w:iCs/>
          <w:color w:val="000000"/>
        </w:rPr>
        <w:t>Actuarial Communications</w:t>
      </w:r>
    </w:p>
    <w:p w14:paraId="182B5040" w14:textId="77777777" w:rsidR="00475673" w:rsidRPr="007718AD" w:rsidRDefault="00475673" w:rsidP="00475673">
      <w:pPr>
        <w:pStyle w:val="ListParagraph"/>
        <w:autoSpaceDE w:val="0"/>
        <w:autoSpaceDN w:val="0"/>
        <w:adjustRightInd w:val="0"/>
        <w:spacing w:after="0"/>
        <w:rPr>
          <w:rFonts w:eastAsiaTheme="minorHAnsi" w:cstheme="minorHAnsi"/>
          <w:color w:val="000000"/>
        </w:rPr>
      </w:pPr>
    </w:p>
    <w:p w14:paraId="50B2606B" w14:textId="77777777" w:rsidR="00AF2EC5" w:rsidRPr="007718AD" w:rsidRDefault="00475673" w:rsidP="00ED5D1B">
      <w:r w:rsidRPr="007718AD">
        <w:t>At a minimum, t</w:t>
      </w:r>
      <w:r w:rsidR="0033352F" w:rsidRPr="007718AD">
        <w:t xml:space="preserve">he </w:t>
      </w:r>
      <w:r w:rsidR="00AF2EC5" w:rsidRPr="007718AD">
        <w:t xml:space="preserve">actuarial certification </w:t>
      </w:r>
      <w:r w:rsidR="0033352F" w:rsidRPr="007718AD">
        <w:t>must</w:t>
      </w:r>
      <w:r w:rsidR="00AF2EC5" w:rsidRPr="007718AD">
        <w:t xml:space="preserve"> include the following:</w:t>
      </w:r>
    </w:p>
    <w:p w14:paraId="6629D969" w14:textId="77777777" w:rsidR="00AF2EC5" w:rsidRPr="007718AD" w:rsidRDefault="00AF2EC5" w:rsidP="006723F5">
      <w:pPr>
        <w:pStyle w:val="ListParagraph"/>
        <w:numPr>
          <w:ilvl w:val="0"/>
          <w:numId w:val="22"/>
        </w:numPr>
      </w:pPr>
      <w:r w:rsidRPr="007718AD">
        <w:t>Identification of the certifying actuary and a statement that he/she is a member of the American Academy of Actuaries</w:t>
      </w:r>
      <w:r w:rsidR="007602BB">
        <w:t>.</w:t>
      </w:r>
      <w:r w:rsidRPr="007718AD">
        <w:t xml:space="preserve"> </w:t>
      </w:r>
    </w:p>
    <w:p w14:paraId="6E868A9A" w14:textId="77777777" w:rsidR="00AF2EC5" w:rsidRPr="007718AD" w:rsidRDefault="00AF2EC5" w:rsidP="006723F5">
      <w:pPr>
        <w:pStyle w:val="ListParagraph"/>
        <w:numPr>
          <w:ilvl w:val="0"/>
          <w:numId w:val="22"/>
        </w:numPr>
      </w:pPr>
      <w:r w:rsidRPr="007718AD">
        <w:t xml:space="preserve">A certification </w:t>
      </w:r>
      <w:r w:rsidR="0033352F" w:rsidRPr="007718AD">
        <w:t xml:space="preserve">that the </w:t>
      </w:r>
      <w:r w:rsidR="00B556B2">
        <w:t xml:space="preserve">projected </w:t>
      </w:r>
      <w:r w:rsidR="00D47158">
        <w:t>Index Rate</w:t>
      </w:r>
      <w:r w:rsidR="00B556B2">
        <w:t xml:space="preserve"> </w:t>
      </w:r>
      <w:r w:rsidR="00A91870">
        <w:t>is</w:t>
      </w:r>
      <w:r w:rsidR="00475673" w:rsidRPr="007718AD">
        <w:t>:</w:t>
      </w:r>
      <w:r w:rsidR="0033352F" w:rsidRPr="007718AD">
        <w:t xml:space="preserve"> </w:t>
      </w:r>
    </w:p>
    <w:p w14:paraId="3A8020A5" w14:textId="55810488" w:rsidR="00475673" w:rsidRPr="007718AD" w:rsidRDefault="00A91870" w:rsidP="006723F5">
      <w:pPr>
        <w:pStyle w:val="ListParagraph"/>
        <w:numPr>
          <w:ilvl w:val="1"/>
          <w:numId w:val="22"/>
        </w:numPr>
      </w:pPr>
      <w:r>
        <w:t xml:space="preserve">In </w:t>
      </w:r>
      <w:r w:rsidR="00475673" w:rsidRPr="007718AD">
        <w:t>c</w:t>
      </w:r>
      <w:r w:rsidR="00ED5D1B" w:rsidRPr="007718AD">
        <w:t xml:space="preserve">ompliance with all applicable </w:t>
      </w:r>
      <w:r w:rsidR="007602BB">
        <w:t>s</w:t>
      </w:r>
      <w:r w:rsidR="00ED5D1B" w:rsidRPr="007718AD">
        <w:t xml:space="preserve">tate and Federal </w:t>
      </w:r>
      <w:r w:rsidR="007602BB">
        <w:t>s</w:t>
      </w:r>
      <w:r w:rsidR="00ED5D1B" w:rsidRPr="007718AD">
        <w:t xml:space="preserve">tatutes and </w:t>
      </w:r>
      <w:r w:rsidR="007602BB">
        <w:t>r</w:t>
      </w:r>
      <w:r w:rsidR="00ED5D1B" w:rsidRPr="007718AD">
        <w:t>egulations</w:t>
      </w:r>
      <w:r>
        <w:t xml:space="preserve"> (45 CFR </w:t>
      </w:r>
      <w:r w:rsidR="00293B1C">
        <w:t xml:space="preserve"> </w:t>
      </w:r>
      <w:r>
        <w:t>156.80</w:t>
      </w:r>
      <w:r w:rsidR="005A1DA4">
        <w:t xml:space="preserve"> and 147.102</w:t>
      </w:r>
      <w:r>
        <w:t>)</w:t>
      </w:r>
    </w:p>
    <w:p w14:paraId="60712697" w14:textId="77777777" w:rsidR="00A91870" w:rsidRDefault="000D17AF" w:rsidP="006723F5">
      <w:pPr>
        <w:pStyle w:val="ListParagraph"/>
        <w:numPr>
          <w:ilvl w:val="1"/>
          <w:numId w:val="22"/>
        </w:numPr>
      </w:pPr>
      <w:r>
        <w:t>Developed i</w:t>
      </w:r>
      <w:r w:rsidR="00A91870">
        <w:t xml:space="preserve">n </w:t>
      </w:r>
      <w:r w:rsidR="00475673" w:rsidRPr="007718AD">
        <w:t>c</w:t>
      </w:r>
      <w:r w:rsidR="00ED5D1B" w:rsidRPr="007718AD">
        <w:t xml:space="preserve">ompliance with </w:t>
      </w:r>
      <w:r w:rsidR="00475673" w:rsidRPr="007718AD">
        <w:t xml:space="preserve">the applicable </w:t>
      </w:r>
      <w:r w:rsidR="00ED5D1B" w:rsidRPr="007718AD">
        <w:t>Actuarial Standards of Practice</w:t>
      </w:r>
      <w:r w:rsidR="00A91870" w:rsidRPr="00A91870">
        <w:t xml:space="preserve"> </w:t>
      </w:r>
    </w:p>
    <w:p w14:paraId="6FE26816" w14:textId="77777777" w:rsidR="00A91870" w:rsidRPr="007718AD" w:rsidRDefault="000D17AF" w:rsidP="006723F5">
      <w:pPr>
        <w:pStyle w:val="ListParagraph"/>
        <w:numPr>
          <w:ilvl w:val="1"/>
          <w:numId w:val="22"/>
        </w:numPr>
      </w:pPr>
      <w:r>
        <w:t>R</w:t>
      </w:r>
      <w:r w:rsidR="00A91870" w:rsidRPr="007718AD">
        <w:t>easonable in relation to the benefits provided</w:t>
      </w:r>
      <w:r w:rsidR="0057732A">
        <w:t xml:space="preserve"> and the population anticipated to be covered</w:t>
      </w:r>
    </w:p>
    <w:p w14:paraId="5BC01026" w14:textId="77777777" w:rsidR="00A91870" w:rsidRPr="007718AD" w:rsidRDefault="000D17AF" w:rsidP="006723F5">
      <w:pPr>
        <w:pStyle w:val="ListParagraph"/>
        <w:numPr>
          <w:ilvl w:val="1"/>
          <w:numId w:val="22"/>
        </w:numPr>
      </w:pPr>
      <w:r>
        <w:t>N</w:t>
      </w:r>
      <w:r w:rsidR="00A91870" w:rsidRPr="007718AD">
        <w:t xml:space="preserve">either excessive nor </w:t>
      </w:r>
      <w:r w:rsidR="0057732A">
        <w:t>deficient</w:t>
      </w:r>
    </w:p>
    <w:p w14:paraId="72385AE4" w14:textId="3BE952C9" w:rsidR="00A91870" w:rsidRDefault="00A91870" w:rsidP="006723F5">
      <w:pPr>
        <w:pStyle w:val="ListParagraph"/>
        <w:numPr>
          <w:ilvl w:val="0"/>
          <w:numId w:val="22"/>
        </w:numPr>
      </w:pPr>
      <w:r>
        <w:t xml:space="preserve">A certification that the </w:t>
      </w:r>
      <w:r w:rsidR="00D47158">
        <w:t>Index Rate</w:t>
      </w:r>
      <w:r>
        <w:t xml:space="preserve"> and only the allowable modif</w:t>
      </w:r>
      <w:r w:rsidR="000D17AF">
        <w:t>i</w:t>
      </w:r>
      <w:r>
        <w:t xml:space="preserve">ers as described in </w:t>
      </w:r>
      <w:r w:rsidR="000D17AF">
        <w:t>45 CFR</w:t>
      </w:r>
      <w:r w:rsidR="00293B1C">
        <w:t xml:space="preserve"> </w:t>
      </w:r>
      <w:r w:rsidR="000D17AF">
        <w:t>156.80(d</w:t>
      </w:r>
      <w:proofErr w:type="gramStart"/>
      <w:r w:rsidR="000D17AF">
        <w:t>)(</w:t>
      </w:r>
      <w:proofErr w:type="gramEnd"/>
      <w:r w:rsidR="000D17AF">
        <w:t xml:space="preserve">1) and </w:t>
      </w:r>
      <w:r w:rsidR="00293B1C">
        <w:t xml:space="preserve"> </w:t>
      </w:r>
      <w:r w:rsidR="000D17AF">
        <w:t>156.80(d)(2)</w:t>
      </w:r>
      <w:r w:rsidR="00C579E6">
        <w:t xml:space="preserve"> were</w:t>
      </w:r>
      <w:r>
        <w:t xml:space="preserve"> used to generate plan level rates.</w:t>
      </w:r>
    </w:p>
    <w:p w14:paraId="7703DBE7" w14:textId="5197AD39" w:rsidR="00AF2EC5" w:rsidRDefault="004342BB" w:rsidP="006723F5">
      <w:pPr>
        <w:pStyle w:val="ListParagraph"/>
        <w:numPr>
          <w:ilvl w:val="0"/>
          <w:numId w:val="22"/>
        </w:numPr>
      </w:pPr>
      <w:r w:rsidRPr="007718AD">
        <w:t xml:space="preserve">A certification that the percent of total </w:t>
      </w:r>
      <w:r w:rsidR="00A91870">
        <w:t xml:space="preserve">premium </w:t>
      </w:r>
      <w:r w:rsidRPr="007718AD">
        <w:t>that represent</w:t>
      </w:r>
      <w:r w:rsidR="000D17AF">
        <w:t>s</w:t>
      </w:r>
      <w:r w:rsidRPr="007718AD">
        <w:t xml:space="preserve"> </w:t>
      </w:r>
      <w:r w:rsidR="0026206B">
        <w:t>EHB</w:t>
      </w:r>
      <w:r w:rsidRPr="007718AD">
        <w:t xml:space="preserve"> included in Worksheet 2, Sections III and IV</w:t>
      </w:r>
      <w:r w:rsidR="007602BB">
        <w:t>,</w:t>
      </w:r>
      <w:r w:rsidRPr="007718AD">
        <w:t xml:space="preserve"> </w:t>
      </w:r>
      <w:r w:rsidR="005A1DA4">
        <w:t>was</w:t>
      </w:r>
      <w:r w:rsidR="005A1DA4" w:rsidRPr="007718AD">
        <w:t xml:space="preserve"> </w:t>
      </w:r>
      <w:r w:rsidRPr="007718AD">
        <w:t>calculated in accordance with actuarial standards of practice</w:t>
      </w:r>
      <w:r w:rsidR="00BA10BC">
        <w:t>.</w:t>
      </w:r>
      <w:r w:rsidRPr="007718AD">
        <w:t xml:space="preserve"> </w:t>
      </w:r>
    </w:p>
    <w:p w14:paraId="6A182F84" w14:textId="77777777" w:rsidR="00755D2C" w:rsidRPr="007718AD" w:rsidRDefault="00755D2C" w:rsidP="006723F5">
      <w:pPr>
        <w:pStyle w:val="ListParagraph"/>
        <w:numPr>
          <w:ilvl w:val="0"/>
          <w:numId w:val="22"/>
        </w:numPr>
      </w:pPr>
      <w:r>
        <w:t xml:space="preserve">A certification that the geographic rating factors reflect only differences in the costs of delivery (which can </w:t>
      </w:r>
      <w:r w:rsidR="003B1CE0">
        <w:t xml:space="preserve">include </w:t>
      </w:r>
      <w:r>
        <w:t>unit cost and provider practice pattern differences) and do not include differences for population morbidity by geographic area.</w:t>
      </w:r>
    </w:p>
    <w:p w14:paraId="3CE3CBDF" w14:textId="539F4CCF" w:rsidR="002575A5" w:rsidRDefault="009D266E" w:rsidP="006723F5">
      <w:pPr>
        <w:pStyle w:val="ListParagraph"/>
        <w:numPr>
          <w:ilvl w:val="0"/>
          <w:numId w:val="22"/>
        </w:numPr>
      </w:pPr>
      <w:r>
        <w:t xml:space="preserve">A certification stating that the AV Calculator was used to determine the </w:t>
      </w:r>
      <w:r w:rsidR="00A57AE8">
        <w:t xml:space="preserve">AV </w:t>
      </w:r>
      <w:r>
        <w:t>Metal Value</w:t>
      </w:r>
      <w:r w:rsidR="00A57AE8">
        <w:t>s</w:t>
      </w:r>
      <w:r>
        <w:t xml:space="preserve"> shown in Worksheet 2 of the Part I </w:t>
      </w:r>
      <w:r w:rsidR="00533C29">
        <w:t>URRT</w:t>
      </w:r>
      <w:r w:rsidR="00A57AE8">
        <w:t xml:space="preserve"> </w:t>
      </w:r>
      <w:r>
        <w:t>for all plans except those specified in the certification</w:t>
      </w:r>
      <w:r w:rsidR="00BA10BC">
        <w:t xml:space="preserve">. </w:t>
      </w:r>
      <w:r w:rsidR="00D26C00">
        <w:t xml:space="preserve"> </w:t>
      </w:r>
      <w:r w:rsidR="00813FED" w:rsidRPr="007718AD">
        <w:t xml:space="preserve">If an alternate methodology was used to calculate the </w:t>
      </w:r>
      <w:r w:rsidR="006564B7">
        <w:t xml:space="preserve">AV </w:t>
      </w:r>
      <w:r>
        <w:t xml:space="preserve">Metal Value </w:t>
      </w:r>
      <w:r w:rsidR="00813FED" w:rsidRPr="007718AD">
        <w:t xml:space="preserve">for at least one plan offered, a </w:t>
      </w:r>
      <w:r w:rsidR="009D3238">
        <w:t>copy of the actuarial certification required by 45 CFR 156.135</w:t>
      </w:r>
      <w:r w:rsidR="000D17AF">
        <w:t xml:space="preserve"> must be included</w:t>
      </w:r>
      <w:r>
        <w:t>.</w:t>
      </w:r>
      <w:r w:rsidR="00D26C00">
        <w:t xml:space="preserve"> </w:t>
      </w:r>
      <w:r>
        <w:t xml:space="preserve"> </w:t>
      </w:r>
      <w:r w:rsidR="002575A5">
        <w:t xml:space="preserve">The certification must be signed by a member of the American Academy of Actuaries, and must indicate that the values were developed in accordance with generally accepted actuarial principles and methodologies. </w:t>
      </w:r>
    </w:p>
    <w:p w14:paraId="0A10F997" w14:textId="4766983C" w:rsidR="00813FED" w:rsidRPr="007718AD" w:rsidRDefault="002575A5" w:rsidP="00B64BD5">
      <w:pPr>
        <w:pStyle w:val="ListParagraph"/>
      </w:pPr>
      <w:r>
        <w:t>For purposes of rate review, also include</w:t>
      </w:r>
      <w:r w:rsidR="009D3238">
        <w:t xml:space="preserve"> the reason an alternate methodology was used, and the chosen alternate methodology that was used for each applicable plan. </w:t>
      </w:r>
      <w:r w:rsidR="00D26C00">
        <w:t xml:space="preserve"> </w:t>
      </w:r>
      <w:r>
        <w:t>D</w:t>
      </w:r>
      <w:r w:rsidR="009D3238">
        <w:t xml:space="preserve">escribe the process that was used to develop the AV </w:t>
      </w:r>
      <w:r w:rsidR="007602BB">
        <w:t>M</w:t>
      </w:r>
      <w:r w:rsidR="009D3238">
        <w:t xml:space="preserve">etal </w:t>
      </w:r>
      <w:r w:rsidR="007602BB">
        <w:t>V</w:t>
      </w:r>
      <w:r w:rsidR="009D3238">
        <w:t xml:space="preserve">alue. </w:t>
      </w:r>
    </w:p>
    <w:p w14:paraId="4843C596" w14:textId="45EB236B" w:rsidR="008F5FB4" w:rsidRDefault="000D17AF" w:rsidP="00813FED">
      <w:r>
        <w:t xml:space="preserve">The actuary may qualify the opinion, if desired, to state that the </w:t>
      </w:r>
      <w:r w:rsidR="00566DE7">
        <w:t>URRT</w:t>
      </w:r>
      <w:r w:rsidR="006564B7">
        <w:t xml:space="preserve"> </w:t>
      </w:r>
      <w:r>
        <w:t xml:space="preserve">does not demonstrate the process used by the issuer to develop the rates. </w:t>
      </w:r>
      <w:r w:rsidR="00D26C00">
        <w:t xml:space="preserve"> </w:t>
      </w:r>
      <w:r>
        <w:t xml:space="preserve">Rather it represents information required by Federal regulation to be provided in support of the review of rate increases, for certification of </w:t>
      </w:r>
      <w:r w:rsidR="007222F3">
        <w:t>Q</w:t>
      </w:r>
      <w:r>
        <w:t xml:space="preserve">ualified </w:t>
      </w:r>
      <w:r w:rsidR="007222F3">
        <w:t>H</w:t>
      </w:r>
      <w:r>
        <w:t xml:space="preserve">ealth </w:t>
      </w:r>
      <w:r w:rsidR="007222F3">
        <w:t>P</w:t>
      </w:r>
      <w:r>
        <w:t xml:space="preserve">lans for </w:t>
      </w:r>
      <w:r w:rsidR="006564B7">
        <w:t>Federally</w:t>
      </w:r>
      <w:r w:rsidR="00C519D2">
        <w:t>-</w:t>
      </w:r>
      <w:r>
        <w:t xml:space="preserve">facilitated </w:t>
      </w:r>
      <w:r w:rsidR="00DE6C09">
        <w:t>Marketplace</w:t>
      </w:r>
      <w:r>
        <w:t>s</w:t>
      </w:r>
      <w:r w:rsidR="007602BB">
        <w:t>,</w:t>
      </w:r>
      <w:r w:rsidR="002A167F">
        <w:t xml:space="preserve"> and for certification that the </w:t>
      </w:r>
      <w:r w:rsidR="00D47158">
        <w:t>Index Rate</w:t>
      </w:r>
      <w:r w:rsidR="002A167F">
        <w:t xml:space="preserve"> is </w:t>
      </w:r>
      <w:r w:rsidR="00C579E6">
        <w:t xml:space="preserve">developed in accordance with Federal regulation and </w:t>
      </w:r>
      <w:r w:rsidR="002A167F">
        <w:t>used consistently and only adjusted by the allowable modifiers</w:t>
      </w:r>
      <w:r>
        <w:t>.</w:t>
      </w:r>
    </w:p>
    <w:p w14:paraId="6AFFDA04" w14:textId="77777777" w:rsidR="00105F23" w:rsidRDefault="004D150B" w:rsidP="008E5B0B">
      <w:pPr>
        <w:pStyle w:val="Heading1"/>
      </w:pPr>
      <w:bookmarkStart w:id="826" w:name="_Toc412032816"/>
      <w:bookmarkStart w:id="827" w:name="_Toc411936288"/>
      <w:bookmarkStart w:id="828" w:name="_Toc412287698"/>
      <w:bookmarkStart w:id="829" w:name="_Toc441756542"/>
      <w:r>
        <w:t>HIOS Submission</w:t>
      </w:r>
      <w:bookmarkEnd w:id="826"/>
      <w:bookmarkEnd w:id="827"/>
      <w:bookmarkEnd w:id="828"/>
      <w:bookmarkEnd w:id="829"/>
    </w:p>
    <w:p w14:paraId="745BB313" w14:textId="77777777" w:rsidR="000D5C5E" w:rsidRDefault="000D5C5E" w:rsidP="008E5B0B">
      <w:pPr>
        <w:pStyle w:val="Heading2"/>
      </w:pPr>
      <w:bookmarkStart w:id="830" w:name="_Toc412032817"/>
      <w:bookmarkStart w:id="831" w:name="_Toc411936289"/>
      <w:bookmarkStart w:id="832" w:name="_Toc412287699"/>
      <w:bookmarkStart w:id="833" w:name="_Toc441756543"/>
      <w:r>
        <w:t>HIOS Submission Statuses</w:t>
      </w:r>
      <w:bookmarkEnd w:id="830"/>
      <w:bookmarkEnd w:id="831"/>
      <w:bookmarkEnd w:id="832"/>
      <w:bookmarkEnd w:id="833"/>
    </w:p>
    <w:p w14:paraId="7CF1E832" w14:textId="215272B9" w:rsidR="000D5C5E" w:rsidRDefault="000D5C5E" w:rsidP="000D5C5E">
      <w:pPr>
        <w:rPr>
          <w:rFonts w:cstheme="minorHAnsi"/>
        </w:rPr>
      </w:pPr>
      <w:r w:rsidRPr="008E5B0B">
        <w:rPr>
          <w:rFonts w:cstheme="minorHAnsi"/>
        </w:rPr>
        <w:t xml:space="preserve">URR submissions in HIOS undergo several changes in status during the course of the </w:t>
      </w:r>
      <w:r w:rsidR="00206CA7">
        <w:rPr>
          <w:rFonts w:cstheme="minorHAnsi"/>
        </w:rPr>
        <w:t xml:space="preserve">rate </w:t>
      </w:r>
      <w:r w:rsidRPr="008E5B0B">
        <w:rPr>
          <w:rFonts w:cstheme="minorHAnsi"/>
        </w:rPr>
        <w:t>review process.</w:t>
      </w:r>
      <w:r w:rsidR="00D26C00">
        <w:rPr>
          <w:rFonts w:cstheme="minorHAnsi"/>
        </w:rPr>
        <w:t xml:space="preserve"> </w:t>
      </w:r>
      <w:r w:rsidRPr="008E5B0B">
        <w:rPr>
          <w:rFonts w:cstheme="minorHAnsi"/>
        </w:rPr>
        <w:t>The following table describes the various statuses and their associated meanings.</w:t>
      </w:r>
    </w:p>
    <w:tbl>
      <w:tblPr>
        <w:tblStyle w:val="MediumGrid3-Accent1"/>
        <w:tblW w:w="0" w:type="auto"/>
        <w:tblLook w:val="04A0" w:firstRow="1" w:lastRow="0" w:firstColumn="1" w:lastColumn="0" w:noHBand="0" w:noVBand="1"/>
        <w:tblCaption w:val="HIOS Submission Statuses"/>
        <w:tblDescription w:val="Unified Rate Review Instructions&#10;Text for Table on Page 65:&#10;Status: Pre-Validation&#10;Definition: An issuer has successfully created a submission in HIOS.&#10;Additional Information: The issuer can revise the submission during the Pre-Validation stage.&#10;Next Step: The issuer should validate the submission by checking the validation box on the submission summary page in HIOS.&#10;&#10;Status: Record Validated&#10;Definition: The issuer has validated the submission.   Note that the validator (usually a manager at the insurance company) must have “validator” authority within HIOS.&#10;Additional Information: the submission is locked and cannot be revised.  Note: If the issuer needs to make revisions after validating the submission, the issuer must contact CCIIO to have the submission unlocked. &#10;Next Step: Rate increases not subject to rate review: If the rate increase is &lt;10%, the regulator reviews the submission for completeness and for compliance with applicable rating rules.  If the submission passes the compliance review, CCIIO checks the “Web Content Assessment” box in HIOS.  If the submission does not pass the completeness or compliance review, the regulator asks the issuer for more information. &#10;Rate increases subject to rate review: If the rate increase is ≥ 10%, the regulator checks that the submission has all the required information.  If there are no obvious errors, CCIIO checks the “Web Content Assessment” box in HIOS.  If the submission has obvious errors, the regulator asks the issuer for more information. &#10;&#10;Status: Pending Supplemental Materials&#10;Definition: A previously validated submission has been unlocked by CCIIO.&#10;Additional Information: The issuer can revise the submission during the Pending Supplemental Materials phase.&#10;Next Step: The issuer should revise the submission. &#10;&#10;Status: Supplemental Materials Received&#10;Definition: The issuer has revised a submission that was previously in the Pending Supplemental Materials status.&#10;Additional Information: The issuer can revise the submission during the Materials Received phase.&#10;Next Step: The issuer must re-validate their submission.&#10;&#10;Status: Rate Filing Accepted&#10;Definition: A submission not subject to rate review has passed the compliance review and CCIIO has checked the “Web Content Assessment” box in HIOS.&#10;Additional Information: Only applicable to rate increases of &lt; 10%.&#10;Next Step: None.  This is the final status for submissions not subject to rate review.&#10;&#10;Status: Submission Filed&#10;Definition: CCIIO has checked the “Web Content Assessment” box in HIOS for a submission subject to rate review.&#10;Additional Information: Only applicable to rate increases of ≥ 10%. &#10;Next Step: The regulator must select “Review in Progress” in the dropdown menu in HIOS and then click Save.&#10;&#10;Status: Review in Progress&#10;Definition: A submission subject to rate review is being reviewed by the regulator.&#10;Additional Information: Only applicable to rate increases ≥ 10%. &#10;Next Step: The regulator must enter a Final Determination of Unreasonable or Not Unreasonable in HIOS. &#10;Status: Review Complete&#10;Definition: The regulator has finished reviewing a submission subject to rate review and has entered a final determination of Not Unreasonable in HIOS.&#10;Additional Information: Only applicable to rate increases ≥ 10% that have been deemed Not Unreasonable.&#10;Next Step: None.  This is the final status for submissions with rate increases that are subject to rate review and have been determined by the regulator to be Not Unreasonable.&#10;&#10;Status: Pending Final Justification&#10;Definition: The regulator has finished reviewing a submission subject to rate review and has entered a final determination of Unreasonable in HIOS.&#10;Additional Information: Only applicable to rate increases ≥ 10% that have been deemed Not Unreasonable.&#10;Next Step: If the issuer decides to implement the Unreasonable rate increase, then the issuer must enter a Final Justification in HIOS.&#10;If the issuer decides to modify the Unreasonable rate increase, the issuer should contact CCIIO to request a submission unlock. &#10;If the issuer decides not to implement the unreasonable rate increase, then the issuer should contact CCIIO to request a submission deactivation.  &#10;&#10;Status: Final Justification Submitted&#10;Definition: The issuer has entered a Final Justification in HIOS.&#10;Additional Information: Only applicable to rate increases ≥ 10% that have been deemed Not Unreasonable.&#10;Next Step: None. This is the final status for submissions with rate increases that are subject to rate review, have been determined by the regulator to be Unreasonable, and will be implemented by the issuer.&#10;&#10;Status: Submission Failed&#10;Definition: The issuer unsuccessfully attempted to create a submission in HIOS. &#10;Additional Information: Submission failures occur when the issuer enters invalid data or fails to enter required data.&#10;Next Step: HIOS generates an email to the issuer indicate the submission failure. The issuer should create a new submission.&#10;&#10;Status: Submission Deactivated&#10;Definition: CCIIO has deactivated the submission.  Note: In enforcing states, the state regulator must first contact CCIIO to request the deactivation. &#10;Additional Information:   Only submissions with a status of Record Validated, Review Complete, or Rate Filing Accepted can be deactivated.&#10;Next Step: The issuer should create a new submission.&#10;"/>
      </w:tblPr>
      <w:tblGrid>
        <w:gridCol w:w="1561"/>
        <w:gridCol w:w="2418"/>
        <w:gridCol w:w="2246"/>
        <w:gridCol w:w="3115"/>
      </w:tblGrid>
      <w:tr w:rsidR="00634A44" w:rsidRPr="00BA6F02" w14:paraId="6C47A377" w14:textId="77777777" w:rsidTr="00A9660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p w14:paraId="6765AF96" w14:textId="2CC952B3" w:rsidR="00BA6F02" w:rsidRPr="00A96607" w:rsidRDefault="00BA6F02" w:rsidP="00793EA3">
            <w:pPr>
              <w:rPr>
                <w:rFonts w:asciiTheme="minorHAnsi" w:hAnsiTheme="minorHAnsi"/>
                <w:sz w:val="22"/>
              </w:rPr>
            </w:pPr>
            <w:r w:rsidRPr="00BA6F02">
              <w:t>Status</w:t>
            </w:r>
          </w:p>
        </w:tc>
        <w:tc>
          <w:tcPr>
            <w:tcW w:w="0" w:type="auto"/>
          </w:tcPr>
          <w:p w14:paraId="430DFD36" w14:textId="50216916" w:rsidR="00BA6F02" w:rsidRPr="00A96607" w:rsidRDefault="00BA6F02" w:rsidP="00793EA3">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BA6F02">
              <w:t>Definition</w:t>
            </w:r>
          </w:p>
        </w:tc>
        <w:tc>
          <w:tcPr>
            <w:tcW w:w="0" w:type="auto"/>
          </w:tcPr>
          <w:p w14:paraId="0AB7D3CB" w14:textId="44C4E210" w:rsidR="00BA6F02" w:rsidRPr="00A96607" w:rsidRDefault="00BA6F02" w:rsidP="00793EA3">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BA6F02">
              <w:t>Additional Information</w:t>
            </w:r>
          </w:p>
        </w:tc>
        <w:tc>
          <w:tcPr>
            <w:tcW w:w="0" w:type="auto"/>
          </w:tcPr>
          <w:p w14:paraId="4944B7AF" w14:textId="5962FF6B" w:rsidR="00BA6F02" w:rsidRPr="00A96607" w:rsidRDefault="00BA6F02" w:rsidP="00793EA3">
            <w:pPr>
              <w:cnfStyle w:val="100000000000" w:firstRow="1" w:lastRow="0" w:firstColumn="0" w:lastColumn="0" w:oddVBand="0" w:evenVBand="0" w:oddHBand="0" w:evenHBand="0" w:firstRowFirstColumn="0" w:firstRowLastColumn="0" w:lastRowFirstColumn="0" w:lastRowLastColumn="0"/>
              <w:rPr>
                <w:rFonts w:asciiTheme="minorHAnsi" w:hAnsiTheme="minorHAnsi"/>
                <w:sz w:val="22"/>
              </w:rPr>
            </w:pPr>
            <w:r w:rsidRPr="00BA6F02">
              <w:t>Next Step</w:t>
            </w:r>
          </w:p>
        </w:tc>
      </w:tr>
      <w:tr w:rsidR="00634A44" w:rsidRPr="00BA6F02" w14:paraId="59C8660C" w14:textId="77777777" w:rsidTr="00A96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35705D8" w14:textId="77777777" w:rsidR="00BA6F02" w:rsidRPr="00A96607" w:rsidRDefault="00BA6F02" w:rsidP="00793EA3">
            <w:pPr>
              <w:rPr>
                <w:rFonts w:asciiTheme="minorHAnsi" w:hAnsiTheme="minorHAnsi"/>
                <w:b w:val="0"/>
                <w:sz w:val="22"/>
              </w:rPr>
            </w:pPr>
            <w:r w:rsidRPr="00F55911">
              <w:t>Pre-Validation</w:t>
            </w:r>
          </w:p>
        </w:tc>
        <w:tc>
          <w:tcPr>
            <w:tcW w:w="0" w:type="auto"/>
          </w:tcPr>
          <w:p w14:paraId="0C87DB75"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An issuer has successfully created a submission in HIOS.</w:t>
            </w:r>
          </w:p>
        </w:tc>
        <w:tc>
          <w:tcPr>
            <w:tcW w:w="0" w:type="auto"/>
          </w:tcPr>
          <w:p w14:paraId="52FABC85"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The issuer can revise</w:t>
            </w:r>
            <w:r w:rsidRPr="00BA6F02">
              <w:rPr>
                <w:rStyle w:val="FootnoteReference"/>
                <w:rFonts w:eastAsiaTheme="majorEastAsia"/>
              </w:rPr>
              <w:footnoteReference w:id="12"/>
            </w:r>
            <w:r w:rsidRPr="00BA6F02">
              <w:t xml:space="preserve"> the submission during the Pre-Validation stage.</w:t>
            </w:r>
          </w:p>
        </w:tc>
        <w:tc>
          <w:tcPr>
            <w:tcW w:w="0" w:type="auto"/>
          </w:tcPr>
          <w:p w14:paraId="781F09D0" w14:textId="54EBFDA1"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The issuer should validate the submission by checking the validation box on the submission summary page in HIOS.</w:t>
            </w:r>
          </w:p>
        </w:tc>
      </w:tr>
      <w:tr w:rsidR="00634A44" w:rsidRPr="00BA6F02" w14:paraId="4D1F77BA" w14:textId="77777777" w:rsidTr="00A96607">
        <w:tc>
          <w:tcPr>
            <w:cnfStyle w:val="001000000000" w:firstRow="0" w:lastRow="0" w:firstColumn="1" w:lastColumn="0" w:oddVBand="0" w:evenVBand="0" w:oddHBand="0" w:evenHBand="0" w:firstRowFirstColumn="0" w:firstRowLastColumn="0" w:lastRowFirstColumn="0" w:lastRowLastColumn="0"/>
            <w:tcW w:w="0" w:type="auto"/>
          </w:tcPr>
          <w:p w14:paraId="77FFD35E" w14:textId="77777777" w:rsidR="00BA6F02" w:rsidRPr="00A96607" w:rsidRDefault="00BA6F02" w:rsidP="00793EA3">
            <w:pPr>
              <w:rPr>
                <w:rFonts w:asciiTheme="minorHAnsi" w:hAnsiTheme="minorHAnsi"/>
                <w:b w:val="0"/>
                <w:sz w:val="22"/>
              </w:rPr>
            </w:pPr>
            <w:r w:rsidRPr="00F55911">
              <w:t>Record Validated</w:t>
            </w:r>
          </w:p>
        </w:tc>
        <w:tc>
          <w:tcPr>
            <w:tcW w:w="0" w:type="auto"/>
          </w:tcPr>
          <w:p w14:paraId="2C5CA467"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 xml:space="preserve">The issuer has validated the submission. </w:t>
            </w:r>
          </w:p>
          <w:p w14:paraId="791BC294"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p w14:paraId="3904ACB0"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rPr>
                <w:i/>
              </w:rPr>
              <w:t>Note:</w:t>
            </w:r>
            <w:r w:rsidRPr="00BA6F02">
              <w:t xml:space="preserve"> The validator (usually a manager at the insurance company) must have “validator” authority within HIOS.</w:t>
            </w:r>
          </w:p>
        </w:tc>
        <w:tc>
          <w:tcPr>
            <w:tcW w:w="0" w:type="auto"/>
          </w:tcPr>
          <w:p w14:paraId="0361BEC6"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 xml:space="preserve">The submission is locked and cannot be </w:t>
            </w:r>
            <w:r w:rsidR="00F13967">
              <w:t>revised</w:t>
            </w:r>
            <w:r w:rsidRPr="00BA6F02">
              <w:t xml:space="preserve">. </w:t>
            </w:r>
          </w:p>
          <w:p w14:paraId="57E05572"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p w14:paraId="543AD400" w14:textId="3EDB3AFE" w:rsidR="00BA6F02" w:rsidRPr="00A96607" w:rsidRDefault="00BA6F02" w:rsidP="00634A44">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634A44">
              <w:rPr>
                <w:i/>
              </w:rPr>
              <w:t>Note:</w:t>
            </w:r>
            <w:r w:rsidRPr="00634A44">
              <w:t xml:space="preserve"> If the issuer needs to make revisions after validating the submission, the issuer must</w:t>
            </w:r>
            <w:r w:rsidR="00DA2125" w:rsidRPr="00634A44">
              <w:t xml:space="preserve"> </w:t>
            </w:r>
            <w:r w:rsidR="00634A44">
              <w:t>have the subm</w:t>
            </w:r>
            <w:r w:rsidR="00DA2125" w:rsidRPr="00634A44">
              <w:t xml:space="preserve">ission </w:t>
            </w:r>
            <w:r w:rsidR="00634A44">
              <w:t>unlocked</w:t>
            </w:r>
            <w:r w:rsidR="008126D4">
              <w:t xml:space="preserve"> first</w:t>
            </w:r>
            <w:r w:rsidRPr="00634A44">
              <w:t>.</w:t>
            </w:r>
          </w:p>
        </w:tc>
        <w:tc>
          <w:tcPr>
            <w:tcW w:w="0" w:type="auto"/>
          </w:tcPr>
          <w:p w14:paraId="6FE3D8D1" w14:textId="516DBD73"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i/>
                <w:sz w:val="22"/>
              </w:rPr>
            </w:pPr>
            <w:r w:rsidRPr="00BA6F02">
              <w:rPr>
                <w:i/>
                <w:u w:val="single"/>
              </w:rPr>
              <w:t>Rate increases not subject to rate review</w:t>
            </w:r>
            <w:r w:rsidRPr="00BA6F02">
              <w:rPr>
                <w:i/>
              </w:rPr>
              <w:t>:</w:t>
            </w:r>
          </w:p>
          <w:p w14:paraId="1301BB72"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If the rate increase is &lt;10%, the regulator</w:t>
            </w:r>
            <w:r w:rsidRPr="00BA6F02">
              <w:rPr>
                <w:rStyle w:val="FootnoteReference"/>
                <w:rFonts w:eastAsiaTheme="majorEastAsia"/>
              </w:rPr>
              <w:footnoteReference w:id="13"/>
            </w:r>
            <w:r w:rsidRPr="00BA6F02">
              <w:t xml:space="preserve"> reviews the submission for completeness and for compliance with applicable rating rules. </w:t>
            </w:r>
          </w:p>
          <w:p w14:paraId="4480BF15" w14:textId="77777777" w:rsidR="00BA6F02" w:rsidRPr="00A96607" w:rsidRDefault="00BA6F02" w:rsidP="009D2B17">
            <w:pPr>
              <w:pStyle w:val="ListParagraph"/>
              <w:numPr>
                <w:ilvl w:val="0"/>
                <w:numId w:val="45"/>
              </w:numPr>
              <w:ind w:left="444" w:hanging="444"/>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If the submission passes the compliance review, CCIIO checks the “Web Content Assessment”</w:t>
            </w:r>
            <w:r w:rsidRPr="00BA6F02">
              <w:rPr>
                <w:b/>
              </w:rPr>
              <w:t xml:space="preserve"> </w:t>
            </w:r>
            <w:r w:rsidRPr="00BA6F02">
              <w:t>box in HIOS.</w:t>
            </w:r>
            <w:r w:rsidRPr="00BA6F02">
              <w:rPr>
                <w:rStyle w:val="FootnoteReference"/>
                <w:rFonts w:eastAsiaTheme="majorEastAsia"/>
              </w:rPr>
              <w:footnoteReference w:id="14"/>
            </w:r>
            <w:r w:rsidRPr="00BA6F02">
              <w:t xml:space="preserve"> </w:t>
            </w:r>
          </w:p>
          <w:p w14:paraId="1A2F6B16" w14:textId="77777777" w:rsidR="00BA6F02" w:rsidRPr="00A96607" w:rsidRDefault="00BA6F02" w:rsidP="009D2B17">
            <w:pPr>
              <w:pStyle w:val="ListParagraph"/>
              <w:numPr>
                <w:ilvl w:val="0"/>
                <w:numId w:val="45"/>
              </w:numPr>
              <w:ind w:left="444" w:hanging="444"/>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 xml:space="preserve">If the submission does not pass the completeness or compliance review, the regulator asks the issuer for more information. </w:t>
            </w:r>
          </w:p>
          <w:p w14:paraId="282BF865" w14:textId="77777777" w:rsidR="00BA6F02" w:rsidRPr="00A96607" w:rsidRDefault="00BA6F02" w:rsidP="00793EA3">
            <w:pPr>
              <w:pStyle w:val="ListParagraph"/>
              <w:ind w:left="444"/>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p w14:paraId="39E50685" w14:textId="10F54EA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i/>
                <w:sz w:val="22"/>
                <w:u w:val="single"/>
              </w:rPr>
            </w:pPr>
            <w:r w:rsidRPr="00BA6F02">
              <w:rPr>
                <w:i/>
                <w:u w:val="single"/>
              </w:rPr>
              <w:t>Rate increases subject</w:t>
            </w:r>
            <w:r w:rsidRPr="00F55911">
              <w:rPr>
                <w:i/>
                <w:u w:val="single"/>
              </w:rPr>
              <w:t xml:space="preserve"> to </w:t>
            </w:r>
            <w:r w:rsidRPr="00BA6F02">
              <w:rPr>
                <w:i/>
                <w:u w:val="single"/>
              </w:rPr>
              <w:t>review:</w:t>
            </w:r>
          </w:p>
          <w:p w14:paraId="2237EF44"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 xml:space="preserve">If the rate increase is ≥ 10%, the regulator checks that the submission has all the required information. </w:t>
            </w:r>
          </w:p>
          <w:p w14:paraId="56E2BA1A" w14:textId="77777777" w:rsidR="00BA6F02" w:rsidRPr="00A96607" w:rsidRDefault="00BA6F02" w:rsidP="009D2B17">
            <w:pPr>
              <w:pStyle w:val="ListParagraph"/>
              <w:numPr>
                <w:ilvl w:val="0"/>
                <w:numId w:val="45"/>
              </w:numPr>
              <w:ind w:left="444" w:hanging="444"/>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If there are no obvious errors, CCIIO checks the “Web Content Assessment”</w:t>
            </w:r>
            <w:r w:rsidRPr="00BA6F02">
              <w:rPr>
                <w:b/>
              </w:rPr>
              <w:t xml:space="preserve"> </w:t>
            </w:r>
            <w:r w:rsidRPr="00BA6F02">
              <w:t xml:space="preserve">box in HIOS. </w:t>
            </w:r>
          </w:p>
          <w:p w14:paraId="530A4C57" w14:textId="77777777" w:rsidR="00BA6F02" w:rsidRPr="00A96607" w:rsidRDefault="00BA6F02" w:rsidP="009D2B17">
            <w:pPr>
              <w:pStyle w:val="ListParagraph"/>
              <w:numPr>
                <w:ilvl w:val="0"/>
                <w:numId w:val="45"/>
              </w:numPr>
              <w:ind w:left="444" w:hanging="444"/>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 xml:space="preserve">If the submission has obvious errors, the regulator asks the issuer for more information. </w:t>
            </w:r>
          </w:p>
        </w:tc>
      </w:tr>
      <w:tr w:rsidR="00634A44" w:rsidRPr="00BA6F02" w14:paraId="5573BE2F" w14:textId="77777777" w:rsidTr="00A96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B40F768" w14:textId="77777777" w:rsidR="00BA6F02" w:rsidRPr="00A96607" w:rsidRDefault="00BA6F02" w:rsidP="00793EA3">
            <w:pPr>
              <w:rPr>
                <w:rFonts w:asciiTheme="minorHAnsi" w:hAnsiTheme="minorHAnsi"/>
                <w:b w:val="0"/>
                <w:sz w:val="22"/>
              </w:rPr>
            </w:pPr>
            <w:r w:rsidRPr="00F55911">
              <w:t>Pending Supplemental Materials</w:t>
            </w:r>
          </w:p>
        </w:tc>
        <w:tc>
          <w:tcPr>
            <w:tcW w:w="0" w:type="auto"/>
          </w:tcPr>
          <w:p w14:paraId="16602CA5" w14:textId="4E767ECB" w:rsidR="00BA6F02" w:rsidRPr="00A96607" w:rsidRDefault="00BA6F02" w:rsidP="00DA2125">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A previously validated submission has been unlocked.</w:t>
            </w:r>
          </w:p>
        </w:tc>
        <w:tc>
          <w:tcPr>
            <w:tcW w:w="0" w:type="auto"/>
          </w:tcPr>
          <w:p w14:paraId="029D83F2"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The issuer can revise the submission during the Pending Supplemental Materials phase.</w:t>
            </w:r>
          </w:p>
        </w:tc>
        <w:tc>
          <w:tcPr>
            <w:tcW w:w="0" w:type="auto"/>
          </w:tcPr>
          <w:p w14:paraId="6FDB91C2" w14:textId="184122AA"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r w:rsidRPr="00BA6F02">
              <w:t xml:space="preserve">The issuer should revise the submission. </w:t>
            </w:r>
          </w:p>
        </w:tc>
      </w:tr>
      <w:tr w:rsidR="00634A44" w:rsidRPr="00BA6F02" w14:paraId="3B713D3E" w14:textId="77777777" w:rsidTr="00A96607">
        <w:tc>
          <w:tcPr>
            <w:cnfStyle w:val="001000000000" w:firstRow="0" w:lastRow="0" w:firstColumn="1" w:lastColumn="0" w:oddVBand="0" w:evenVBand="0" w:oddHBand="0" w:evenHBand="0" w:firstRowFirstColumn="0" w:firstRowLastColumn="0" w:lastRowFirstColumn="0" w:lastRowLastColumn="0"/>
            <w:tcW w:w="0" w:type="auto"/>
          </w:tcPr>
          <w:p w14:paraId="5453E179" w14:textId="77777777" w:rsidR="00BA6F02" w:rsidRPr="00A96607" w:rsidRDefault="00BA6F02" w:rsidP="00793EA3">
            <w:pPr>
              <w:rPr>
                <w:rFonts w:asciiTheme="minorHAnsi" w:hAnsiTheme="minorHAnsi"/>
                <w:b w:val="0"/>
                <w:sz w:val="22"/>
              </w:rPr>
            </w:pPr>
            <w:r w:rsidRPr="00F55911">
              <w:t>Supplemental Materials Received</w:t>
            </w:r>
          </w:p>
        </w:tc>
        <w:tc>
          <w:tcPr>
            <w:tcW w:w="0" w:type="auto"/>
          </w:tcPr>
          <w:p w14:paraId="30FDB4FA"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The issuer has revised a submission that was previously in the Pending Supplemental Materials status.</w:t>
            </w:r>
          </w:p>
        </w:tc>
        <w:tc>
          <w:tcPr>
            <w:tcW w:w="0" w:type="auto"/>
          </w:tcPr>
          <w:p w14:paraId="1014A261" w14:textId="77777777" w:rsidR="00BA6F02" w:rsidRPr="00A96607" w:rsidRDefault="00BA6F02" w:rsidP="00F13967">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 xml:space="preserve">The issuer can revise the submission during the Materials Received </w:t>
            </w:r>
            <w:r w:rsidR="00F13967">
              <w:t>phase</w:t>
            </w:r>
            <w:r w:rsidRPr="00BA6F02">
              <w:t>.</w:t>
            </w:r>
          </w:p>
        </w:tc>
        <w:tc>
          <w:tcPr>
            <w:tcW w:w="0" w:type="auto"/>
          </w:tcPr>
          <w:p w14:paraId="02A628A0" w14:textId="2A9D9D9D"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The issuer must re-validate their submission.</w:t>
            </w:r>
          </w:p>
        </w:tc>
      </w:tr>
      <w:tr w:rsidR="00634A44" w:rsidRPr="00BA6F02" w14:paraId="61E89F9A" w14:textId="77777777" w:rsidTr="00BA6F0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247596F" w14:textId="77777777" w:rsidR="00BA6F02" w:rsidRPr="00A96607" w:rsidRDefault="00BA6F02" w:rsidP="00793EA3">
            <w:pPr>
              <w:rPr>
                <w:rFonts w:asciiTheme="minorHAnsi" w:hAnsiTheme="minorHAnsi"/>
                <w:b w:val="0"/>
                <w:sz w:val="22"/>
              </w:rPr>
            </w:pPr>
            <w:r w:rsidRPr="00F55911">
              <w:t>Rate Filing Accepted</w:t>
            </w:r>
          </w:p>
        </w:tc>
        <w:tc>
          <w:tcPr>
            <w:tcW w:w="0" w:type="auto"/>
          </w:tcPr>
          <w:p w14:paraId="063E9CA4" w14:textId="77777777" w:rsidR="00BA6F02" w:rsidRPr="00A96607" w:rsidRDefault="00BA6F02" w:rsidP="00F55911">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 xml:space="preserve">A submission </w:t>
            </w:r>
            <w:r w:rsidRPr="00BA6F02">
              <w:rPr>
                <w:i/>
              </w:rPr>
              <w:t>not subject to rate review</w:t>
            </w:r>
            <w:r w:rsidRPr="00BA6F02">
              <w:t xml:space="preserve"> has passed the compliance review and CCIIO has checked the “Web Content Assessment” box in HIOS.</w:t>
            </w:r>
          </w:p>
        </w:tc>
        <w:tc>
          <w:tcPr>
            <w:tcW w:w="0" w:type="auto"/>
          </w:tcPr>
          <w:p w14:paraId="2B0C0497" w14:textId="1520C278"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 xml:space="preserve">Only applicable to rate increases of &lt; 10%.  </w:t>
            </w:r>
          </w:p>
        </w:tc>
        <w:tc>
          <w:tcPr>
            <w:tcW w:w="0" w:type="auto"/>
          </w:tcPr>
          <w:p w14:paraId="0718EA7E" w14:textId="4F2CE2DF"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rPr>
                <w:b/>
              </w:rPr>
              <w:t>None.</w:t>
            </w:r>
            <w:r w:rsidRPr="00BA6F02">
              <w:t xml:space="preserve">  This is the final status for submissions not subject to rate review.</w:t>
            </w:r>
          </w:p>
        </w:tc>
      </w:tr>
      <w:tr w:rsidR="00634A44" w:rsidRPr="00BA6F02" w14:paraId="2526F739" w14:textId="77777777" w:rsidTr="00A96607">
        <w:tc>
          <w:tcPr>
            <w:cnfStyle w:val="001000000000" w:firstRow="0" w:lastRow="0" w:firstColumn="1" w:lastColumn="0" w:oddVBand="0" w:evenVBand="0" w:oddHBand="0" w:evenHBand="0" w:firstRowFirstColumn="0" w:firstRowLastColumn="0" w:lastRowFirstColumn="0" w:lastRowLastColumn="0"/>
            <w:tcW w:w="0" w:type="auto"/>
          </w:tcPr>
          <w:p w14:paraId="343FC581" w14:textId="77777777" w:rsidR="00BA6F02" w:rsidRPr="00A96607" w:rsidRDefault="00BA6F02" w:rsidP="00793EA3">
            <w:pPr>
              <w:rPr>
                <w:rFonts w:asciiTheme="minorHAnsi" w:hAnsiTheme="minorHAnsi"/>
                <w:b w:val="0"/>
                <w:sz w:val="22"/>
              </w:rPr>
            </w:pPr>
            <w:r w:rsidRPr="00212166">
              <w:t>Submission Filed</w:t>
            </w:r>
          </w:p>
        </w:tc>
        <w:tc>
          <w:tcPr>
            <w:tcW w:w="0" w:type="auto"/>
          </w:tcPr>
          <w:p w14:paraId="0D88ACE6" w14:textId="77777777" w:rsidR="00BA6F02" w:rsidRPr="00A96607" w:rsidRDefault="00BA6F02" w:rsidP="00F55911">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CCIIO</w:t>
            </w:r>
            <w:r w:rsidRPr="00F55911">
              <w:t xml:space="preserve"> has checked the “Web Content Assessment” box in HIOS</w:t>
            </w:r>
            <w:r w:rsidRPr="00BA6F02">
              <w:t xml:space="preserve"> for a submission </w:t>
            </w:r>
            <w:r w:rsidRPr="00BA6F02">
              <w:rPr>
                <w:i/>
              </w:rPr>
              <w:t>subject to rate revie</w:t>
            </w:r>
            <w:r w:rsidRPr="00BA6F02">
              <w:t>w</w:t>
            </w:r>
            <w:r w:rsidRPr="00F55911">
              <w:t>.</w:t>
            </w:r>
          </w:p>
        </w:tc>
        <w:tc>
          <w:tcPr>
            <w:tcW w:w="0" w:type="auto"/>
          </w:tcPr>
          <w:p w14:paraId="4F5DAE86"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12166">
              <w:t xml:space="preserve">Only applicable to rate increases of </w:t>
            </w:r>
            <w:r w:rsidRPr="00BA6F02">
              <w:t xml:space="preserve">≥ </w:t>
            </w:r>
            <w:r w:rsidRPr="00212166">
              <w:t>10</w:t>
            </w:r>
            <w:r w:rsidRPr="00BA6F02">
              <w:t>%.</w:t>
            </w:r>
            <w:r w:rsidRPr="00212166">
              <w:t xml:space="preserve"> </w:t>
            </w:r>
          </w:p>
        </w:tc>
        <w:tc>
          <w:tcPr>
            <w:tcW w:w="0" w:type="auto"/>
          </w:tcPr>
          <w:p w14:paraId="57FD22A5" w14:textId="27BEB5B8"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F55911">
              <w:t>The regulator must select “Review in Progress” in the dropdown menu in HIOS and then click Save.</w:t>
            </w:r>
          </w:p>
        </w:tc>
      </w:tr>
      <w:tr w:rsidR="00634A44" w:rsidRPr="00BA6F02" w14:paraId="6149E572" w14:textId="77777777" w:rsidTr="00A96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2E71308" w14:textId="77777777" w:rsidR="00BA6F02" w:rsidRPr="00A96607" w:rsidRDefault="00BA6F02" w:rsidP="00793EA3">
            <w:pPr>
              <w:rPr>
                <w:rFonts w:asciiTheme="minorHAnsi" w:hAnsiTheme="minorHAnsi"/>
                <w:b w:val="0"/>
                <w:sz w:val="22"/>
              </w:rPr>
            </w:pPr>
            <w:r w:rsidRPr="00212166">
              <w:t>Review in Progress</w:t>
            </w:r>
          </w:p>
        </w:tc>
        <w:tc>
          <w:tcPr>
            <w:tcW w:w="0" w:type="auto"/>
          </w:tcPr>
          <w:p w14:paraId="55D20521"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 xml:space="preserve">A submission </w:t>
            </w:r>
            <w:r w:rsidRPr="00BA6F02">
              <w:rPr>
                <w:i/>
              </w:rPr>
              <w:t xml:space="preserve">subject to rate review </w:t>
            </w:r>
            <w:r w:rsidRPr="00BA6F02">
              <w:t xml:space="preserve">is being reviewed by the </w:t>
            </w:r>
            <w:r w:rsidRPr="00212166">
              <w:t>regulator.</w:t>
            </w:r>
          </w:p>
        </w:tc>
        <w:tc>
          <w:tcPr>
            <w:tcW w:w="0" w:type="auto"/>
          </w:tcPr>
          <w:p w14:paraId="751B9A0D"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212166">
              <w:t xml:space="preserve">Only applicable to rate increases </w:t>
            </w:r>
            <w:r w:rsidRPr="00BA6F02">
              <w:t>≥</w:t>
            </w:r>
            <w:r w:rsidRPr="00212166">
              <w:t xml:space="preserve"> 10</w:t>
            </w:r>
            <w:r w:rsidRPr="00BA6F02">
              <w:t xml:space="preserve">%. </w:t>
            </w:r>
          </w:p>
        </w:tc>
        <w:tc>
          <w:tcPr>
            <w:tcW w:w="0" w:type="auto"/>
          </w:tcPr>
          <w:p w14:paraId="3EF1E779" w14:textId="4AD765AE"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F55911">
              <w:t xml:space="preserve">The regulator must enter a Final Determination of </w:t>
            </w:r>
            <w:r w:rsidRPr="00212166">
              <w:t>Unreasonable or Not Unreasonable in HIOS.</w:t>
            </w:r>
          </w:p>
        </w:tc>
      </w:tr>
      <w:tr w:rsidR="00634A44" w:rsidRPr="00BA6F02" w14:paraId="36022571" w14:textId="77777777" w:rsidTr="00A96607">
        <w:tc>
          <w:tcPr>
            <w:cnfStyle w:val="001000000000" w:firstRow="0" w:lastRow="0" w:firstColumn="1" w:lastColumn="0" w:oddVBand="0" w:evenVBand="0" w:oddHBand="0" w:evenHBand="0" w:firstRowFirstColumn="0" w:firstRowLastColumn="0" w:lastRowFirstColumn="0" w:lastRowLastColumn="0"/>
            <w:tcW w:w="0" w:type="auto"/>
          </w:tcPr>
          <w:p w14:paraId="6AF4341B" w14:textId="77777777" w:rsidR="00BA6F02" w:rsidRPr="00A96607" w:rsidRDefault="00BA6F02" w:rsidP="00793EA3">
            <w:pPr>
              <w:rPr>
                <w:rFonts w:asciiTheme="minorHAnsi" w:hAnsiTheme="minorHAnsi"/>
                <w:b w:val="0"/>
                <w:sz w:val="22"/>
              </w:rPr>
            </w:pPr>
            <w:r w:rsidRPr="00212166">
              <w:t>Review Complete</w:t>
            </w:r>
          </w:p>
        </w:tc>
        <w:tc>
          <w:tcPr>
            <w:tcW w:w="0" w:type="auto"/>
          </w:tcPr>
          <w:p w14:paraId="357FED04"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F55911">
              <w:t xml:space="preserve">The regulator has finished </w:t>
            </w:r>
            <w:r w:rsidRPr="00BA6F02">
              <w:t xml:space="preserve">reviewing a submission </w:t>
            </w:r>
            <w:r w:rsidRPr="00BA6F02">
              <w:rPr>
                <w:i/>
              </w:rPr>
              <w:t>subject to</w:t>
            </w:r>
            <w:r w:rsidRPr="00212166">
              <w:rPr>
                <w:i/>
              </w:rPr>
              <w:t xml:space="preserve"> rate review</w:t>
            </w:r>
            <w:r w:rsidRPr="00212166">
              <w:t xml:space="preserve"> and </w:t>
            </w:r>
            <w:r w:rsidRPr="00BA6F02">
              <w:t xml:space="preserve">has </w:t>
            </w:r>
            <w:r w:rsidRPr="00212166">
              <w:t xml:space="preserve">entered a final determination </w:t>
            </w:r>
            <w:r w:rsidRPr="00BA6F02">
              <w:t xml:space="preserve">of Not Unreasonable </w:t>
            </w:r>
            <w:r w:rsidRPr="00212166">
              <w:t>in HIOS.</w:t>
            </w:r>
          </w:p>
        </w:tc>
        <w:tc>
          <w:tcPr>
            <w:tcW w:w="0" w:type="auto"/>
          </w:tcPr>
          <w:p w14:paraId="07B47A03"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12166">
              <w:t xml:space="preserve">Only applicable to rate increases </w:t>
            </w:r>
            <w:r w:rsidRPr="00BA6F02">
              <w:t>≥</w:t>
            </w:r>
            <w:r w:rsidRPr="00212166">
              <w:t xml:space="preserve"> 10% </w:t>
            </w:r>
            <w:r w:rsidRPr="00BA6F02">
              <w:t>that have been deemed Not Unreasonable</w:t>
            </w:r>
            <w:r w:rsidRPr="00212166">
              <w:t>.</w:t>
            </w:r>
          </w:p>
        </w:tc>
        <w:tc>
          <w:tcPr>
            <w:tcW w:w="0" w:type="auto"/>
          </w:tcPr>
          <w:p w14:paraId="31B98A7A" w14:textId="6E900C28"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212166">
              <w:rPr>
                <w:b/>
              </w:rPr>
              <w:t>None.</w:t>
            </w:r>
            <w:r w:rsidRPr="00212166">
              <w:t xml:space="preserve">  This is the final status for submissions </w:t>
            </w:r>
            <w:r w:rsidRPr="00BA6F02">
              <w:t xml:space="preserve">with rate increases that are </w:t>
            </w:r>
            <w:r w:rsidRPr="00212166">
              <w:t>subject to rate review</w:t>
            </w:r>
            <w:r w:rsidRPr="00BA6F02">
              <w:t xml:space="preserve"> and have been determined by the regulator to be Not Unreasonable</w:t>
            </w:r>
            <w:r w:rsidRPr="00212166">
              <w:t>.</w:t>
            </w:r>
          </w:p>
        </w:tc>
      </w:tr>
      <w:tr w:rsidR="00634A44" w:rsidRPr="00BA6F02" w14:paraId="3FE92729" w14:textId="77777777" w:rsidTr="00A96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B631F98" w14:textId="77777777" w:rsidR="00BA6F02" w:rsidRPr="00A96607" w:rsidRDefault="00BA6F02" w:rsidP="00793EA3">
            <w:pPr>
              <w:rPr>
                <w:rFonts w:asciiTheme="minorHAnsi" w:hAnsiTheme="minorHAnsi"/>
                <w:b w:val="0"/>
                <w:sz w:val="22"/>
              </w:rPr>
            </w:pPr>
            <w:r w:rsidRPr="00BA6F02">
              <w:t>Pending Final Justification</w:t>
            </w:r>
          </w:p>
        </w:tc>
        <w:tc>
          <w:tcPr>
            <w:tcW w:w="0" w:type="auto"/>
          </w:tcPr>
          <w:p w14:paraId="74BFBEE4"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 xml:space="preserve">The regulator has finished reviewing a submission </w:t>
            </w:r>
            <w:r w:rsidRPr="00BA6F02">
              <w:rPr>
                <w:i/>
              </w:rPr>
              <w:t>subject to rate review</w:t>
            </w:r>
            <w:r w:rsidRPr="00BA6F02">
              <w:t xml:space="preserve"> and has entered a final determination of Unreasonable in HIOS.</w:t>
            </w:r>
          </w:p>
        </w:tc>
        <w:tc>
          <w:tcPr>
            <w:tcW w:w="0" w:type="auto"/>
          </w:tcPr>
          <w:p w14:paraId="7B0B2543"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Only applicable to rate increases ≥ 10% that have been deemed Not Unreasonable.</w:t>
            </w:r>
          </w:p>
        </w:tc>
        <w:tc>
          <w:tcPr>
            <w:tcW w:w="0" w:type="auto"/>
          </w:tcPr>
          <w:p w14:paraId="75A18607" w14:textId="6E87440E"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If the issuer decides to implement the Unreasonable rate increase, then the issuer must enter a Final Justification in HIOS.</w:t>
            </w:r>
          </w:p>
          <w:p w14:paraId="509FC323"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p w14:paraId="1C0DF4A7" w14:textId="06ABC5C9"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8126D4">
              <w:t>If the issuer decides to modify the Unreasonable rate increase, the issuer should</w:t>
            </w:r>
            <w:r w:rsidR="00DA2125" w:rsidRPr="008126D4">
              <w:t xml:space="preserve"> </w:t>
            </w:r>
            <w:r w:rsidR="008126D4">
              <w:t xml:space="preserve">o request a submission </w:t>
            </w:r>
            <w:r w:rsidR="00DA2125" w:rsidRPr="008126D4">
              <w:t>unlock</w:t>
            </w:r>
            <w:r w:rsidR="008126D4">
              <w:t xml:space="preserve"> and </w:t>
            </w:r>
            <w:proofErr w:type="gramStart"/>
            <w:r w:rsidR="008126D4">
              <w:t>resubmit .</w:t>
            </w:r>
            <w:proofErr w:type="gramEnd"/>
            <w:r w:rsidRPr="00BA6F02">
              <w:t xml:space="preserve"> </w:t>
            </w:r>
          </w:p>
          <w:p w14:paraId="5E6F6376" w14:textId="77777777" w:rsidR="00BA6F02" w:rsidRPr="00A96607" w:rsidRDefault="00BA6F02" w:rsidP="00793EA3">
            <w:pPr>
              <w:pStyle w:val="ListParagraph"/>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p w14:paraId="724799EE"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 xml:space="preserve">If the issuer decides not to implement the unreasonable rate increase, then the issuer should contact CCIIO to request a submission deactivation.  </w:t>
            </w:r>
          </w:p>
        </w:tc>
      </w:tr>
      <w:tr w:rsidR="00634A44" w:rsidRPr="00BA6F02" w14:paraId="24861AC4" w14:textId="77777777" w:rsidTr="00A96607">
        <w:tc>
          <w:tcPr>
            <w:cnfStyle w:val="001000000000" w:firstRow="0" w:lastRow="0" w:firstColumn="1" w:lastColumn="0" w:oddVBand="0" w:evenVBand="0" w:oddHBand="0" w:evenHBand="0" w:firstRowFirstColumn="0" w:firstRowLastColumn="0" w:lastRowFirstColumn="0" w:lastRowLastColumn="0"/>
            <w:tcW w:w="0" w:type="auto"/>
          </w:tcPr>
          <w:p w14:paraId="6E9038B7" w14:textId="77777777" w:rsidR="00BA6F02" w:rsidRPr="00A96607" w:rsidRDefault="00BA6F02" w:rsidP="00793EA3">
            <w:pPr>
              <w:rPr>
                <w:rFonts w:asciiTheme="minorHAnsi" w:hAnsiTheme="minorHAnsi"/>
                <w:b w:val="0"/>
                <w:sz w:val="22"/>
              </w:rPr>
            </w:pPr>
            <w:r w:rsidRPr="00BA6F02">
              <w:t>Final Justification Submitted</w:t>
            </w:r>
          </w:p>
        </w:tc>
        <w:tc>
          <w:tcPr>
            <w:tcW w:w="0" w:type="auto"/>
          </w:tcPr>
          <w:p w14:paraId="2DDCC91B"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The issuer has entered a Final Justification in HIOS.</w:t>
            </w:r>
          </w:p>
        </w:tc>
        <w:tc>
          <w:tcPr>
            <w:tcW w:w="0" w:type="auto"/>
          </w:tcPr>
          <w:p w14:paraId="0A1BD7C5"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Only applicable to rate increases ≥ 10% that have been deemed Not Unreasonable.</w:t>
            </w:r>
          </w:p>
        </w:tc>
        <w:tc>
          <w:tcPr>
            <w:tcW w:w="0" w:type="auto"/>
          </w:tcPr>
          <w:p w14:paraId="69315491" w14:textId="026AE344"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rPr>
                <w:b/>
              </w:rPr>
              <w:t>None.</w:t>
            </w:r>
            <w:r w:rsidRPr="00BA6F02">
              <w:t xml:space="preserve"> This is the final status for submissions with rate increases that are subject to rate review, have been determined by the regulator to be Unreasonable, and will be implemented by the issuer.</w:t>
            </w:r>
          </w:p>
        </w:tc>
      </w:tr>
      <w:tr w:rsidR="00634A44" w:rsidRPr="00BA6F02" w14:paraId="6C572FED" w14:textId="77777777" w:rsidTr="00A966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47BD8DBF" w14:textId="77777777" w:rsidR="00BA6F02" w:rsidRPr="00A96607" w:rsidRDefault="00BA6F02" w:rsidP="00793EA3">
            <w:pPr>
              <w:rPr>
                <w:rFonts w:asciiTheme="minorHAnsi" w:hAnsiTheme="minorHAnsi"/>
                <w:b w:val="0"/>
                <w:sz w:val="22"/>
              </w:rPr>
            </w:pPr>
            <w:r w:rsidRPr="00BA6F02">
              <w:t>Submission Failed</w:t>
            </w:r>
          </w:p>
          <w:p w14:paraId="4DF3A93C" w14:textId="77777777" w:rsidR="00BA6F02" w:rsidRPr="00A96607" w:rsidRDefault="00BA6F02" w:rsidP="00793EA3">
            <w:pPr>
              <w:rPr>
                <w:rFonts w:asciiTheme="minorHAnsi" w:hAnsiTheme="minorHAnsi"/>
                <w:sz w:val="22"/>
              </w:rPr>
            </w:pPr>
          </w:p>
        </w:tc>
        <w:tc>
          <w:tcPr>
            <w:tcW w:w="0" w:type="auto"/>
          </w:tcPr>
          <w:p w14:paraId="17B03C44"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 xml:space="preserve">The issuer unsuccessfully attempted to create a submission in HIOS. </w:t>
            </w:r>
          </w:p>
          <w:p w14:paraId="5F04AB88"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p>
        </w:tc>
        <w:tc>
          <w:tcPr>
            <w:tcW w:w="0" w:type="auto"/>
          </w:tcPr>
          <w:p w14:paraId="51356E66" w14:textId="77777777"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sz w:val="22"/>
              </w:rPr>
            </w:pPr>
            <w:r w:rsidRPr="00BA6F02">
              <w:t>Submission failures occur when the issuer enters invalid data or fails to enter required data.</w:t>
            </w:r>
          </w:p>
        </w:tc>
        <w:tc>
          <w:tcPr>
            <w:tcW w:w="0" w:type="auto"/>
          </w:tcPr>
          <w:p w14:paraId="09D931C6" w14:textId="3AB54643" w:rsidR="00BA6F02" w:rsidRPr="00A96607" w:rsidRDefault="00BA6F02" w:rsidP="00793EA3">
            <w:pPr>
              <w:cnfStyle w:val="000000100000" w:firstRow="0" w:lastRow="0" w:firstColumn="0" w:lastColumn="0" w:oddVBand="0" w:evenVBand="0" w:oddHBand="1" w:evenHBand="0" w:firstRowFirstColumn="0" w:firstRowLastColumn="0" w:lastRowFirstColumn="0" w:lastRowLastColumn="0"/>
              <w:rPr>
                <w:rFonts w:asciiTheme="minorHAnsi" w:hAnsiTheme="minorHAnsi"/>
                <w:b/>
                <w:sz w:val="22"/>
              </w:rPr>
            </w:pPr>
            <w:r w:rsidRPr="00BA6F02">
              <w:t>HIOS generates an email to the issuer indicate the submission failure. The issuer should create a new submission.</w:t>
            </w:r>
          </w:p>
        </w:tc>
      </w:tr>
      <w:tr w:rsidR="00634A44" w:rsidRPr="00BA6F02" w14:paraId="15EEFABA" w14:textId="77777777" w:rsidTr="00A96607">
        <w:tc>
          <w:tcPr>
            <w:cnfStyle w:val="001000000000" w:firstRow="0" w:lastRow="0" w:firstColumn="1" w:lastColumn="0" w:oddVBand="0" w:evenVBand="0" w:oddHBand="0" w:evenHBand="0" w:firstRowFirstColumn="0" w:firstRowLastColumn="0" w:lastRowFirstColumn="0" w:lastRowLastColumn="0"/>
            <w:tcW w:w="0" w:type="auto"/>
          </w:tcPr>
          <w:p w14:paraId="67D67D5F" w14:textId="77777777" w:rsidR="00BA6F02" w:rsidRPr="00A96607" w:rsidRDefault="00BA6F02" w:rsidP="00793EA3">
            <w:pPr>
              <w:rPr>
                <w:rFonts w:asciiTheme="minorHAnsi" w:hAnsiTheme="minorHAnsi"/>
                <w:b w:val="0"/>
                <w:sz w:val="22"/>
              </w:rPr>
            </w:pPr>
            <w:r w:rsidRPr="00BA6F02">
              <w:t>Submission Deactivated</w:t>
            </w:r>
          </w:p>
          <w:p w14:paraId="2A94A378" w14:textId="77777777" w:rsidR="00BA6F02" w:rsidRPr="00A96607" w:rsidRDefault="00BA6F02" w:rsidP="00793EA3">
            <w:pPr>
              <w:rPr>
                <w:rFonts w:asciiTheme="minorHAnsi" w:hAnsiTheme="minorHAnsi"/>
                <w:sz w:val="22"/>
              </w:rPr>
            </w:pPr>
          </w:p>
          <w:p w14:paraId="234FF309" w14:textId="77777777" w:rsidR="00BA6F02" w:rsidRPr="00A96607" w:rsidRDefault="00BA6F02" w:rsidP="00793EA3">
            <w:pPr>
              <w:rPr>
                <w:rFonts w:asciiTheme="minorHAnsi" w:hAnsiTheme="minorHAnsi"/>
                <w:sz w:val="22"/>
              </w:rPr>
            </w:pPr>
          </w:p>
        </w:tc>
        <w:tc>
          <w:tcPr>
            <w:tcW w:w="0" w:type="auto"/>
          </w:tcPr>
          <w:p w14:paraId="4D2B5BD6"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CCIIO has deactivated the submission.</w:t>
            </w:r>
          </w:p>
          <w:p w14:paraId="136F0A18"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p>
          <w:p w14:paraId="25E2FD08"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rPr>
                <w:i/>
              </w:rPr>
              <w:t>Note:</w:t>
            </w:r>
            <w:r w:rsidRPr="00BA6F02">
              <w:t xml:space="preserve"> In enforcing states, the state regulator must first contact CCIIO to request the deactivation.</w:t>
            </w:r>
          </w:p>
        </w:tc>
        <w:tc>
          <w:tcPr>
            <w:tcW w:w="0" w:type="auto"/>
          </w:tcPr>
          <w:p w14:paraId="1011EC3C" w14:textId="7777777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sz w:val="22"/>
              </w:rPr>
            </w:pPr>
            <w:r w:rsidRPr="00BA6F02">
              <w:t>Only submissions with a status of Record Validated, Review Complete, or Rate Filing Accepted can be deactivated.</w:t>
            </w:r>
          </w:p>
        </w:tc>
        <w:tc>
          <w:tcPr>
            <w:tcW w:w="0" w:type="auto"/>
          </w:tcPr>
          <w:p w14:paraId="1AA0627C" w14:textId="10AC4967" w:rsidR="00BA6F02" w:rsidRPr="00A96607" w:rsidRDefault="00BA6F02" w:rsidP="00793EA3">
            <w:pPr>
              <w:cnfStyle w:val="000000000000" w:firstRow="0" w:lastRow="0" w:firstColumn="0" w:lastColumn="0" w:oddVBand="0" w:evenVBand="0" w:oddHBand="0" w:evenHBand="0" w:firstRowFirstColumn="0" w:firstRowLastColumn="0" w:lastRowFirstColumn="0" w:lastRowLastColumn="0"/>
              <w:rPr>
                <w:rFonts w:asciiTheme="minorHAnsi" w:hAnsiTheme="minorHAnsi"/>
                <w:b/>
                <w:sz w:val="22"/>
              </w:rPr>
            </w:pPr>
            <w:r w:rsidRPr="00BA6F02">
              <w:t>The issuer should create a new submission.</w:t>
            </w:r>
          </w:p>
        </w:tc>
      </w:tr>
    </w:tbl>
    <w:p w14:paraId="0C157695" w14:textId="77777777" w:rsidR="000D5C5E" w:rsidRPr="00616FA2" w:rsidRDefault="000D5C5E" w:rsidP="000D5C5E">
      <w:pPr>
        <w:rPr>
          <w:rFonts w:ascii="Times New Roman" w:hAnsi="Times New Roman" w:cs="Times New Roman"/>
          <w:sz w:val="24"/>
          <w:szCs w:val="24"/>
          <w:u w:val="single"/>
        </w:rPr>
      </w:pPr>
    </w:p>
    <w:p w14:paraId="2E72F0C5" w14:textId="5F2879C9" w:rsidR="00105F23" w:rsidRDefault="003C594E" w:rsidP="008E5B0B">
      <w:pPr>
        <w:pStyle w:val="Heading2"/>
      </w:pPr>
      <w:bookmarkStart w:id="834" w:name="_Toc412032818"/>
      <w:bookmarkStart w:id="835" w:name="_Toc411936290"/>
      <w:bookmarkStart w:id="836" w:name="_Toc412287700"/>
      <w:bookmarkStart w:id="837" w:name="_Toc441756544"/>
      <w:r>
        <w:t>Unlock</w:t>
      </w:r>
      <w:r w:rsidR="008126D4">
        <w:t>ing</w:t>
      </w:r>
      <w:r w:rsidR="00436728">
        <w:t xml:space="preserve"> a </w:t>
      </w:r>
      <w:bookmarkEnd w:id="834"/>
      <w:bookmarkEnd w:id="835"/>
      <w:bookmarkEnd w:id="836"/>
      <w:bookmarkEnd w:id="837"/>
      <w:r w:rsidR="00436728">
        <w:t>Submission</w:t>
      </w:r>
    </w:p>
    <w:p w14:paraId="062BCB6C" w14:textId="7D950689" w:rsidR="008126D4" w:rsidRPr="00871FAB" w:rsidRDefault="00BA6F02" w:rsidP="00871FAB">
      <w:pPr>
        <w:rPr>
          <w:rFonts w:cstheme="minorHAnsi"/>
        </w:rPr>
      </w:pPr>
      <w:r w:rsidRPr="008126D4">
        <w:rPr>
          <w:rFonts w:cstheme="minorHAnsi"/>
        </w:rPr>
        <w:t xml:space="preserve">If an issuer needs to change a previously validated submission for any reason (e.g., the regulator requests additional documentation, the issuer realizes that a file is missing), the issuer must </w:t>
      </w:r>
      <w:r w:rsidR="00436728" w:rsidRPr="008126D4">
        <w:rPr>
          <w:rFonts w:cstheme="minorHAnsi"/>
        </w:rPr>
        <w:t xml:space="preserve">first </w:t>
      </w:r>
      <w:r w:rsidR="00772CC5" w:rsidRPr="008126D4">
        <w:rPr>
          <w:rFonts w:cstheme="minorHAnsi"/>
        </w:rPr>
        <w:t xml:space="preserve">have the </w:t>
      </w:r>
      <w:r w:rsidR="00436728" w:rsidRPr="008126D4">
        <w:rPr>
          <w:rFonts w:cstheme="minorHAnsi"/>
        </w:rPr>
        <w:t>previous submission</w:t>
      </w:r>
      <w:r w:rsidR="00772CC5" w:rsidRPr="008126D4">
        <w:rPr>
          <w:rFonts w:cstheme="minorHAnsi"/>
        </w:rPr>
        <w:t xml:space="preserve"> unlocked by the state or CCIIO</w:t>
      </w:r>
      <w:r w:rsidR="00436728" w:rsidRPr="008126D4">
        <w:rPr>
          <w:rFonts w:cstheme="minorHAnsi"/>
        </w:rPr>
        <w:t xml:space="preserve">.  </w:t>
      </w:r>
      <w:bookmarkStart w:id="838" w:name="bookmark1"/>
      <w:bookmarkStart w:id="839" w:name="6_Appendix_A:_Guidance_for_Quarterly_Rat"/>
      <w:bookmarkStart w:id="840" w:name="5.2_Submission_Unlock_Requests"/>
      <w:bookmarkStart w:id="841" w:name="bookmark0"/>
      <w:bookmarkEnd w:id="838"/>
      <w:bookmarkEnd w:id="839"/>
      <w:bookmarkEnd w:id="840"/>
      <w:bookmarkEnd w:id="841"/>
    </w:p>
    <w:p w14:paraId="672B60C1" w14:textId="77777777" w:rsidR="008126D4" w:rsidRDefault="008126D4" w:rsidP="008126D4">
      <w:pPr>
        <w:pStyle w:val="BodyText"/>
        <w:kinsoku w:val="0"/>
        <w:overflowPunct w:val="0"/>
      </w:pPr>
      <w:r>
        <w:t>The issuer must re-validate the submission after making</w:t>
      </w:r>
      <w:r>
        <w:rPr>
          <w:spacing w:val="-8"/>
        </w:rPr>
        <w:t xml:space="preserve"> </w:t>
      </w:r>
      <w:r>
        <w:t>revisions.</w:t>
      </w:r>
    </w:p>
    <w:p w14:paraId="21312E8A" w14:textId="77777777" w:rsidR="00871FAB" w:rsidRDefault="00FE1369" w:rsidP="00871FAB">
      <w:r w:rsidRPr="008126D4">
        <w:t>If an issuer needs to revise its Part II Written Description Justifying the Rate Increase, the issuer must upload a new URRT into HIOS.  This is true even if the URRT is not changing.</w:t>
      </w:r>
      <w:r w:rsidR="00A96607" w:rsidRPr="008126D4">
        <w:t xml:space="preserve">  Uploading a URRT that contains a </w:t>
      </w:r>
      <w:r w:rsidR="00110CA3" w:rsidRPr="008126D4">
        <w:t>rate increase subject to review is the trigger for HIOS requiring the Part II Written Description Justifying the Rate Increase.</w:t>
      </w:r>
      <w:bookmarkStart w:id="842" w:name="_Toc412032819"/>
      <w:bookmarkStart w:id="843" w:name="_Toc411936291"/>
      <w:bookmarkStart w:id="844" w:name="_Toc412287701"/>
      <w:bookmarkStart w:id="845" w:name="_Toc441756545"/>
    </w:p>
    <w:p w14:paraId="5BFCB2C8" w14:textId="76D320BF" w:rsidR="004D150B" w:rsidRDefault="004D150B" w:rsidP="00871FAB">
      <w:r>
        <w:rPr>
          <w:rFonts w:cstheme="minorHAnsi"/>
        </w:rPr>
        <w:t xml:space="preserve">Appendix A: </w:t>
      </w:r>
      <w:r>
        <w:t>Guidance for Quarterly Rate Increases</w:t>
      </w:r>
      <w:bookmarkEnd w:id="842"/>
      <w:bookmarkEnd w:id="843"/>
      <w:bookmarkEnd w:id="844"/>
      <w:bookmarkEnd w:id="845"/>
    </w:p>
    <w:p w14:paraId="08638A96" w14:textId="77777777" w:rsidR="004D150B" w:rsidRDefault="004D150B" w:rsidP="004D150B">
      <w:r>
        <w:t>This appendix provides guidance for the completion of the URR</w:t>
      </w:r>
      <w:r w:rsidR="00ED5061">
        <w:t>T</w:t>
      </w:r>
      <w:r>
        <w:t xml:space="preserve"> submission in the small group market when an issuer chooses to file rates with predefined quarterly trend increases. The guidance provided is not the required methodology, but rather an example of how the template could be completed.</w:t>
      </w:r>
    </w:p>
    <w:p w14:paraId="6DC84D7E" w14:textId="77777777" w:rsidR="004D150B" w:rsidRDefault="004D150B" w:rsidP="004D150B">
      <w:r>
        <w:t xml:space="preserve">Premium rates for products in the small group market may be allowed to change on a quarterly basis for trend, if not prohibited by the state. If an issuer chooses to increase rates on a quarterly basis for trend, the issuer may file for trend increases for a specified period of time.  However, the Index Rate for the projection period must be reflective of each of the trended rates effective during the period. </w:t>
      </w:r>
    </w:p>
    <w:p w14:paraId="3851D309" w14:textId="275A7FCB" w:rsidR="004D150B" w:rsidRDefault="004D150B" w:rsidP="004D150B">
      <w:r>
        <w:t xml:space="preserve">A methodology that could be used to calculate the Index Rate would be to develop a weighted average using each effective premium rate and the expected number of members at the corresponding premium level.  This would be performed for each renewal month during the twelve month period. For example, in the template filed for a January effective date, the Index Rate would be calculated for each renewal month (January through December). The December rates in this example would be weighted with the expected enrollment for December renewals for the twelve-month rating period from December of that year through November of the next year. The table below shows an example of this calculation and the Index Rate that could be entered into the Part I </w:t>
      </w:r>
      <w:r w:rsidR="00566DE7">
        <w:t>URRT</w:t>
      </w:r>
      <w:r w:rsidR="00FE1369">
        <w:t xml:space="preserve">. </w:t>
      </w:r>
    </w:p>
    <w:p w14:paraId="3619C847" w14:textId="77777777" w:rsidR="004D150B" w:rsidRDefault="004D150B" w:rsidP="004D150B">
      <w:r>
        <w:t>The example is an issuer that wishes to change their small group rates on a quarterly basis using an annual trend of 5%.  The template is submitted for a January 1 effective date.</w:t>
      </w:r>
    </w:p>
    <w:p w14:paraId="162514A0" w14:textId="77777777" w:rsidR="004D150B" w:rsidRDefault="004D150B" w:rsidP="004D150B">
      <w:r>
        <w:t xml:space="preserve"> </w:t>
      </w:r>
      <w:r w:rsidRPr="008A3126">
        <w:rPr>
          <w:noProof/>
        </w:rPr>
        <w:drawing>
          <wp:inline distT="0" distB="0" distL="0" distR="0" wp14:anchorId="3DD7E578" wp14:editId="1E8B1259">
            <wp:extent cx="5410200" cy="2295525"/>
            <wp:effectExtent l="0" t="0" r="0" b="9525"/>
            <wp:docPr id="1" name="Picture 1" descr="The table illustrates an example of a method an issuer could use to calculate its index rate.  The example is described in the text immediately preceding the table." title="Example of Method to Calculate Index R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10200" cy="2295525"/>
                    </a:xfrm>
                    <a:prstGeom prst="rect">
                      <a:avLst/>
                    </a:prstGeom>
                    <a:noFill/>
                    <a:ln>
                      <a:noFill/>
                    </a:ln>
                  </pic:spPr>
                </pic:pic>
              </a:graphicData>
            </a:graphic>
          </wp:inline>
        </w:drawing>
      </w:r>
    </w:p>
    <w:p w14:paraId="279506E2" w14:textId="77777777" w:rsidR="004D150B" w:rsidRDefault="004D150B" w:rsidP="004D150B">
      <w:r>
        <w:t>The quarterly trend factor for each quarter should be included in the Part III Actuarial Memorandum, and support should be provided. Please see the instructions for the Part III Actuarial Memorandum for further information.</w:t>
      </w:r>
    </w:p>
    <w:p w14:paraId="1B35CDE4" w14:textId="3141E0D1" w:rsidR="00800192" w:rsidRDefault="00800192">
      <w:pPr>
        <w:rPr>
          <w:rFonts w:cstheme="minorHAnsi"/>
        </w:rPr>
      </w:pPr>
      <w:r>
        <w:rPr>
          <w:rFonts w:cstheme="minorHAnsi"/>
        </w:rPr>
        <w:br w:type="page"/>
      </w:r>
    </w:p>
    <w:p w14:paraId="7A2869BC" w14:textId="1399F859" w:rsidR="003C594E" w:rsidRDefault="005A270E" w:rsidP="005A270E">
      <w:pPr>
        <w:pStyle w:val="Heading1"/>
      </w:pPr>
      <w:bookmarkStart w:id="846" w:name="_Toc441756546"/>
      <w:r>
        <w:t>Appendix B:  Guidance for Plan Mapping</w:t>
      </w:r>
      <w:bookmarkEnd w:id="846"/>
    </w:p>
    <w:p w14:paraId="14D917FF" w14:textId="37BBE4BB" w:rsidR="005A270E" w:rsidRDefault="005A270E" w:rsidP="005A270E">
      <w:r>
        <w:t>This appendix demonstrates plan mapping instructions found in Section 2.2 of the instructions above.</w:t>
      </w:r>
      <w:r w:rsidR="0097739B">
        <w:t xml:space="preserve">  The numbering of the examples here corresponds with the numbering of the applicable scenario described in Section 2.2.</w:t>
      </w:r>
    </w:p>
    <w:p w14:paraId="6F0EBE59" w14:textId="77777777" w:rsidR="00800192" w:rsidRDefault="00800192" w:rsidP="009D2B17">
      <w:pPr>
        <w:pStyle w:val="ListParagraph"/>
        <w:numPr>
          <w:ilvl w:val="0"/>
          <w:numId w:val="53"/>
        </w:numPr>
      </w:pPr>
      <w:r>
        <w:t>A plan status of New should only be selected when the issuer is introducing a new plan.</w:t>
      </w:r>
    </w:p>
    <w:p w14:paraId="23A95CFC" w14:textId="77777777" w:rsidR="00800192" w:rsidRDefault="00800192" w:rsidP="009D2B17">
      <w:pPr>
        <w:pStyle w:val="ListParagraph"/>
        <w:numPr>
          <w:ilvl w:val="1"/>
          <w:numId w:val="53"/>
        </w:numPr>
      </w:pPr>
      <w:r>
        <w:t>If a plan is new and no existing members are being mapped (auto-enrolled) into the new plan:</w:t>
      </w:r>
    </w:p>
    <w:p w14:paraId="7A7B00F6" w14:textId="57C9201C" w:rsidR="00800192" w:rsidRDefault="00800192" w:rsidP="005A270E">
      <w:r w:rsidRPr="00800192">
        <w:rPr>
          <w:noProof/>
        </w:rPr>
        <w:drawing>
          <wp:inline distT="0" distB="0" distL="0" distR="0" wp14:anchorId="55485DC9" wp14:editId="16A8184C">
            <wp:extent cx="2494280" cy="768350"/>
            <wp:effectExtent l="0" t="0" r="127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94280" cy="768350"/>
                    </a:xfrm>
                    <a:prstGeom prst="rect">
                      <a:avLst/>
                    </a:prstGeom>
                    <a:noFill/>
                    <a:ln>
                      <a:noFill/>
                    </a:ln>
                  </pic:spPr>
                </pic:pic>
              </a:graphicData>
            </a:graphic>
          </wp:inline>
        </w:drawing>
      </w:r>
      <w:r w:rsidRPr="00800192">
        <w:t xml:space="preserve"> </w:t>
      </w:r>
    </w:p>
    <w:p w14:paraId="108BF528" w14:textId="5E4608A7" w:rsidR="00800192" w:rsidRDefault="000615A3">
      <w:r w:rsidRPr="000615A3">
        <w:rPr>
          <w:noProof/>
        </w:rPr>
        <w:drawing>
          <wp:inline distT="0" distB="0" distL="0" distR="0" wp14:anchorId="234179DD" wp14:editId="48F0F078">
            <wp:extent cx="5552440" cy="2487295"/>
            <wp:effectExtent l="0" t="0" r="0"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2440" cy="2487295"/>
                    </a:xfrm>
                    <a:prstGeom prst="rect">
                      <a:avLst/>
                    </a:prstGeom>
                    <a:noFill/>
                    <a:ln>
                      <a:noFill/>
                    </a:ln>
                  </pic:spPr>
                </pic:pic>
              </a:graphicData>
            </a:graphic>
          </wp:inline>
        </w:drawing>
      </w:r>
      <w:r w:rsidR="00800192">
        <w:br w:type="page"/>
      </w:r>
    </w:p>
    <w:p w14:paraId="3D762BC2" w14:textId="77777777" w:rsidR="00800192" w:rsidRDefault="00800192" w:rsidP="009D2B17">
      <w:pPr>
        <w:pStyle w:val="ListParagraph"/>
        <w:numPr>
          <w:ilvl w:val="0"/>
          <w:numId w:val="55"/>
        </w:numPr>
      </w:pPr>
      <w:r>
        <w:t>A plan status of New should only be selected when the issuer is introducing a new plan.</w:t>
      </w:r>
    </w:p>
    <w:p w14:paraId="4240B69B" w14:textId="1A620A77" w:rsidR="001F3518" w:rsidRDefault="001F3518" w:rsidP="009D2B17">
      <w:pPr>
        <w:pStyle w:val="ListParagraph"/>
        <w:numPr>
          <w:ilvl w:val="1"/>
          <w:numId w:val="54"/>
        </w:numPr>
      </w:pPr>
      <w:r w:rsidRPr="001F3518">
        <w:t>If a plan is new but existing members from terminating plans are being mapped (auto-enrolled) into the new plan</w:t>
      </w:r>
      <w:r w:rsidR="00800192">
        <w:t>:</w:t>
      </w:r>
    </w:p>
    <w:p w14:paraId="554394AC" w14:textId="576A5C62" w:rsidR="001F3518" w:rsidRDefault="001F3518" w:rsidP="001F3518">
      <w:pPr>
        <w:ind w:left="360"/>
      </w:pPr>
      <w:r w:rsidRPr="001F3518">
        <w:t xml:space="preserve"> </w:t>
      </w:r>
      <w:r w:rsidR="000615A3" w:rsidRPr="000615A3">
        <w:rPr>
          <w:noProof/>
        </w:rPr>
        <w:drawing>
          <wp:inline distT="0" distB="0" distL="0" distR="0" wp14:anchorId="63DF0805" wp14:editId="1F27DD88">
            <wp:extent cx="5106035" cy="768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06035" cy="768350"/>
                    </a:xfrm>
                    <a:prstGeom prst="rect">
                      <a:avLst/>
                    </a:prstGeom>
                    <a:noFill/>
                    <a:ln>
                      <a:noFill/>
                    </a:ln>
                  </pic:spPr>
                </pic:pic>
              </a:graphicData>
            </a:graphic>
          </wp:inline>
        </w:drawing>
      </w:r>
      <w:r w:rsidRPr="001F3518">
        <w:rPr>
          <w:noProof/>
        </w:rPr>
        <w:drawing>
          <wp:inline distT="0" distB="0" distL="0" distR="0" wp14:anchorId="21876EA7" wp14:editId="5A258E65">
            <wp:extent cx="5943600" cy="171819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1718199"/>
                    </a:xfrm>
                    <a:prstGeom prst="rect">
                      <a:avLst/>
                    </a:prstGeom>
                    <a:noFill/>
                    <a:ln>
                      <a:noFill/>
                    </a:ln>
                  </pic:spPr>
                </pic:pic>
              </a:graphicData>
            </a:graphic>
          </wp:inline>
        </w:drawing>
      </w:r>
    </w:p>
    <w:p w14:paraId="4184FF63" w14:textId="03121ABC" w:rsidR="001F3518" w:rsidRDefault="001F3518">
      <w:r>
        <w:br w:type="page"/>
      </w:r>
    </w:p>
    <w:p w14:paraId="47C944A7" w14:textId="77777777" w:rsidR="001F3518" w:rsidRDefault="001F3518" w:rsidP="009D2B17">
      <w:pPr>
        <w:pStyle w:val="ListParagraph"/>
        <w:numPr>
          <w:ilvl w:val="0"/>
          <w:numId w:val="55"/>
        </w:numPr>
      </w:pPr>
      <w:r>
        <w:t>A plan status of Renewing should be selected for renewing plans.  This includes all plans defined as the same plan under 45 CFR 144.103.  Note that under 45 CFR 154.200, a product is subject to rate review if any renewing plan within the product has a rate increase of 10% or more.  If an issuer is mapping terminating plans into a renewing plan and the renewing plan is not considered the same plan as the terminating plan, then Sections I, II, and III of Worksheet 2 should only reflect information for the renewing plan.  Section IV should be filled out with expected projections.  Terminating plans being mapped to renewing plans should be handled according to terminating plan instructions below.</w:t>
      </w:r>
    </w:p>
    <w:p w14:paraId="689855BE" w14:textId="307F32CA" w:rsidR="001F3518" w:rsidRDefault="001F3518" w:rsidP="001F3518">
      <w:pPr>
        <w:pStyle w:val="ListParagraph"/>
        <w:ind w:left="360"/>
      </w:pPr>
      <w:r w:rsidRPr="001F3518">
        <w:rPr>
          <w:noProof/>
        </w:rPr>
        <w:drawing>
          <wp:inline distT="0" distB="0" distL="0" distR="0" wp14:anchorId="4EDC8F7D" wp14:editId="335ED93C">
            <wp:extent cx="2765425" cy="7683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5425" cy="768350"/>
                    </a:xfrm>
                    <a:prstGeom prst="rect">
                      <a:avLst/>
                    </a:prstGeom>
                    <a:noFill/>
                    <a:ln>
                      <a:noFill/>
                    </a:ln>
                  </pic:spPr>
                </pic:pic>
              </a:graphicData>
            </a:graphic>
          </wp:inline>
        </w:drawing>
      </w:r>
      <w:r w:rsidRPr="001F3518">
        <w:t xml:space="preserve"> </w:t>
      </w:r>
      <w:r w:rsidRPr="001F3518">
        <w:rPr>
          <w:noProof/>
        </w:rPr>
        <w:drawing>
          <wp:inline distT="0" distB="0" distL="0" distR="0" wp14:anchorId="61EC830C" wp14:editId="1625501D">
            <wp:extent cx="5552440" cy="2487295"/>
            <wp:effectExtent l="0" t="0" r="0" b="825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52440" cy="2487295"/>
                    </a:xfrm>
                    <a:prstGeom prst="rect">
                      <a:avLst/>
                    </a:prstGeom>
                    <a:noFill/>
                    <a:ln>
                      <a:noFill/>
                    </a:ln>
                  </pic:spPr>
                </pic:pic>
              </a:graphicData>
            </a:graphic>
          </wp:inline>
        </w:drawing>
      </w:r>
    </w:p>
    <w:p w14:paraId="4D084AAF" w14:textId="5225F38A" w:rsidR="00D825A8" w:rsidRDefault="00D825A8">
      <w:r>
        <w:br w:type="page"/>
      </w:r>
    </w:p>
    <w:p w14:paraId="28412206" w14:textId="77777777" w:rsidR="00D825A8" w:rsidRDefault="00D825A8" w:rsidP="00D825A8">
      <w:pPr>
        <w:pStyle w:val="ListParagraph"/>
        <w:numPr>
          <w:ilvl w:val="0"/>
          <w:numId w:val="56"/>
        </w:numPr>
      </w:pPr>
      <w:r>
        <w:t>A plan status of Terminating should be selected for plans effective during the experience period that will no longer be offered during the projection period.</w:t>
      </w:r>
    </w:p>
    <w:p w14:paraId="08F8016C" w14:textId="0B2651EF" w:rsidR="00D825A8" w:rsidRDefault="00D825A8" w:rsidP="00D825A8">
      <w:pPr>
        <w:pStyle w:val="ListParagraph"/>
        <w:numPr>
          <w:ilvl w:val="1"/>
          <w:numId w:val="57"/>
        </w:numPr>
      </w:pPr>
      <w:r w:rsidRPr="004D78D5">
        <w:t xml:space="preserve">Each single risk pool plan that was effective during the </w:t>
      </w:r>
      <w:r>
        <w:t>e</w:t>
      </w:r>
      <w:r w:rsidRPr="004D78D5">
        <w:t xml:space="preserve">xperience </w:t>
      </w:r>
      <w:r>
        <w:t>p</w:t>
      </w:r>
      <w:r w:rsidRPr="004D78D5">
        <w:t xml:space="preserve">eriod, terminated in the rating period and not mapped into another single risk pool plan should be included in Worksheet 2 in its own column.  Information associated with the </w:t>
      </w:r>
      <w:r>
        <w:t>e</w:t>
      </w:r>
      <w:r w:rsidRPr="004D78D5">
        <w:t xml:space="preserve">xperience </w:t>
      </w:r>
      <w:r>
        <w:t>p</w:t>
      </w:r>
      <w:r w:rsidRPr="004D78D5">
        <w:t xml:space="preserve">eriod should be included in Section III but Section IV should be </w:t>
      </w:r>
      <w:r w:rsidR="008566AD">
        <w:t>entered as 0 or other appropriate value</w:t>
      </w:r>
      <w:r w:rsidRPr="004D78D5">
        <w:t>. See the Actuarial Memorandum instructions under “Terminated Plans and Products” for more information.</w:t>
      </w:r>
    </w:p>
    <w:p w14:paraId="4C4802D7" w14:textId="0588283E" w:rsidR="00D825A8" w:rsidRDefault="00D825A8" w:rsidP="00D825A8">
      <w:pPr>
        <w:ind w:left="360"/>
      </w:pPr>
      <w:r w:rsidRPr="00D825A8">
        <w:rPr>
          <w:noProof/>
        </w:rPr>
        <w:drawing>
          <wp:inline distT="0" distB="0" distL="0" distR="0" wp14:anchorId="412B043C" wp14:editId="381DD885">
            <wp:extent cx="2355215" cy="768350"/>
            <wp:effectExtent l="0" t="0" r="698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5215" cy="768350"/>
                    </a:xfrm>
                    <a:prstGeom prst="rect">
                      <a:avLst/>
                    </a:prstGeom>
                    <a:noFill/>
                    <a:ln>
                      <a:noFill/>
                    </a:ln>
                  </pic:spPr>
                </pic:pic>
              </a:graphicData>
            </a:graphic>
          </wp:inline>
        </w:drawing>
      </w:r>
      <w:r w:rsidRPr="00D825A8">
        <w:t xml:space="preserve"> </w:t>
      </w:r>
      <w:r w:rsidR="000927DD" w:rsidRPr="000927DD">
        <w:rPr>
          <w:noProof/>
        </w:rPr>
        <w:drawing>
          <wp:inline distT="0" distB="0" distL="0" distR="0" wp14:anchorId="60F75100" wp14:editId="2CBDB9A8">
            <wp:extent cx="5552440" cy="2487295"/>
            <wp:effectExtent l="0" t="0" r="0" b="825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552440" cy="2487295"/>
                    </a:xfrm>
                    <a:prstGeom prst="rect">
                      <a:avLst/>
                    </a:prstGeom>
                    <a:noFill/>
                    <a:ln>
                      <a:noFill/>
                    </a:ln>
                  </pic:spPr>
                </pic:pic>
              </a:graphicData>
            </a:graphic>
          </wp:inline>
        </w:drawing>
      </w:r>
    </w:p>
    <w:p w14:paraId="79B528A7" w14:textId="4F7D4EBD" w:rsidR="00D825A8" w:rsidRDefault="00D825A8">
      <w:r>
        <w:br w:type="page"/>
      </w:r>
    </w:p>
    <w:p w14:paraId="0255F42F" w14:textId="77777777" w:rsidR="00D825A8" w:rsidRDefault="00D825A8" w:rsidP="00D825A8">
      <w:pPr>
        <w:pStyle w:val="ListParagraph"/>
        <w:numPr>
          <w:ilvl w:val="0"/>
          <w:numId w:val="58"/>
        </w:numPr>
      </w:pPr>
      <w:r>
        <w:t>A plan status of Terminating should be selected for plans effective during the experience period that will no longer be offered during the projection period.</w:t>
      </w:r>
    </w:p>
    <w:p w14:paraId="07C590D6" w14:textId="7A95D53B" w:rsidR="00D825A8" w:rsidRDefault="00D825A8" w:rsidP="00D825A8">
      <w:pPr>
        <w:pStyle w:val="ListParagraph"/>
        <w:numPr>
          <w:ilvl w:val="1"/>
          <w:numId w:val="59"/>
        </w:numPr>
      </w:pPr>
      <w:r>
        <w:t>Each single risk pool plan that was effective during the experience period and is terminated prior to the rating period and mapped to a new plan should be handled as follows:</w:t>
      </w:r>
    </w:p>
    <w:p w14:paraId="300B47BA" w14:textId="77777777" w:rsidR="00D825A8" w:rsidRDefault="00D825A8" w:rsidP="00D825A8">
      <w:pPr>
        <w:pStyle w:val="ListParagraph"/>
        <w:numPr>
          <w:ilvl w:val="2"/>
          <w:numId w:val="60"/>
        </w:numPr>
      </w:pPr>
      <w:r>
        <w:t>If members from the terminating plan are being mapped to another renewing plan, the terminating plan should be listed separately with the terminating plan’s experience listed in Sections I, II, and III.  Expected projection experience should be listed in Section IV of the renewing plan into which members are being mapped.  Historical rate increase information should be filled out with appropriate historical increases, while 0% should be entered into the Rate Change % fields.  Projected membership should be 0 under the terminating plan, but included in the projected membership of the renewing plan into which these members are being mapped.</w:t>
      </w:r>
    </w:p>
    <w:p w14:paraId="41521E36" w14:textId="61B844D6" w:rsidR="00D825A8" w:rsidRDefault="00D825A8" w:rsidP="00D825A8">
      <w:pPr>
        <w:ind w:left="720"/>
      </w:pPr>
      <w:r w:rsidRPr="00D825A8">
        <w:t xml:space="preserve"> </w:t>
      </w:r>
      <w:r w:rsidR="000927DD" w:rsidRPr="000927DD">
        <w:rPr>
          <w:noProof/>
        </w:rPr>
        <w:drawing>
          <wp:inline distT="0" distB="0" distL="0" distR="0" wp14:anchorId="6BC44096" wp14:editId="50599495">
            <wp:extent cx="5106035" cy="7683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06035" cy="768350"/>
                    </a:xfrm>
                    <a:prstGeom prst="rect">
                      <a:avLst/>
                    </a:prstGeom>
                    <a:noFill/>
                    <a:ln>
                      <a:noFill/>
                    </a:ln>
                  </pic:spPr>
                </pic:pic>
              </a:graphicData>
            </a:graphic>
          </wp:inline>
        </w:drawing>
      </w:r>
      <w:r w:rsidRPr="00D825A8">
        <w:t xml:space="preserve"> </w:t>
      </w:r>
      <w:r w:rsidR="000927DD" w:rsidRPr="000927DD">
        <w:rPr>
          <w:noProof/>
        </w:rPr>
        <w:drawing>
          <wp:inline distT="0" distB="0" distL="0" distR="0" wp14:anchorId="4C9E9DBD" wp14:editId="431E9BCC">
            <wp:extent cx="5943600" cy="1838948"/>
            <wp:effectExtent l="0" t="0" r="0"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43600" cy="1838948"/>
                    </a:xfrm>
                    <a:prstGeom prst="rect">
                      <a:avLst/>
                    </a:prstGeom>
                    <a:noFill/>
                    <a:ln>
                      <a:noFill/>
                    </a:ln>
                  </pic:spPr>
                </pic:pic>
              </a:graphicData>
            </a:graphic>
          </wp:inline>
        </w:drawing>
      </w:r>
    </w:p>
    <w:p w14:paraId="084BB4A8" w14:textId="0EF46951" w:rsidR="000927DD" w:rsidRDefault="000927DD">
      <w:r>
        <w:br w:type="page"/>
      </w:r>
    </w:p>
    <w:p w14:paraId="35B97690" w14:textId="77777777" w:rsidR="008F0E90" w:rsidRDefault="000927DD" w:rsidP="004F493D">
      <w:pPr>
        <w:pStyle w:val="ListParagraph"/>
        <w:numPr>
          <w:ilvl w:val="1"/>
          <w:numId w:val="63"/>
        </w:numPr>
      </w:pPr>
      <w:r>
        <w:t xml:space="preserve">A single risk pool plan that was not effective during the experience period and is terminated prior to the rating period and mapped to a </w:t>
      </w:r>
      <w:r w:rsidR="00AE6BEE">
        <w:t>re</w:t>
      </w:r>
      <w:r>
        <w:t>new</w:t>
      </w:r>
      <w:r w:rsidR="00AE6BEE">
        <w:t>ing</w:t>
      </w:r>
      <w:r>
        <w:t xml:space="preserve"> plan should only have projected experience included in Section IV of the plan into which members are being mapped.</w:t>
      </w:r>
      <w:r w:rsidR="00AE6BEE">
        <w:t xml:space="preserve">  In this case, the terminating HIOS Plan ID would not appear in the URRT for the upcoming plan year.</w:t>
      </w:r>
      <w:r w:rsidR="008F0E90">
        <w:t xml:space="preserve">  The terminating plan should still be listed in the Terminated Plans and Products section of the Actuarial Memorandum.</w:t>
      </w:r>
    </w:p>
    <w:p w14:paraId="648DAD00" w14:textId="783F76B2" w:rsidR="000927DD" w:rsidRDefault="000927DD" w:rsidP="008F0E90">
      <w:pPr>
        <w:pStyle w:val="ListParagraph"/>
      </w:pPr>
    </w:p>
    <w:p w14:paraId="169BB0E6" w14:textId="00B56929" w:rsidR="00AE6BEE" w:rsidRDefault="00AE6BEE" w:rsidP="00AE6BEE">
      <w:pPr>
        <w:ind w:left="360"/>
      </w:pPr>
      <w:r w:rsidRPr="00AE6BEE">
        <w:rPr>
          <w:noProof/>
        </w:rPr>
        <w:drawing>
          <wp:inline distT="0" distB="0" distL="0" distR="0" wp14:anchorId="3DE9E7B3" wp14:editId="6EBD4543">
            <wp:extent cx="4008755" cy="76835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008755" cy="768350"/>
                    </a:xfrm>
                    <a:prstGeom prst="rect">
                      <a:avLst/>
                    </a:prstGeom>
                    <a:noFill/>
                    <a:ln>
                      <a:noFill/>
                    </a:ln>
                  </pic:spPr>
                </pic:pic>
              </a:graphicData>
            </a:graphic>
          </wp:inline>
        </w:drawing>
      </w:r>
      <w:r w:rsidRPr="00AE6BEE">
        <w:t xml:space="preserve"> </w:t>
      </w:r>
      <w:r w:rsidRPr="00AE6BEE">
        <w:rPr>
          <w:noProof/>
        </w:rPr>
        <w:drawing>
          <wp:inline distT="0" distB="0" distL="0" distR="0" wp14:anchorId="30C21371" wp14:editId="77DD5290">
            <wp:extent cx="5552440" cy="2487295"/>
            <wp:effectExtent l="0" t="0" r="0" b="825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552440" cy="2487295"/>
                    </a:xfrm>
                    <a:prstGeom prst="rect">
                      <a:avLst/>
                    </a:prstGeom>
                    <a:noFill/>
                    <a:ln>
                      <a:noFill/>
                    </a:ln>
                  </pic:spPr>
                </pic:pic>
              </a:graphicData>
            </a:graphic>
          </wp:inline>
        </w:drawing>
      </w:r>
    </w:p>
    <w:p w14:paraId="51790917" w14:textId="77777777" w:rsidR="000927DD" w:rsidRDefault="000927DD" w:rsidP="00D825A8">
      <w:pPr>
        <w:ind w:left="720"/>
      </w:pPr>
    </w:p>
    <w:p w14:paraId="15429682" w14:textId="77777777" w:rsidR="00D825A8" w:rsidRPr="004D78D5" w:rsidRDefault="00D825A8" w:rsidP="00D825A8">
      <w:pPr>
        <w:ind w:left="360"/>
      </w:pPr>
    </w:p>
    <w:p w14:paraId="14FCD86A" w14:textId="70C97779" w:rsidR="00D825A8" w:rsidRPr="005A270E" w:rsidRDefault="00D825A8" w:rsidP="001F3518">
      <w:pPr>
        <w:pStyle w:val="ListParagraph"/>
        <w:ind w:left="360"/>
      </w:pPr>
    </w:p>
    <w:sectPr w:rsidR="00D825A8" w:rsidRPr="005A270E" w:rsidSect="00E32709">
      <w:headerReference w:type="even" r:id="rId26"/>
      <w:headerReference w:type="default" r:id="rId27"/>
      <w:footerReference w:type="even" r:id="rId28"/>
      <w:footerReference w:type="default" r:id="rId29"/>
      <w:headerReference w:type="first" r:id="rId30"/>
      <w:footerReference w:type="first" r:id="rId31"/>
      <w:pgSz w:w="12240" w:h="15840"/>
      <w:pgMar w:top="1440" w:right="1440" w:bottom="1080" w:left="1440" w:header="720" w:footer="19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4B4F4" w14:textId="77777777" w:rsidR="00634A44" w:rsidRDefault="00634A44" w:rsidP="00F07B89">
      <w:pPr>
        <w:spacing w:after="0"/>
      </w:pPr>
      <w:r>
        <w:separator/>
      </w:r>
    </w:p>
  </w:endnote>
  <w:endnote w:type="continuationSeparator" w:id="0">
    <w:p w14:paraId="468BF31F" w14:textId="77777777" w:rsidR="00634A44" w:rsidRDefault="00634A44" w:rsidP="00F07B89">
      <w:pPr>
        <w:spacing w:after="0"/>
      </w:pPr>
      <w:r>
        <w:continuationSeparator/>
      </w:r>
    </w:p>
  </w:endnote>
  <w:endnote w:type="continuationNotice" w:id="1">
    <w:p w14:paraId="0E4C3113" w14:textId="77777777" w:rsidR="00634A44" w:rsidRDefault="00634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AC505" w14:textId="77777777" w:rsidR="00A07E7E" w:rsidRDefault="00A07E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395774"/>
      <w:docPartObj>
        <w:docPartGallery w:val="Page Numbers (Bottom of Page)"/>
        <w:docPartUnique/>
      </w:docPartObj>
    </w:sdtPr>
    <w:sdtEndPr>
      <w:rPr>
        <w:noProof/>
      </w:rPr>
    </w:sdtEndPr>
    <w:sdtContent>
      <w:p w14:paraId="594056E7" w14:textId="77777777" w:rsidR="00634A44" w:rsidRDefault="00634A44">
        <w:pPr>
          <w:pStyle w:val="Footer"/>
          <w:jc w:val="center"/>
        </w:pPr>
        <w:r>
          <w:fldChar w:fldCharType="begin"/>
        </w:r>
        <w:r>
          <w:instrText xml:space="preserve"> PAGE   \* MERGEFORMAT </w:instrText>
        </w:r>
        <w:r>
          <w:fldChar w:fldCharType="separate"/>
        </w:r>
        <w:r w:rsidR="00C251E9">
          <w:rPr>
            <w:noProof/>
          </w:rPr>
          <w:t>20</w:t>
        </w:r>
        <w:r>
          <w:rPr>
            <w:noProof/>
          </w:rPr>
          <w:fldChar w:fldCharType="end"/>
        </w:r>
      </w:p>
    </w:sdtContent>
  </w:sdt>
  <w:p w14:paraId="1452B47C" w14:textId="77777777" w:rsidR="00634A44" w:rsidRDefault="00634A4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D72E2" w14:textId="77777777" w:rsidR="00634A44" w:rsidRPr="00E32709" w:rsidRDefault="00634A44" w:rsidP="00E32709">
    <w:pPr>
      <w:pStyle w:val="NoSpacing"/>
      <w:jc w:val="center"/>
      <w:rPr>
        <w:rFonts w:ascii="Times New Roman" w:hAnsi="Times New Roman" w:cs="Times New Roman"/>
        <w:sz w:val="16"/>
        <w:szCs w:val="16"/>
      </w:rPr>
    </w:pPr>
    <w:r w:rsidRPr="00E32709">
      <w:rPr>
        <w:rFonts w:ascii="Times New Roman" w:hAnsi="Times New Roman" w:cs="Times New Roman"/>
        <w:sz w:val="16"/>
        <w:szCs w:val="16"/>
      </w:rPr>
      <w:t>PRA Disclosure Statement</w:t>
    </w:r>
  </w:p>
  <w:p w14:paraId="687D2011" w14:textId="77777777" w:rsidR="00634A44" w:rsidRDefault="00634A44" w:rsidP="00E32709">
    <w:pPr>
      <w:pStyle w:val="NoSpacing"/>
      <w:jc w:val="both"/>
      <w:rPr>
        <w:rFonts w:ascii="Times New Roman" w:hAnsi="Times New Roman" w:cs="Times New Roman"/>
        <w:sz w:val="16"/>
        <w:szCs w:val="16"/>
      </w:rPr>
    </w:pPr>
    <w:r w:rsidRPr="00E32709">
      <w:rPr>
        <w:rFonts w:ascii="Times New Roman" w:hAnsi="Times New Roman" w:cs="Times New Roman"/>
        <w:sz w:val="16"/>
        <w:szCs w:val="16"/>
      </w:rPr>
      <w:t xml:space="preserve">According to the Paperwork Reduction Act of 1995, no persons are required to respond to a collection of information unless it displays a valid OMB control number. The valid OMB control number for this information collection is </w:t>
    </w:r>
    <w:r w:rsidRPr="00E32709">
      <w:rPr>
        <w:rFonts w:ascii="Times New Roman" w:hAnsi="Times New Roman" w:cs="Times New Roman"/>
        <w:b/>
        <w:bCs/>
        <w:sz w:val="16"/>
        <w:szCs w:val="16"/>
      </w:rPr>
      <w:t>0938-1141</w:t>
    </w:r>
    <w:r w:rsidRPr="00E32709">
      <w:rPr>
        <w:rFonts w:ascii="Times New Roman" w:hAnsi="Times New Roman" w:cs="Times New Roman"/>
        <w:sz w:val="16"/>
        <w:szCs w:val="16"/>
      </w:rPr>
      <w:t xml:space="preserve">. The time required to complete this information collection is estimated to average </w:t>
    </w:r>
    <w:r w:rsidRPr="00E32709">
      <w:rPr>
        <w:rFonts w:ascii="Times New Roman" w:hAnsi="Times New Roman" w:cs="Times New Roman"/>
        <w:bCs/>
        <w:sz w:val="16"/>
        <w:szCs w:val="16"/>
      </w:rPr>
      <w:t xml:space="preserve">(12 hours) or (720 minutes) </w:t>
    </w:r>
    <w:r w:rsidRPr="00E32709">
      <w:rPr>
        <w:rFonts w:ascii="Times New Roman" w:hAnsi="Times New Roman" w:cs="Times New Roman"/>
        <w:sz w:val="16"/>
        <w:szCs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p>
  <w:p w14:paraId="43255C99" w14:textId="77777777" w:rsidR="00A07E7E" w:rsidRDefault="00A07E7E" w:rsidP="00E32709">
    <w:pPr>
      <w:pStyle w:val="NoSpacing"/>
      <w:jc w:val="both"/>
      <w:rPr>
        <w:rFonts w:ascii="Times New Roman" w:hAnsi="Times New Roman" w:cs="Times New Roman"/>
        <w:sz w:val="16"/>
        <w:szCs w:val="16"/>
      </w:rPr>
    </w:pPr>
  </w:p>
  <w:p w14:paraId="668735FE" w14:textId="77777777" w:rsidR="00A07E7E" w:rsidRPr="00A07E7E" w:rsidRDefault="00A07E7E" w:rsidP="00A07E7E">
    <w:pPr>
      <w:rPr>
        <w:sz w:val="18"/>
        <w:szCs w:val="18"/>
      </w:rPr>
    </w:pPr>
    <w:r w:rsidRPr="00A07E7E">
      <w:rPr>
        <w:sz w:val="18"/>
        <w:szCs w:val="18"/>
      </w:rPr>
      <w:t>Form 0938-1141 (Expiration: 08/19)</w:t>
    </w:r>
  </w:p>
  <w:p w14:paraId="724C9314" w14:textId="77777777" w:rsidR="00A07E7E" w:rsidRPr="00E32709" w:rsidRDefault="00A07E7E" w:rsidP="00E32709">
    <w:pPr>
      <w:pStyle w:val="NoSpacing"/>
      <w:jc w:val="both"/>
      <w:rPr>
        <w:rFonts w:ascii="Times New Roman" w:hAnsi="Times New Roman" w:cs="Times New Roman"/>
        <w:sz w:val="16"/>
        <w:szCs w:val="16"/>
      </w:rPr>
    </w:pPr>
  </w:p>
  <w:p w14:paraId="23440F75" w14:textId="77777777" w:rsidR="00634A44" w:rsidRDefault="00634A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05E62" w14:textId="77777777" w:rsidR="00634A44" w:rsidRDefault="00634A44" w:rsidP="00F07B89">
      <w:pPr>
        <w:spacing w:after="0"/>
      </w:pPr>
      <w:r>
        <w:separator/>
      </w:r>
    </w:p>
  </w:footnote>
  <w:footnote w:type="continuationSeparator" w:id="0">
    <w:p w14:paraId="7A018ECE" w14:textId="77777777" w:rsidR="00634A44" w:rsidRDefault="00634A44" w:rsidP="00F07B89">
      <w:pPr>
        <w:spacing w:after="0"/>
      </w:pPr>
      <w:r>
        <w:continuationSeparator/>
      </w:r>
    </w:p>
  </w:footnote>
  <w:footnote w:type="continuationNotice" w:id="1">
    <w:p w14:paraId="5F9CD896" w14:textId="77777777" w:rsidR="00634A44" w:rsidRDefault="00634A44">
      <w:pPr>
        <w:spacing w:after="0" w:line="240" w:lineRule="auto"/>
      </w:pPr>
    </w:p>
  </w:footnote>
  <w:footnote w:id="2">
    <w:p w14:paraId="1638E4E6" w14:textId="3FDA7B54" w:rsidR="00634A44" w:rsidRDefault="00634A44" w:rsidP="003C6B8D">
      <w:pPr>
        <w:pStyle w:val="FootnoteText"/>
        <w:ind w:left="0" w:firstLine="0"/>
      </w:pPr>
      <w:r>
        <w:rPr>
          <w:rStyle w:val="FootnoteReference"/>
        </w:rPr>
        <w:footnoteRef/>
      </w:r>
      <w:r>
        <w:t xml:space="preserve"> The phrases “single risk pool plan” and “single risk pool coverage” are used to describe non-grandfathered health insurance coverage in the individual or small group (or merged) market that is subject to all of the single risk pool provisions at 45 CFR 156.80.  Although CMS is proposing in the 2017 Payment Notice that student health plans be subject to the index rating methodology specified in 45 CFR 156.80(d), such plans would not have to be included in an issuers’ individual (or merged) market single risk pool.  Rather they could be included in one or more separate risk pools.  Student health plan issuers submit the required rate filing information using the Rate Review Justification Template rather than the Unified Rate Review Template.  Student health plans are generally referred to as “non-single risk pool plans” and “non-single risk pool coverage” for purposes of the requirements established in 45 CFR Part 154.</w:t>
      </w:r>
    </w:p>
  </w:footnote>
  <w:footnote w:id="3">
    <w:p w14:paraId="75FB4F17" w14:textId="6FF9C5C5" w:rsidR="00634A44" w:rsidRDefault="00634A44" w:rsidP="00F64678">
      <w:pPr>
        <w:pStyle w:val="FootnoteText"/>
        <w:ind w:left="0" w:firstLine="0"/>
      </w:pPr>
      <w:r>
        <w:rPr>
          <w:rStyle w:val="FootnoteReference"/>
        </w:rPr>
        <w:footnoteRef/>
      </w:r>
      <w:r>
        <w:rPr>
          <w:rStyle w:val="FootnoteReference"/>
        </w:rPr>
        <w:footnoteRef/>
      </w:r>
      <w:r>
        <w:t xml:space="preserve"> 45 CFR 5.65</w:t>
      </w:r>
    </w:p>
  </w:footnote>
  <w:footnote w:id="4">
    <w:p w14:paraId="559C8EF4" w14:textId="7E5E9C13" w:rsidR="00634A44" w:rsidRDefault="00634A44" w:rsidP="00720238">
      <w:pPr>
        <w:pStyle w:val="FootnoteText"/>
      </w:pPr>
      <w:r>
        <w:rPr>
          <w:rStyle w:val="FootnoteReference"/>
        </w:rPr>
        <w:footnoteRef/>
      </w:r>
      <w:r>
        <w:t xml:space="preserve"> See proposed amendments to 45 CFR 154.215(a</w:t>
      </w:r>
      <w:proofErr w:type="gramStart"/>
      <w:r>
        <w:t>)(</w:t>
      </w:r>
      <w:proofErr w:type="gramEnd"/>
      <w:r>
        <w:t>1)  in the 2017 Payment Notice proposed rule (80 FR 75514).</w:t>
      </w:r>
    </w:p>
  </w:footnote>
  <w:footnote w:id="5">
    <w:p w14:paraId="402E9899" w14:textId="4054C4EE" w:rsidR="00634A44" w:rsidRDefault="00634A44">
      <w:pPr>
        <w:pStyle w:val="FootnoteText"/>
      </w:pPr>
      <w:r>
        <w:rPr>
          <w:rStyle w:val="FootnoteReference"/>
        </w:rPr>
        <w:footnoteRef/>
      </w:r>
      <w:r>
        <w:t xml:space="preserve"> For more information on excepted benefits, see 45 CFR 146.145and 148.220.</w:t>
      </w:r>
    </w:p>
  </w:footnote>
  <w:footnote w:id="6">
    <w:p w14:paraId="700FF339" w14:textId="77777777" w:rsidR="00634A44" w:rsidRPr="008E5B0B" w:rsidRDefault="00634A44" w:rsidP="008E5B0B">
      <w:pPr>
        <w:pStyle w:val="NoSpacing"/>
        <w:rPr>
          <w:sz w:val="18"/>
          <w:szCs w:val="18"/>
        </w:rPr>
      </w:pPr>
      <w:r w:rsidRPr="008E5B0B">
        <w:rPr>
          <w:rStyle w:val="FootnoteReference"/>
          <w:sz w:val="18"/>
          <w:szCs w:val="18"/>
        </w:rPr>
        <w:footnoteRef/>
      </w:r>
      <w:r w:rsidRPr="008E5B0B">
        <w:rPr>
          <w:sz w:val="18"/>
          <w:szCs w:val="18"/>
        </w:rPr>
        <w:t xml:space="preserve"> A transitional plan is health insurance coverage in the individual or small group market that is renewed for a policy year starting after January 1, 2014 that is, under certain conditions, not considered to be out of compliance with specified market reforms in accordance with </w:t>
      </w:r>
      <w:r w:rsidRPr="009A79D5">
        <w:rPr>
          <w:sz w:val="18"/>
          <w:szCs w:val="18"/>
        </w:rPr>
        <w:t xml:space="preserve">the CMS Transitional Policy. See </w:t>
      </w:r>
      <w:hyperlink r:id="rId1" w:history="1">
        <w:r w:rsidRPr="00082B27">
          <w:rPr>
            <w:rStyle w:val="Hyperlink"/>
            <w:sz w:val="18"/>
            <w:szCs w:val="18"/>
          </w:rPr>
          <w:t>http://www.cms.gov/CCIIO/Resources/Regulations-and-Guidance/Downloads/transition-to-compliant-policies-03-06-2015.pdf</w:t>
        </w:r>
      </w:hyperlink>
      <w:r>
        <w:rPr>
          <w:rStyle w:val="Hyperlink"/>
          <w:sz w:val="18"/>
          <w:szCs w:val="18"/>
        </w:rPr>
        <w:t>.</w:t>
      </w:r>
    </w:p>
  </w:footnote>
  <w:footnote w:id="7">
    <w:p w14:paraId="155D6548" w14:textId="3BA41573" w:rsidR="00634A44" w:rsidRDefault="00634A44">
      <w:pPr>
        <w:pStyle w:val="FootnoteText"/>
      </w:pPr>
      <w:r>
        <w:rPr>
          <w:rStyle w:val="FootnoteReference"/>
        </w:rPr>
        <w:footnoteRef/>
      </w:r>
      <w:r>
        <w:t xml:space="preserve">Approved state specific rating variations are published on the CCIIO website at </w:t>
      </w:r>
      <w:r w:rsidRPr="00D83EA9">
        <w:t>https://www.cms.gov/CCIIO/Programs-and-Initiatives/Health-Insurance-Market-Reforms/state-rating.html</w:t>
      </w:r>
    </w:p>
  </w:footnote>
  <w:footnote w:id="8">
    <w:p w14:paraId="778559BC" w14:textId="268C60D4" w:rsidR="00634A44" w:rsidRDefault="00634A44" w:rsidP="00FA7996">
      <w:pPr>
        <w:pStyle w:val="FootnoteText"/>
        <w:ind w:left="0" w:firstLine="0"/>
      </w:pPr>
      <w:r>
        <w:rPr>
          <w:rStyle w:val="FootnoteReference"/>
        </w:rPr>
        <w:footnoteRef/>
      </w:r>
      <w:r>
        <w:t xml:space="preserve"> As proposed in the 2017 Payment Notice, the URRT would be required for single risk pool plans that experience rate increases (of any size), no rate changes, rate decreases, as well as new single risk pool plans.  </w:t>
      </w:r>
    </w:p>
  </w:footnote>
  <w:footnote w:id="9">
    <w:p w14:paraId="053F3F23" w14:textId="19A8A8B4" w:rsidR="00634A44" w:rsidRDefault="00634A44">
      <w:pPr>
        <w:pStyle w:val="FootnoteText"/>
      </w:pPr>
      <w:r>
        <w:rPr>
          <w:rStyle w:val="FootnoteReference"/>
        </w:rPr>
        <w:footnoteRef/>
      </w:r>
      <w:r>
        <w:t xml:space="preserve">June 15, 2015, CMS released a Uniform Modification and Plan/Product Withdrawal FAQ at </w:t>
      </w:r>
      <w:hyperlink r:id="rId2" w:history="1">
        <w:r w:rsidRPr="003D5D2F">
          <w:rPr>
            <w:rStyle w:val="Hyperlink"/>
            <w:szCs w:val="18"/>
          </w:rPr>
          <w:t>https://www.cms.gov/CCIIO/Resources/Fact-Sheets-and-FAQs/Downloads/uniform-mod-and-plan-wd-FAQ-06-15-2015.pdf</w:t>
        </w:r>
      </w:hyperlink>
    </w:p>
  </w:footnote>
  <w:footnote w:id="10">
    <w:p w14:paraId="020EA92F" w14:textId="5A32CBA8" w:rsidR="00634A44" w:rsidRDefault="00634A44">
      <w:pPr>
        <w:pStyle w:val="FootnoteText"/>
      </w:pPr>
      <w:r>
        <w:rPr>
          <w:rStyle w:val="FootnoteReference"/>
        </w:rPr>
        <w:footnoteRef/>
      </w:r>
      <w:r>
        <w:t xml:space="preserve"> 45 CFR 156.140(c).</w:t>
      </w:r>
    </w:p>
  </w:footnote>
  <w:footnote w:id="11">
    <w:p w14:paraId="4B961D7C" w14:textId="77777777" w:rsidR="00634A44" w:rsidRDefault="00634A44">
      <w:pPr>
        <w:pStyle w:val="FootnoteText"/>
      </w:pPr>
      <w:r>
        <w:rPr>
          <w:rStyle w:val="FootnoteReference"/>
        </w:rPr>
        <w:footnoteRef/>
      </w:r>
      <w:r>
        <w:t xml:space="preserve"> 45 CFR 156.115(d)</w:t>
      </w:r>
    </w:p>
  </w:footnote>
  <w:footnote w:id="12">
    <w:p w14:paraId="2EF2D475" w14:textId="77777777" w:rsidR="00634A44" w:rsidRPr="00F55911" w:rsidRDefault="00634A44" w:rsidP="00BA6F02">
      <w:pPr>
        <w:pStyle w:val="NoSpacing"/>
        <w:rPr>
          <w:rFonts w:cstheme="minorHAnsi"/>
          <w:sz w:val="20"/>
          <w:szCs w:val="20"/>
        </w:rPr>
      </w:pPr>
      <w:r w:rsidRPr="00F55911">
        <w:rPr>
          <w:rStyle w:val="FootnoteReference"/>
          <w:rFonts w:cstheme="minorHAnsi"/>
          <w:sz w:val="20"/>
          <w:szCs w:val="20"/>
        </w:rPr>
        <w:footnoteRef/>
      </w:r>
      <w:r w:rsidRPr="00F55911">
        <w:rPr>
          <w:rFonts w:cstheme="minorHAnsi"/>
          <w:sz w:val="20"/>
          <w:szCs w:val="20"/>
        </w:rPr>
        <w:t xml:space="preserve"> Revising a submission means that the issuer can upload supplemental documents or revise the URRT or Actuarial Memorandum</w:t>
      </w:r>
      <w:r>
        <w:rPr>
          <w:rFonts w:cstheme="minorHAnsi"/>
          <w:sz w:val="20"/>
          <w:szCs w:val="20"/>
        </w:rPr>
        <w:t xml:space="preserve"> in HIOS</w:t>
      </w:r>
      <w:r w:rsidRPr="00F55911">
        <w:rPr>
          <w:rFonts w:cstheme="minorHAnsi"/>
          <w:sz w:val="20"/>
          <w:szCs w:val="20"/>
        </w:rPr>
        <w:t>.</w:t>
      </w:r>
    </w:p>
  </w:footnote>
  <w:footnote w:id="13">
    <w:p w14:paraId="46A851F8" w14:textId="77777777" w:rsidR="00634A44" w:rsidRPr="00F55911" w:rsidRDefault="00634A44" w:rsidP="00BA6F02">
      <w:pPr>
        <w:pStyle w:val="NoSpacing"/>
        <w:rPr>
          <w:rFonts w:cstheme="minorHAnsi"/>
          <w:sz w:val="20"/>
          <w:szCs w:val="20"/>
        </w:rPr>
      </w:pPr>
      <w:r w:rsidRPr="00F55911">
        <w:rPr>
          <w:rStyle w:val="FootnoteReference"/>
          <w:rFonts w:cstheme="minorHAnsi"/>
          <w:sz w:val="20"/>
          <w:szCs w:val="20"/>
        </w:rPr>
        <w:footnoteRef/>
      </w:r>
      <w:r w:rsidRPr="00F55911">
        <w:rPr>
          <w:rFonts w:cstheme="minorHAnsi"/>
          <w:sz w:val="20"/>
          <w:szCs w:val="20"/>
        </w:rPr>
        <w:t xml:space="preserve"> In states with effective rate review programs (also known as enforcing states), the applicable state regulatory authority is the regulator. In states without effective rate review programs (also known as Direct Enforcement states), CCIIO is the regulator.</w:t>
      </w:r>
    </w:p>
  </w:footnote>
  <w:footnote w:id="14">
    <w:p w14:paraId="425D6DF0" w14:textId="77777777" w:rsidR="00634A44" w:rsidRPr="00277491" w:rsidRDefault="00634A44" w:rsidP="00BA6F02">
      <w:pPr>
        <w:pStyle w:val="NoSpacing"/>
        <w:rPr>
          <w:rFonts w:ascii="Times New Roman" w:hAnsi="Times New Roman"/>
          <w:sz w:val="20"/>
        </w:rPr>
      </w:pPr>
      <w:r w:rsidRPr="00F55911">
        <w:rPr>
          <w:rStyle w:val="FootnoteReference"/>
          <w:rFonts w:cstheme="minorHAnsi"/>
          <w:sz w:val="20"/>
          <w:szCs w:val="20"/>
        </w:rPr>
        <w:footnoteRef/>
      </w:r>
      <w:r w:rsidRPr="00F55911">
        <w:rPr>
          <w:rFonts w:cstheme="minorHAnsi"/>
          <w:sz w:val="20"/>
          <w:szCs w:val="20"/>
        </w:rPr>
        <w:t xml:space="preserve"> State regulators in enforcing states must notify CCIIO when a submission passes the compliance review.</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3BAB8A" w14:textId="77777777" w:rsidR="00A07E7E" w:rsidRDefault="00A07E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BC44D3" w14:textId="77777777" w:rsidR="00634A44" w:rsidRDefault="00634A4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1E388" w14:textId="77777777" w:rsidR="00A07E7E" w:rsidRDefault="00A07E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0000402"/>
    <w:multiLevelType w:val="multilevel"/>
    <w:tmpl w:val="00000885"/>
    <w:lvl w:ilvl="0">
      <w:numFmt w:val="bullet"/>
      <w:lvlText w:val=""/>
      <w:lvlJc w:val="left"/>
      <w:pPr>
        <w:ind w:left="820" w:hanging="361"/>
      </w:pPr>
      <w:rPr>
        <w:rFonts w:ascii="Symbol" w:hAnsi="Symbol" w:cs="Symbol"/>
        <w:b w:val="0"/>
        <w:bCs w:val="0"/>
        <w:w w:val="100"/>
        <w:sz w:val="22"/>
        <w:szCs w:val="22"/>
      </w:rPr>
    </w:lvl>
    <w:lvl w:ilvl="1">
      <w:numFmt w:val="bullet"/>
      <w:lvlText w:val="•"/>
      <w:lvlJc w:val="left"/>
      <w:pPr>
        <w:ind w:left="1694" w:hanging="361"/>
      </w:pPr>
    </w:lvl>
    <w:lvl w:ilvl="2">
      <w:numFmt w:val="bullet"/>
      <w:lvlText w:val="•"/>
      <w:lvlJc w:val="left"/>
      <w:pPr>
        <w:ind w:left="2568" w:hanging="361"/>
      </w:pPr>
    </w:lvl>
    <w:lvl w:ilvl="3">
      <w:numFmt w:val="bullet"/>
      <w:lvlText w:val="•"/>
      <w:lvlJc w:val="left"/>
      <w:pPr>
        <w:ind w:left="3442" w:hanging="361"/>
      </w:pPr>
    </w:lvl>
    <w:lvl w:ilvl="4">
      <w:numFmt w:val="bullet"/>
      <w:lvlText w:val="•"/>
      <w:lvlJc w:val="left"/>
      <w:pPr>
        <w:ind w:left="4316" w:hanging="361"/>
      </w:pPr>
    </w:lvl>
    <w:lvl w:ilvl="5">
      <w:numFmt w:val="bullet"/>
      <w:lvlText w:val="•"/>
      <w:lvlJc w:val="left"/>
      <w:pPr>
        <w:ind w:left="5190" w:hanging="361"/>
      </w:pPr>
    </w:lvl>
    <w:lvl w:ilvl="6">
      <w:numFmt w:val="bullet"/>
      <w:lvlText w:val="•"/>
      <w:lvlJc w:val="left"/>
      <w:pPr>
        <w:ind w:left="6064" w:hanging="361"/>
      </w:pPr>
    </w:lvl>
    <w:lvl w:ilvl="7">
      <w:numFmt w:val="bullet"/>
      <w:lvlText w:val="•"/>
      <w:lvlJc w:val="left"/>
      <w:pPr>
        <w:ind w:left="6938" w:hanging="361"/>
      </w:pPr>
    </w:lvl>
    <w:lvl w:ilvl="8">
      <w:numFmt w:val="bullet"/>
      <w:lvlText w:val="•"/>
      <w:lvlJc w:val="left"/>
      <w:pPr>
        <w:ind w:left="7812" w:hanging="361"/>
      </w:pPr>
    </w:lvl>
  </w:abstractNum>
  <w:abstractNum w:abstractNumId="3" w15:restartNumberingAfterBreak="0">
    <w:nsid w:val="01B82E26"/>
    <w:multiLevelType w:val="hybridMultilevel"/>
    <w:tmpl w:val="AA1A2CB2"/>
    <w:lvl w:ilvl="0" w:tplc="69681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419FD"/>
    <w:multiLevelType w:val="hybridMultilevel"/>
    <w:tmpl w:val="37C62018"/>
    <w:lvl w:ilvl="0" w:tplc="C3868C4E">
      <w:start w:val="1"/>
      <w:numFmt w:val="bullet"/>
      <w:pStyle w:val="TextBoxBullet"/>
      <w:lvlText w:val=""/>
      <w:lvlJc w:val="left"/>
      <w:pPr>
        <w:tabs>
          <w:tab w:val="num" w:pos="648"/>
        </w:tabs>
        <w:ind w:left="648" w:hanging="365"/>
      </w:pPr>
      <w:rPr>
        <w:rFonts w:ascii="Wingdings" w:hAnsi="Wingdings" w:hint="default"/>
        <w:sz w:val="26"/>
        <w:szCs w:val="2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EB020F"/>
    <w:multiLevelType w:val="hybridMultilevel"/>
    <w:tmpl w:val="3B8CF3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C5374B"/>
    <w:multiLevelType w:val="hybridMultilevel"/>
    <w:tmpl w:val="EDFC6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5A53EF4"/>
    <w:multiLevelType w:val="multilevel"/>
    <w:tmpl w:val="9698C8A4"/>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06372196"/>
    <w:multiLevelType w:val="hybridMultilevel"/>
    <w:tmpl w:val="5A865F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6C27EEA"/>
    <w:multiLevelType w:val="hybridMultilevel"/>
    <w:tmpl w:val="6B9257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11" w15:restartNumberingAfterBreak="0">
    <w:nsid w:val="0E724E11"/>
    <w:multiLevelType w:val="multilevel"/>
    <w:tmpl w:val="FAB81D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2" w15:restartNumberingAfterBreak="0">
    <w:nsid w:val="0F1374D7"/>
    <w:multiLevelType w:val="multilevel"/>
    <w:tmpl w:val="9B465F4A"/>
    <w:lvl w:ilvl="0">
      <w:start w:val="3"/>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FB25109"/>
    <w:multiLevelType w:val="hybridMultilevel"/>
    <w:tmpl w:val="25687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A59103E"/>
    <w:multiLevelType w:val="multilevel"/>
    <w:tmpl w:val="488EFECA"/>
    <w:lvl w:ilvl="0">
      <w:start w:val="3"/>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B2513D9"/>
    <w:multiLevelType w:val="hybridMultilevel"/>
    <w:tmpl w:val="47E23C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781725"/>
    <w:multiLevelType w:val="multilevel"/>
    <w:tmpl w:val="05107C68"/>
    <w:lvl w:ilvl="0">
      <w:start w:val="1"/>
      <w:numFmt w:val="decimal"/>
      <w:lvlText w:val="%1)"/>
      <w:lvlJc w:val="left"/>
      <w:pPr>
        <w:ind w:left="360" w:hanging="360"/>
      </w:pPr>
      <w:rPr>
        <w:rFonts w:hint="default"/>
      </w:rPr>
    </w:lvl>
    <w:lvl w:ilvl="1">
      <w:start w:val="4"/>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05755DE"/>
    <w:multiLevelType w:val="hybridMultilevel"/>
    <w:tmpl w:val="29A63610"/>
    <w:lvl w:ilvl="0" w:tplc="69681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27B0F49"/>
    <w:multiLevelType w:val="hybridMultilevel"/>
    <w:tmpl w:val="4E265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E61386"/>
    <w:multiLevelType w:val="hybridMultilevel"/>
    <w:tmpl w:val="7E723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3E3F03"/>
    <w:multiLevelType w:val="hybridMultilevel"/>
    <w:tmpl w:val="28A81D6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23581EB5"/>
    <w:multiLevelType w:val="multilevel"/>
    <w:tmpl w:val="00DA189A"/>
    <w:lvl w:ilvl="0">
      <w:start w:val="3"/>
      <w:numFmt w:val="decimal"/>
      <w:lvlText w:val="%1)"/>
      <w:lvlJc w:val="left"/>
      <w:pPr>
        <w:ind w:left="360" w:hanging="360"/>
      </w:pPr>
      <w:rPr>
        <w:rFonts w:hint="default"/>
      </w:rPr>
    </w:lvl>
    <w:lvl w:ilvl="1">
      <w:start w:val="3"/>
      <w:numFmt w:val="lowerLetter"/>
      <w:lvlText w:val="%2)"/>
      <w:lvlJc w:val="left"/>
      <w:pPr>
        <w:ind w:left="720" w:hanging="360"/>
      </w:pPr>
      <w:rPr>
        <w:rFonts w:hint="default"/>
      </w:rPr>
    </w:lvl>
    <w:lvl w:ilvl="2">
      <w:start w:val="2"/>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24191579"/>
    <w:multiLevelType w:val="multilevel"/>
    <w:tmpl w:val="72A6ED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25" w15:restartNumberingAfterBreak="0">
    <w:nsid w:val="24615298"/>
    <w:multiLevelType w:val="hybridMultilevel"/>
    <w:tmpl w:val="F7D08746"/>
    <w:lvl w:ilvl="0" w:tplc="04090001">
      <w:start w:val="1"/>
      <w:numFmt w:val="bullet"/>
      <w:lvlText w:val=""/>
      <w:lvlJc w:val="left"/>
      <w:pPr>
        <w:ind w:left="1603" w:hanging="360"/>
      </w:pPr>
      <w:rPr>
        <w:rFonts w:ascii="Symbol" w:hAnsi="Symbol" w:hint="default"/>
      </w:rPr>
    </w:lvl>
    <w:lvl w:ilvl="1" w:tplc="04090003">
      <w:start w:val="1"/>
      <w:numFmt w:val="bullet"/>
      <w:lvlText w:val="o"/>
      <w:lvlJc w:val="left"/>
      <w:pPr>
        <w:ind w:left="2323" w:hanging="360"/>
      </w:pPr>
      <w:rPr>
        <w:rFonts w:ascii="Courier New" w:hAnsi="Courier New" w:cs="Courier New" w:hint="default"/>
      </w:rPr>
    </w:lvl>
    <w:lvl w:ilvl="2" w:tplc="04090005">
      <w:start w:val="1"/>
      <w:numFmt w:val="bullet"/>
      <w:lvlText w:val=""/>
      <w:lvlJc w:val="left"/>
      <w:pPr>
        <w:ind w:left="3043" w:hanging="360"/>
      </w:pPr>
      <w:rPr>
        <w:rFonts w:ascii="Wingdings" w:hAnsi="Wingdings" w:hint="default"/>
      </w:rPr>
    </w:lvl>
    <w:lvl w:ilvl="3" w:tplc="04090001">
      <w:start w:val="1"/>
      <w:numFmt w:val="bullet"/>
      <w:lvlText w:val=""/>
      <w:lvlJc w:val="left"/>
      <w:pPr>
        <w:ind w:left="3763" w:hanging="360"/>
      </w:pPr>
      <w:rPr>
        <w:rFonts w:ascii="Symbol" w:hAnsi="Symbol" w:hint="default"/>
      </w:rPr>
    </w:lvl>
    <w:lvl w:ilvl="4" w:tplc="04090003">
      <w:start w:val="1"/>
      <w:numFmt w:val="bullet"/>
      <w:lvlText w:val="o"/>
      <w:lvlJc w:val="left"/>
      <w:pPr>
        <w:ind w:left="4483" w:hanging="360"/>
      </w:pPr>
      <w:rPr>
        <w:rFonts w:ascii="Courier New" w:hAnsi="Courier New" w:cs="Courier New" w:hint="default"/>
      </w:rPr>
    </w:lvl>
    <w:lvl w:ilvl="5" w:tplc="04090005">
      <w:start w:val="1"/>
      <w:numFmt w:val="bullet"/>
      <w:lvlText w:val=""/>
      <w:lvlJc w:val="left"/>
      <w:pPr>
        <w:ind w:left="5203" w:hanging="360"/>
      </w:pPr>
      <w:rPr>
        <w:rFonts w:ascii="Wingdings" w:hAnsi="Wingdings" w:hint="default"/>
      </w:rPr>
    </w:lvl>
    <w:lvl w:ilvl="6" w:tplc="04090001">
      <w:start w:val="1"/>
      <w:numFmt w:val="bullet"/>
      <w:lvlText w:val=""/>
      <w:lvlJc w:val="left"/>
      <w:pPr>
        <w:ind w:left="5923" w:hanging="360"/>
      </w:pPr>
      <w:rPr>
        <w:rFonts w:ascii="Symbol" w:hAnsi="Symbol" w:hint="default"/>
      </w:rPr>
    </w:lvl>
    <w:lvl w:ilvl="7" w:tplc="04090003">
      <w:start w:val="1"/>
      <w:numFmt w:val="bullet"/>
      <w:lvlText w:val="o"/>
      <w:lvlJc w:val="left"/>
      <w:pPr>
        <w:ind w:left="6643" w:hanging="360"/>
      </w:pPr>
      <w:rPr>
        <w:rFonts w:ascii="Courier New" w:hAnsi="Courier New" w:cs="Courier New" w:hint="default"/>
      </w:rPr>
    </w:lvl>
    <w:lvl w:ilvl="8" w:tplc="04090005">
      <w:start w:val="1"/>
      <w:numFmt w:val="bullet"/>
      <w:lvlText w:val=""/>
      <w:lvlJc w:val="left"/>
      <w:pPr>
        <w:ind w:left="7363" w:hanging="360"/>
      </w:pPr>
      <w:rPr>
        <w:rFonts w:ascii="Wingdings" w:hAnsi="Wingdings" w:hint="default"/>
      </w:rPr>
    </w:lvl>
  </w:abstractNum>
  <w:abstractNum w:abstractNumId="26" w15:restartNumberingAfterBreak="0">
    <w:nsid w:val="2638763A"/>
    <w:multiLevelType w:val="hybridMultilevel"/>
    <w:tmpl w:val="9E20A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AA2DA5"/>
    <w:multiLevelType w:val="multilevel"/>
    <w:tmpl w:val="A5EE1D56"/>
    <w:lvl w:ilvl="0">
      <w:start w:val="1"/>
      <w:numFmt w:val="decimal"/>
      <w:lvlText w:val="%1)"/>
      <w:lvlJc w:val="left"/>
      <w:pPr>
        <w:ind w:left="360" w:hanging="360"/>
      </w:pPr>
      <w:rPr>
        <w:rFonts w:hint="default"/>
      </w:rPr>
    </w:lvl>
    <w:lvl w:ilvl="1">
      <w:start w:val="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8F1609E"/>
    <w:multiLevelType w:val="hybridMultilevel"/>
    <w:tmpl w:val="966C333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293222D1"/>
    <w:multiLevelType w:val="hybridMultilevel"/>
    <w:tmpl w:val="B4105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6E08DB"/>
    <w:multiLevelType w:val="hybridMultilevel"/>
    <w:tmpl w:val="4204E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2A32786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33CC5E7E"/>
    <w:multiLevelType w:val="hybridMultilevel"/>
    <w:tmpl w:val="8062A3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39675D3B"/>
    <w:multiLevelType w:val="hybridMultilevel"/>
    <w:tmpl w:val="C388B41A"/>
    <w:lvl w:ilvl="0" w:tplc="696814D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41783B"/>
    <w:multiLevelType w:val="hybridMultilevel"/>
    <w:tmpl w:val="9E40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1755FE8"/>
    <w:multiLevelType w:val="hybridMultilevel"/>
    <w:tmpl w:val="3880D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014585"/>
    <w:multiLevelType w:val="hybridMultilevel"/>
    <w:tmpl w:val="6FFA5CEA"/>
    <w:lvl w:ilvl="0" w:tplc="04090001">
      <w:start w:val="1"/>
      <w:numFmt w:val="bullet"/>
      <w:lvlText w:val=""/>
      <w:lvlJc w:val="left"/>
      <w:pPr>
        <w:ind w:left="1449" w:hanging="360"/>
      </w:pPr>
      <w:rPr>
        <w:rFonts w:ascii="Symbol" w:hAnsi="Symbol" w:hint="default"/>
      </w:rPr>
    </w:lvl>
    <w:lvl w:ilvl="1" w:tplc="04090003">
      <w:start w:val="1"/>
      <w:numFmt w:val="bullet"/>
      <w:lvlText w:val="o"/>
      <w:lvlJc w:val="left"/>
      <w:pPr>
        <w:ind w:left="2169" w:hanging="360"/>
      </w:pPr>
      <w:rPr>
        <w:rFonts w:ascii="Courier New" w:hAnsi="Courier New" w:cs="Courier New" w:hint="default"/>
      </w:rPr>
    </w:lvl>
    <w:lvl w:ilvl="2" w:tplc="04090005" w:tentative="1">
      <w:start w:val="1"/>
      <w:numFmt w:val="bullet"/>
      <w:lvlText w:val=""/>
      <w:lvlJc w:val="left"/>
      <w:pPr>
        <w:ind w:left="2889" w:hanging="360"/>
      </w:pPr>
      <w:rPr>
        <w:rFonts w:ascii="Wingdings" w:hAnsi="Wingdings" w:hint="default"/>
      </w:rPr>
    </w:lvl>
    <w:lvl w:ilvl="3" w:tplc="04090001" w:tentative="1">
      <w:start w:val="1"/>
      <w:numFmt w:val="bullet"/>
      <w:lvlText w:val=""/>
      <w:lvlJc w:val="left"/>
      <w:pPr>
        <w:ind w:left="3609" w:hanging="360"/>
      </w:pPr>
      <w:rPr>
        <w:rFonts w:ascii="Symbol" w:hAnsi="Symbol" w:hint="default"/>
      </w:rPr>
    </w:lvl>
    <w:lvl w:ilvl="4" w:tplc="04090003" w:tentative="1">
      <w:start w:val="1"/>
      <w:numFmt w:val="bullet"/>
      <w:lvlText w:val="o"/>
      <w:lvlJc w:val="left"/>
      <w:pPr>
        <w:ind w:left="4329" w:hanging="360"/>
      </w:pPr>
      <w:rPr>
        <w:rFonts w:ascii="Courier New" w:hAnsi="Courier New" w:cs="Courier New" w:hint="default"/>
      </w:rPr>
    </w:lvl>
    <w:lvl w:ilvl="5" w:tplc="04090005" w:tentative="1">
      <w:start w:val="1"/>
      <w:numFmt w:val="bullet"/>
      <w:lvlText w:val=""/>
      <w:lvlJc w:val="left"/>
      <w:pPr>
        <w:ind w:left="5049" w:hanging="360"/>
      </w:pPr>
      <w:rPr>
        <w:rFonts w:ascii="Wingdings" w:hAnsi="Wingdings" w:hint="default"/>
      </w:rPr>
    </w:lvl>
    <w:lvl w:ilvl="6" w:tplc="04090001" w:tentative="1">
      <w:start w:val="1"/>
      <w:numFmt w:val="bullet"/>
      <w:lvlText w:val=""/>
      <w:lvlJc w:val="left"/>
      <w:pPr>
        <w:ind w:left="5769" w:hanging="360"/>
      </w:pPr>
      <w:rPr>
        <w:rFonts w:ascii="Symbol" w:hAnsi="Symbol" w:hint="default"/>
      </w:rPr>
    </w:lvl>
    <w:lvl w:ilvl="7" w:tplc="04090003" w:tentative="1">
      <w:start w:val="1"/>
      <w:numFmt w:val="bullet"/>
      <w:lvlText w:val="o"/>
      <w:lvlJc w:val="left"/>
      <w:pPr>
        <w:ind w:left="6489" w:hanging="360"/>
      </w:pPr>
      <w:rPr>
        <w:rFonts w:ascii="Courier New" w:hAnsi="Courier New" w:cs="Courier New" w:hint="default"/>
      </w:rPr>
    </w:lvl>
    <w:lvl w:ilvl="8" w:tplc="04090005" w:tentative="1">
      <w:start w:val="1"/>
      <w:numFmt w:val="bullet"/>
      <w:lvlText w:val=""/>
      <w:lvlJc w:val="left"/>
      <w:pPr>
        <w:ind w:left="7209" w:hanging="360"/>
      </w:pPr>
      <w:rPr>
        <w:rFonts w:ascii="Wingdings" w:hAnsi="Wingdings" w:hint="default"/>
      </w:rPr>
    </w:lvl>
  </w:abstractNum>
  <w:abstractNum w:abstractNumId="38" w15:restartNumberingAfterBreak="0">
    <w:nsid w:val="443E3C2D"/>
    <w:multiLevelType w:val="hybridMultilevel"/>
    <w:tmpl w:val="AC7E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9B30F8"/>
    <w:multiLevelType w:val="hybridMultilevel"/>
    <w:tmpl w:val="B87E633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0" w15:restartNumberingAfterBreak="0">
    <w:nsid w:val="49C129F8"/>
    <w:multiLevelType w:val="multilevel"/>
    <w:tmpl w:val="73D63CC0"/>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6"/>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41" w15:restartNumberingAfterBreak="0">
    <w:nsid w:val="4B35700F"/>
    <w:multiLevelType w:val="multilevel"/>
    <w:tmpl w:val="30849C9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C68043D"/>
    <w:multiLevelType w:val="multilevel"/>
    <w:tmpl w:val="CFC40D72"/>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6"/>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43" w15:restartNumberingAfterBreak="0">
    <w:nsid w:val="4E891D35"/>
    <w:multiLevelType w:val="multilevel"/>
    <w:tmpl w:val="C38A34D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09107EA"/>
    <w:multiLevelType w:val="hybridMultilevel"/>
    <w:tmpl w:val="952C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6872"/>
    <w:multiLevelType w:val="multilevel"/>
    <w:tmpl w:val="B282A9C0"/>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53D84930"/>
    <w:multiLevelType w:val="hybridMultilevel"/>
    <w:tmpl w:val="0BA87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DAC6926"/>
    <w:multiLevelType w:val="hybridMultilevel"/>
    <w:tmpl w:val="45E82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5E425661"/>
    <w:multiLevelType w:val="hybridMultilevel"/>
    <w:tmpl w:val="FA0EA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616C8A"/>
    <w:multiLevelType w:val="hybridMultilevel"/>
    <w:tmpl w:val="F9CE15F6"/>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62371CB2"/>
    <w:multiLevelType w:val="hybridMultilevel"/>
    <w:tmpl w:val="4296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3" w15:restartNumberingAfterBreak="0">
    <w:nsid w:val="65C916E8"/>
    <w:multiLevelType w:val="hybridMultilevel"/>
    <w:tmpl w:val="CDC8E6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15:restartNumberingAfterBreak="0">
    <w:nsid w:val="67E17477"/>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6C3F7A61"/>
    <w:multiLevelType w:val="hybridMultilevel"/>
    <w:tmpl w:val="B30661DC"/>
    <w:lvl w:ilvl="0" w:tplc="0409000F">
      <w:start w:val="1"/>
      <w:numFmt w:val="decimal"/>
      <w:lvlText w:val="%1."/>
      <w:lvlJc w:val="left"/>
      <w:pPr>
        <w:ind w:left="1500" w:hanging="360"/>
      </w:pPr>
    </w:lvl>
    <w:lvl w:ilvl="1" w:tplc="04090019">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57" w15:restartNumberingAfterBreak="0">
    <w:nsid w:val="6F2E78FA"/>
    <w:multiLevelType w:val="hybridMultilevel"/>
    <w:tmpl w:val="E8F232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1396E98"/>
    <w:multiLevelType w:val="hybridMultilevel"/>
    <w:tmpl w:val="26168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51E4858"/>
    <w:multiLevelType w:val="multilevel"/>
    <w:tmpl w:val="58E6F650"/>
    <w:lvl w:ilvl="0">
      <w:start w:val="2"/>
      <w:numFmt w:val="decimal"/>
      <w:lvlText w:val="%1)"/>
      <w:lvlJc w:val="left"/>
      <w:pPr>
        <w:ind w:left="360" w:hanging="360"/>
      </w:pPr>
      <w:rPr>
        <w:rFonts w:hint="default"/>
      </w:rPr>
    </w:lvl>
    <w:lvl w:ilvl="1">
      <w:start w:val="2"/>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7566227B"/>
    <w:multiLevelType w:val="hybridMultilevel"/>
    <w:tmpl w:val="DD78C9B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1" w15:restartNumberingAfterBreak="0">
    <w:nsid w:val="79726EC3"/>
    <w:multiLevelType w:val="hybridMultilevel"/>
    <w:tmpl w:val="D7E63C16"/>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2" w15:restartNumberingAfterBreak="0">
    <w:nsid w:val="79893E08"/>
    <w:multiLevelType w:val="hybridMultilevel"/>
    <w:tmpl w:val="ACDC21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B84480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1"/>
  </w:num>
  <w:num w:numId="2">
    <w:abstractNumId w:val="17"/>
  </w:num>
  <w:num w:numId="3">
    <w:abstractNumId w:val="42"/>
  </w:num>
  <w:num w:numId="4">
    <w:abstractNumId w:val="52"/>
  </w:num>
  <w:num w:numId="5">
    <w:abstractNumId w:val="32"/>
  </w:num>
  <w:num w:numId="6">
    <w:abstractNumId w:val="24"/>
  </w:num>
  <w:num w:numId="7">
    <w:abstractNumId w:val="40"/>
  </w:num>
  <w:num w:numId="8">
    <w:abstractNumId w:val="11"/>
  </w:num>
  <w:num w:numId="9">
    <w:abstractNumId w:val="1"/>
  </w:num>
  <w:num w:numId="10">
    <w:abstractNumId w:val="10"/>
  </w:num>
  <w:num w:numId="11">
    <w:abstractNumId w:val="0"/>
  </w:num>
  <w:num w:numId="12">
    <w:abstractNumId w:val="56"/>
  </w:num>
  <w:num w:numId="13">
    <w:abstractNumId w:val="4"/>
  </w:num>
  <w:num w:numId="14">
    <w:abstractNumId w:val="57"/>
  </w:num>
  <w:num w:numId="15">
    <w:abstractNumId w:val="36"/>
  </w:num>
  <w:num w:numId="16">
    <w:abstractNumId w:val="6"/>
  </w:num>
  <w:num w:numId="17">
    <w:abstractNumId w:val="21"/>
  </w:num>
  <w:num w:numId="18">
    <w:abstractNumId w:val="46"/>
  </w:num>
  <w:num w:numId="19">
    <w:abstractNumId w:val="58"/>
  </w:num>
  <w:num w:numId="20">
    <w:abstractNumId w:val="33"/>
  </w:num>
  <w:num w:numId="21">
    <w:abstractNumId w:val="35"/>
  </w:num>
  <w:num w:numId="22">
    <w:abstractNumId w:val="62"/>
  </w:num>
  <w:num w:numId="23">
    <w:abstractNumId w:val="20"/>
  </w:num>
  <w:num w:numId="24">
    <w:abstractNumId w:val="29"/>
  </w:num>
  <w:num w:numId="25">
    <w:abstractNumId w:val="38"/>
  </w:num>
  <w:num w:numId="26">
    <w:abstractNumId w:val="25"/>
  </w:num>
  <w:num w:numId="27">
    <w:abstractNumId w:val="37"/>
  </w:num>
  <w:num w:numId="28">
    <w:abstractNumId w:val="5"/>
  </w:num>
  <w:num w:numId="29">
    <w:abstractNumId w:val="13"/>
  </w:num>
  <w:num w:numId="30">
    <w:abstractNumId w:val="9"/>
  </w:num>
  <w:num w:numId="31">
    <w:abstractNumId w:val="60"/>
  </w:num>
  <w:num w:numId="32">
    <w:abstractNumId w:val="39"/>
  </w:num>
  <w:num w:numId="33">
    <w:abstractNumId w:val="8"/>
  </w:num>
  <w:num w:numId="34">
    <w:abstractNumId w:val="15"/>
  </w:num>
  <w:num w:numId="35">
    <w:abstractNumId w:val="55"/>
  </w:num>
  <w:num w:numId="36">
    <w:abstractNumId w:val="34"/>
  </w:num>
  <w:num w:numId="37">
    <w:abstractNumId w:val="50"/>
  </w:num>
  <w:num w:numId="38">
    <w:abstractNumId w:val="19"/>
  </w:num>
  <w:num w:numId="39">
    <w:abstractNumId w:val="49"/>
  </w:num>
  <w:num w:numId="40">
    <w:abstractNumId w:val="3"/>
  </w:num>
  <w:num w:numId="41">
    <w:abstractNumId w:val="7"/>
  </w:num>
  <w:num w:numId="42">
    <w:abstractNumId w:val="23"/>
  </w:num>
  <w:num w:numId="43">
    <w:abstractNumId w:val="53"/>
  </w:num>
  <w:num w:numId="44">
    <w:abstractNumId w:val="61"/>
  </w:num>
  <w:num w:numId="45">
    <w:abstractNumId w:val="18"/>
  </w:num>
  <w:num w:numId="46">
    <w:abstractNumId w:val="30"/>
  </w:num>
  <w:num w:numId="47">
    <w:abstractNumId w:val="48"/>
  </w:num>
  <w:num w:numId="48">
    <w:abstractNumId w:val="44"/>
  </w:num>
  <w:num w:numId="49">
    <w:abstractNumId w:val="26"/>
  </w:num>
  <w:num w:numId="50">
    <w:abstractNumId w:val="63"/>
  </w:num>
  <w:num w:numId="51">
    <w:abstractNumId w:val="28"/>
  </w:num>
  <w:num w:numId="52">
    <w:abstractNumId w:val="47"/>
  </w:num>
  <w:num w:numId="53">
    <w:abstractNumId w:val="54"/>
  </w:num>
  <w:num w:numId="54">
    <w:abstractNumId w:val="59"/>
  </w:num>
  <w:num w:numId="55">
    <w:abstractNumId w:val="41"/>
  </w:num>
  <w:num w:numId="56">
    <w:abstractNumId w:val="45"/>
  </w:num>
  <w:num w:numId="57">
    <w:abstractNumId w:val="14"/>
  </w:num>
  <w:num w:numId="58">
    <w:abstractNumId w:val="43"/>
  </w:num>
  <w:num w:numId="59">
    <w:abstractNumId w:val="12"/>
  </w:num>
  <w:num w:numId="60">
    <w:abstractNumId w:val="22"/>
  </w:num>
  <w:num w:numId="61">
    <w:abstractNumId w:val="31"/>
  </w:num>
  <w:num w:numId="62">
    <w:abstractNumId w:val="27"/>
  </w:num>
  <w:num w:numId="63">
    <w:abstractNumId w:val="16"/>
  </w:num>
  <w:num w:numId="64">
    <w:abstractNumId w:val="2"/>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8"/>
  <w:proofState w:spelling="clean" w:grammar="clean"/>
  <w:doNotTrackFormatting/>
  <w:defaultTabStop w:val="720"/>
  <w:characterSpacingControl w:val="doNotCompress"/>
  <w:hdrShapeDefaults>
    <o:shapedefaults v:ext="edit" spidmax="481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089"/>
    <w:rsid w:val="000001AC"/>
    <w:rsid w:val="0000053B"/>
    <w:rsid w:val="000009F7"/>
    <w:rsid w:val="00000A10"/>
    <w:rsid w:val="000011D0"/>
    <w:rsid w:val="00002097"/>
    <w:rsid w:val="000027DC"/>
    <w:rsid w:val="00002A14"/>
    <w:rsid w:val="00003A95"/>
    <w:rsid w:val="00004213"/>
    <w:rsid w:val="0000696B"/>
    <w:rsid w:val="00007992"/>
    <w:rsid w:val="00007DB9"/>
    <w:rsid w:val="00010990"/>
    <w:rsid w:val="00012173"/>
    <w:rsid w:val="0001240A"/>
    <w:rsid w:val="00013A52"/>
    <w:rsid w:val="000159C7"/>
    <w:rsid w:val="00015AD2"/>
    <w:rsid w:val="00015DC1"/>
    <w:rsid w:val="00016087"/>
    <w:rsid w:val="0001637A"/>
    <w:rsid w:val="00016569"/>
    <w:rsid w:val="000167E9"/>
    <w:rsid w:val="00020842"/>
    <w:rsid w:val="000212EF"/>
    <w:rsid w:val="00021AC6"/>
    <w:rsid w:val="00022F6B"/>
    <w:rsid w:val="000240DB"/>
    <w:rsid w:val="00030D6B"/>
    <w:rsid w:val="00030E75"/>
    <w:rsid w:val="00031B24"/>
    <w:rsid w:val="00033564"/>
    <w:rsid w:val="0003712F"/>
    <w:rsid w:val="0003790E"/>
    <w:rsid w:val="0004030A"/>
    <w:rsid w:val="000408E9"/>
    <w:rsid w:val="00040E96"/>
    <w:rsid w:val="0004168B"/>
    <w:rsid w:val="00043539"/>
    <w:rsid w:val="00046406"/>
    <w:rsid w:val="00047C69"/>
    <w:rsid w:val="00047E71"/>
    <w:rsid w:val="00051259"/>
    <w:rsid w:val="00051622"/>
    <w:rsid w:val="00052911"/>
    <w:rsid w:val="00053087"/>
    <w:rsid w:val="0005390B"/>
    <w:rsid w:val="000543B0"/>
    <w:rsid w:val="00055066"/>
    <w:rsid w:val="00055461"/>
    <w:rsid w:val="000558A4"/>
    <w:rsid w:val="00055DAE"/>
    <w:rsid w:val="0005604D"/>
    <w:rsid w:val="00060205"/>
    <w:rsid w:val="000615A3"/>
    <w:rsid w:val="00061BB8"/>
    <w:rsid w:val="0006723D"/>
    <w:rsid w:val="00067AE2"/>
    <w:rsid w:val="00072245"/>
    <w:rsid w:val="00074EEC"/>
    <w:rsid w:val="00076760"/>
    <w:rsid w:val="0007688D"/>
    <w:rsid w:val="00076B4C"/>
    <w:rsid w:val="000770FE"/>
    <w:rsid w:val="000771D9"/>
    <w:rsid w:val="00077354"/>
    <w:rsid w:val="00082166"/>
    <w:rsid w:val="00082B27"/>
    <w:rsid w:val="000839EE"/>
    <w:rsid w:val="00086BA4"/>
    <w:rsid w:val="0009156E"/>
    <w:rsid w:val="000927DD"/>
    <w:rsid w:val="00093B5F"/>
    <w:rsid w:val="00095BB7"/>
    <w:rsid w:val="000961BF"/>
    <w:rsid w:val="00096909"/>
    <w:rsid w:val="00096973"/>
    <w:rsid w:val="0009715B"/>
    <w:rsid w:val="0009779B"/>
    <w:rsid w:val="000977BA"/>
    <w:rsid w:val="000A15C3"/>
    <w:rsid w:val="000A39AB"/>
    <w:rsid w:val="000A3BC4"/>
    <w:rsid w:val="000A4C76"/>
    <w:rsid w:val="000A63B1"/>
    <w:rsid w:val="000B16BD"/>
    <w:rsid w:val="000B3582"/>
    <w:rsid w:val="000B4311"/>
    <w:rsid w:val="000B6366"/>
    <w:rsid w:val="000B7756"/>
    <w:rsid w:val="000C472E"/>
    <w:rsid w:val="000D17AF"/>
    <w:rsid w:val="000D2F18"/>
    <w:rsid w:val="000D32AC"/>
    <w:rsid w:val="000D3B76"/>
    <w:rsid w:val="000D3F22"/>
    <w:rsid w:val="000D5145"/>
    <w:rsid w:val="000D5C5E"/>
    <w:rsid w:val="000E08EE"/>
    <w:rsid w:val="000E11EC"/>
    <w:rsid w:val="000E1AAC"/>
    <w:rsid w:val="000E2FF5"/>
    <w:rsid w:val="000E4136"/>
    <w:rsid w:val="000E491D"/>
    <w:rsid w:val="000E54A2"/>
    <w:rsid w:val="000E58FF"/>
    <w:rsid w:val="000E5B41"/>
    <w:rsid w:val="000E7347"/>
    <w:rsid w:val="000E735D"/>
    <w:rsid w:val="000F148E"/>
    <w:rsid w:val="000F1FC7"/>
    <w:rsid w:val="000F314A"/>
    <w:rsid w:val="000F3302"/>
    <w:rsid w:val="000F40B3"/>
    <w:rsid w:val="000F416F"/>
    <w:rsid w:val="000F71B9"/>
    <w:rsid w:val="000F77C3"/>
    <w:rsid w:val="000F7CFF"/>
    <w:rsid w:val="00100C15"/>
    <w:rsid w:val="0010180C"/>
    <w:rsid w:val="0010276F"/>
    <w:rsid w:val="00102AC0"/>
    <w:rsid w:val="00103C50"/>
    <w:rsid w:val="00104467"/>
    <w:rsid w:val="00104F92"/>
    <w:rsid w:val="00105D32"/>
    <w:rsid w:val="00105F23"/>
    <w:rsid w:val="00106188"/>
    <w:rsid w:val="001073B9"/>
    <w:rsid w:val="00107C12"/>
    <w:rsid w:val="00110C9E"/>
    <w:rsid w:val="00110CA3"/>
    <w:rsid w:val="00110CE4"/>
    <w:rsid w:val="00111E85"/>
    <w:rsid w:val="001135FD"/>
    <w:rsid w:val="001142C5"/>
    <w:rsid w:val="001143FE"/>
    <w:rsid w:val="00115C81"/>
    <w:rsid w:val="00115E6B"/>
    <w:rsid w:val="00116C4A"/>
    <w:rsid w:val="0011721C"/>
    <w:rsid w:val="0012008E"/>
    <w:rsid w:val="00120DBA"/>
    <w:rsid w:val="00121352"/>
    <w:rsid w:val="0012299C"/>
    <w:rsid w:val="00124097"/>
    <w:rsid w:val="00124A21"/>
    <w:rsid w:val="001250CE"/>
    <w:rsid w:val="00126062"/>
    <w:rsid w:val="00126480"/>
    <w:rsid w:val="001267D7"/>
    <w:rsid w:val="00126E6F"/>
    <w:rsid w:val="001271BA"/>
    <w:rsid w:val="00132BB6"/>
    <w:rsid w:val="00132EE7"/>
    <w:rsid w:val="00134527"/>
    <w:rsid w:val="001427CA"/>
    <w:rsid w:val="00142B48"/>
    <w:rsid w:val="00142E54"/>
    <w:rsid w:val="00142E8E"/>
    <w:rsid w:val="00144F35"/>
    <w:rsid w:val="001506C4"/>
    <w:rsid w:val="001507FF"/>
    <w:rsid w:val="0015086E"/>
    <w:rsid w:val="00151324"/>
    <w:rsid w:val="00153453"/>
    <w:rsid w:val="00153FFF"/>
    <w:rsid w:val="001547CF"/>
    <w:rsid w:val="001568A8"/>
    <w:rsid w:val="00160046"/>
    <w:rsid w:val="00164370"/>
    <w:rsid w:val="0016709D"/>
    <w:rsid w:val="00167FC4"/>
    <w:rsid w:val="001704F1"/>
    <w:rsid w:val="00170503"/>
    <w:rsid w:val="00172127"/>
    <w:rsid w:val="00173566"/>
    <w:rsid w:val="00173F46"/>
    <w:rsid w:val="00175774"/>
    <w:rsid w:val="00175AC6"/>
    <w:rsid w:val="0018145F"/>
    <w:rsid w:val="00182327"/>
    <w:rsid w:val="00182836"/>
    <w:rsid w:val="00183B5F"/>
    <w:rsid w:val="0018551C"/>
    <w:rsid w:val="00185801"/>
    <w:rsid w:val="00185907"/>
    <w:rsid w:val="00185AC3"/>
    <w:rsid w:val="00186312"/>
    <w:rsid w:val="001863E9"/>
    <w:rsid w:val="00186B32"/>
    <w:rsid w:val="0018720D"/>
    <w:rsid w:val="001910A4"/>
    <w:rsid w:val="00191679"/>
    <w:rsid w:val="00191AF6"/>
    <w:rsid w:val="001920F4"/>
    <w:rsid w:val="00195215"/>
    <w:rsid w:val="00195260"/>
    <w:rsid w:val="0019548D"/>
    <w:rsid w:val="0019643A"/>
    <w:rsid w:val="0019751E"/>
    <w:rsid w:val="001976F0"/>
    <w:rsid w:val="00197A7E"/>
    <w:rsid w:val="00197B1A"/>
    <w:rsid w:val="00197DC4"/>
    <w:rsid w:val="001A125B"/>
    <w:rsid w:val="001A144C"/>
    <w:rsid w:val="001A17E0"/>
    <w:rsid w:val="001A1A26"/>
    <w:rsid w:val="001A4907"/>
    <w:rsid w:val="001A4DF3"/>
    <w:rsid w:val="001A542B"/>
    <w:rsid w:val="001A5D11"/>
    <w:rsid w:val="001B0327"/>
    <w:rsid w:val="001B0EF0"/>
    <w:rsid w:val="001B12FB"/>
    <w:rsid w:val="001B239A"/>
    <w:rsid w:val="001B25F9"/>
    <w:rsid w:val="001B36EE"/>
    <w:rsid w:val="001B531D"/>
    <w:rsid w:val="001B636D"/>
    <w:rsid w:val="001B6A6F"/>
    <w:rsid w:val="001C2B45"/>
    <w:rsid w:val="001C3876"/>
    <w:rsid w:val="001C5B1A"/>
    <w:rsid w:val="001D1136"/>
    <w:rsid w:val="001D2735"/>
    <w:rsid w:val="001D2B55"/>
    <w:rsid w:val="001D2CC1"/>
    <w:rsid w:val="001D5C7C"/>
    <w:rsid w:val="001D7A6B"/>
    <w:rsid w:val="001D7C55"/>
    <w:rsid w:val="001E071D"/>
    <w:rsid w:val="001E223E"/>
    <w:rsid w:val="001E31F6"/>
    <w:rsid w:val="001E4CE1"/>
    <w:rsid w:val="001E516D"/>
    <w:rsid w:val="001E65C2"/>
    <w:rsid w:val="001E6820"/>
    <w:rsid w:val="001E760F"/>
    <w:rsid w:val="001F14B5"/>
    <w:rsid w:val="001F1B24"/>
    <w:rsid w:val="001F2631"/>
    <w:rsid w:val="001F3518"/>
    <w:rsid w:val="001F475A"/>
    <w:rsid w:val="001F62ED"/>
    <w:rsid w:val="00200707"/>
    <w:rsid w:val="00202A27"/>
    <w:rsid w:val="00202A4C"/>
    <w:rsid w:val="00203D02"/>
    <w:rsid w:val="00204286"/>
    <w:rsid w:val="00205C59"/>
    <w:rsid w:val="00206B70"/>
    <w:rsid w:val="00206CA7"/>
    <w:rsid w:val="00210A51"/>
    <w:rsid w:val="00212166"/>
    <w:rsid w:val="00212B64"/>
    <w:rsid w:val="00212D78"/>
    <w:rsid w:val="002143B0"/>
    <w:rsid w:val="00214B8A"/>
    <w:rsid w:val="002162BC"/>
    <w:rsid w:val="0021771A"/>
    <w:rsid w:val="00217AF4"/>
    <w:rsid w:val="0022030B"/>
    <w:rsid w:val="002225A9"/>
    <w:rsid w:val="002225FC"/>
    <w:rsid w:val="00222A9C"/>
    <w:rsid w:val="00222DBC"/>
    <w:rsid w:val="00224534"/>
    <w:rsid w:val="0022635E"/>
    <w:rsid w:val="002265BD"/>
    <w:rsid w:val="00231F9D"/>
    <w:rsid w:val="00234B08"/>
    <w:rsid w:val="0023550E"/>
    <w:rsid w:val="0024277F"/>
    <w:rsid w:val="00244206"/>
    <w:rsid w:val="002451F7"/>
    <w:rsid w:val="002452FE"/>
    <w:rsid w:val="002460C4"/>
    <w:rsid w:val="00246351"/>
    <w:rsid w:val="002467DF"/>
    <w:rsid w:val="002520C0"/>
    <w:rsid w:val="0025279D"/>
    <w:rsid w:val="0025305F"/>
    <w:rsid w:val="00254B38"/>
    <w:rsid w:val="00256281"/>
    <w:rsid w:val="00256C61"/>
    <w:rsid w:val="00256E6C"/>
    <w:rsid w:val="002575A5"/>
    <w:rsid w:val="00257889"/>
    <w:rsid w:val="00257896"/>
    <w:rsid w:val="0026150C"/>
    <w:rsid w:val="0026206B"/>
    <w:rsid w:val="00264BCD"/>
    <w:rsid w:val="00265248"/>
    <w:rsid w:val="00265448"/>
    <w:rsid w:val="002714F1"/>
    <w:rsid w:val="00274BAA"/>
    <w:rsid w:val="00275394"/>
    <w:rsid w:val="00275B61"/>
    <w:rsid w:val="002764E0"/>
    <w:rsid w:val="00277BD1"/>
    <w:rsid w:val="0028021E"/>
    <w:rsid w:val="00281C72"/>
    <w:rsid w:val="00283062"/>
    <w:rsid w:val="002837DE"/>
    <w:rsid w:val="00283FAB"/>
    <w:rsid w:val="00285E0C"/>
    <w:rsid w:val="00290476"/>
    <w:rsid w:val="002904BC"/>
    <w:rsid w:val="0029161D"/>
    <w:rsid w:val="00291789"/>
    <w:rsid w:val="002917F5"/>
    <w:rsid w:val="00291D8A"/>
    <w:rsid w:val="0029217F"/>
    <w:rsid w:val="00292A33"/>
    <w:rsid w:val="00293B1C"/>
    <w:rsid w:val="00293FDF"/>
    <w:rsid w:val="002941DE"/>
    <w:rsid w:val="0029440F"/>
    <w:rsid w:val="002A167F"/>
    <w:rsid w:val="002A1850"/>
    <w:rsid w:val="002A3514"/>
    <w:rsid w:val="002A3A4F"/>
    <w:rsid w:val="002A4A23"/>
    <w:rsid w:val="002A4CEB"/>
    <w:rsid w:val="002A559F"/>
    <w:rsid w:val="002B0801"/>
    <w:rsid w:val="002B1B3A"/>
    <w:rsid w:val="002B226C"/>
    <w:rsid w:val="002B418E"/>
    <w:rsid w:val="002B41C5"/>
    <w:rsid w:val="002B5895"/>
    <w:rsid w:val="002C043A"/>
    <w:rsid w:val="002C4FA6"/>
    <w:rsid w:val="002C60B1"/>
    <w:rsid w:val="002C6885"/>
    <w:rsid w:val="002D1390"/>
    <w:rsid w:val="002D2D02"/>
    <w:rsid w:val="002D554A"/>
    <w:rsid w:val="002D6B6D"/>
    <w:rsid w:val="002D76CA"/>
    <w:rsid w:val="002E0481"/>
    <w:rsid w:val="002E399F"/>
    <w:rsid w:val="002E425F"/>
    <w:rsid w:val="002E4575"/>
    <w:rsid w:val="002E4B5D"/>
    <w:rsid w:val="002E5933"/>
    <w:rsid w:val="002E79DF"/>
    <w:rsid w:val="002F07C8"/>
    <w:rsid w:val="002F0A78"/>
    <w:rsid w:val="002F20A8"/>
    <w:rsid w:val="002F2155"/>
    <w:rsid w:val="002F2886"/>
    <w:rsid w:val="002F38E8"/>
    <w:rsid w:val="002F3CE3"/>
    <w:rsid w:val="002F3E91"/>
    <w:rsid w:val="002F4C33"/>
    <w:rsid w:val="002F4DA0"/>
    <w:rsid w:val="002F54CD"/>
    <w:rsid w:val="0030049A"/>
    <w:rsid w:val="003004A3"/>
    <w:rsid w:val="00301CA6"/>
    <w:rsid w:val="00306035"/>
    <w:rsid w:val="00307655"/>
    <w:rsid w:val="00312427"/>
    <w:rsid w:val="003124DE"/>
    <w:rsid w:val="0031459A"/>
    <w:rsid w:val="00316DF3"/>
    <w:rsid w:val="00316FAB"/>
    <w:rsid w:val="00320406"/>
    <w:rsid w:val="00320B92"/>
    <w:rsid w:val="0032185C"/>
    <w:rsid w:val="0032234B"/>
    <w:rsid w:val="00322E42"/>
    <w:rsid w:val="003247EB"/>
    <w:rsid w:val="0032535D"/>
    <w:rsid w:val="00325B67"/>
    <w:rsid w:val="003266C3"/>
    <w:rsid w:val="00326E5E"/>
    <w:rsid w:val="00326FDB"/>
    <w:rsid w:val="00332881"/>
    <w:rsid w:val="0033352F"/>
    <w:rsid w:val="00333B85"/>
    <w:rsid w:val="00335EA5"/>
    <w:rsid w:val="00347C1C"/>
    <w:rsid w:val="00352CFA"/>
    <w:rsid w:val="00353F09"/>
    <w:rsid w:val="003557F6"/>
    <w:rsid w:val="003563C0"/>
    <w:rsid w:val="0035757F"/>
    <w:rsid w:val="003600DC"/>
    <w:rsid w:val="003603AC"/>
    <w:rsid w:val="00361628"/>
    <w:rsid w:val="00363739"/>
    <w:rsid w:val="0036434C"/>
    <w:rsid w:val="00364369"/>
    <w:rsid w:val="00364AF3"/>
    <w:rsid w:val="00364D72"/>
    <w:rsid w:val="0036569A"/>
    <w:rsid w:val="003657F8"/>
    <w:rsid w:val="0036606D"/>
    <w:rsid w:val="0036654A"/>
    <w:rsid w:val="00366BB0"/>
    <w:rsid w:val="003707D0"/>
    <w:rsid w:val="003717B3"/>
    <w:rsid w:val="00373725"/>
    <w:rsid w:val="003757A1"/>
    <w:rsid w:val="0037581D"/>
    <w:rsid w:val="0037783D"/>
    <w:rsid w:val="00377F15"/>
    <w:rsid w:val="003820E2"/>
    <w:rsid w:val="00382807"/>
    <w:rsid w:val="00382883"/>
    <w:rsid w:val="00385E4E"/>
    <w:rsid w:val="00387777"/>
    <w:rsid w:val="00387C18"/>
    <w:rsid w:val="0039035C"/>
    <w:rsid w:val="00391183"/>
    <w:rsid w:val="00391295"/>
    <w:rsid w:val="0039254F"/>
    <w:rsid w:val="00393C26"/>
    <w:rsid w:val="00394628"/>
    <w:rsid w:val="00394C68"/>
    <w:rsid w:val="003952B7"/>
    <w:rsid w:val="00396B98"/>
    <w:rsid w:val="003971C7"/>
    <w:rsid w:val="00397B50"/>
    <w:rsid w:val="003A2AB5"/>
    <w:rsid w:val="003A2E1A"/>
    <w:rsid w:val="003A4B9B"/>
    <w:rsid w:val="003A78A0"/>
    <w:rsid w:val="003A7F82"/>
    <w:rsid w:val="003B091C"/>
    <w:rsid w:val="003B114F"/>
    <w:rsid w:val="003B146F"/>
    <w:rsid w:val="003B1BAB"/>
    <w:rsid w:val="003B1CE0"/>
    <w:rsid w:val="003B2172"/>
    <w:rsid w:val="003B2CC7"/>
    <w:rsid w:val="003B2F90"/>
    <w:rsid w:val="003B5BCE"/>
    <w:rsid w:val="003B5E55"/>
    <w:rsid w:val="003C0891"/>
    <w:rsid w:val="003C15A1"/>
    <w:rsid w:val="003C16B2"/>
    <w:rsid w:val="003C1AD4"/>
    <w:rsid w:val="003C2EBB"/>
    <w:rsid w:val="003C3DE2"/>
    <w:rsid w:val="003C4917"/>
    <w:rsid w:val="003C5548"/>
    <w:rsid w:val="003C594E"/>
    <w:rsid w:val="003C5A6F"/>
    <w:rsid w:val="003C5C0A"/>
    <w:rsid w:val="003C6B8D"/>
    <w:rsid w:val="003D0940"/>
    <w:rsid w:val="003D0966"/>
    <w:rsid w:val="003D351B"/>
    <w:rsid w:val="003D485F"/>
    <w:rsid w:val="003D5382"/>
    <w:rsid w:val="003D5D2F"/>
    <w:rsid w:val="003D65A4"/>
    <w:rsid w:val="003D7E6B"/>
    <w:rsid w:val="003E13EC"/>
    <w:rsid w:val="003E2159"/>
    <w:rsid w:val="003E26A9"/>
    <w:rsid w:val="003E3E58"/>
    <w:rsid w:val="003E446E"/>
    <w:rsid w:val="003E611D"/>
    <w:rsid w:val="003E67A6"/>
    <w:rsid w:val="003E6F79"/>
    <w:rsid w:val="003F1353"/>
    <w:rsid w:val="003F169C"/>
    <w:rsid w:val="003F18B4"/>
    <w:rsid w:val="003F357F"/>
    <w:rsid w:val="003F3E54"/>
    <w:rsid w:val="003F45C7"/>
    <w:rsid w:val="003F5C64"/>
    <w:rsid w:val="003F7C11"/>
    <w:rsid w:val="003F7F50"/>
    <w:rsid w:val="00401158"/>
    <w:rsid w:val="0040469C"/>
    <w:rsid w:val="0040658D"/>
    <w:rsid w:val="004112F2"/>
    <w:rsid w:val="004153B3"/>
    <w:rsid w:val="004162F5"/>
    <w:rsid w:val="00416409"/>
    <w:rsid w:val="0041640D"/>
    <w:rsid w:val="00420F6C"/>
    <w:rsid w:val="00421F11"/>
    <w:rsid w:val="004239FE"/>
    <w:rsid w:val="00423B66"/>
    <w:rsid w:val="00423B81"/>
    <w:rsid w:val="00423DAB"/>
    <w:rsid w:val="00424448"/>
    <w:rsid w:val="00424DFC"/>
    <w:rsid w:val="004257B9"/>
    <w:rsid w:val="00425813"/>
    <w:rsid w:val="00425E64"/>
    <w:rsid w:val="00426DC0"/>
    <w:rsid w:val="00426ED1"/>
    <w:rsid w:val="00426F18"/>
    <w:rsid w:val="00427522"/>
    <w:rsid w:val="004307DF"/>
    <w:rsid w:val="0043156A"/>
    <w:rsid w:val="00432478"/>
    <w:rsid w:val="00433464"/>
    <w:rsid w:val="00433B0C"/>
    <w:rsid w:val="004342BB"/>
    <w:rsid w:val="00435164"/>
    <w:rsid w:val="00436728"/>
    <w:rsid w:val="004375A0"/>
    <w:rsid w:val="00442108"/>
    <w:rsid w:val="004428CC"/>
    <w:rsid w:val="00443EF4"/>
    <w:rsid w:val="004442D7"/>
    <w:rsid w:val="0044438F"/>
    <w:rsid w:val="004445FE"/>
    <w:rsid w:val="00444C5E"/>
    <w:rsid w:val="00446ACC"/>
    <w:rsid w:val="004471AC"/>
    <w:rsid w:val="00447376"/>
    <w:rsid w:val="00451469"/>
    <w:rsid w:val="004518ED"/>
    <w:rsid w:val="004527A6"/>
    <w:rsid w:val="0045362B"/>
    <w:rsid w:val="004546DC"/>
    <w:rsid w:val="00454B50"/>
    <w:rsid w:val="0045626A"/>
    <w:rsid w:val="00456AF5"/>
    <w:rsid w:val="004600A1"/>
    <w:rsid w:val="004615F4"/>
    <w:rsid w:val="00464297"/>
    <w:rsid w:val="00465E0B"/>
    <w:rsid w:val="004663AE"/>
    <w:rsid w:val="00466898"/>
    <w:rsid w:val="00466C75"/>
    <w:rsid w:val="00467C4C"/>
    <w:rsid w:val="004700DF"/>
    <w:rsid w:val="004707B5"/>
    <w:rsid w:val="00470B65"/>
    <w:rsid w:val="004723BB"/>
    <w:rsid w:val="004725E0"/>
    <w:rsid w:val="004740A7"/>
    <w:rsid w:val="00475673"/>
    <w:rsid w:val="004770CA"/>
    <w:rsid w:val="004773E7"/>
    <w:rsid w:val="00477926"/>
    <w:rsid w:val="00481272"/>
    <w:rsid w:val="00481A0B"/>
    <w:rsid w:val="00481CB6"/>
    <w:rsid w:val="00482050"/>
    <w:rsid w:val="00482F1C"/>
    <w:rsid w:val="00482FE5"/>
    <w:rsid w:val="00483F70"/>
    <w:rsid w:val="0048446C"/>
    <w:rsid w:val="004845E2"/>
    <w:rsid w:val="004851B3"/>
    <w:rsid w:val="00487FAA"/>
    <w:rsid w:val="00491A5D"/>
    <w:rsid w:val="00491B1B"/>
    <w:rsid w:val="00493159"/>
    <w:rsid w:val="004931F1"/>
    <w:rsid w:val="00494008"/>
    <w:rsid w:val="00496F5D"/>
    <w:rsid w:val="004973E6"/>
    <w:rsid w:val="0049757B"/>
    <w:rsid w:val="00497B6A"/>
    <w:rsid w:val="004A0A7E"/>
    <w:rsid w:val="004A0B64"/>
    <w:rsid w:val="004A19B6"/>
    <w:rsid w:val="004A1CD4"/>
    <w:rsid w:val="004A360B"/>
    <w:rsid w:val="004A488D"/>
    <w:rsid w:val="004A6AA3"/>
    <w:rsid w:val="004A6E0F"/>
    <w:rsid w:val="004B122A"/>
    <w:rsid w:val="004B25B9"/>
    <w:rsid w:val="004B42A6"/>
    <w:rsid w:val="004B47D2"/>
    <w:rsid w:val="004B60C3"/>
    <w:rsid w:val="004B7E0E"/>
    <w:rsid w:val="004C3991"/>
    <w:rsid w:val="004C3D98"/>
    <w:rsid w:val="004C64C2"/>
    <w:rsid w:val="004D07CD"/>
    <w:rsid w:val="004D12BC"/>
    <w:rsid w:val="004D150B"/>
    <w:rsid w:val="004D1B26"/>
    <w:rsid w:val="004D1E09"/>
    <w:rsid w:val="004D2CC3"/>
    <w:rsid w:val="004D32AE"/>
    <w:rsid w:val="004D78D4"/>
    <w:rsid w:val="004D78D5"/>
    <w:rsid w:val="004E2905"/>
    <w:rsid w:val="004E2ED3"/>
    <w:rsid w:val="004E319A"/>
    <w:rsid w:val="004E57F0"/>
    <w:rsid w:val="004E6C2D"/>
    <w:rsid w:val="004F1A59"/>
    <w:rsid w:val="004F1FE3"/>
    <w:rsid w:val="004F2943"/>
    <w:rsid w:val="004F2BF2"/>
    <w:rsid w:val="004F42F3"/>
    <w:rsid w:val="004F493D"/>
    <w:rsid w:val="004F5331"/>
    <w:rsid w:val="004F5454"/>
    <w:rsid w:val="004F5D5D"/>
    <w:rsid w:val="00500476"/>
    <w:rsid w:val="0050064F"/>
    <w:rsid w:val="00500E10"/>
    <w:rsid w:val="005026D9"/>
    <w:rsid w:val="005034AD"/>
    <w:rsid w:val="00503A4C"/>
    <w:rsid w:val="00504A0D"/>
    <w:rsid w:val="00505BB1"/>
    <w:rsid w:val="00505C39"/>
    <w:rsid w:val="00510B81"/>
    <w:rsid w:val="005122DB"/>
    <w:rsid w:val="00514537"/>
    <w:rsid w:val="0051738F"/>
    <w:rsid w:val="00517EDB"/>
    <w:rsid w:val="0052020F"/>
    <w:rsid w:val="00520310"/>
    <w:rsid w:val="00520E8F"/>
    <w:rsid w:val="00521BF0"/>
    <w:rsid w:val="00521D46"/>
    <w:rsid w:val="0052325B"/>
    <w:rsid w:val="00524FDB"/>
    <w:rsid w:val="00526EAF"/>
    <w:rsid w:val="00527B11"/>
    <w:rsid w:val="00527CDA"/>
    <w:rsid w:val="00532AF3"/>
    <w:rsid w:val="00533725"/>
    <w:rsid w:val="00533C29"/>
    <w:rsid w:val="005359E0"/>
    <w:rsid w:val="0053623F"/>
    <w:rsid w:val="005363BE"/>
    <w:rsid w:val="005363D1"/>
    <w:rsid w:val="005376E6"/>
    <w:rsid w:val="005406F1"/>
    <w:rsid w:val="0054262D"/>
    <w:rsid w:val="00544BC0"/>
    <w:rsid w:val="00544F61"/>
    <w:rsid w:val="00545810"/>
    <w:rsid w:val="005475C1"/>
    <w:rsid w:val="005478BA"/>
    <w:rsid w:val="0055192E"/>
    <w:rsid w:val="005538A1"/>
    <w:rsid w:val="005544D6"/>
    <w:rsid w:val="00555143"/>
    <w:rsid w:val="005552A3"/>
    <w:rsid w:val="005556C0"/>
    <w:rsid w:val="00555CE4"/>
    <w:rsid w:val="00555F24"/>
    <w:rsid w:val="0055727C"/>
    <w:rsid w:val="00560441"/>
    <w:rsid w:val="00561007"/>
    <w:rsid w:val="00562055"/>
    <w:rsid w:val="00562F3C"/>
    <w:rsid w:val="005636F4"/>
    <w:rsid w:val="005647C7"/>
    <w:rsid w:val="00565266"/>
    <w:rsid w:val="00566DC7"/>
    <w:rsid w:val="00566DE7"/>
    <w:rsid w:val="00566EE0"/>
    <w:rsid w:val="005678BB"/>
    <w:rsid w:val="00567F4D"/>
    <w:rsid w:val="00570B5B"/>
    <w:rsid w:val="00571591"/>
    <w:rsid w:val="005768A8"/>
    <w:rsid w:val="00576C93"/>
    <w:rsid w:val="0057722A"/>
    <w:rsid w:val="0057732A"/>
    <w:rsid w:val="00577C98"/>
    <w:rsid w:val="005830A4"/>
    <w:rsid w:val="005839AE"/>
    <w:rsid w:val="00584586"/>
    <w:rsid w:val="0058638B"/>
    <w:rsid w:val="00586458"/>
    <w:rsid w:val="00593B2E"/>
    <w:rsid w:val="00596AD2"/>
    <w:rsid w:val="00596F57"/>
    <w:rsid w:val="00597435"/>
    <w:rsid w:val="005A0158"/>
    <w:rsid w:val="005A1DA4"/>
    <w:rsid w:val="005A1EA1"/>
    <w:rsid w:val="005A270E"/>
    <w:rsid w:val="005A2F32"/>
    <w:rsid w:val="005A39B6"/>
    <w:rsid w:val="005A4F11"/>
    <w:rsid w:val="005A5271"/>
    <w:rsid w:val="005A5F56"/>
    <w:rsid w:val="005A7021"/>
    <w:rsid w:val="005A7D4C"/>
    <w:rsid w:val="005B0111"/>
    <w:rsid w:val="005B2622"/>
    <w:rsid w:val="005B3CE9"/>
    <w:rsid w:val="005B4A12"/>
    <w:rsid w:val="005B58B1"/>
    <w:rsid w:val="005B7CFA"/>
    <w:rsid w:val="005C0652"/>
    <w:rsid w:val="005C1CFF"/>
    <w:rsid w:val="005C46B7"/>
    <w:rsid w:val="005D07CF"/>
    <w:rsid w:val="005D1767"/>
    <w:rsid w:val="005D2630"/>
    <w:rsid w:val="005D2E6F"/>
    <w:rsid w:val="005D41D5"/>
    <w:rsid w:val="005D4458"/>
    <w:rsid w:val="005D48CD"/>
    <w:rsid w:val="005D7632"/>
    <w:rsid w:val="005D797D"/>
    <w:rsid w:val="005E09DF"/>
    <w:rsid w:val="005E13B8"/>
    <w:rsid w:val="005E3290"/>
    <w:rsid w:val="005E499B"/>
    <w:rsid w:val="005E5235"/>
    <w:rsid w:val="005E5558"/>
    <w:rsid w:val="005E559F"/>
    <w:rsid w:val="005E55B2"/>
    <w:rsid w:val="005E7869"/>
    <w:rsid w:val="005F02AD"/>
    <w:rsid w:val="005F1FF7"/>
    <w:rsid w:val="005F20EB"/>
    <w:rsid w:val="005F69B9"/>
    <w:rsid w:val="006012A9"/>
    <w:rsid w:val="006016C8"/>
    <w:rsid w:val="00601920"/>
    <w:rsid w:val="00603E5D"/>
    <w:rsid w:val="00604F15"/>
    <w:rsid w:val="00614992"/>
    <w:rsid w:val="00615241"/>
    <w:rsid w:val="0061530D"/>
    <w:rsid w:val="00615D41"/>
    <w:rsid w:val="00621F83"/>
    <w:rsid w:val="006228DE"/>
    <w:rsid w:val="0062461F"/>
    <w:rsid w:val="006259BD"/>
    <w:rsid w:val="006263C0"/>
    <w:rsid w:val="00626BD1"/>
    <w:rsid w:val="006270D1"/>
    <w:rsid w:val="006271DF"/>
    <w:rsid w:val="0062779F"/>
    <w:rsid w:val="00627B09"/>
    <w:rsid w:val="00630307"/>
    <w:rsid w:val="006316F0"/>
    <w:rsid w:val="006329A9"/>
    <w:rsid w:val="00632C3D"/>
    <w:rsid w:val="006341F1"/>
    <w:rsid w:val="00634422"/>
    <w:rsid w:val="00634A44"/>
    <w:rsid w:val="006350E2"/>
    <w:rsid w:val="006353E2"/>
    <w:rsid w:val="0063668B"/>
    <w:rsid w:val="00637DF8"/>
    <w:rsid w:val="0064069F"/>
    <w:rsid w:val="00643EF7"/>
    <w:rsid w:val="00644473"/>
    <w:rsid w:val="00644DBD"/>
    <w:rsid w:val="00645CC9"/>
    <w:rsid w:val="00645D8F"/>
    <w:rsid w:val="006469D7"/>
    <w:rsid w:val="00646AC0"/>
    <w:rsid w:val="00646EBA"/>
    <w:rsid w:val="00647AA8"/>
    <w:rsid w:val="00651754"/>
    <w:rsid w:val="00651D85"/>
    <w:rsid w:val="00653317"/>
    <w:rsid w:val="006544FA"/>
    <w:rsid w:val="006549B3"/>
    <w:rsid w:val="00654A5F"/>
    <w:rsid w:val="006564B7"/>
    <w:rsid w:val="00656DB8"/>
    <w:rsid w:val="0065716A"/>
    <w:rsid w:val="00657610"/>
    <w:rsid w:val="00657CE5"/>
    <w:rsid w:val="00660D67"/>
    <w:rsid w:val="00661864"/>
    <w:rsid w:val="006623A2"/>
    <w:rsid w:val="00663593"/>
    <w:rsid w:val="00663C10"/>
    <w:rsid w:val="00664C82"/>
    <w:rsid w:val="00664E8F"/>
    <w:rsid w:val="006659BD"/>
    <w:rsid w:val="006670F1"/>
    <w:rsid w:val="00667598"/>
    <w:rsid w:val="006704B0"/>
    <w:rsid w:val="00670A61"/>
    <w:rsid w:val="00670D6C"/>
    <w:rsid w:val="00672332"/>
    <w:rsid w:val="00672339"/>
    <w:rsid w:val="006723F5"/>
    <w:rsid w:val="00672785"/>
    <w:rsid w:val="00673212"/>
    <w:rsid w:val="0067668D"/>
    <w:rsid w:val="0067793A"/>
    <w:rsid w:val="00681CFB"/>
    <w:rsid w:val="0068404B"/>
    <w:rsid w:val="006856A8"/>
    <w:rsid w:val="00685DED"/>
    <w:rsid w:val="00685EE3"/>
    <w:rsid w:val="006862CF"/>
    <w:rsid w:val="00687A8B"/>
    <w:rsid w:val="00687B71"/>
    <w:rsid w:val="006900FC"/>
    <w:rsid w:val="006902A0"/>
    <w:rsid w:val="00690725"/>
    <w:rsid w:val="00692ABC"/>
    <w:rsid w:val="00697853"/>
    <w:rsid w:val="006A09B9"/>
    <w:rsid w:val="006A0AE4"/>
    <w:rsid w:val="006A141B"/>
    <w:rsid w:val="006A1899"/>
    <w:rsid w:val="006A2B99"/>
    <w:rsid w:val="006A2F03"/>
    <w:rsid w:val="006A41FA"/>
    <w:rsid w:val="006A43B2"/>
    <w:rsid w:val="006A5861"/>
    <w:rsid w:val="006A6A37"/>
    <w:rsid w:val="006B0152"/>
    <w:rsid w:val="006B0494"/>
    <w:rsid w:val="006B1214"/>
    <w:rsid w:val="006B2B8E"/>
    <w:rsid w:val="006B47DE"/>
    <w:rsid w:val="006B529D"/>
    <w:rsid w:val="006B6465"/>
    <w:rsid w:val="006B6E48"/>
    <w:rsid w:val="006B76C4"/>
    <w:rsid w:val="006B7F82"/>
    <w:rsid w:val="006C028B"/>
    <w:rsid w:val="006C046B"/>
    <w:rsid w:val="006C12C1"/>
    <w:rsid w:val="006C24A0"/>
    <w:rsid w:val="006C5720"/>
    <w:rsid w:val="006C5DD8"/>
    <w:rsid w:val="006C6729"/>
    <w:rsid w:val="006C6ECA"/>
    <w:rsid w:val="006C718E"/>
    <w:rsid w:val="006D0EA6"/>
    <w:rsid w:val="006D10D4"/>
    <w:rsid w:val="006D2ED0"/>
    <w:rsid w:val="006D3169"/>
    <w:rsid w:val="006D32D1"/>
    <w:rsid w:val="006D3657"/>
    <w:rsid w:val="006D39AB"/>
    <w:rsid w:val="006D4B9F"/>
    <w:rsid w:val="006D522F"/>
    <w:rsid w:val="006D5ACE"/>
    <w:rsid w:val="006D68CE"/>
    <w:rsid w:val="006D6B13"/>
    <w:rsid w:val="006E004C"/>
    <w:rsid w:val="006E0940"/>
    <w:rsid w:val="006E150A"/>
    <w:rsid w:val="006E247D"/>
    <w:rsid w:val="006E4431"/>
    <w:rsid w:val="006F0A76"/>
    <w:rsid w:val="006F16D9"/>
    <w:rsid w:val="006F3EDF"/>
    <w:rsid w:val="006F714D"/>
    <w:rsid w:val="006F786D"/>
    <w:rsid w:val="007005FB"/>
    <w:rsid w:val="00700BD4"/>
    <w:rsid w:val="00701C90"/>
    <w:rsid w:val="007024A6"/>
    <w:rsid w:val="00702740"/>
    <w:rsid w:val="00702F48"/>
    <w:rsid w:val="00704919"/>
    <w:rsid w:val="0070518F"/>
    <w:rsid w:val="00705525"/>
    <w:rsid w:val="00705E5C"/>
    <w:rsid w:val="007107A5"/>
    <w:rsid w:val="007124F1"/>
    <w:rsid w:val="007130DA"/>
    <w:rsid w:val="007136D3"/>
    <w:rsid w:val="007170CC"/>
    <w:rsid w:val="0071739F"/>
    <w:rsid w:val="007174BB"/>
    <w:rsid w:val="00717967"/>
    <w:rsid w:val="00720238"/>
    <w:rsid w:val="007218A0"/>
    <w:rsid w:val="007222F3"/>
    <w:rsid w:val="00724D7E"/>
    <w:rsid w:val="00724E42"/>
    <w:rsid w:val="00727EB3"/>
    <w:rsid w:val="00730148"/>
    <w:rsid w:val="00730317"/>
    <w:rsid w:val="00730388"/>
    <w:rsid w:val="0073089D"/>
    <w:rsid w:val="00731866"/>
    <w:rsid w:val="00731FBF"/>
    <w:rsid w:val="007324BD"/>
    <w:rsid w:val="00733F94"/>
    <w:rsid w:val="007368F1"/>
    <w:rsid w:val="00736FFC"/>
    <w:rsid w:val="007402D4"/>
    <w:rsid w:val="00740BC0"/>
    <w:rsid w:val="00741926"/>
    <w:rsid w:val="00741D6D"/>
    <w:rsid w:val="00742826"/>
    <w:rsid w:val="00742D55"/>
    <w:rsid w:val="00744A3D"/>
    <w:rsid w:val="00745C3C"/>
    <w:rsid w:val="0074605C"/>
    <w:rsid w:val="007468AB"/>
    <w:rsid w:val="00750E39"/>
    <w:rsid w:val="007515F2"/>
    <w:rsid w:val="00754CA8"/>
    <w:rsid w:val="00754E85"/>
    <w:rsid w:val="00755671"/>
    <w:rsid w:val="00755D2C"/>
    <w:rsid w:val="007602BB"/>
    <w:rsid w:val="00760960"/>
    <w:rsid w:val="00760B37"/>
    <w:rsid w:val="00760B76"/>
    <w:rsid w:val="00761667"/>
    <w:rsid w:val="00762F67"/>
    <w:rsid w:val="007637E3"/>
    <w:rsid w:val="0076424A"/>
    <w:rsid w:val="0077134A"/>
    <w:rsid w:val="007718AD"/>
    <w:rsid w:val="00772423"/>
    <w:rsid w:val="00772CC5"/>
    <w:rsid w:val="00773E34"/>
    <w:rsid w:val="007748D6"/>
    <w:rsid w:val="00774EF2"/>
    <w:rsid w:val="0077532D"/>
    <w:rsid w:val="0077584B"/>
    <w:rsid w:val="0077597D"/>
    <w:rsid w:val="00776198"/>
    <w:rsid w:val="007768B6"/>
    <w:rsid w:val="007779B5"/>
    <w:rsid w:val="00780424"/>
    <w:rsid w:val="00782775"/>
    <w:rsid w:val="0078277B"/>
    <w:rsid w:val="00783D5C"/>
    <w:rsid w:val="00784A9D"/>
    <w:rsid w:val="00786658"/>
    <w:rsid w:val="00786717"/>
    <w:rsid w:val="007878CB"/>
    <w:rsid w:val="007878D5"/>
    <w:rsid w:val="00791615"/>
    <w:rsid w:val="007918E9"/>
    <w:rsid w:val="0079310B"/>
    <w:rsid w:val="00793EA3"/>
    <w:rsid w:val="00795B5C"/>
    <w:rsid w:val="0079768A"/>
    <w:rsid w:val="007A2035"/>
    <w:rsid w:val="007A2C0B"/>
    <w:rsid w:val="007A2CD7"/>
    <w:rsid w:val="007A366F"/>
    <w:rsid w:val="007A3690"/>
    <w:rsid w:val="007A3C7B"/>
    <w:rsid w:val="007A65B7"/>
    <w:rsid w:val="007B70D1"/>
    <w:rsid w:val="007B710A"/>
    <w:rsid w:val="007B7408"/>
    <w:rsid w:val="007C13AF"/>
    <w:rsid w:val="007C256C"/>
    <w:rsid w:val="007C4B92"/>
    <w:rsid w:val="007D0B57"/>
    <w:rsid w:val="007D15AE"/>
    <w:rsid w:val="007D317D"/>
    <w:rsid w:val="007D3C24"/>
    <w:rsid w:val="007D42B1"/>
    <w:rsid w:val="007D5054"/>
    <w:rsid w:val="007D5356"/>
    <w:rsid w:val="007D5AC9"/>
    <w:rsid w:val="007D658A"/>
    <w:rsid w:val="007D68F9"/>
    <w:rsid w:val="007E051D"/>
    <w:rsid w:val="007E1B88"/>
    <w:rsid w:val="007E1DAD"/>
    <w:rsid w:val="007E20A0"/>
    <w:rsid w:val="007E42FA"/>
    <w:rsid w:val="007E4A03"/>
    <w:rsid w:val="007E6089"/>
    <w:rsid w:val="007F09E6"/>
    <w:rsid w:val="007F31C9"/>
    <w:rsid w:val="007F4131"/>
    <w:rsid w:val="007F48A6"/>
    <w:rsid w:val="007F4DE7"/>
    <w:rsid w:val="007F62A2"/>
    <w:rsid w:val="007F72D2"/>
    <w:rsid w:val="007F7875"/>
    <w:rsid w:val="00800192"/>
    <w:rsid w:val="00800566"/>
    <w:rsid w:val="00800E5B"/>
    <w:rsid w:val="00801E82"/>
    <w:rsid w:val="008047F6"/>
    <w:rsid w:val="00804B74"/>
    <w:rsid w:val="0080531A"/>
    <w:rsid w:val="00805E64"/>
    <w:rsid w:val="008126D4"/>
    <w:rsid w:val="00813004"/>
    <w:rsid w:val="00813448"/>
    <w:rsid w:val="00813FED"/>
    <w:rsid w:val="0081602A"/>
    <w:rsid w:val="008160B5"/>
    <w:rsid w:val="00816E0E"/>
    <w:rsid w:val="008202F6"/>
    <w:rsid w:val="00821C50"/>
    <w:rsid w:val="00821D8F"/>
    <w:rsid w:val="00822862"/>
    <w:rsid w:val="00824F1B"/>
    <w:rsid w:val="008254BB"/>
    <w:rsid w:val="00827956"/>
    <w:rsid w:val="00830DF1"/>
    <w:rsid w:val="00832687"/>
    <w:rsid w:val="00833C1D"/>
    <w:rsid w:val="00834E3F"/>
    <w:rsid w:val="00835196"/>
    <w:rsid w:val="00840695"/>
    <w:rsid w:val="00841A0D"/>
    <w:rsid w:val="00842DEE"/>
    <w:rsid w:val="0084329B"/>
    <w:rsid w:val="00846456"/>
    <w:rsid w:val="00846581"/>
    <w:rsid w:val="00851CE0"/>
    <w:rsid w:val="008523D0"/>
    <w:rsid w:val="0085285C"/>
    <w:rsid w:val="00852E65"/>
    <w:rsid w:val="00854F52"/>
    <w:rsid w:val="00855307"/>
    <w:rsid w:val="00855BA2"/>
    <w:rsid w:val="008566AD"/>
    <w:rsid w:val="00857022"/>
    <w:rsid w:val="00860C99"/>
    <w:rsid w:val="00863A64"/>
    <w:rsid w:val="00863D05"/>
    <w:rsid w:val="00864664"/>
    <w:rsid w:val="00864864"/>
    <w:rsid w:val="00864B04"/>
    <w:rsid w:val="00867511"/>
    <w:rsid w:val="008676E4"/>
    <w:rsid w:val="0086790B"/>
    <w:rsid w:val="008704B7"/>
    <w:rsid w:val="00870B7E"/>
    <w:rsid w:val="00871FAB"/>
    <w:rsid w:val="00872447"/>
    <w:rsid w:val="00872EBE"/>
    <w:rsid w:val="00876AD1"/>
    <w:rsid w:val="00880512"/>
    <w:rsid w:val="00881102"/>
    <w:rsid w:val="008813E6"/>
    <w:rsid w:val="00882B9F"/>
    <w:rsid w:val="00883230"/>
    <w:rsid w:val="0088477A"/>
    <w:rsid w:val="00884EAF"/>
    <w:rsid w:val="00885208"/>
    <w:rsid w:val="00887578"/>
    <w:rsid w:val="008878B3"/>
    <w:rsid w:val="00887A19"/>
    <w:rsid w:val="00887BE7"/>
    <w:rsid w:val="00887E1B"/>
    <w:rsid w:val="008906A1"/>
    <w:rsid w:val="008906CB"/>
    <w:rsid w:val="0089100A"/>
    <w:rsid w:val="00892E4F"/>
    <w:rsid w:val="00892FA9"/>
    <w:rsid w:val="00896BE1"/>
    <w:rsid w:val="00897210"/>
    <w:rsid w:val="00897AAD"/>
    <w:rsid w:val="00897CE3"/>
    <w:rsid w:val="008A0BA1"/>
    <w:rsid w:val="008A1A88"/>
    <w:rsid w:val="008A1F15"/>
    <w:rsid w:val="008A2FC2"/>
    <w:rsid w:val="008A4B69"/>
    <w:rsid w:val="008A6267"/>
    <w:rsid w:val="008A6573"/>
    <w:rsid w:val="008A777F"/>
    <w:rsid w:val="008B29E3"/>
    <w:rsid w:val="008B3B35"/>
    <w:rsid w:val="008B6951"/>
    <w:rsid w:val="008B7A77"/>
    <w:rsid w:val="008C02E2"/>
    <w:rsid w:val="008C2B89"/>
    <w:rsid w:val="008C4C49"/>
    <w:rsid w:val="008C5981"/>
    <w:rsid w:val="008C675F"/>
    <w:rsid w:val="008C6B65"/>
    <w:rsid w:val="008C6DBE"/>
    <w:rsid w:val="008C794C"/>
    <w:rsid w:val="008D338F"/>
    <w:rsid w:val="008D46DB"/>
    <w:rsid w:val="008D4C84"/>
    <w:rsid w:val="008D51DB"/>
    <w:rsid w:val="008D593B"/>
    <w:rsid w:val="008D5F56"/>
    <w:rsid w:val="008D7A9B"/>
    <w:rsid w:val="008D7AD3"/>
    <w:rsid w:val="008D7DEF"/>
    <w:rsid w:val="008E0DD0"/>
    <w:rsid w:val="008E12B4"/>
    <w:rsid w:val="008E1804"/>
    <w:rsid w:val="008E1AA8"/>
    <w:rsid w:val="008E254B"/>
    <w:rsid w:val="008E2836"/>
    <w:rsid w:val="008E34EC"/>
    <w:rsid w:val="008E4083"/>
    <w:rsid w:val="008E4D1C"/>
    <w:rsid w:val="008E4DF4"/>
    <w:rsid w:val="008E5B0B"/>
    <w:rsid w:val="008F0E90"/>
    <w:rsid w:val="008F18E7"/>
    <w:rsid w:val="008F2546"/>
    <w:rsid w:val="008F448E"/>
    <w:rsid w:val="008F44D5"/>
    <w:rsid w:val="008F4A08"/>
    <w:rsid w:val="008F56B5"/>
    <w:rsid w:val="008F5FB4"/>
    <w:rsid w:val="008F6104"/>
    <w:rsid w:val="008F7903"/>
    <w:rsid w:val="009013EA"/>
    <w:rsid w:val="009058E2"/>
    <w:rsid w:val="00905BE2"/>
    <w:rsid w:val="00905E86"/>
    <w:rsid w:val="00906D74"/>
    <w:rsid w:val="00907545"/>
    <w:rsid w:val="00912084"/>
    <w:rsid w:val="00912D40"/>
    <w:rsid w:val="00915B9B"/>
    <w:rsid w:val="00915D1C"/>
    <w:rsid w:val="009162C2"/>
    <w:rsid w:val="00917A88"/>
    <w:rsid w:val="00917E7D"/>
    <w:rsid w:val="00922540"/>
    <w:rsid w:val="009226B7"/>
    <w:rsid w:val="00924761"/>
    <w:rsid w:val="00926D0E"/>
    <w:rsid w:val="0092796D"/>
    <w:rsid w:val="00931A37"/>
    <w:rsid w:val="009328F0"/>
    <w:rsid w:val="009330E4"/>
    <w:rsid w:val="00934316"/>
    <w:rsid w:val="00936C3C"/>
    <w:rsid w:val="00936C92"/>
    <w:rsid w:val="00936C9E"/>
    <w:rsid w:val="00937008"/>
    <w:rsid w:val="00940444"/>
    <w:rsid w:val="009411B8"/>
    <w:rsid w:val="00941C6E"/>
    <w:rsid w:val="0094517C"/>
    <w:rsid w:val="00947C36"/>
    <w:rsid w:val="00950A36"/>
    <w:rsid w:val="009527E0"/>
    <w:rsid w:val="009529C3"/>
    <w:rsid w:val="00952C2B"/>
    <w:rsid w:val="00952CAC"/>
    <w:rsid w:val="00955B70"/>
    <w:rsid w:val="00956933"/>
    <w:rsid w:val="0095702D"/>
    <w:rsid w:val="0096402F"/>
    <w:rsid w:val="00965A7B"/>
    <w:rsid w:val="00965A91"/>
    <w:rsid w:val="00965D9E"/>
    <w:rsid w:val="00965FA4"/>
    <w:rsid w:val="009672FC"/>
    <w:rsid w:val="00967E69"/>
    <w:rsid w:val="009708CD"/>
    <w:rsid w:val="00971094"/>
    <w:rsid w:val="00972FE7"/>
    <w:rsid w:val="0097350E"/>
    <w:rsid w:val="00973BBE"/>
    <w:rsid w:val="00974675"/>
    <w:rsid w:val="00977225"/>
    <w:rsid w:val="0097739B"/>
    <w:rsid w:val="009773E5"/>
    <w:rsid w:val="00977711"/>
    <w:rsid w:val="009805DA"/>
    <w:rsid w:val="00981110"/>
    <w:rsid w:val="0098202C"/>
    <w:rsid w:val="0098218E"/>
    <w:rsid w:val="00983772"/>
    <w:rsid w:val="00983A0F"/>
    <w:rsid w:val="0098425D"/>
    <w:rsid w:val="009852A1"/>
    <w:rsid w:val="0098693E"/>
    <w:rsid w:val="00987DC0"/>
    <w:rsid w:val="00991F1C"/>
    <w:rsid w:val="00995D34"/>
    <w:rsid w:val="00995DA4"/>
    <w:rsid w:val="00996790"/>
    <w:rsid w:val="00996DF5"/>
    <w:rsid w:val="00996ECA"/>
    <w:rsid w:val="00997778"/>
    <w:rsid w:val="009A03F2"/>
    <w:rsid w:val="009A198A"/>
    <w:rsid w:val="009A4DAA"/>
    <w:rsid w:val="009A70B2"/>
    <w:rsid w:val="009A79D5"/>
    <w:rsid w:val="009A7D86"/>
    <w:rsid w:val="009B02C2"/>
    <w:rsid w:val="009B0574"/>
    <w:rsid w:val="009B1768"/>
    <w:rsid w:val="009B1EE7"/>
    <w:rsid w:val="009B2216"/>
    <w:rsid w:val="009B290A"/>
    <w:rsid w:val="009B5FEE"/>
    <w:rsid w:val="009B7D7B"/>
    <w:rsid w:val="009C0017"/>
    <w:rsid w:val="009C0BFC"/>
    <w:rsid w:val="009C1775"/>
    <w:rsid w:val="009C17EA"/>
    <w:rsid w:val="009C18A8"/>
    <w:rsid w:val="009C3028"/>
    <w:rsid w:val="009C3D1A"/>
    <w:rsid w:val="009C4087"/>
    <w:rsid w:val="009D205F"/>
    <w:rsid w:val="009D2073"/>
    <w:rsid w:val="009D266E"/>
    <w:rsid w:val="009D2B17"/>
    <w:rsid w:val="009D3238"/>
    <w:rsid w:val="009D51C3"/>
    <w:rsid w:val="009D5E41"/>
    <w:rsid w:val="009D6588"/>
    <w:rsid w:val="009E125A"/>
    <w:rsid w:val="009E2555"/>
    <w:rsid w:val="009E2ACA"/>
    <w:rsid w:val="009E2E89"/>
    <w:rsid w:val="009E3049"/>
    <w:rsid w:val="009E490D"/>
    <w:rsid w:val="009E4EED"/>
    <w:rsid w:val="009E6CD5"/>
    <w:rsid w:val="009E7408"/>
    <w:rsid w:val="009F12FB"/>
    <w:rsid w:val="009F1E81"/>
    <w:rsid w:val="009F22E9"/>
    <w:rsid w:val="009F3093"/>
    <w:rsid w:val="009F3DD7"/>
    <w:rsid w:val="009F439A"/>
    <w:rsid w:val="009F77C0"/>
    <w:rsid w:val="00A00051"/>
    <w:rsid w:val="00A00386"/>
    <w:rsid w:val="00A00764"/>
    <w:rsid w:val="00A01BEB"/>
    <w:rsid w:val="00A02677"/>
    <w:rsid w:val="00A029FD"/>
    <w:rsid w:val="00A03162"/>
    <w:rsid w:val="00A03BEC"/>
    <w:rsid w:val="00A05905"/>
    <w:rsid w:val="00A06006"/>
    <w:rsid w:val="00A07E7E"/>
    <w:rsid w:val="00A113DD"/>
    <w:rsid w:val="00A11705"/>
    <w:rsid w:val="00A11904"/>
    <w:rsid w:val="00A11ACB"/>
    <w:rsid w:val="00A12CB0"/>
    <w:rsid w:val="00A13504"/>
    <w:rsid w:val="00A15937"/>
    <w:rsid w:val="00A15EAF"/>
    <w:rsid w:val="00A16305"/>
    <w:rsid w:val="00A176AF"/>
    <w:rsid w:val="00A21326"/>
    <w:rsid w:val="00A21BD7"/>
    <w:rsid w:val="00A23986"/>
    <w:rsid w:val="00A244E5"/>
    <w:rsid w:val="00A260E4"/>
    <w:rsid w:val="00A317B8"/>
    <w:rsid w:val="00A317E7"/>
    <w:rsid w:val="00A31856"/>
    <w:rsid w:val="00A3236F"/>
    <w:rsid w:val="00A3270E"/>
    <w:rsid w:val="00A32FF4"/>
    <w:rsid w:val="00A3349E"/>
    <w:rsid w:val="00A335C9"/>
    <w:rsid w:val="00A33C8D"/>
    <w:rsid w:val="00A34026"/>
    <w:rsid w:val="00A343C6"/>
    <w:rsid w:val="00A352AA"/>
    <w:rsid w:val="00A40D0F"/>
    <w:rsid w:val="00A42D11"/>
    <w:rsid w:val="00A433F0"/>
    <w:rsid w:val="00A43444"/>
    <w:rsid w:val="00A441D9"/>
    <w:rsid w:val="00A50BDD"/>
    <w:rsid w:val="00A5178F"/>
    <w:rsid w:val="00A5323F"/>
    <w:rsid w:val="00A53BF0"/>
    <w:rsid w:val="00A54358"/>
    <w:rsid w:val="00A5630C"/>
    <w:rsid w:val="00A568D9"/>
    <w:rsid w:val="00A57AE8"/>
    <w:rsid w:val="00A614FA"/>
    <w:rsid w:val="00A64574"/>
    <w:rsid w:val="00A6461C"/>
    <w:rsid w:val="00A67600"/>
    <w:rsid w:val="00A71C53"/>
    <w:rsid w:val="00A72562"/>
    <w:rsid w:val="00A73480"/>
    <w:rsid w:val="00A74447"/>
    <w:rsid w:val="00A748DC"/>
    <w:rsid w:val="00A75A6B"/>
    <w:rsid w:val="00A769CA"/>
    <w:rsid w:val="00A777D7"/>
    <w:rsid w:val="00A80EBF"/>
    <w:rsid w:val="00A828B6"/>
    <w:rsid w:val="00A8630D"/>
    <w:rsid w:val="00A91870"/>
    <w:rsid w:val="00A93D4B"/>
    <w:rsid w:val="00A951D7"/>
    <w:rsid w:val="00A95315"/>
    <w:rsid w:val="00A95466"/>
    <w:rsid w:val="00A96607"/>
    <w:rsid w:val="00A97F38"/>
    <w:rsid w:val="00AA016F"/>
    <w:rsid w:val="00AA09DC"/>
    <w:rsid w:val="00AA0FBE"/>
    <w:rsid w:val="00AA13C0"/>
    <w:rsid w:val="00AA1963"/>
    <w:rsid w:val="00AA19B2"/>
    <w:rsid w:val="00AA3303"/>
    <w:rsid w:val="00AA57A3"/>
    <w:rsid w:val="00AA5EF9"/>
    <w:rsid w:val="00AA5F8E"/>
    <w:rsid w:val="00AA67C1"/>
    <w:rsid w:val="00AB13C6"/>
    <w:rsid w:val="00AB186B"/>
    <w:rsid w:val="00AB3365"/>
    <w:rsid w:val="00AB37B5"/>
    <w:rsid w:val="00AB3CCC"/>
    <w:rsid w:val="00AB4147"/>
    <w:rsid w:val="00AB4EA0"/>
    <w:rsid w:val="00AB657E"/>
    <w:rsid w:val="00AB725F"/>
    <w:rsid w:val="00AC0942"/>
    <w:rsid w:val="00AC0AFD"/>
    <w:rsid w:val="00AC254C"/>
    <w:rsid w:val="00AC2A45"/>
    <w:rsid w:val="00AC2F9D"/>
    <w:rsid w:val="00AC5FFE"/>
    <w:rsid w:val="00AC792D"/>
    <w:rsid w:val="00AD0467"/>
    <w:rsid w:val="00AD1587"/>
    <w:rsid w:val="00AD24C2"/>
    <w:rsid w:val="00AD3A6C"/>
    <w:rsid w:val="00AD79E0"/>
    <w:rsid w:val="00AE0BA8"/>
    <w:rsid w:val="00AE19A3"/>
    <w:rsid w:val="00AE26EC"/>
    <w:rsid w:val="00AE337F"/>
    <w:rsid w:val="00AE54AE"/>
    <w:rsid w:val="00AE58B5"/>
    <w:rsid w:val="00AE6BEE"/>
    <w:rsid w:val="00AE7CD6"/>
    <w:rsid w:val="00AF2EC5"/>
    <w:rsid w:val="00AF3420"/>
    <w:rsid w:val="00AF3888"/>
    <w:rsid w:val="00AF3AF0"/>
    <w:rsid w:val="00AF403A"/>
    <w:rsid w:val="00AF4632"/>
    <w:rsid w:val="00AF54FC"/>
    <w:rsid w:val="00AF5B0C"/>
    <w:rsid w:val="00AF5CA8"/>
    <w:rsid w:val="00AF6774"/>
    <w:rsid w:val="00B00827"/>
    <w:rsid w:val="00B0100A"/>
    <w:rsid w:val="00B0269B"/>
    <w:rsid w:val="00B03BB1"/>
    <w:rsid w:val="00B040C6"/>
    <w:rsid w:val="00B04503"/>
    <w:rsid w:val="00B04C1A"/>
    <w:rsid w:val="00B05331"/>
    <w:rsid w:val="00B05471"/>
    <w:rsid w:val="00B07E6B"/>
    <w:rsid w:val="00B10C26"/>
    <w:rsid w:val="00B12B13"/>
    <w:rsid w:val="00B17BC9"/>
    <w:rsid w:val="00B20716"/>
    <w:rsid w:val="00B21D62"/>
    <w:rsid w:val="00B22459"/>
    <w:rsid w:val="00B22D99"/>
    <w:rsid w:val="00B230FD"/>
    <w:rsid w:val="00B24F78"/>
    <w:rsid w:val="00B25F9D"/>
    <w:rsid w:val="00B26991"/>
    <w:rsid w:val="00B270BA"/>
    <w:rsid w:val="00B276BE"/>
    <w:rsid w:val="00B27F49"/>
    <w:rsid w:val="00B30523"/>
    <w:rsid w:val="00B32C1F"/>
    <w:rsid w:val="00B3367C"/>
    <w:rsid w:val="00B33F89"/>
    <w:rsid w:val="00B35D52"/>
    <w:rsid w:val="00B37F60"/>
    <w:rsid w:val="00B4143A"/>
    <w:rsid w:val="00B421E1"/>
    <w:rsid w:val="00B423C5"/>
    <w:rsid w:val="00B43742"/>
    <w:rsid w:val="00B445AD"/>
    <w:rsid w:val="00B460F5"/>
    <w:rsid w:val="00B46596"/>
    <w:rsid w:val="00B510C1"/>
    <w:rsid w:val="00B51537"/>
    <w:rsid w:val="00B5181A"/>
    <w:rsid w:val="00B52A1E"/>
    <w:rsid w:val="00B556B2"/>
    <w:rsid w:val="00B556FA"/>
    <w:rsid w:val="00B56761"/>
    <w:rsid w:val="00B57568"/>
    <w:rsid w:val="00B6089F"/>
    <w:rsid w:val="00B616D2"/>
    <w:rsid w:val="00B640BC"/>
    <w:rsid w:val="00B64AE1"/>
    <w:rsid w:val="00B64BD5"/>
    <w:rsid w:val="00B66434"/>
    <w:rsid w:val="00B677CF"/>
    <w:rsid w:val="00B702EC"/>
    <w:rsid w:val="00B71728"/>
    <w:rsid w:val="00B72160"/>
    <w:rsid w:val="00B73A44"/>
    <w:rsid w:val="00B81D15"/>
    <w:rsid w:val="00B857FC"/>
    <w:rsid w:val="00B87B08"/>
    <w:rsid w:val="00B92451"/>
    <w:rsid w:val="00B92763"/>
    <w:rsid w:val="00B92B44"/>
    <w:rsid w:val="00B94286"/>
    <w:rsid w:val="00B94594"/>
    <w:rsid w:val="00B94A27"/>
    <w:rsid w:val="00B94FF4"/>
    <w:rsid w:val="00B9540E"/>
    <w:rsid w:val="00B95A35"/>
    <w:rsid w:val="00B95CD9"/>
    <w:rsid w:val="00B97582"/>
    <w:rsid w:val="00BA02EB"/>
    <w:rsid w:val="00BA10BC"/>
    <w:rsid w:val="00BA2A44"/>
    <w:rsid w:val="00BA3035"/>
    <w:rsid w:val="00BA3933"/>
    <w:rsid w:val="00BA6F02"/>
    <w:rsid w:val="00BB098C"/>
    <w:rsid w:val="00BB0C04"/>
    <w:rsid w:val="00BB5A4B"/>
    <w:rsid w:val="00BB5C0F"/>
    <w:rsid w:val="00BB5CC9"/>
    <w:rsid w:val="00BB6541"/>
    <w:rsid w:val="00BC07E0"/>
    <w:rsid w:val="00BC0EF6"/>
    <w:rsid w:val="00BC2D36"/>
    <w:rsid w:val="00BC340F"/>
    <w:rsid w:val="00BC4FBD"/>
    <w:rsid w:val="00BC7943"/>
    <w:rsid w:val="00BD16FD"/>
    <w:rsid w:val="00BD1BE7"/>
    <w:rsid w:val="00BD3269"/>
    <w:rsid w:val="00BD327D"/>
    <w:rsid w:val="00BD346E"/>
    <w:rsid w:val="00BD389F"/>
    <w:rsid w:val="00BD4127"/>
    <w:rsid w:val="00BD465E"/>
    <w:rsid w:val="00BD4A24"/>
    <w:rsid w:val="00BD6208"/>
    <w:rsid w:val="00BD62E9"/>
    <w:rsid w:val="00BD6552"/>
    <w:rsid w:val="00BD71F6"/>
    <w:rsid w:val="00BD721F"/>
    <w:rsid w:val="00BE06B4"/>
    <w:rsid w:val="00BE1F05"/>
    <w:rsid w:val="00BE2697"/>
    <w:rsid w:val="00BE54CA"/>
    <w:rsid w:val="00BE5796"/>
    <w:rsid w:val="00BE641A"/>
    <w:rsid w:val="00BE6918"/>
    <w:rsid w:val="00BE6D08"/>
    <w:rsid w:val="00BE78BA"/>
    <w:rsid w:val="00BF030C"/>
    <w:rsid w:val="00BF0DFF"/>
    <w:rsid w:val="00BF154D"/>
    <w:rsid w:val="00BF5E1E"/>
    <w:rsid w:val="00BF5F4A"/>
    <w:rsid w:val="00BF6BDD"/>
    <w:rsid w:val="00BF789C"/>
    <w:rsid w:val="00BF7EBE"/>
    <w:rsid w:val="00C01F04"/>
    <w:rsid w:val="00C02596"/>
    <w:rsid w:val="00C04862"/>
    <w:rsid w:val="00C05CAB"/>
    <w:rsid w:val="00C060A3"/>
    <w:rsid w:val="00C079E5"/>
    <w:rsid w:val="00C10A45"/>
    <w:rsid w:val="00C11196"/>
    <w:rsid w:val="00C11BEC"/>
    <w:rsid w:val="00C12AF4"/>
    <w:rsid w:val="00C12F48"/>
    <w:rsid w:val="00C13C33"/>
    <w:rsid w:val="00C161A1"/>
    <w:rsid w:val="00C21554"/>
    <w:rsid w:val="00C237BA"/>
    <w:rsid w:val="00C243FE"/>
    <w:rsid w:val="00C251E9"/>
    <w:rsid w:val="00C26204"/>
    <w:rsid w:val="00C27429"/>
    <w:rsid w:val="00C27B6C"/>
    <w:rsid w:val="00C31E5C"/>
    <w:rsid w:val="00C33725"/>
    <w:rsid w:val="00C35D2B"/>
    <w:rsid w:val="00C36F9F"/>
    <w:rsid w:val="00C4061F"/>
    <w:rsid w:val="00C42BCC"/>
    <w:rsid w:val="00C44AD8"/>
    <w:rsid w:val="00C44E28"/>
    <w:rsid w:val="00C456E8"/>
    <w:rsid w:val="00C46502"/>
    <w:rsid w:val="00C47F58"/>
    <w:rsid w:val="00C50DC0"/>
    <w:rsid w:val="00C519D2"/>
    <w:rsid w:val="00C52FBC"/>
    <w:rsid w:val="00C53471"/>
    <w:rsid w:val="00C55645"/>
    <w:rsid w:val="00C57139"/>
    <w:rsid w:val="00C571B9"/>
    <w:rsid w:val="00C5796A"/>
    <w:rsid w:val="00C579E6"/>
    <w:rsid w:val="00C60540"/>
    <w:rsid w:val="00C62484"/>
    <w:rsid w:val="00C62558"/>
    <w:rsid w:val="00C62849"/>
    <w:rsid w:val="00C62A45"/>
    <w:rsid w:val="00C63366"/>
    <w:rsid w:val="00C648BB"/>
    <w:rsid w:val="00C67084"/>
    <w:rsid w:val="00C70D38"/>
    <w:rsid w:val="00C72D30"/>
    <w:rsid w:val="00C72FCD"/>
    <w:rsid w:val="00C732A2"/>
    <w:rsid w:val="00C73E6F"/>
    <w:rsid w:val="00C77ED1"/>
    <w:rsid w:val="00C80C44"/>
    <w:rsid w:val="00C8108C"/>
    <w:rsid w:val="00C8635D"/>
    <w:rsid w:val="00C8688D"/>
    <w:rsid w:val="00C87EDD"/>
    <w:rsid w:val="00C902D7"/>
    <w:rsid w:val="00C90D97"/>
    <w:rsid w:val="00C91946"/>
    <w:rsid w:val="00C9332A"/>
    <w:rsid w:val="00C94882"/>
    <w:rsid w:val="00C95D91"/>
    <w:rsid w:val="00C974B2"/>
    <w:rsid w:val="00C974E2"/>
    <w:rsid w:val="00C97E24"/>
    <w:rsid w:val="00CA0AE3"/>
    <w:rsid w:val="00CA0D0C"/>
    <w:rsid w:val="00CA39EA"/>
    <w:rsid w:val="00CA3B30"/>
    <w:rsid w:val="00CA4256"/>
    <w:rsid w:val="00CA42B7"/>
    <w:rsid w:val="00CA5A8B"/>
    <w:rsid w:val="00CB05AA"/>
    <w:rsid w:val="00CB1AC3"/>
    <w:rsid w:val="00CB1DA9"/>
    <w:rsid w:val="00CB1FCF"/>
    <w:rsid w:val="00CB2000"/>
    <w:rsid w:val="00CB2139"/>
    <w:rsid w:val="00CB30C9"/>
    <w:rsid w:val="00CB4574"/>
    <w:rsid w:val="00CB56C5"/>
    <w:rsid w:val="00CB69CA"/>
    <w:rsid w:val="00CB72F1"/>
    <w:rsid w:val="00CB7B1F"/>
    <w:rsid w:val="00CC1AEA"/>
    <w:rsid w:val="00CC2228"/>
    <w:rsid w:val="00CC2D5E"/>
    <w:rsid w:val="00CC3DCA"/>
    <w:rsid w:val="00CC4D1E"/>
    <w:rsid w:val="00CC529D"/>
    <w:rsid w:val="00CC5596"/>
    <w:rsid w:val="00CC5B36"/>
    <w:rsid w:val="00CC5E82"/>
    <w:rsid w:val="00CC61F7"/>
    <w:rsid w:val="00CC6A80"/>
    <w:rsid w:val="00CC6D44"/>
    <w:rsid w:val="00CC776B"/>
    <w:rsid w:val="00CD018B"/>
    <w:rsid w:val="00CD0F31"/>
    <w:rsid w:val="00CD1386"/>
    <w:rsid w:val="00CD2136"/>
    <w:rsid w:val="00CD2C9E"/>
    <w:rsid w:val="00CD4960"/>
    <w:rsid w:val="00CD4CD0"/>
    <w:rsid w:val="00CD5020"/>
    <w:rsid w:val="00CD5D08"/>
    <w:rsid w:val="00CE1355"/>
    <w:rsid w:val="00CE1846"/>
    <w:rsid w:val="00CE25EB"/>
    <w:rsid w:val="00CE3033"/>
    <w:rsid w:val="00CE433E"/>
    <w:rsid w:val="00CE4A6F"/>
    <w:rsid w:val="00CE53B3"/>
    <w:rsid w:val="00CE54C9"/>
    <w:rsid w:val="00CE7395"/>
    <w:rsid w:val="00CF3325"/>
    <w:rsid w:val="00CF3838"/>
    <w:rsid w:val="00CF402B"/>
    <w:rsid w:val="00CF4176"/>
    <w:rsid w:val="00CF41E8"/>
    <w:rsid w:val="00CF4549"/>
    <w:rsid w:val="00CF463C"/>
    <w:rsid w:val="00CF6906"/>
    <w:rsid w:val="00CF6E24"/>
    <w:rsid w:val="00CF7A8B"/>
    <w:rsid w:val="00D00253"/>
    <w:rsid w:val="00D00C7C"/>
    <w:rsid w:val="00D01191"/>
    <w:rsid w:val="00D05B66"/>
    <w:rsid w:val="00D10C2B"/>
    <w:rsid w:val="00D11AF0"/>
    <w:rsid w:val="00D122DB"/>
    <w:rsid w:val="00D13197"/>
    <w:rsid w:val="00D16DE6"/>
    <w:rsid w:val="00D1771B"/>
    <w:rsid w:val="00D179C5"/>
    <w:rsid w:val="00D2027C"/>
    <w:rsid w:val="00D21684"/>
    <w:rsid w:val="00D21F7A"/>
    <w:rsid w:val="00D26C00"/>
    <w:rsid w:val="00D309D8"/>
    <w:rsid w:val="00D315F2"/>
    <w:rsid w:val="00D31FC1"/>
    <w:rsid w:val="00D3268C"/>
    <w:rsid w:val="00D33843"/>
    <w:rsid w:val="00D34FAE"/>
    <w:rsid w:val="00D36CA4"/>
    <w:rsid w:val="00D36EFD"/>
    <w:rsid w:val="00D37C9B"/>
    <w:rsid w:val="00D40D72"/>
    <w:rsid w:val="00D41562"/>
    <w:rsid w:val="00D418FC"/>
    <w:rsid w:val="00D420AE"/>
    <w:rsid w:val="00D424AE"/>
    <w:rsid w:val="00D43A75"/>
    <w:rsid w:val="00D45909"/>
    <w:rsid w:val="00D45A54"/>
    <w:rsid w:val="00D47158"/>
    <w:rsid w:val="00D50621"/>
    <w:rsid w:val="00D50D8A"/>
    <w:rsid w:val="00D529D2"/>
    <w:rsid w:val="00D53AAF"/>
    <w:rsid w:val="00D54315"/>
    <w:rsid w:val="00D545A7"/>
    <w:rsid w:val="00D5498D"/>
    <w:rsid w:val="00D54B23"/>
    <w:rsid w:val="00D560C6"/>
    <w:rsid w:val="00D56478"/>
    <w:rsid w:val="00D60855"/>
    <w:rsid w:val="00D63052"/>
    <w:rsid w:val="00D66DFE"/>
    <w:rsid w:val="00D705BB"/>
    <w:rsid w:val="00D70AEA"/>
    <w:rsid w:val="00D70E23"/>
    <w:rsid w:val="00D7319F"/>
    <w:rsid w:val="00D74143"/>
    <w:rsid w:val="00D74289"/>
    <w:rsid w:val="00D80DC7"/>
    <w:rsid w:val="00D81AA7"/>
    <w:rsid w:val="00D825A8"/>
    <w:rsid w:val="00D835E4"/>
    <w:rsid w:val="00D83EA9"/>
    <w:rsid w:val="00D85F4D"/>
    <w:rsid w:val="00D860E4"/>
    <w:rsid w:val="00D86304"/>
    <w:rsid w:val="00D91D0F"/>
    <w:rsid w:val="00D9217E"/>
    <w:rsid w:val="00D931A8"/>
    <w:rsid w:val="00D95236"/>
    <w:rsid w:val="00D9557E"/>
    <w:rsid w:val="00D96388"/>
    <w:rsid w:val="00D96A74"/>
    <w:rsid w:val="00D96B4F"/>
    <w:rsid w:val="00D9702F"/>
    <w:rsid w:val="00D97554"/>
    <w:rsid w:val="00D978D2"/>
    <w:rsid w:val="00DA1A48"/>
    <w:rsid w:val="00DA2125"/>
    <w:rsid w:val="00DA2D78"/>
    <w:rsid w:val="00DA3606"/>
    <w:rsid w:val="00DA4557"/>
    <w:rsid w:val="00DA4697"/>
    <w:rsid w:val="00DA48A3"/>
    <w:rsid w:val="00DA4C64"/>
    <w:rsid w:val="00DA7EC7"/>
    <w:rsid w:val="00DB1930"/>
    <w:rsid w:val="00DB23F8"/>
    <w:rsid w:val="00DB31CB"/>
    <w:rsid w:val="00DB3F85"/>
    <w:rsid w:val="00DB522F"/>
    <w:rsid w:val="00DB6527"/>
    <w:rsid w:val="00DC0D59"/>
    <w:rsid w:val="00DC1921"/>
    <w:rsid w:val="00DC2EEB"/>
    <w:rsid w:val="00DC3B2F"/>
    <w:rsid w:val="00DC54B2"/>
    <w:rsid w:val="00DD038A"/>
    <w:rsid w:val="00DD104F"/>
    <w:rsid w:val="00DD121B"/>
    <w:rsid w:val="00DD16DF"/>
    <w:rsid w:val="00DD2F22"/>
    <w:rsid w:val="00DD3F0E"/>
    <w:rsid w:val="00DD5641"/>
    <w:rsid w:val="00DD69CC"/>
    <w:rsid w:val="00DD7BCC"/>
    <w:rsid w:val="00DE027E"/>
    <w:rsid w:val="00DE0A34"/>
    <w:rsid w:val="00DE10E8"/>
    <w:rsid w:val="00DE1402"/>
    <w:rsid w:val="00DE2477"/>
    <w:rsid w:val="00DE2B8A"/>
    <w:rsid w:val="00DE304A"/>
    <w:rsid w:val="00DE4914"/>
    <w:rsid w:val="00DE4D30"/>
    <w:rsid w:val="00DE545A"/>
    <w:rsid w:val="00DE6C09"/>
    <w:rsid w:val="00DE74FF"/>
    <w:rsid w:val="00DF1D2C"/>
    <w:rsid w:val="00DF37D5"/>
    <w:rsid w:val="00DF45C4"/>
    <w:rsid w:val="00DF4A38"/>
    <w:rsid w:val="00DF556D"/>
    <w:rsid w:val="00DF62D9"/>
    <w:rsid w:val="00E009A4"/>
    <w:rsid w:val="00E00AD5"/>
    <w:rsid w:val="00E0125C"/>
    <w:rsid w:val="00E027B5"/>
    <w:rsid w:val="00E02C3A"/>
    <w:rsid w:val="00E04053"/>
    <w:rsid w:val="00E0449C"/>
    <w:rsid w:val="00E04598"/>
    <w:rsid w:val="00E04E9F"/>
    <w:rsid w:val="00E05238"/>
    <w:rsid w:val="00E07022"/>
    <w:rsid w:val="00E11F6C"/>
    <w:rsid w:val="00E13E6E"/>
    <w:rsid w:val="00E14700"/>
    <w:rsid w:val="00E15A16"/>
    <w:rsid w:val="00E15AC7"/>
    <w:rsid w:val="00E15F4F"/>
    <w:rsid w:val="00E16163"/>
    <w:rsid w:val="00E17347"/>
    <w:rsid w:val="00E17B62"/>
    <w:rsid w:val="00E20519"/>
    <w:rsid w:val="00E20905"/>
    <w:rsid w:val="00E22FBA"/>
    <w:rsid w:val="00E23D17"/>
    <w:rsid w:val="00E24794"/>
    <w:rsid w:val="00E2485B"/>
    <w:rsid w:val="00E2497E"/>
    <w:rsid w:val="00E26248"/>
    <w:rsid w:val="00E264E7"/>
    <w:rsid w:val="00E2796A"/>
    <w:rsid w:val="00E302B5"/>
    <w:rsid w:val="00E304DB"/>
    <w:rsid w:val="00E32709"/>
    <w:rsid w:val="00E32E03"/>
    <w:rsid w:val="00E3385C"/>
    <w:rsid w:val="00E35018"/>
    <w:rsid w:val="00E3612E"/>
    <w:rsid w:val="00E41124"/>
    <w:rsid w:val="00E43A86"/>
    <w:rsid w:val="00E43DD1"/>
    <w:rsid w:val="00E44096"/>
    <w:rsid w:val="00E468C1"/>
    <w:rsid w:val="00E46D7F"/>
    <w:rsid w:val="00E47951"/>
    <w:rsid w:val="00E503CF"/>
    <w:rsid w:val="00E505CD"/>
    <w:rsid w:val="00E52B71"/>
    <w:rsid w:val="00E52BA4"/>
    <w:rsid w:val="00E53712"/>
    <w:rsid w:val="00E546E9"/>
    <w:rsid w:val="00E555B9"/>
    <w:rsid w:val="00E5660F"/>
    <w:rsid w:val="00E56EBB"/>
    <w:rsid w:val="00E575AA"/>
    <w:rsid w:val="00E6087A"/>
    <w:rsid w:val="00E6138F"/>
    <w:rsid w:val="00E63140"/>
    <w:rsid w:val="00E63198"/>
    <w:rsid w:val="00E63A21"/>
    <w:rsid w:val="00E664BB"/>
    <w:rsid w:val="00E66926"/>
    <w:rsid w:val="00E712E8"/>
    <w:rsid w:val="00E71D75"/>
    <w:rsid w:val="00E762AB"/>
    <w:rsid w:val="00E77A22"/>
    <w:rsid w:val="00E80FBC"/>
    <w:rsid w:val="00E820AA"/>
    <w:rsid w:val="00E85395"/>
    <w:rsid w:val="00E91D2B"/>
    <w:rsid w:val="00E9266D"/>
    <w:rsid w:val="00E927CC"/>
    <w:rsid w:val="00E92A76"/>
    <w:rsid w:val="00E94C7E"/>
    <w:rsid w:val="00E9741C"/>
    <w:rsid w:val="00E97A07"/>
    <w:rsid w:val="00E97C11"/>
    <w:rsid w:val="00EA105C"/>
    <w:rsid w:val="00EA2DAD"/>
    <w:rsid w:val="00EA3658"/>
    <w:rsid w:val="00EA38B7"/>
    <w:rsid w:val="00EA48E8"/>
    <w:rsid w:val="00EA4E8B"/>
    <w:rsid w:val="00EA7FFE"/>
    <w:rsid w:val="00EB16BE"/>
    <w:rsid w:val="00EB31E9"/>
    <w:rsid w:val="00EB3AEB"/>
    <w:rsid w:val="00EB4353"/>
    <w:rsid w:val="00EB67F6"/>
    <w:rsid w:val="00EB6E3D"/>
    <w:rsid w:val="00EB74E8"/>
    <w:rsid w:val="00EB78EA"/>
    <w:rsid w:val="00EC1A0D"/>
    <w:rsid w:val="00EC3553"/>
    <w:rsid w:val="00EC3992"/>
    <w:rsid w:val="00EC3D44"/>
    <w:rsid w:val="00EC45EB"/>
    <w:rsid w:val="00EC5661"/>
    <w:rsid w:val="00EC57AF"/>
    <w:rsid w:val="00EC621B"/>
    <w:rsid w:val="00ED0668"/>
    <w:rsid w:val="00ED07DB"/>
    <w:rsid w:val="00ED1B41"/>
    <w:rsid w:val="00ED2321"/>
    <w:rsid w:val="00ED2EAD"/>
    <w:rsid w:val="00ED343D"/>
    <w:rsid w:val="00ED5061"/>
    <w:rsid w:val="00ED582D"/>
    <w:rsid w:val="00ED5D1B"/>
    <w:rsid w:val="00ED7D02"/>
    <w:rsid w:val="00EE04CC"/>
    <w:rsid w:val="00EE0A72"/>
    <w:rsid w:val="00EE1148"/>
    <w:rsid w:val="00EE2B3B"/>
    <w:rsid w:val="00EE4980"/>
    <w:rsid w:val="00EE5D33"/>
    <w:rsid w:val="00EE6594"/>
    <w:rsid w:val="00EE65A8"/>
    <w:rsid w:val="00EE6688"/>
    <w:rsid w:val="00EF1425"/>
    <w:rsid w:val="00EF1BE6"/>
    <w:rsid w:val="00EF20E1"/>
    <w:rsid w:val="00EF272E"/>
    <w:rsid w:val="00EF34E7"/>
    <w:rsid w:val="00EF43D5"/>
    <w:rsid w:val="00F02293"/>
    <w:rsid w:val="00F02D54"/>
    <w:rsid w:val="00F04AE0"/>
    <w:rsid w:val="00F04B02"/>
    <w:rsid w:val="00F04B3B"/>
    <w:rsid w:val="00F0556E"/>
    <w:rsid w:val="00F075E3"/>
    <w:rsid w:val="00F07B89"/>
    <w:rsid w:val="00F10802"/>
    <w:rsid w:val="00F108C7"/>
    <w:rsid w:val="00F10A94"/>
    <w:rsid w:val="00F12391"/>
    <w:rsid w:val="00F135C8"/>
    <w:rsid w:val="00F13967"/>
    <w:rsid w:val="00F1608C"/>
    <w:rsid w:val="00F172A4"/>
    <w:rsid w:val="00F21829"/>
    <w:rsid w:val="00F21F20"/>
    <w:rsid w:val="00F2307E"/>
    <w:rsid w:val="00F23D09"/>
    <w:rsid w:val="00F23D6F"/>
    <w:rsid w:val="00F241FA"/>
    <w:rsid w:val="00F24407"/>
    <w:rsid w:val="00F24451"/>
    <w:rsid w:val="00F246B8"/>
    <w:rsid w:val="00F24A5F"/>
    <w:rsid w:val="00F25657"/>
    <w:rsid w:val="00F26715"/>
    <w:rsid w:val="00F31442"/>
    <w:rsid w:val="00F3148D"/>
    <w:rsid w:val="00F3156E"/>
    <w:rsid w:val="00F335CE"/>
    <w:rsid w:val="00F35D57"/>
    <w:rsid w:val="00F41C78"/>
    <w:rsid w:val="00F42673"/>
    <w:rsid w:val="00F42D6C"/>
    <w:rsid w:val="00F42FF2"/>
    <w:rsid w:val="00F43661"/>
    <w:rsid w:val="00F43B36"/>
    <w:rsid w:val="00F448B6"/>
    <w:rsid w:val="00F44AB1"/>
    <w:rsid w:val="00F46611"/>
    <w:rsid w:val="00F547CA"/>
    <w:rsid w:val="00F5499D"/>
    <w:rsid w:val="00F55911"/>
    <w:rsid w:val="00F560D8"/>
    <w:rsid w:val="00F57484"/>
    <w:rsid w:val="00F57AC8"/>
    <w:rsid w:val="00F60086"/>
    <w:rsid w:val="00F601D0"/>
    <w:rsid w:val="00F611CA"/>
    <w:rsid w:val="00F61439"/>
    <w:rsid w:val="00F633B5"/>
    <w:rsid w:val="00F64678"/>
    <w:rsid w:val="00F64749"/>
    <w:rsid w:val="00F65F38"/>
    <w:rsid w:val="00F67B53"/>
    <w:rsid w:val="00F70680"/>
    <w:rsid w:val="00F71B90"/>
    <w:rsid w:val="00F71BA2"/>
    <w:rsid w:val="00F72CEE"/>
    <w:rsid w:val="00F72E8A"/>
    <w:rsid w:val="00F730CB"/>
    <w:rsid w:val="00F732AF"/>
    <w:rsid w:val="00F80CA1"/>
    <w:rsid w:val="00F81BA7"/>
    <w:rsid w:val="00F82C50"/>
    <w:rsid w:val="00F82D4B"/>
    <w:rsid w:val="00F85317"/>
    <w:rsid w:val="00F8678C"/>
    <w:rsid w:val="00F90ABB"/>
    <w:rsid w:val="00F9368B"/>
    <w:rsid w:val="00F944CE"/>
    <w:rsid w:val="00F966C4"/>
    <w:rsid w:val="00FA27FA"/>
    <w:rsid w:val="00FA48D8"/>
    <w:rsid w:val="00FA7996"/>
    <w:rsid w:val="00FB047F"/>
    <w:rsid w:val="00FB0777"/>
    <w:rsid w:val="00FB2F5F"/>
    <w:rsid w:val="00FB38E0"/>
    <w:rsid w:val="00FB6E86"/>
    <w:rsid w:val="00FC0A3C"/>
    <w:rsid w:val="00FC1077"/>
    <w:rsid w:val="00FC58EA"/>
    <w:rsid w:val="00FC5F2D"/>
    <w:rsid w:val="00FD0FF0"/>
    <w:rsid w:val="00FD2916"/>
    <w:rsid w:val="00FD2B72"/>
    <w:rsid w:val="00FD3303"/>
    <w:rsid w:val="00FD5D66"/>
    <w:rsid w:val="00FD603C"/>
    <w:rsid w:val="00FD6534"/>
    <w:rsid w:val="00FE1369"/>
    <w:rsid w:val="00FE1B21"/>
    <w:rsid w:val="00FE1C72"/>
    <w:rsid w:val="00FE472C"/>
    <w:rsid w:val="00FF442D"/>
    <w:rsid w:val="00FF44B7"/>
    <w:rsid w:val="00FF4EB4"/>
    <w:rsid w:val="00FF58C0"/>
    <w:rsid w:val="00FF59A2"/>
    <w:rsid w:val="00FF5D25"/>
    <w:rsid w:val="00FF633A"/>
    <w:rsid w:val="00FF666C"/>
    <w:rsid w:val="00FF7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8129"/>
    <o:shapelayout v:ext="edit">
      <o:idmap v:ext="edit" data="1"/>
    </o:shapelayout>
  </w:shapeDefaults>
  <w:decimalSymbol w:val="."/>
  <w:listSeparator w:val=","/>
  <w14:docId w14:val="01ECC18B"/>
  <w15:docId w15:val="{B07FBA9D-B69D-4244-928A-0755C5B61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F22"/>
  </w:style>
  <w:style w:type="paragraph" w:styleId="Heading1">
    <w:name w:val="heading 1"/>
    <w:basedOn w:val="Normal"/>
    <w:next w:val="Normal"/>
    <w:link w:val="Heading1Char"/>
    <w:uiPriority w:val="9"/>
    <w:qFormat/>
    <w:rsid w:val="000D3F22"/>
    <w:pPr>
      <w:keepNext/>
      <w:keepLines/>
      <w:numPr>
        <w:numId w:val="4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3F22"/>
    <w:pPr>
      <w:keepNext/>
      <w:keepLines/>
      <w:numPr>
        <w:ilvl w:val="1"/>
        <w:numId w:val="4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0D3F22"/>
    <w:pPr>
      <w:keepNext/>
      <w:keepLines/>
      <w:numPr>
        <w:ilvl w:val="2"/>
        <w:numId w:val="4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0D3F22"/>
    <w:pPr>
      <w:keepNext/>
      <w:keepLines/>
      <w:numPr>
        <w:ilvl w:val="3"/>
        <w:numId w:val="4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0D3F22"/>
    <w:pPr>
      <w:keepNext/>
      <w:keepLines/>
      <w:numPr>
        <w:ilvl w:val="4"/>
        <w:numId w:val="4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0D3F22"/>
    <w:pPr>
      <w:keepNext/>
      <w:keepLines/>
      <w:numPr>
        <w:ilvl w:val="5"/>
        <w:numId w:val="4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0D3F22"/>
    <w:pPr>
      <w:keepNext/>
      <w:keepLines/>
      <w:numPr>
        <w:ilvl w:val="6"/>
        <w:numId w:val="4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0D3F22"/>
    <w:pPr>
      <w:keepNext/>
      <w:keepLines/>
      <w:numPr>
        <w:ilvl w:val="7"/>
        <w:numId w:val="41"/>
      </w:numPr>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unhideWhenUsed/>
    <w:qFormat/>
    <w:rsid w:val="000D3F22"/>
    <w:pPr>
      <w:keepNext/>
      <w:keepLines/>
      <w:numPr>
        <w:ilvl w:val="8"/>
        <w:numId w:val="4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8218E"/>
    <w:pPr>
      <w:numPr>
        <w:numId w:val="1"/>
      </w:numPr>
    </w:pPr>
  </w:style>
  <w:style w:type="numbering" w:styleId="1ai">
    <w:name w:val="Outline List 1"/>
    <w:basedOn w:val="NoList"/>
    <w:rsid w:val="0098218E"/>
    <w:pPr>
      <w:numPr>
        <w:numId w:val="2"/>
      </w:numPr>
    </w:pPr>
  </w:style>
  <w:style w:type="paragraph" w:customStyle="1" w:styleId="AddressBlock">
    <w:name w:val="Address Block"/>
    <w:basedOn w:val="Normal"/>
    <w:rsid w:val="0098218E"/>
    <w:pPr>
      <w:spacing w:after="0"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rsid w:val="0098218E"/>
    <w:pPr>
      <w:spacing w:after="0"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rsid w:val="0098218E"/>
    <w:rPr>
      <w:rFonts w:asciiTheme="majorHAnsi" w:eastAsia="MS PGothic" w:hAnsiTheme="majorHAnsi" w:cstheme="majorHAnsi"/>
      <w:b/>
      <w:bCs/>
      <w:caps/>
      <w:sz w:val="14"/>
      <w:szCs w:val="14"/>
      <w:lang w:val="en-GB"/>
    </w:rPr>
  </w:style>
  <w:style w:type="numbering" w:customStyle="1" w:styleId="AppendicesList">
    <w:name w:val="Appendices List"/>
    <w:uiPriority w:val="99"/>
    <w:rsid w:val="0098218E"/>
    <w:pPr>
      <w:numPr>
        <w:numId w:val="3"/>
      </w:numPr>
    </w:pPr>
  </w:style>
  <w:style w:type="character" w:customStyle="1" w:styleId="Heading1Char">
    <w:name w:val="Heading 1 Char"/>
    <w:basedOn w:val="DefaultParagraphFont"/>
    <w:link w:val="Heading1"/>
    <w:uiPriority w:val="9"/>
    <w:rsid w:val="000D3F2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0D3F22"/>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0D3F2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0D3F2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0D3F2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0D3F2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D3F2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0D3F22"/>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0D3F22"/>
    <w:rPr>
      <w:rFonts w:asciiTheme="majorHAnsi" w:eastAsiaTheme="majorEastAsia" w:hAnsiTheme="majorHAnsi" w:cstheme="majorBidi"/>
      <w:i/>
      <w:iCs/>
      <w:color w:val="404040" w:themeColor="text1" w:themeTint="BF"/>
      <w:sz w:val="20"/>
      <w:szCs w:val="20"/>
    </w:rPr>
  </w:style>
  <w:style w:type="numbering" w:styleId="ArticleSection">
    <w:name w:val="Outline List 3"/>
    <w:basedOn w:val="NoList"/>
    <w:rsid w:val="0098218E"/>
    <w:pPr>
      <w:numPr>
        <w:numId w:val="4"/>
      </w:numPr>
    </w:pPr>
  </w:style>
  <w:style w:type="paragraph" w:styleId="BalloonText">
    <w:name w:val="Balloon Text"/>
    <w:basedOn w:val="Normal"/>
    <w:link w:val="BalloonTextChar"/>
    <w:rsid w:val="0098218E"/>
    <w:pPr>
      <w:spacing w:after="0"/>
    </w:pPr>
    <w:rPr>
      <w:rFonts w:ascii="Tahoma" w:hAnsi="Tahoma" w:cs="Tahoma"/>
      <w:sz w:val="16"/>
      <w:szCs w:val="16"/>
    </w:rPr>
  </w:style>
  <w:style w:type="character" w:customStyle="1" w:styleId="BalloonTextChar">
    <w:name w:val="Balloon Text Char"/>
    <w:basedOn w:val="DefaultParagraphFont"/>
    <w:link w:val="BalloonText"/>
    <w:rsid w:val="0098218E"/>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98218E"/>
  </w:style>
  <w:style w:type="paragraph" w:styleId="BlockText">
    <w:name w:val="Block Text"/>
    <w:basedOn w:val="Normal"/>
    <w:rsid w:val="0098218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rsid w:val="0098218E"/>
  </w:style>
  <w:style w:type="character" w:customStyle="1" w:styleId="BodyTextChar">
    <w:name w:val="Body Text Char"/>
    <w:basedOn w:val="DefaultParagraphFont"/>
    <w:link w:val="BodyText"/>
    <w:rsid w:val="0098218E"/>
    <w:rPr>
      <w:rFonts w:eastAsiaTheme="minorEastAsia"/>
      <w:sz w:val="24"/>
      <w:szCs w:val="24"/>
      <w:lang w:val="en-GB" w:eastAsia="ja-JP"/>
    </w:rPr>
  </w:style>
  <w:style w:type="paragraph" w:styleId="BodyText2">
    <w:name w:val="Body Text 2"/>
    <w:basedOn w:val="Normal"/>
    <w:link w:val="BodyText2Char"/>
    <w:rsid w:val="0098218E"/>
    <w:pPr>
      <w:spacing w:line="480" w:lineRule="auto"/>
    </w:pPr>
  </w:style>
  <w:style w:type="character" w:customStyle="1" w:styleId="BodyText2Char">
    <w:name w:val="Body Text 2 Char"/>
    <w:basedOn w:val="DefaultParagraphFont"/>
    <w:link w:val="BodyText2"/>
    <w:rsid w:val="0098218E"/>
    <w:rPr>
      <w:rFonts w:eastAsiaTheme="minorEastAsia"/>
      <w:sz w:val="24"/>
      <w:szCs w:val="24"/>
      <w:lang w:val="en-GB" w:eastAsia="ja-JP"/>
    </w:rPr>
  </w:style>
  <w:style w:type="paragraph" w:styleId="BodyText3">
    <w:name w:val="Body Text 3"/>
    <w:basedOn w:val="Normal"/>
    <w:link w:val="BodyText3Char"/>
    <w:rsid w:val="0098218E"/>
    <w:rPr>
      <w:sz w:val="16"/>
      <w:szCs w:val="16"/>
    </w:rPr>
  </w:style>
  <w:style w:type="character" w:customStyle="1" w:styleId="BodyText3Char">
    <w:name w:val="Body Text 3 Char"/>
    <w:basedOn w:val="DefaultParagraphFont"/>
    <w:link w:val="BodyText3"/>
    <w:rsid w:val="0098218E"/>
    <w:rPr>
      <w:rFonts w:eastAsiaTheme="minorEastAsia"/>
      <w:sz w:val="16"/>
      <w:szCs w:val="16"/>
      <w:lang w:val="en-GB" w:eastAsia="ja-JP"/>
    </w:rPr>
  </w:style>
  <w:style w:type="paragraph" w:styleId="BodyTextFirstIndent">
    <w:name w:val="Body Text First Indent"/>
    <w:basedOn w:val="BodyText"/>
    <w:link w:val="BodyTextFirstIndentChar"/>
    <w:rsid w:val="0098218E"/>
    <w:pPr>
      <w:ind w:firstLine="360"/>
    </w:pPr>
  </w:style>
  <w:style w:type="character" w:customStyle="1" w:styleId="BodyTextFirstIndentChar">
    <w:name w:val="Body Text First Indent Char"/>
    <w:basedOn w:val="BodyTextChar"/>
    <w:link w:val="BodyTextFirstIndent"/>
    <w:rsid w:val="0098218E"/>
    <w:rPr>
      <w:rFonts w:eastAsiaTheme="minorEastAsia"/>
      <w:sz w:val="24"/>
      <w:szCs w:val="24"/>
      <w:lang w:val="en-GB" w:eastAsia="ja-JP"/>
    </w:rPr>
  </w:style>
  <w:style w:type="paragraph" w:styleId="BodyTextIndent">
    <w:name w:val="Body Text Indent"/>
    <w:basedOn w:val="Normal"/>
    <w:link w:val="BodyTextIndentChar"/>
    <w:rsid w:val="0098218E"/>
    <w:pPr>
      <w:ind w:left="288"/>
    </w:pPr>
  </w:style>
  <w:style w:type="character" w:customStyle="1" w:styleId="BodyTextIndentChar">
    <w:name w:val="Body Text Indent Char"/>
    <w:basedOn w:val="DefaultParagraphFont"/>
    <w:link w:val="BodyTextIndent"/>
    <w:rsid w:val="0098218E"/>
    <w:rPr>
      <w:rFonts w:eastAsiaTheme="minorEastAsia"/>
      <w:sz w:val="24"/>
      <w:szCs w:val="24"/>
      <w:lang w:val="en-GB" w:eastAsia="ja-JP"/>
    </w:rPr>
  </w:style>
  <w:style w:type="paragraph" w:styleId="BodyTextFirstIndent2">
    <w:name w:val="Body Text First Indent 2"/>
    <w:basedOn w:val="BodyTextIndent"/>
    <w:link w:val="BodyTextFirstIndent2Char"/>
    <w:rsid w:val="0098218E"/>
    <w:pPr>
      <w:ind w:left="360" w:firstLine="360"/>
    </w:pPr>
  </w:style>
  <w:style w:type="character" w:customStyle="1" w:styleId="BodyTextFirstIndent2Char">
    <w:name w:val="Body Text First Indent 2 Char"/>
    <w:basedOn w:val="BodyTextIndentChar"/>
    <w:link w:val="BodyTextFirstIndent2"/>
    <w:rsid w:val="0098218E"/>
    <w:rPr>
      <w:rFonts w:eastAsiaTheme="minorEastAsia"/>
      <w:sz w:val="24"/>
      <w:szCs w:val="24"/>
      <w:lang w:val="en-GB" w:eastAsia="ja-JP"/>
    </w:rPr>
  </w:style>
  <w:style w:type="paragraph" w:styleId="BodyTextIndent2">
    <w:name w:val="Body Text Indent 2"/>
    <w:basedOn w:val="Normal"/>
    <w:link w:val="BodyTextIndent2Char"/>
    <w:rsid w:val="0098218E"/>
    <w:pPr>
      <w:spacing w:line="480" w:lineRule="auto"/>
      <w:ind w:left="288"/>
    </w:pPr>
  </w:style>
  <w:style w:type="character" w:customStyle="1" w:styleId="BodyTextIndent2Char">
    <w:name w:val="Body Text Indent 2 Char"/>
    <w:basedOn w:val="DefaultParagraphFont"/>
    <w:link w:val="BodyTextIndent2"/>
    <w:rsid w:val="0098218E"/>
    <w:rPr>
      <w:rFonts w:eastAsiaTheme="minorEastAsia"/>
      <w:sz w:val="24"/>
      <w:szCs w:val="24"/>
      <w:lang w:val="en-GB" w:eastAsia="ja-JP"/>
    </w:rPr>
  </w:style>
  <w:style w:type="paragraph" w:styleId="BodyTextIndent3">
    <w:name w:val="Body Text Indent 3"/>
    <w:basedOn w:val="Normal"/>
    <w:link w:val="BodyTextIndent3Char"/>
    <w:rsid w:val="0098218E"/>
    <w:pPr>
      <w:ind w:left="288"/>
    </w:pPr>
    <w:rPr>
      <w:sz w:val="16"/>
      <w:szCs w:val="16"/>
    </w:rPr>
  </w:style>
  <w:style w:type="character" w:customStyle="1" w:styleId="BodyTextIndent3Char">
    <w:name w:val="Body Text Indent 3 Char"/>
    <w:basedOn w:val="DefaultParagraphFont"/>
    <w:link w:val="BodyTextIndent3"/>
    <w:rsid w:val="0098218E"/>
    <w:rPr>
      <w:rFonts w:eastAsiaTheme="minorEastAsia"/>
      <w:sz w:val="16"/>
      <w:szCs w:val="16"/>
      <w:lang w:val="en-GB" w:eastAsia="ja-JP"/>
    </w:rPr>
  </w:style>
  <w:style w:type="character" w:styleId="BookTitle">
    <w:name w:val="Book Title"/>
    <w:basedOn w:val="DefaultParagraphFont"/>
    <w:uiPriority w:val="33"/>
    <w:qFormat/>
    <w:rsid w:val="000D3F22"/>
    <w:rPr>
      <w:b/>
      <w:bCs/>
      <w:smallCaps/>
      <w:spacing w:val="5"/>
    </w:rPr>
  </w:style>
  <w:style w:type="paragraph" w:styleId="Caption">
    <w:name w:val="caption"/>
    <w:basedOn w:val="Normal"/>
    <w:next w:val="Normal"/>
    <w:uiPriority w:val="35"/>
    <w:unhideWhenUsed/>
    <w:qFormat/>
    <w:rsid w:val="000D3F22"/>
    <w:pPr>
      <w:spacing w:line="240" w:lineRule="auto"/>
    </w:pPr>
    <w:rPr>
      <w:b/>
      <w:bCs/>
      <w:color w:val="4F81BD" w:themeColor="accent1"/>
      <w:sz w:val="18"/>
      <w:szCs w:val="18"/>
    </w:rPr>
  </w:style>
  <w:style w:type="paragraph" w:customStyle="1" w:styleId="ClientName">
    <w:name w:val="Client Name"/>
    <w:basedOn w:val="Normal"/>
    <w:rsid w:val="0098218E"/>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rsid w:val="0098218E"/>
    <w:pPr>
      <w:spacing w:after="180" w:line="200" w:lineRule="atLeast"/>
    </w:pPr>
    <w:rPr>
      <w:rFonts w:asciiTheme="majorHAnsi" w:hAnsiTheme="majorHAnsi" w:cstheme="majorBidi"/>
      <w:sz w:val="16"/>
      <w:szCs w:val="16"/>
    </w:rPr>
  </w:style>
  <w:style w:type="paragraph" w:styleId="Closing">
    <w:name w:val="Closing"/>
    <w:basedOn w:val="Normal"/>
    <w:link w:val="ClosingChar"/>
    <w:rsid w:val="0098218E"/>
    <w:pPr>
      <w:spacing w:after="0"/>
      <w:ind w:left="4252"/>
    </w:pPr>
  </w:style>
  <w:style w:type="character" w:customStyle="1" w:styleId="ClosingChar">
    <w:name w:val="Closing Char"/>
    <w:basedOn w:val="DefaultParagraphFont"/>
    <w:link w:val="Closing"/>
    <w:rsid w:val="0098218E"/>
    <w:rPr>
      <w:rFonts w:eastAsiaTheme="minorEastAsia"/>
      <w:sz w:val="24"/>
      <w:szCs w:val="24"/>
      <w:lang w:val="en-GB" w:eastAsia="ja-JP"/>
    </w:rPr>
  </w:style>
  <w:style w:type="table" w:styleId="ColorfulGrid">
    <w:name w:val="Colorful Grid"/>
    <w:basedOn w:val="TableNormal"/>
    <w:uiPriority w:val="73"/>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rsid w:val="0098218E"/>
    <w:rPr>
      <w:rFonts w:cstheme="minorBidi"/>
      <w:bCs w:val="0"/>
      <w:iCs w:val="0"/>
      <w:sz w:val="16"/>
      <w:szCs w:val="16"/>
    </w:rPr>
  </w:style>
  <w:style w:type="paragraph" w:styleId="CommentText">
    <w:name w:val="annotation text"/>
    <w:basedOn w:val="Normal"/>
    <w:link w:val="CommentTextChar"/>
    <w:uiPriority w:val="99"/>
    <w:rsid w:val="0098218E"/>
    <w:rPr>
      <w:sz w:val="20"/>
    </w:rPr>
  </w:style>
  <w:style w:type="character" w:customStyle="1" w:styleId="CommentTextChar">
    <w:name w:val="Comment Text Char"/>
    <w:basedOn w:val="DefaultParagraphFont"/>
    <w:link w:val="CommentText"/>
    <w:uiPriority w:val="99"/>
    <w:rsid w:val="0098218E"/>
    <w:rPr>
      <w:rFonts w:eastAsiaTheme="minorEastAsia"/>
      <w:sz w:val="20"/>
      <w:szCs w:val="24"/>
      <w:lang w:val="en-GB" w:eastAsia="ja-JP"/>
    </w:rPr>
  </w:style>
  <w:style w:type="paragraph" w:styleId="CommentSubject">
    <w:name w:val="annotation subject"/>
    <w:basedOn w:val="CommentText"/>
    <w:next w:val="CommentText"/>
    <w:link w:val="CommentSubjectChar"/>
    <w:rsid w:val="0098218E"/>
    <w:rPr>
      <w:b/>
      <w:bCs/>
    </w:rPr>
  </w:style>
  <w:style w:type="character" w:customStyle="1" w:styleId="CommentSubjectChar">
    <w:name w:val="Comment Subject Char"/>
    <w:basedOn w:val="CommentTextChar"/>
    <w:link w:val="CommentSubject"/>
    <w:rsid w:val="0098218E"/>
    <w:rPr>
      <w:rFonts w:eastAsiaTheme="minorEastAsia"/>
      <w:b/>
      <w:bCs/>
      <w:sz w:val="20"/>
      <w:szCs w:val="24"/>
      <w:lang w:val="en-GB" w:eastAsia="ja-JP"/>
    </w:rPr>
  </w:style>
  <w:style w:type="table" w:styleId="DarkList">
    <w:name w:val="Dark List"/>
    <w:basedOn w:val="TableNormal"/>
    <w:uiPriority w:val="70"/>
    <w:rsid w:val="0098218E"/>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98218E"/>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98218E"/>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98218E"/>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98218E"/>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98218E"/>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98218E"/>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rsid w:val="0098218E"/>
  </w:style>
  <w:style w:type="character" w:customStyle="1" w:styleId="DateChar">
    <w:name w:val="Date Char"/>
    <w:basedOn w:val="DefaultParagraphFont"/>
    <w:link w:val="Date"/>
    <w:rsid w:val="0098218E"/>
    <w:rPr>
      <w:rFonts w:eastAsiaTheme="minorEastAsia"/>
      <w:sz w:val="24"/>
      <w:szCs w:val="24"/>
      <w:lang w:val="en-GB" w:eastAsia="ja-JP"/>
    </w:rPr>
  </w:style>
  <w:style w:type="paragraph" w:customStyle="1" w:styleId="DocNum">
    <w:name w:val="DocNum"/>
    <w:basedOn w:val="Normal"/>
    <w:rsid w:val="0098218E"/>
    <w:pPr>
      <w:spacing w:after="0"/>
    </w:pPr>
    <w:rPr>
      <w:rFonts w:asciiTheme="majorHAnsi" w:eastAsiaTheme="majorEastAsia" w:hAnsiTheme="majorHAnsi" w:cstheme="majorBidi"/>
      <w:sz w:val="14"/>
      <w:szCs w:val="14"/>
    </w:rPr>
  </w:style>
  <w:style w:type="paragraph" w:styleId="DocumentMap">
    <w:name w:val="Document Map"/>
    <w:basedOn w:val="Normal"/>
    <w:link w:val="DocumentMapChar"/>
    <w:rsid w:val="0098218E"/>
    <w:pPr>
      <w:spacing w:after="0"/>
    </w:pPr>
    <w:rPr>
      <w:rFonts w:cs="Tahoma"/>
      <w:sz w:val="16"/>
      <w:szCs w:val="16"/>
    </w:rPr>
  </w:style>
  <w:style w:type="character" w:customStyle="1" w:styleId="DocumentMapChar">
    <w:name w:val="Document Map Char"/>
    <w:basedOn w:val="DefaultParagraphFont"/>
    <w:link w:val="DocumentMap"/>
    <w:rsid w:val="0098218E"/>
    <w:rPr>
      <w:rFonts w:eastAsiaTheme="minorEastAsia" w:cs="Tahoma"/>
      <w:sz w:val="16"/>
      <w:szCs w:val="16"/>
      <w:lang w:val="en-GB" w:eastAsia="ja-JP"/>
    </w:rPr>
  </w:style>
  <w:style w:type="paragraph" w:customStyle="1" w:styleId="DocumentName">
    <w:name w:val="Document Name"/>
    <w:basedOn w:val="Normal"/>
    <w:next w:val="Normal"/>
    <w:rsid w:val="0098218E"/>
    <w:rPr>
      <w:rFonts w:asciiTheme="majorHAnsi" w:eastAsia="MS PGothic" w:hAnsiTheme="majorHAnsi" w:cs="Arial Black"/>
      <w:caps/>
      <w:sz w:val="36"/>
      <w:szCs w:val="40"/>
    </w:rPr>
  </w:style>
  <w:style w:type="paragraph" w:customStyle="1" w:styleId="DraftMarkings">
    <w:name w:val="Draft Markings"/>
    <w:basedOn w:val="ClientNameCrossRef"/>
    <w:rsid w:val="0098218E"/>
    <w:pPr>
      <w:spacing w:after="0" w:line="240" w:lineRule="auto"/>
      <w:jc w:val="right"/>
    </w:pPr>
    <w:rPr>
      <w:rFonts w:eastAsiaTheme="majorEastAsia"/>
      <w:b/>
      <w:sz w:val="20"/>
      <w:szCs w:val="20"/>
    </w:rPr>
  </w:style>
  <w:style w:type="paragraph" w:styleId="E-mailSignature">
    <w:name w:val="E-mail Signature"/>
    <w:basedOn w:val="Normal"/>
    <w:link w:val="E-mailSignatureChar"/>
    <w:rsid w:val="0098218E"/>
    <w:pPr>
      <w:spacing w:after="0"/>
    </w:pPr>
  </w:style>
  <w:style w:type="character" w:customStyle="1" w:styleId="E-mailSignatureChar">
    <w:name w:val="E-mail Signature Char"/>
    <w:basedOn w:val="DefaultParagraphFont"/>
    <w:link w:val="E-mailSignature"/>
    <w:rsid w:val="0098218E"/>
    <w:rPr>
      <w:rFonts w:eastAsiaTheme="minorEastAsia"/>
      <w:sz w:val="24"/>
      <w:szCs w:val="24"/>
      <w:lang w:val="en-GB" w:eastAsia="ja-JP"/>
    </w:rPr>
  </w:style>
  <w:style w:type="character" w:styleId="Emphasis">
    <w:name w:val="Emphasis"/>
    <w:basedOn w:val="DefaultParagraphFont"/>
    <w:uiPriority w:val="20"/>
    <w:qFormat/>
    <w:rsid w:val="000D3F22"/>
    <w:rPr>
      <w:i/>
      <w:iCs/>
    </w:rPr>
  </w:style>
  <w:style w:type="paragraph" w:customStyle="1" w:styleId="EmployeeName">
    <w:name w:val="Employee Name"/>
    <w:basedOn w:val="Normal"/>
    <w:rsid w:val="0098218E"/>
    <w:pPr>
      <w:spacing w:after="0"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rsid w:val="0098218E"/>
    <w:rPr>
      <w:rFonts w:cstheme="minorBidi"/>
      <w:bCs w:val="0"/>
      <w:iCs w:val="0"/>
      <w:szCs w:val="24"/>
      <w:vertAlign w:val="superscript"/>
    </w:rPr>
  </w:style>
  <w:style w:type="paragraph" w:styleId="EndnoteText">
    <w:name w:val="endnote text"/>
    <w:basedOn w:val="Normal"/>
    <w:link w:val="EndnoteTextChar"/>
    <w:rsid w:val="0098218E"/>
    <w:pPr>
      <w:spacing w:after="0"/>
    </w:pPr>
    <w:rPr>
      <w:sz w:val="20"/>
    </w:rPr>
  </w:style>
  <w:style w:type="character" w:customStyle="1" w:styleId="EndnoteTextChar">
    <w:name w:val="Endnote Text Char"/>
    <w:basedOn w:val="DefaultParagraphFont"/>
    <w:link w:val="EndnoteText"/>
    <w:rsid w:val="0098218E"/>
    <w:rPr>
      <w:rFonts w:eastAsiaTheme="minorEastAsia"/>
      <w:sz w:val="20"/>
      <w:szCs w:val="24"/>
      <w:lang w:val="en-GB" w:eastAsia="ja-JP"/>
    </w:rPr>
  </w:style>
  <w:style w:type="paragraph" w:styleId="EnvelopeAddress">
    <w:name w:val="envelope address"/>
    <w:basedOn w:val="Normal"/>
    <w:rsid w:val="0098218E"/>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rsid w:val="0098218E"/>
    <w:pPr>
      <w:spacing w:after="0"/>
    </w:pPr>
    <w:rPr>
      <w:rFonts w:asciiTheme="majorHAnsi" w:eastAsiaTheme="majorEastAsia" w:hAnsiTheme="majorHAnsi" w:cstheme="majorBidi"/>
      <w:sz w:val="20"/>
    </w:rPr>
  </w:style>
  <w:style w:type="paragraph" w:customStyle="1" w:styleId="Exhibit">
    <w:name w:val="Exhibit"/>
    <w:basedOn w:val="Normal"/>
    <w:next w:val="Normal"/>
    <w:rsid w:val="0098218E"/>
    <w:pPr>
      <w:keepLines/>
      <w:numPr>
        <w:numId w:val="5"/>
      </w:numPr>
      <w:spacing w:after="260"/>
    </w:pPr>
    <w:rPr>
      <w:i/>
    </w:rPr>
  </w:style>
  <w:style w:type="paragraph" w:customStyle="1" w:styleId="Filestamp">
    <w:name w:val="Filestamp"/>
    <w:basedOn w:val="Normal"/>
    <w:rsid w:val="0098218E"/>
    <w:pPr>
      <w:spacing w:before="460" w:line="240" w:lineRule="atLeast"/>
    </w:pPr>
    <w:rPr>
      <w:noProof/>
      <w:sz w:val="10"/>
      <w:szCs w:val="10"/>
    </w:rPr>
  </w:style>
  <w:style w:type="character" w:styleId="FollowedHyperlink">
    <w:name w:val="FollowedHyperlink"/>
    <w:basedOn w:val="DefaultParagraphFont"/>
    <w:rsid w:val="0098218E"/>
    <w:rPr>
      <w:rFonts w:cstheme="minorBidi"/>
      <w:bCs w:val="0"/>
      <w:iCs w:val="0"/>
      <w:color w:val="800080" w:themeColor="followedHyperlink"/>
      <w:szCs w:val="24"/>
      <w:u w:val="single"/>
    </w:rPr>
  </w:style>
  <w:style w:type="paragraph" w:styleId="Footer">
    <w:name w:val="footer"/>
    <w:basedOn w:val="Normal"/>
    <w:link w:val="FooterChar"/>
    <w:uiPriority w:val="99"/>
    <w:rsid w:val="0098218E"/>
    <w:pPr>
      <w:tabs>
        <w:tab w:val="center" w:pos="4320"/>
        <w:tab w:val="right" w:pos="8640"/>
      </w:tabs>
    </w:pPr>
  </w:style>
  <w:style w:type="character" w:customStyle="1" w:styleId="FooterChar">
    <w:name w:val="Footer Char"/>
    <w:basedOn w:val="DefaultParagraphFont"/>
    <w:link w:val="Footer"/>
    <w:uiPriority w:val="99"/>
    <w:rsid w:val="006544FA"/>
    <w:rPr>
      <w:rFonts w:eastAsiaTheme="minorEastAsia"/>
      <w:sz w:val="24"/>
      <w:szCs w:val="24"/>
      <w:lang w:val="en-GB" w:eastAsia="ja-JP"/>
    </w:rPr>
  </w:style>
  <w:style w:type="character" w:styleId="FootnoteReference">
    <w:name w:val="footnote reference"/>
    <w:basedOn w:val="DefaultParagraphFont"/>
    <w:uiPriority w:val="99"/>
    <w:semiHidden/>
    <w:rsid w:val="0098218E"/>
    <w:rPr>
      <w:rFonts w:cstheme="minorBidi"/>
      <w:bCs w:val="0"/>
      <w:iCs w:val="0"/>
      <w:szCs w:val="24"/>
      <w:vertAlign w:val="superscript"/>
    </w:rPr>
  </w:style>
  <w:style w:type="paragraph" w:styleId="FootnoteText">
    <w:name w:val="footnote text"/>
    <w:basedOn w:val="Normal"/>
    <w:link w:val="FootnoteTextChar"/>
    <w:uiPriority w:val="99"/>
    <w:rsid w:val="0098218E"/>
    <w:pPr>
      <w:spacing w:after="120"/>
      <w:ind w:left="360" w:hanging="360"/>
    </w:pPr>
    <w:rPr>
      <w:sz w:val="18"/>
      <w:szCs w:val="18"/>
    </w:rPr>
  </w:style>
  <w:style w:type="character" w:customStyle="1" w:styleId="FootnoteTextChar">
    <w:name w:val="Footnote Text Char"/>
    <w:basedOn w:val="DefaultParagraphFont"/>
    <w:link w:val="FootnoteText"/>
    <w:uiPriority w:val="99"/>
    <w:rsid w:val="006544FA"/>
    <w:rPr>
      <w:rFonts w:eastAsiaTheme="minorEastAsia"/>
      <w:sz w:val="18"/>
      <w:szCs w:val="18"/>
      <w:lang w:val="en-GB" w:eastAsia="ja-JP"/>
    </w:rPr>
  </w:style>
  <w:style w:type="paragraph" w:styleId="Header">
    <w:name w:val="header"/>
    <w:basedOn w:val="Normal"/>
    <w:link w:val="HeaderChar"/>
    <w:uiPriority w:val="99"/>
    <w:rsid w:val="0098218E"/>
    <w:pPr>
      <w:tabs>
        <w:tab w:val="center" w:pos="4320"/>
        <w:tab w:val="right" w:pos="8640"/>
      </w:tabs>
    </w:pPr>
  </w:style>
  <w:style w:type="character" w:customStyle="1" w:styleId="HeaderChar">
    <w:name w:val="Header Char"/>
    <w:basedOn w:val="DefaultParagraphFont"/>
    <w:link w:val="Header"/>
    <w:uiPriority w:val="99"/>
    <w:rsid w:val="006544FA"/>
    <w:rPr>
      <w:rFonts w:eastAsiaTheme="minorEastAsia"/>
      <w:sz w:val="24"/>
      <w:szCs w:val="24"/>
      <w:lang w:val="en-GB" w:eastAsia="ja-JP"/>
    </w:rPr>
  </w:style>
  <w:style w:type="paragraph" w:customStyle="1" w:styleId="HeadingA">
    <w:name w:val="Heading A"/>
    <w:basedOn w:val="Heading1"/>
    <w:next w:val="Normal"/>
    <w:rsid w:val="0098218E"/>
    <w:pPr>
      <w:tabs>
        <w:tab w:val="left" w:pos="-720"/>
        <w:tab w:val="left" w:pos="0"/>
        <w:tab w:val="left" w:pos="720"/>
        <w:tab w:val="left" w:pos="1440"/>
      </w:tabs>
      <w:outlineLvl w:val="9"/>
    </w:pPr>
  </w:style>
  <w:style w:type="paragraph" w:customStyle="1" w:styleId="HeadingNumber1">
    <w:name w:val="Heading Number 1"/>
    <w:basedOn w:val="Normal"/>
    <w:next w:val="NormalIndent2"/>
    <w:rsid w:val="0098218E"/>
    <w:pPr>
      <w:keepNext/>
      <w:numPr>
        <w:ilvl w:val="4"/>
        <w:numId w:val="6"/>
      </w:numPr>
      <w:spacing w:before="60" w:after="60"/>
      <w:outlineLvl w:val="4"/>
    </w:pPr>
    <w:rPr>
      <w:rFonts w:asciiTheme="majorHAnsi" w:hAnsiTheme="majorHAnsi" w:cs="Arial Black"/>
      <w:b/>
    </w:rPr>
  </w:style>
  <w:style w:type="paragraph" w:customStyle="1" w:styleId="HeadingNumber2">
    <w:name w:val="Heading Number 2"/>
    <w:basedOn w:val="Normal"/>
    <w:next w:val="NormalIndent2"/>
    <w:rsid w:val="0098218E"/>
    <w:pPr>
      <w:keepNext/>
      <w:numPr>
        <w:ilvl w:val="5"/>
        <w:numId w:val="6"/>
      </w:numPr>
      <w:spacing w:before="60" w:after="60"/>
      <w:outlineLvl w:val="5"/>
    </w:pPr>
    <w:rPr>
      <w:rFonts w:asciiTheme="majorHAnsi" w:hAnsiTheme="majorHAnsi" w:cs="Arial"/>
    </w:rPr>
  </w:style>
  <w:style w:type="paragraph" w:customStyle="1" w:styleId="HeadingNumber3">
    <w:name w:val="Heading Number 3"/>
    <w:basedOn w:val="Normal"/>
    <w:next w:val="NormalIndent2"/>
    <w:rsid w:val="0098218E"/>
    <w:pPr>
      <w:keepNext/>
      <w:numPr>
        <w:ilvl w:val="6"/>
        <w:numId w:val="6"/>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rsid w:val="0098218E"/>
    <w:pPr>
      <w:keepNext/>
      <w:numPr>
        <w:ilvl w:val="7"/>
        <w:numId w:val="6"/>
      </w:numPr>
      <w:spacing w:before="60" w:after="60"/>
      <w:outlineLvl w:val="7"/>
    </w:pPr>
    <w:rPr>
      <w:rFonts w:asciiTheme="majorHAnsi" w:hAnsiTheme="majorHAnsi" w:cs="Arial"/>
      <w:sz w:val="20"/>
    </w:rPr>
  </w:style>
  <w:style w:type="paragraph" w:customStyle="1" w:styleId="HeadingU">
    <w:name w:val="Heading U"/>
    <w:basedOn w:val="Heading1"/>
    <w:next w:val="BodyText"/>
    <w:rsid w:val="0098218E"/>
    <w:rPr>
      <w:bCs w:val="0"/>
    </w:rPr>
  </w:style>
  <w:style w:type="paragraph" w:customStyle="1" w:styleId="HeadingU2">
    <w:name w:val="Heading U2"/>
    <w:basedOn w:val="Heading2"/>
    <w:next w:val="BodyText"/>
    <w:rsid w:val="0098218E"/>
  </w:style>
  <w:style w:type="paragraph" w:customStyle="1" w:styleId="HeadingU3">
    <w:name w:val="Heading U3"/>
    <w:basedOn w:val="Heading3"/>
    <w:next w:val="BodyText"/>
    <w:rsid w:val="0098218E"/>
  </w:style>
  <w:style w:type="paragraph" w:customStyle="1" w:styleId="HeadingU4">
    <w:name w:val="Heading U4"/>
    <w:basedOn w:val="Heading4"/>
    <w:next w:val="BodyText"/>
    <w:rsid w:val="0098218E"/>
  </w:style>
  <w:style w:type="paragraph" w:customStyle="1" w:styleId="HeadingU5">
    <w:name w:val="Heading U5"/>
    <w:basedOn w:val="Heading5"/>
    <w:next w:val="BodyText"/>
    <w:rsid w:val="0098218E"/>
  </w:style>
  <w:style w:type="paragraph" w:customStyle="1" w:styleId="HeadingU6">
    <w:name w:val="Heading U6"/>
    <w:basedOn w:val="Heading6"/>
    <w:next w:val="BodyText"/>
    <w:rsid w:val="0098218E"/>
  </w:style>
  <w:style w:type="paragraph" w:customStyle="1" w:styleId="HeadingU7">
    <w:name w:val="Heading U7"/>
    <w:basedOn w:val="Heading7"/>
    <w:next w:val="BodyText"/>
    <w:rsid w:val="0098218E"/>
  </w:style>
  <w:style w:type="paragraph" w:customStyle="1" w:styleId="HeadingU8">
    <w:name w:val="Heading U8"/>
    <w:basedOn w:val="Heading8"/>
    <w:next w:val="BodyText"/>
    <w:rsid w:val="0098218E"/>
  </w:style>
  <w:style w:type="paragraph" w:customStyle="1" w:styleId="HeadingU9">
    <w:name w:val="Heading U9"/>
    <w:basedOn w:val="Heading9"/>
    <w:next w:val="BodyText"/>
    <w:rsid w:val="0098218E"/>
  </w:style>
  <w:style w:type="numbering" w:customStyle="1" w:styleId="HeadingsList">
    <w:name w:val="Headings List"/>
    <w:uiPriority w:val="99"/>
    <w:rsid w:val="0098218E"/>
    <w:pPr>
      <w:numPr>
        <w:numId w:val="7"/>
      </w:numPr>
    </w:pPr>
  </w:style>
  <w:style w:type="character" w:styleId="HTMLAcronym">
    <w:name w:val="HTML Acronym"/>
    <w:basedOn w:val="DefaultParagraphFont"/>
    <w:rsid w:val="0098218E"/>
    <w:rPr>
      <w:rFonts w:cstheme="minorBidi"/>
      <w:bCs w:val="0"/>
      <w:iCs w:val="0"/>
      <w:szCs w:val="24"/>
    </w:rPr>
  </w:style>
  <w:style w:type="paragraph" w:styleId="HTMLAddress">
    <w:name w:val="HTML Address"/>
    <w:basedOn w:val="Normal"/>
    <w:link w:val="HTMLAddressChar"/>
    <w:rsid w:val="0098218E"/>
    <w:pPr>
      <w:spacing w:after="0"/>
    </w:pPr>
    <w:rPr>
      <w:i/>
      <w:iCs/>
    </w:rPr>
  </w:style>
  <w:style w:type="character" w:customStyle="1" w:styleId="HTMLAddressChar">
    <w:name w:val="HTML Address Char"/>
    <w:basedOn w:val="DefaultParagraphFont"/>
    <w:link w:val="HTMLAddress"/>
    <w:rsid w:val="0098218E"/>
    <w:rPr>
      <w:rFonts w:eastAsiaTheme="minorEastAsia"/>
      <w:i/>
      <w:iCs/>
      <w:sz w:val="24"/>
      <w:szCs w:val="24"/>
      <w:lang w:val="en-GB" w:eastAsia="ja-JP"/>
    </w:rPr>
  </w:style>
  <w:style w:type="character" w:styleId="HTMLCite">
    <w:name w:val="HTML Cite"/>
    <w:basedOn w:val="DefaultParagraphFont"/>
    <w:rsid w:val="0098218E"/>
    <w:rPr>
      <w:rFonts w:cstheme="minorBidi"/>
      <w:bCs w:val="0"/>
      <w:i/>
      <w:iCs/>
      <w:szCs w:val="24"/>
    </w:rPr>
  </w:style>
  <w:style w:type="character" w:styleId="HTMLCode">
    <w:name w:val="HTML Code"/>
    <w:basedOn w:val="DefaultParagraphFont"/>
    <w:rsid w:val="0098218E"/>
    <w:rPr>
      <w:rFonts w:ascii="Consolas" w:hAnsi="Consolas" w:cs="Consolas"/>
      <w:bCs w:val="0"/>
      <w:iCs w:val="0"/>
      <w:sz w:val="20"/>
      <w:szCs w:val="20"/>
    </w:rPr>
  </w:style>
  <w:style w:type="character" w:styleId="HTMLDefinition">
    <w:name w:val="HTML Definition"/>
    <w:basedOn w:val="DefaultParagraphFont"/>
    <w:rsid w:val="0098218E"/>
    <w:rPr>
      <w:rFonts w:cstheme="minorBidi"/>
      <w:bCs w:val="0"/>
      <w:i/>
      <w:iCs/>
      <w:szCs w:val="24"/>
    </w:rPr>
  </w:style>
  <w:style w:type="character" w:styleId="HTMLKeyboard">
    <w:name w:val="HTML Keyboard"/>
    <w:basedOn w:val="DefaultParagraphFont"/>
    <w:rsid w:val="0098218E"/>
    <w:rPr>
      <w:rFonts w:ascii="Consolas" w:hAnsi="Consolas" w:cs="Consolas"/>
      <w:bCs w:val="0"/>
      <w:iCs w:val="0"/>
      <w:sz w:val="20"/>
      <w:szCs w:val="20"/>
    </w:rPr>
  </w:style>
  <w:style w:type="paragraph" w:styleId="HTMLPreformatted">
    <w:name w:val="HTML Preformatted"/>
    <w:basedOn w:val="Normal"/>
    <w:link w:val="HTMLPreformattedChar"/>
    <w:rsid w:val="0098218E"/>
    <w:pPr>
      <w:spacing w:after="0"/>
    </w:pPr>
    <w:rPr>
      <w:rFonts w:ascii="Consolas" w:hAnsi="Consolas" w:cs="Consolas"/>
      <w:sz w:val="20"/>
    </w:rPr>
  </w:style>
  <w:style w:type="character" w:customStyle="1" w:styleId="HTMLPreformattedChar">
    <w:name w:val="HTML Preformatted Char"/>
    <w:basedOn w:val="DefaultParagraphFont"/>
    <w:link w:val="HTMLPreformatted"/>
    <w:rsid w:val="0098218E"/>
    <w:rPr>
      <w:rFonts w:ascii="Consolas" w:eastAsiaTheme="minorEastAsia" w:hAnsi="Consolas" w:cs="Consolas"/>
      <w:sz w:val="20"/>
      <w:szCs w:val="24"/>
      <w:lang w:val="en-GB" w:eastAsia="ja-JP"/>
    </w:rPr>
  </w:style>
  <w:style w:type="character" w:styleId="HTMLSample">
    <w:name w:val="HTML Sample"/>
    <w:basedOn w:val="DefaultParagraphFont"/>
    <w:rsid w:val="0098218E"/>
    <w:rPr>
      <w:rFonts w:ascii="Consolas" w:hAnsi="Consolas" w:cs="Consolas"/>
      <w:bCs w:val="0"/>
      <w:iCs w:val="0"/>
      <w:sz w:val="24"/>
      <w:szCs w:val="24"/>
    </w:rPr>
  </w:style>
  <w:style w:type="character" w:styleId="HTMLTypewriter">
    <w:name w:val="HTML Typewriter"/>
    <w:basedOn w:val="DefaultParagraphFont"/>
    <w:rsid w:val="0098218E"/>
    <w:rPr>
      <w:rFonts w:ascii="Consolas" w:hAnsi="Consolas" w:cs="Consolas"/>
      <w:bCs w:val="0"/>
      <w:iCs w:val="0"/>
      <w:sz w:val="20"/>
      <w:szCs w:val="20"/>
    </w:rPr>
  </w:style>
  <w:style w:type="character" w:styleId="HTMLVariable">
    <w:name w:val="HTML Variable"/>
    <w:basedOn w:val="DefaultParagraphFont"/>
    <w:rsid w:val="0098218E"/>
    <w:rPr>
      <w:rFonts w:cstheme="minorBidi"/>
      <w:bCs w:val="0"/>
      <w:i/>
      <w:iCs/>
      <w:szCs w:val="24"/>
    </w:rPr>
  </w:style>
  <w:style w:type="character" w:styleId="Hyperlink">
    <w:name w:val="Hyperlink"/>
    <w:basedOn w:val="DefaultParagraphFont"/>
    <w:uiPriority w:val="99"/>
    <w:rsid w:val="0098218E"/>
    <w:rPr>
      <w:rFonts w:cstheme="minorBidi"/>
      <w:bCs w:val="0"/>
      <w:iCs w:val="0"/>
      <w:color w:val="0000FF" w:themeColor="hyperlink"/>
      <w:szCs w:val="24"/>
      <w:u w:val="single"/>
    </w:rPr>
  </w:style>
  <w:style w:type="paragraph" w:styleId="Index1">
    <w:name w:val="index 1"/>
    <w:basedOn w:val="Normal"/>
    <w:next w:val="Normal"/>
    <w:autoRedefine/>
    <w:rsid w:val="0098218E"/>
    <w:pPr>
      <w:spacing w:after="0"/>
      <w:ind w:left="240" w:hanging="240"/>
    </w:pPr>
  </w:style>
  <w:style w:type="paragraph" w:styleId="Index2">
    <w:name w:val="index 2"/>
    <w:basedOn w:val="Normal"/>
    <w:next w:val="Normal"/>
    <w:autoRedefine/>
    <w:rsid w:val="0098218E"/>
    <w:pPr>
      <w:spacing w:after="0"/>
      <w:ind w:left="480" w:hanging="240"/>
    </w:pPr>
  </w:style>
  <w:style w:type="paragraph" w:styleId="Index3">
    <w:name w:val="index 3"/>
    <w:basedOn w:val="Normal"/>
    <w:next w:val="Normal"/>
    <w:autoRedefine/>
    <w:rsid w:val="0098218E"/>
    <w:pPr>
      <w:spacing w:after="0"/>
      <w:ind w:left="720" w:hanging="240"/>
    </w:pPr>
  </w:style>
  <w:style w:type="paragraph" w:styleId="Index4">
    <w:name w:val="index 4"/>
    <w:basedOn w:val="Normal"/>
    <w:next w:val="Normal"/>
    <w:autoRedefine/>
    <w:rsid w:val="0098218E"/>
    <w:pPr>
      <w:spacing w:after="0"/>
      <w:ind w:left="960" w:hanging="240"/>
    </w:pPr>
  </w:style>
  <w:style w:type="paragraph" w:styleId="Index5">
    <w:name w:val="index 5"/>
    <w:basedOn w:val="Normal"/>
    <w:next w:val="Normal"/>
    <w:autoRedefine/>
    <w:rsid w:val="0098218E"/>
    <w:pPr>
      <w:spacing w:after="0"/>
      <w:ind w:left="1200" w:hanging="240"/>
    </w:pPr>
  </w:style>
  <w:style w:type="paragraph" w:styleId="Index6">
    <w:name w:val="index 6"/>
    <w:basedOn w:val="Normal"/>
    <w:next w:val="Normal"/>
    <w:autoRedefine/>
    <w:rsid w:val="0098218E"/>
    <w:pPr>
      <w:spacing w:after="0"/>
      <w:ind w:left="1440" w:hanging="240"/>
    </w:pPr>
  </w:style>
  <w:style w:type="paragraph" w:styleId="Index7">
    <w:name w:val="index 7"/>
    <w:basedOn w:val="Normal"/>
    <w:next w:val="Normal"/>
    <w:autoRedefine/>
    <w:rsid w:val="0098218E"/>
    <w:pPr>
      <w:spacing w:after="0"/>
      <w:ind w:left="1680" w:hanging="240"/>
    </w:pPr>
  </w:style>
  <w:style w:type="paragraph" w:styleId="Index8">
    <w:name w:val="index 8"/>
    <w:basedOn w:val="Normal"/>
    <w:next w:val="Normal"/>
    <w:autoRedefine/>
    <w:rsid w:val="0098218E"/>
    <w:pPr>
      <w:spacing w:after="0"/>
      <w:ind w:left="1920" w:hanging="240"/>
    </w:pPr>
  </w:style>
  <w:style w:type="paragraph" w:styleId="Index9">
    <w:name w:val="index 9"/>
    <w:basedOn w:val="Normal"/>
    <w:next w:val="Normal"/>
    <w:autoRedefine/>
    <w:rsid w:val="0098218E"/>
    <w:pPr>
      <w:spacing w:after="0"/>
      <w:ind w:left="2160" w:hanging="240"/>
    </w:pPr>
  </w:style>
  <w:style w:type="paragraph" w:styleId="IndexHeading">
    <w:name w:val="index heading"/>
    <w:basedOn w:val="Normal"/>
    <w:next w:val="Index1"/>
    <w:rsid w:val="0098218E"/>
    <w:rPr>
      <w:rFonts w:asciiTheme="majorHAnsi" w:eastAsiaTheme="majorEastAsia" w:hAnsiTheme="majorHAnsi" w:cstheme="majorBidi"/>
      <w:b/>
      <w:bCs/>
    </w:rPr>
  </w:style>
  <w:style w:type="character" w:styleId="IntenseEmphasis">
    <w:name w:val="Intense Emphasis"/>
    <w:basedOn w:val="DefaultParagraphFont"/>
    <w:uiPriority w:val="21"/>
    <w:qFormat/>
    <w:rsid w:val="000D3F22"/>
    <w:rPr>
      <w:b/>
      <w:bCs/>
      <w:i/>
      <w:iCs/>
      <w:color w:val="4F81BD" w:themeColor="accent1"/>
    </w:rPr>
  </w:style>
  <w:style w:type="paragraph" w:styleId="IntenseQuote">
    <w:name w:val="Intense Quote"/>
    <w:basedOn w:val="Normal"/>
    <w:next w:val="Normal"/>
    <w:link w:val="IntenseQuoteChar"/>
    <w:uiPriority w:val="30"/>
    <w:qFormat/>
    <w:rsid w:val="000D3F22"/>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D3F22"/>
    <w:rPr>
      <w:b/>
      <w:bCs/>
      <w:i/>
      <w:iCs/>
      <w:color w:val="4F81BD" w:themeColor="accent1"/>
    </w:rPr>
  </w:style>
  <w:style w:type="character" w:styleId="IntenseReference">
    <w:name w:val="Intense Reference"/>
    <w:basedOn w:val="DefaultParagraphFont"/>
    <w:uiPriority w:val="32"/>
    <w:qFormat/>
    <w:rsid w:val="000D3F22"/>
    <w:rPr>
      <w:b/>
      <w:bCs/>
      <w:smallCaps/>
      <w:color w:val="C0504D" w:themeColor="accent2"/>
      <w:spacing w:val="5"/>
      <w:u w:val="single"/>
    </w:rPr>
  </w:style>
  <w:style w:type="paragraph" w:customStyle="1" w:styleId="Legalcopy">
    <w:name w:val="Legal copy"/>
    <w:basedOn w:val="Normal"/>
    <w:rsid w:val="0098218E"/>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rsid w:val="0098218E"/>
    <w:pPr>
      <w:spacing w:line="360" w:lineRule="atLeast"/>
    </w:pPr>
    <w:rPr>
      <w:sz w:val="28"/>
      <w:szCs w:val="28"/>
    </w:rPr>
  </w:style>
  <w:style w:type="table" w:styleId="LightGrid">
    <w:name w:val="Light Grid"/>
    <w:basedOn w:val="TableNormal"/>
    <w:uiPriority w:val="62"/>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98218E"/>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98218E"/>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98218E"/>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98218E"/>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98218E"/>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98218E"/>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98218E"/>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rsid w:val="0098218E"/>
    <w:rPr>
      <w:rFonts w:cstheme="minorBidi"/>
      <w:bCs w:val="0"/>
      <w:iCs w:val="0"/>
      <w:szCs w:val="24"/>
    </w:rPr>
  </w:style>
  <w:style w:type="paragraph" w:styleId="List">
    <w:name w:val="List"/>
    <w:basedOn w:val="Normal"/>
    <w:rsid w:val="0098218E"/>
    <w:pPr>
      <w:ind w:left="283" w:hanging="283"/>
      <w:contextualSpacing/>
    </w:pPr>
  </w:style>
  <w:style w:type="paragraph" w:styleId="List2">
    <w:name w:val="List 2"/>
    <w:basedOn w:val="Normal"/>
    <w:rsid w:val="0098218E"/>
    <w:pPr>
      <w:ind w:left="566" w:hanging="283"/>
      <w:contextualSpacing/>
    </w:pPr>
  </w:style>
  <w:style w:type="paragraph" w:styleId="List3">
    <w:name w:val="List 3"/>
    <w:basedOn w:val="Normal"/>
    <w:rsid w:val="0098218E"/>
    <w:pPr>
      <w:ind w:left="849" w:hanging="283"/>
      <w:contextualSpacing/>
    </w:pPr>
  </w:style>
  <w:style w:type="paragraph" w:styleId="List4">
    <w:name w:val="List 4"/>
    <w:basedOn w:val="Normal"/>
    <w:rsid w:val="0098218E"/>
    <w:pPr>
      <w:ind w:left="1132" w:hanging="283"/>
      <w:contextualSpacing/>
    </w:pPr>
  </w:style>
  <w:style w:type="paragraph" w:styleId="List5">
    <w:name w:val="List 5"/>
    <w:basedOn w:val="Normal"/>
    <w:rsid w:val="0098218E"/>
    <w:pPr>
      <w:ind w:left="1415" w:hanging="283"/>
      <w:contextualSpacing/>
    </w:pPr>
  </w:style>
  <w:style w:type="paragraph" w:styleId="ListBullet">
    <w:name w:val="List Bullet"/>
    <w:basedOn w:val="Normal"/>
    <w:rsid w:val="0098218E"/>
    <w:pPr>
      <w:numPr>
        <w:ilvl w:val="4"/>
        <w:numId w:val="8"/>
      </w:numPr>
      <w:spacing w:after="120" w:line="260" w:lineRule="atLeast"/>
      <w:outlineLvl w:val="4"/>
    </w:pPr>
    <w:rPr>
      <w:rFonts w:cstheme="minorHAnsi"/>
    </w:rPr>
  </w:style>
  <w:style w:type="paragraph" w:styleId="ListBullet2">
    <w:name w:val="List Bullet 2"/>
    <w:basedOn w:val="Normal"/>
    <w:rsid w:val="0098218E"/>
    <w:pPr>
      <w:numPr>
        <w:ilvl w:val="5"/>
        <w:numId w:val="8"/>
      </w:numPr>
      <w:spacing w:after="120" w:line="260" w:lineRule="atLeast"/>
      <w:outlineLvl w:val="5"/>
    </w:pPr>
    <w:rPr>
      <w:rFonts w:cstheme="minorHAnsi"/>
    </w:rPr>
  </w:style>
  <w:style w:type="paragraph" w:styleId="ListBullet3">
    <w:name w:val="List Bullet 3"/>
    <w:basedOn w:val="Normal"/>
    <w:rsid w:val="0098218E"/>
    <w:pPr>
      <w:numPr>
        <w:ilvl w:val="6"/>
        <w:numId w:val="8"/>
      </w:numPr>
      <w:spacing w:after="120" w:line="260" w:lineRule="atLeast"/>
      <w:outlineLvl w:val="6"/>
    </w:pPr>
    <w:rPr>
      <w:rFonts w:cstheme="minorHAnsi"/>
    </w:rPr>
  </w:style>
  <w:style w:type="paragraph" w:styleId="ListBullet4">
    <w:name w:val="List Bullet 4"/>
    <w:basedOn w:val="Normal"/>
    <w:rsid w:val="0098218E"/>
    <w:pPr>
      <w:numPr>
        <w:ilvl w:val="7"/>
        <w:numId w:val="8"/>
      </w:numPr>
      <w:spacing w:after="120" w:line="260" w:lineRule="atLeast"/>
      <w:outlineLvl w:val="7"/>
    </w:pPr>
    <w:rPr>
      <w:rFonts w:cstheme="minorHAnsi"/>
    </w:rPr>
  </w:style>
  <w:style w:type="paragraph" w:styleId="ListBullet5">
    <w:name w:val="List Bullet 5"/>
    <w:basedOn w:val="Normal"/>
    <w:rsid w:val="0098218E"/>
    <w:pPr>
      <w:numPr>
        <w:numId w:val="9"/>
      </w:numPr>
      <w:spacing w:after="120"/>
      <w:contextualSpacing/>
    </w:pPr>
  </w:style>
  <w:style w:type="paragraph" w:styleId="ListContinue">
    <w:name w:val="List Continue"/>
    <w:basedOn w:val="Normal"/>
    <w:rsid w:val="0098218E"/>
    <w:pPr>
      <w:spacing w:after="120"/>
      <w:ind w:left="283"/>
      <w:contextualSpacing/>
    </w:pPr>
  </w:style>
  <w:style w:type="paragraph" w:styleId="ListContinue2">
    <w:name w:val="List Continue 2"/>
    <w:basedOn w:val="Normal"/>
    <w:rsid w:val="0098218E"/>
    <w:pPr>
      <w:spacing w:after="120"/>
      <w:ind w:left="566"/>
      <w:contextualSpacing/>
    </w:pPr>
  </w:style>
  <w:style w:type="paragraph" w:styleId="ListContinue3">
    <w:name w:val="List Continue 3"/>
    <w:basedOn w:val="Normal"/>
    <w:rsid w:val="0098218E"/>
    <w:pPr>
      <w:spacing w:after="120"/>
      <w:ind w:left="849"/>
      <w:contextualSpacing/>
    </w:pPr>
  </w:style>
  <w:style w:type="paragraph" w:styleId="ListContinue4">
    <w:name w:val="List Continue 4"/>
    <w:basedOn w:val="Normal"/>
    <w:rsid w:val="0098218E"/>
    <w:pPr>
      <w:spacing w:after="120"/>
      <w:ind w:left="1132"/>
      <w:contextualSpacing/>
    </w:pPr>
  </w:style>
  <w:style w:type="paragraph" w:styleId="ListContinue5">
    <w:name w:val="List Continue 5"/>
    <w:basedOn w:val="Normal"/>
    <w:rsid w:val="0098218E"/>
    <w:pPr>
      <w:spacing w:after="120"/>
      <w:ind w:left="1415"/>
      <w:contextualSpacing/>
    </w:pPr>
  </w:style>
  <w:style w:type="paragraph" w:styleId="ListNumber">
    <w:name w:val="List Number"/>
    <w:basedOn w:val="Normal"/>
    <w:rsid w:val="0098218E"/>
    <w:pPr>
      <w:numPr>
        <w:ilvl w:val="5"/>
        <w:numId w:val="10"/>
      </w:numPr>
      <w:spacing w:after="120" w:line="260" w:lineRule="atLeast"/>
      <w:outlineLvl w:val="5"/>
    </w:pPr>
    <w:rPr>
      <w:rFonts w:cstheme="minorHAnsi"/>
    </w:rPr>
  </w:style>
  <w:style w:type="paragraph" w:styleId="ListNumber2">
    <w:name w:val="List Number 2"/>
    <w:basedOn w:val="Normal"/>
    <w:rsid w:val="0098218E"/>
    <w:pPr>
      <w:numPr>
        <w:ilvl w:val="6"/>
        <w:numId w:val="10"/>
      </w:numPr>
      <w:spacing w:after="120" w:line="260" w:lineRule="atLeast"/>
      <w:outlineLvl w:val="6"/>
    </w:pPr>
    <w:rPr>
      <w:rFonts w:cstheme="minorHAnsi"/>
      <w:szCs w:val="20"/>
    </w:rPr>
  </w:style>
  <w:style w:type="paragraph" w:styleId="ListNumber3">
    <w:name w:val="List Number 3"/>
    <w:basedOn w:val="Normal"/>
    <w:rsid w:val="0098218E"/>
    <w:pPr>
      <w:numPr>
        <w:ilvl w:val="7"/>
        <w:numId w:val="10"/>
      </w:numPr>
      <w:spacing w:after="120" w:line="260" w:lineRule="atLeast"/>
      <w:outlineLvl w:val="7"/>
    </w:pPr>
    <w:rPr>
      <w:rFonts w:cstheme="minorHAnsi"/>
    </w:rPr>
  </w:style>
  <w:style w:type="paragraph" w:styleId="ListNumber4">
    <w:name w:val="List Number 4"/>
    <w:basedOn w:val="Normal"/>
    <w:rsid w:val="0098218E"/>
    <w:pPr>
      <w:numPr>
        <w:ilvl w:val="8"/>
        <w:numId w:val="10"/>
      </w:numPr>
      <w:spacing w:after="120" w:line="260" w:lineRule="atLeast"/>
      <w:outlineLvl w:val="8"/>
    </w:pPr>
    <w:rPr>
      <w:rFonts w:cstheme="minorHAnsi"/>
    </w:rPr>
  </w:style>
  <w:style w:type="paragraph" w:styleId="ListNumber5">
    <w:name w:val="List Number 5"/>
    <w:basedOn w:val="Normal"/>
    <w:rsid w:val="0098218E"/>
    <w:pPr>
      <w:numPr>
        <w:numId w:val="11"/>
      </w:numPr>
      <w:spacing w:after="120"/>
      <w:contextualSpacing/>
    </w:pPr>
  </w:style>
  <w:style w:type="paragraph" w:styleId="ListParagraph">
    <w:name w:val="List Paragraph"/>
    <w:basedOn w:val="Normal"/>
    <w:uiPriority w:val="1"/>
    <w:qFormat/>
    <w:rsid w:val="000D3F22"/>
    <w:pPr>
      <w:ind w:left="720"/>
      <w:contextualSpacing/>
    </w:pPr>
  </w:style>
  <w:style w:type="paragraph" w:customStyle="1" w:styleId="LogoHide">
    <w:name w:val="Logo Hide"/>
    <w:basedOn w:val="Normal"/>
    <w:rsid w:val="0098218E"/>
    <w:pPr>
      <w:spacing w:line="20" w:lineRule="exact"/>
    </w:pPr>
    <w:rPr>
      <w:noProof/>
      <w:sz w:val="2"/>
      <w:szCs w:val="2"/>
    </w:rPr>
  </w:style>
  <w:style w:type="paragraph" w:styleId="MacroText">
    <w:name w:val="macro"/>
    <w:link w:val="MacroTextChar"/>
    <w:rsid w:val="0098218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lang w:val="en-GB" w:eastAsia="ja-JP"/>
    </w:rPr>
  </w:style>
  <w:style w:type="character" w:customStyle="1" w:styleId="MacroTextChar">
    <w:name w:val="Macro Text Char"/>
    <w:basedOn w:val="DefaultParagraphFont"/>
    <w:link w:val="MacroText"/>
    <w:rsid w:val="0098218E"/>
    <w:rPr>
      <w:rFonts w:ascii="Consolas" w:eastAsiaTheme="minorEastAsia" w:hAnsi="Consolas" w:cs="Consolas"/>
      <w:sz w:val="20"/>
      <w:szCs w:val="20"/>
      <w:lang w:val="en-GB" w:eastAsia="ja-JP"/>
    </w:rPr>
  </w:style>
  <w:style w:type="table" w:styleId="MediumGrid1">
    <w:name w:val="Medium Grid 1"/>
    <w:basedOn w:val="TableNormal"/>
    <w:uiPriority w:val="67"/>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98218E"/>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98218E"/>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8218E"/>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98218E"/>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98218E"/>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98218E"/>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link w:val="NoSpacingChar"/>
    <w:uiPriority w:val="1"/>
    <w:qFormat/>
    <w:rsid w:val="000D3F22"/>
    <w:pPr>
      <w:spacing w:after="0" w:line="240" w:lineRule="auto"/>
    </w:pPr>
  </w:style>
  <w:style w:type="paragraph" w:styleId="NormalWeb">
    <w:name w:val="Normal (Web)"/>
    <w:basedOn w:val="Normal"/>
    <w:uiPriority w:val="99"/>
    <w:rsid w:val="0098218E"/>
  </w:style>
  <w:style w:type="paragraph" w:styleId="NormalIndent">
    <w:name w:val="Normal Indent"/>
    <w:basedOn w:val="Normal"/>
    <w:rsid w:val="0098218E"/>
    <w:pPr>
      <w:ind w:left="720"/>
    </w:pPr>
  </w:style>
  <w:style w:type="paragraph" w:customStyle="1" w:styleId="NormalIndent1">
    <w:name w:val="Normal Indent 1"/>
    <w:basedOn w:val="Normal"/>
    <w:rsid w:val="0098218E"/>
    <w:pPr>
      <w:ind w:left="360"/>
    </w:pPr>
  </w:style>
  <w:style w:type="paragraph" w:customStyle="1" w:styleId="NormalIndent2">
    <w:name w:val="Normal Indent 2"/>
    <w:basedOn w:val="Normal"/>
    <w:unhideWhenUsed/>
    <w:rsid w:val="0098218E"/>
    <w:pPr>
      <w:ind w:left="720"/>
    </w:pPr>
  </w:style>
  <w:style w:type="paragraph" w:customStyle="1" w:styleId="NormalIndent3">
    <w:name w:val="Normal Indent 3"/>
    <w:basedOn w:val="Normal"/>
    <w:unhideWhenUsed/>
    <w:rsid w:val="0098218E"/>
    <w:pPr>
      <w:ind w:left="1080"/>
    </w:pPr>
  </w:style>
  <w:style w:type="paragraph" w:customStyle="1" w:styleId="NormalIndent4">
    <w:name w:val="Normal Indent 4"/>
    <w:basedOn w:val="Normal"/>
    <w:unhideWhenUsed/>
    <w:rsid w:val="0098218E"/>
    <w:pPr>
      <w:ind w:left="1440"/>
    </w:pPr>
  </w:style>
  <w:style w:type="paragraph" w:styleId="NoteHeading">
    <w:name w:val="Note Heading"/>
    <w:basedOn w:val="Normal"/>
    <w:next w:val="Normal"/>
    <w:link w:val="NoteHeadingChar"/>
    <w:rsid w:val="0098218E"/>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rsid w:val="006544FA"/>
    <w:rPr>
      <w:rFonts w:asciiTheme="majorHAnsi" w:eastAsiaTheme="majorEastAsia" w:hAnsiTheme="majorHAnsi" w:cstheme="majorBidi"/>
      <w:sz w:val="16"/>
      <w:szCs w:val="16"/>
      <w:lang w:val="en-GB" w:eastAsia="ja-JP"/>
    </w:rPr>
  </w:style>
  <w:style w:type="table" w:customStyle="1" w:styleId="OWTable">
    <w:name w:val="OW Table"/>
    <w:basedOn w:val="TableNormal"/>
    <w:rsid w:val="0098218E"/>
    <w:pPr>
      <w:spacing w:after="0" w:line="240" w:lineRule="auto"/>
    </w:pPr>
    <w:rPr>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rsid w:val="0098218E"/>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98218E"/>
    <w:rPr>
      <w:rFonts w:asciiTheme="minorHAnsi" w:eastAsiaTheme="minorEastAsia" w:hAnsiTheme="minorHAnsi" w:cstheme="minorBidi"/>
      <w:b w:val="0"/>
      <w:bCs w:val="0"/>
      <w:i w:val="0"/>
      <w:iCs w:val="0"/>
      <w:smallCaps w:val="0"/>
      <w:sz w:val="20"/>
      <w:szCs w:val="20"/>
      <w:u w:val="none"/>
    </w:rPr>
  </w:style>
  <w:style w:type="character" w:styleId="PlaceholderText">
    <w:name w:val="Placeholder Text"/>
    <w:basedOn w:val="DefaultParagraphFont"/>
    <w:uiPriority w:val="99"/>
    <w:semiHidden/>
    <w:rsid w:val="0098218E"/>
    <w:rPr>
      <w:rFonts w:cstheme="minorBidi"/>
      <w:bCs w:val="0"/>
      <w:iCs w:val="0"/>
      <w:color w:val="808080"/>
      <w:szCs w:val="24"/>
    </w:rPr>
  </w:style>
  <w:style w:type="paragraph" w:styleId="PlainText">
    <w:name w:val="Plain Text"/>
    <w:basedOn w:val="Normal"/>
    <w:link w:val="PlainTextChar"/>
    <w:rsid w:val="0098218E"/>
    <w:pPr>
      <w:spacing w:after="0"/>
    </w:pPr>
    <w:rPr>
      <w:rFonts w:ascii="Consolas" w:hAnsi="Consolas" w:cs="Consolas"/>
      <w:sz w:val="21"/>
      <w:szCs w:val="21"/>
    </w:rPr>
  </w:style>
  <w:style w:type="character" w:customStyle="1" w:styleId="PlainTextChar">
    <w:name w:val="Plain Text Char"/>
    <w:basedOn w:val="DefaultParagraphFont"/>
    <w:link w:val="PlainText"/>
    <w:rsid w:val="0098218E"/>
    <w:rPr>
      <w:rFonts w:ascii="Consolas" w:eastAsiaTheme="minorEastAsia" w:hAnsi="Consolas" w:cs="Consolas"/>
      <w:sz w:val="21"/>
      <w:szCs w:val="21"/>
      <w:lang w:val="en-GB" w:eastAsia="ja-JP"/>
    </w:rPr>
  </w:style>
  <w:style w:type="paragraph" w:styleId="Quote">
    <w:name w:val="Quote"/>
    <w:basedOn w:val="Normal"/>
    <w:next w:val="Normal"/>
    <w:link w:val="QuoteChar"/>
    <w:uiPriority w:val="29"/>
    <w:qFormat/>
    <w:rsid w:val="000D3F22"/>
    <w:rPr>
      <w:i/>
      <w:iCs/>
      <w:color w:val="000000" w:themeColor="text1"/>
    </w:rPr>
  </w:style>
  <w:style w:type="character" w:customStyle="1" w:styleId="QuoteChar">
    <w:name w:val="Quote Char"/>
    <w:basedOn w:val="DefaultParagraphFont"/>
    <w:link w:val="Quote"/>
    <w:uiPriority w:val="29"/>
    <w:rsid w:val="000D3F22"/>
    <w:rPr>
      <w:i/>
      <w:iCs/>
      <w:color w:val="000000" w:themeColor="text1"/>
    </w:rPr>
  </w:style>
  <w:style w:type="paragraph" w:customStyle="1" w:styleId="ReportCrossRef">
    <w:name w:val="Report Cross Ref"/>
    <w:basedOn w:val="Normal"/>
    <w:rsid w:val="0098218E"/>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rsid w:val="0098218E"/>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rsid w:val="0098218E"/>
  </w:style>
  <w:style w:type="character" w:customStyle="1" w:styleId="SalutationChar">
    <w:name w:val="Salutation Char"/>
    <w:basedOn w:val="DefaultParagraphFont"/>
    <w:link w:val="Salutation"/>
    <w:rsid w:val="0098218E"/>
    <w:rPr>
      <w:rFonts w:eastAsiaTheme="minorEastAsia"/>
      <w:sz w:val="24"/>
      <w:szCs w:val="24"/>
      <w:lang w:val="en-GB" w:eastAsia="ja-JP"/>
    </w:rPr>
  </w:style>
  <w:style w:type="paragraph" w:styleId="Signature">
    <w:name w:val="Signature"/>
    <w:basedOn w:val="Normal"/>
    <w:link w:val="SignatureChar"/>
    <w:rsid w:val="0098218E"/>
    <w:pPr>
      <w:spacing w:after="0"/>
      <w:ind w:left="4252"/>
    </w:pPr>
  </w:style>
  <w:style w:type="character" w:customStyle="1" w:styleId="SignatureChar">
    <w:name w:val="Signature Char"/>
    <w:basedOn w:val="DefaultParagraphFont"/>
    <w:link w:val="Signature"/>
    <w:rsid w:val="0098218E"/>
    <w:rPr>
      <w:rFonts w:eastAsiaTheme="minorEastAsia"/>
      <w:sz w:val="24"/>
      <w:szCs w:val="24"/>
      <w:lang w:val="en-GB" w:eastAsia="ja-JP"/>
    </w:rPr>
  </w:style>
  <w:style w:type="character" w:styleId="Strong">
    <w:name w:val="Strong"/>
    <w:basedOn w:val="DefaultParagraphFont"/>
    <w:uiPriority w:val="22"/>
    <w:qFormat/>
    <w:rsid w:val="000D3F22"/>
    <w:rPr>
      <w:b/>
      <w:bCs/>
    </w:rPr>
  </w:style>
  <w:style w:type="paragraph" w:customStyle="1" w:styleId="Subject">
    <w:name w:val="Subject"/>
    <w:basedOn w:val="Normal"/>
    <w:link w:val="SubjectChar"/>
    <w:rsid w:val="0098218E"/>
    <w:pPr>
      <w:spacing w:after="0"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rsid w:val="0098218E"/>
    <w:rPr>
      <w:rFonts w:asciiTheme="majorHAnsi" w:eastAsiaTheme="majorEastAsia" w:hAnsiTheme="majorHAnsi" w:cstheme="majorBidi"/>
      <w:sz w:val="20"/>
      <w:szCs w:val="20"/>
      <w:lang w:val="en-GB"/>
    </w:rPr>
  </w:style>
  <w:style w:type="paragraph" w:styleId="Subtitle">
    <w:name w:val="Subtitle"/>
    <w:basedOn w:val="Normal"/>
    <w:next w:val="Normal"/>
    <w:link w:val="SubtitleChar"/>
    <w:uiPriority w:val="11"/>
    <w:qFormat/>
    <w:rsid w:val="000D3F2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D3F22"/>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uiPriority w:val="10"/>
    <w:qFormat/>
    <w:rsid w:val="000D3F2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D3F22"/>
    <w:rPr>
      <w:rFonts w:asciiTheme="majorHAnsi" w:eastAsiaTheme="majorEastAsia" w:hAnsiTheme="majorHAnsi" w:cstheme="majorBidi"/>
      <w:color w:val="17365D" w:themeColor="text2" w:themeShade="BF"/>
      <w:spacing w:val="5"/>
      <w:kern w:val="28"/>
      <w:sz w:val="52"/>
      <w:szCs w:val="52"/>
    </w:rPr>
  </w:style>
  <w:style w:type="character" w:styleId="SubtleEmphasis">
    <w:name w:val="Subtle Emphasis"/>
    <w:basedOn w:val="DefaultParagraphFont"/>
    <w:uiPriority w:val="19"/>
    <w:qFormat/>
    <w:rsid w:val="000D3F22"/>
    <w:rPr>
      <w:i/>
      <w:iCs/>
      <w:color w:val="808080" w:themeColor="text1" w:themeTint="7F"/>
    </w:rPr>
  </w:style>
  <w:style w:type="character" w:styleId="SubtleReference">
    <w:name w:val="Subtle Reference"/>
    <w:basedOn w:val="DefaultParagraphFont"/>
    <w:uiPriority w:val="31"/>
    <w:qFormat/>
    <w:rsid w:val="000D3F22"/>
    <w:rPr>
      <w:smallCaps/>
      <w:color w:val="C0504D" w:themeColor="accent2"/>
      <w:u w:val="single"/>
    </w:rPr>
  </w:style>
  <w:style w:type="paragraph" w:customStyle="1" w:styleId="Table">
    <w:name w:val="Table"/>
    <w:basedOn w:val="Normal"/>
    <w:rsid w:val="0098218E"/>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98218E"/>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8218E"/>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8218E"/>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rsid w:val="0098218E"/>
    <w:pPr>
      <w:numPr>
        <w:ilvl w:val="4"/>
        <w:numId w:val="12"/>
      </w:numPr>
      <w:spacing w:before="40" w:after="40"/>
      <w:outlineLvl w:val="4"/>
    </w:pPr>
    <w:rPr>
      <w:rFonts w:ascii="Arial" w:eastAsia="Times New Roman" w:hAnsi="Arial" w:cs="Arial"/>
      <w:sz w:val="20"/>
      <w:szCs w:val="20"/>
    </w:rPr>
  </w:style>
  <w:style w:type="paragraph" w:customStyle="1" w:styleId="TableBullet2">
    <w:name w:val="Table Bullet 2"/>
    <w:basedOn w:val="Normal"/>
    <w:rsid w:val="0098218E"/>
    <w:pPr>
      <w:numPr>
        <w:ilvl w:val="5"/>
        <w:numId w:val="12"/>
      </w:numPr>
      <w:spacing w:before="40" w:after="40"/>
      <w:outlineLvl w:val="5"/>
    </w:pPr>
    <w:rPr>
      <w:rFonts w:ascii="Arial" w:eastAsia="Times New Roman" w:hAnsi="Arial" w:cs="Arial"/>
      <w:sz w:val="20"/>
      <w:szCs w:val="20"/>
    </w:rPr>
  </w:style>
  <w:style w:type="paragraph" w:customStyle="1" w:styleId="TableBullet3">
    <w:name w:val="Table Bullet 3"/>
    <w:basedOn w:val="Normal"/>
    <w:rsid w:val="0098218E"/>
    <w:pPr>
      <w:numPr>
        <w:ilvl w:val="6"/>
        <w:numId w:val="12"/>
      </w:numPr>
      <w:spacing w:before="40" w:after="40"/>
      <w:outlineLvl w:val="6"/>
    </w:pPr>
    <w:rPr>
      <w:rFonts w:ascii="Arial" w:eastAsia="Times New Roman" w:hAnsi="Arial" w:cs="Arial"/>
      <w:sz w:val="20"/>
      <w:szCs w:val="20"/>
    </w:rPr>
  </w:style>
  <w:style w:type="paragraph" w:customStyle="1" w:styleId="TableBullet4">
    <w:name w:val="Table Bullet 4"/>
    <w:basedOn w:val="Normal"/>
    <w:rsid w:val="0098218E"/>
    <w:pPr>
      <w:numPr>
        <w:ilvl w:val="7"/>
        <w:numId w:val="12"/>
      </w:numPr>
      <w:spacing w:before="40" w:after="40"/>
      <w:outlineLvl w:val="7"/>
    </w:pPr>
    <w:rPr>
      <w:rFonts w:ascii="Arial" w:eastAsia="Times New Roman" w:hAnsi="Arial" w:cs="Arial"/>
      <w:sz w:val="20"/>
      <w:szCs w:val="20"/>
    </w:rPr>
  </w:style>
  <w:style w:type="table" w:styleId="TableClassic1">
    <w:name w:val="Table Classic 1"/>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8218E"/>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8218E"/>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8218E"/>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8218E"/>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8218E"/>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8218E"/>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8218E"/>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8218E"/>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8218E"/>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8218E"/>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8218E"/>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8218E"/>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rsid w:val="0098218E"/>
    <w:pPr>
      <w:spacing w:before="60" w:after="60"/>
    </w:pPr>
    <w:rPr>
      <w:rFonts w:asciiTheme="majorHAnsi" w:eastAsiaTheme="majorEastAsia" w:hAnsiTheme="majorHAnsi" w:cstheme="majorBidi"/>
      <w:b/>
      <w:bCs/>
      <w:sz w:val="18"/>
      <w:szCs w:val="18"/>
    </w:rPr>
  </w:style>
  <w:style w:type="table" w:styleId="TableList1">
    <w:name w:val="Table List 1"/>
    <w:basedOn w:val="TableNormal"/>
    <w:rsid w:val="0098218E"/>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8218E"/>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8218E"/>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8218E"/>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8218E"/>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98218E"/>
    <w:rPr>
      <w:rFonts w:asciiTheme="majorHAnsi" w:eastAsiaTheme="majorEastAsia" w:hAnsiTheme="majorHAnsi" w:cstheme="majorBidi"/>
    </w:rPr>
  </w:style>
  <w:style w:type="paragraph" w:styleId="TableofAuthorities">
    <w:name w:val="table of authorities"/>
    <w:basedOn w:val="Normal"/>
    <w:next w:val="Normal"/>
    <w:rsid w:val="0098218E"/>
    <w:pPr>
      <w:spacing w:after="0"/>
      <w:ind w:left="240" w:hanging="240"/>
    </w:pPr>
  </w:style>
  <w:style w:type="paragraph" w:styleId="TableofFigures">
    <w:name w:val="table of figures"/>
    <w:basedOn w:val="TOC2"/>
    <w:next w:val="Normal"/>
    <w:rsid w:val="0098218E"/>
    <w:pPr>
      <w:spacing w:before="100" w:beforeAutospacing="1" w:after="100" w:afterAutospacing="1"/>
    </w:pPr>
  </w:style>
  <w:style w:type="paragraph" w:styleId="TOC2">
    <w:name w:val="toc 2"/>
    <w:basedOn w:val="TOC1"/>
    <w:next w:val="Normal"/>
    <w:uiPriority w:val="39"/>
    <w:unhideWhenUsed/>
    <w:qFormat/>
    <w:rsid w:val="0098218E"/>
    <w:pPr>
      <w:spacing w:before="0" w:after="0"/>
      <w:ind w:left="220"/>
    </w:pPr>
    <w:rPr>
      <w:b w:val="0"/>
      <w:bCs w:val="0"/>
      <w:caps w:val="0"/>
      <w:smallCaps/>
    </w:rPr>
  </w:style>
  <w:style w:type="table" w:styleId="TableProfessional">
    <w:name w:val="Table Professional"/>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8218E"/>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8218E"/>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8218E"/>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rsid w:val="0098218E"/>
    <w:pPr>
      <w:spacing w:before="40" w:after="40"/>
    </w:pPr>
    <w:rPr>
      <w:rFonts w:asciiTheme="majorHAnsi" w:eastAsiaTheme="majorEastAsia" w:hAnsiTheme="majorHAnsi" w:cstheme="majorBidi"/>
      <w:sz w:val="20"/>
      <w:szCs w:val="20"/>
    </w:rPr>
  </w:style>
  <w:style w:type="table" w:styleId="TableTheme">
    <w:name w:val="Table Theme"/>
    <w:basedOn w:val="TableNormal"/>
    <w:rsid w:val="0098218E"/>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8218E"/>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8218E"/>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8218E"/>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rsid w:val="0098218E"/>
    <w:rPr>
      <w:rFonts w:cstheme="minorBidi"/>
      <w:bCs w:val="0"/>
      <w:iCs w:val="0"/>
      <w:szCs w:val="24"/>
    </w:rPr>
  </w:style>
  <w:style w:type="paragraph" w:customStyle="1" w:styleId="TextBox">
    <w:name w:val="TextBox"/>
    <w:basedOn w:val="Normal"/>
    <w:next w:val="Normal"/>
    <w:rsid w:val="0098218E"/>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TextBox"/>
    <w:rsid w:val="0098218E"/>
    <w:pPr>
      <w:keepNext/>
      <w:numPr>
        <w:numId w:val="13"/>
      </w:numPr>
    </w:pPr>
  </w:style>
  <w:style w:type="paragraph" w:styleId="TOAHeading">
    <w:name w:val="toa heading"/>
    <w:basedOn w:val="Normal"/>
    <w:next w:val="Normal"/>
    <w:rsid w:val="0098218E"/>
    <w:pPr>
      <w:spacing w:before="120"/>
    </w:pPr>
    <w:rPr>
      <w:rFonts w:asciiTheme="majorHAnsi" w:eastAsiaTheme="majorEastAsia" w:hAnsiTheme="majorHAnsi" w:cstheme="majorBidi"/>
      <w:b/>
      <w:bCs/>
    </w:rPr>
  </w:style>
  <w:style w:type="paragraph" w:styleId="TOC1">
    <w:name w:val="toc 1"/>
    <w:basedOn w:val="Heading1"/>
    <w:next w:val="Normal"/>
    <w:uiPriority w:val="39"/>
    <w:qFormat/>
    <w:rsid w:val="0098218E"/>
    <w:pPr>
      <w:keepNext w:val="0"/>
      <w:keepLines w:val="0"/>
      <w:numPr>
        <w:numId w:val="0"/>
      </w:numPr>
      <w:spacing w:before="120" w:after="120"/>
      <w:outlineLvl w:val="9"/>
    </w:pPr>
    <w:rPr>
      <w:rFonts w:asciiTheme="minorHAnsi" w:eastAsiaTheme="minorEastAsia" w:hAnsiTheme="minorHAnsi" w:cstheme="minorHAnsi"/>
      <w:caps/>
      <w:color w:val="auto"/>
      <w:sz w:val="20"/>
      <w:szCs w:val="20"/>
    </w:rPr>
  </w:style>
  <w:style w:type="paragraph" w:styleId="TOC3">
    <w:name w:val="toc 3"/>
    <w:basedOn w:val="TOC2"/>
    <w:next w:val="Normal"/>
    <w:uiPriority w:val="39"/>
    <w:unhideWhenUsed/>
    <w:qFormat/>
    <w:rsid w:val="0098218E"/>
    <w:pPr>
      <w:ind w:left="440"/>
    </w:pPr>
    <w:rPr>
      <w:i/>
      <w:iCs/>
      <w:smallCaps w:val="0"/>
    </w:rPr>
  </w:style>
  <w:style w:type="paragraph" w:styleId="TOC4">
    <w:name w:val="toc 4"/>
    <w:basedOn w:val="TOC3"/>
    <w:next w:val="Normal"/>
    <w:uiPriority w:val="39"/>
    <w:unhideWhenUsed/>
    <w:rsid w:val="0098218E"/>
    <w:pPr>
      <w:ind w:left="660"/>
    </w:pPr>
    <w:rPr>
      <w:i w:val="0"/>
      <w:iCs w:val="0"/>
      <w:sz w:val="18"/>
      <w:szCs w:val="18"/>
    </w:rPr>
  </w:style>
  <w:style w:type="paragraph" w:styleId="TOC5">
    <w:name w:val="toc 5"/>
    <w:basedOn w:val="TOC4"/>
    <w:next w:val="Normal"/>
    <w:unhideWhenUsed/>
    <w:rsid w:val="0098218E"/>
    <w:pPr>
      <w:ind w:left="880"/>
    </w:pPr>
  </w:style>
  <w:style w:type="paragraph" w:styleId="TOC6">
    <w:name w:val="toc 6"/>
    <w:basedOn w:val="TOC1"/>
    <w:next w:val="Normal"/>
    <w:autoRedefine/>
    <w:unhideWhenUsed/>
    <w:rsid w:val="0098218E"/>
    <w:pPr>
      <w:spacing w:before="0" w:after="0"/>
      <w:ind w:left="1100"/>
    </w:pPr>
    <w:rPr>
      <w:b w:val="0"/>
      <w:bCs w:val="0"/>
      <w:caps w:val="0"/>
      <w:sz w:val="18"/>
      <w:szCs w:val="18"/>
    </w:rPr>
  </w:style>
  <w:style w:type="paragraph" w:styleId="TOC7">
    <w:name w:val="toc 7"/>
    <w:basedOn w:val="Normal"/>
    <w:next w:val="Normal"/>
    <w:autoRedefine/>
    <w:unhideWhenUsed/>
    <w:rsid w:val="0098218E"/>
    <w:pPr>
      <w:spacing w:after="0"/>
      <w:ind w:left="1320"/>
    </w:pPr>
    <w:rPr>
      <w:rFonts w:cstheme="minorHAnsi"/>
      <w:sz w:val="18"/>
      <w:szCs w:val="18"/>
    </w:rPr>
  </w:style>
  <w:style w:type="paragraph" w:styleId="TOC8">
    <w:name w:val="toc 8"/>
    <w:basedOn w:val="Normal"/>
    <w:next w:val="Normal"/>
    <w:autoRedefine/>
    <w:unhideWhenUsed/>
    <w:rsid w:val="0098218E"/>
    <w:pPr>
      <w:spacing w:after="0"/>
      <w:ind w:left="1540"/>
    </w:pPr>
    <w:rPr>
      <w:rFonts w:cstheme="minorHAnsi"/>
      <w:sz w:val="18"/>
      <w:szCs w:val="18"/>
    </w:rPr>
  </w:style>
  <w:style w:type="paragraph" w:styleId="TOC9">
    <w:name w:val="toc 9"/>
    <w:basedOn w:val="Normal"/>
    <w:next w:val="Normal"/>
    <w:autoRedefine/>
    <w:unhideWhenUsed/>
    <w:rsid w:val="0098218E"/>
    <w:pPr>
      <w:spacing w:after="0"/>
      <w:ind w:left="1760"/>
    </w:pPr>
    <w:rPr>
      <w:rFonts w:cstheme="minorHAnsi"/>
      <w:sz w:val="18"/>
      <w:szCs w:val="18"/>
    </w:rPr>
  </w:style>
  <w:style w:type="paragraph" w:styleId="TOCHeading">
    <w:name w:val="TOC Heading"/>
    <w:basedOn w:val="Heading1"/>
    <w:next w:val="Normal"/>
    <w:uiPriority w:val="39"/>
    <w:unhideWhenUsed/>
    <w:qFormat/>
    <w:rsid w:val="000D3F22"/>
    <w:pPr>
      <w:outlineLvl w:val="9"/>
    </w:pPr>
  </w:style>
  <w:style w:type="paragraph" w:customStyle="1" w:styleId="Default">
    <w:name w:val="Default"/>
    <w:rsid w:val="00FD2B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00707"/>
    <w:pPr>
      <w:spacing w:after="0" w:line="240" w:lineRule="auto"/>
    </w:pPr>
    <w:rPr>
      <w:sz w:val="24"/>
      <w:szCs w:val="24"/>
      <w:lang w:val="en-GB" w:eastAsia="ja-JP"/>
    </w:rPr>
  </w:style>
  <w:style w:type="character" w:customStyle="1" w:styleId="NoSpacingChar">
    <w:name w:val="No Spacing Char"/>
    <w:basedOn w:val="DefaultParagraphFont"/>
    <w:link w:val="NoSpacing"/>
    <w:uiPriority w:val="1"/>
    <w:locked/>
    <w:rsid w:val="00BF7EBE"/>
  </w:style>
  <w:style w:type="character" w:customStyle="1" w:styleId="sectno">
    <w:name w:val="sectno"/>
    <w:basedOn w:val="DefaultParagraphFont"/>
    <w:rsid w:val="00060205"/>
  </w:style>
  <w:style w:type="character" w:customStyle="1" w:styleId="subject0">
    <w:name w:val="subject"/>
    <w:basedOn w:val="DefaultParagraphFont"/>
    <w:rsid w:val="00060205"/>
  </w:style>
  <w:style w:type="character" w:customStyle="1" w:styleId="apple-converted-space">
    <w:name w:val="apple-converted-space"/>
    <w:basedOn w:val="DefaultParagraphFont"/>
    <w:rsid w:val="000602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397665">
      <w:bodyDiv w:val="1"/>
      <w:marLeft w:val="0"/>
      <w:marRight w:val="0"/>
      <w:marTop w:val="0"/>
      <w:marBottom w:val="0"/>
      <w:divBdr>
        <w:top w:val="none" w:sz="0" w:space="0" w:color="auto"/>
        <w:left w:val="none" w:sz="0" w:space="0" w:color="auto"/>
        <w:bottom w:val="none" w:sz="0" w:space="0" w:color="auto"/>
        <w:right w:val="none" w:sz="0" w:space="0" w:color="auto"/>
      </w:divBdr>
    </w:div>
    <w:div w:id="608466436">
      <w:bodyDiv w:val="1"/>
      <w:marLeft w:val="0"/>
      <w:marRight w:val="0"/>
      <w:marTop w:val="0"/>
      <w:marBottom w:val="0"/>
      <w:divBdr>
        <w:top w:val="none" w:sz="0" w:space="0" w:color="auto"/>
        <w:left w:val="none" w:sz="0" w:space="0" w:color="auto"/>
        <w:bottom w:val="none" w:sz="0" w:space="0" w:color="auto"/>
        <w:right w:val="none" w:sz="0" w:space="0" w:color="auto"/>
      </w:divBdr>
    </w:div>
    <w:div w:id="865563747">
      <w:bodyDiv w:val="1"/>
      <w:marLeft w:val="0"/>
      <w:marRight w:val="0"/>
      <w:marTop w:val="0"/>
      <w:marBottom w:val="0"/>
      <w:divBdr>
        <w:top w:val="none" w:sz="0" w:space="0" w:color="auto"/>
        <w:left w:val="none" w:sz="0" w:space="0" w:color="auto"/>
        <w:bottom w:val="none" w:sz="0" w:space="0" w:color="auto"/>
        <w:right w:val="none" w:sz="0" w:space="0" w:color="auto"/>
      </w:divBdr>
    </w:div>
    <w:div w:id="930435130">
      <w:bodyDiv w:val="1"/>
      <w:marLeft w:val="0"/>
      <w:marRight w:val="0"/>
      <w:marTop w:val="0"/>
      <w:marBottom w:val="0"/>
      <w:divBdr>
        <w:top w:val="none" w:sz="0" w:space="0" w:color="auto"/>
        <w:left w:val="none" w:sz="0" w:space="0" w:color="auto"/>
        <w:bottom w:val="none" w:sz="0" w:space="0" w:color="auto"/>
        <w:right w:val="none" w:sz="0" w:space="0" w:color="auto"/>
      </w:divBdr>
    </w:div>
    <w:div w:id="1217930993">
      <w:bodyDiv w:val="1"/>
      <w:marLeft w:val="0"/>
      <w:marRight w:val="0"/>
      <w:marTop w:val="0"/>
      <w:marBottom w:val="0"/>
      <w:divBdr>
        <w:top w:val="none" w:sz="0" w:space="0" w:color="auto"/>
        <w:left w:val="none" w:sz="0" w:space="0" w:color="auto"/>
        <w:bottom w:val="none" w:sz="0" w:space="0" w:color="auto"/>
        <w:right w:val="none" w:sz="0" w:space="0" w:color="auto"/>
      </w:divBdr>
    </w:div>
    <w:div w:id="1497071064">
      <w:bodyDiv w:val="1"/>
      <w:marLeft w:val="0"/>
      <w:marRight w:val="0"/>
      <w:marTop w:val="0"/>
      <w:marBottom w:val="0"/>
      <w:divBdr>
        <w:top w:val="none" w:sz="0" w:space="0" w:color="auto"/>
        <w:left w:val="none" w:sz="0" w:space="0" w:color="auto"/>
        <w:bottom w:val="none" w:sz="0" w:space="0" w:color="auto"/>
        <w:right w:val="none" w:sz="0" w:space="0" w:color="auto"/>
      </w:divBdr>
    </w:div>
    <w:div w:id="1702634278">
      <w:bodyDiv w:val="1"/>
      <w:marLeft w:val="0"/>
      <w:marRight w:val="0"/>
      <w:marTop w:val="0"/>
      <w:marBottom w:val="0"/>
      <w:divBdr>
        <w:top w:val="none" w:sz="0" w:space="0" w:color="auto"/>
        <w:left w:val="none" w:sz="0" w:space="0" w:color="auto"/>
        <w:bottom w:val="none" w:sz="0" w:space="0" w:color="auto"/>
        <w:right w:val="none" w:sz="0" w:space="0" w:color="auto"/>
      </w:divBdr>
    </w:div>
    <w:div w:id="1991859279">
      <w:bodyDiv w:val="1"/>
      <w:marLeft w:val="0"/>
      <w:marRight w:val="0"/>
      <w:marTop w:val="0"/>
      <w:marBottom w:val="0"/>
      <w:divBdr>
        <w:top w:val="none" w:sz="0" w:space="0" w:color="auto"/>
        <w:left w:val="none" w:sz="0" w:space="0" w:color="auto"/>
        <w:bottom w:val="none" w:sz="0" w:space="0" w:color="auto"/>
        <w:right w:val="none" w:sz="0" w:space="0" w:color="auto"/>
      </w:divBdr>
    </w:div>
    <w:div w:id="2070494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11.emf"/><Relationship Id="rId7" Type="http://schemas.openxmlformats.org/officeDocument/2006/relationships/endnotes" Target="endnotes.xml"/><Relationship Id="rId12" Type="http://schemas.openxmlformats.org/officeDocument/2006/relationships/hyperlink" Target="https://ratereview.healthcare.gov/" TargetMode="External"/><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4.emf"/><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footer" Target="footer1.xml"/><Relationship Id="rId10" Type="http://schemas.openxmlformats.org/officeDocument/2006/relationships/hyperlink" Target="http://www.cms.gov/CCIIO/Resources/Data-Resources/ratereview.html" TargetMode="External"/><Relationship Id="rId19" Type="http://schemas.openxmlformats.org/officeDocument/2006/relationships/image" Target="media/image9.emf"/><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ratereview.healthcare.gov/" TargetMode="Externa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header" Target="header2.xml"/><Relationship Id="rId30"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CCIIO/Resources/Fact-Sheets-and-FAQs/Downloads/uniform-mod-and-plan-wd-FAQ-06-15-2015.pdf" TargetMode="External"/><Relationship Id="rId1" Type="http://schemas.openxmlformats.org/officeDocument/2006/relationships/hyperlink" Target="http://www.cms.gov/CCIIO/Resources/Regulations-and-Guidance/Downloads/transition-to-compliant-policies-03-06-20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E9F07-8A2D-455C-874D-E9CBF73C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78</Pages>
  <Words>30164</Words>
  <Characters>171936</Characters>
  <Application>Microsoft Office Word</Application>
  <DocSecurity>0</DocSecurity>
  <Lines>1432</Lines>
  <Paragraphs>403</Paragraphs>
  <ScaleCrop>false</ScaleCrop>
  <HeadingPairs>
    <vt:vector size="2" baseType="variant">
      <vt:variant>
        <vt:lpstr>Title</vt:lpstr>
      </vt:variant>
      <vt:variant>
        <vt:i4>1</vt:i4>
      </vt:variant>
    </vt:vector>
  </HeadingPairs>
  <TitlesOfParts>
    <vt:vector size="1" baseType="lpstr">
      <vt:lpstr/>
    </vt:vector>
  </TitlesOfParts>
  <Company>Oliver Wyman</Company>
  <LinksUpToDate>false</LinksUpToDate>
  <CharactersWithSpaces>201697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Brent Plemons</dc:creator>
  <cp:lastModifiedBy>LISA CUOZZO</cp:lastModifiedBy>
  <cp:revision>4</cp:revision>
  <cp:lastPrinted>2016-01-15T22:10:00Z</cp:lastPrinted>
  <dcterms:created xsi:type="dcterms:W3CDTF">2016-08-09T19:09:00Z</dcterms:created>
  <dcterms:modified xsi:type="dcterms:W3CDTF">2016-08-09T20:08:00Z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119749731</vt:i4>
  </property>
  <property fmtid="{D5CDD505-2E9C-101B-9397-08002B2CF9AE}" pid="3" name="_NewReviewCycle">
    <vt:lpwstr/>
  </property>
  <property fmtid="{D5CDD505-2E9C-101B-9397-08002B2CF9AE}" pid="4" name="_EmailSubject">
    <vt:lpwstr>APPROVAL REQUESTED BY 8/12: 0938-1141 - Rate Increase Disclosure and Review Reporting Requirements </vt:lpwstr>
  </property>
  <property fmtid="{D5CDD505-2E9C-101B-9397-08002B2CF9AE}" pid="5" name="_AuthorEmail">
    <vt:lpwstr>jamaa.hill@cms.hhs.gov</vt:lpwstr>
  </property>
  <property fmtid="{D5CDD505-2E9C-101B-9397-08002B2CF9AE}" pid="6" name="_AuthorEmailDisplayName">
    <vt:lpwstr>Hill, Jamaa N. (CMS/OSORA)</vt:lpwstr>
  </property>
  <property fmtid="{D5CDD505-2E9C-101B-9397-08002B2CF9AE}" pid="7" name="_PreviousAdHocReviewCycleID">
    <vt:i4>-122736676</vt:i4>
  </property>
</Properties>
</file>