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A9732" w14:textId="312FA6BF" w:rsidR="00EF4FB8" w:rsidRPr="00424762" w:rsidRDefault="00EF4FB8" w:rsidP="001F1C74">
      <w:pPr>
        <w:tabs>
          <w:tab w:val="left" w:pos="2340"/>
        </w:tabs>
        <w:spacing w:line="276" w:lineRule="auto"/>
        <w:jc w:val="center"/>
        <w:rPr>
          <w:b/>
          <w:sz w:val="24"/>
        </w:rPr>
      </w:pPr>
      <w:r w:rsidRPr="00424762">
        <w:rPr>
          <w:b/>
          <w:sz w:val="24"/>
        </w:rPr>
        <w:t>Supporting Statement – Part B</w:t>
      </w:r>
    </w:p>
    <w:p w14:paraId="76B02DA3" w14:textId="24871F39" w:rsidR="00A74BAC" w:rsidRPr="00424762" w:rsidRDefault="00EF4FB8" w:rsidP="001F1C74">
      <w:pPr>
        <w:tabs>
          <w:tab w:val="left" w:pos="2340"/>
        </w:tabs>
        <w:spacing w:line="276" w:lineRule="auto"/>
        <w:jc w:val="center"/>
        <w:rPr>
          <w:b/>
          <w:sz w:val="24"/>
        </w:rPr>
      </w:pPr>
      <w:r w:rsidRPr="00424762">
        <w:rPr>
          <w:b/>
          <w:sz w:val="24"/>
        </w:rPr>
        <w:t xml:space="preserve"> </w:t>
      </w:r>
      <w:r w:rsidR="00A74BAC" w:rsidRPr="00424762">
        <w:rPr>
          <w:b/>
          <w:sz w:val="24"/>
        </w:rPr>
        <w:t>Merit-Based Incentive Payment System (MIPS)</w:t>
      </w:r>
    </w:p>
    <w:p w14:paraId="5FD3C61E" w14:textId="350EFD05" w:rsidR="00A74BAC" w:rsidRPr="00424762" w:rsidRDefault="00A74BAC" w:rsidP="001F1C74">
      <w:pPr>
        <w:tabs>
          <w:tab w:val="left" w:pos="2340"/>
        </w:tabs>
        <w:spacing w:line="276" w:lineRule="auto"/>
        <w:jc w:val="center"/>
        <w:rPr>
          <w:b/>
          <w:sz w:val="24"/>
        </w:rPr>
      </w:pPr>
      <w:r w:rsidRPr="00424762">
        <w:rPr>
          <w:b/>
          <w:sz w:val="24"/>
        </w:rPr>
        <w:t>CMS</w:t>
      </w:r>
      <w:r w:rsidRPr="00B81057">
        <w:rPr>
          <w:b/>
          <w:sz w:val="24"/>
          <w:highlight w:val="yellow"/>
        </w:rPr>
        <w:t>-XXXX</w:t>
      </w:r>
      <w:r w:rsidRPr="00424762">
        <w:rPr>
          <w:b/>
          <w:sz w:val="24"/>
        </w:rPr>
        <w:t xml:space="preserve">, OCN </w:t>
      </w:r>
      <w:r w:rsidR="001F1C74">
        <w:rPr>
          <w:b/>
          <w:sz w:val="24"/>
        </w:rPr>
        <w:t>0938-1222</w:t>
      </w:r>
    </w:p>
    <w:p w14:paraId="1799DCC6" w14:textId="36010073" w:rsidR="00FF0D8A" w:rsidRPr="00424762"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jc w:val="center"/>
        <w:rPr>
          <w:sz w:val="24"/>
        </w:rPr>
      </w:pPr>
      <w:r w:rsidRPr="00424762">
        <w:rPr>
          <w:bCs/>
          <w:sz w:val="24"/>
        </w:rPr>
        <w:t>Collections of Information Employing Statistical Methods</w:t>
      </w:r>
    </w:p>
    <w:p w14:paraId="03C3C668" w14:textId="77777777" w:rsidR="003A2E1E" w:rsidRDefault="000A7751"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b/>
          <w:sz w:val="24"/>
        </w:rPr>
        <w:t>Introduction</w:t>
      </w:r>
    </w:p>
    <w:p w14:paraId="717B7782" w14:textId="1E54E26A" w:rsidR="007D602E" w:rsidRDefault="008A7386" w:rsidP="001F1C74">
      <w:pPr>
        <w:spacing w:line="276" w:lineRule="auto"/>
        <w:ind w:firstLine="720"/>
        <w:rPr>
          <w:sz w:val="24"/>
        </w:rPr>
      </w:pPr>
      <w:r w:rsidRPr="000F5D5E">
        <w:rPr>
          <w:sz w:val="24"/>
        </w:rPr>
        <w:t xml:space="preserve">The Centers for Medicare &amp; Medicaid Services (CMS) </w:t>
      </w:r>
      <w:r w:rsidR="007A324A">
        <w:rPr>
          <w:sz w:val="24"/>
        </w:rPr>
        <w:t>requests a revision to a previously approved survey under t</w:t>
      </w:r>
      <w:r w:rsidRPr="000F5D5E">
        <w:rPr>
          <w:sz w:val="24"/>
        </w:rPr>
        <w:t>he Paperwork Reduction Act of 1995 to implement the</w:t>
      </w:r>
      <w:r>
        <w:rPr>
          <w:sz w:val="24"/>
        </w:rPr>
        <w:t xml:space="preserve"> </w:t>
      </w:r>
      <w:r w:rsidRPr="000F5D5E">
        <w:rPr>
          <w:sz w:val="24"/>
        </w:rPr>
        <w:t xml:space="preserve">Consumer Assessment of Healthcare Providers and Systems (CAHPS) Survey for </w:t>
      </w:r>
      <w:r>
        <w:rPr>
          <w:sz w:val="24"/>
        </w:rPr>
        <w:t xml:space="preserve">the Merit-based Incentive Payment System (MIPS). </w:t>
      </w:r>
      <w:r w:rsidRPr="000F5D5E">
        <w:rPr>
          <w:sz w:val="24"/>
        </w:rPr>
        <w:t xml:space="preserve">Specifically, the Center for Medicare &amp; Medicaid Services (CMS) will </w:t>
      </w:r>
      <w:r>
        <w:rPr>
          <w:sz w:val="24"/>
        </w:rPr>
        <w:t>use the</w:t>
      </w:r>
      <w:r w:rsidRPr="000F5D5E">
        <w:rPr>
          <w:sz w:val="24"/>
        </w:rPr>
        <w:t xml:space="preserve"> CAHPS </w:t>
      </w:r>
      <w:r>
        <w:rPr>
          <w:sz w:val="24"/>
        </w:rPr>
        <w:t xml:space="preserve">for MIPS </w:t>
      </w:r>
      <w:r w:rsidRPr="000F5D5E">
        <w:rPr>
          <w:sz w:val="24"/>
        </w:rPr>
        <w:t xml:space="preserve">survey to collect data on fee-for-service Medicare beneficiaries’ experiences of care with providers participating in the </w:t>
      </w:r>
      <w:r>
        <w:rPr>
          <w:sz w:val="24"/>
        </w:rPr>
        <w:t>MIPS</w:t>
      </w:r>
      <w:r w:rsidRPr="000F5D5E">
        <w:rPr>
          <w:sz w:val="24"/>
        </w:rPr>
        <w:t xml:space="preserve"> for use in quality reporting</w:t>
      </w:r>
      <w:r>
        <w:rPr>
          <w:sz w:val="24"/>
        </w:rPr>
        <w:t xml:space="preserve">, </w:t>
      </w:r>
      <w:r w:rsidRPr="000F5D5E">
        <w:rPr>
          <w:sz w:val="24"/>
        </w:rPr>
        <w:t>the Physician Compare website</w:t>
      </w:r>
      <w:r>
        <w:rPr>
          <w:sz w:val="24"/>
        </w:rPr>
        <w:t xml:space="preserve">, and annual statistical reports describing MIPS data for all MIPS eligible clinicians. </w:t>
      </w:r>
    </w:p>
    <w:p w14:paraId="1196FC6A" w14:textId="69906746" w:rsidR="008A7386" w:rsidRDefault="007D602E" w:rsidP="001F1C74">
      <w:pPr>
        <w:spacing w:line="276" w:lineRule="auto"/>
        <w:ind w:firstLine="720"/>
        <w:rPr>
          <w:sz w:val="24"/>
        </w:rPr>
      </w:pPr>
      <w:r>
        <w:rPr>
          <w:sz w:val="24"/>
        </w:rPr>
        <w:t xml:space="preserve">Under MIPS, groups of two or more eligible clinicians may choose to use the CAHPS for MIPS survey to fulfill part of the requirements for data submission for the quality performance category. </w:t>
      </w:r>
      <w:r w:rsidR="008A7386">
        <w:rPr>
          <w:sz w:val="24"/>
        </w:rPr>
        <w:t xml:space="preserve">Groups that elect to include </w:t>
      </w:r>
      <w:r w:rsidR="00C66B6F">
        <w:rPr>
          <w:sz w:val="24"/>
        </w:rPr>
        <w:t xml:space="preserve">the </w:t>
      </w:r>
      <w:r w:rsidR="008A7386">
        <w:rPr>
          <w:sz w:val="24"/>
        </w:rPr>
        <w:t xml:space="preserve">CAHPS for MIPS survey as a quality measure must use a CMS-approved survey vendor to submit CAHPS data but other quality data may be reported by any single one of the other available submission mechanisms for the quality performance category. For the 12-month performance period, a group who wishes to voluntarily elect to participate in the CAHPS for MIPS survey measures must use a survey vendor that is approved by CMS for a particular performance period to </w:t>
      </w:r>
      <w:r w:rsidR="00484616">
        <w:rPr>
          <w:sz w:val="24"/>
        </w:rPr>
        <w:t xml:space="preserve">collect and </w:t>
      </w:r>
      <w:r w:rsidR="008A7386">
        <w:rPr>
          <w:sz w:val="24"/>
        </w:rPr>
        <w:t>transmit survey measures data to CMS.</w:t>
      </w:r>
    </w:p>
    <w:p w14:paraId="011C11C3" w14:textId="7F7783C1" w:rsidR="008A7386" w:rsidRDefault="008A7386" w:rsidP="001F1C74">
      <w:pPr>
        <w:spacing w:line="276" w:lineRule="auto"/>
        <w:ind w:firstLine="720"/>
        <w:rPr>
          <w:sz w:val="24"/>
        </w:rPr>
      </w:pPr>
      <w:r>
        <w:rPr>
          <w:sz w:val="24"/>
        </w:rPr>
        <w:t>The CAHPS for MIPS survey counts for one measure towards the MIPS quality</w:t>
      </w:r>
    </w:p>
    <w:p w14:paraId="2CE21A4B" w14:textId="77777777" w:rsidR="008A7386" w:rsidRDefault="008A7386" w:rsidP="001F1C74">
      <w:pPr>
        <w:spacing w:line="276" w:lineRule="auto"/>
        <w:rPr>
          <w:sz w:val="24"/>
        </w:rPr>
      </w:pPr>
      <w:r>
        <w:rPr>
          <w:sz w:val="24"/>
        </w:rPr>
        <w:t>performance category and also fulfills the requirement to report at least one cross-cutting</w:t>
      </w:r>
    </w:p>
    <w:p w14:paraId="7917686A" w14:textId="77777777" w:rsidR="008A7386" w:rsidRDefault="008A7386" w:rsidP="001F1C74">
      <w:pPr>
        <w:spacing w:line="276" w:lineRule="auto"/>
        <w:rPr>
          <w:sz w:val="24"/>
        </w:rPr>
      </w:pPr>
      <w:r>
        <w:rPr>
          <w:sz w:val="24"/>
        </w:rPr>
        <w:t>measure (and in the absence of an applicable outcome measure, the requirement to report at least</w:t>
      </w:r>
    </w:p>
    <w:p w14:paraId="59E992D8" w14:textId="71973180" w:rsidR="008A7386" w:rsidRDefault="008A7386" w:rsidP="001F1C74">
      <w:pPr>
        <w:spacing w:line="276" w:lineRule="auto"/>
        <w:rPr>
          <w:sz w:val="24"/>
        </w:rPr>
      </w:pPr>
      <w:r>
        <w:rPr>
          <w:sz w:val="24"/>
        </w:rPr>
        <w:t>one high priority measure as a patient experience measure). Groups that elect the CMS-</w:t>
      </w:r>
      <w:r w:rsidR="00D86F1A">
        <w:rPr>
          <w:sz w:val="24"/>
        </w:rPr>
        <w:t xml:space="preserve">approved </w:t>
      </w:r>
      <w:r>
        <w:rPr>
          <w:sz w:val="24"/>
        </w:rPr>
        <w:t>vendor reporting mechanism must select an additional group data</w:t>
      </w:r>
      <w:r w:rsidR="007D602E">
        <w:rPr>
          <w:sz w:val="24"/>
        </w:rPr>
        <w:t xml:space="preserve"> </w:t>
      </w:r>
      <w:r>
        <w:rPr>
          <w:sz w:val="24"/>
        </w:rPr>
        <w:t>submission mechanism in order to meet the data submission criteria for the MIPS quality</w:t>
      </w:r>
      <w:r w:rsidR="007D602E">
        <w:rPr>
          <w:sz w:val="24"/>
        </w:rPr>
        <w:t xml:space="preserve"> </w:t>
      </w:r>
      <w:r>
        <w:rPr>
          <w:sz w:val="24"/>
        </w:rPr>
        <w:t>performance category.</w:t>
      </w:r>
    </w:p>
    <w:p w14:paraId="42C5095D" w14:textId="7450B7C6" w:rsidR="003A2E1E" w:rsidRPr="001F1C74" w:rsidRDefault="007A324A"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3"/>
          <w:szCs w:val="23"/>
        </w:rPr>
        <w:tab/>
      </w:r>
      <w:r w:rsidRPr="001F1C74">
        <w:rPr>
          <w:sz w:val="24"/>
        </w:rPr>
        <w:t xml:space="preserve">This request for a revision to a previously approved package takes the OMB control number 0938-1222. The currently approved CAHPS for Physician Quality package expires on 02/28/2017. </w:t>
      </w:r>
    </w:p>
    <w:p w14:paraId="322FE86F" w14:textId="77777777" w:rsidR="007A324A" w:rsidRDefault="007A324A"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6E305CF" w14:textId="58B8C0B0" w:rsidR="00266B5B" w:rsidRPr="00424762"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1.  Describe (including a numerical estimate) the potential respondent universe and any sam</w:t>
      </w:r>
      <w:r w:rsidRPr="00424762">
        <w:rPr>
          <w:b/>
          <w:sz w:val="24"/>
        </w:rPr>
        <w:softHyphen/>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CB93043" w14:textId="4DAC9075" w:rsidR="00C4093D" w:rsidRDefault="00C4093D"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313A6FFA" w14:textId="417FC40D" w:rsidR="002E24D9" w:rsidRPr="007118F3" w:rsidRDefault="002E24D9"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Because historical participation rates for quality </w:t>
      </w:r>
      <w:r w:rsidR="0007471D">
        <w:rPr>
          <w:sz w:val="24"/>
        </w:rPr>
        <w:t>data</w:t>
      </w:r>
      <w:r>
        <w:rPr>
          <w:sz w:val="24"/>
        </w:rPr>
        <w:t xml:space="preserve"> submission under PQRS have never </w:t>
      </w:r>
      <w:r>
        <w:rPr>
          <w:sz w:val="24"/>
        </w:rPr>
        <w:lastRenderedPageBreak/>
        <w:t>reached 100 percent</w:t>
      </w:r>
      <w:r w:rsidR="004F2B40">
        <w:rPr>
          <w:sz w:val="24"/>
        </w:rPr>
        <w:t xml:space="preserve">, we anticipate </w:t>
      </w:r>
      <w:r>
        <w:rPr>
          <w:sz w:val="24"/>
        </w:rPr>
        <w:t xml:space="preserve">that </w:t>
      </w:r>
      <w:r w:rsidR="004F2B40">
        <w:rPr>
          <w:sz w:val="24"/>
        </w:rPr>
        <w:t xml:space="preserve">MIPS </w:t>
      </w:r>
      <w:r w:rsidR="006D1655">
        <w:rPr>
          <w:sz w:val="24"/>
        </w:rPr>
        <w:t>will not achieve full participation</w:t>
      </w:r>
      <w:r w:rsidR="004F2B40">
        <w:rPr>
          <w:sz w:val="24"/>
        </w:rPr>
        <w:t xml:space="preserve">. </w:t>
      </w:r>
      <w:r w:rsidR="0007471D">
        <w:rPr>
          <w:sz w:val="24"/>
        </w:rPr>
        <w:t xml:space="preserve">Under the 2014 PQRS, </w:t>
      </w:r>
      <w:r w:rsidR="00342516" w:rsidRPr="00424762">
        <w:rPr>
          <w:sz w:val="24"/>
        </w:rPr>
        <w:t>834,358</w:t>
      </w:r>
      <w:r w:rsidR="00342516">
        <w:rPr>
          <w:sz w:val="24"/>
        </w:rPr>
        <w:t xml:space="preserve"> of approximately 1.3 million eligible professionals</w:t>
      </w:r>
      <w:r w:rsidR="00342516" w:rsidRPr="00424762">
        <w:rPr>
          <w:sz w:val="24"/>
        </w:rPr>
        <w:t xml:space="preserve"> </w:t>
      </w:r>
      <w:r w:rsidR="001F357D">
        <w:rPr>
          <w:sz w:val="24"/>
        </w:rPr>
        <w:t xml:space="preserve">(EPs) </w:t>
      </w:r>
      <w:r w:rsidR="00342516" w:rsidRPr="00424762">
        <w:rPr>
          <w:sz w:val="24"/>
        </w:rPr>
        <w:t>(including those who belong</w:t>
      </w:r>
      <w:r w:rsidR="00342516">
        <w:rPr>
          <w:sz w:val="24"/>
        </w:rPr>
        <w:t>ed</w:t>
      </w:r>
      <w:r w:rsidR="00342516" w:rsidRPr="00424762">
        <w:rPr>
          <w:sz w:val="24"/>
        </w:rPr>
        <w:t xml:space="preserve"> to </w:t>
      </w:r>
      <w:r w:rsidR="00342516">
        <w:rPr>
          <w:sz w:val="24"/>
        </w:rPr>
        <w:t>group practice</w:t>
      </w:r>
      <w:r w:rsidR="00342516" w:rsidRPr="00424762">
        <w:rPr>
          <w:sz w:val="24"/>
        </w:rPr>
        <w:t xml:space="preserve">s that participated under the </w:t>
      </w:r>
      <w:r w:rsidR="001F357D">
        <w:rPr>
          <w:sz w:val="24"/>
        </w:rPr>
        <w:t>group practice reporting option (</w:t>
      </w:r>
      <w:r w:rsidR="00342516" w:rsidRPr="00424762">
        <w:rPr>
          <w:sz w:val="24"/>
        </w:rPr>
        <w:t>GPRO</w:t>
      </w:r>
      <w:r w:rsidR="001F357D">
        <w:rPr>
          <w:sz w:val="24"/>
        </w:rPr>
        <w:t>)</w:t>
      </w:r>
      <w:r w:rsidR="00342516" w:rsidRPr="00424762">
        <w:rPr>
          <w:sz w:val="24"/>
        </w:rPr>
        <w:t xml:space="preserve">, </w:t>
      </w:r>
      <w:r w:rsidR="00342516">
        <w:rPr>
          <w:sz w:val="24"/>
        </w:rPr>
        <w:t>EPs</w:t>
      </w:r>
      <w:r w:rsidR="00342516" w:rsidRPr="00424762">
        <w:rPr>
          <w:sz w:val="24"/>
        </w:rPr>
        <w:t xml:space="preserve"> within an </w:t>
      </w:r>
      <w:r w:rsidR="001F357D">
        <w:rPr>
          <w:sz w:val="24"/>
        </w:rPr>
        <w:t>accountable care organization (</w:t>
      </w:r>
      <w:r w:rsidR="00342516" w:rsidRPr="00424762">
        <w:rPr>
          <w:sz w:val="24"/>
        </w:rPr>
        <w:t>ACO</w:t>
      </w:r>
      <w:r w:rsidR="001F357D">
        <w:rPr>
          <w:sz w:val="24"/>
        </w:rPr>
        <w:t>)</w:t>
      </w:r>
      <w:r w:rsidR="00342516" w:rsidRPr="00424762">
        <w:rPr>
          <w:sz w:val="24"/>
        </w:rPr>
        <w:t xml:space="preserve"> participating under the </w:t>
      </w:r>
      <w:r w:rsidR="00342516">
        <w:rPr>
          <w:sz w:val="24"/>
        </w:rPr>
        <w:t>Shared Savings</w:t>
      </w:r>
      <w:r w:rsidR="00342516" w:rsidRPr="00424762">
        <w:rPr>
          <w:sz w:val="24"/>
        </w:rPr>
        <w:t xml:space="preserve"> </w:t>
      </w:r>
      <w:r w:rsidR="001F357D">
        <w:rPr>
          <w:sz w:val="24"/>
        </w:rPr>
        <w:t xml:space="preserve">Program </w:t>
      </w:r>
      <w:r w:rsidR="00342516" w:rsidRPr="00424762">
        <w:rPr>
          <w:sz w:val="24"/>
        </w:rPr>
        <w:t xml:space="preserve">or Pioneer ACO Model, and </w:t>
      </w:r>
      <w:r w:rsidR="00342516">
        <w:rPr>
          <w:sz w:val="24"/>
        </w:rPr>
        <w:t>EPs</w:t>
      </w:r>
      <w:r w:rsidR="00342516" w:rsidRPr="00424762">
        <w:rPr>
          <w:sz w:val="24"/>
        </w:rPr>
        <w:t xml:space="preserve"> participating through the </w:t>
      </w:r>
      <w:r w:rsidR="001F357D">
        <w:rPr>
          <w:sz w:val="24"/>
        </w:rPr>
        <w:t>comprehensive primary care (</w:t>
      </w:r>
      <w:r w:rsidR="00342516" w:rsidRPr="00424762">
        <w:rPr>
          <w:sz w:val="24"/>
        </w:rPr>
        <w:t>CPC</w:t>
      </w:r>
      <w:r w:rsidR="001F357D">
        <w:rPr>
          <w:sz w:val="24"/>
        </w:rPr>
        <w:t>)</w:t>
      </w:r>
      <w:r w:rsidR="00342516" w:rsidRPr="00424762">
        <w:rPr>
          <w:sz w:val="24"/>
        </w:rPr>
        <w:t xml:space="preserve"> initiative</w:t>
      </w:r>
      <w:r w:rsidR="00342516">
        <w:rPr>
          <w:sz w:val="24"/>
        </w:rPr>
        <w:t xml:space="preserve">. The 2014 PQRS participation rate was </w:t>
      </w:r>
      <w:r w:rsidR="007118F3">
        <w:rPr>
          <w:sz w:val="24"/>
        </w:rPr>
        <w:t xml:space="preserve">62.8 </w:t>
      </w:r>
      <w:r w:rsidR="00613B0D">
        <w:rPr>
          <w:sz w:val="24"/>
        </w:rPr>
        <w:t>percent</w:t>
      </w:r>
      <w:r w:rsidR="00342516">
        <w:rPr>
          <w:sz w:val="24"/>
        </w:rPr>
        <w:t>,</w:t>
      </w:r>
      <w:r w:rsidR="007118F3">
        <w:rPr>
          <w:sz w:val="24"/>
        </w:rPr>
        <w:t xml:space="preserve"> quadruple</w:t>
      </w:r>
      <w:r w:rsidR="00613B0D">
        <w:rPr>
          <w:sz w:val="24"/>
        </w:rPr>
        <w:t xml:space="preserve"> the 15 percent </w:t>
      </w:r>
      <w:r w:rsidR="00342516">
        <w:rPr>
          <w:sz w:val="24"/>
        </w:rPr>
        <w:t xml:space="preserve">participation </w:t>
      </w:r>
      <w:r w:rsidR="00613B0D">
        <w:rPr>
          <w:sz w:val="24"/>
        </w:rPr>
        <w:t>rate in the program’s first year (</w:t>
      </w:r>
      <w:r w:rsidR="007118F3" w:rsidRPr="007118F3">
        <w:rPr>
          <w:sz w:val="24"/>
        </w:rPr>
        <w:t>2007</w:t>
      </w:r>
      <w:r w:rsidR="00613B0D">
        <w:rPr>
          <w:sz w:val="24"/>
        </w:rPr>
        <w:t>).</w:t>
      </w:r>
      <w:r w:rsidR="005C67E9">
        <w:rPr>
          <w:rStyle w:val="FootnoteReference"/>
          <w:sz w:val="24"/>
        </w:rPr>
        <w:footnoteReference w:id="2"/>
      </w:r>
      <w:r w:rsidR="00342516">
        <w:rPr>
          <w:sz w:val="24"/>
        </w:rPr>
        <w:t xml:space="preserve"> </w:t>
      </w:r>
    </w:p>
    <w:p w14:paraId="14FD70B5" w14:textId="13CF66AE" w:rsidR="00715461" w:rsidRDefault="000C07AC"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Given that </w:t>
      </w:r>
      <w:r w:rsidR="008A7386">
        <w:rPr>
          <w:sz w:val="24"/>
        </w:rPr>
        <w:t xml:space="preserve">in the first MIPS performance period, </w:t>
      </w:r>
      <w:r>
        <w:rPr>
          <w:sz w:val="24"/>
        </w:rPr>
        <w:t xml:space="preserve">the </w:t>
      </w:r>
      <w:r w:rsidR="008A7386">
        <w:rPr>
          <w:sz w:val="24"/>
        </w:rPr>
        <w:t xml:space="preserve">CAHPS for MIPS survey instrument </w:t>
      </w:r>
      <w:r w:rsidR="001F1C74">
        <w:rPr>
          <w:sz w:val="24"/>
        </w:rPr>
        <w:t xml:space="preserve">will have the same questions as the </w:t>
      </w:r>
      <w:r w:rsidR="008A7386">
        <w:rPr>
          <w:sz w:val="24"/>
        </w:rPr>
        <w:t>CAHPS for PQRS survey</w:t>
      </w:r>
      <w:r>
        <w:rPr>
          <w:sz w:val="24"/>
        </w:rPr>
        <w:t xml:space="preserve">, we assume that </w:t>
      </w:r>
      <w:r w:rsidR="00D86F1A">
        <w:rPr>
          <w:sz w:val="24"/>
        </w:rPr>
        <w:t xml:space="preserve">the group practices that </w:t>
      </w:r>
      <w:r>
        <w:rPr>
          <w:sz w:val="24"/>
        </w:rPr>
        <w:t xml:space="preserve">previously </w:t>
      </w:r>
      <w:r w:rsidR="008A7386">
        <w:rPr>
          <w:sz w:val="24"/>
        </w:rPr>
        <w:t>contracted with a CMS-</w:t>
      </w:r>
      <w:r w:rsidR="00D86F1A">
        <w:rPr>
          <w:sz w:val="24"/>
        </w:rPr>
        <w:t xml:space="preserve">approved </w:t>
      </w:r>
      <w:r w:rsidR="008A7386">
        <w:rPr>
          <w:sz w:val="24"/>
        </w:rPr>
        <w:t xml:space="preserve">survey vendor to collect and report CAHPS data under PQRS data will continue to do so under MIPS. </w:t>
      </w:r>
      <w:r w:rsidR="00715461">
        <w:rPr>
          <w:sz w:val="24"/>
        </w:rPr>
        <w:t xml:space="preserve">We assume that some </w:t>
      </w:r>
      <w:r w:rsidR="00484616">
        <w:rPr>
          <w:sz w:val="24"/>
        </w:rPr>
        <w:t xml:space="preserve">practices </w:t>
      </w:r>
      <w:r w:rsidR="00715461">
        <w:rPr>
          <w:sz w:val="24"/>
        </w:rPr>
        <w:t>will voluntarily submit quality performance category data</w:t>
      </w:r>
      <w:r w:rsidR="008A7386">
        <w:rPr>
          <w:sz w:val="24"/>
        </w:rPr>
        <w:t xml:space="preserve">, including CAHPS for MIPS data, </w:t>
      </w:r>
      <w:r w:rsidR="00715461">
        <w:rPr>
          <w:sz w:val="24"/>
        </w:rPr>
        <w:t xml:space="preserve">because </w:t>
      </w:r>
      <w:r w:rsidR="00BC2FAF">
        <w:rPr>
          <w:sz w:val="24"/>
        </w:rPr>
        <w:t>MACRA</w:t>
      </w:r>
      <w:r w:rsidR="00715461" w:rsidRPr="00045A6D">
        <w:rPr>
          <w:sz w:val="24"/>
        </w:rPr>
        <w:t xml:space="preserve"> </w:t>
      </w:r>
      <w:r w:rsidR="00715461">
        <w:rPr>
          <w:sz w:val="24"/>
        </w:rPr>
        <w:t>permit</w:t>
      </w:r>
      <w:r w:rsidR="00BC2FAF">
        <w:rPr>
          <w:sz w:val="24"/>
        </w:rPr>
        <w:t>s</w:t>
      </w:r>
      <w:r w:rsidR="00715461">
        <w:rPr>
          <w:sz w:val="24"/>
        </w:rPr>
        <w:t xml:space="preserve"> any </w:t>
      </w:r>
      <w:r w:rsidR="001F357D">
        <w:rPr>
          <w:sz w:val="24"/>
        </w:rPr>
        <w:t>EP</w:t>
      </w:r>
      <w:r w:rsidR="00715461" w:rsidRPr="00045A6D">
        <w:rPr>
          <w:sz w:val="24"/>
        </w:rPr>
        <w:t xml:space="preserve"> </w:t>
      </w:r>
      <w:r w:rsidR="00BC2FAF">
        <w:rPr>
          <w:sz w:val="24"/>
        </w:rPr>
        <w:t>under PQRS</w:t>
      </w:r>
      <w:r w:rsidR="00715461" w:rsidRPr="00045A6D">
        <w:rPr>
          <w:sz w:val="24"/>
        </w:rPr>
        <w:t xml:space="preserve"> who is not a MIPS eligible clinician the option to volunteer to</w:t>
      </w:r>
      <w:r w:rsidR="00715461">
        <w:rPr>
          <w:sz w:val="24"/>
        </w:rPr>
        <w:t xml:space="preserve"> </w:t>
      </w:r>
      <w:r w:rsidR="00715461" w:rsidRPr="00045A6D">
        <w:rPr>
          <w:sz w:val="24"/>
        </w:rPr>
        <w:t>report on applicable measures and activities under MIPS.</w:t>
      </w:r>
      <w:r w:rsidR="00715461" w:rsidRPr="00045A6D">
        <w:rPr>
          <w:rStyle w:val="FootnoteReference"/>
          <w:sz w:val="24"/>
        </w:rPr>
        <w:t xml:space="preserve"> </w:t>
      </w:r>
      <w:r w:rsidR="00715461">
        <w:rPr>
          <w:rStyle w:val="FootnoteReference"/>
          <w:sz w:val="24"/>
        </w:rPr>
        <w:footnoteReference w:id="3"/>
      </w:r>
      <w:r w:rsidR="00715461">
        <w:rPr>
          <w:sz w:val="24"/>
        </w:rPr>
        <w:t xml:space="preserve"> Voluntary reporters will be scored and receive </w:t>
      </w:r>
      <w:r w:rsidR="0057143C">
        <w:rPr>
          <w:sz w:val="24"/>
        </w:rPr>
        <w:t>performance feedback</w:t>
      </w:r>
      <w:r w:rsidR="00715461">
        <w:rPr>
          <w:sz w:val="24"/>
        </w:rPr>
        <w:t xml:space="preserve"> under MIPS, but will not be subject to payment adjustments. </w:t>
      </w:r>
    </w:p>
    <w:p w14:paraId="4D5F725C" w14:textId="405D6619" w:rsidR="004323E5" w:rsidRDefault="000C07AC"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Because the MIPS program has not yet been implemented, we </w:t>
      </w:r>
      <w:r w:rsidR="00BC2FAF">
        <w:rPr>
          <w:sz w:val="24"/>
        </w:rPr>
        <w:t xml:space="preserve">estimate the potential universe of </w:t>
      </w:r>
      <w:r w:rsidR="00484616">
        <w:rPr>
          <w:sz w:val="24"/>
        </w:rPr>
        <w:t xml:space="preserve">practices containing </w:t>
      </w:r>
      <w:r w:rsidR="001F357D">
        <w:rPr>
          <w:sz w:val="24"/>
        </w:rPr>
        <w:t xml:space="preserve">MIPS eligible </w:t>
      </w:r>
      <w:r w:rsidR="00BC2FAF">
        <w:rPr>
          <w:sz w:val="24"/>
        </w:rPr>
        <w:t xml:space="preserve">clinicians </w:t>
      </w:r>
      <w:r w:rsidR="00D33BC1">
        <w:rPr>
          <w:sz w:val="24"/>
        </w:rPr>
        <w:t xml:space="preserve">required to report </w:t>
      </w:r>
      <w:r w:rsidR="005348A6">
        <w:rPr>
          <w:sz w:val="24"/>
        </w:rPr>
        <w:t xml:space="preserve">and the potential universe of </w:t>
      </w:r>
      <w:r w:rsidR="00484616">
        <w:rPr>
          <w:sz w:val="24"/>
        </w:rPr>
        <w:t xml:space="preserve">practices that </w:t>
      </w:r>
      <w:r w:rsidR="005348A6">
        <w:rPr>
          <w:sz w:val="24"/>
        </w:rPr>
        <w:t>can voluntarily report</w:t>
      </w:r>
      <w:r w:rsidR="00D33BC1">
        <w:rPr>
          <w:sz w:val="24"/>
        </w:rPr>
        <w:t xml:space="preserve"> </w:t>
      </w:r>
      <w:r w:rsidR="00BC2FAF">
        <w:rPr>
          <w:sz w:val="24"/>
        </w:rPr>
        <w:t xml:space="preserve">using 2014 data from the PQRS, </w:t>
      </w:r>
      <w:r w:rsidR="001F357D">
        <w:rPr>
          <w:sz w:val="24"/>
        </w:rPr>
        <w:t>VM</w:t>
      </w:r>
      <w:r w:rsidR="00BC2FAF">
        <w:rPr>
          <w:sz w:val="24"/>
        </w:rPr>
        <w:t xml:space="preserve"> Program and other CMS data</w:t>
      </w:r>
      <w:r w:rsidR="00FB3640">
        <w:rPr>
          <w:sz w:val="24"/>
        </w:rPr>
        <w:t xml:space="preserve">. </w:t>
      </w:r>
      <w:r w:rsidR="005348A6">
        <w:rPr>
          <w:sz w:val="24"/>
        </w:rPr>
        <w:t>The potential universe of MIP</w:t>
      </w:r>
      <w:r w:rsidR="001F357D">
        <w:rPr>
          <w:sz w:val="24"/>
        </w:rPr>
        <w:t>S</w:t>
      </w:r>
      <w:r w:rsidR="005348A6">
        <w:rPr>
          <w:sz w:val="24"/>
        </w:rPr>
        <w:t xml:space="preserve"> eligible clinicians</w:t>
      </w:r>
      <w:r w:rsidR="00484616">
        <w:rPr>
          <w:sz w:val="24"/>
        </w:rPr>
        <w:t>,</w:t>
      </w:r>
      <w:r w:rsidR="005348A6">
        <w:rPr>
          <w:sz w:val="24"/>
        </w:rPr>
        <w:t xml:space="preserve"> </w:t>
      </w:r>
      <w:r w:rsidR="00484616">
        <w:rPr>
          <w:sz w:val="24"/>
        </w:rPr>
        <w:t xml:space="preserve">within these group practices, </w:t>
      </w:r>
      <w:r w:rsidR="005348A6">
        <w:rPr>
          <w:sz w:val="24"/>
        </w:rPr>
        <w:t>subject to reporting requirements includes</w:t>
      </w:r>
      <w:r w:rsidR="005003EE">
        <w:rPr>
          <w:sz w:val="24"/>
        </w:rPr>
        <w:t xml:space="preserve"> </w:t>
      </w:r>
      <w:r w:rsidR="00FB3640">
        <w:rPr>
          <w:sz w:val="24"/>
        </w:rPr>
        <w:t xml:space="preserve">between </w:t>
      </w:r>
      <w:r w:rsidR="005C67E9">
        <w:rPr>
          <w:sz w:val="24"/>
        </w:rPr>
        <w:t>approximately</w:t>
      </w:r>
      <w:r>
        <w:rPr>
          <w:sz w:val="24"/>
        </w:rPr>
        <w:t xml:space="preserve"> </w:t>
      </w:r>
      <w:r w:rsidR="008345D5" w:rsidRPr="00C96304">
        <w:rPr>
          <w:sz w:val="24"/>
        </w:rPr>
        <w:t>7</w:t>
      </w:r>
      <w:r w:rsidR="00FB3640" w:rsidRPr="00C96304">
        <w:rPr>
          <w:sz w:val="24"/>
        </w:rPr>
        <w:t>16</w:t>
      </w:r>
      <w:r w:rsidR="008345D5" w:rsidRPr="00C96304">
        <w:rPr>
          <w:sz w:val="24"/>
        </w:rPr>
        <w:t>,613</w:t>
      </w:r>
      <w:r w:rsidRPr="00C96304">
        <w:rPr>
          <w:sz w:val="24"/>
        </w:rPr>
        <w:t xml:space="preserve"> and </w:t>
      </w:r>
      <w:r w:rsidR="008345D5" w:rsidRPr="00FB3640">
        <w:rPr>
          <w:sz w:val="24"/>
        </w:rPr>
        <w:t>77</w:t>
      </w:r>
      <w:r w:rsidR="00FB3640" w:rsidRPr="00FB3640">
        <w:rPr>
          <w:sz w:val="24"/>
        </w:rPr>
        <w:t>5,613</w:t>
      </w:r>
      <w:r w:rsidRPr="00FB3640">
        <w:rPr>
          <w:sz w:val="24"/>
        </w:rPr>
        <w:t xml:space="preserve"> </w:t>
      </w:r>
      <w:r w:rsidR="00D33BC1">
        <w:rPr>
          <w:sz w:val="24"/>
        </w:rPr>
        <w:t xml:space="preserve">(among the 1,009,623 </w:t>
      </w:r>
      <w:r w:rsidR="001F357D">
        <w:rPr>
          <w:sz w:val="24"/>
        </w:rPr>
        <w:t xml:space="preserve">MIPS eligible </w:t>
      </w:r>
      <w:r w:rsidR="00D33BC1">
        <w:rPr>
          <w:sz w:val="24"/>
        </w:rPr>
        <w:t xml:space="preserve">clinicians). </w:t>
      </w:r>
      <w:r w:rsidR="005348A6">
        <w:rPr>
          <w:sz w:val="24"/>
        </w:rPr>
        <w:t xml:space="preserve"> The potential universe of clinicians who</w:t>
      </w:r>
      <w:r w:rsidR="00484616">
        <w:rPr>
          <w:sz w:val="24"/>
        </w:rPr>
        <w:t>se group practice</w:t>
      </w:r>
      <w:r w:rsidR="005348A6">
        <w:rPr>
          <w:sz w:val="24"/>
        </w:rPr>
        <w:t xml:space="preserve"> may voluntarily report </w:t>
      </w:r>
      <w:r w:rsidR="008A7386">
        <w:rPr>
          <w:sz w:val="24"/>
        </w:rPr>
        <w:t xml:space="preserve">use </w:t>
      </w:r>
      <w:r w:rsidR="00484616">
        <w:rPr>
          <w:sz w:val="24"/>
        </w:rPr>
        <w:t xml:space="preserve">of </w:t>
      </w:r>
      <w:r w:rsidR="008A7386">
        <w:rPr>
          <w:sz w:val="24"/>
        </w:rPr>
        <w:t>a CAHPS survey</w:t>
      </w:r>
      <w:r w:rsidR="005348A6">
        <w:rPr>
          <w:sz w:val="24"/>
        </w:rPr>
        <w:t xml:space="preserve"> includes </w:t>
      </w:r>
      <w:r w:rsidR="00D33BC1">
        <w:rPr>
          <w:sz w:val="24"/>
        </w:rPr>
        <w:t>approximately 187,990 Medicare professionals not in eligible specialties</w:t>
      </w:r>
      <w:r w:rsidR="008A7386">
        <w:rPr>
          <w:sz w:val="24"/>
        </w:rPr>
        <w:t xml:space="preserve">. </w:t>
      </w:r>
      <w:r w:rsidR="005348A6">
        <w:rPr>
          <w:sz w:val="24"/>
        </w:rPr>
        <w:t>Clinicians may voluntarily submit MIPS quality data to get feedback on their performance relative to national benchmarks</w:t>
      </w:r>
      <w:r w:rsidR="00C66B6F">
        <w:rPr>
          <w:sz w:val="24"/>
        </w:rPr>
        <w:t>.</w:t>
      </w:r>
      <w:r w:rsidR="005348A6">
        <w:rPr>
          <w:sz w:val="24"/>
        </w:rPr>
        <w:t xml:space="preserve"> </w:t>
      </w:r>
    </w:p>
    <w:p w14:paraId="41AC6ECF" w14:textId="5EF9B9ED" w:rsidR="007A324A" w:rsidRPr="004323E5" w:rsidRDefault="007A324A" w:rsidP="001F1C74">
      <w:pPr>
        <w:widowControl/>
        <w:spacing w:line="276" w:lineRule="auto"/>
        <w:rPr>
          <w:i/>
          <w:sz w:val="24"/>
        </w:rPr>
      </w:pPr>
      <w:r>
        <w:rPr>
          <w:sz w:val="24"/>
        </w:rPr>
        <w:tab/>
        <w:t xml:space="preserve">Based on 2014 PQRS data, we anticipate that </w:t>
      </w:r>
      <w:r w:rsidR="00C07ECC">
        <w:rPr>
          <w:sz w:val="24"/>
        </w:rPr>
        <w:t xml:space="preserve">434 </w:t>
      </w:r>
      <w:r>
        <w:rPr>
          <w:sz w:val="24"/>
        </w:rPr>
        <w:t xml:space="preserve">groups will contract with CMS-approved survey vendors to collect CAHPS for MIPS data. </w:t>
      </w:r>
    </w:p>
    <w:p w14:paraId="7D83E072" w14:textId="77777777" w:rsidR="00193770" w:rsidRPr="00424762" w:rsidRDefault="00193770" w:rsidP="001F1C74">
      <w:pPr>
        <w:spacing w:line="276" w:lineRule="auto"/>
        <w:rPr>
          <w:sz w:val="24"/>
        </w:rPr>
      </w:pPr>
    </w:p>
    <w:p w14:paraId="489DE074" w14:textId="77777777" w:rsidR="004C41CD" w:rsidRPr="00424762" w:rsidRDefault="00173F05"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2.  Describe the procedures for the collection of information including:</w:t>
      </w:r>
    </w:p>
    <w:p w14:paraId="6BB8AB9A" w14:textId="77777777" w:rsidR="00FF0D8A"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Statistical methodology for stratification and sample selection,</w:t>
      </w:r>
    </w:p>
    <w:p w14:paraId="269C12DB" w14:textId="77777777" w:rsidR="00FF0D8A"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Estimation procedure,</w:t>
      </w:r>
    </w:p>
    <w:p w14:paraId="4C8C2237" w14:textId="5593DDD7" w:rsidR="00FF0D8A"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Degree of accuracy needed for the purpose described in the justification,</w:t>
      </w:r>
    </w:p>
    <w:p w14:paraId="37097CD6" w14:textId="77777777" w:rsidR="00FF0D8A"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Unusual problems requiring specialized sampling procedures, and</w:t>
      </w:r>
    </w:p>
    <w:p w14:paraId="0206E3F4" w14:textId="77777777" w:rsidR="00173F05"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Any use of periodic (less frequent than annual) data collection cycles to reduce burden.</w:t>
      </w:r>
    </w:p>
    <w:p w14:paraId="37083A38" w14:textId="76579533" w:rsidR="00BA132D" w:rsidRDefault="00BA132D"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549DC67B" w14:textId="77777777" w:rsidR="004323E5" w:rsidRDefault="004323E5" w:rsidP="001F1C74">
      <w:pPr>
        <w:spacing w:line="276" w:lineRule="auto"/>
        <w:ind w:firstLine="720"/>
        <w:rPr>
          <w:sz w:val="24"/>
        </w:rPr>
      </w:pPr>
      <w:r>
        <w:rPr>
          <w:sz w:val="24"/>
        </w:rPr>
        <w:t>Groups submitting quality measures data using the CMS Web Interface or a CMS-approved survey vendor to report the CAHPS for MIPS survey would need to meet the data</w:t>
      </w:r>
    </w:p>
    <w:p w14:paraId="43D44150" w14:textId="7A5CE5D7" w:rsidR="004323E5" w:rsidRDefault="004323E5" w:rsidP="001F1C74">
      <w:pPr>
        <w:spacing w:line="276" w:lineRule="auto"/>
        <w:rPr>
          <w:sz w:val="24"/>
        </w:rPr>
      </w:pPr>
      <w:r>
        <w:rPr>
          <w:sz w:val="24"/>
        </w:rPr>
        <w:t>submission requirements on the sample of the Medicare Part B patients</w:t>
      </w:r>
      <w:r w:rsidR="001F1C74">
        <w:rPr>
          <w:sz w:val="24"/>
        </w:rPr>
        <w:t>.</w:t>
      </w:r>
      <w:r>
        <w:rPr>
          <w:sz w:val="24"/>
        </w:rPr>
        <w:t xml:space="preserve"> </w:t>
      </w:r>
    </w:p>
    <w:p w14:paraId="40DA71BB" w14:textId="77777777" w:rsidR="004323E5" w:rsidRPr="00FD76D5" w:rsidRDefault="004323E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i/>
          <w:sz w:val="24"/>
          <w:u w:val="single"/>
        </w:rPr>
      </w:pPr>
    </w:p>
    <w:p w14:paraId="60EEBE59" w14:textId="77777777" w:rsidR="00C07ECC" w:rsidRDefault="004323E5" w:rsidP="001F1C74">
      <w:pPr>
        <w:pStyle w:val="ListParagraph"/>
        <w:numPr>
          <w:ilvl w:val="0"/>
          <w:numId w:val="3"/>
        </w:numPr>
        <w:spacing w:line="276" w:lineRule="auto"/>
        <w:jc w:val="center"/>
        <w:rPr>
          <w:b/>
          <w:sz w:val="24"/>
        </w:rPr>
      </w:pPr>
      <w:r w:rsidRPr="004323E5">
        <w:rPr>
          <w:b/>
          <w:sz w:val="24"/>
        </w:rPr>
        <w:t>TABLE 1: Summary of Proposed Quality Data Submission Criteria f</w:t>
      </w:r>
    </w:p>
    <w:p w14:paraId="1749DA58" w14:textId="0F704409" w:rsidR="004323E5" w:rsidRPr="004323E5" w:rsidRDefault="004323E5" w:rsidP="001F1C74">
      <w:pPr>
        <w:pStyle w:val="ListParagraph"/>
        <w:numPr>
          <w:ilvl w:val="0"/>
          <w:numId w:val="3"/>
        </w:numPr>
        <w:spacing w:line="276" w:lineRule="auto"/>
        <w:jc w:val="center"/>
        <w:rPr>
          <w:b/>
          <w:sz w:val="24"/>
        </w:rPr>
      </w:pPr>
      <w:r w:rsidRPr="004323E5">
        <w:rPr>
          <w:b/>
          <w:sz w:val="24"/>
        </w:rPr>
        <w:t>or CAHPS for MIPS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530"/>
        <w:gridCol w:w="4230"/>
        <w:gridCol w:w="1394"/>
      </w:tblGrid>
      <w:tr w:rsidR="00C07ECC" w:rsidRPr="00B52757" w14:paraId="07596197" w14:textId="77777777" w:rsidTr="00C07ECC">
        <w:trPr>
          <w:trHeight w:val="539"/>
          <w:tblHeader/>
        </w:trPr>
        <w:tc>
          <w:tcPr>
            <w:tcW w:w="1705" w:type="dxa"/>
          </w:tcPr>
          <w:p w14:paraId="074A196B" w14:textId="77777777" w:rsidR="00C07ECC" w:rsidRPr="00B52757" w:rsidRDefault="00C07ECC" w:rsidP="001F1C74">
            <w:pPr>
              <w:spacing w:line="276" w:lineRule="auto"/>
              <w:jc w:val="center"/>
              <w:rPr>
                <w:b/>
                <w:szCs w:val="20"/>
              </w:rPr>
            </w:pPr>
            <w:r w:rsidRPr="00B52757">
              <w:rPr>
                <w:b/>
                <w:szCs w:val="20"/>
              </w:rPr>
              <w:t>Performance Period</w:t>
            </w:r>
          </w:p>
        </w:tc>
        <w:tc>
          <w:tcPr>
            <w:tcW w:w="1530" w:type="dxa"/>
          </w:tcPr>
          <w:p w14:paraId="40BDE13B" w14:textId="77777777" w:rsidR="00C07ECC" w:rsidRPr="00B52757" w:rsidRDefault="00C07ECC" w:rsidP="001F1C74">
            <w:pPr>
              <w:spacing w:line="276" w:lineRule="auto"/>
              <w:jc w:val="center"/>
              <w:rPr>
                <w:b/>
                <w:szCs w:val="20"/>
              </w:rPr>
            </w:pPr>
            <w:r w:rsidRPr="00B52757">
              <w:rPr>
                <w:b/>
                <w:szCs w:val="20"/>
              </w:rPr>
              <w:t>Measure Type</w:t>
            </w:r>
          </w:p>
        </w:tc>
        <w:tc>
          <w:tcPr>
            <w:tcW w:w="4230" w:type="dxa"/>
          </w:tcPr>
          <w:p w14:paraId="0F235194" w14:textId="77777777" w:rsidR="00C07ECC" w:rsidRPr="00B52757" w:rsidRDefault="00C07ECC" w:rsidP="001F1C74">
            <w:pPr>
              <w:spacing w:line="276" w:lineRule="auto"/>
              <w:jc w:val="center"/>
              <w:rPr>
                <w:b/>
                <w:szCs w:val="20"/>
              </w:rPr>
            </w:pPr>
            <w:r w:rsidRPr="00B52757">
              <w:rPr>
                <w:b/>
                <w:szCs w:val="20"/>
              </w:rPr>
              <w:t>Submission Criteria</w:t>
            </w:r>
            <w:r>
              <w:rPr>
                <w:b/>
                <w:szCs w:val="20"/>
              </w:rPr>
              <w:t>, including Sampling</w:t>
            </w:r>
          </w:p>
        </w:tc>
        <w:tc>
          <w:tcPr>
            <w:tcW w:w="265" w:type="dxa"/>
          </w:tcPr>
          <w:p w14:paraId="58FD4553" w14:textId="77777777" w:rsidR="00C07ECC" w:rsidRPr="00B52757" w:rsidRDefault="00C07ECC" w:rsidP="001F1C74">
            <w:pPr>
              <w:spacing w:line="276" w:lineRule="auto"/>
              <w:jc w:val="center"/>
              <w:rPr>
                <w:b/>
                <w:szCs w:val="20"/>
              </w:rPr>
            </w:pPr>
            <w:r w:rsidRPr="00B52757">
              <w:rPr>
                <w:b/>
                <w:szCs w:val="20"/>
              </w:rPr>
              <w:t>Data Completeness</w:t>
            </w:r>
          </w:p>
        </w:tc>
      </w:tr>
      <w:tr w:rsidR="00C07ECC" w:rsidRPr="00B52757" w14:paraId="01BC777B" w14:textId="77777777" w:rsidTr="00C07ECC">
        <w:tc>
          <w:tcPr>
            <w:tcW w:w="1705" w:type="dxa"/>
          </w:tcPr>
          <w:p w14:paraId="0B018891" w14:textId="77777777" w:rsidR="00C07ECC" w:rsidRPr="00B52757" w:rsidRDefault="00C07ECC" w:rsidP="001F1C74">
            <w:pPr>
              <w:spacing w:line="276" w:lineRule="auto"/>
              <w:rPr>
                <w:szCs w:val="20"/>
              </w:rPr>
            </w:pPr>
            <w:r w:rsidRPr="00B52757">
              <w:rPr>
                <w:szCs w:val="20"/>
              </w:rPr>
              <w:t>Jan 1 – Dec 31</w:t>
            </w:r>
          </w:p>
        </w:tc>
        <w:tc>
          <w:tcPr>
            <w:tcW w:w="1530" w:type="dxa"/>
          </w:tcPr>
          <w:p w14:paraId="54E0EAAE" w14:textId="77777777" w:rsidR="00C07ECC" w:rsidRPr="00B52757" w:rsidRDefault="00C07ECC" w:rsidP="001F1C74">
            <w:pPr>
              <w:spacing w:line="276" w:lineRule="auto"/>
              <w:rPr>
                <w:szCs w:val="20"/>
              </w:rPr>
            </w:pPr>
            <w:r>
              <w:rPr>
                <w:szCs w:val="20"/>
              </w:rPr>
              <w:t>Group</w:t>
            </w:r>
            <w:r w:rsidRPr="00B52757">
              <w:rPr>
                <w:szCs w:val="20"/>
              </w:rPr>
              <w:t xml:space="preserve">s </w:t>
            </w:r>
            <w:r>
              <w:rPr>
                <w:szCs w:val="20"/>
              </w:rPr>
              <w:t>of 2 or more eligible clinicians</w:t>
            </w:r>
          </w:p>
        </w:tc>
        <w:tc>
          <w:tcPr>
            <w:tcW w:w="4230" w:type="dxa"/>
          </w:tcPr>
          <w:p w14:paraId="09EDD28A" w14:textId="77777777" w:rsidR="00C07ECC" w:rsidRPr="00485434" w:rsidRDefault="00C07ECC" w:rsidP="001F1C74">
            <w:pPr>
              <w:spacing w:line="276" w:lineRule="auto"/>
              <w:rPr>
                <w:szCs w:val="20"/>
              </w:rPr>
            </w:pPr>
            <w:r>
              <w:rPr>
                <w:szCs w:val="20"/>
              </w:rPr>
              <w:t>CMS-approved survey vendor</w:t>
            </w:r>
            <w:r w:rsidRPr="00B52757">
              <w:rPr>
                <w:szCs w:val="20"/>
              </w:rPr>
              <w:t xml:space="preserve"> would have to be paired with another reporting </w:t>
            </w:r>
            <w:r w:rsidRPr="00485434">
              <w:rPr>
                <w:szCs w:val="20"/>
              </w:rPr>
              <w:t xml:space="preserve">mechanism to ensure the minimum number of measures are reported.  </w:t>
            </w:r>
            <w:r w:rsidRPr="0045159C">
              <w:rPr>
                <w:szCs w:val="20"/>
              </w:rPr>
              <w:t xml:space="preserve">CAHPS for MIPS </w:t>
            </w:r>
            <w:r>
              <w:rPr>
                <w:szCs w:val="20"/>
              </w:rPr>
              <w:t>s</w:t>
            </w:r>
            <w:r w:rsidRPr="0045159C">
              <w:rPr>
                <w:szCs w:val="20"/>
              </w:rPr>
              <w:t>urvey would fulfill the requirement for one cross-cutting and/or high priority measure towards the MIPS quality data submission criteria.</w:t>
            </w:r>
            <w:r w:rsidRPr="00485434">
              <w:rPr>
                <w:szCs w:val="20"/>
              </w:rPr>
              <w:t xml:space="preserve">  </w:t>
            </w:r>
          </w:p>
          <w:p w14:paraId="03B2B9ED" w14:textId="77777777" w:rsidR="00C07ECC" w:rsidRPr="00B52757" w:rsidRDefault="00C07ECC" w:rsidP="001F1C74">
            <w:pPr>
              <w:spacing w:line="276" w:lineRule="auto"/>
              <w:rPr>
                <w:szCs w:val="20"/>
              </w:rPr>
            </w:pPr>
            <w:r w:rsidRPr="00485434">
              <w:rPr>
                <w:szCs w:val="20"/>
              </w:rPr>
              <w:t>CAHPS for</w:t>
            </w:r>
            <w:r>
              <w:rPr>
                <w:szCs w:val="20"/>
              </w:rPr>
              <w:t xml:space="preserve"> MIPS survey will only count for one measure.</w:t>
            </w:r>
          </w:p>
        </w:tc>
        <w:tc>
          <w:tcPr>
            <w:tcW w:w="265" w:type="dxa"/>
          </w:tcPr>
          <w:p w14:paraId="7A9358A4" w14:textId="77777777" w:rsidR="00C07ECC" w:rsidRPr="00B52757" w:rsidRDefault="00C07ECC" w:rsidP="001F1C74">
            <w:pPr>
              <w:spacing w:line="276" w:lineRule="auto"/>
              <w:rPr>
                <w:szCs w:val="20"/>
              </w:rPr>
            </w:pPr>
            <w:r w:rsidRPr="00B52757">
              <w:rPr>
                <w:szCs w:val="20"/>
              </w:rPr>
              <w:t xml:space="preserve">Sampling requirements for </w:t>
            </w:r>
            <w:r>
              <w:rPr>
                <w:szCs w:val="20"/>
              </w:rPr>
              <w:t xml:space="preserve">their </w:t>
            </w:r>
            <w:r w:rsidRPr="00B52757">
              <w:rPr>
                <w:szCs w:val="20"/>
              </w:rPr>
              <w:t>Medicare Part B patients</w:t>
            </w:r>
          </w:p>
        </w:tc>
      </w:tr>
    </w:tbl>
    <w:p w14:paraId="1A7A8452" w14:textId="77777777" w:rsidR="004323E5" w:rsidRDefault="004323E5" w:rsidP="001F1C74">
      <w:pPr>
        <w:spacing w:after="150" w:line="276" w:lineRule="auto"/>
        <w:ind w:right="150" w:firstLine="720"/>
        <w:rPr>
          <w:sz w:val="24"/>
        </w:rPr>
      </w:pPr>
    </w:p>
    <w:p w14:paraId="71508915" w14:textId="156D3AEE" w:rsidR="004323E5" w:rsidRPr="002119B3" w:rsidRDefault="004323E5" w:rsidP="001F1C74">
      <w:pPr>
        <w:spacing w:after="150" w:line="276" w:lineRule="auto"/>
        <w:ind w:right="150" w:firstLine="720"/>
        <w:rPr>
          <w:sz w:val="24"/>
        </w:rPr>
      </w:pPr>
      <w:r w:rsidRPr="002119B3">
        <w:rPr>
          <w:sz w:val="24"/>
        </w:rPr>
        <w:t xml:space="preserve">For </w:t>
      </w:r>
      <w:r>
        <w:rPr>
          <w:sz w:val="24"/>
        </w:rPr>
        <w:t xml:space="preserve">the </w:t>
      </w:r>
      <w:r w:rsidRPr="002119B3">
        <w:rPr>
          <w:sz w:val="24"/>
        </w:rPr>
        <w:t>CAHPS for MIPS</w:t>
      </w:r>
      <w:r>
        <w:rPr>
          <w:sz w:val="24"/>
        </w:rPr>
        <w:t xml:space="preserve"> survey</w:t>
      </w:r>
      <w:r w:rsidRPr="002119B3">
        <w:rPr>
          <w:sz w:val="24"/>
        </w:rPr>
        <w:t xml:space="preserve">, CMS plans to use the same sampling methodology as the CAHPS for PQRS </w:t>
      </w:r>
      <w:r>
        <w:rPr>
          <w:sz w:val="24"/>
        </w:rPr>
        <w:t>s</w:t>
      </w:r>
      <w:r w:rsidRPr="002119B3">
        <w:rPr>
          <w:sz w:val="24"/>
        </w:rPr>
        <w:t>urvey</w:t>
      </w:r>
      <w:r>
        <w:rPr>
          <w:sz w:val="24"/>
        </w:rPr>
        <w:t>.</w:t>
      </w:r>
      <w:r w:rsidRPr="002119B3">
        <w:rPr>
          <w:rStyle w:val="FootnoteReference"/>
          <w:sz w:val="24"/>
        </w:rPr>
        <w:footnoteReference w:id="4"/>
      </w:r>
      <w:r w:rsidRPr="002119B3">
        <w:rPr>
          <w:sz w:val="24"/>
        </w:rPr>
        <w:t xml:space="preserve"> CMS will identify beneficiaries eligible for the survey from the pool of beneficiaries assigned to the group. CMS assigns original Medicare beneficiaries to a practice based on the plurality of the primary care claims during the first </w:t>
      </w:r>
      <w:r>
        <w:rPr>
          <w:sz w:val="24"/>
        </w:rPr>
        <w:t>three</w:t>
      </w:r>
      <w:r w:rsidRPr="002119B3">
        <w:rPr>
          <w:sz w:val="24"/>
        </w:rPr>
        <w:t xml:space="preserve"> quarters of the performance </w:t>
      </w:r>
      <w:r>
        <w:rPr>
          <w:sz w:val="24"/>
        </w:rPr>
        <w:t>period</w:t>
      </w:r>
      <w:r w:rsidRPr="002119B3">
        <w:rPr>
          <w:sz w:val="24"/>
        </w:rPr>
        <w:t xml:space="preserve">. CMS will then randomly select samples from those assigned beneficiaries to create the sample for the CAHPS for MIPS </w:t>
      </w:r>
      <w:r>
        <w:rPr>
          <w:sz w:val="24"/>
        </w:rPr>
        <w:t>s</w:t>
      </w:r>
      <w:r w:rsidRPr="002119B3">
        <w:rPr>
          <w:sz w:val="24"/>
        </w:rPr>
        <w:t>urvey. The sample will be limited to beneficiaries age</w:t>
      </w:r>
      <w:r>
        <w:rPr>
          <w:sz w:val="24"/>
        </w:rPr>
        <w:t>d</w:t>
      </w:r>
      <w:r w:rsidRPr="002119B3">
        <w:rPr>
          <w:sz w:val="24"/>
        </w:rPr>
        <w:t xml:space="preserve"> 18 or older and who are not known to be institutionalized or deceased. The sample is drawn at the level of the group, not a</w:t>
      </w:r>
      <w:r>
        <w:rPr>
          <w:sz w:val="24"/>
        </w:rPr>
        <w:t>t the</w:t>
      </w:r>
      <w:r w:rsidRPr="002119B3">
        <w:rPr>
          <w:sz w:val="24"/>
        </w:rPr>
        <w:t xml:space="preserve"> individual provider</w:t>
      </w:r>
      <w:r>
        <w:rPr>
          <w:sz w:val="24"/>
        </w:rPr>
        <w:t xml:space="preserve"> level</w:t>
      </w:r>
      <w:r w:rsidRPr="002119B3">
        <w:rPr>
          <w:sz w:val="24"/>
        </w:rPr>
        <w:t xml:space="preserve">. The survey names a specific </w:t>
      </w:r>
      <w:r>
        <w:rPr>
          <w:sz w:val="24"/>
        </w:rPr>
        <w:t>MIPS eligible clinician</w:t>
      </w:r>
      <w:r w:rsidRPr="002119B3">
        <w:rPr>
          <w:sz w:val="24"/>
        </w:rPr>
        <w:t xml:space="preserve"> who delivered primary care to the beneficiary over multiple visits in the performance </w:t>
      </w:r>
      <w:r>
        <w:rPr>
          <w:sz w:val="24"/>
        </w:rPr>
        <w:t>period,</w:t>
      </w:r>
      <w:r w:rsidRPr="002119B3">
        <w:rPr>
          <w:sz w:val="24"/>
        </w:rPr>
        <w:t xml:space="preserve"> to help orient the beneficiary to the care he or she received. </w:t>
      </w:r>
    </w:p>
    <w:p w14:paraId="39A7E0B7" w14:textId="77777777" w:rsidR="004323E5" w:rsidRPr="002119B3" w:rsidRDefault="004323E5" w:rsidP="001F1C74">
      <w:pPr>
        <w:spacing w:after="150" w:line="276" w:lineRule="auto"/>
        <w:ind w:right="150"/>
        <w:rPr>
          <w:sz w:val="24"/>
        </w:rPr>
      </w:pPr>
      <w:r w:rsidRPr="002119B3">
        <w:rPr>
          <w:sz w:val="24"/>
        </w:rPr>
        <w:t>The number of patients sampled may vary based on the size of the group.</w:t>
      </w:r>
    </w:p>
    <w:p w14:paraId="7864B082" w14:textId="77777777" w:rsidR="004323E5" w:rsidRPr="002119B3" w:rsidRDefault="004323E5" w:rsidP="001F1C74">
      <w:pPr>
        <w:widowControl/>
        <w:numPr>
          <w:ilvl w:val="0"/>
          <w:numId w:val="3"/>
        </w:numPr>
        <w:tabs>
          <w:tab w:val="clear" w:pos="720"/>
          <w:tab w:val="num" w:pos="-3075"/>
        </w:tabs>
        <w:autoSpaceDE/>
        <w:autoSpaceDN/>
        <w:adjustRightInd/>
        <w:spacing w:before="100" w:beforeAutospacing="1" w:after="100" w:afterAutospacing="1" w:line="276" w:lineRule="auto"/>
        <w:ind w:right="150"/>
        <w:rPr>
          <w:sz w:val="24"/>
        </w:rPr>
      </w:pPr>
      <w:r w:rsidRPr="002119B3">
        <w:rPr>
          <w:sz w:val="24"/>
        </w:rPr>
        <w:t xml:space="preserve">For large groups of 100 or more </w:t>
      </w:r>
      <w:r>
        <w:rPr>
          <w:sz w:val="24"/>
        </w:rPr>
        <w:t>MIPS eligible clinicians</w:t>
      </w:r>
      <w:r w:rsidRPr="002119B3">
        <w:rPr>
          <w:sz w:val="24"/>
        </w:rPr>
        <w:t xml:space="preserve">: </w:t>
      </w:r>
    </w:p>
    <w:p w14:paraId="49D457DF"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CMS will draw a sample of 860 beneficiaries</w:t>
      </w:r>
    </w:p>
    <w:p w14:paraId="723BEE89"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860 beneficiaries, but more than 415 beneficiaries, all eligible beneficiaries will be surveyed in performance year (PY) 2016</w:t>
      </w:r>
    </w:p>
    <w:p w14:paraId="003AE686"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416 beneficiaries, the survey cannot be conducted</w:t>
      </w:r>
    </w:p>
    <w:p w14:paraId="6EAA53C1" w14:textId="77777777" w:rsidR="004323E5" w:rsidRPr="002119B3" w:rsidRDefault="004323E5" w:rsidP="001F1C74">
      <w:pPr>
        <w:widowControl/>
        <w:numPr>
          <w:ilvl w:val="0"/>
          <w:numId w:val="3"/>
        </w:numPr>
        <w:tabs>
          <w:tab w:val="clear" w:pos="720"/>
          <w:tab w:val="num" w:pos="-3075"/>
        </w:tabs>
        <w:autoSpaceDE/>
        <w:autoSpaceDN/>
        <w:adjustRightInd/>
        <w:spacing w:before="100" w:beforeAutospacing="1" w:after="100" w:afterAutospacing="1" w:line="276" w:lineRule="auto"/>
        <w:ind w:right="150"/>
        <w:rPr>
          <w:sz w:val="24"/>
        </w:rPr>
      </w:pPr>
      <w:r w:rsidRPr="002119B3">
        <w:rPr>
          <w:sz w:val="24"/>
        </w:rPr>
        <w:t xml:space="preserve">For groups with 25 to 99 </w:t>
      </w:r>
      <w:r>
        <w:rPr>
          <w:sz w:val="24"/>
        </w:rPr>
        <w:t>MIPS eligible clinicians</w:t>
      </w:r>
      <w:r w:rsidRPr="002119B3">
        <w:rPr>
          <w:sz w:val="24"/>
        </w:rPr>
        <w:t xml:space="preserve">: </w:t>
      </w:r>
    </w:p>
    <w:p w14:paraId="175C1259"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CMS will draw a sample of 860 beneficiaries</w:t>
      </w:r>
    </w:p>
    <w:p w14:paraId="42388C2A"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860 beneficiaries, but more than 254 beneficiaries, all eligible beneficiaries will be surveyed in PY 2016</w:t>
      </w:r>
    </w:p>
    <w:p w14:paraId="0E660B11"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255 beneficiaries, the survey cannot be conducted</w:t>
      </w:r>
    </w:p>
    <w:p w14:paraId="7BC33C8D" w14:textId="77777777" w:rsidR="004323E5" w:rsidRPr="002119B3" w:rsidRDefault="004323E5" w:rsidP="001F1C74">
      <w:pPr>
        <w:widowControl/>
        <w:numPr>
          <w:ilvl w:val="0"/>
          <w:numId w:val="3"/>
        </w:numPr>
        <w:tabs>
          <w:tab w:val="clear" w:pos="720"/>
          <w:tab w:val="num" w:pos="-3075"/>
        </w:tabs>
        <w:autoSpaceDE/>
        <w:autoSpaceDN/>
        <w:adjustRightInd/>
        <w:spacing w:before="100" w:beforeAutospacing="1" w:after="100" w:afterAutospacing="1" w:line="276" w:lineRule="auto"/>
        <w:ind w:right="150"/>
        <w:rPr>
          <w:sz w:val="24"/>
        </w:rPr>
      </w:pPr>
      <w:r w:rsidRPr="002119B3">
        <w:rPr>
          <w:sz w:val="24"/>
        </w:rPr>
        <w:t xml:space="preserve">For groups with 2 to 24 </w:t>
      </w:r>
      <w:r>
        <w:rPr>
          <w:sz w:val="24"/>
        </w:rPr>
        <w:t>MIPS eligible clinicians</w:t>
      </w:r>
      <w:r w:rsidRPr="002119B3">
        <w:rPr>
          <w:sz w:val="24"/>
        </w:rPr>
        <w:t xml:space="preserve">: </w:t>
      </w:r>
    </w:p>
    <w:p w14:paraId="0BF6E1F7"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CMS will draw from a sample of 860 beneficiaries</w:t>
      </w:r>
    </w:p>
    <w:p w14:paraId="19477435"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860 beneficiaries, but more than 124 beneficiaries, all eligible beneficiaries will be surveyed in PY 2016</w:t>
      </w:r>
    </w:p>
    <w:p w14:paraId="6541E6EC"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125 beneficiaries, the survey cannot be conducted</w:t>
      </w:r>
    </w:p>
    <w:p w14:paraId="151E4108" w14:textId="77777777" w:rsidR="00986B23" w:rsidRDefault="00986B23"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22F2EF13" w14:textId="7DEB99D2" w:rsidR="00173F05" w:rsidRPr="00424762"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CCA75DB" w14:textId="77777777" w:rsidR="00173F05"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BFFE44D" w14:textId="2B29DBFD" w:rsidR="001213B0" w:rsidRPr="001F1C74" w:rsidRDefault="00553D43" w:rsidP="001F1C74">
      <w:pPr>
        <w:pStyle w:val="NoSpacing"/>
        <w:spacing w:line="276" w:lineRule="auto"/>
        <w:ind w:firstLine="720"/>
        <w:rPr>
          <w:rFonts w:ascii="Times New Roman" w:hAnsi="Times New Roman"/>
          <w:sz w:val="24"/>
          <w:szCs w:val="24"/>
        </w:rPr>
      </w:pPr>
      <w:r w:rsidRPr="001F1C74">
        <w:rPr>
          <w:rFonts w:ascii="Times New Roman" w:hAnsi="Times New Roman"/>
          <w:sz w:val="24"/>
          <w:szCs w:val="24"/>
        </w:rPr>
        <w:t xml:space="preserve">The CAHPS </w:t>
      </w:r>
      <w:r w:rsidR="001F1C74">
        <w:rPr>
          <w:rFonts w:ascii="Times New Roman" w:hAnsi="Times New Roman"/>
          <w:sz w:val="24"/>
          <w:szCs w:val="24"/>
        </w:rPr>
        <w:t xml:space="preserve">for MIPS </w:t>
      </w:r>
      <w:r w:rsidRPr="001F1C74">
        <w:rPr>
          <w:rFonts w:ascii="Times New Roman" w:hAnsi="Times New Roman"/>
          <w:sz w:val="24"/>
          <w:szCs w:val="24"/>
        </w:rPr>
        <w:t xml:space="preserve">survey has developed a mixed-mode data collection protocol, as described above, that uses a pre-notification letter alerting sample members that a survey will be mailed to them shortly, a first mailing of the full questionnaire booklet, followed by a second mailing to those who do not respond to the earlier mailing of the questionnaire. For those who also do not respond to the second mailing of the questionnaire, CAHPS employs a telephone follow-up through which it offers sample members the opportunity to complete the survey by phone. The mailing materials to all sample members also include a toll-free telephone number that allows recipients to call in to ask questions about the survey. </w:t>
      </w:r>
      <w:r w:rsidRPr="001F1C74">
        <w:rPr>
          <w:rFonts w:ascii="Times New Roman" w:hAnsi="Times New Roman"/>
          <w:sz w:val="24"/>
        </w:rPr>
        <w:t>CMS-approved survey vendors would be supplied with mail and telephone versions of the survey in electronic form, and text for beneficiary pre-notification and cover letters</w:t>
      </w:r>
      <w:r w:rsidR="00C66B6F">
        <w:rPr>
          <w:rFonts w:ascii="Times New Roman" w:hAnsi="Times New Roman"/>
          <w:sz w:val="24"/>
        </w:rPr>
        <w:t>.</w:t>
      </w:r>
      <w:r w:rsidRPr="001F1C74">
        <w:rPr>
          <w:rFonts w:ascii="Times New Roman" w:hAnsi="Times New Roman"/>
          <w:sz w:val="24"/>
        </w:rPr>
        <w:t xml:space="preserve"> Further, CAHPS for MIPS surveys can be administered in English, Spanish, Cantonese, Mandarin, Korean, Russian and/or Vietnamese.</w:t>
      </w:r>
      <w:r w:rsidR="001F1C74" w:rsidRPr="001F1C74">
        <w:rPr>
          <w:rFonts w:ascii="Times New Roman" w:hAnsi="Times New Roman"/>
          <w:sz w:val="24"/>
        </w:rPr>
        <w:t xml:space="preserve"> </w:t>
      </w:r>
      <w:r w:rsidR="00D6718A">
        <w:rPr>
          <w:rFonts w:ascii="Times New Roman" w:hAnsi="Times New Roman"/>
          <w:sz w:val="24"/>
          <w:szCs w:val="24"/>
        </w:rPr>
        <w:t xml:space="preserve">CAHPS for </w:t>
      </w:r>
      <w:r w:rsidR="00A73765">
        <w:rPr>
          <w:rFonts w:ascii="Times New Roman" w:hAnsi="Times New Roman"/>
          <w:sz w:val="24"/>
          <w:szCs w:val="24"/>
        </w:rPr>
        <w:t>PQRS</w:t>
      </w:r>
      <w:r w:rsidRPr="001F1C74">
        <w:rPr>
          <w:rFonts w:ascii="Times New Roman" w:hAnsi="Times New Roman"/>
          <w:sz w:val="24"/>
          <w:szCs w:val="24"/>
        </w:rPr>
        <w:t xml:space="preserve"> has </w:t>
      </w:r>
      <w:r w:rsidR="00D6718A">
        <w:rPr>
          <w:rFonts w:ascii="Times New Roman" w:hAnsi="Times New Roman"/>
          <w:sz w:val="24"/>
          <w:szCs w:val="24"/>
        </w:rPr>
        <w:t>achieved</w:t>
      </w:r>
      <w:r w:rsidR="00D6718A" w:rsidRPr="001F1C74">
        <w:rPr>
          <w:rFonts w:ascii="Times New Roman" w:hAnsi="Times New Roman"/>
          <w:sz w:val="24"/>
          <w:szCs w:val="24"/>
        </w:rPr>
        <w:t xml:space="preserve"> </w:t>
      </w:r>
      <w:r w:rsidR="00D6718A">
        <w:rPr>
          <w:rFonts w:ascii="Times New Roman" w:hAnsi="Times New Roman"/>
          <w:sz w:val="24"/>
          <w:szCs w:val="24"/>
        </w:rPr>
        <w:t>a 47</w:t>
      </w:r>
      <w:r w:rsidRPr="001F1C74">
        <w:rPr>
          <w:rFonts w:ascii="Times New Roman" w:hAnsi="Times New Roman"/>
          <w:sz w:val="24"/>
          <w:szCs w:val="24"/>
        </w:rPr>
        <w:t xml:space="preserve"> </w:t>
      </w:r>
      <w:bookmarkStart w:id="0" w:name="_GoBack"/>
      <w:bookmarkEnd w:id="0"/>
      <w:r w:rsidRPr="001F1C74">
        <w:rPr>
          <w:rFonts w:ascii="Times New Roman" w:hAnsi="Times New Roman"/>
          <w:sz w:val="24"/>
          <w:szCs w:val="24"/>
        </w:rPr>
        <w:t xml:space="preserve">percent </w:t>
      </w:r>
      <w:r w:rsidR="00D6718A">
        <w:rPr>
          <w:rFonts w:ascii="Times New Roman" w:hAnsi="Times New Roman"/>
          <w:sz w:val="24"/>
          <w:szCs w:val="24"/>
        </w:rPr>
        <w:t xml:space="preserve">response rate </w:t>
      </w:r>
      <w:r w:rsidRPr="001F1C74">
        <w:rPr>
          <w:rFonts w:ascii="Times New Roman" w:hAnsi="Times New Roman"/>
          <w:sz w:val="24"/>
          <w:szCs w:val="24"/>
        </w:rPr>
        <w:t>on average</w:t>
      </w:r>
      <w:r w:rsidR="00D6718A">
        <w:rPr>
          <w:rFonts w:ascii="Times New Roman" w:hAnsi="Times New Roman"/>
          <w:sz w:val="24"/>
          <w:szCs w:val="24"/>
        </w:rPr>
        <w:t>,</w:t>
      </w:r>
      <w:r w:rsidRPr="001F1C74">
        <w:rPr>
          <w:rFonts w:ascii="Times New Roman" w:hAnsi="Times New Roman"/>
          <w:sz w:val="24"/>
          <w:szCs w:val="24"/>
        </w:rPr>
        <w:t xml:space="preserve"> </w:t>
      </w:r>
      <w:r w:rsidR="00D6718A">
        <w:rPr>
          <w:rFonts w:ascii="Times New Roman" w:hAnsi="Times New Roman"/>
          <w:sz w:val="24"/>
          <w:szCs w:val="24"/>
        </w:rPr>
        <w:t>slightly higher than some</w:t>
      </w:r>
      <w:r w:rsidRPr="001F1C74">
        <w:rPr>
          <w:rFonts w:ascii="Times New Roman" w:hAnsi="Times New Roman"/>
          <w:sz w:val="24"/>
          <w:szCs w:val="24"/>
        </w:rPr>
        <w:t xml:space="preserve"> CAHPS surveys of Medicare beneficiaries.  </w:t>
      </w:r>
    </w:p>
    <w:p w14:paraId="38C410A2" w14:textId="33B29913" w:rsidR="007A324A" w:rsidRPr="007A324A" w:rsidRDefault="007A324A" w:rsidP="001F1C74">
      <w:pPr>
        <w:pStyle w:val="NoSpacing"/>
        <w:spacing w:line="276" w:lineRule="auto"/>
        <w:ind w:firstLine="720"/>
        <w:rPr>
          <w:rFonts w:ascii="Times New Roman" w:hAnsi="Times New Roman"/>
          <w:sz w:val="24"/>
        </w:rPr>
      </w:pPr>
      <w:r w:rsidRPr="007A324A">
        <w:rPr>
          <w:rFonts w:ascii="Times New Roman" w:hAnsi="Times New Roman"/>
          <w:sz w:val="24"/>
        </w:rPr>
        <w:t>The survey vendors will be required to administer the survey according to established protocols to ensure valid and reliable results</w:t>
      </w:r>
      <w:r w:rsidR="001F1C74">
        <w:rPr>
          <w:rFonts w:ascii="Times New Roman" w:hAnsi="Times New Roman"/>
          <w:sz w:val="24"/>
        </w:rPr>
        <w:t>.</w:t>
      </w:r>
      <w:r w:rsidRPr="007A324A">
        <w:rPr>
          <w:rFonts w:ascii="Times New Roman" w:hAnsi="Times New Roman"/>
          <w:sz w:val="24"/>
        </w:rPr>
        <w:t xml:space="preserve"> Survey vendors would be required to use appropriate quality control, encryption, security and backup procedures to maintain survey response data. The data would then be securely sent back to us for scoring and/or validation in accordance with applicable law. To ensure that a survey vendor possesses the ability to transmit survey measures data for a particular performance period, we propose to require survey vendors to undergo this approval process for each year in which the survey vendor seeks to transmit survey measures data to us. </w:t>
      </w:r>
    </w:p>
    <w:p w14:paraId="24ECA456" w14:textId="36961950" w:rsidR="00260BC6" w:rsidRPr="001213B0" w:rsidRDefault="00260BC6" w:rsidP="001F1C74">
      <w:pPr>
        <w:pStyle w:val="NoSpacing"/>
        <w:spacing w:line="276" w:lineRule="auto"/>
        <w:ind w:firstLine="360"/>
        <w:rPr>
          <w:rFonts w:ascii="Times New Roman" w:hAnsi="Times New Roman"/>
          <w:sz w:val="24"/>
          <w:szCs w:val="24"/>
        </w:rPr>
      </w:pPr>
    </w:p>
    <w:p w14:paraId="2F85E5BD" w14:textId="4FD7756A" w:rsidR="00173F05" w:rsidRPr="00424762" w:rsidRDefault="00173F05"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4.</w:t>
      </w:r>
      <w:r w:rsidRPr="00424762">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424762">
        <w:rPr>
          <w:b/>
          <w:sz w:val="24"/>
        </w:rPr>
        <w:softHyphen/>
        <w:t>ly or in combination with the main collection of information.</w:t>
      </w:r>
    </w:p>
    <w:p w14:paraId="700D528E" w14:textId="77777777" w:rsidR="001F1C74" w:rsidRDefault="001F1C74" w:rsidP="001F1C74">
      <w:pPr>
        <w:pStyle w:val="Default"/>
        <w:spacing w:line="276" w:lineRule="auto"/>
        <w:ind w:firstLine="720"/>
      </w:pPr>
    </w:p>
    <w:p w14:paraId="7CBA8A40" w14:textId="77777777" w:rsidR="001F1C74" w:rsidRDefault="001F1C74" w:rsidP="001F1C74">
      <w:pPr>
        <w:pStyle w:val="Default"/>
        <w:spacing w:line="276" w:lineRule="auto"/>
        <w:ind w:firstLine="720"/>
      </w:pPr>
      <w:r w:rsidRPr="001F1C74">
        <w:t>No tests of procedures or methods will be undertaken as part of this data collection.</w:t>
      </w:r>
    </w:p>
    <w:p w14:paraId="5E189F0B" w14:textId="77777777" w:rsidR="004829AE" w:rsidRDefault="004829AE"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660F1DA9" w14:textId="633407B5" w:rsidR="00173F05"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5.</w:t>
      </w:r>
      <w:r w:rsidRPr="00424762">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024FB66D" w14:textId="5E28CFC0" w:rsidR="00901169" w:rsidRDefault="00901169"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5F716B0E" w14:textId="44CE684E" w:rsidR="00553D43" w:rsidRDefault="00553D43" w:rsidP="001F1C74">
      <w:pPr>
        <w:pStyle w:val="NoSpacing"/>
        <w:spacing w:line="276" w:lineRule="auto"/>
        <w:ind w:firstLine="720"/>
        <w:rPr>
          <w:rFonts w:ascii="Times New Roman" w:hAnsi="Times New Roman"/>
          <w:sz w:val="24"/>
          <w:szCs w:val="24"/>
        </w:rPr>
      </w:pPr>
      <w:bookmarkStart w:id="1" w:name="_Ref408572865"/>
      <w:bookmarkEnd w:id="1"/>
      <w:r>
        <w:rPr>
          <w:rFonts w:ascii="Times New Roman" w:hAnsi="Times New Roman"/>
          <w:sz w:val="24"/>
          <w:szCs w:val="24"/>
        </w:rPr>
        <w:t xml:space="preserve">We expect that the CAHPS for MIPS survey design will be very similar to the CAHPS for PQRS survey.  </w:t>
      </w:r>
      <w:r w:rsidRPr="001213B0">
        <w:rPr>
          <w:rFonts w:ascii="Times New Roman" w:hAnsi="Times New Roman"/>
          <w:sz w:val="24"/>
          <w:szCs w:val="24"/>
        </w:rPr>
        <w:t xml:space="preserve">The survey, sampling approach, and data collection procedures </w:t>
      </w:r>
      <w:r>
        <w:rPr>
          <w:rFonts w:ascii="Times New Roman" w:hAnsi="Times New Roman"/>
          <w:sz w:val="24"/>
          <w:szCs w:val="24"/>
        </w:rPr>
        <w:t xml:space="preserve">for the CAHPS for PQRS survey </w:t>
      </w:r>
      <w:r w:rsidRPr="001213B0">
        <w:rPr>
          <w:rFonts w:ascii="Times New Roman" w:hAnsi="Times New Roman"/>
          <w:sz w:val="24"/>
          <w:szCs w:val="24"/>
        </w:rPr>
        <w:t>were designed by the RAND Corporation</w:t>
      </w:r>
      <w:r w:rsidR="00B81057">
        <w:rPr>
          <w:rFonts w:ascii="Times New Roman" w:hAnsi="Times New Roman"/>
          <w:sz w:val="24"/>
          <w:szCs w:val="24"/>
        </w:rPr>
        <w:t xml:space="preserve">. </w:t>
      </w:r>
    </w:p>
    <w:p w14:paraId="56D25568" w14:textId="546E56E7" w:rsidR="00750A28" w:rsidRPr="00B81057" w:rsidRDefault="00B81057" w:rsidP="001F1C74">
      <w:pPr>
        <w:spacing w:line="276" w:lineRule="auto"/>
        <w:ind w:firstLine="720"/>
        <w:rPr>
          <w:sz w:val="24"/>
        </w:rPr>
      </w:pPr>
      <w:r w:rsidRPr="00B81057">
        <w:rPr>
          <w:sz w:val="24"/>
        </w:rPr>
        <w:t>The CAHPS Survey for PQRS is comprised of the core Clinician &amp; Group CAHPS Survey (CG-CAHPS) which was developed by the Agency for Healthcare Quality Research (AHR</w:t>
      </w:r>
      <w:r w:rsidR="00C66B6F">
        <w:rPr>
          <w:sz w:val="24"/>
        </w:rPr>
        <w:t>Q</w:t>
      </w:r>
      <w:r w:rsidRPr="00B81057">
        <w:rPr>
          <w:sz w:val="24"/>
        </w:rPr>
        <w:t xml:space="preserve">) and additional supplemental items covering domains of patient experience specific to the information needs of CMS and the PQRS.  </w:t>
      </w:r>
    </w:p>
    <w:sectPr w:rsidR="00750A28" w:rsidRPr="00B81057" w:rsidSect="005E0E49">
      <w:footerReference w:type="default" r:id="rId12"/>
      <w:endnotePr>
        <w:numFmt w:val="decimal"/>
      </w:endnotePr>
      <w:pgSz w:w="12240" w:h="15840"/>
      <w:pgMar w:top="1440" w:right="1296" w:bottom="1440" w:left="1440" w:header="1440"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75A8C" w14:textId="77777777" w:rsidR="00931F5E" w:rsidRDefault="00931F5E">
      <w:r>
        <w:separator/>
      </w:r>
    </w:p>
  </w:endnote>
  <w:endnote w:type="continuationSeparator" w:id="0">
    <w:p w14:paraId="70509601" w14:textId="77777777" w:rsidR="00931F5E" w:rsidRDefault="00931F5E">
      <w:r>
        <w:continuationSeparator/>
      </w:r>
    </w:p>
  </w:endnote>
  <w:endnote w:type="continuationNotice" w:id="1">
    <w:p w14:paraId="76A02DBD" w14:textId="77777777" w:rsidR="00931F5E" w:rsidRDefault="00931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11995579"/>
      <w:docPartObj>
        <w:docPartGallery w:val="Page Numbers (Bottom of Page)"/>
        <w:docPartUnique/>
      </w:docPartObj>
    </w:sdtPr>
    <w:sdtEndPr/>
    <w:sdtContent>
      <w:sdt>
        <w:sdtPr>
          <w:rPr>
            <w:szCs w:val="20"/>
          </w:rPr>
          <w:id w:val="565050523"/>
          <w:docPartObj>
            <w:docPartGallery w:val="Page Numbers (Top of Page)"/>
            <w:docPartUnique/>
          </w:docPartObj>
        </w:sdtPr>
        <w:sdtEndPr/>
        <w:sdtContent>
          <w:p w14:paraId="7C4C79BA" w14:textId="79082B9C" w:rsidR="00A64DF2" w:rsidRPr="00BD1305" w:rsidRDefault="00A64DF2">
            <w:pPr>
              <w:pStyle w:val="Footer"/>
              <w:jc w:val="right"/>
              <w:rPr>
                <w:szCs w:val="20"/>
              </w:rPr>
            </w:pPr>
            <w:r w:rsidRPr="0022709F">
              <w:rPr>
                <w:szCs w:val="20"/>
              </w:rPr>
              <w:t xml:space="preserve">Page </w:t>
            </w:r>
            <w:r w:rsidRPr="004368E8">
              <w:rPr>
                <w:b/>
                <w:szCs w:val="20"/>
              </w:rPr>
              <w:fldChar w:fldCharType="begin"/>
            </w:r>
            <w:r w:rsidRPr="004368E8">
              <w:rPr>
                <w:b/>
                <w:szCs w:val="20"/>
              </w:rPr>
              <w:instrText xml:space="preserve"> PAGE </w:instrText>
            </w:r>
            <w:r w:rsidRPr="004368E8">
              <w:rPr>
                <w:b/>
                <w:szCs w:val="20"/>
              </w:rPr>
              <w:fldChar w:fldCharType="separate"/>
            </w:r>
            <w:r w:rsidR="00517244">
              <w:rPr>
                <w:b/>
                <w:noProof/>
                <w:szCs w:val="20"/>
              </w:rPr>
              <w:t>1</w:t>
            </w:r>
            <w:r w:rsidRPr="004368E8">
              <w:rPr>
                <w:b/>
                <w:szCs w:val="20"/>
              </w:rPr>
              <w:fldChar w:fldCharType="end"/>
            </w:r>
            <w:r w:rsidRPr="0022709F">
              <w:rPr>
                <w:szCs w:val="20"/>
              </w:rPr>
              <w:t xml:space="preserve"> of </w:t>
            </w:r>
            <w:r w:rsidRPr="004368E8">
              <w:rPr>
                <w:b/>
                <w:szCs w:val="20"/>
              </w:rPr>
              <w:fldChar w:fldCharType="begin"/>
            </w:r>
            <w:r w:rsidRPr="004368E8">
              <w:rPr>
                <w:b/>
                <w:szCs w:val="20"/>
              </w:rPr>
              <w:instrText xml:space="preserve"> NUMPAGES  </w:instrText>
            </w:r>
            <w:r w:rsidRPr="004368E8">
              <w:rPr>
                <w:b/>
                <w:szCs w:val="20"/>
              </w:rPr>
              <w:fldChar w:fldCharType="separate"/>
            </w:r>
            <w:r w:rsidR="00517244">
              <w:rPr>
                <w:b/>
                <w:noProof/>
                <w:szCs w:val="20"/>
              </w:rPr>
              <w:t>5</w:t>
            </w:r>
            <w:r w:rsidRPr="004368E8">
              <w:rPr>
                <w:b/>
                <w:szCs w:val="20"/>
              </w:rPr>
              <w:fldChar w:fldCharType="end"/>
            </w:r>
          </w:p>
        </w:sdtContent>
      </w:sdt>
    </w:sdtContent>
  </w:sdt>
  <w:p w14:paraId="1CE6DB4B" w14:textId="77777777" w:rsidR="00A64DF2" w:rsidRDefault="00A64DF2">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49F09" w14:textId="77777777" w:rsidR="00931F5E" w:rsidRDefault="00931F5E">
      <w:r>
        <w:separator/>
      </w:r>
    </w:p>
  </w:footnote>
  <w:footnote w:type="continuationSeparator" w:id="0">
    <w:p w14:paraId="40A35B94" w14:textId="77777777" w:rsidR="00931F5E" w:rsidRDefault="00931F5E">
      <w:r>
        <w:continuationSeparator/>
      </w:r>
    </w:p>
  </w:footnote>
  <w:footnote w:type="continuationNotice" w:id="1">
    <w:p w14:paraId="6B7291CB" w14:textId="77777777" w:rsidR="00931F5E" w:rsidRDefault="00931F5E"/>
  </w:footnote>
  <w:footnote w:id="2">
    <w:p w14:paraId="7C580C58" w14:textId="1735393D" w:rsidR="00A64DF2" w:rsidRDefault="00A64DF2">
      <w:pPr>
        <w:pStyle w:val="FootnoteText"/>
      </w:pPr>
      <w:r>
        <w:rPr>
          <w:rStyle w:val="FootnoteReference"/>
        </w:rPr>
        <w:footnoteRef/>
      </w:r>
      <w:r>
        <w:t xml:space="preserve"> The 2014 PQRS data are from the most recent PQRS Experience Report, available at: </w:t>
      </w:r>
      <w:r w:rsidRPr="0086469B">
        <w:t>https://www.cms.gov/medicare/quality-initiatives-patient-assessment-instruments/pqrs/analysisandpayment.html</w:t>
      </w:r>
    </w:p>
  </w:footnote>
  <w:footnote w:id="3">
    <w:p w14:paraId="59D98194" w14:textId="77777777" w:rsidR="00A64DF2" w:rsidRPr="002C7CB7" w:rsidRDefault="00A64DF2" w:rsidP="00715461">
      <w:pPr>
        <w:pStyle w:val="FootnoteText"/>
      </w:pPr>
      <w:r>
        <w:rPr>
          <w:rStyle w:val="FootnoteReference"/>
        </w:rPr>
        <w:footnoteRef/>
      </w:r>
      <w:r>
        <w:t xml:space="preserve"> Section 1848(q)(1)(C) of the Act defines a MIPS eligible clinician for payment years 1 and 2 as a physician, physician’s assistant, nurse practitioner, or clinical nurse anesthetist, or a group that includes such clinicians. Specialties not listed as eligible in the Act for payment period 1 or 2 include: Audiologists, Certified Nurse Midwives, Clinical Psychologists/Counselors, Clinical Social Workers, Physical/Occupational Therapists, and Registered Dieticians/Nutritionists.</w:t>
      </w:r>
    </w:p>
  </w:footnote>
  <w:footnote w:id="4">
    <w:p w14:paraId="646264A4" w14:textId="77777777" w:rsidR="00A64DF2" w:rsidRDefault="00A64DF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826"/>
    <w:multiLevelType w:val="hybridMultilevel"/>
    <w:tmpl w:val="5F6AC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D0DFD"/>
    <w:multiLevelType w:val="multilevel"/>
    <w:tmpl w:val="9CF0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77AB8"/>
    <w:multiLevelType w:val="hybridMultilevel"/>
    <w:tmpl w:val="DD883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D0BDC"/>
    <w:multiLevelType w:val="multilevel"/>
    <w:tmpl w:val="55E4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C277E"/>
    <w:multiLevelType w:val="hybridMultilevel"/>
    <w:tmpl w:val="683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FC7175"/>
    <w:multiLevelType w:val="hybridMultilevel"/>
    <w:tmpl w:val="BF5A7BAE"/>
    <w:lvl w:ilvl="0" w:tplc="643E3C92">
      <w:start w:val="1"/>
      <w:numFmt w:val="decimal"/>
      <w:lvlText w:val="%1)"/>
      <w:lvlJc w:val="left"/>
      <w:pPr>
        <w:ind w:left="1110" w:hanging="390"/>
      </w:pPr>
      <w:rPr>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01F2CFF"/>
    <w:multiLevelType w:val="hybridMultilevel"/>
    <w:tmpl w:val="0B64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4C"/>
    <w:rsid w:val="00014972"/>
    <w:rsid w:val="0001782D"/>
    <w:rsid w:val="000218BF"/>
    <w:rsid w:val="0002605B"/>
    <w:rsid w:val="0003042D"/>
    <w:rsid w:val="0003143E"/>
    <w:rsid w:val="00033AF4"/>
    <w:rsid w:val="00035C7E"/>
    <w:rsid w:val="00042488"/>
    <w:rsid w:val="00042ED2"/>
    <w:rsid w:val="00045A6D"/>
    <w:rsid w:val="0005009C"/>
    <w:rsid w:val="00055DC2"/>
    <w:rsid w:val="00062B8E"/>
    <w:rsid w:val="00065CCB"/>
    <w:rsid w:val="000723E7"/>
    <w:rsid w:val="0007471D"/>
    <w:rsid w:val="0007643E"/>
    <w:rsid w:val="00081D8B"/>
    <w:rsid w:val="00083A85"/>
    <w:rsid w:val="000A7751"/>
    <w:rsid w:val="000B21BC"/>
    <w:rsid w:val="000C07AC"/>
    <w:rsid w:val="000C79DB"/>
    <w:rsid w:val="000C7E13"/>
    <w:rsid w:val="000D1EE9"/>
    <w:rsid w:val="000F3C0A"/>
    <w:rsid w:val="000F6D09"/>
    <w:rsid w:val="00104D2E"/>
    <w:rsid w:val="001125ED"/>
    <w:rsid w:val="00117278"/>
    <w:rsid w:val="001213B0"/>
    <w:rsid w:val="00121A5B"/>
    <w:rsid w:val="001306CC"/>
    <w:rsid w:val="001424D2"/>
    <w:rsid w:val="00142E46"/>
    <w:rsid w:val="0015671E"/>
    <w:rsid w:val="00162337"/>
    <w:rsid w:val="00171E3D"/>
    <w:rsid w:val="00173F05"/>
    <w:rsid w:val="001812BE"/>
    <w:rsid w:val="00193770"/>
    <w:rsid w:val="00195BE9"/>
    <w:rsid w:val="001966BA"/>
    <w:rsid w:val="001A055E"/>
    <w:rsid w:val="001A414A"/>
    <w:rsid w:val="001A62CF"/>
    <w:rsid w:val="001A7F32"/>
    <w:rsid w:val="001B0534"/>
    <w:rsid w:val="001B0AAC"/>
    <w:rsid w:val="001B2103"/>
    <w:rsid w:val="001B52C7"/>
    <w:rsid w:val="001B74CF"/>
    <w:rsid w:val="001C0B4D"/>
    <w:rsid w:val="001C6CE3"/>
    <w:rsid w:val="001D1064"/>
    <w:rsid w:val="001D50D4"/>
    <w:rsid w:val="001E06DC"/>
    <w:rsid w:val="001E4D16"/>
    <w:rsid w:val="001E5885"/>
    <w:rsid w:val="001F1C74"/>
    <w:rsid w:val="001F357D"/>
    <w:rsid w:val="001F3885"/>
    <w:rsid w:val="00201C18"/>
    <w:rsid w:val="0020798E"/>
    <w:rsid w:val="002113F8"/>
    <w:rsid w:val="002119B3"/>
    <w:rsid w:val="00221860"/>
    <w:rsid w:val="002263CC"/>
    <w:rsid w:val="0022709F"/>
    <w:rsid w:val="00230BD1"/>
    <w:rsid w:val="0023598A"/>
    <w:rsid w:val="0024296D"/>
    <w:rsid w:val="00243E14"/>
    <w:rsid w:val="002450AC"/>
    <w:rsid w:val="00247673"/>
    <w:rsid w:val="0025549E"/>
    <w:rsid w:val="002601FF"/>
    <w:rsid w:val="00260BC6"/>
    <w:rsid w:val="002624AA"/>
    <w:rsid w:val="00266B5B"/>
    <w:rsid w:val="002706F6"/>
    <w:rsid w:val="002744BC"/>
    <w:rsid w:val="00280645"/>
    <w:rsid w:val="002817F8"/>
    <w:rsid w:val="002851F3"/>
    <w:rsid w:val="00291C55"/>
    <w:rsid w:val="0029291B"/>
    <w:rsid w:val="00293456"/>
    <w:rsid w:val="002A0CAC"/>
    <w:rsid w:val="002B5CCD"/>
    <w:rsid w:val="002C16A6"/>
    <w:rsid w:val="002C171C"/>
    <w:rsid w:val="002C2758"/>
    <w:rsid w:val="002C7CB7"/>
    <w:rsid w:val="002E174A"/>
    <w:rsid w:val="002E1C7C"/>
    <w:rsid w:val="002E24D9"/>
    <w:rsid w:val="002F274B"/>
    <w:rsid w:val="0031018B"/>
    <w:rsid w:val="00312EAA"/>
    <w:rsid w:val="00326A9E"/>
    <w:rsid w:val="00326E23"/>
    <w:rsid w:val="00327616"/>
    <w:rsid w:val="00332C4B"/>
    <w:rsid w:val="00335A67"/>
    <w:rsid w:val="00336160"/>
    <w:rsid w:val="003420EF"/>
    <w:rsid w:val="00342516"/>
    <w:rsid w:val="00342FC1"/>
    <w:rsid w:val="00347362"/>
    <w:rsid w:val="00351BA3"/>
    <w:rsid w:val="00353D44"/>
    <w:rsid w:val="00374C7D"/>
    <w:rsid w:val="00376C80"/>
    <w:rsid w:val="003833F3"/>
    <w:rsid w:val="003910CC"/>
    <w:rsid w:val="003929DB"/>
    <w:rsid w:val="00395026"/>
    <w:rsid w:val="003A2E1E"/>
    <w:rsid w:val="003B12A7"/>
    <w:rsid w:val="003B6D08"/>
    <w:rsid w:val="003C2E04"/>
    <w:rsid w:val="003C6764"/>
    <w:rsid w:val="003D349A"/>
    <w:rsid w:val="003D76C0"/>
    <w:rsid w:val="003E1B58"/>
    <w:rsid w:val="003E3C2E"/>
    <w:rsid w:val="003E438B"/>
    <w:rsid w:val="003F11B2"/>
    <w:rsid w:val="003F53BC"/>
    <w:rsid w:val="003F7345"/>
    <w:rsid w:val="00413042"/>
    <w:rsid w:val="00421F6A"/>
    <w:rsid w:val="00424762"/>
    <w:rsid w:val="004323E5"/>
    <w:rsid w:val="004364F5"/>
    <w:rsid w:val="004368E8"/>
    <w:rsid w:val="00437E49"/>
    <w:rsid w:val="00446FDE"/>
    <w:rsid w:val="0045079D"/>
    <w:rsid w:val="00450F13"/>
    <w:rsid w:val="00460188"/>
    <w:rsid w:val="00460B61"/>
    <w:rsid w:val="0046280C"/>
    <w:rsid w:val="004628B9"/>
    <w:rsid w:val="0047182C"/>
    <w:rsid w:val="00481690"/>
    <w:rsid w:val="004816F3"/>
    <w:rsid w:val="004829AE"/>
    <w:rsid w:val="00484616"/>
    <w:rsid w:val="0048687D"/>
    <w:rsid w:val="0049181A"/>
    <w:rsid w:val="004A1D94"/>
    <w:rsid w:val="004A4CBB"/>
    <w:rsid w:val="004B15B4"/>
    <w:rsid w:val="004C41CD"/>
    <w:rsid w:val="004C53CC"/>
    <w:rsid w:val="004D57E8"/>
    <w:rsid w:val="004D6F26"/>
    <w:rsid w:val="004F2B40"/>
    <w:rsid w:val="004F3C78"/>
    <w:rsid w:val="004F402E"/>
    <w:rsid w:val="005003EE"/>
    <w:rsid w:val="00501593"/>
    <w:rsid w:val="00502409"/>
    <w:rsid w:val="00517244"/>
    <w:rsid w:val="0052182A"/>
    <w:rsid w:val="005218E3"/>
    <w:rsid w:val="00522BD4"/>
    <w:rsid w:val="005240CA"/>
    <w:rsid w:val="005264A1"/>
    <w:rsid w:val="0053222E"/>
    <w:rsid w:val="005341DA"/>
    <w:rsid w:val="005348A6"/>
    <w:rsid w:val="00536C90"/>
    <w:rsid w:val="00547C37"/>
    <w:rsid w:val="00553D43"/>
    <w:rsid w:val="00564708"/>
    <w:rsid w:val="005656C9"/>
    <w:rsid w:val="0057143C"/>
    <w:rsid w:val="00571AE8"/>
    <w:rsid w:val="0057226C"/>
    <w:rsid w:val="00581B78"/>
    <w:rsid w:val="00592130"/>
    <w:rsid w:val="00596288"/>
    <w:rsid w:val="005A43BA"/>
    <w:rsid w:val="005A79A8"/>
    <w:rsid w:val="005B6457"/>
    <w:rsid w:val="005C0456"/>
    <w:rsid w:val="005C67E9"/>
    <w:rsid w:val="005D0FD8"/>
    <w:rsid w:val="005D13C5"/>
    <w:rsid w:val="005D1703"/>
    <w:rsid w:val="005E0E49"/>
    <w:rsid w:val="005E1547"/>
    <w:rsid w:val="005F096E"/>
    <w:rsid w:val="005F703B"/>
    <w:rsid w:val="005F77FB"/>
    <w:rsid w:val="00607ADF"/>
    <w:rsid w:val="00613B0D"/>
    <w:rsid w:val="00622521"/>
    <w:rsid w:val="00630891"/>
    <w:rsid w:val="00634C69"/>
    <w:rsid w:val="00636FEA"/>
    <w:rsid w:val="006452D8"/>
    <w:rsid w:val="00656F15"/>
    <w:rsid w:val="0066534E"/>
    <w:rsid w:val="00671353"/>
    <w:rsid w:val="00672690"/>
    <w:rsid w:val="00674FD4"/>
    <w:rsid w:val="00677863"/>
    <w:rsid w:val="00680E77"/>
    <w:rsid w:val="00684928"/>
    <w:rsid w:val="006913B6"/>
    <w:rsid w:val="00692D9D"/>
    <w:rsid w:val="00694706"/>
    <w:rsid w:val="0069553F"/>
    <w:rsid w:val="006A02C2"/>
    <w:rsid w:val="006B1584"/>
    <w:rsid w:val="006B242E"/>
    <w:rsid w:val="006B7586"/>
    <w:rsid w:val="006C0D28"/>
    <w:rsid w:val="006C3C5A"/>
    <w:rsid w:val="006C75AE"/>
    <w:rsid w:val="006D1655"/>
    <w:rsid w:val="006E058B"/>
    <w:rsid w:val="006E59A7"/>
    <w:rsid w:val="006F1BC4"/>
    <w:rsid w:val="006F6425"/>
    <w:rsid w:val="007057B3"/>
    <w:rsid w:val="00706F20"/>
    <w:rsid w:val="007118F3"/>
    <w:rsid w:val="00715461"/>
    <w:rsid w:val="00716CAE"/>
    <w:rsid w:val="00723500"/>
    <w:rsid w:val="00723E2C"/>
    <w:rsid w:val="00730358"/>
    <w:rsid w:val="00733C79"/>
    <w:rsid w:val="00735AE5"/>
    <w:rsid w:val="00741853"/>
    <w:rsid w:val="00747D4E"/>
    <w:rsid w:val="00750A28"/>
    <w:rsid w:val="00751947"/>
    <w:rsid w:val="007557CB"/>
    <w:rsid w:val="00760BDA"/>
    <w:rsid w:val="007624D7"/>
    <w:rsid w:val="00773137"/>
    <w:rsid w:val="00773EAB"/>
    <w:rsid w:val="007830B6"/>
    <w:rsid w:val="007849F4"/>
    <w:rsid w:val="0079405F"/>
    <w:rsid w:val="007978EC"/>
    <w:rsid w:val="007A324A"/>
    <w:rsid w:val="007A5BCD"/>
    <w:rsid w:val="007B2362"/>
    <w:rsid w:val="007B4FE5"/>
    <w:rsid w:val="007C05FF"/>
    <w:rsid w:val="007C4C71"/>
    <w:rsid w:val="007C67CE"/>
    <w:rsid w:val="007D602E"/>
    <w:rsid w:val="007D68A5"/>
    <w:rsid w:val="007E3C42"/>
    <w:rsid w:val="007E602C"/>
    <w:rsid w:val="007E64DD"/>
    <w:rsid w:val="007E7BB7"/>
    <w:rsid w:val="007F5EC5"/>
    <w:rsid w:val="008143A3"/>
    <w:rsid w:val="008160A7"/>
    <w:rsid w:val="00816584"/>
    <w:rsid w:val="008176A6"/>
    <w:rsid w:val="008206F5"/>
    <w:rsid w:val="008226ED"/>
    <w:rsid w:val="0082414C"/>
    <w:rsid w:val="00826B4B"/>
    <w:rsid w:val="008345D5"/>
    <w:rsid w:val="008346D5"/>
    <w:rsid w:val="00840D8D"/>
    <w:rsid w:val="00847C8F"/>
    <w:rsid w:val="00852AEF"/>
    <w:rsid w:val="0086207A"/>
    <w:rsid w:val="008640BD"/>
    <w:rsid w:val="008641D9"/>
    <w:rsid w:val="0086469B"/>
    <w:rsid w:val="00864A56"/>
    <w:rsid w:val="008814E4"/>
    <w:rsid w:val="00882C0E"/>
    <w:rsid w:val="00887817"/>
    <w:rsid w:val="00894AD7"/>
    <w:rsid w:val="008A0CBF"/>
    <w:rsid w:val="008A43B2"/>
    <w:rsid w:val="008A7386"/>
    <w:rsid w:val="008B2728"/>
    <w:rsid w:val="008C0752"/>
    <w:rsid w:val="008C145E"/>
    <w:rsid w:val="008C5298"/>
    <w:rsid w:val="008D13DA"/>
    <w:rsid w:val="008D1EF0"/>
    <w:rsid w:val="008E2065"/>
    <w:rsid w:val="008E2216"/>
    <w:rsid w:val="008F051A"/>
    <w:rsid w:val="008F0EA6"/>
    <w:rsid w:val="008F71B8"/>
    <w:rsid w:val="00901169"/>
    <w:rsid w:val="00907752"/>
    <w:rsid w:val="00912F71"/>
    <w:rsid w:val="00912FDB"/>
    <w:rsid w:val="00916187"/>
    <w:rsid w:val="00931F5E"/>
    <w:rsid w:val="00937A21"/>
    <w:rsid w:val="00947308"/>
    <w:rsid w:val="00950ACF"/>
    <w:rsid w:val="009641FA"/>
    <w:rsid w:val="00967221"/>
    <w:rsid w:val="0097002F"/>
    <w:rsid w:val="00971ECE"/>
    <w:rsid w:val="009730CD"/>
    <w:rsid w:val="00976E0C"/>
    <w:rsid w:val="009775D7"/>
    <w:rsid w:val="009837FD"/>
    <w:rsid w:val="00986B23"/>
    <w:rsid w:val="00991388"/>
    <w:rsid w:val="009A44A4"/>
    <w:rsid w:val="009A6C81"/>
    <w:rsid w:val="009B5E3F"/>
    <w:rsid w:val="009B6D9F"/>
    <w:rsid w:val="009C4235"/>
    <w:rsid w:val="009C7A4C"/>
    <w:rsid w:val="009E1B2F"/>
    <w:rsid w:val="009E22BF"/>
    <w:rsid w:val="009E6989"/>
    <w:rsid w:val="009F275D"/>
    <w:rsid w:val="00A064D1"/>
    <w:rsid w:val="00A06ACB"/>
    <w:rsid w:val="00A07A5D"/>
    <w:rsid w:val="00A13D47"/>
    <w:rsid w:val="00A1444C"/>
    <w:rsid w:val="00A24B50"/>
    <w:rsid w:val="00A32A17"/>
    <w:rsid w:val="00A3310E"/>
    <w:rsid w:val="00A368D3"/>
    <w:rsid w:val="00A40B10"/>
    <w:rsid w:val="00A41685"/>
    <w:rsid w:val="00A468B0"/>
    <w:rsid w:val="00A46A1F"/>
    <w:rsid w:val="00A47B5F"/>
    <w:rsid w:val="00A52661"/>
    <w:rsid w:val="00A5452C"/>
    <w:rsid w:val="00A578BA"/>
    <w:rsid w:val="00A61D7D"/>
    <w:rsid w:val="00A64DF2"/>
    <w:rsid w:val="00A65180"/>
    <w:rsid w:val="00A65199"/>
    <w:rsid w:val="00A70514"/>
    <w:rsid w:val="00A73765"/>
    <w:rsid w:val="00A74BAC"/>
    <w:rsid w:val="00A80A14"/>
    <w:rsid w:val="00A82DBA"/>
    <w:rsid w:val="00A831D5"/>
    <w:rsid w:val="00A9139A"/>
    <w:rsid w:val="00A928AA"/>
    <w:rsid w:val="00A95E3E"/>
    <w:rsid w:val="00AA0E4E"/>
    <w:rsid w:val="00AA56E3"/>
    <w:rsid w:val="00AB299C"/>
    <w:rsid w:val="00AC004B"/>
    <w:rsid w:val="00AC56E4"/>
    <w:rsid w:val="00AD6805"/>
    <w:rsid w:val="00B12DB2"/>
    <w:rsid w:val="00B146F5"/>
    <w:rsid w:val="00B2468C"/>
    <w:rsid w:val="00B2586B"/>
    <w:rsid w:val="00B32E8A"/>
    <w:rsid w:val="00B36919"/>
    <w:rsid w:val="00B56C8F"/>
    <w:rsid w:val="00B60A1D"/>
    <w:rsid w:val="00B6153B"/>
    <w:rsid w:val="00B70CB6"/>
    <w:rsid w:val="00B71E3F"/>
    <w:rsid w:val="00B73CA7"/>
    <w:rsid w:val="00B772FB"/>
    <w:rsid w:val="00B81057"/>
    <w:rsid w:val="00B8320B"/>
    <w:rsid w:val="00B834F0"/>
    <w:rsid w:val="00B944DC"/>
    <w:rsid w:val="00BA132D"/>
    <w:rsid w:val="00BA2147"/>
    <w:rsid w:val="00BC0FE5"/>
    <w:rsid w:val="00BC2FAF"/>
    <w:rsid w:val="00BC3BA4"/>
    <w:rsid w:val="00BC50BC"/>
    <w:rsid w:val="00BD1305"/>
    <w:rsid w:val="00BD26BE"/>
    <w:rsid w:val="00BD37D5"/>
    <w:rsid w:val="00BD3B1C"/>
    <w:rsid w:val="00BE24E5"/>
    <w:rsid w:val="00BE2C79"/>
    <w:rsid w:val="00BE7CED"/>
    <w:rsid w:val="00BF5276"/>
    <w:rsid w:val="00BF5684"/>
    <w:rsid w:val="00C07ECC"/>
    <w:rsid w:val="00C174B2"/>
    <w:rsid w:val="00C21AAC"/>
    <w:rsid w:val="00C31470"/>
    <w:rsid w:val="00C4093D"/>
    <w:rsid w:val="00C448F0"/>
    <w:rsid w:val="00C4682B"/>
    <w:rsid w:val="00C46855"/>
    <w:rsid w:val="00C47F94"/>
    <w:rsid w:val="00C51151"/>
    <w:rsid w:val="00C51EFD"/>
    <w:rsid w:val="00C540A3"/>
    <w:rsid w:val="00C5775C"/>
    <w:rsid w:val="00C57F46"/>
    <w:rsid w:val="00C57FA8"/>
    <w:rsid w:val="00C653F8"/>
    <w:rsid w:val="00C66B6F"/>
    <w:rsid w:val="00C67AD3"/>
    <w:rsid w:val="00C77446"/>
    <w:rsid w:val="00C82302"/>
    <w:rsid w:val="00C83133"/>
    <w:rsid w:val="00C85A60"/>
    <w:rsid w:val="00C91BF2"/>
    <w:rsid w:val="00C93BD9"/>
    <w:rsid w:val="00C96304"/>
    <w:rsid w:val="00CC27DE"/>
    <w:rsid w:val="00CC4571"/>
    <w:rsid w:val="00CC62B8"/>
    <w:rsid w:val="00CC7F16"/>
    <w:rsid w:val="00CD1669"/>
    <w:rsid w:val="00CD30D1"/>
    <w:rsid w:val="00CE41AA"/>
    <w:rsid w:val="00CE52F6"/>
    <w:rsid w:val="00CE6033"/>
    <w:rsid w:val="00CF00AA"/>
    <w:rsid w:val="00CF24D6"/>
    <w:rsid w:val="00CF3764"/>
    <w:rsid w:val="00CF44BD"/>
    <w:rsid w:val="00CF4E17"/>
    <w:rsid w:val="00D02880"/>
    <w:rsid w:val="00D02C5A"/>
    <w:rsid w:val="00D02F5E"/>
    <w:rsid w:val="00D056F3"/>
    <w:rsid w:val="00D12B81"/>
    <w:rsid w:val="00D14E8A"/>
    <w:rsid w:val="00D16EA8"/>
    <w:rsid w:val="00D21BBA"/>
    <w:rsid w:val="00D3062B"/>
    <w:rsid w:val="00D334ED"/>
    <w:rsid w:val="00D33BC1"/>
    <w:rsid w:val="00D419E4"/>
    <w:rsid w:val="00D54AD3"/>
    <w:rsid w:val="00D55148"/>
    <w:rsid w:val="00D55327"/>
    <w:rsid w:val="00D62260"/>
    <w:rsid w:val="00D6718A"/>
    <w:rsid w:val="00D75B82"/>
    <w:rsid w:val="00D84AF3"/>
    <w:rsid w:val="00D8501C"/>
    <w:rsid w:val="00D86EEB"/>
    <w:rsid w:val="00D86F1A"/>
    <w:rsid w:val="00D90469"/>
    <w:rsid w:val="00DA0A1E"/>
    <w:rsid w:val="00DA1DCC"/>
    <w:rsid w:val="00DA3030"/>
    <w:rsid w:val="00DA4D1B"/>
    <w:rsid w:val="00DA78FE"/>
    <w:rsid w:val="00DB2357"/>
    <w:rsid w:val="00DB60A0"/>
    <w:rsid w:val="00DC0A4D"/>
    <w:rsid w:val="00DC0FC7"/>
    <w:rsid w:val="00DC275F"/>
    <w:rsid w:val="00DC2A0A"/>
    <w:rsid w:val="00DC76B3"/>
    <w:rsid w:val="00DD1C54"/>
    <w:rsid w:val="00DD263F"/>
    <w:rsid w:val="00DD71EB"/>
    <w:rsid w:val="00DE217A"/>
    <w:rsid w:val="00DE65BF"/>
    <w:rsid w:val="00DF5C55"/>
    <w:rsid w:val="00E11BBC"/>
    <w:rsid w:val="00E13C3B"/>
    <w:rsid w:val="00E13E30"/>
    <w:rsid w:val="00E35A89"/>
    <w:rsid w:val="00E471EF"/>
    <w:rsid w:val="00E5287A"/>
    <w:rsid w:val="00E5475C"/>
    <w:rsid w:val="00E555F4"/>
    <w:rsid w:val="00E57194"/>
    <w:rsid w:val="00E64009"/>
    <w:rsid w:val="00E64889"/>
    <w:rsid w:val="00E8115E"/>
    <w:rsid w:val="00E81D1B"/>
    <w:rsid w:val="00E85BD5"/>
    <w:rsid w:val="00E90C3B"/>
    <w:rsid w:val="00E94EA6"/>
    <w:rsid w:val="00E953E7"/>
    <w:rsid w:val="00EA2485"/>
    <w:rsid w:val="00EC0546"/>
    <w:rsid w:val="00EC4A8B"/>
    <w:rsid w:val="00EE3199"/>
    <w:rsid w:val="00EE3E23"/>
    <w:rsid w:val="00EF318D"/>
    <w:rsid w:val="00EF3704"/>
    <w:rsid w:val="00EF4FB8"/>
    <w:rsid w:val="00F0045A"/>
    <w:rsid w:val="00F10651"/>
    <w:rsid w:val="00F12178"/>
    <w:rsid w:val="00F15A27"/>
    <w:rsid w:val="00F237EC"/>
    <w:rsid w:val="00F35EA8"/>
    <w:rsid w:val="00F5146E"/>
    <w:rsid w:val="00F51DB1"/>
    <w:rsid w:val="00F55BE2"/>
    <w:rsid w:val="00F654F6"/>
    <w:rsid w:val="00F74D63"/>
    <w:rsid w:val="00F827DC"/>
    <w:rsid w:val="00F82F07"/>
    <w:rsid w:val="00F85540"/>
    <w:rsid w:val="00F93BA4"/>
    <w:rsid w:val="00FA174C"/>
    <w:rsid w:val="00FA2662"/>
    <w:rsid w:val="00FA7D94"/>
    <w:rsid w:val="00FB3640"/>
    <w:rsid w:val="00FC3EF1"/>
    <w:rsid w:val="00FC5905"/>
    <w:rsid w:val="00FC676C"/>
    <w:rsid w:val="00FD30D5"/>
    <w:rsid w:val="00FE643C"/>
    <w:rsid w:val="00FF0D8A"/>
    <w:rsid w:val="00FF1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57FDA"/>
  <w15:docId w15:val="{4E503AE2-E6A7-46F6-872E-F14BC778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A4C"/>
    <w:pPr>
      <w:widowControl w:val="0"/>
      <w:autoSpaceDE w:val="0"/>
      <w:autoSpaceDN w:val="0"/>
      <w:adjustRightInd w:val="0"/>
    </w:pPr>
    <w:rPr>
      <w:sz w:val="20"/>
      <w:szCs w:val="24"/>
    </w:rPr>
  </w:style>
  <w:style w:type="paragraph" w:styleId="Heading3">
    <w:name w:val="heading 3"/>
    <w:basedOn w:val="Normal"/>
    <w:link w:val="Heading3Char"/>
    <w:uiPriority w:val="9"/>
    <w:qFormat/>
    <w:locked/>
    <w:rsid w:val="00DA0A1E"/>
    <w:pPr>
      <w:widowControl/>
      <w:autoSpaceDE/>
      <w:autoSpaceDN/>
      <w:adjustRightInd/>
      <w:spacing w:before="240" w:after="24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aliases w:val="t"/>
    <w:basedOn w:val="Normal"/>
    <w:link w:val="CommentTextChar"/>
    <w:uiPriority w:val="99"/>
    <w:rsid w:val="00A06ACB"/>
    <w:rPr>
      <w:szCs w:val="20"/>
    </w:rPr>
  </w:style>
  <w:style w:type="character" w:customStyle="1" w:styleId="CommentTextChar">
    <w:name w:val="Comment Text Char"/>
    <w:aliases w:val="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unhideWhenUsed/>
    <w:rsid w:val="00BD1305"/>
    <w:pPr>
      <w:tabs>
        <w:tab w:val="center" w:pos="4680"/>
        <w:tab w:val="right" w:pos="9360"/>
      </w:tabs>
    </w:pPr>
  </w:style>
  <w:style w:type="character" w:customStyle="1" w:styleId="HeaderChar">
    <w:name w:val="Header Char"/>
    <w:basedOn w:val="DefaultParagraphFont"/>
    <w:link w:val="Header"/>
    <w:uiPriority w:val="99"/>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aliases w:val="Char18"/>
    <w:basedOn w:val="Normal"/>
    <w:link w:val="FootnoteTextChar"/>
    <w:uiPriority w:val="99"/>
    <w:qFormat/>
    <w:rsid w:val="00630891"/>
    <w:rPr>
      <w:szCs w:val="20"/>
    </w:rPr>
  </w:style>
  <w:style w:type="character" w:customStyle="1" w:styleId="FootnoteTextChar">
    <w:name w:val="Footnote Text Char"/>
    <w:aliases w:val="Char18 Char"/>
    <w:basedOn w:val="DefaultParagraphFont"/>
    <w:link w:val="FootnoteText"/>
    <w:uiPriority w:val="99"/>
    <w:rsid w:val="00630891"/>
    <w:rPr>
      <w:sz w:val="20"/>
      <w:szCs w:val="20"/>
    </w:rPr>
  </w:style>
  <w:style w:type="character" w:styleId="FootnoteReference">
    <w:name w:val="footnote reference"/>
    <w:basedOn w:val="DefaultParagraphFont"/>
    <w:uiPriority w:val="99"/>
    <w:rsid w:val="00630891"/>
    <w:rPr>
      <w:rFonts w:cs="Times New Roman"/>
      <w:vertAlign w:val="superscript"/>
    </w:rPr>
  </w:style>
  <w:style w:type="paragraph" w:styleId="Revision">
    <w:name w:val="Revision"/>
    <w:hidden/>
    <w:uiPriority w:val="99"/>
    <w:semiHidden/>
    <w:rsid w:val="00EF4FB8"/>
    <w:rPr>
      <w:sz w:val="20"/>
      <w:szCs w:val="24"/>
    </w:rPr>
  </w:style>
  <w:style w:type="paragraph" w:styleId="BodyText">
    <w:name w:val="Body Text"/>
    <w:basedOn w:val="Normal"/>
    <w:next w:val="Normal"/>
    <w:link w:val="BodyTextChar"/>
    <w:uiPriority w:val="99"/>
    <w:rsid w:val="00A95E3E"/>
    <w:pPr>
      <w:widowControl/>
      <w:autoSpaceDE/>
      <w:autoSpaceDN/>
      <w:adjustRightInd/>
      <w:spacing w:before="120"/>
    </w:pPr>
    <w:rPr>
      <w:sz w:val="24"/>
      <w:szCs w:val="20"/>
    </w:rPr>
  </w:style>
  <w:style w:type="character" w:customStyle="1" w:styleId="BodyTextChar">
    <w:name w:val="Body Text Char"/>
    <w:basedOn w:val="DefaultParagraphFont"/>
    <w:link w:val="BodyText"/>
    <w:uiPriority w:val="99"/>
    <w:rsid w:val="00A95E3E"/>
    <w:rPr>
      <w:sz w:val="24"/>
      <w:szCs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A95E3E"/>
    <w:rPr>
      <w:b/>
      <w:bCs/>
      <w:sz w:val="19"/>
      <w:szCs w:val="19"/>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A95E3E"/>
    <w:rPr>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95E3E"/>
    <w:pPr>
      <w:shd w:val="clear" w:color="auto" w:fill="FFFFFF"/>
      <w:autoSpaceDE/>
      <w:autoSpaceDN/>
      <w:adjustRightInd/>
      <w:spacing w:line="230" w:lineRule="exact"/>
    </w:pPr>
    <w:rPr>
      <w:b/>
      <w:bCs/>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A95E3E"/>
    <w:pPr>
      <w:shd w:val="clear" w:color="auto" w:fill="FFFFFF"/>
      <w:autoSpaceDE/>
      <w:autoSpaceDN/>
      <w:adjustRightInd/>
      <w:spacing w:line="240" w:lineRule="atLeast"/>
    </w:pPr>
    <w:rPr>
      <w:sz w:val="19"/>
      <w:szCs w:val="19"/>
    </w:rPr>
  </w:style>
  <w:style w:type="paragraph" w:customStyle="1" w:styleId="TableHeader">
    <w:name w:val="Table Header"/>
    <w:basedOn w:val="Normal"/>
    <w:next w:val="Normal"/>
    <w:uiPriority w:val="99"/>
    <w:rsid w:val="00A95E3E"/>
    <w:pPr>
      <w:widowControl/>
      <w:autoSpaceDE/>
      <w:autoSpaceDN/>
      <w:adjustRightInd/>
      <w:spacing w:before="20" w:after="20"/>
      <w:jc w:val="center"/>
    </w:pPr>
    <w:rPr>
      <w:rFonts w:ascii="Arial" w:hAnsi="Arial"/>
      <w:b/>
      <w:color w:val="FFFFFF" w:themeColor="background1"/>
      <w:szCs w:val="20"/>
    </w:rPr>
  </w:style>
  <w:style w:type="paragraph" w:customStyle="1" w:styleId="TableText">
    <w:name w:val="Table Text"/>
    <w:basedOn w:val="Normal"/>
    <w:next w:val="Normal"/>
    <w:uiPriority w:val="99"/>
    <w:rsid w:val="00A95E3E"/>
    <w:pPr>
      <w:widowControl/>
      <w:autoSpaceDE/>
      <w:autoSpaceDN/>
      <w:adjustRightInd/>
      <w:spacing w:before="20" w:after="20"/>
    </w:pPr>
    <w:rPr>
      <w:color w:val="000000"/>
      <w:kern w:val="2"/>
      <w:sz w:val="22"/>
      <w:szCs w:val="20"/>
    </w:rPr>
  </w:style>
  <w:style w:type="paragraph" w:customStyle="1" w:styleId="TableTextBold">
    <w:name w:val="Table Text Bold"/>
    <w:basedOn w:val="TableText"/>
    <w:next w:val="Normal"/>
    <w:qFormat/>
    <w:rsid w:val="00A95E3E"/>
    <w:rPr>
      <w:b/>
    </w:rPr>
  </w:style>
  <w:style w:type="character" w:styleId="Strong">
    <w:name w:val="Strong"/>
    <w:basedOn w:val="DefaultParagraphFont"/>
    <w:uiPriority w:val="22"/>
    <w:qFormat/>
    <w:locked/>
    <w:rsid w:val="00A95E3E"/>
    <w:rPr>
      <w:b/>
      <w:bCs/>
    </w:rPr>
  </w:style>
  <w:style w:type="paragraph" w:styleId="Caption">
    <w:name w:val="caption"/>
    <w:basedOn w:val="Normal"/>
    <w:next w:val="Normal"/>
    <w:uiPriority w:val="35"/>
    <w:unhideWhenUsed/>
    <w:qFormat/>
    <w:locked/>
    <w:rsid w:val="00A95E3E"/>
    <w:pPr>
      <w:autoSpaceDE/>
      <w:autoSpaceDN/>
      <w:adjustRightInd/>
    </w:pPr>
    <w:rPr>
      <w:b/>
      <w:bCs/>
      <w:szCs w:val="18"/>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DA3030"/>
    <w:rPr>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DA3030"/>
    <w:pPr>
      <w:shd w:val="clear" w:color="auto" w:fill="FFFFFF"/>
      <w:autoSpaceDE/>
      <w:autoSpaceDN/>
      <w:adjustRightInd/>
      <w:spacing w:after="300" w:line="240" w:lineRule="atLeast"/>
      <w:outlineLvl w:val="0"/>
    </w:pPr>
    <w:rPr>
      <w:b/>
      <w:bCs/>
      <w:sz w:val="22"/>
      <w:szCs w:val="22"/>
    </w:rPr>
  </w:style>
  <w:style w:type="table" w:styleId="LightList">
    <w:name w:val="Light List"/>
    <w:basedOn w:val="TableNormal"/>
    <w:uiPriority w:val="99"/>
    <w:rsid w:val="00DA30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Spacer4">
    <w:name w:val="Paragraph  Spacer 4"/>
    <w:basedOn w:val="BodyText"/>
    <w:next w:val="Normal"/>
    <w:qFormat/>
    <w:rsid w:val="00DA3030"/>
    <w:rPr>
      <w:sz w:val="8"/>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DA3030"/>
    <w:rPr>
      <w:shd w:val="clear" w:color="auto" w:fill="FFFFFF"/>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A3030"/>
    <w:rPr>
      <w:color w:val="B10069"/>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A3030"/>
    <w:pPr>
      <w:shd w:val="clear" w:color="auto" w:fill="FFFFFF"/>
      <w:autoSpaceDE/>
      <w:autoSpaceDN/>
      <w:adjustRightInd/>
      <w:spacing w:before="300" w:after="600" w:line="240" w:lineRule="atLeast"/>
      <w:ind w:hanging="360"/>
    </w:pPr>
    <w:rPr>
      <w:sz w:val="22"/>
      <w:szCs w:val="22"/>
    </w:rPr>
  </w:style>
  <w:style w:type="character" w:styleId="Hyperlink">
    <w:name w:val="Hyperlink"/>
    <w:basedOn w:val="DefaultParagraphFont"/>
    <w:uiPriority w:val="99"/>
    <w:unhideWhenUsed/>
    <w:rsid w:val="00DA3030"/>
    <w:rPr>
      <w:color w:val="0000FF" w:themeColor="hyperlink"/>
      <w:u w:val="single"/>
    </w:rPr>
  </w:style>
  <w:style w:type="table" w:styleId="TableGrid">
    <w:name w:val="Table Grid"/>
    <w:aliases w:val="Table Grid-A"/>
    <w:basedOn w:val="TableNormal"/>
    <w:uiPriority w:val="39"/>
    <w:rsid w:val="00D21BB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0A7751"/>
    <w:rPr>
      <w:szCs w:val="20"/>
    </w:rPr>
  </w:style>
  <w:style w:type="paragraph" w:customStyle="1" w:styleId="NormalSS">
    <w:name w:val="NormalSS"/>
    <w:basedOn w:val="Normal"/>
    <w:link w:val="NormalSSChar"/>
    <w:qFormat/>
    <w:rsid w:val="000A7751"/>
    <w:pPr>
      <w:widowControl/>
      <w:autoSpaceDE/>
      <w:autoSpaceDN/>
      <w:adjustRightInd/>
      <w:spacing w:after="240"/>
      <w:ind w:firstLine="432"/>
    </w:pPr>
    <w:rPr>
      <w:sz w:val="22"/>
      <w:szCs w:val="20"/>
    </w:rPr>
  </w:style>
  <w:style w:type="character" w:customStyle="1" w:styleId="Heading3Char">
    <w:name w:val="Heading 3 Char"/>
    <w:basedOn w:val="DefaultParagraphFont"/>
    <w:link w:val="Heading3"/>
    <w:uiPriority w:val="9"/>
    <w:rsid w:val="00DA0A1E"/>
    <w:rPr>
      <w:b/>
      <w:bCs/>
      <w:sz w:val="27"/>
      <w:szCs w:val="27"/>
    </w:rPr>
  </w:style>
  <w:style w:type="paragraph" w:styleId="NormalWeb">
    <w:name w:val="Normal (Web)"/>
    <w:basedOn w:val="Normal"/>
    <w:uiPriority w:val="99"/>
    <w:semiHidden/>
    <w:unhideWhenUsed/>
    <w:rsid w:val="00DA0A1E"/>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70962">
      <w:bodyDiv w:val="1"/>
      <w:marLeft w:val="0"/>
      <w:marRight w:val="0"/>
      <w:marTop w:val="0"/>
      <w:marBottom w:val="0"/>
      <w:divBdr>
        <w:top w:val="none" w:sz="0" w:space="0" w:color="auto"/>
        <w:left w:val="none" w:sz="0" w:space="0" w:color="auto"/>
        <w:bottom w:val="none" w:sz="0" w:space="0" w:color="auto"/>
        <w:right w:val="none" w:sz="0" w:space="0" w:color="auto"/>
      </w:divBdr>
    </w:div>
    <w:div w:id="337732063">
      <w:bodyDiv w:val="1"/>
      <w:marLeft w:val="0"/>
      <w:marRight w:val="0"/>
      <w:marTop w:val="0"/>
      <w:marBottom w:val="0"/>
      <w:divBdr>
        <w:top w:val="none" w:sz="0" w:space="0" w:color="auto"/>
        <w:left w:val="none" w:sz="0" w:space="0" w:color="auto"/>
        <w:bottom w:val="none" w:sz="0" w:space="0" w:color="auto"/>
        <w:right w:val="none" w:sz="0" w:space="0" w:color="auto"/>
      </w:divBdr>
    </w:div>
    <w:div w:id="764569593">
      <w:bodyDiv w:val="1"/>
      <w:marLeft w:val="0"/>
      <w:marRight w:val="0"/>
      <w:marTop w:val="0"/>
      <w:marBottom w:val="0"/>
      <w:divBdr>
        <w:top w:val="none" w:sz="0" w:space="0" w:color="auto"/>
        <w:left w:val="none" w:sz="0" w:space="0" w:color="auto"/>
        <w:bottom w:val="none" w:sz="0" w:space="0" w:color="auto"/>
        <w:right w:val="none" w:sz="0" w:space="0" w:color="auto"/>
      </w:divBdr>
    </w:div>
    <w:div w:id="997730927">
      <w:bodyDiv w:val="1"/>
      <w:marLeft w:val="0"/>
      <w:marRight w:val="0"/>
      <w:marTop w:val="0"/>
      <w:marBottom w:val="0"/>
      <w:divBdr>
        <w:top w:val="none" w:sz="0" w:space="0" w:color="auto"/>
        <w:left w:val="none" w:sz="0" w:space="0" w:color="auto"/>
        <w:bottom w:val="none" w:sz="0" w:space="0" w:color="auto"/>
        <w:right w:val="none" w:sz="0" w:space="0" w:color="auto"/>
      </w:divBdr>
    </w:div>
    <w:div w:id="1029453824">
      <w:bodyDiv w:val="1"/>
      <w:marLeft w:val="0"/>
      <w:marRight w:val="0"/>
      <w:marTop w:val="0"/>
      <w:marBottom w:val="0"/>
      <w:divBdr>
        <w:top w:val="none" w:sz="0" w:space="0" w:color="auto"/>
        <w:left w:val="none" w:sz="0" w:space="0" w:color="auto"/>
        <w:bottom w:val="none" w:sz="0" w:space="0" w:color="auto"/>
        <w:right w:val="none" w:sz="0" w:space="0" w:color="auto"/>
      </w:divBdr>
    </w:div>
    <w:div w:id="1038360934">
      <w:bodyDiv w:val="1"/>
      <w:marLeft w:val="0"/>
      <w:marRight w:val="0"/>
      <w:marTop w:val="0"/>
      <w:marBottom w:val="0"/>
      <w:divBdr>
        <w:top w:val="none" w:sz="0" w:space="0" w:color="auto"/>
        <w:left w:val="none" w:sz="0" w:space="0" w:color="auto"/>
        <w:bottom w:val="none" w:sz="0" w:space="0" w:color="auto"/>
        <w:right w:val="none" w:sz="0" w:space="0" w:color="auto"/>
      </w:divBdr>
    </w:div>
    <w:div w:id="1167938938">
      <w:bodyDiv w:val="1"/>
      <w:marLeft w:val="0"/>
      <w:marRight w:val="0"/>
      <w:marTop w:val="0"/>
      <w:marBottom w:val="0"/>
      <w:divBdr>
        <w:top w:val="none" w:sz="0" w:space="0" w:color="auto"/>
        <w:left w:val="none" w:sz="0" w:space="0" w:color="auto"/>
        <w:bottom w:val="none" w:sz="0" w:space="0" w:color="auto"/>
        <w:right w:val="none" w:sz="0" w:space="0" w:color="auto"/>
      </w:divBdr>
    </w:div>
    <w:div w:id="1304385115">
      <w:bodyDiv w:val="1"/>
      <w:marLeft w:val="0"/>
      <w:marRight w:val="0"/>
      <w:marTop w:val="0"/>
      <w:marBottom w:val="0"/>
      <w:divBdr>
        <w:top w:val="none" w:sz="0" w:space="0" w:color="auto"/>
        <w:left w:val="none" w:sz="0" w:space="0" w:color="auto"/>
        <w:bottom w:val="none" w:sz="0" w:space="0" w:color="auto"/>
        <w:right w:val="none" w:sz="0" w:space="0" w:color="auto"/>
      </w:divBdr>
    </w:div>
    <w:div w:id="1805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3094445">
          <w:marLeft w:val="0"/>
          <w:marRight w:val="0"/>
          <w:marTop w:val="0"/>
          <w:marBottom w:val="0"/>
          <w:divBdr>
            <w:top w:val="none" w:sz="0" w:space="0" w:color="auto"/>
            <w:left w:val="none" w:sz="0" w:space="0" w:color="auto"/>
            <w:bottom w:val="none" w:sz="0" w:space="0" w:color="auto"/>
            <w:right w:val="none" w:sz="0" w:space="0" w:color="auto"/>
          </w:divBdr>
          <w:divsChild>
            <w:div w:id="2044479628">
              <w:marLeft w:val="0"/>
              <w:marRight w:val="0"/>
              <w:marTop w:val="0"/>
              <w:marBottom w:val="0"/>
              <w:divBdr>
                <w:top w:val="none" w:sz="0" w:space="0" w:color="auto"/>
                <w:left w:val="none" w:sz="0" w:space="0" w:color="auto"/>
                <w:bottom w:val="none" w:sz="0" w:space="0" w:color="auto"/>
                <w:right w:val="none" w:sz="0" w:space="0" w:color="auto"/>
              </w:divBdr>
              <w:divsChild>
                <w:div w:id="1514341713">
                  <w:marLeft w:val="0"/>
                  <w:marRight w:val="0"/>
                  <w:marTop w:val="0"/>
                  <w:marBottom w:val="0"/>
                  <w:divBdr>
                    <w:top w:val="none" w:sz="0" w:space="0" w:color="auto"/>
                    <w:left w:val="none" w:sz="0" w:space="0" w:color="auto"/>
                    <w:bottom w:val="none" w:sz="0" w:space="0" w:color="auto"/>
                    <w:right w:val="none" w:sz="0" w:space="0" w:color="auto"/>
                  </w:divBdr>
                  <w:divsChild>
                    <w:div w:id="2122188743">
                      <w:marLeft w:val="0"/>
                      <w:marRight w:val="0"/>
                      <w:marTop w:val="0"/>
                      <w:marBottom w:val="0"/>
                      <w:divBdr>
                        <w:top w:val="none" w:sz="0" w:space="0" w:color="auto"/>
                        <w:left w:val="none" w:sz="0" w:space="0" w:color="auto"/>
                        <w:bottom w:val="none" w:sz="0" w:space="0" w:color="auto"/>
                        <w:right w:val="none" w:sz="0" w:space="0" w:color="auto"/>
                      </w:divBdr>
                      <w:divsChild>
                        <w:div w:id="707292608">
                          <w:marLeft w:val="0"/>
                          <w:marRight w:val="0"/>
                          <w:marTop w:val="0"/>
                          <w:marBottom w:val="0"/>
                          <w:divBdr>
                            <w:top w:val="none" w:sz="0" w:space="0" w:color="auto"/>
                            <w:left w:val="none" w:sz="0" w:space="0" w:color="auto"/>
                            <w:bottom w:val="none" w:sz="0" w:space="0" w:color="auto"/>
                            <w:right w:val="none" w:sz="0" w:space="0" w:color="auto"/>
                          </w:divBdr>
                          <w:divsChild>
                            <w:div w:id="813646473">
                              <w:marLeft w:val="0"/>
                              <w:marRight w:val="0"/>
                              <w:marTop w:val="0"/>
                              <w:marBottom w:val="0"/>
                              <w:divBdr>
                                <w:top w:val="none" w:sz="0" w:space="0" w:color="auto"/>
                                <w:left w:val="none" w:sz="0" w:space="0" w:color="auto"/>
                                <w:bottom w:val="none" w:sz="0" w:space="0" w:color="auto"/>
                                <w:right w:val="none" w:sz="0" w:space="0" w:color="auto"/>
                              </w:divBdr>
                              <w:divsChild>
                                <w:div w:id="1589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4375">
      <w:bodyDiv w:val="1"/>
      <w:marLeft w:val="0"/>
      <w:marRight w:val="0"/>
      <w:marTop w:val="0"/>
      <w:marBottom w:val="0"/>
      <w:divBdr>
        <w:top w:val="none" w:sz="0" w:space="0" w:color="auto"/>
        <w:left w:val="none" w:sz="0" w:space="0" w:color="auto"/>
        <w:bottom w:val="none" w:sz="0" w:space="0" w:color="auto"/>
        <w:right w:val="none" w:sz="0" w:space="0" w:color="auto"/>
      </w:divBdr>
    </w:div>
    <w:div w:id="1882668661">
      <w:bodyDiv w:val="1"/>
      <w:marLeft w:val="0"/>
      <w:marRight w:val="0"/>
      <w:marTop w:val="0"/>
      <w:marBottom w:val="0"/>
      <w:divBdr>
        <w:top w:val="none" w:sz="0" w:space="0" w:color="auto"/>
        <w:left w:val="none" w:sz="0" w:space="0" w:color="auto"/>
        <w:bottom w:val="none" w:sz="0" w:space="0" w:color="auto"/>
        <w:right w:val="none" w:sz="0" w:space="0" w:color="auto"/>
      </w:divBdr>
    </w:div>
    <w:div w:id="2017539143">
      <w:bodyDiv w:val="1"/>
      <w:marLeft w:val="0"/>
      <w:marRight w:val="0"/>
      <w:marTop w:val="0"/>
      <w:marBottom w:val="0"/>
      <w:divBdr>
        <w:top w:val="none" w:sz="0" w:space="0" w:color="auto"/>
        <w:left w:val="none" w:sz="0" w:space="0" w:color="auto"/>
        <w:bottom w:val="none" w:sz="0" w:space="0" w:color="auto"/>
        <w:right w:val="none" w:sz="0" w:space="0" w:color="auto"/>
      </w:divBdr>
      <w:divsChild>
        <w:div w:id="315189699">
          <w:marLeft w:val="0"/>
          <w:marRight w:val="0"/>
          <w:marTop w:val="0"/>
          <w:marBottom w:val="0"/>
          <w:divBdr>
            <w:top w:val="none" w:sz="0" w:space="0" w:color="auto"/>
            <w:left w:val="none" w:sz="0" w:space="0" w:color="auto"/>
            <w:bottom w:val="none" w:sz="0" w:space="0" w:color="auto"/>
            <w:right w:val="none" w:sz="0" w:space="0" w:color="auto"/>
          </w:divBdr>
          <w:divsChild>
            <w:div w:id="1042636550">
              <w:marLeft w:val="0"/>
              <w:marRight w:val="0"/>
              <w:marTop w:val="0"/>
              <w:marBottom w:val="0"/>
              <w:divBdr>
                <w:top w:val="none" w:sz="0" w:space="0" w:color="auto"/>
                <w:left w:val="none" w:sz="0" w:space="0" w:color="auto"/>
                <w:bottom w:val="none" w:sz="0" w:space="0" w:color="auto"/>
                <w:right w:val="none" w:sz="0" w:space="0" w:color="auto"/>
              </w:divBdr>
              <w:divsChild>
                <w:div w:id="749155757">
                  <w:marLeft w:val="0"/>
                  <w:marRight w:val="0"/>
                  <w:marTop w:val="0"/>
                  <w:marBottom w:val="0"/>
                  <w:divBdr>
                    <w:top w:val="none" w:sz="0" w:space="0" w:color="auto"/>
                    <w:left w:val="none" w:sz="0" w:space="0" w:color="auto"/>
                    <w:bottom w:val="none" w:sz="0" w:space="0" w:color="auto"/>
                    <w:right w:val="none" w:sz="0" w:space="0" w:color="auto"/>
                  </w:divBdr>
                  <w:divsChild>
                    <w:div w:id="1568027643">
                      <w:marLeft w:val="0"/>
                      <w:marRight w:val="0"/>
                      <w:marTop w:val="0"/>
                      <w:marBottom w:val="0"/>
                      <w:divBdr>
                        <w:top w:val="none" w:sz="0" w:space="0" w:color="auto"/>
                        <w:left w:val="none" w:sz="0" w:space="0" w:color="auto"/>
                        <w:bottom w:val="none" w:sz="0" w:space="0" w:color="auto"/>
                        <w:right w:val="none" w:sz="0" w:space="0" w:color="auto"/>
                      </w:divBdr>
                      <w:divsChild>
                        <w:div w:id="602425168">
                          <w:marLeft w:val="0"/>
                          <w:marRight w:val="0"/>
                          <w:marTop w:val="0"/>
                          <w:marBottom w:val="0"/>
                          <w:divBdr>
                            <w:top w:val="none" w:sz="0" w:space="0" w:color="auto"/>
                            <w:left w:val="none" w:sz="0" w:space="0" w:color="auto"/>
                            <w:bottom w:val="none" w:sz="0" w:space="0" w:color="auto"/>
                            <w:right w:val="none" w:sz="0" w:space="0" w:color="auto"/>
                          </w:divBdr>
                          <w:divsChild>
                            <w:div w:id="278147710">
                              <w:marLeft w:val="0"/>
                              <w:marRight w:val="0"/>
                              <w:marTop w:val="0"/>
                              <w:marBottom w:val="0"/>
                              <w:divBdr>
                                <w:top w:val="none" w:sz="0" w:space="0" w:color="auto"/>
                                <w:left w:val="none" w:sz="0" w:space="0" w:color="auto"/>
                                <w:bottom w:val="none" w:sz="0" w:space="0" w:color="auto"/>
                                <w:right w:val="none" w:sz="0" w:space="0" w:color="auto"/>
                              </w:divBdr>
                              <w:divsChild>
                                <w:div w:id="10052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6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34e2f2c-4d16-4550-a88e-d8961c92d85f">In Progress</Status>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9DE14-4872-4A56-BFDC-3CF4D2A06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334e2f2c-4d16-4550-a88e-d8961c92d8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4CBDA-153E-4B00-B5E5-C901BC810A8D}">
  <ds:schemaRefs>
    <ds:schemaRef ds:uri="http://schemas.microsoft.com/sharepoint/v3/contenttype/forms"/>
  </ds:schemaRefs>
</ds:datastoreItem>
</file>

<file path=customXml/itemProps3.xml><?xml version="1.0" encoding="utf-8"?>
<ds:datastoreItem xmlns:ds="http://schemas.openxmlformats.org/officeDocument/2006/customXml" ds:itemID="{B1B56AF8-744B-4200-9BAA-294744CA04CB}">
  <ds:schemaRefs>
    <ds:schemaRef ds:uri="http://schemas.microsoft.com/office/2006/metadata/properties"/>
    <ds:schemaRef ds:uri="http://schemas.microsoft.com/sharepoint/v3"/>
    <ds:schemaRef ds:uri="334e2f2c-4d16-4550-a88e-d8961c92d85f"/>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http://schemas.microsoft.com/sharepoint/v4"/>
    <ds:schemaRef ds:uri="http://schemas.microsoft.com/sharepoint/v3/fields"/>
    <ds:schemaRef ds:uri="http://purl.org/dc/terms/"/>
  </ds:schemaRefs>
</ds:datastoreItem>
</file>

<file path=customXml/itemProps4.xml><?xml version="1.0" encoding="utf-8"?>
<ds:datastoreItem xmlns:ds="http://schemas.openxmlformats.org/officeDocument/2006/customXml" ds:itemID="{8A96A2F1-183D-42E2-8ADE-5D8B23F46E87}">
  <ds:schemaRefs>
    <ds:schemaRef ds:uri="http://schemas.microsoft.com/office/2006/metadata/customXsn"/>
  </ds:schemaRefs>
</ds:datastoreItem>
</file>

<file path=customXml/itemProps5.xml><?xml version="1.0" encoding="utf-8"?>
<ds:datastoreItem xmlns:ds="http://schemas.openxmlformats.org/officeDocument/2006/customXml" ds:itemID="{B5DD216A-9B5A-47D0-81FA-25405EC8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1875</Words>
  <Characters>10166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Stefanie R. Schmidt</cp:lastModifiedBy>
  <cp:revision>7</cp:revision>
  <cp:lastPrinted>2016-05-17T13:01:00Z</cp:lastPrinted>
  <dcterms:created xsi:type="dcterms:W3CDTF">2016-06-03T21:21:00Z</dcterms:created>
  <dcterms:modified xsi:type="dcterms:W3CDTF">2016-06-06T15:29:00Z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0x010100823A99C636F7423283FB0D200866C6130003528DD8F2905348BB78CE14D7BF2A85</vt:lpwstr>
  </property>
  <property fmtid="{D5CDD505-2E9C-101B-9397-08002B2CF9AE}" pid="4" name="_NewReviewCycle">
    <vt:lpwstr/>
  </property>
</Properties>
</file>