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E5129F" w14:textId="77777777" w:rsidR="00CB7234" w:rsidRPr="00CE1236" w:rsidRDefault="00CB7234" w:rsidP="00CB7234">
      <w:pPr>
        <w:jc w:val="center"/>
        <w:rPr>
          <w:rFonts w:asciiTheme="minorHAnsi" w:hAnsiTheme="minorHAnsi"/>
          <w:b/>
          <w:sz w:val="28"/>
          <w:szCs w:val="28"/>
        </w:rPr>
      </w:pPr>
      <w:r w:rsidRPr="00CE1236">
        <w:rPr>
          <w:rFonts w:asciiTheme="minorHAnsi" w:hAnsiTheme="minorHAnsi"/>
          <w:b/>
          <w:sz w:val="28"/>
          <w:szCs w:val="28"/>
        </w:rPr>
        <w:t>SUPPORTING STATEMENT</w:t>
      </w:r>
    </w:p>
    <w:p w14:paraId="1A0816B6" w14:textId="77777777" w:rsidR="00CB7234" w:rsidRPr="00CE1236" w:rsidRDefault="00CB7234" w:rsidP="00CB7234">
      <w:pPr>
        <w:jc w:val="center"/>
        <w:rPr>
          <w:rFonts w:asciiTheme="minorHAnsi" w:hAnsiTheme="minorHAnsi"/>
          <w:b/>
          <w:sz w:val="28"/>
          <w:szCs w:val="28"/>
        </w:rPr>
      </w:pPr>
    </w:p>
    <w:p w14:paraId="435BF964" w14:textId="77777777" w:rsidR="00CB7234" w:rsidRPr="00CE1236" w:rsidRDefault="00CB7234" w:rsidP="00CB7234">
      <w:pPr>
        <w:jc w:val="center"/>
        <w:rPr>
          <w:rFonts w:asciiTheme="minorHAnsi" w:hAnsiTheme="minorHAnsi"/>
          <w:sz w:val="28"/>
          <w:szCs w:val="28"/>
        </w:rPr>
      </w:pPr>
      <w:r w:rsidRPr="00CE1236">
        <w:rPr>
          <w:rFonts w:asciiTheme="minorHAnsi" w:hAnsiTheme="minorHAnsi"/>
          <w:b/>
          <w:sz w:val="28"/>
          <w:szCs w:val="28"/>
        </w:rPr>
        <w:t>Part A</w:t>
      </w:r>
    </w:p>
    <w:p w14:paraId="3A7B50CA" w14:textId="77777777" w:rsidR="00CB7234" w:rsidRPr="00CE1236" w:rsidRDefault="00CB7234" w:rsidP="00CB7234">
      <w:pPr>
        <w:jc w:val="center"/>
        <w:rPr>
          <w:rFonts w:asciiTheme="minorHAnsi" w:hAnsiTheme="minorHAnsi"/>
          <w:sz w:val="28"/>
          <w:szCs w:val="28"/>
        </w:rPr>
      </w:pPr>
    </w:p>
    <w:p w14:paraId="27D71898" w14:textId="77777777" w:rsidR="00CB7234" w:rsidRPr="00CE1236" w:rsidRDefault="00CB7234" w:rsidP="00CB7234">
      <w:pPr>
        <w:jc w:val="center"/>
        <w:rPr>
          <w:rFonts w:asciiTheme="minorHAnsi" w:hAnsiTheme="minorHAnsi"/>
          <w:sz w:val="28"/>
          <w:szCs w:val="28"/>
        </w:rPr>
      </w:pPr>
    </w:p>
    <w:p w14:paraId="01D75670" w14:textId="77777777" w:rsidR="00CB7234" w:rsidRPr="00CE1236" w:rsidRDefault="00CB7234" w:rsidP="00CB7234">
      <w:pPr>
        <w:jc w:val="center"/>
        <w:rPr>
          <w:rFonts w:asciiTheme="minorHAnsi" w:hAnsiTheme="minorHAnsi"/>
          <w:sz w:val="28"/>
          <w:szCs w:val="28"/>
        </w:rPr>
      </w:pPr>
    </w:p>
    <w:p w14:paraId="3D1BCAA6" w14:textId="77777777" w:rsidR="00CB7234" w:rsidRPr="00CE1236" w:rsidRDefault="00CB7234" w:rsidP="00CB7234">
      <w:pPr>
        <w:jc w:val="center"/>
        <w:rPr>
          <w:rFonts w:asciiTheme="minorHAnsi" w:hAnsiTheme="minorHAnsi"/>
          <w:sz w:val="28"/>
          <w:szCs w:val="28"/>
        </w:rPr>
      </w:pPr>
    </w:p>
    <w:p w14:paraId="6E3A127A" w14:textId="77777777" w:rsidR="00CB7234" w:rsidRPr="00CE1236" w:rsidRDefault="00CB7234" w:rsidP="00CB7234">
      <w:pPr>
        <w:jc w:val="center"/>
        <w:rPr>
          <w:rFonts w:asciiTheme="minorHAnsi" w:hAnsiTheme="minorHAnsi"/>
          <w:sz w:val="28"/>
          <w:szCs w:val="28"/>
        </w:rPr>
      </w:pPr>
    </w:p>
    <w:p w14:paraId="44E3D0CD" w14:textId="77777777" w:rsidR="00CB7234" w:rsidRPr="00CE1236" w:rsidRDefault="00CB7234" w:rsidP="00CB7234">
      <w:pPr>
        <w:jc w:val="center"/>
        <w:rPr>
          <w:rFonts w:asciiTheme="minorHAnsi" w:hAnsiTheme="minorHAnsi"/>
          <w:sz w:val="28"/>
          <w:szCs w:val="28"/>
        </w:rPr>
      </w:pPr>
    </w:p>
    <w:p w14:paraId="72CE1353" w14:textId="77777777" w:rsidR="00CB7234" w:rsidRPr="00CE1236" w:rsidRDefault="00677C6E" w:rsidP="00CB7234">
      <w:pPr>
        <w:jc w:val="center"/>
        <w:rPr>
          <w:rFonts w:asciiTheme="minorHAnsi" w:hAnsiTheme="minorHAnsi"/>
          <w:b/>
          <w:sz w:val="28"/>
          <w:szCs w:val="28"/>
        </w:rPr>
      </w:pPr>
      <w:r w:rsidRPr="00CE1236">
        <w:rPr>
          <w:rFonts w:asciiTheme="minorHAnsi" w:hAnsiTheme="minorHAnsi"/>
          <w:b/>
          <w:sz w:val="28"/>
          <w:szCs w:val="28"/>
        </w:rPr>
        <w:t>AHRQ ACTION III – Measurement for Performance Improvement in Physician Practices</w:t>
      </w:r>
    </w:p>
    <w:p w14:paraId="66C84299" w14:textId="77777777" w:rsidR="00CB7234" w:rsidRPr="00CE1236" w:rsidRDefault="00CB7234" w:rsidP="00CB7234">
      <w:pPr>
        <w:jc w:val="center"/>
        <w:rPr>
          <w:rFonts w:asciiTheme="minorHAnsi" w:hAnsiTheme="minorHAnsi"/>
          <w:i/>
          <w:sz w:val="28"/>
          <w:szCs w:val="28"/>
        </w:rPr>
      </w:pPr>
    </w:p>
    <w:p w14:paraId="2BAFD38E" w14:textId="77777777" w:rsidR="00CB7234" w:rsidRPr="00CE1236" w:rsidRDefault="00CB7234" w:rsidP="00CB7234">
      <w:pPr>
        <w:jc w:val="center"/>
        <w:rPr>
          <w:rFonts w:asciiTheme="minorHAnsi" w:hAnsiTheme="minorHAnsi"/>
          <w:sz w:val="28"/>
          <w:szCs w:val="28"/>
        </w:rPr>
      </w:pPr>
    </w:p>
    <w:p w14:paraId="1353BE9D" w14:textId="77777777" w:rsidR="00CB7234" w:rsidRPr="00CE1236" w:rsidRDefault="00CB7234" w:rsidP="00CB7234">
      <w:pPr>
        <w:jc w:val="center"/>
        <w:rPr>
          <w:rFonts w:asciiTheme="minorHAnsi" w:hAnsiTheme="minorHAnsi"/>
          <w:sz w:val="28"/>
          <w:szCs w:val="28"/>
        </w:rPr>
      </w:pPr>
    </w:p>
    <w:p w14:paraId="0EC44037" w14:textId="77777777" w:rsidR="00CB7234" w:rsidRPr="00CE1236" w:rsidRDefault="00CB7234" w:rsidP="00CB7234">
      <w:pPr>
        <w:jc w:val="center"/>
        <w:rPr>
          <w:rFonts w:asciiTheme="minorHAnsi" w:hAnsiTheme="minorHAnsi"/>
          <w:sz w:val="28"/>
          <w:szCs w:val="28"/>
        </w:rPr>
      </w:pPr>
    </w:p>
    <w:p w14:paraId="19E033C8" w14:textId="3DBDE3AC" w:rsidR="00CB7234" w:rsidRPr="00CE1236" w:rsidRDefault="006D2082" w:rsidP="00CB7234">
      <w:pPr>
        <w:jc w:val="center"/>
        <w:rPr>
          <w:rFonts w:asciiTheme="minorHAnsi" w:hAnsiTheme="minorHAnsi"/>
          <w:b/>
          <w:sz w:val="28"/>
          <w:szCs w:val="28"/>
        </w:rPr>
      </w:pPr>
      <w:r w:rsidRPr="00CE1236">
        <w:rPr>
          <w:rFonts w:asciiTheme="minorHAnsi" w:hAnsiTheme="minorHAnsi"/>
          <w:b/>
          <w:sz w:val="28"/>
          <w:szCs w:val="28"/>
        </w:rPr>
        <w:t>Version</w:t>
      </w:r>
      <w:r w:rsidR="00523860" w:rsidRPr="00CE1236">
        <w:rPr>
          <w:rFonts w:asciiTheme="minorHAnsi" w:hAnsiTheme="minorHAnsi"/>
          <w:b/>
          <w:sz w:val="28"/>
          <w:szCs w:val="28"/>
        </w:rPr>
        <w:t xml:space="preserve">: </w:t>
      </w:r>
      <w:r w:rsidR="00262CC2" w:rsidRPr="00CE1236">
        <w:rPr>
          <w:rFonts w:asciiTheme="minorHAnsi" w:hAnsiTheme="minorHAnsi"/>
          <w:b/>
          <w:sz w:val="28"/>
          <w:szCs w:val="28"/>
        </w:rPr>
        <w:t xml:space="preserve">March </w:t>
      </w:r>
      <w:r w:rsidR="00FB5853">
        <w:rPr>
          <w:rFonts w:asciiTheme="minorHAnsi" w:hAnsiTheme="minorHAnsi"/>
          <w:b/>
          <w:sz w:val="28"/>
          <w:szCs w:val="28"/>
        </w:rPr>
        <w:t>31</w:t>
      </w:r>
      <w:r w:rsidR="00262CC2" w:rsidRPr="00CE1236">
        <w:rPr>
          <w:rFonts w:asciiTheme="minorHAnsi" w:hAnsiTheme="minorHAnsi"/>
          <w:b/>
          <w:sz w:val="28"/>
          <w:szCs w:val="28"/>
        </w:rPr>
        <w:t>, 2016</w:t>
      </w:r>
    </w:p>
    <w:p w14:paraId="492F432B" w14:textId="77777777" w:rsidR="00CB7234" w:rsidRPr="00CE1236" w:rsidRDefault="00CB7234" w:rsidP="00CB7234">
      <w:pPr>
        <w:jc w:val="center"/>
        <w:rPr>
          <w:rFonts w:asciiTheme="minorHAnsi" w:hAnsiTheme="minorHAnsi"/>
          <w:i/>
          <w:sz w:val="28"/>
          <w:szCs w:val="28"/>
        </w:rPr>
      </w:pPr>
    </w:p>
    <w:p w14:paraId="35309559" w14:textId="77777777" w:rsidR="00CB7234" w:rsidRPr="00CE1236" w:rsidRDefault="00CB7234" w:rsidP="00CB7234">
      <w:pPr>
        <w:jc w:val="center"/>
        <w:rPr>
          <w:rFonts w:asciiTheme="minorHAnsi" w:hAnsiTheme="minorHAnsi"/>
          <w:sz w:val="28"/>
          <w:szCs w:val="28"/>
        </w:rPr>
      </w:pPr>
    </w:p>
    <w:p w14:paraId="23DE512C" w14:textId="77777777" w:rsidR="00CB7234" w:rsidRPr="00CE1236" w:rsidRDefault="00CB7234" w:rsidP="00CB7234">
      <w:pPr>
        <w:jc w:val="center"/>
        <w:rPr>
          <w:rFonts w:asciiTheme="minorHAnsi" w:hAnsiTheme="minorHAnsi"/>
          <w:sz w:val="28"/>
          <w:szCs w:val="28"/>
        </w:rPr>
      </w:pPr>
    </w:p>
    <w:p w14:paraId="22DCD6A9" w14:textId="77777777" w:rsidR="00CB7234" w:rsidRPr="00CE1236" w:rsidRDefault="00CB7234" w:rsidP="00CB7234">
      <w:pPr>
        <w:jc w:val="center"/>
        <w:rPr>
          <w:rFonts w:asciiTheme="minorHAnsi" w:hAnsiTheme="minorHAnsi"/>
          <w:sz w:val="28"/>
          <w:szCs w:val="28"/>
        </w:rPr>
      </w:pPr>
    </w:p>
    <w:p w14:paraId="0D23C46D" w14:textId="77777777" w:rsidR="00CB7234" w:rsidRPr="00CE1236" w:rsidRDefault="00CB7234" w:rsidP="00CB7234">
      <w:pPr>
        <w:jc w:val="center"/>
        <w:rPr>
          <w:rFonts w:asciiTheme="minorHAnsi" w:hAnsiTheme="minorHAnsi"/>
          <w:sz w:val="28"/>
          <w:szCs w:val="28"/>
        </w:rPr>
      </w:pPr>
    </w:p>
    <w:p w14:paraId="30333176" w14:textId="77777777" w:rsidR="00CB7234" w:rsidRPr="00CE1236" w:rsidRDefault="00CB7234" w:rsidP="00CB7234">
      <w:pPr>
        <w:jc w:val="center"/>
        <w:rPr>
          <w:rFonts w:asciiTheme="minorHAnsi" w:hAnsiTheme="minorHAnsi"/>
          <w:sz w:val="28"/>
          <w:szCs w:val="28"/>
        </w:rPr>
      </w:pPr>
    </w:p>
    <w:p w14:paraId="36FD479F" w14:textId="77777777" w:rsidR="00CB7234" w:rsidRPr="00CE1236" w:rsidRDefault="00CB7234" w:rsidP="00CB7234">
      <w:pPr>
        <w:jc w:val="center"/>
        <w:rPr>
          <w:rFonts w:asciiTheme="minorHAnsi" w:hAnsiTheme="minorHAnsi"/>
          <w:sz w:val="28"/>
          <w:szCs w:val="28"/>
        </w:rPr>
      </w:pPr>
      <w:r w:rsidRPr="00CE1236">
        <w:rPr>
          <w:rFonts w:asciiTheme="minorHAnsi" w:hAnsiTheme="minorHAnsi"/>
          <w:sz w:val="28"/>
          <w:szCs w:val="28"/>
        </w:rPr>
        <w:t xml:space="preserve">Agency </w:t>
      </w:r>
      <w:r w:rsidR="00CB0B27" w:rsidRPr="00CE1236">
        <w:rPr>
          <w:rFonts w:asciiTheme="minorHAnsi" w:hAnsiTheme="minorHAnsi"/>
          <w:sz w:val="28"/>
          <w:szCs w:val="28"/>
        </w:rPr>
        <w:t>for</w:t>
      </w:r>
      <w:r w:rsidRPr="00CE1236">
        <w:rPr>
          <w:rFonts w:asciiTheme="minorHAnsi" w:hAnsiTheme="minorHAnsi"/>
          <w:sz w:val="28"/>
          <w:szCs w:val="28"/>
        </w:rPr>
        <w:t xml:space="preserve"> Healthcare Research and Quality (AHRQ)</w:t>
      </w:r>
    </w:p>
    <w:p w14:paraId="2DB16ABE" w14:textId="77777777" w:rsidR="00CB7234" w:rsidRPr="00CE1236" w:rsidRDefault="00CB7234" w:rsidP="00CB7234">
      <w:pPr>
        <w:rPr>
          <w:rFonts w:asciiTheme="minorHAnsi" w:hAnsiTheme="minorHAnsi"/>
          <w:sz w:val="28"/>
          <w:szCs w:val="28"/>
        </w:rPr>
      </w:pPr>
    </w:p>
    <w:p w14:paraId="0A58B58C" w14:textId="77777777" w:rsidR="00CB7234" w:rsidRPr="00CE1236" w:rsidRDefault="00CB7234" w:rsidP="00CB7234">
      <w:pPr>
        <w:rPr>
          <w:rFonts w:asciiTheme="minorHAnsi" w:hAnsiTheme="minorHAnsi"/>
          <w:sz w:val="28"/>
          <w:szCs w:val="28"/>
        </w:rPr>
      </w:pPr>
    </w:p>
    <w:p w14:paraId="08396A05" w14:textId="77777777" w:rsidR="00CB7234" w:rsidRPr="00DC7726" w:rsidRDefault="00CB7234" w:rsidP="00DC7726">
      <w:pPr>
        <w:pStyle w:val="ListParagraph"/>
        <w:numPr>
          <w:ilvl w:val="0"/>
          <w:numId w:val="15"/>
        </w:numPr>
        <w:rPr>
          <w:rFonts w:asciiTheme="minorHAnsi" w:hAnsiTheme="minorHAnsi"/>
          <w:b/>
          <w:sz w:val="24"/>
          <w:szCs w:val="24"/>
        </w:rPr>
      </w:pPr>
      <w:r w:rsidRPr="00DC7726">
        <w:rPr>
          <w:rFonts w:asciiTheme="minorHAnsi" w:hAnsiTheme="minorHAnsi"/>
        </w:rPr>
        <w:br w:type="page"/>
      </w:r>
    </w:p>
    <w:sdt>
      <w:sdtPr>
        <w:rPr>
          <w:rFonts w:asciiTheme="minorHAnsi" w:eastAsia="Times New Roman" w:hAnsiTheme="minorHAnsi" w:cs="Times New Roman"/>
          <w:b w:val="0"/>
          <w:bCs w:val="0"/>
          <w:color w:val="auto"/>
          <w:sz w:val="20"/>
          <w:szCs w:val="20"/>
        </w:rPr>
        <w:id w:val="26770416"/>
        <w:docPartObj>
          <w:docPartGallery w:val="Table of Contents"/>
          <w:docPartUnique/>
        </w:docPartObj>
      </w:sdtPr>
      <w:sdtEndPr/>
      <w:sdtContent>
        <w:p w14:paraId="1DA4F119" w14:textId="77777777" w:rsidR="00FC683C" w:rsidRPr="00CE1236" w:rsidRDefault="008C5826" w:rsidP="000D026B">
          <w:pPr>
            <w:pStyle w:val="TOCHeading"/>
            <w:tabs>
              <w:tab w:val="left" w:pos="2895"/>
            </w:tabs>
            <w:rPr>
              <w:rFonts w:asciiTheme="minorHAnsi" w:hAnsiTheme="minorHAnsi" w:cs="Times New Roman"/>
            </w:rPr>
          </w:pPr>
          <w:r w:rsidRPr="00CE1236">
            <w:rPr>
              <w:rFonts w:asciiTheme="minorHAnsi" w:hAnsiTheme="minorHAnsi" w:cs="Times New Roman"/>
            </w:rPr>
            <w:t>Table of Contents</w:t>
          </w:r>
        </w:p>
        <w:p w14:paraId="5BC21729" w14:textId="77777777" w:rsidR="00FC683C" w:rsidRPr="00CE1236" w:rsidRDefault="00FC683C">
          <w:pPr>
            <w:pStyle w:val="TOC1"/>
            <w:tabs>
              <w:tab w:val="right" w:leader="dot" w:pos="9350"/>
            </w:tabs>
            <w:rPr>
              <w:rFonts w:asciiTheme="minorHAnsi" w:hAnsiTheme="minorHAnsi"/>
            </w:rPr>
          </w:pPr>
        </w:p>
        <w:p w14:paraId="3FFF59E2" w14:textId="77777777" w:rsidR="004D28C3" w:rsidRPr="002F393F" w:rsidRDefault="00FC306C">
          <w:pPr>
            <w:pStyle w:val="TOC1"/>
            <w:tabs>
              <w:tab w:val="right" w:leader="dot" w:pos="9350"/>
            </w:tabs>
            <w:rPr>
              <w:rFonts w:asciiTheme="minorHAnsi" w:eastAsiaTheme="minorEastAsia" w:hAnsiTheme="minorHAnsi"/>
              <w:noProof/>
              <w:sz w:val="24"/>
              <w:szCs w:val="22"/>
            </w:rPr>
          </w:pPr>
          <w:r w:rsidRPr="002F393F">
            <w:rPr>
              <w:rFonts w:asciiTheme="minorHAnsi" w:hAnsiTheme="minorHAnsi"/>
              <w:sz w:val="22"/>
            </w:rPr>
            <w:fldChar w:fldCharType="begin"/>
          </w:r>
          <w:r w:rsidR="008C5826" w:rsidRPr="002F393F">
            <w:rPr>
              <w:rFonts w:asciiTheme="minorHAnsi" w:hAnsiTheme="minorHAnsi"/>
              <w:sz w:val="22"/>
            </w:rPr>
            <w:instrText xml:space="preserve"> TOC \o "1-3" \h \z \u </w:instrText>
          </w:r>
          <w:r w:rsidRPr="002F393F">
            <w:rPr>
              <w:rFonts w:asciiTheme="minorHAnsi" w:hAnsiTheme="minorHAnsi"/>
              <w:sz w:val="22"/>
            </w:rPr>
            <w:fldChar w:fldCharType="separate"/>
          </w:r>
          <w:hyperlink w:anchor="_Toc391970687" w:history="1">
            <w:r w:rsidR="004D28C3" w:rsidRPr="002F393F">
              <w:rPr>
                <w:rStyle w:val="Hyperlink"/>
                <w:rFonts w:asciiTheme="minorHAnsi" w:hAnsiTheme="minorHAnsi"/>
                <w:noProof/>
                <w:sz w:val="22"/>
              </w:rPr>
              <w:t>A.  JUSTIFICATION</w:t>
            </w:r>
            <w:r w:rsidR="004D28C3" w:rsidRPr="002F393F">
              <w:rPr>
                <w:rFonts w:asciiTheme="minorHAnsi" w:hAnsiTheme="minorHAnsi"/>
                <w:noProof/>
                <w:webHidden/>
                <w:sz w:val="22"/>
              </w:rPr>
              <w:tab/>
            </w:r>
            <w:r w:rsidR="004D28C3" w:rsidRPr="002F393F">
              <w:rPr>
                <w:rFonts w:asciiTheme="minorHAnsi" w:hAnsiTheme="minorHAnsi"/>
                <w:noProof/>
                <w:webHidden/>
                <w:sz w:val="22"/>
              </w:rPr>
              <w:fldChar w:fldCharType="begin"/>
            </w:r>
            <w:r w:rsidR="004D28C3" w:rsidRPr="002F393F">
              <w:rPr>
                <w:rFonts w:asciiTheme="minorHAnsi" w:hAnsiTheme="minorHAnsi"/>
                <w:noProof/>
                <w:webHidden/>
                <w:sz w:val="22"/>
              </w:rPr>
              <w:instrText xml:space="preserve"> PAGEREF _Toc391970687 \h </w:instrText>
            </w:r>
            <w:r w:rsidR="004D28C3" w:rsidRPr="002F393F">
              <w:rPr>
                <w:rFonts w:asciiTheme="minorHAnsi" w:hAnsiTheme="minorHAnsi"/>
                <w:noProof/>
                <w:webHidden/>
                <w:sz w:val="22"/>
              </w:rPr>
            </w:r>
            <w:r w:rsidR="004D28C3" w:rsidRPr="002F393F">
              <w:rPr>
                <w:rFonts w:asciiTheme="minorHAnsi" w:hAnsiTheme="minorHAnsi"/>
                <w:noProof/>
                <w:webHidden/>
                <w:sz w:val="22"/>
              </w:rPr>
              <w:fldChar w:fldCharType="separate"/>
            </w:r>
            <w:r w:rsidR="00063E19">
              <w:rPr>
                <w:rFonts w:asciiTheme="minorHAnsi" w:hAnsiTheme="minorHAnsi"/>
                <w:noProof/>
                <w:webHidden/>
                <w:sz w:val="22"/>
              </w:rPr>
              <w:t>3</w:t>
            </w:r>
            <w:r w:rsidR="004D28C3" w:rsidRPr="002F393F">
              <w:rPr>
                <w:rFonts w:asciiTheme="minorHAnsi" w:hAnsiTheme="minorHAnsi"/>
                <w:noProof/>
                <w:webHidden/>
                <w:sz w:val="22"/>
              </w:rPr>
              <w:fldChar w:fldCharType="end"/>
            </w:r>
          </w:hyperlink>
        </w:p>
        <w:p w14:paraId="422812B6" w14:textId="77777777" w:rsidR="004D28C3" w:rsidRPr="002F393F" w:rsidRDefault="00527462">
          <w:pPr>
            <w:pStyle w:val="TOC2"/>
            <w:tabs>
              <w:tab w:val="right" w:leader="dot" w:pos="9350"/>
            </w:tabs>
            <w:rPr>
              <w:rFonts w:asciiTheme="minorHAnsi" w:eastAsiaTheme="minorEastAsia" w:hAnsiTheme="minorHAnsi"/>
              <w:noProof/>
              <w:sz w:val="24"/>
              <w:szCs w:val="22"/>
            </w:rPr>
          </w:pPr>
          <w:hyperlink w:anchor="_Toc391970688" w:history="1">
            <w:r w:rsidR="004D28C3" w:rsidRPr="002F393F">
              <w:rPr>
                <w:rStyle w:val="Hyperlink"/>
                <w:rFonts w:asciiTheme="minorHAnsi" w:hAnsiTheme="minorHAnsi"/>
                <w:noProof/>
                <w:sz w:val="22"/>
              </w:rPr>
              <w:t>1.  Need for Information</w:t>
            </w:r>
            <w:r w:rsidR="004D28C3" w:rsidRPr="002F393F">
              <w:rPr>
                <w:rFonts w:asciiTheme="minorHAnsi" w:hAnsiTheme="minorHAnsi"/>
                <w:noProof/>
                <w:webHidden/>
                <w:sz w:val="22"/>
              </w:rPr>
              <w:tab/>
            </w:r>
            <w:r w:rsidR="004D28C3" w:rsidRPr="002F393F">
              <w:rPr>
                <w:rFonts w:asciiTheme="minorHAnsi" w:hAnsiTheme="minorHAnsi"/>
                <w:noProof/>
                <w:webHidden/>
                <w:sz w:val="22"/>
              </w:rPr>
              <w:fldChar w:fldCharType="begin"/>
            </w:r>
            <w:r w:rsidR="004D28C3" w:rsidRPr="002F393F">
              <w:rPr>
                <w:rFonts w:asciiTheme="minorHAnsi" w:hAnsiTheme="minorHAnsi"/>
                <w:noProof/>
                <w:webHidden/>
                <w:sz w:val="22"/>
              </w:rPr>
              <w:instrText xml:space="preserve"> PAGEREF _Toc391970688 \h </w:instrText>
            </w:r>
            <w:r w:rsidR="004D28C3" w:rsidRPr="002F393F">
              <w:rPr>
                <w:rFonts w:asciiTheme="minorHAnsi" w:hAnsiTheme="minorHAnsi"/>
                <w:noProof/>
                <w:webHidden/>
                <w:sz w:val="22"/>
              </w:rPr>
            </w:r>
            <w:r w:rsidR="004D28C3" w:rsidRPr="002F393F">
              <w:rPr>
                <w:rFonts w:asciiTheme="minorHAnsi" w:hAnsiTheme="minorHAnsi"/>
                <w:noProof/>
                <w:webHidden/>
                <w:sz w:val="22"/>
              </w:rPr>
              <w:fldChar w:fldCharType="separate"/>
            </w:r>
            <w:r w:rsidR="00063E19">
              <w:rPr>
                <w:rFonts w:asciiTheme="minorHAnsi" w:hAnsiTheme="minorHAnsi"/>
                <w:noProof/>
                <w:webHidden/>
                <w:sz w:val="22"/>
              </w:rPr>
              <w:t>3</w:t>
            </w:r>
            <w:r w:rsidR="004D28C3" w:rsidRPr="002F393F">
              <w:rPr>
                <w:rFonts w:asciiTheme="minorHAnsi" w:hAnsiTheme="minorHAnsi"/>
                <w:noProof/>
                <w:webHidden/>
                <w:sz w:val="22"/>
              </w:rPr>
              <w:fldChar w:fldCharType="end"/>
            </w:r>
          </w:hyperlink>
        </w:p>
        <w:p w14:paraId="1662A144" w14:textId="77777777" w:rsidR="004D28C3" w:rsidRPr="002F393F" w:rsidRDefault="00527462">
          <w:pPr>
            <w:pStyle w:val="TOC2"/>
            <w:tabs>
              <w:tab w:val="right" w:leader="dot" w:pos="9350"/>
            </w:tabs>
            <w:rPr>
              <w:rFonts w:asciiTheme="minorHAnsi" w:eastAsiaTheme="minorEastAsia" w:hAnsiTheme="minorHAnsi"/>
              <w:noProof/>
              <w:sz w:val="24"/>
              <w:szCs w:val="22"/>
            </w:rPr>
          </w:pPr>
          <w:hyperlink w:anchor="_Toc391970689" w:history="1">
            <w:r w:rsidR="004D28C3" w:rsidRPr="002F393F">
              <w:rPr>
                <w:rStyle w:val="Hyperlink"/>
                <w:rFonts w:asciiTheme="minorHAnsi" w:hAnsiTheme="minorHAnsi"/>
                <w:noProof/>
                <w:sz w:val="22"/>
              </w:rPr>
              <w:t>2.  How, by Whom, and for What Purpose Information Will Be Used</w:t>
            </w:r>
            <w:r w:rsidR="004D28C3" w:rsidRPr="002F393F">
              <w:rPr>
                <w:rFonts w:asciiTheme="minorHAnsi" w:hAnsiTheme="minorHAnsi"/>
                <w:noProof/>
                <w:webHidden/>
                <w:sz w:val="22"/>
              </w:rPr>
              <w:tab/>
            </w:r>
            <w:r w:rsidR="004D28C3" w:rsidRPr="002F393F">
              <w:rPr>
                <w:rFonts w:asciiTheme="minorHAnsi" w:hAnsiTheme="minorHAnsi"/>
                <w:noProof/>
                <w:webHidden/>
                <w:sz w:val="22"/>
              </w:rPr>
              <w:fldChar w:fldCharType="begin"/>
            </w:r>
            <w:r w:rsidR="004D28C3" w:rsidRPr="002F393F">
              <w:rPr>
                <w:rFonts w:asciiTheme="minorHAnsi" w:hAnsiTheme="minorHAnsi"/>
                <w:noProof/>
                <w:webHidden/>
                <w:sz w:val="22"/>
              </w:rPr>
              <w:instrText xml:space="preserve"> PAGEREF _Toc391970689 \h </w:instrText>
            </w:r>
            <w:r w:rsidR="004D28C3" w:rsidRPr="002F393F">
              <w:rPr>
                <w:rFonts w:asciiTheme="minorHAnsi" w:hAnsiTheme="minorHAnsi"/>
                <w:noProof/>
                <w:webHidden/>
                <w:sz w:val="22"/>
              </w:rPr>
            </w:r>
            <w:r w:rsidR="004D28C3" w:rsidRPr="002F393F">
              <w:rPr>
                <w:rFonts w:asciiTheme="minorHAnsi" w:hAnsiTheme="minorHAnsi"/>
                <w:noProof/>
                <w:webHidden/>
                <w:sz w:val="22"/>
              </w:rPr>
              <w:fldChar w:fldCharType="separate"/>
            </w:r>
            <w:r w:rsidR="00063E19">
              <w:rPr>
                <w:rFonts w:asciiTheme="minorHAnsi" w:hAnsiTheme="minorHAnsi"/>
                <w:noProof/>
                <w:webHidden/>
                <w:sz w:val="22"/>
              </w:rPr>
              <w:t>7</w:t>
            </w:r>
            <w:r w:rsidR="004D28C3" w:rsidRPr="002F393F">
              <w:rPr>
                <w:rFonts w:asciiTheme="minorHAnsi" w:hAnsiTheme="minorHAnsi"/>
                <w:noProof/>
                <w:webHidden/>
                <w:sz w:val="22"/>
              </w:rPr>
              <w:fldChar w:fldCharType="end"/>
            </w:r>
          </w:hyperlink>
        </w:p>
        <w:p w14:paraId="60D17CAD" w14:textId="77777777" w:rsidR="004D28C3" w:rsidRPr="002F393F" w:rsidRDefault="00527462">
          <w:pPr>
            <w:pStyle w:val="TOC2"/>
            <w:tabs>
              <w:tab w:val="right" w:leader="dot" w:pos="9350"/>
            </w:tabs>
            <w:rPr>
              <w:rFonts w:asciiTheme="minorHAnsi" w:eastAsiaTheme="minorEastAsia" w:hAnsiTheme="minorHAnsi"/>
              <w:noProof/>
              <w:sz w:val="24"/>
              <w:szCs w:val="22"/>
            </w:rPr>
          </w:pPr>
          <w:hyperlink w:anchor="_Toc391970690" w:history="1">
            <w:r w:rsidR="004D28C3" w:rsidRPr="002F393F">
              <w:rPr>
                <w:rStyle w:val="Hyperlink"/>
                <w:rFonts w:asciiTheme="minorHAnsi" w:hAnsiTheme="minorHAnsi"/>
                <w:noProof/>
                <w:sz w:val="22"/>
              </w:rPr>
              <w:t>3.  Use of Improved Information Technology</w:t>
            </w:r>
            <w:r w:rsidR="004D28C3" w:rsidRPr="002F393F">
              <w:rPr>
                <w:rFonts w:asciiTheme="minorHAnsi" w:hAnsiTheme="minorHAnsi"/>
                <w:noProof/>
                <w:webHidden/>
                <w:sz w:val="22"/>
              </w:rPr>
              <w:tab/>
            </w:r>
            <w:r w:rsidR="004D28C3" w:rsidRPr="002F393F">
              <w:rPr>
                <w:rFonts w:asciiTheme="minorHAnsi" w:hAnsiTheme="minorHAnsi"/>
                <w:noProof/>
                <w:webHidden/>
                <w:sz w:val="22"/>
              </w:rPr>
              <w:fldChar w:fldCharType="begin"/>
            </w:r>
            <w:r w:rsidR="004D28C3" w:rsidRPr="002F393F">
              <w:rPr>
                <w:rFonts w:asciiTheme="minorHAnsi" w:hAnsiTheme="minorHAnsi"/>
                <w:noProof/>
                <w:webHidden/>
                <w:sz w:val="22"/>
              </w:rPr>
              <w:instrText xml:space="preserve"> PAGEREF _Toc391970690 \h </w:instrText>
            </w:r>
            <w:r w:rsidR="004D28C3" w:rsidRPr="002F393F">
              <w:rPr>
                <w:rFonts w:asciiTheme="minorHAnsi" w:hAnsiTheme="minorHAnsi"/>
                <w:noProof/>
                <w:webHidden/>
                <w:sz w:val="22"/>
              </w:rPr>
            </w:r>
            <w:r w:rsidR="004D28C3" w:rsidRPr="002F393F">
              <w:rPr>
                <w:rFonts w:asciiTheme="minorHAnsi" w:hAnsiTheme="minorHAnsi"/>
                <w:noProof/>
                <w:webHidden/>
                <w:sz w:val="22"/>
              </w:rPr>
              <w:fldChar w:fldCharType="separate"/>
            </w:r>
            <w:r w:rsidR="00063E19">
              <w:rPr>
                <w:rFonts w:asciiTheme="minorHAnsi" w:hAnsiTheme="minorHAnsi"/>
                <w:noProof/>
                <w:webHidden/>
                <w:sz w:val="22"/>
              </w:rPr>
              <w:t>7</w:t>
            </w:r>
            <w:r w:rsidR="004D28C3" w:rsidRPr="002F393F">
              <w:rPr>
                <w:rFonts w:asciiTheme="minorHAnsi" w:hAnsiTheme="minorHAnsi"/>
                <w:noProof/>
                <w:webHidden/>
                <w:sz w:val="22"/>
              </w:rPr>
              <w:fldChar w:fldCharType="end"/>
            </w:r>
          </w:hyperlink>
        </w:p>
        <w:p w14:paraId="5FA8E3EB" w14:textId="36A5F130" w:rsidR="004D28C3" w:rsidRPr="002F393F" w:rsidRDefault="00527462">
          <w:pPr>
            <w:pStyle w:val="TOC2"/>
            <w:tabs>
              <w:tab w:val="right" w:leader="dot" w:pos="9350"/>
            </w:tabs>
            <w:rPr>
              <w:rFonts w:asciiTheme="minorHAnsi" w:eastAsiaTheme="minorEastAsia" w:hAnsiTheme="minorHAnsi"/>
              <w:noProof/>
              <w:sz w:val="24"/>
              <w:szCs w:val="22"/>
            </w:rPr>
          </w:pPr>
          <w:hyperlink w:anchor="_Toc391970691" w:history="1">
            <w:r w:rsidR="004D28C3" w:rsidRPr="002F393F">
              <w:rPr>
                <w:rStyle w:val="Hyperlink"/>
                <w:rFonts w:asciiTheme="minorHAnsi" w:hAnsiTheme="minorHAnsi"/>
                <w:noProof/>
                <w:sz w:val="22"/>
              </w:rPr>
              <w:t>4.  Efforts to Avoid Duplication</w:t>
            </w:r>
            <w:r w:rsidR="004D28C3" w:rsidRPr="002F393F">
              <w:rPr>
                <w:rFonts w:asciiTheme="minorHAnsi" w:hAnsiTheme="minorHAnsi"/>
                <w:noProof/>
                <w:webHidden/>
                <w:sz w:val="22"/>
              </w:rPr>
              <w:tab/>
            </w:r>
            <w:r w:rsidR="00DC7726">
              <w:rPr>
                <w:rFonts w:asciiTheme="minorHAnsi" w:hAnsiTheme="minorHAnsi"/>
                <w:noProof/>
                <w:webHidden/>
                <w:sz w:val="22"/>
              </w:rPr>
              <w:t>8</w:t>
            </w:r>
          </w:hyperlink>
        </w:p>
        <w:p w14:paraId="6D3C9DDD" w14:textId="77777777" w:rsidR="004D28C3" w:rsidRPr="002F393F" w:rsidRDefault="00527462">
          <w:pPr>
            <w:pStyle w:val="TOC2"/>
            <w:tabs>
              <w:tab w:val="right" w:leader="dot" w:pos="9350"/>
            </w:tabs>
            <w:rPr>
              <w:rFonts w:asciiTheme="minorHAnsi" w:eastAsiaTheme="minorEastAsia" w:hAnsiTheme="minorHAnsi"/>
              <w:noProof/>
              <w:sz w:val="24"/>
              <w:szCs w:val="22"/>
            </w:rPr>
          </w:pPr>
          <w:hyperlink w:anchor="_Toc391970692" w:history="1">
            <w:r w:rsidR="004D28C3" w:rsidRPr="002F393F">
              <w:rPr>
                <w:rStyle w:val="Hyperlink"/>
                <w:rFonts w:asciiTheme="minorHAnsi" w:hAnsiTheme="minorHAnsi"/>
                <w:noProof/>
                <w:sz w:val="22"/>
              </w:rPr>
              <w:t>5.  Involvement of Small Businesses</w:t>
            </w:r>
            <w:r w:rsidR="004D28C3" w:rsidRPr="002F393F">
              <w:rPr>
                <w:rFonts w:asciiTheme="minorHAnsi" w:hAnsiTheme="minorHAnsi"/>
                <w:noProof/>
                <w:webHidden/>
                <w:sz w:val="22"/>
              </w:rPr>
              <w:tab/>
            </w:r>
            <w:r w:rsidR="004D28C3" w:rsidRPr="002F393F">
              <w:rPr>
                <w:rFonts w:asciiTheme="minorHAnsi" w:hAnsiTheme="minorHAnsi"/>
                <w:noProof/>
                <w:webHidden/>
                <w:sz w:val="22"/>
              </w:rPr>
              <w:fldChar w:fldCharType="begin"/>
            </w:r>
            <w:r w:rsidR="004D28C3" w:rsidRPr="002F393F">
              <w:rPr>
                <w:rFonts w:asciiTheme="minorHAnsi" w:hAnsiTheme="minorHAnsi"/>
                <w:noProof/>
                <w:webHidden/>
                <w:sz w:val="22"/>
              </w:rPr>
              <w:instrText xml:space="preserve"> PAGEREF _Toc391970692 \h </w:instrText>
            </w:r>
            <w:r w:rsidR="004D28C3" w:rsidRPr="002F393F">
              <w:rPr>
                <w:rFonts w:asciiTheme="minorHAnsi" w:hAnsiTheme="minorHAnsi"/>
                <w:noProof/>
                <w:webHidden/>
                <w:sz w:val="22"/>
              </w:rPr>
            </w:r>
            <w:r w:rsidR="004D28C3" w:rsidRPr="002F393F">
              <w:rPr>
                <w:rFonts w:asciiTheme="minorHAnsi" w:hAnsiTheme="minorHAnsi"/>
                <w:noProof/>
                <w:webHidden/>
                <w:sz w:val="22"/>
              </w:rPr>
              <w:fldChar w:fldCharType="separate"/>
            </w:r>
            <w:r w:rsidR="00063E19">
              <w:rPr>
                <w:rFonts w:asciiTheme="minorHAnsi" w:hAnsiTheme="minorHAnsi"/>
                <w:noProof/>
                <w:webHidden/>
                <w:sz w:val="22"/>
              </w:rPr>
              <w:t>8</w:t>
            </w:r>
            <w:r w:rsidR="004D28C3" w:rsidRPr="002F393F">
              <w:rPr>
                <w:rFonts w:asciiTheme="minorHAnsi" w:hAnsiTheme="minorHAnsi"/>
                <w:noProof/>
                <w:webHidden/>
                <w:sz w:val="22"/>
              </w:rPr>
              <w:fldChar w:fldCharType="end"/>
            </w:r>
          </w:hyperlink>
        </w:p>
        <w:p w14:paraId="49810BEA" w14:textId="77777777" w:rsidR="004D28C3" w:rsidRPr="002F393F" w:rsidRDefault="00527462">
          <w:pPr>
            <w:pStyle w:val="TOC2"/>
            <w:tabs>
              <w:tab w:val="right" w:leader="dot" w:pos="9350"/>
            </w:tabs>
            <w:rPr>
              <w:rFonts w:asciiTheme="minorHAnsi" w:eastAsiaTheme="minorEastAsia" w:hAnsiTheme="minorHAnsi"/>
              <w:noProof/>
              <w:sz w:val="24"/>
              <w:szCs w:val="22"/>
            </w:rPr>
          </w:pPr>
          <w:hyperlink w:anchor="_Toc391970693" w:history="1">
            <w:r w:rsidR="004D28C3" w:rsidRPr="002F393F">
              <w:rPr>
                <w:rStyle w:val="Hyperlink"/>
                <w:rFonts w:asciiTheme="minorHAnsi" w:hAnsiTheme="minorHAnsi"/>
                <w:noProof/>
                <w:sz w:val="22"/>
              </w:rPr>
              <w:t>6.  Consequences if Information Collected Less Frequently</w:t>
            </w:r>
            <w:r w:rsidR="004D28C3" w:rsidRPr="002F393F">
              <w:rPr>
                <w:rFonts w:asciiTheme="minorHAnsi" w:hAnsiTheme="minorHAnsi"/>
                <w:noProof/>
                <w:webHidden/>
                <w:sz w:val="22"/>
              </w:rPr>
              <w:tab/>
            </w:r>
            <w:r w:rsidR="004D28C3" w:rsidRPr="002F393F">
              <w:rPr>
                <w:rFonts w:asciiTheme="minorHAnsi" w:hAnsiTheme="minorHAnsi"/>
                <w:noProof/>
                <w:webHidden/>
                <w:sz w:val="22"/>
              </w:rPr>
              <w:fldChar w:fldCharType="begin"/>
            </w:r>
            <w:r w:rsidR="004D28C3" w:rsidRPr="002F393F">
              <w:rPr>
                <w:rFonts w:asciiTheme="minorHAnsi" w:hAnsiTheme="minorHAnsi"/>
                <w:noProof/>
                <w:webHidden/>
                <w:sz w:val="22"/>
              </w:rPr>
              <w:instrText xml:space="preserve"> PAGEREF _Toc391970693 \h </w:instrText>
            </w:r>
            <w:r w:rsidR="004D28C3" w:rsidRPr="002F393F">
              <w:rPr>
                <w:rFonts w:asciiTheme="minorHAnsi" w:hAnsiTheme="minorHAnsi"/>
                <w:noProof/>
                <w:webHidden/>
                <w:sz w:val="22"/>
              </w:rPr>
            </w:r>
            <w:r w:rsidR="004D28C3" w:rsidRPr="002F393F">
              <w:rPr>
                <w:rFonts w:asciiTheme="minorHAnsi" w:hAnsiTheme="minorHAnsi"/>
                <w:noProof/>
                <w:webHidden/>
                <w:sz w:val="22"/>
              </w:rPr>
              <w:fldChar w:fldCharType="separate"/>
            </w:r>
            <w:r w:rsidR="00063E19">
              <w:rPr>
                <w:rFonts w:asciiTheme="minorHAnsi" w:hAnsiTheme="minorHAnsi"/>
                <w:noProof/>
                <w:webHidden/>
                <w:sz w:val="22"/>
              </w:rPr>
              <w:t>8</w:t>
            </w:r>
            <w:r w:rsidR="004D28C3" w:rsidRPr="002F393F">
              <w:rPr>
                <w:rFonts w:asciiTheme="minorHAnsi" w:hAnsiTheme="minorHAnsi"/>
                <w:noProof/>
                <w:webHidden/>
                <w:sz w:val="22"/>
              </w:rPr>
              <w:fldChar w:fldCharType="end"/>
            </w:r>
          </w:hyperlink>
        </w:p>
        <w:p w14:paraId="76B2E7BF" w14:textId="77777777" w:rsidR="004D28C3" w:rsidRPr="002F393F" w:rsidRDefault="00527462">
          <w:pPr>
            <w:pStyle w:val="TOC2"/>
            <w:tabs>
              <w:tab w:val="right" w:leader="dot" w:pos="9350"/>
            </w:tabs>
            <w:rPr>
              <w:rFonts w:asciiTheme="minorHAnsi" w:eastAsiaTheme="minorEastAsia" w:hAnsiTheme="minorHAnsi"/>
              <w:noProof/>
              <w:sz w:val="24"/>
              <w:szCs w:val="22"/>
            </w:rPr>
          </w:pPr>
          <w:hyperlink w:anchor="_Toc391970694" w:history="1">
            <w:r w:rsidR="004D28C3" w:rsidRPr="002F393F">
              <w:rPr>
                <w:rStyle w:val="Hyperlink"/>
                <w:rFonts w:asciiTheme="minorHAnsi" w:hAnsiTheme="minorHAnsi"/>
                <w:noProof/>
                <w:sz w:val="22"/>
              </w:rPr>
              <w:t>7.  Special Circumstances</w:t>
            </w:r>
            <w:r w:rsidR="004D28C3" w:rsidRPr="002F393F">
              <w:rPr>
                <w:rFonts w:asciiTheme="minorHAnsi" w:hAnsiTheme="minorHAnsi"/>
                <w:noProof/>
                <w:webHidden/>
                <w:sz w:val="22"/>
              </w:rPr>
              <w:tab/>
            </w:r>
            <w:r w:rsidR="004D28C3" w:rsidRPr="002F393F">
              <w:rPr>
                <w:rFonts w:asciiTheme="minorHAnsi" w:hAnsiTheme="minorHAnsi"/>
                <w:noProof/>
                <w:webHidden/>
                <w:sz w:val="22"/>
              </w:rPr>
              <w:fldChar w:fldCharType="begin"/>
            </w:r>
            <w:r w:rsidR="004D28C3" w:rsidRPr="002F393F">
              <w:rPr>
                <w:rFonts w:asciiTheme="minorHAnsi" w:hAnsiTheme="minorHAnsi"/>
                <w:noProof/>
                <w:webHidden/>
                <w:sz w:val="22"/>
              </w:rPr>
              <w:instrText xml:space="preserve"> PAGEREF _Toc391970694 \h </w:instrText>
            </w:r>
            <w:r w:rsidR="004D28C3" w:rsidRPr="002F393F">
              <w:rPr>
                <w:rFonts w:asciiTheme="minorHAnsi" w:hAnsiTheme="minorHAnsi"/>
                <w:noProof/>
                <w:webHidden/>
                <w:sz w:val="22"/>
              </w:rPr>
            </w:r>
            <w:r w:rsidR="004D28C3" w:rsidRPr="002F393F">
              <w:rPr>
                <w:rFonts w:asciiTheme="minorHAnsi" w:hAnsiTheme="minorHAnsi"/>
                <w:noProof/>
                <w:webHidden/>
                <w:sz w:val="22"/>
              </w:rPr>
              <w:fldChar w:fldCharType="separate"/>
            </w:r>
            <w:r w:rsidR="00063E19">
              <w:rPr>
                <w:rFonts w:asciiTheme="minorHAnsi" w:hAnsiTheme="minorHAnsi"/>
                <w:noProof/>
                <w:webHidden/>
                <w:sz w:val="22"/>
              </w:rPr>
              <w:t>8</w:t>
            </w:r>
            <w:r w:rsidR="004D28C3" w:rsidRPr="002F393F">
              <w:rPr>
                <w:rFonts w:asciiTheme="minorHAnsi" w:hAnsiTheme="minorHAnsi"/>
                <w:noProof/>
                <w:webHidden/>
                <w:sz w:val="22"/>
              </w:rPr>
              <w:fldChar w:fldCharType="end"/>
            </w:r>
          </w:hyperlink>
        </w:p>
        <w:p w14:paraId="48717F20" w14:textId="77777777" w:rsidR="004D28C3" w:rsidRPr="002F393F" w:rsidRDefault="00527462">
          <w:pPr>
            <w:pStyle w:val="TOC2"/>
            <w:tabs>
              <w:tab w:val="right" w:leader="dot" w:pos="9350"/>
            </w:tabs>
            <w:rPr>
              <w:rFonts w:asciiTheme="minorHAnsi" w:eastAsiaTheme="minorEastAsia" w:hAnsiTheme="minorHAnsi"/>
              <w:noProof/>
              <w:sz w:val="24"/>
              <w:szCs w:val="22"/>
            </w:rPr>
          </w:pPr>
          <w:hyperlink w:anchor="_Toc391970695" w:history="1">
            <w:r w:rsidR="004D28C3" w:rsidRPr="002F393F">
              <w:rPr>
                <w:rStyle w:val="Hyperlink"/>
                <w:rFonts w:asciiTheme="minorHAnsi" w:hAnsiTheme="minorHAnsi"/>
                <w:noProof/>
                <w:sz w:val="22"/>
              </w:rPr>
              <w:t>8.  Federal Register Notice and Outside Consultations</w:t>
            </w:r>
            <w:r w:rsidR="004D28C3" w:rsidRPr="002F393F">
              <w:rPr>
                <w:rFonts w:asciiTheme="minorHAnsi" w:hAnsiTheme="minorHAnsi"/>
                <w:noProof/>
                <w:webHidden/>
                <w:sz w:val="22"/>
              </w:rPr>
              <w:tab/>
            </w:r>
            <w:r w:rsidR="004D28C3" w:rsidRPr="002F393F">
              <w:rPr>
                <w:rFonts w:asciiTheme="minorHAnsi" w:hAnsiTheme="minorHAnsi"/>
                <w:noProof/>
                <w:webHidden/>
                <w:sz w:val="22"/>
              </w:rPr>
              <w:fldChar w:fldCharType="begin"/>
            </w:r>
            <w:r w:rsidR="004D28C3" w:rsidRPr="002F393F">
              <w:rPr>
                <w:rFonts w:asciiTheme="minorHAnsi" w:hAnsiTheme="minorHAnsi"/>
                <w:noProof/>
                <w:webHidden/>
                <w:sz w:val="22"/>
              </w:rPr>
              <w:instrText xml:space="preserve"> PAGEREF _Toc391970695 \h </w:instrText>
            </w:r>
            <w:r w:rsidR="004D28C3" w:rsidRPr="002F393F">
              <w:rPr>
                <w:rFonts w:asciiTheme="minorHAnsi" w:hAnsiTheme="minorHAnsi"/>
                <w:noProof/>
                <w:webHidden/>
                <w:sz w:val="22"/>
              </w:rPr>
            </w:r>
            <w:r w:rsidR="004D28C3" w:rsidRPr="002F393F">
              <w:rPr>
                <w:rFonts w:asciiTheme="minorHAnsi" w:hAnsiTheme="minorHAnsi"/>
                <w:noProof/>
                <w:webHidden/>
                <w:sz w:val="22"/>
              </w:rPr>
              <w:fldChar w:fldCharType="separate"/>
            </w:r>
            <w:r w:rsidR="00063E19">
              <w:rPr>
                <w:rFonts w:asciiTheme="minorHAnsi" w:hAnsiTheme="minorHAnsi"/>
                <w:noProof/>
                <w:webHidden/>
                <w:sz w:val="22"/>
              </w:rPr>
              <w:t>8</w:t>
            </w:r>
            <w:r w:rsidR="004D28C3" w:rsidRPr="002F393F">
              <w:rPr>
                <w:rFonts w:asciiTheme="minorHAnsi" w:hAnsiTheme="minorHAnsi"/>
                <w:noProof/>
                <w:webHidden/>
                <w:sz w:val="22"/>
              </w:rPr>
              <w:fldChar w:fldCharType="end"/>
            </w:r>
          </w:hyperlink>
        </w:p>
        <w:p w14:paraId="4526C850" w14:textId="3E91E561" w:rsidR="004D28C3" w:rsidRPr="002F393F" w:rsidRDefault="00527462">
          <w:pPr>
            <w:pStyle w:val="TOC2"/>
            <w:tabs>
              <w:tab w:val="right" w:leader="dot" w:pos="9350"/>
            </w:tabs>
            <w:rPr>
              <w:rFonts w:asciiTheme="minorHAnsi" w:eastAsiaTheme="minorEastAsia" w:hAnsiTheme="minorHAnsi"/>
              <w:noProof/>
              <w:sz w:val="24"/>
              <w:szCs w:val="22"/>
            </w:rPr>
          </w:pPr>
          <w:hyperlink w:anchor="_Toc391970696" w:history="1">
            <w:r w:rsidR="004D28C3" w:rsidRPr="002F393F">
              <w:rPr>
                <w:rStyle w:val="Hyperlink"/>
                <w:rFonts w:asciiTheme="minorHAnsi" w:hAnsiTheme="minorHAnsi"/>
                <w:noProof/>
                <w:sz w:val="22"/>
              </w:rPr>
              <w:t>9.  Payments/Gifts to Respondents</w:t>
            </w:r>
            <w:r w:rsidR="004D28C3" w:rsidRPr="002F393F">
              <w:rPr>
                <w:rFonts w:asciiTheme="minorHAnsi" w:hAnsiTheme="minorHAnsi"/>
                <w:noProof/>
                <w:webHidden/>
                <w:sz w:val="22"/>
              </w:rPr>
              <w:tab/>
            </w:r>
            <w:r w:rsidR="00DC7726">
              <w:rPr>
                <w:rFonts w:asciiTheme="minorHAnsi" w:hAnsiTheme="minorHAnsi"/>
                <w:noProof/>
                <w:webHidden/>
                <w:sz w:val="22"/>
              </w:rPr>
              <w:t>9</w:t>
            </w:r>
          </w:hyperlink>
        </w:p>
        <w:p w14:paraId="7BDF8F28" w14:textId="77777777" w:rsidR="004D28C3" w:rsidRPr="002F393F" w:rsidRDefault="00527462">
          <w:pPr>
            <w:pStyle w:val="TOC2"/>
            <w:tabs>
              <w:tab w:val="right" w:leader="dot" w:pos="9350"/>
            </w:tabs>
            <w:rPr>
              <w:rFonts w:asciiTheme="minorHAnsi" w:eastAsiaTheme="minorEastAsia" w:hAnsiTheme="minorHAnsi"/>
              <w:noProof/>
              <w:sz w:val="24"/>
              <w:szCs w:val="22"/>
            </w:rPr>
          </w:pPr>
          <w:hyperlink w:anchor="_Toc391970697" w:history="1">
            <w:r w:rsidR="004D28C3" w:rsidRPr="002F393F">
              <w:rPr>
                <w:rStyle w:val="Hyperlink"/>
                <w:rFonts w:asciiTheme="minorHAnsi" w:hAnsiTheme="minorHAnsi"/>
                <w:noProof/>
                <w:sz w:val="22"/>
              </w:rPr>
              <w:t>10.  Assurance of Confidentiality</w:t>
            </w:r>
            <w:r w:rsidR="004D28C3" w:rsidRPr="002F393F">
              <w:rPr>
                <w:rFonts w:asciiTheme="minorHAnsi" w:hAnsiTheme="minorHAnsi"/>
                <w:noProof/>
                <w:webHidden/>
                <w:sz w:val="22"/>
              </w:rPr>
              <w:tab/>
            </w:r>
            <w:r w:rsidR="004D28C3" w:rsidRPr="002F393F">
              <w:rPr>
                <w:rFonts w:asciiTheme="minorHAnsi" w:hAnsiTheme="minorHAnsi"/>
                <w:noProof/>
                <w:webHidden/>
                <w:sz w:val="22"/>
              </w:rPr>
              <w:fldChar w:fldCharType="begin"/>
            </w:r>
            <w:r w:rsidR="004D28C3" w:rsidRPr="002F393F">
              <w:rPr>
                <w:rFonts w:asciiTheme="minorHAnsi" w:hAnsiTheme="minorHAnsi"/>
                <w:noProof/>
                <w:webHidden/>
                <w:sz w:val="22"/>
              </w:rPr>
              <w:instrText xml:space="preserve"> PAGEREF _Toc391970697 \h </w:instrText>
            </w:r>
            <w:r w:rsidR="004D28C3" w:rsidRPr="002F393F">
              <w:rPr>
                <w:rFonts w:asciiTheme="minorHAnsi" w:hAnsiTheme="minorHAnsi"/>
                <w:noProof/>
                <w:webHidden/>
                <w:sz w:val="22"/>
              </w:rPr>
            </w:r>
            <w:r w:rsidR="004D28C3" w:rsidRPr="002F393F">
              <w:rPr>
                <w:rFonts w:asciiTheme="minorHAnsi" w:hAnsiTheme="minorHAnsi"/>
                <w:noProof/>
                <w:webHidden/>
                <w:sz w:val="22"/>
              </w:rPr>
              <w:fldChar w:fldCharType="separate"/>
            </w:r>
            <w:r w:rsidR="00063E19">
              <w:rPr>
                <w:rFonts w:asciiTheme="minorHAnsi" w:hAnsiTheme="minorHAnsi"/>
                <w:noProof/>
                <w:webHidden/>
                <w:sz w:val="22"/>
              </w:rPr>
              <w:t>9</w:t>
            </w:r>
            <w:r w:rsidR="004D28C3" w:rsidRPr="002F393F">
              <w:rPr>
                <w:rFonts w:asciiTheme="minorHAnsi" w:hAnsiTheme="minorHAnsi"/>
                <w:noProof/>
                <w:webHidden/>
                <w:sz w:val="22"/>
              </w:rPr>
              <w:fldChar w:fldCharType="end"/>
            </w:r>
          </w:hyperlink>
        </w:p>
        <w:p w14:paraId="4A83F987" w14:textId="77777777" w:rsidR="004D28C3" w:rsidRPr="002F393F" w:rsidRDefault="00527462">
          <w:pPr>
            <w:pStyle w:val="TOC2"/>
            <w:tabs>
              <w:tab w:val="right" w:leader="dot" w:pos="9350"/>
            </w:tabs>
            <w:rPr>
              <w:rFonts w:asciiTheme="minorHAnsi" w:eastAsiaTheme="minorEastAsia" w:hAnsiTheme="minorHAnsi"/>
              <w:noProof/>
              <w:sz w:val="24"/>
              <w:szCs w:val="22"/>
            </w:rPr>
          </w:pPr>
          <w:hyperlink w:anchor="_Toc391970698" w:history="1">
            <w:r w:rsidR="004D28C3" w:rsidRPr="002F393F">
              <w:rPr>
                <w:rStyle w:val="Hyperlink"/>
                <w:rFonts w:asciiTheme="minorHAnsi" w:hAnsiTheme="minorHAnsi"/>
                <w:noProof/>
                <w:sz w:val="22"/>
              </w:rPr>
              <w:t>11.  Questions of a Sensitive Nature</w:t>
            </w:r>
            <w:r w:rsidR="004D28C3" w:rsidRPr="002F393F">
              <w:rPr>
                <w:rFonts w:asciiTheme="minorHAnsi" w:hAnsiTheme="minorHAnsi"/>
                <w:noProof/>
                <w:webHidden/>
                <w:sz w:val="22"/>
              </w:rPr>
              <w:tab/>
            </w:r>
            <w:r w:rsidR="004D28C3" w:rsidRPr="002F393F">
              <w:rPr>
                <w:rFonts w:asciiTheme="minorHAnsi" w:hAnsiTheme="minorHAnsi"/>
                <w:noProof/>
                <w:webHidden/>
                <w:sz w:val="22"/>
              </w:rPr>
              <w:fldChar w:fldCharType="begin"/>
            </w:r>
            <w:r w:rsidR="004D28C3" w:rsidRPr="002F393F">
              <w:rPr>
                <w:rFonts w:asciiTheme="minorHAnsi" w:hAnsiTheme="minorHAnsi"/>
                <w:noProof/>
                <w:webHidden/>
                <w:sz w:val="22"/>
              </w:rPr>
              <w:instrText xml:space="preserve"> PAGEREF _Toc391970698 \h </w:instrText>
            </w:r>
            <w:r w:rsidR="004D28C3" w:rsidRPr="002F393F">
              <w:rPr>
                <w:rFonts w:asciiTheme="minorHAnsi" w:hAnsiTheme="minorHAnsi"/>
                <w:noProof/>
                <w:webHidden/>
                <w:sz w:val="22"/>
              </w:rPr>
            </w:r>
            <w:r w:rsidR="004D28C3" w:rsidRPr="002F393F">
              <w:rPr>
                <w:rFonts w:asciiTheme="minorHAnsi" w:hAnsiTheme="minorHAnsi"/>
                <w:noProof/>
                <w:webHidden/>
                <w:sz w:val="22"/>
              </w:rPr>
              <w:fldChar w:fldCharType="separate"/>
            </w:r>
            <w:r w:rsidR="00063E19">
              <w:rPr>
                <w:rFonts w:asciiTheme="minorHAnsi" w:hAnsiTheme="minorHAnsi"/>
                <w:noProof/>
                <w:webHidden/>
                <w:sz w:val="22"/>
              </w:rPr>
              <w:t>9</w:t>
            </w:r>
            <w:r w:rsidR="004D28C3" w:rsidRPr="002F393F">
              <w:rPr>
                <w:rFonts w:asciiTheme="minorHAnsi" w:hAnsiTheme="minorHAnsi"/>
                <w:noProof/>
                <w:webHidden/>
                <w:sz w:val="22"/>
              </w:rPr>
              <w:fldChar w:fldCharType="end"/>
            </w:r>
          </w:hyperlink>
        </w:p>
        <w:p w14:paraId="44087D98" w14:textId="77777777" w:rsidR="004D28C3" w:rsidRPr="002F393F" w:rsidRDefault="00527462">
          <w:pPr>
            <w:pStyle w:val="TOC2"/>
            <w:tabs>
              <w:tab w:val="right" w:leader="dot" w:pos="9350"/>
            </w:tabs>
            <w:rPr>
              <w:rFonts w:asciiTheme="minorHAnsi" w:eastAsiaTheme="minorEastAsia" w:hAnsiTheme="minorHAnsi"/>
              <w:noProof/>
              <w:sz w:val="24"/>
              <w:szCs w:val="22"/>
            </w:rPr>
          </w:pPr>
          <w:hyperlink w:anchor="_Toc391970699" w:history="1">
            <w:r w:rsidR="004D28C3" w:rsidRPr="002F393F">
              <w:rPr>
                <w:rStyle w:val="Hyperlink"/>
                <w:rFonts w:asciiTheme="minorHAnsi" w:hAnsiTheme="minorHAnsi"/>
                <w:noProof/>
                <w:sz w:val="22"/>
              </w:rPr>
              <w:t>12.  Estimates of Annualized Burden Hours and Costs</w:t>
            </w:r>
            <w:r w:rsidR="004D28C3" w:rsidRPr="002F393F">
              <w:rPr>
                <w:rFonts w:asciiTheme="minorHAnsi" w:hAnsiTheme="minorHAnsi"/>
                <w:noProof/>
                <w:webHidden/>
                <w:sz w:val="22"/>
              </w:rPr>
              <w:tab/>
            </w:r>
            <w:r w:rsidR="004D28C3" w:rsidRPr="002F393F">
              <w:rPr>
                <w:rFonts w:asciiTheme="minorHAnsi" w:hAnsiTheme="minorHAnsi"/>
                <w:noProof/>
                <w:webHidden/>
                <w:sz w:val="22"/>
              </w:rPr>
              <w:fldChar w:fldCharType="begin"/>
            </w:r>
            <w:r w:rsidR="004D28C3" w:rsidRPr="002F393F">
              <w:rPr>
                <w:rFonts w:asciiTheme="minorHAnsi" w:hAnsiTheme="minorHAnsi"/>
                <w:noProof/>
                <w:webHidden/>
                <w:sz w:val="22"/>
              </w:rPr>
              <w:instrText xml:space="preserve"> PAGEREF _Toc391970699 \h </w:instrText>
            </w:r>
            <w:r w:rsidR="004D28C3" w:rsidRPr="002F393F">
              <w:rPr>
                <w:rFonts w:asciiTheme="minorHAnsi" w:hAnsiTheme="minorHAnsi"/>
                <w:noProof/>
                <w:webHidden/>
                <w:sz w:val="22"/>
              </w:rPr>
            </w:r>
            <w:r w:rsidR="004D28C3" w:rsidRPr="002F393F">
              <w:rPr>
                <w:rFonts w:asciiTheme="minorHAnsi" w:hAnsiTheme="minorHAnsi"/>
                <w:noProof/>
                <w:webHidden/>
                <w:sz w:val="22"/>
              </w:rPr>
              <w:fldChar w:fldCharType="separate"/>
            </w:r>
            <w:r w:rsidR="00063E19">
              <w:rPr>
                <w:rFonts w:asciiTheme="minorHAnsi" w:hAnsiTheme="minorHAnsi"/>
                <w:noProof/>
                <w:webHidden/>
                <w:sz w:val="22"/>
              </w:rPr>
              <w:t>9</w:t>
            </w:r>
            <w:r w:rsidR="004D28C3" w:rsidRPr="002F393F">
              <w:rPr>
                <w:rFonts w:asciiTheme="minorHAnsi" w:hAnsiTheme="minorHAnsi"/>
                <w:noProof/>
                <w:webHidden/>
                <w:sz w:val="22"/>
              </w:rPr>
              <w:fldChar w:fldCharType="end"/>
            </w:r>
          </w:hyperlink>
        </w:p>
        <w:p w14:paraId="14C709FC" w14:textId="77777777" w:rsidR="004D28C3" w:rsidRPr="002F393F" w:rsidRDefault="00527462">
          <w:pPr>
            <w:pStyle w:val="TOC2"/>
            <w:tabs>
              <w:tab w:val="right" w:leader="dot" w:pos="9350"/>
            </w:tabs>
            <w:rPr>
              <w:rFonts w:asciiTheme="minorHAnsi" w:eastAsiaTheme="minorEastAsia" w:hAnsiTheme="minorHAnsi"/>
              <w:noProof/>
              <w:sz w:val="24"/>
              <w:szCs w:val="22"/>
            </w:rPr>
          </w:pPr>
          <w:hyperlink w:anchor="_Toc391970700" w:history="1">
            <w:r w:rsidR="004D28C3" w:rsidRPr="002F393F">
              <w:rPr>
                <w:rStyle w:val="Hyperlink"/>
                <w:rFonts w:asciiTheme="minorHAnsi" w:hAnsiTheme="minorHAnsi"/>
                <w:noProof/>
                <w:sz w:val="22"/>
              </w:rPr>
              <w:t>13.  Estimates of Annualized Respondent Capital and Maintenance Costs</w:t>
            </w:r>
            <w:r w:rsidR="004D28C3" w:rsidRPr="002F393F">
              <w:rPr>
                <w:rFonts w:asciiTheme="minorHAnsi" w:hAnsiTheme="minorHAnsi"/>
                <w:noProof/>
                <w:webHidden/>
                <w:sz w:val="22"/>
              </w:rPr>
              <w:tab/>
            </w:r>
            <w:r w:rsidR="004D28C3" w:rsidRPr="002F393F">
              <w:rPr>
                <w:rFonts w:asciiTheme="minorHAnsi" w:hAnsiTheme="minorHAnsi"/>
                <w:noProof/>
                <w:webHidden/>
                <w:sz w:val="22"/>
              </w:rPr>
              <w:fldChar w:fldCharType="begin"/>
            </w:r>
            <w:r w:rsidR="004D28C3" w:rsidRPr="002F393F">
              <w:rPr>
                <w:rFonts w:asciiTheme="minorHAnsi" w:hAnsiTheme="minorHAnsi"/>
                <w:noProof/>
                <w:webHidden/>
                <w:sz w:val="22"/>
              </w:rPr>
              <w:instrText xml:space="preserve"> PAGEREF _Toc391970700 \h </w:instrText>
            </w:r>
            <w:r w:rsidR="004D28C3" w:rsidRPr="002F393F">
              <w:rPr>
                <w:rFonts w:asciiTheme="minorHAnsi" w:hAnsiTheme="minorHAnsi"/>
                <w:noProof/>
                <w:webHidden/>
                <w:sz w:val="22"/>
              </w:rPr>
            </w:r>
            <w:r w:rsidR="004D28C3" w:rsidRPr="002F393F">
              <w:rPr>
                <w:rFonts w:asciiTheme="minorHAnsi" w:hAnsiTheme="minorHAnsi"/>
                <w:noProof/>
                <w:webHidden/>
                <w:sz w:val="22"/>
              </w:rPr>
              <w:fldChar w:fldCharType="separate"/>
            </w:r>
            <w:r w:rsidR="00063E19">
              <w:rPr>
                <w:rFonts w:asciiTheme="minorHAnsi" w:hAnsiTheme="minorHAnsi"/>
                <w:noProof/>
                <w:webHidden/>
                <w:sz w:val="22"/>
              </w:rPr>
              <w:t>11</w:t>
            </w:r>
            <w:r w:rsidR="004D28C3" w:rsidRPr="002F393F">
              <w:rPr>
                <w:rFonts w:asciiTheme="minorHAnsi" w:hAnsiTheme="minorHAnsi"/>
                <w:noProof/>
                <w:webHidden/>
                <w:sz w:val="22"/>
              </w:rPr>
              <w:fldChar w:fldCharType="end"/>
            </w:r>
          </w:hyperlink>
        </w:p>
        <w:p w14:paraId="32D6D340" w14:textId="77777777" w:rsidR="004D28C3" w:rsidRPr="002F393F" w:rsidRDefault="00527462">
          <w:pPr>
            <w:pStyle w:val="TOC2"/>
            <w:tabs>
              <w:tab w:val="right" w:leader="dot" w:pos="9350"/>
            </w:tabs>
            <w:rPr>
              <w:rFonts w:asciiTheme="minorHAnsi" w:eastAsiaTheme="minorEastAsia" w:hAnsiTheme="minorHAnsi"/>
              <w:noProof/>
              <w:sz w:val="24"/>
              <w:szCs w:val="22"/>
            </w:rPr>
          </w:pPr>
          <w:hyperlink w:anchor="_Toc391970701" w:history="1">
            <w:r w:rsidR="004D28C3" w:rsidRPr="002F393F">
              <w:rPr>
                <w:rStyle w:val="Hyperlink"/>
                <w:rFonts w:asciiTheme="minorHAnsi" w:hAnsiTheme="minorHAnsi"/>
                <w:noProof/>
                <w:sz w:val="22"/>
              </w:rPr>
              <w:t>14.  Estimates of Annualized Cost to the Government</w:t>
            </w:r>
            <w:r w:rsidR="004D28C3" w:rsidRPr="002F393F">
              <w:rPr>
                <w:rFonts w:asciiTheme="minorHAnsi" w:hAnsiTheme="minorHAnsi"/>
                <w:noProof/>
                <w:webHidden/>
                <w:sz w:val="22"/>
              </w:rPr>
              <w:tab/>
            </w:r>
            <w:r w:rsidR="004D28C3" w:rsidRPr="002F393F">
              <w:rPr>
                <w:rFonts w:asciiTheme="minorHAnsi" w:hAnsiTheme="minorHAnsi"/>
                <w:noProof/>
                <w:webHidden/>
                <w:sz w:val="22"/>
              </w:rPr>
              <w:fldChar w:fldCharType="begin"/>
            </w:r>
            <w:r w:rsidR="004D28C3" w:rsidRPr="002F393F">
              <w:rPr>
                <w:rFonts w:asciiTheme="minorHAnsi" w:hAnsiTheme="minorHAnsi"/>
                <w:noProof/>
                <w:webHidden/>
                <w:sz w:val="22"/>
              </w:rPr>
              <w:instrText xml:space="preserve"> PAGEREF _Toc391970701 \h </w:instrText>
            </w:r>
            <w:r w:rsidR="004D28C3" w:rsidRPr="002F393F">
              <w:rPr>
                <w:rFonts w:asciiTheme="minorHAnsi" w:hAnsiTheme="minorHAnsi"/>
                <w:noProof/>
                <w:webHidden/>
                <w:sz w:val="22"/>
              </w:rPr>
            </w:r>
            <w:r w:rsidR="004D28C3" w:rsidRPr="002F393F">
              <w:rPr>
                <w:rFonts w:asciiTheme="minorHAnsi" w:hAnsiTheme="minorHAnsi"/>
                <w:noProof/>
                <w:webHidden/>
                <w:sz w:val="22"/>
              </w:rPr>
              <w:fldChar w:fldCharType="separate"/>
            </w:r>
            <w:r w:rsidR="00063E19">
              <w:rPr>
                <w:rFonts w:asciiTheme="minorHAnsi" w:hAnsiTheme="minorHAnsi"/>
                <w:noProof/>
                <w:webHidden/>
                <w:sz w:val="22"/>
              </w:rPr>
              <w:t>11</w:t>
            </w:r>
            <w:r w:rsidR="004D28C3" w:rsidRPr="002F393F">
              <w:rPr>
                <w:rFonts w:asciiTheme="minorHAnsi" w:hAnsiTheme="minorHAnsi"/>
                <w:noProof/>
                <w:webHidden/>
                <w:sz w:val="22"/>
              </w:rPr>
              <w:fldChar w:fldCharType="end"/>
            </w:r>
          </w:hyperlink>
        </w:p>
        <w:p w14:paraId="76731BC2" w14:textId="77777777" w:rsidR="004D28C3" w:rsidRPr="002F393F" w:rsidRDefault="00527462">
          <w:pPr>
            <w:pStyle w:val="TOC2"/>
            <w:tabs>
              <w:tab w:val="right" w:leader="dot" w:pos="9350"/>
            </w:tabs>
            <w:rPr>
              <w:rFonts w:asciiTheme="minorHAnsi" w:eastAsiaTheme="minorEastAsia" w:hAnsiTheme="minorHAnsi"/>
              <w:noProof/>
              <w:sz w:val="24"/>
              <w:szCs w:val="22"/>
            </w:rPr>
          </w:pPr>
          <w:hyperlink w:anchor="_Toc391970702" w:history="1">
            <w:r w:rsidR="004D28C3" w:rsidRPr="002F393F">
              <w:rPr>
                <w:rStyle w:val="Hyperlink"/>
                <w:rFonts w:asciiTheme="minorHAnsi" w:hAnsiTheme="minorHAnsi"/>
                <w:noProof/>
                <w:sz w:val="22"/>
              </w:rPr>
              <w:t>15.  Change in Burden</w:t>
            </w:r>
            <w:r w:rsidR="004D28C3" w:rsidRPr="002F393F">
              <w:rPr>
                <w:rFonts w:asciiTheme="minorHAnsi" w:hAnsiTheme="minorHAnsi"/>
                <w:noProof/>
                <w:webHidden/>
                <w:sz w:val="22"/>
              </w:rPr>
              <w:tab/>
            </w:r>
            <w:r w:rsidR="004D28C3" w:rsidRPr="002F393F">
              <w:rPr>
                <w:rFonts w:asciiTheme="minorHAnsi" w:hAnsiTheme="minorHAnsi"/>
                <w:noProof/>
                <w:webHidden/>
                <w:sz w:val="22"/>
              </w:rPr>
              <w:fldChar w:fldCharType="begin"/>
            </w:r>
            <w:r w:rsidR="004D28C3" w:rsidRPr="002F393F">
              <w:rPr>
                <w:rFonts w:asciiTheme="minorHAnsi" w:hAnsiTheme="minorHAnsi"/>
                <w:noProof/>
                <w:webHidden/>
                <w:sz w:val="22"/>
              </w:rPr>
              <w:instrText xml:space="preserve"> PAGEREF _Toc391970702 \h </w:instrText>
            </w:r>
            <w:r w:rsidR="004D28C3" w:rsidRPr="002F393F">
              <w:rPr>
                <w:rFonts w:asciiTheme="minorHAnsi" w:hAnsiTheme="minorHAnsi"/>
                <w:noProof/>
                <w:webHidden/>
                <w:sz w:val="22"/>
              </w:rPr>
            </w:r>
            <w:r w:rsidR="004D28C3" w:rsidRPr="002F393F">
              <w:rPr>
                <w:rFonts w:asciiTheme="minorHAnsi" w:hAnsiTheme="minorHAnsi"/>
                <w:noProof/>
                <w:webHidden/>
                <w:sz w:val="22"/>
              </w:rPr>
              <w:fldChar w:fldCharType="separate"/>
            </w:r>
            <w:r w:rsidR="00063E19">
              <w:rPr>
                <w:rFonts w:asciiTheme="minorHAnsi" w:hAnsiTheme="minorHAnsi"/>
                <w:noProof/>
                <w:webHidden/>
                <w:sz w:val="22"/>
              </w:rPr>
              <w:t>12</w:t>
            </w:r>
            <w:r w:rsidR="004D28C3" w:rsidRPr="002F393F">
              <w:rPr>
                <w:rFonts w:asciiTheme="minorHAnsi" w:hAnsiTheme="minorHAnsi"/>
                <w:noProof/>
                <w:webHidden/>
                <w:sz w:val="22"/>
              </w:rPr>
              <w:fldChar w:fldCharType="end"/>
            </w:r>
          </w:hyperlink>
        </w:p>
        <w:p w14:paraId="38FCD5B1" w14:textId="77777777" w:rsidR="004D28C3" w:rsidRPr="002F393F" w:rsidRDefault="00527462">
          <w:pPr>
            <w:pStyle w:val="TOC2"/>
            <w:tabs>
              <w:tab w:val="right" w:leader="dot" w:pos="9350"/>
            </w:tabs>
            <w:rPr>
              <w:rFonts w:asciiTheme="minorHAnsi" w:eastAsiaTheme="minorEastAsia" w:hAnsiTheme="minorHAnsi"/>
              <w:noProof/>
              <w:sz w:val="24"/>
              <w:szCs w:val="22"/>
            </w:rPr>
          </w:pPr>
          <w:hyperlink w:anchor="_Toc391970703" w:history="1">
            <w:r w:rsidR="004D28C3" w:rsidRPr="002F393F">
              <w:rPr>
                <w:rStyle w:val="Hyperlink"/>
                <w:rFonts w:asciiTheme="minorHAnsi" w:hAnsiTheme="minorHAnsi"/>
                <w:noProof/>
                <w:sz w:val="22"/>
              </w:rPr>
              <w:t>16.  Time Schedule, Publication and Analysis Plan</w:t>
            </w:r>
            <w:r w:rsidR="004D28C3" w:rsidRPr="002F393F">
              <w:rPr>
                <w:rFonts w:asciiTheme="minorHAnsi" w:hAnsiTheme="minorHAnsi"/>
                <w:noProof/>
                <w:webHidden/>
                <w:sz w:val="22"/>
              </w:rPr>
              <w:tab/>
            </w:r>
            <w:r w:rsidR="004D28C3" w:rsidRPr="002F393F">
              <w:rPr>
                <w:rFonts w:asciiTheme="minorHAnsi" w:hAnsiTheme="minorHAnsi"/>
                <w:noProof/>
                <w:webHidden/>
                <w:sz w:val="22"/>
              </w:rPr>
              <w:fldChar w:fldCharType="begin"/>
            </w:r>
            <w:r w:rsidR="004D28C3" w:rsidRPr="002F393F">
              <w:rPr>
                <w:rFonts w:asciiTheme="minorHAnsi" w:hAnsiTheme="minorHAnsi"/>
                <w:noProof/>
                <w:webHidden/>
                <w:sz w:val="22"/>
              </w:rPr>
              <w:instrText xml:space="preserve"> PAGEREF _Toc391970703 \h </w:instrText>
            </w:r>
            <w:r w:rsidR="004D28C3" w:rsidRPr="002F393F">
              <w:rPr>
                <w:rFonts w:asciiTheme="minorHAnsi" w:hAnsiTheme="minorHAnsi"/>
                <w:noProof/>
                <w:webHidden/>
                <w:sz w:val="22"/>
              </w:rPr>
            </w:r>
            <w:r w:rsidR="004D28C3" w:rsidRPr="002F393F">
              <w:rPr>
                <w:rFonts w:asciiTheme="minorHAnsi" w:hAnsiTheme="minorHAnsi"/>
                <w:noProof/>
                <w:webHidden/>
                <w:sz w:val="22"/>
              </w:rPr>
              <w:fldChar w:fldCharType="separate"/>
            </w:r>
            <w:r w:rsidR="00063E19">
              <w:rPr>
                <w:rFonts w:asciiTheme="minorHAnsi" w:hAnsiTheme="minorHAnsi"/>
                <w:noProof/>
                <w:webHidden/>
                <w:sz w:val="22"/>
              </w:rPr>
              <w:t>12</w:t>
            </w:r>
            <w:r w:rsidR="004D28C3" w:rsidRPr="002F393F">
              <w:rPr>
                <w:rFonts w:asciiTheme="minorHAnsi" w:hAnsiTheme="minorHAnsi"/>
                <w:noProof/>
                <w:webHidden/>
                <w:sz w:val="22"/>
              </w:rPr>
              <w:fldChar w:fldCharType="end"/>
            </w:r>
          </w:hyperlink>
        </w:p>
        <w:p w14:paraId="569EB6A6" w14:textId="5ABD6DF4" w:rsidR="004D28C3" w:rsidRPr="002F393F" w:rsidRDefault="00527462">
          <w:pPr>
            <w:pStyle w:val="TOC2"/>
            <w:tabs>
              <w:tab w:val="right" w:leader="dot" w:pos="9350"/>
            </w:tabs>
            <w:rPr>
              <w:rFonts w:asciiTheme="minorHAnsi" w:eastAsiaTheme="minorEastAsia" w:hAnsiTheme="minorHAnsi"/>
              <w:noProof/>
              <w:sz w:val="24"/>
              <w:szCs w:val="22"/>
            </w:rPr>
          </w:pPr>
          <w:hyperlink w:anchor="_Toc391970704" w:history="1">
            <w:r w:rsidR="004D28C3" w:rsidRPr="002F393F">
              <w:rPr>
                <w:rStyle w:val="Hyperlink"/>
                <w:rFonts w:asciiTheme="minorHAnsi" w:hAnsiTheme="minorHAnsi"/>
                <w:noProof/>
                <w:sz w:val="22"/>
              </w:rPr>
              <w:t>17.  Exemption for Display of Expiration Date</w:t>
            </w:r>
            <w:r w:rsidR="004D28C3" w:rsidRPr="002F393F">
              <w:rPr>
                <w:rFonts w:asciiTheme="minorHAnsi" w:hAnsiTheme="minorHAnsi"/>
                <w:noProof/>
                <w:webHidden/>
                <w:sz w:val="22"/>
              </w:rPr>
              <w:tab/>
            </w:r>
            <w:r w:rsidR="004D28C3" w:rsidRPr="002F393F">
              <w:rPr>
                <w:rFonts w:asciiTheme="minorHAnsi" w:hAnsiTheme="minorHAnsi"/>
                <w:noProof/>
                <w:webHidden/>
                <w:sz w:val="22"/>
              </w:rPr>
              <w:fldChar w:fldCharType="begin"/>
            </w:r>
            <w:r w:rsidR="004D28C3" w:rsidRPr="002F393F">
              <w:rPr>
                <w:rFonts w:asciiTheme="minorHAnsi" w:hAnsiTheme="minorHAnsi"/>
                <w:noProof/>
                <w:webHidden/>
                <w:sz w:val="22"/>
              </w:rPr>
              <w:instrText xml:space="preserve"> PAGEREF _Toc391970704 \h </w:instrText>
            </w:r>
            <w:r w:rsidR="004D28C3" w:rsidRPr="002F393F">
              <w:rPr>
                <w:rFonts w:asciiTheme="minorHAnsi" w:hAnsiTheme="minorHAnsi"/>
                <w:noProof/>
                <w:webHidden/>
                <w:sz w:val="22"/>
              </w:rPr>
            </w:r>
            <w:r w:rsidR="004D28C3" w:rsidRPr="002F393F">
              <w:rPr>
                <w:rFonts w:asciiTheme="minorHAnsi" w:hAnsiTheme="minorHAnsi"/>
                <w:noProof/>
                <w:webHidden/>
                <w:sz w:val="22"/>
              </w:rPr>
              <w:fldChar w:fldCharType="separate"/>
            </w:r>
            <w:r w:rsidR="00063E19">
              <w:rPr>
                <w:rFonts w:asciiTheme="minorHAnsi" w:hAnsiTheme="minorHAnsi"/>
                <w:noProof/>
                <w:webHidden/>
                <w:sz w:val="22"/>
              </w:rPr>
              <w:t>1</w:t>
            </w:r>
            <w:r w:rsidR="00DC7726">
              <w:rPr>
                <w:rFonts w:asciiTheme="minorHAnsi" w:hAnsiTheme="minorHAnsi"/>
                <w:noProof/>
                <w:webHidden/>
                <w:sz w:val="22"/>
              </w:rPr>
              <w:t>3</w:t>
            </w:r>
            <w:r w:rsidR="004D28C3" w:rsidRPr="002F393F">
              <w:rPr>
                <w:rFonts w:asciiTheme="minorHAnsi" w:hAnsiTheme="minorHAnsi"/>
                <w:noProof/>
                <w:webHidden/>
                <w:sz w:val="22"/>
              </w:rPr>
              <w:fldChar w:fldCharType="end"/>
            </w:r>
          </w:hyperlink>
        </w:p>
        <w:p w14:paraId="21D1E5DC" w14:textId="77777777" w:rsidR="004D28C3" w:rsidRPr="002F393F" w:rsidRDefault="00527462">
          <w:pPr>
            <w:pStyle w:val="TOC1"/>
            <w:tabs>
              <w:tab w:val="right" w:leader="dot" w:pos="9350"/>
            </w:tabs>
            <w:rPr>
              <w:rFonts w:asciiTheme="minorHAnsi" w:eastAsiaTheme="minorEastAsia" w:hAnsiTheme="minorHAnsi"/>
              <w:noProof/>
              <w:sz w:val="24"/>
              <w:szCs w:val="22"/>
            </w:rPr>
          </w:pPr>
          <w:hyperlink w:anchor="_Toc391970705" w:history="1">
            <w:r w:rsidR="004D28C3" w:rsidRPr="002F393F">
              <w:rPr>
                <w:rStyle w:val="Hyperlink"/>
                <w:rFonts w:asciiTheme="minorHAnsi" w:hAnsiTheme="minorHAnsi"/>
                <w:noProof/>
                <w:sz w:val="22"/>
              </w:rPr>
              <w:t>List of Attachments</w:t>
            </w:r>
            <w:r w:rsidR="004D28C3" w:rsidRPr="002F393F">
              <w:rPr>
                <w:rFonts w:asciiTheme="minorHAnsi" w:hAnsiTheme="minorHAnsi"/>
                <w:noProof/>
                <w:webHidden/>
                <w:sz w:val="22"/>
              </w:rPr>
              <w:tab/>
            </w:r>
            <w:r w:rsidR="004D28C3" w:rsidRPr="002F393F">
              <w:rPr>
                <w:rFonts w:asciiTheme="minorHAnsi" w:hAnsiTheme="minorHAnsi"/>
                <w:noProof/>
                <w:webHidden/>
                <w:sz w:val="22"/>
              </w:rPr>
              <w:fldChar w:fldCharType="begin"/>
            </w:r>
            <w:r w:rsidR="004D28C3" w:rsidRPr="002F393F">
              <w:rPr>
                <w:rFonts w:asciiTheme="minorHAnsi" w:hAnsiTheme="minorHAnsi"/>
                <w:noProof/>
                <w:webHidden/>
                <w:sz w:val="22"/>
              </w:rPr>
              <w:instrText xml:space="preserve"> PAGEREF _Toc391970705 \h </w:instrText>
            </w:r>
            <w:r w:rsidR="004D28C3" w:rsidRPr="002F393F">
              <w:rPr>
                <w:rFonts w:asciiTheme="minorHAnsi" w:hAnsiTheme="minorHAnsi"/>
                <w:noProof/>
                <w:webHidden/>
                <w:sz w:val="22"/>
              </w:rPr>
            </w:r>
            <w:r w:rsidR="004D28C3" w:rsidRPr="002F393F">
              <w:rPr>
                <w:rFonts w:asciiTheme="minorHAnsi" w:hAnsiTheme="minorHAnsi"/>
                <w:noProof/>
                <w:webHidden/>
                <w:sz w:val="22"/>
              </w:rPr>
              <w:fldChar w:fldCharType="separate"/>
            </w:r>
            <w:r w:rsidR="00063E19">
              <w:rPr>
                <w:rFonts w:asciiTheme="minorHAnsi" w:hAnsiTheme="minorHAnsi"/>
                <w:noProof/>
                <w:webHidden/>
                <w:sz w:val="22"/>
              </w:rPr>
              <w:t>13</w:t>
            </w:r>
            <w:r w:rsidR="004D28C3" w:rsidRPr="002F393F">
              <w:rPr>
                <w:rFonts w:asciiTheme="minorHAnsi" w:hAnsiTheme="minorHAnsi"/>
                <w:noProof/>
                <w:webHidden/>
                <w:sz w:val="22"/>
              </w:rPr>
              <w:fldChar w:fldCharType="end"/>
            </w:r>
          </w:hyperlink>
        </w:p>
        <w:p w14:paraId="0C6BDD73" w14:textId="77777777" w:rsidR="008C5826" w:rsidRPr="00CE1236" w:rsidRDefault="00FC306C">
          <w:pPr>
            <w:rPr>
              <w:rFonts w:asciiTheme="minorHAnsi" w:hAnsiTheme="minorHAnsi"/>
            </w:rPr>
          </w:pPr>
          <w:r w:rsidRPr="002F393F">
            <w:rPr>
              <w:rFonts w:asciiTheme="minorHAnsi" w:hAnsiTheme="minorHAnsi"/>
              <w:sz w:val="22"/>
            </w:rPr>
            <w:fldChar w:fldCharType="end"/>
          </w:r>
        </w:p>
      </w:sdtContent>
    </w:sdt>
    <w:p w14:paraId="211B44EB" w14:textId="77777777" w:rsidR="00CB7234" w:rsidRPr="00CE1236" w:rsidRDefault="00CB7234" w:rsidP="00CB7234">
      <w:pPr>
        <w:rPr>
          <w:rFonts w:asciiTheme="minorHAnsi" w:hAnsiTheme="minorHAnsi"/>
          <w:b/>
          <w:sz w:val="24"/>
          <w:szCs w:val="24"/>
        </w:rPr>
      </w:pPr>
      <w:r w:rsidRPr="00CE1236">
        <w:rPr>
          <w:rFonts w:asciiTheme="minorHAnsi" w:hAnsiTheme="minorHAnsi"/>
          <w:b/>
          <w:sz w:val="24"/>
          <w:szCs w:val="24"/>
        </w:rPr>
        <w:br w:type="page"/>
      </w:r>
    </w:p>
    <w:p w14:paraId="1BACA924" w14:textId="77777777" w:rsidR="006F7766" w:rsidRPr="00063E19" w:rsidRDefault="006F7766" w:rsidP="006F7766">
      <w:pPr>
        <w:pStyle w:val="Heading1"/>
        <w:rPr>
          <w:rFonts w:asciiTheme="minorHAnsi" w:hAnsiTheme="minorHAnsi"/>
          <w:sz w:val="24"/>
          <w:szCs w:val="24"/>
        </w:rPr>
      </w:pPr>
      <w:bookmarkStart w:id="0" w:name="_Toc151782175"/>
      <w:bookmarkStart w:id="1" w:name="_Toc158526215"/>
      <w:bookmarkStart w:id="2" w:name="_Toc391970687"/>
      <w:r w:rsidRPr="00063E19">
        <w:rPr>
          <w:rFonts w:asciiTheme="minorHAnsi" w:hAnsiTheme="minorHAnsi"/>
          <w:sz w:val="24"/>
          <w:szCs w:val="24"/>
        </w:rPr>
        <w:lastRenderedPageBreak/>
        <w:t>A. Justification</w:t>
      </w:r>
      <w:bookmarkEnd w:id="0"/>
      <w:bookmarkEnd w:id="1"/>
    </w:p>
    <w:bookmarkEnd w:id="2"/>
    <w:p w14:paraId="76B69C6E" w14:textId="77777777" w:rsidR="0057087C" w:rsidRPr="002F393F" w:rsidRDefault="0057087C">
      <w:pPr>
        <w:rPr>
          <w:rFonts w:asciiTheme="minorHAnsi" w:hAnsiTheme="minorHAnsi"/>
          <w:sz w:val="24"/>
          <w:szCs w:val="24"/>
        </w:rPr>
      </w:pPr>
    </w:p>
    <w:p w14:paraId="569C0F23" w14:textId="77777777" w:rsidR="001D16FA" w:rsidRPr="002F393F" w:rsidRDefault="0057087C" w:rsidP="001D16FA">
      <w:pPr>
        <w:pStyle w:val="Heading2"/>
        <w:rPr>
          <w:rFonts w:asciiTheme="minorHAnsi" w:hAnsiTheme="minorHAnsi" w:cs="Times New Roman"/>
          <w:sz w:val="24"/>
          <w:szCs w:val="24"/>
        </w:rPr>
      </w:pPr>
      <w:bookmarkStart w:id="3" w:name="_Toc391970688"/>
      <w:r w:rsidRPr="002F393F">
        <w:rPr>
          <w:rFonts w:asciiTheme="minorHAnsi" w:hAnsiTheme="minorHAnsi" w:cs="Times New Roman"/>
          <w:color w:val="auto"/>
          <w:sz w:val="24"/>
          <w:szCs w:val="24"/>
        </w:rPr>
        <w:t xml:space="preserve">1.  </w:t>
      </w:r>
      <w:r w:rsidRPr="002F393F">
        <w:rPr>
          <w:rFonts w:asciiTheme="minorHAnsi" w:hAnsiTheme="minorHAnsi" w:cs="Times New Roman"/>
          <w:color w:val="auto"/>
          <w:sz w:val="24"/>
          <w:szCs w:val="24"/>
          <w:u w:val="single"/>
        </w:rPr>
        <w:t>Need for Information</w:t>
      </w:r>
      <w:bookmarkEnd w:id="3"/>
    </w:p>
    <w:p w14:paraId="3BFD9033" w14:textId="77777777" w:rsidR="006B0624" w:rsidRPr="002F393F" w:rsidRDefault="006B0624">
      <w:pPr>
        <w:rPr>
          <w:rFonts w:asciiTheme="minorHAnsi" w:hAnsiTheme="minorHAnsi"/>
          <w:sz w:val="24"/>
          <w:szCs w:val="24"/>
        </w:rPr>
      </w:pPr>
    </w:p>
    <w:p w14:paraId="0991D03E" w14:textId="77777777" w:rsidR="001D16FA" w:rsidRPr="002F393F" w:rsidRDefault="001D16FA" w:rsidP="001D16FA">
      <w:pPr>
        <w:rPr>
          <w:rFonts w:asciiTheme="minorHAnsi" w:hAnsiTheme="minorHAnsi"/>
          <w:sz w:val="24"/>
          <w:szCs w:val="24"/>
        </w:rPr>
      </w:pPr>
      <w:r w:rsidRPr="002F393F">
        <w:rPr>
          <w:rFonts w:asciiTheme="minorHAnsi" w:hAnsiTheme="minorHAnsi"/>
          <w:sz w:val="24"/>
          <w:szCs w:val="24"/>
        </w:rPr>
        <w:t>The mission of the Agency for Healthcare Research and Quality (AHRQ) set out in its authorizing legislation, The Healthcare Research and Quality Act of 1999, is to enhance the quality, appropriateness, and effectiveness of health services, and access to such services, through the establishment of a broad base of scientific research and through the promotion of improvements in clinical and health systems practices, including the prevention of diseases and other health conditions. AHRQ shall promote health care quality improvement by conducting and supporting:</w:t>
      </w:r>
    </w:p>
    <w:p w14:paraId="39EE9A96" w14:textId="77777777" w:rsidR="001D16FA" w:rsidRPr="002F393F" w:rsidRDefault="001D16FA" w:rsidP="001D16FA">
      <w:pPr>
        <w:rPr>
          <w:rFonts w:asciiTheme="minorHAnsi" w:hAnsiTheme="minorHAnsi"/>
          <w:sz w:val="24"/>
          <w:szCs w:val="24"/>
        </w:rPr>
      </w:pPr>
      <w:r w:rsidRPr="002F393F">
        <w:rPr>
          <w:rFonts w:asciiTheme="minorHAnsi" w:hAnsiTheme="minorHAnsi"/>
          <w:sz w:val="24"/>
          <w:szCs w:val="24"/>
        </w:rPr>
        <w:tab/>
      </w:r>
    </w:p>
    <w:p w14:paraId="11AD51F3" w14:textId="77777777" w:rsidR="001D16FA" w:rsidRPr="002F393F" w:rsidRDefault="001D16FA" w:rsidP="001D16FA">
      <w:pPr>
        <w:rPr>
          <w:rFonts w:asciiTheme="minorHAnsi" w:hAnsiTheme="minorHAnsi"/>
          <w:sz w:val="24"/>
          <w:szCs w:val="24"/>
        </w:rPr>
      </w:pPr>
      <w:r w:rsidRPr="002F393F">
        <w:rPr>
          <w:rFonts w:asciiTheme="minorHAnsi" w:hAnsiTheme="minorHAnsi"/>
          <w:sz w:val="24"/>
          <w:szCs w:val="24"/>
        </w:rPr>
        <w:t>1.</w:t>
      </w:r>
      <w:r w:rsidRPr="002F393F">
        <w:rPr>
          <w:rFonts w:asciiTheme="minorHAnsi" w:hAnsiTheme="minorHAnsi"/>
          <w:sz w:val="24"/>
          <w:szCs w:val="24"/>
        </w:rPr>
        <w:tab/>
      </w:r>
      <w:r w:rsidR="00262CC2" w:rsidRPr="002F393F">
        <w:rPr>
          <w:rFonts w:asciiTheme="minorHAnsi" w:hAnsiTheme="minorHAnsi"/>
          <w:sz w:val="24"/>
          <w:szCs w:val="24"/>
        </w:rPr>
        <w:t>Research</w:t>
      </w:r>
      <w:r w:rsidRPr="002F393F">
        <w:rPr>
          <w:rFonts w:asciiTheme="minorHAnsi" w:hAnsiTheme="minorHAnsi"/>
          <w:sz w:val="24"/>
          <w:szCs w:val="24"/>
        </w:rPr>
        <w:t xml:space="preserve"> that develops and presents scientific evidence regarding all aspects of </w:t>
      </w:r>
      <w:r w:rsidRPr="002F393F">
        <w:rPr>
          <w:rFonts w:asciiTheme="minorHAnsi" w:hAnsiTheme="minorHAnsi"/>
          <w:sz w:val="24"/>
          <w:szCs w:val="24"/>
        </w:rPr>
        <w:tab/>
      </w:r>
      <w:r w:rsidRPr="002F393F">
        <w:rPr>
          <w:rFonts w:asciiTheme="minorHAnsi" w:hAnsiTheme="minorHAnsi"/>
          <w:sz w:val="24"/>
          <w:szCs w:val="24"/>
        </w:rPr>
        <w:tab/>
        <w:t xml:space="preserve">health care; </w:t>
      </w:r>
    </w:p>
    <w:p w14:paraId="412D8881" w14:textId="77777777" w:rsidR="001D16FA" w:rsidRPr="002F393F" w:rsidRDefault="001D16FA" w:rsidP="001D16FA">
      <w:pPr>
        <w:rPr>
          <w:rFonts w:asciiTheme="minorHAnsi" w:hAnsiTheme="minorHAnsi"/>
          <w:sz w:val="24"/>
          <w:szCs w:val="24"/>
        </w:rPr>
      </w:pPr>
    </w:p>
    <w:p w14:paraId="0ADAA3AB" w14:textId="77777777" w:rsidR="001D16FA" w:rsidRPr="002F393F" w:rsidRDefault="001D16FA" w:rsidP="001D16FA">
      <w:pPr>
        <w:tabs>
          <w:tab w:val="left" w:pos="720"/>
        </w:tabs>
        <w:ind w:left="720" w:hanging="720"/>
        <w:rPr>
          <w:rFonts w:asciiTheme="minorHAnsi" w:hAnsiTheme="minorHAnsi"/>
          <w:sz w:val="24"/>
          <w:szCs w:val="24"/>
        </w:rPr>
      </w:pPr>
      <w:r w:rsidRPr="002F393F">
        <w:rPr>
          <w:rFonts w:asciiTheme="minorHAnsi" w:hAnsiTheme="minorHAnsi"/>
          <w:sz w:val="24"/>
          <w:szCs w:val="24"/>
        </w:rPr>
        <w:t>2.</w:t>
      </w:r>
      <w:r w:rsidRPr="002F393F">
        <w:rPr>
          <w:rFonts w:asciiTheme="minorHAnsi" w:hAnsiTheme="minorHAnsi"/>
          <w:sz w:val="24"/>
          <w:szCs w:val="24"/>
        </w:rPr>
        <w:tab/>
      </w:r>
      <w:r w:rsidR="00262CC2" w:rsidRPr="002F393F">
        <w:rPr>
          <w:rFonts w:asciiTheme="minorHAnsi" w:hAnsiTheme="minorHAnsi"/>
          <w:sz w:val="24"/>
          <w:szCs w:val="24"/>
        </w:rPr>
        <w:t>The</w:t>
      </w:r>
      <w:r w:rsidRPr="002F393F">
        <w:rPr>
          <w:rFonts w:asciiTheme="minorHAnsi" w:hAnsiTheme="minorHAnsi"/>
          <w:sz w:val="24"/>
          <w:szCs w:val="24"/>
        </w:rPr>
        <w:t xml:space="preserve"> synthesis and dissemination of available scientific evidence for use by patients, consumers, practitioners, providers, purchasers, policy makers, and educators; and</w:t>
      </w:r>
      <w:r w:rsidR="00262CC2" w:rsidRPr="002F393F">
        <w:rPr>
          <w:rFonts w:asciiTheme="minorHAnsi" w:hAnsiTheme="minorHAnsi"/>
          <w:sz w:val="24"/>
          <w:szCs w:val="24"/>
        </w:rPr>
        <w:t>,</w:t>
      </w:r>
    </w:p>
    <w:p w14:paraId="00C592B1" w14:textId="77777777" w:rsidR="001D16FA" w:rsidRPr="002F393F" w:rsidRDefault="001D16FA" w:rsidP="001D16FA">
      <w:pPr>
        <w:rPr>
          <w:rFonts w:asciiTheme="minorHAnsi" w:hAnsiTheme="minorHAnsi"/>
          <w:sz w:val="24"/>
          <w:szCs w:val="24"/>
        </w:rPr>
      </w:pPr>
    </w:p>
    <w:p w14:paraId="3699534A" w14:textId="77777777" w:rsidR="001D16FA" w:rsidRPr="002F393F" w:rsidRDefault="001D16FA" w:rsidP="001D16FA">
      <w:pPr>
        <w:rPr>
          <w:rFonts w:asciiTheme="minorHAnsi" w:hAnsiTheme="minorHAnsi"/>
          <w:sz w:val="24"/>
          <w:szCs w:val="24"/>
        </w:rPr>
      </w:pPr>
      <w:r w:rsidRPr="002F393F">
        <w:rPr>
          <w:rFonts w:asciiTheme="minorHAnsi" w:hAnsiTheme="minorHAnsi"/>
          <w:sz w:val="24"/>
          <w:szCs w:val="24"/>
        </w:rPr>
        <w:t>3.</w:t>
      </w:r>
      <w:r w:rsidRPr="002F393F">
        <w:rPr>
          <w:rFonts w:asciiTheme="minorHAnsi" w:hAnsiTheme="minorHAnsi"/>
          <w:sz w:val="24"/>
          <w:szCs w:val="24"/>
        </w:rPr>
        <w:tab/>
      </w:r>
      <w:r w:rsidR="00262CC2" w:rsidRPr="002F393F">
        <w:rPr>
          <w:rFonts w:asciiTheme="minorHAnsi" w:hAnsiTheme="minorHAnsi"/>
          <w:sz w:val="24"/>
          <w:szCs w:val="24"/>
        </w:rPr>
        <w:t>Initiatives</w:t>
      </w:r>
      <w:r w:rsidRPr="002F393F">
        <w:rPr>
          <w:rFonts w:asciiTheme="minorHAnsi" w:hAnsiTheme="minorHAnsi"/>
          <w:sz w:val="24"/>
          <w:szCs w:val="24"/>
        </w:rPr>
        <w:t xml:space="preserve"> to advance private and public efforts to improve health care quality.</w:t>
      </w:r>
    </w:p>
    <w:p w14:paraId="331D0032" w14:textId="77777777" w:rsidR="001D16FA" w:rsidRPr="002F393F" w:rsidRDefault="001D16FA" w:rsidP="001D16FA">
      <w:pPr>
        <w:rPr>
          <w:rFonts w:asciiTheme="minorHAnsi" w:hAnsiTheme="minorHAnsi"/>
          <w:sz w:val="24"/>
          <w:szCs w:val="24"/>
        </w:rPr>
      </w:pPr>
    </w:p>
    <w:p w14:paraId="2AFB788B" w14:textId="77777777" w:rsidR="00054B69" w:rsidRDefault="00054B69" w:rsidP="00054B69">
      <w:pPr>
        <w:rPr>
          <w:rFonts w:asciiTheme="minorHAnsi" w:eastAsia="Calibri" w:hAnsiTheme="minorHAnsi"/>
          <w:sz w:val="24"/>
          <w:szCs w:val="24"/>
        </w:rPr>
      </w:pPr>
      <w:r w:rsidRPr="00947601">
        <w:rPr>
          <w:rFonts w:asciiTheme="minorHAnsi" w:eastAsia="Calibri" w:hAnsiTheme="minorHAnsi"/>
          <w:sz w:val="24"/>
          <w:szCs w:val="24"/>
        </w:rPr>
        <w:t>Also, AHRQ shall conduct and support research and evaluations, and support demonstration projects, with respect to (A) the delivery of health care in inner-city areas, and in rural areas (including frontier areas); and (B) health care for priority populations, which shall include (1) low-income groups, (2) minority groups, (3) women, (4) children, (5) the elderly, and (6) individuals with special health care needs, including individuals with disabilities and individuals who need chronic care or end-of-life health care.</w:t>
      </w:r>
    </w:p>
    <w:p w14:paraId="25DD86A2" w14:textId="77777777" w:rsidR="00054B69" w:rsidRDefault="00054B69" w:rsidP="00F24A5C">
      <w:pPr>
        <w:rPr>
          <w:rFonts w:asciiTheme="minorHAnsi" w:eastAsia="Calibri" w:hAnsiTheme="minorHAnsi"/>
          <w:sz w:val="24"/>
          <w:szCs w:val="24"/>
        </w:rPr>
      </w:pPr>
    </w:p>
    <w:p w14:paraId="3528476D" w14:textId="66ACAE10" w:rsidR="00054B69" w:rsidRPr="002F393F" w:rsidRDefault="00F24A5C" w:rsidP="00054B69">
      <w:pPr>
        <w:rPr>
          <w:rFonts w:asciiTheme="minorHAnsi" w:eastAsia="Calibri" w:hAnsiTheme="minorHAnsi"/>
          <w:sz w:val="24"/>
          <w:szCs w:val="24"/>
        </w:rPr>
      </w:pPr>
      <w:r w:rsidRPr="002F393F">
        <w:rPr>
          <w:rFonts w:asciiTheme="minorHAnsi" w:eastAsia="Calibri" w:hAnsiTheme="minorHAnsi"/>
          <w:sz w:val="24"/>
          <w:szCs w:val="24"/>
        </w:rPr>
        <w:t xml:space="preserve">This two year project is an important first step to fully understanding measurement for performance improvement in </w:t>
      </w:r>
      <w:r w:rsidR="00FB5853">
        <w:rPr>
          <w:rFonts w:asciiTheme="minorHAnsi" w:eastAsia="Calibri" w:hAnsiTheme="minorHAnsi"/>
          <w:sz w:val="24"/>
          <w:szCs w:val="24"/>
        </w:rPr>
        <w:t>medical group</w:t>
      </w:r>
      <w:r w:rsidRPr="002F393F">
        <w:rPr>
          <w:rFonts w:asciiTheme="minorHAnsi" w:eastAsia="Calibri" w:hAnsiTheme="minorHAnsi"/>
          <w:sz w:val="24"/>
          <w:szCs w:val="24"/>
        </w:rPr>
        <w:t xml:space="preserve">s. This exploratory research is expected to set the stage for informing future research and policy discussions, both of which could ultimately have </w:t>
      </w:r>
      <w:r w:rsidR="00CF0427">
        <w:rPr>
          <w:rFonts w:asciiTheme="minorHAnsi" w:eastAsia="Calibri" w:hAnsiTheme="minorHAnsi"/>
          <w:sz w:val="24"/>
          <w:szCs w:val="24"/>
        </w:rPr>
        <w:t xml:space="preserve">a </w:t>
      </w:r>
      <w:r w:rsidRPr="002F393F">
        <w:rPr>
          <w:rFonts w:asciiTheme="minorHAnsi" w:eastAsia="Calibri" w:hAnsiTheme="minorHAnsi"/>
          <w:sz w:val="24"/>
          <w:szCs w:val="24"/>
        </w:rPr>
        <w:t xml:space="preserve">more direct impact on providers, payers, and patients. As a critical first step, however, </w:t>
      </w:r>
      <w:r w:rsidR="00054B69" w:rsidRPr="002F393F">
        <w:rPr>
          <w:rFonts w:asciiTheme="minorHAnsi" w:eastAsia="Calibri" w:hAnsiTheme="minorHAnsi"/>
          <w:sz w:val="24"/>
          <w:szCs w:val="24"/>
        </w:rPr>
        <w:t>this research breaks new ground in an important area of health care research</w:t>
      </w:r>
      <w:r w:rsidR="00CF0427">
        <w:rPr>
          <w:rFonts w:asciiTheme="minorHAnsi" w:eastAsia="Calibri" w:hAnsiTheme="minorHAnsi"/>
          <w:sz w:val="24"/>
          <w:szCs w:val="24"/>
        </w:rPr>
        <w:t xml:space="preserve"> by looking at what the current landscape is</w:t>
      </w:r>
      <w:r w:rsidR="00CF1996">
        <w:rPr>
          <w:rFonts w:asciiTheme="minorHAnsi" w:eastAsia="Calibri" w:hAnsiTheme="minorHAnsi"/>
          <w:sz w:val="24"/>
          <w:szCs w:val="24"/>
        </w:rPr>
        <w:t xml:space="preserve"> to better understand</w:t>
      </w:r>
      <w:r w:rsidR="00CF0427">
        <w:rPr>
          <w:rFonts w:asciiTheme="minorHAnsi" w:eastAsia="Calibri" w:hAnsiTheme="minorHAnsi"/>
          <w:sz w:val="24"/>
          <w:szCs w:val="24"/>
        </w:rPr>
        <w:t xml:space="preserve"> how </w:t>
      </w:r>
      <w:r w:rsidR="00FB5853">
        <w:rPr>
          <w:rFonts w:asciiTheme="minorHAnsi" w:eastAsia="Calibri" w:hAnsiTheme="minorHAnsi"/>
          <w:sz w:val="24"/>
          <w:szCs w:val="24"/>
        </w:rPr>
        <w:t>medical group</w:t>
      </w:r>
      <w:r w:rsidR="00CF0427">
        <w:rPr>
          <w:rFonts w:asciiTheme="minorHAnsi" w:eastAsia="Calibri" w:hAnsiTheme="minorHAnsi"/>
          <w:sz w:val="24"/>
          <w:szCs w:val="24"/>
        </w:rPr>
        <w:t>s are using measurement internally</w:t>
      </w:r>
      <w:r w:rsidR="00CF1996">
        <w:rPr>
          <w:rFonts w:asciiTheme="minorHAnsi" w:eastAsia="Calibri" w:hAnsiTheme="minorHAnsi"/>
          <w:sz w:val="24"/>
          <w:szCs w:val="24"/>
        </w:rPr>
        <w:t xml:space="preserve"> to improve performance and what that means to them</w:t>
      </w:r>
      <w:r w:rsidR="00CF0427">
        <w:rPr>
          <w:rFonts w:asciiTheme="minorHAnsi" w:eastAsia="Calibri" w:hAnsiTheme="minorHAnsi"/>
          <w:sz w:val="24"/>
          <w:szCs w:val="24"/>
        </w:rPr>
        <w:t xml:space="preserve">, </w:t>
      </w:r>
      <w:r w:rsidR="00CF1996">
        <w:rPr>
          <w:rFonts w:asciiTheme="minorHAnsi" w:eastAsia="Calibri" w:hAnsiTheme="minorHAnsi"/>
          <w:sz w:val="24"/>
          <w:szCs w:val="24"/>
        </w:rPr>
        <w:t xml:space="preserve">and </w:t>
      </w:r>
      <w:r w:rsidR="00CF0427">
        <w:rPr>
          <w:rFonts w:asciiTheme="minorHAnsi" w:eastAsia="Calibri" w:hAnsiTheme="minorHAnsi"/>
          <w:sz w:val="24"/>
          <w:szCs w:val="24"/>
        </w:rPr>
        <w:t>how internal measurement relates to external measurement obligations, and identifying where the gaps are</w:t>
      </w:r>
      <w:r w:rsidR="00054B69" w:rsidRPr="002F393F">
        <w:rPr>
          <w:rFonts w:asciiTheme="minorHAnsi" w:eastAsia="Calibri" w:hAnsiTheme="minorHAnsi"/>
          <w:sz w:val="24"/>
          <w:szCs w:val="24"/>
        </w:rPr>
        <w:t xml:space="preserve">. </w:t>
      </w:r>
    </w:p>
    <w:p w14:paraId="0190ACAD" w14:textId="77777777" w:rsidR="00F24A5C" w:rsidRPr="002F393F" w:rsidRDefault="00F24A5C" w:rsidP="00F24A5C">
      <w:pPr>
        <w:rPr>
          <w:rFonts w:asciiTheme="minorHAnsi" w:eastAsia="Calibri" w:hAnsiTheme="minorHAnsi"/>
          <w:sz w:val="24"/>
          <w:szCs w:val="24"/>
        </w:rPr>
      </w:pPr>
    </w:p>
    <w:p w14:paraId="3A607AC6" w14:textId="5B6DEED3" w:rsidR="00054B69" w:rsidRPr="00054B69" w:rsidRDefault="00F24A5C" w:rsidP="00054B69">
      <w:pPr>
        <w:rPr>
          <w:rFonts w:asciiTheme="minorHAnsi" w:eastAsia="Calibri" w:hAnsiTheme="minorHAnsi"/>
          <w:sz w:val="24"/>
          <w:szCs w:val="24"/>
        </w:rPr>
      </w:pPr>
      <w:r w:rsidRPr="002F393F">
        <w:rPr>
          <w:rFonts w:asciiTheme="minorHAnsi" w:eastAsia="Calibri" w:hAnsiTheme="minorHAnsi"/>
          <w:sz w:val="24"/>
          <w:szCs w:val="24"/>
        </w:rPr>
        <w:t xml:space="preserve">Project success for this exploratory work will be seen in a more complete understanding of the current landscape of performance measurement, gleaned through an environmental scan, expert input, and qualitative data collection. </w:t>
      </w:r>
      <w:r w:rsidR="00054B69" w:rsidRPr="00054B69">
        <w:rPr>
          <w:rFonts w:asciiTheme="minorHAnsi" w:eastAsia="Calibri" w:hAnsiTheme="minorHAnsi"/>
          <w:sz w:val="24"/>
          <w:szCs w:val="24"/>
        </w:rPr>
        <w:t xml:space="preserve">Ultimately, success will be measured by our ability to answer the research questions stated </w:t>
      </w:r>
      <w:r w:rsidR="00D40A87">
        <w:rPr>
          <w:rFonts w:asciiTheme="minorHAnsi" w:eastAsia="Calibri" w:hAnsiTheme="minorHAnsi"/>
          <w:sz w:val="24"/>
          <w:szCs w:val="24"/>
        </w:rPr>
        <w:t>below</w:t>
      </w:r>
      <w:r w:rsidR="00054B69" w:rsidRPr="00054B69">
        <w:rPr>
          <w:rFonts w:asciiTheme="minorHAnsi" w:eastAsia="Calibri" w:hAnsiTheme="minorHAnsi"/>
          <w:sz w:val="24"/>
          <w:szCs w:val="24"/>
        </w:rPr>
        <w:t xml:space="preserve"> that are guiding this research project.</w:t>
      </w:r>
    </w:p>
    <w:p w14:paraId="263D23D1" w14:textId="3D6BB2BE" w:rsidR="00F24A5C" w:rsidRPr="002F393F" w:rsidRDefault="00F24A5C" w:rsidP="00F24A5C">
      <w:pPr>
        <w:rPr>
          <w:rFonts w:asciiTheme="minorHAnsi" w:eastAsia="Calibri" w:hAnsiTheme="minorHAnsi"/>
          <w:sz w:val="24"/>
          <w:szCs w:val="24"/>
        </w:rPr>
      </w:pPr>
    </w:p>
    <w:p w14:paraId="1293E0E5" w14:textId="77777777" w:rsidR="00F24A5C" w:rsidRPr="002F393F" w:rsidRDefault="00F24A5C" w:rsidP="00F416B5">
      <w:pPr>
        <w:rPr>
          <w:rFonts w:asciiTheme="minorHAnsi" w:eastAsia="Calibri" w:hAnsiTheme="minorHAnsi"/>
          <w:sz w:val="24"/>
          <w:szCs w:val="24"/>
        </w:rPr>
      </w:pPr>
    </w:p>
    <w:p w14:paraId="4E27799C" w14:textId="36B80332" w:rsidR="00F416B5" w:rsidRDefault="00F416B5" w:rsidP="00F416B5">
      <w:pPr>
        <w:rPr>
          <w:rFonts w:asciiTheme="minorHAnsi" w:eastAsia="Calibri" w:hAnsiTheme="minorHAnsi"/>
          <w:sz w:val="24"/>
          <w:szCs w:val="24"/>
        </w:rPr>
      </w:pPr>
      <w:r w:rsidRPr="002F393F">
        <w:rPr>
          <w:rFonts w:asciiTheme="minorHAnsi" w:eastAsia="Calibri" w:hAnsiTheme="minorHAnsi"/>
          <w:sz w:val="24"/>
          <w:szCs w:val="24"/>
        </w:rPr>
        <w:t xml:space="preserve">The overall goal of AHRQ’s Measurement for Performance Improvement in Physician Practices project is to identify the current gaps in our knowledge about how practices are using data, if at all, for performance improvement. AHRQ has developed this </w:t>
      </w:r>
      <w:r w:rsidR="00FB5853">
        <w:rPr>
          <w:rFonts w:asciiTheme="minorHAnsi" w:eastAsia="Calibri" w:hAnsiTheme="minorHAnsi"/>
          <w:sz w:val="24"/>
          <w:szCs w:val="24"/>
        </w:rPr>
        <w:t>project</w:t>
      </w:r>
      <w:r w:rsidRPr="002F393F">
        <w:rPr>
          <w:rFonts w:asciiTheme="minorHAnsi" w:eastAsia="Calibri" w:hAnsiTheme="minorHAnsi"/>
          <w:sz w:val="24"/>
          <w:szCs w:val="24"/>
        </w:rPr>
        <w:t xml:space="preserve"> to address the lack of current evidence on internal performance measurement in </w:t>
      </w:r>
      <w:r w:rsidR="00FB5853">
        <w:rPr>
          <w:rFonts w:asciiTheme="minorHAnsi" w:eastAsia="Calibri" w:hAnsiTheme="minorHAnsi"/>
          <w:sz w:val="24"/>
          <w:szCs w:val="24"/>
        </w:rPr>
        <w:t>medical group</w:t>
      </w:r>
      <w:r w:rsidRPr="002F393F">
        <w:rPr>
          <w:rFonts w:asciiTheme="minorHAnsi" w:eastAsia="Calibri" w:hAnsiTheme="minorHAnsi"/>
          <w:sz w:val="24"/>
          <w:szCs w:val="24"/>
        </w:rPr>
        <w:t xml:space="preserve">s, identifying the following </w:t>
      </w:r>
      <w:r w:rsidR="008E5649" w:rsidRPr="004909C0">
        <w:rPr>
          <w:rFonts w:asciiTheme="minorHAnsi" w:eastAsia="Calibri" w:hAnsiTheme="minorHAnsi"/>
          <w:sz w:val="24"/>
          <w:szCs w:val="24"/>
        </w:rPr>
        <w:t xml:space="preserve">project objectives and their </w:t>
      </w:r>
      <w:r w:rsidR="008E5649">
        <w:rPr>
          <w:rFonts w:asciiTheme="minorHAnsi" w:eastAsia="Calibri" w:hAnsiTheme="minorHAnsi"/>
          <w:sz w:val="24"/>
          <w:szCs w:val="24"/>
        </w:rPr>
        <w:t>corresponding research questions</w:t>
      </w:r>
      <w:r w:rsidRPr="002F393F">
        <w:rPr>
          <w:rFonts w:asciiTheme="minorHAnsi" w:eastAsia="Calibri" w:hAnsiTheme="minorHAnsi"/>
          <w:sz w:val="24"/>
          <w:szCs w:val="24"/>
        </w:rPr>
        <w:t xml:space="preserve">: </w:t>
      </w:r>
    </w:p>
    <w:p w14:paraId="58633E27" w14:textId="77777777" w:rsidR="008E5649" w:rsidRDefault="008E5649" w:rsidP="00F416B5">
      <w:pPr>
        <w:rPr>
          <w:rFonts w:asciiTheme="minorHAnsi" w:eastAsia="Calibri" w:hAnsiTheme="minorHAnsi"/>
          <w:sz w:val="24"/>
          <w:szCs w:val="24"/>
        </w:rPr>
      </w:pPr>
    </w:p>
    <w:p w14:paraId="7B542D6E" w14:textId="5262F95F" w:rsidR="008E5649" w:rsidRPr="009F4298" w:rsidRDefault="008E5649" w:rsidP="008E5649">
      <w:pPr>
        <w:spacing w:after="200" w:line="276" w:lineRule="auto"/>
        <w:rPr>
          <w:rFonts w:asciiTheme="minorHAnsi" w:eastAsia="Calibri" w:hAnsiTheme="minorHAnsi"/>
          <w:i/>
          <w:sz w:val="24"/>
          <w:szCs w:val="24"/>
        </w:rPr>
      </w:pPr>
      <w:r w:rsidRPr="002F393F">
        <w:rPr>
          <w:rFonts w:asciiTheme="minorHAnsi" w:eastAsia="Calibri" w:hAnsiTheme="minorHAnsi"/>
          <w:b/>
          <w:sz w:val="24"/>
          <w:szCs w:val="24"/>
          <w:u w:val="single"/>
        </w:rPr>
        <w:t>Specific Project Objectives</w:t>
      </w:r>
    </w:p>
    <w:p w14:paraId="675FC4FA" w14:textId="77777777" w:rsidR="008E5649" w:rsidRDefault="008E5649" w:rsidP="008E5649"/>
    <w:p w14:paraId="601499F0" w14:textId="77777777" w:rsidR="008E5649" w:rsidRDefault="008E5649" w:rsidP="008E5649">
      <w:pPr>
        <w:pStyle w:val="ListParagraph"/>
        <w:numPr>
          <w:ilvl w:val="0"/>
          <w:numId w:val="16"/>
        </w:numPr>
        <w:spacing w:after="200" w:line="276" w:lineRule="auto"/>
        <w:rPr>
          <w:rFonts w:asciiTheme="minorHAnsi" w:eastAsia="Calibri" w:hAnsiTheme="minorHAnsi"/>
          <w:sz w:val="24"/>
          <w:szCs w:val="24"/>
        </w:rPr>
      </w:pPr>
      <w:r w:rsidRPr="004B40DC">
        <w:rPr>
          <w:rFonts w:asciiTheme="minorHAnsi" w:eastAsia="Calibri" w:hAnsiTheme="minorHAnsi"/>
          <w:sz w:val="24"/>
          <w:szCs w:val="24"/>
        </w:rPr>
        <w:t>Identify gaps in the research literature regarding management for performance improvement in medical groups.</w:t>
      </w:r>
    </w:p>
    <w:p w14:paraId="11627457" w14:textId="77777777" w:rsidR="008E5649" w:rsidRDefault="008E5649" w:rsidP="008E5649">
      <w:pPr>
        <w:numPr>
          <w:ilvl w:val="1"/>
          <w:numId w:val="16"/>
        </w:numPr>
        <w:spacing w:after="200" w:line="276" w:lineRule="auto"/>
        <w:rPr>
          <w:rFonts w:asciiTheme="minorHAnsi" w:eastAsia="Calibri" w:hAnsiTheme="minorHAnsi"/>
          <w:sz w:val="24"/>
          <w:szCs w:val="24"/>
        </w:rPr>
      </w:pPr>
      <w:r w:rsidRPr="002F393F">
        <w:rPr>
          <w:rFonts w:asciiTheme="minorHAnsi" w:eastAsia="Calibri" w:hAnsiTheme="minorHAnsi"/>
          <w:sz w:val="24"/>
          <w:szCs w:val="24"/>
        </w:rPr>
        <w:t xml:space="preserve">What gaps exist in the research literature regarding management for performance improvement in </w:t>
      </w:r>
      <w:r>
        <w:rPr>
          <w:rFonts w:asciiTheme="minorHAnsi" w:eastAsia="Calibri" w:hAnsiTheme="minorHAnsi"/>
          <w:sz w:val="24"/>
          <w:szCs w:val="24"/>
        </w:rPr>
        <w:t>medical group</w:t>
      </w:r>
      <w:r w:rsidRPr="002F393F">
        <w:rPr>
          <w:rFonts w:asciiTheme="minorHAnsi" w:eastAsia="Calibri" w:hAnsiTheme="minorHAnsi"/>
          <w:sz w:val="24"/>
          <w:szCs w:val="24"/>
        </w:rPr>
        <w:t>s?</w:t>
      </w:r>
    </w:p>
    <w:p w14:paraId="0915F384" w14:textId="77777777" w:rsidR="008E5649" w:rsidRDefault="008E5649" w:rsidP="008E5649">
      <w:pPr>
        <w:pStyle w:val="ListParagraph"/>
        <w:numPr>
          <w:ilvl w:val="0"/>
          <w:numId w:val="16"/>
        </w:numPr>
        <w:spacing w:after="200" w:line="276" w:lineRule="auto"/>
        <w:rPr>
          <w:rFonts w:asciiTheme="minorHAnsi" w:eastAsia="Calibri" w:hAnsiTheme="minorHAnsi"/>
          <w:sz w:val="24"/>
          <w:szCs w:val="24"/>
        </w:rPr>
      </w:pPr>
      <w:r w:rsidRPr="004B40DC">
        <w:rPr>
          <w:rFonts w:asciiTheme="minorHAnsi" w:eastAsia="Calibri" w:hAnsiTheme="minorHAnsi"/>
          <w:sz w:val="24"/>
          <w:szCs w:val="24"/>
        </w:rPr>
        <w:t>Identify specific measures/metrics, benchmarks, and comparisons used internally by medical groups to assess performance and support improvement activities, as well as how these measures are derived and reported.</w:t>
      </w:r>
    </w:p>
    <w:p w14:paraId="2A2BD47D" w14:textId="77777777" w:rsidR="008E5649" w:rsidRPr="002F393F" w:rsidRDefault="008E5649" w:rsidP="008E5649">
      <w:pPr>
        <w:numPr>
          <w:ilvl w:val="1"/>
          <w:numId w:val="16"/>
        </w:numPr>
        <w:spacing w:after="200" w:line="276" w:lineRule="auto"/>
        <w:rPr>
          <w:rFonts w:asciiTheme="minorHAnsi" w:eastAsia="Calibri" w:hAnsiTheme="minorHAnsi"/>
          <w:sz w:val="24"/>
          <w:szCs w:val="24"/>
        </w:rPr>
      </w:pPr>
      <w:r w:rsidRPr="002F393F">
        <w:rPr>
          <w:rFonts w:asciiTheme="minorHAnsi" w:eastAsia="Calibri" w:hAnsiTheme="minorHAnsi"/>
          <w:sz w:val="24"/>
          <w:szCs w:val="24"/>
        </w:rPr>
        <w:t xml:space="preserve">How are internal </w:t>
      </w:r>
      <w:proofErr w:type="gramStart"/>
      <w:r w:rsidRPr="002F393F">
        <w:rPr>
          <w:rFonts w:asciiTheme="minorHAnsi" w:eastAsia="Calibri" w:hAnsiTheme="minorHAnsi"/>
          <w:sz w:val="24"/>
          <w:szCs w:val="24"/>
        </w:rPr>
        <w:t>performance</w:t>
      </w:r>
      <w:proofErr w:type="gramEnd"/>
      <w:r w:rsidRPr="002F393F">
        <w:rPr>
          <w:rFonts w:asciiTheme="minorHAnsi" w:eastAsia="Calibri" w:hAnsiTheme="minorHAnsi"/>
          <w:sz w:val="24"/>
          <w:szCs w:val="24"/>
        </w:rPr>
        <w:t xml:space="preserve"> measures derived and reported? What specific measures, benchmarks, and comparisons are used? </w:t>
      </w:r>
    </w:p>
    <w:p w14:paraId="6E838876" w14:textId="77777777" w:rsidR="008E5649" w:rsidRDefault="008E5649" w:rsidP="008E5649">
      <w:pPr>
        <w:pStyle w:val="ListParagraph"/>
        <w:numPr>
          <w:ilvl w:val="0"/>
          <w:numId w:val="16"/>
        </w:numPr>
        <w:rPr>
          <w:rFonts w:asciiTheme="minorHAnsi" w:eastAsia="Calibri" w:hAnsiTheme="minorHAnsi"/>
          <w:sz w:val="24"/>
          <w:szCs w:val="24"/>
        </w:rPr>
      </w:pPr>
      <w:r w:rsidRPr="004B40DC">
        <w:rPr>
          <w:rFonts w:asciiTheme="minorHAnsi" w:eastAsia="Calibri" w:hAnsiTheme="minorHAnsi"/>
          <w:sz w:val="24"/>
          <w:szCs w:val="24"/>
        </w:rPr>
        <w:t xml:space="preserve">Describe how internal measurement activities/measures are used in medical groups to support improvement in individual, team, or organizational performance including, but not limited to, how these activities are tied to “internal” financial incentives. </w:t>
      </w:r>
    </w:p>
    <w:p w14:paraId="10250426" w14:textId="77777777" w:rsidR="008E5649" w:rsidRPr="004B40DC" w:rsidRDefault="008E5649" w:rsidP="008E5649">
      <w:pPr>
        <w:pStyle w:val="ListParagraph"/>
        <w:rPr>
          <w:rFonts w:asciiTheme="minorHAnsi" w:eastAsia="Calibri" w:hAnsiTheme="minorHAnsi"/>
          <w:sz w:val="24"/>
          <w:szCs w:val="24"/>
        </w:rPr>
      </w:pPr>
    </w:p>
    <w:p w14:paraId="47171AE4" w14:textId="77777777" w:rsidR="008E5649" w:rsidRDefault="008E5649" w:rsidP="008E5649">
      <w:pPr>
        <w:numPr>
          <w:ilvl w:val="1"/>
          <w:numId w:val="16"/>
        </w:numPr>
        <w:spacing w:after="200" w:line="276" w:lineRule="auto"/>
        <w:rPr>
          <w:rFonts w:asciiTheme="minorHAnsi" w:eastAsia="Calibri" w:hAnsiTheme="minorHAnsi"/>
          <w:sz w:val="24"/>
          <w:szCs w:val="24"/>
        </w:rPr>
      </w:pPr>
      <w:r w:rsidRPr="002F393F">
        <w:rPr>
          <w:rFonts w:asciiTheme="minorHAnsi" w:eastAsia="Calibri" w:hAnsiTheme="minorHAnsi"/>
          <w:sz w:val="24"/>
          <w:szCs w:val="24"/>
        </w:rPr>
        <w:t>How are measures used to support internal management and improvement processes?</w:t>
      </w:r>
    </w:p>
    <w:p w14:paraId="5C6F78C4" w14:textId="77777777" w:rsidR="008E5649" w:rsidRDefault="008E5649" w:rsidP="008E5649">
      <w:pPr>
        <w:numPr>
          <w:ilvl w:val="1"/>
          <w:numId w:val="16"/>
        </w:numPr>
        <w:spacing w:after="200" w:line="276" w:lineRule="auto"/>
        <w:rPr>
          <w:rFonts w:asciiTheme="minorHAnsi" w:eastAsia="Calibri" w:hAnsiTheme="minorHAnsi"/>
          <w:sz w:val="24"/>
          <w:szCs w:val="24"/>
        </w:rPr>
      </w:pPr>
      <w:r w:rsidRPr="002F393F">
        <w:rPr>
          <w:rFonts w:asciiTheme="minorHAnsi" w:eastAsia="Calibri" w:hAnsiTheme="minorHAnsi"/>
          <w:sz w:val="24"/>
          <w:szCs w:val="24"/>
        </w:rPr>
        <w:t xml:space="preserve">What factors, both internal and external, drive efforts to use measurement to improve </w:t>
      </w:r>
      <w:r>
        <w:rPr>
          <w:rFonts w:asciiTheme="minorHAnsi" w:eastAsia="Calibri" w:hAnsiTheme="minorHAnsi"/>
          <w:sz w:val="24"/>
          <w:szCs w:val="24"/>
        </w:rPr>
        <w:t>medical group</w:t>
      </w:r>
      <w:r w:rsidRPr="002F393F">
        <w:rPr>
          <w:rFonts w:asciiTheme="minorHAnsi" w:eastAsia="Calibri" w:hAnsiTheme="minorHAnsi"/>
          <w:sz w:val="24"/>
          <w:szCs w:val="24"/>
        </w:rPr>
        <w:t xml:space="preserve"> performance? </w:t>
      </w:r>
    </w:p>
    <w:p w14:paraId="3B78CC2C" w14:textId="77777777" w:rsidR="008E5649" w:rsidRPr="000B4E2A" w:rsidRDefault="008E5649" w:rsidP="008E5649">
      <w:pPr>
        <w:numPr>
          <w:ilvl w:val="1"/>
          <w:numId w:val="16"/>
        </w:numPr>
        <w:spacing w:after="200" w:line="276" w:lineRule="auto"/>
        <w:rPr>
          <w:rFonts w:asciiTheme="minorHAnsi" w:eastAsia="Calibri" w:hAnsiTheme="minorHAnsi"/>
          <w:sz w:val="24"/>
          <w:szCs w:val="24"/>
        </w:rPr>
      </w:pPr>
      <w:r w:rsidRPr="002F393F">
        <w:rPr>
          <w:rFonts w:asciiTheme="minorHAnsi" w:eastAsia="Calibri" w:hAnsiTheme="minorHAnsi"/>
          <w:sz w:val="24"/>
          <w:szCs w:val="24"/>
        </w:rPr>
        <w:t>What additional activities support use of internal performance measures?</w:t>
      </w:r>
    </w:p>
    <w:p w14:paraId="243D8D13" w14:textId="77777777" w:rsidR="008E5649" w:rsidRPr="009F4298" w:rsidRDefault="008E5649" w:rsidP="008E5649">
      <w:pPr>
        <w:pStyle w:val="ListParagraph"/>
        <w:numPr>
          <w:ilvl w:val="0"/>
          <w:numId w:val="16"/>
        </w:numPr>
        <w:spacing w:after="200" w:line="276" w:lineRule="auto"/>
        <w:rPr>
          <w:rFonts w:asciiTheme="minorHAnsi" w:eastAsia="Calibri" w:hAnsiTheme="minorHAnsi"/>
          <w:sz w:val="24"/>
          <w:szCs w:val="24"/>
        </w:rPr>
      </w:pPr>
      <w:r w:rsidRPr="004B40DC">
        <w:rPr>
          <w:rFonts w:asciiTheme="minorHAnsi" w:eastAsia="Calibri" w:hAnsiTheme="minorHAnsi"/>
          <w:sz w:val="24"/>
          <w:szCs w:val="24"/>
        </w:rPr>
        <w:t>Identify types of costs and other types of burdens (e.g. staff resources, IT resources, etc.), directly related to internal measurement and reporting activities. Assess the feasibility of capturing information on costs and burdens of internal and external performance measurement, and, if feasible, collect data on internal and external performance measurement’s actual costs and other associated burdens.</w:t>
      </w:r>
    </w:p>
    <w:p w14:paraId="6859EA9E" w14:textId="77777777" w:rsidR="008E5649" w:rsidRPr="002F393F" w:rsidRDefault="008E5649" w:rsidP="008E5649">
      <w:pPr>
        <w:numPr>
          <w:ilvl w:val="1"/>
          <w:numId w:val="16"/>
        </w:numPr>
        <w:spacing w:after="200" w:line="276" w:lineRule="auto"/>
        <w:rPr>
          <w:rFonts w:asciiTheme="minorHAnsi" w:eastAsia="Calibri" w:hAnsiTheme="minorHAnsi"/>
          <w:sz w:val="24"/>
          <w:szCs w:val="24"/>
        </w:rPr>
      </w:pPr>
      <w:r w:rsidRPr="002F393F">
        <w:rPr>
          <w:rFonts w:asciiTheme="minorHAnsi" w:eastAsia="Calibri" w:hAnsiTheme="minorHAnsi"/>
          <w:sz w:val="24"/>
          <w:szCs w:val="24"/>
        </w:rPr>
        <w:t>What are the perceived benefits of internal measurement activities? What types of costs and other burdens are directly associated with internal measurement? How feasible is it to specify actual costs of reporting?</w:t>
      </w:r>
    </w:p>
    <w:p w14:paraId="5C8A8BA2" w14:textId="77777777" w:rsidR="008E5649" w:rsidRPr="004B40DC" w:rsidRDefault="008E5649" w:rsidP="008E5649">
      <w:pPr>
        <w:pStyle w:val="ListParagraph"/>
        <w:numPr>
          <w:ilvl w:val="0"/>
          <w:numId w:val="16"/>
        </w:numPr>
        <w:spacing w:after="200" w:line="276" w:lineRule="auto"/>
        <w:rPr>
          <w:rFonts w:asciiTheme="minorHAnsi" w:eastAsia="Calibri" w:hAnsiTheme="minorHAnsi"/>
          <w:sz w:val="24"/>
          <w:szCs w:val="24"/>
        </w:rPr>
      </w:pPr>
      <w:r w:rsidRPr="004B40DC">
        <w:rPr>
          <w:rFonts w:asciiTheme="minorHAnsi" w:eastAsia="Calibri" w:hAnsiTheme="minorHAnsi"/>
          <w:sz w:val="24"/>
          <w:szCs w:val="24"/>
        </w:rPr>
        <w:t>Based on the findings, identify implications, potential impacts, and future research opportunities for payers, regulators, and medical groups regarding internal measurements for performance improvement.</w:t>
      </w:r>
    </w:p>
    <w:p w14:paraId="4A1BB6B1" w14:textId="77777777" w:rsidR="008E5649" w:rsidRPr="000B4E2A" w:rsidRDefault="008E5649" w:rsidP="008E5649">
      <w:pPr>
        <w:numPr>
          <w:ilvl w:val="1"/>
          <w:numId w:val="16"/>
        </w:numPr>
        <w:spacing w:after="200" w:line="276" w:lineRule="auto"/>
        <w:rPr>
          <w:rFonts w:asciiTheme="minorHAnsi" w:eastAsia="Calibri" w:hAnsiTheme="minorHAnsi"/>
          <w:i/>
          <w:sz w:val="24"/>
          <w:szCs w:val="24"/>
        </w:rPr>
      </w:pPr>
      <w:r w:rsidRPr="002F393F">
        <w:rPr>
          <w:rFonts w:asciiTheme="minorHAnsi" w:eastAsia="Calibri" w:hAnsiTheme="minorHAnsi"/>
          <w:sz w:val="24"/>
          <w:szCs w:val="24"/>
        </w:rPr>
        <w:t>What implications does evidence on internal measurement for performance improvement have for payers, policy makers, executives in delivery systems, and clinical leaders?</w:t>
      </w:r>
    </w:p>
    <w:p w14:paraId="6A0DCAAC" w14:textId="7467EFAF" w:rsidR="00454BC1" w:rsidRPr="000B4E2A" w:rsidRDefault="008E5649" w:rsidP="008E5649">
      <w:pPr>
        <w:numPr>
          <w:ilvl w:val="1"/>
          <w:numId w:val="16"/>
        </w:numPr>
        <w:spacing w:after="200" w:line="276" w:lineRule="auto"/>
        <w:rPr>
          <w:rFonts w:asciiTheme="minorHAnsi" w:eastAsia="Calibri" w:hAnsiTheme="minorHAnsi"/>
          <w:sz w:val="24"/>
          <w:szCs w:val="24"/>
        </w:rPr>
      </w:pPr>
      <w:r w:rsidRPr="002F393F">
        <w:rPr>
          <w:rFonts w:asciiTheme="minorHAnsi" w:eastAsia="Calibri" w:hAnsiTheme="minorHAnsi"/>
          <w:sz w:val="24"/>
          <w:szCs w:val="24"/>
        </w:rPr>
        <w:t>How have physicians responded to these measurement processes?</w:t>
      </w:r>
    </w:p>
    <w:p w14:paraId="725451DB" w14:textId="77777777" w:rsidR="008E5649" w:rsidRPr="002F393F" w:rsidRDefault="008E5649" w:rsidP="00F416B5">
      <w:pPr>
        <w:rPr>
          <w:rFonts w:asciiTheme="minorHAnsi" w:eastAsia="Calibri" w:hAnsiTheme="minorHAnsi"/>
          <w:sz w:val="24"/>
          <w:szCs w:val="24"/>
        </w:rPr>
      </w:pPr>
    </w:p>
    <w:p w14:paraId="1E42D65C" w14:textId="03AFE044" w:rsidR="00F416B5" w:rsidRPr="002F393F" w:rsidRDefault="00F416B5" w:rsidP="005F79ED">
      <w:pPr>
        <w:rPr>
          <w:rFonts w:asciiTheme="minorHAnsi" w:eastAsia="Calibri" w:hAnsiTheme="minorHAnsi"/>
          <w:sz w:val="24"/>
          <w:szCs w:val="24"/>
        </w:rPr>
      </w:pPr>
      <w:r w:rsidRPr="002F393F">
        <w:rPr>
          <w:rFonts w:asciiTheme="minorHAnsi" w:eastAsia="Calibri" w:hAnsiTheme="minorHAnsi"/>
          <w:sz w:val="24"/>
          <w:szCs w:val="24"/>
        </w:rPr>
        <w:t>Efforts to improve performance among health</w:t>
      </w:r>
      <w:r w:rsidR="00CE1236" w:rsidRPr="002F393F">
        <w:rPr>
          <w:rFonts w:asciiTheme="minorHAnsi" w:eastAsia="Calibri" w:hAnsiTheme="minorHAnsi"/>
          <w:sz w:val="24"/>
          <w:szCs w:val="24"/>
        </w:rPr>
        <w:t xml:space="preserve"> </w:t>
      </w:r>
      <w:r w:rsidRPr="002F393F">
        <w:rPr>
          <w:rFonts w:asciiTheme="minorHAnsi" w:eastAsia="Calibri" w:hAnsiTheme="minorHAnsi"/>
          <w:sz w:val="24"/>
          <w:szCs w:val="24"/>
        </w:rPr>
        <w:t xml:space="preserve">care </w:t>
      </w:r>
      <w:r w:rsidR="004C7C4D" w:rsidRPr="002F393F">
        <w:rPr>
          <w:rFonts w:asciiTheme="minorHAnsi" w:eastAsia="Calibri" w:hAnsiTheme="minorHAnsi"/>
          <w:sz w:val="24"/>
          <w:szCs w:val="24"/>
        </w:rPr>
        <w:t xml:space="preserve">providers </w:t>
      </w:r>
      <w:r w:rsidRPr="002F393F">
        <w:rPr>
          <w:rFonts w:asciiTheme="minorHAnsi" w:eastAsia="Calibri" w:hAnsiTheme="minorHAnsi"/>
          <w:sz w:val="24"/>
          <w:szCs w:val="24"/>
        </w:rPr>
        <w:t xml:space="preserve">through measurement and reporting have evolved over time and have taken many forms and many names.  For example, Triple Aim, Public Reporting, Performance Measurement, Quality Improvement, Pay for Performance </w:t>
      </w:r>
      <w:proofErr w:type="gramStart"/>
      <w:r w:rsidRPr="002F393F">
        <w:rPr>
          <w:rFonts w:asciiTheme="minorHAnsi" w:eastAsia="Calibri" w:hAnsiTheme="minorHAnsi"/>
          <w:sz w:val="24"/>
          <w:szCs w:val="24"/>
        </w:rPr>
        <w:t>are</w:t>
      </w:r>
      <w:proofErr w:type="gramEnd"/>
      <w:r w:rsidRPr="002F393F">
        <w:rPr>
          <w:rFonts w:asciiTheme="minorHAnsi" w:eastAsia="Calibri" w:hAnsiTheme="minorHAnsi"/>
          <w:sz w:val="24"/>
          <w:szCs w:val="24"/>
        </w:rPr>
        <w:t xml:space="preserve"> </w:t>
      </w:r>
      <w:r w:rsidR="004C7C4D" w:rsidRPr="002F393F">
        <w:rPr>
          <w:rFonts w:asciiTheme="minorHAnsi" w:eastAsia="Calibri" w:hAnsiTheme="minorHAnsi"/>
          <w:sz w:val="24"/>
          <w:szCs w:val="24"/>
        </w:rPr>
        <w:t xml:space="preserve">all </w:t>
      </w:r>
      <w:r w:rsidRPr="002F393F">
        <w:rPr>
          <w:rFonts w:asciiTheme="minorHAnsi" w:eastAsia="Calibri" w:hAnsiTheme="minorHAnsi"/>
          <w:sz w:val="24"/>
          <w:szCs w:val="24"/>
        </w:rPr>
        <w:t xml:space="preserve">common concepts today.  </w:t>
      </w:r>
    </w:p>
    <w:p w14:paraId="05265CD8" w14:textId="77777777" w:rsidR="00F416B5" w:rsidRPr="002F393F" w:rsidRDefault="00F416B5" w:rsidP="005F79ED">
      <w:pPr>
        <w:rPr>
          <w:rFonts w:asciiTheme="minorHAnsi" w:eastAsia="Calibri" w:hAnsiTheme="minorHAnsi"/>
          <w:sz w:val="24"/>
          <w:szCs w:val="24"/>
        </w:rPr>
      </w:pPr>
    </w:p>
    <w:p w14:paraId="2BC480A5" w14:textId="61F12705" w:rsidR="00F416B5" w:rsidRPr="002F393F" w:rsidRDefault="00B6295E" w:rsidP="005F79ED">
      <w:pPr>
        <w:rPr>
          <w:rFonts w:asciiTheme="minorHAnsi" w:eastAsia="Calibri" w:hAnsiTheme="minorHAnsi"/>
          <w:sz w:val="24"/>
          <w:szCs w:val="24"/>
        </w:rPr>
      </w:pPr>
      <w:r w:rsidRPr="00527462">
        <w:rPr>
          <w:rFonts w:asciiTheme="minorHAnsi" w:eastAsia="Calibri" w:hAnsiTheme="minorHAnsi"/>
          <w:sz w:val="24"/>
          <w:szCs w:val="24"/>
        </w:rPr>
        <w:t>Increasingly, physicians and other providers work in new types of complex arrangements with ownership structures and incentives that are not well understood (Casalino, 2014)</w:t>
      </w:r>
      <w:r w:rsidR="00BC3877" w:rsidRPr="00527462">
        <w:rPr>
          <w:rStyle w:val="FootnoteReference"/>
          <w:rFonts w:asciiTheme="minorHAnsi" w:eastAsia="Calibri" w:hAnsiTheme="minorHAnsi"/>
          <w:sz w:val="24"/>
          <w:szCs w:val="24"/>
        </w:rPr>
        <w:footnoteReference w:id="1"/>
      </w:r>
      <w:r w:rsidRPr="00527462">
        <w:rPr>
          <w:rFonts w:asciiTheme="minorHAnsi" w:eastAsia="Calibri" w:hAnsiTheme="minorHAnsi"/>
          <w:sz w:val="24"/>
          <w:szCs w:val="24"/>
        </w:rPr>
        <w:t xml:space="preserve">.  </w:t>
      </w:r>
      <w:r w:rsidR="0054317A">
        <w:rPr>
          <w:rFonts w:asciiTheme="minorHAnsi" w:eastAsia="Calibri" w:hAnsiTheme="minorHAnsi"/>
          <w:sz w:val="24"/>
          <w:szCs w:val="24"/>
        </w:rPr>
        <w:t>M</w:t>
      </w:r>
      <w:r w:rsidR="0054317A" w:rsidRPr="002F393F">
        <w:rPr>
          <w:rFonts w:asciiTheme="minorHAnsi" w:eastAsia="Calibri" w:hAnsiTheme="minorHAnsi"/>
          <w:sz w:val="24"/>
          <w:szCs w:val="24"/>
        </w:rPr>
        <w:t xml:space="preserve">ost health care providers, including </w:t>
      </w:r>
      <w:r w:rsidR="0054317A">
        <w:rPr>
          <w:rFonts w:asciiTheme="minorHAnsi" w:eastAsia="Calibri" w:hAnsiTheme="minorHAnsi"/>
          <w:sz w:val="24"/>
          <w:szCs w:val="24"/>
        </w:rPr>
        <w:t>medical group</w:t>
      </w:r>
      <w:r w:rsidR="0054317A" w:rsidRPr="002F393F">
        <w:rPr>
          <w:rFonts w:asciiTheme="minorHAnsi" w:eastAsia="Calibri" w:hAnsiTheme="minorHAnsi"/>
          <w:sz w:val="24"/>
          <w:szCs w:val="24"/>
        </w:rPr>
        <w:t>s, are monitoring their performance using a wide array of quality measures that reflect care processes, clinical outcomes, and patient experiences</w:t>
      </w:r>
      <w:r w:rsidR="0054317A">
        <w:rPr>
          <w:rFonts w:asciiTheme="minorHAnsi" w:eastAsia="Calibri" w:hAnsiTheme="minorHAnsi"/>
          <w:sz w:val="24"/>
          <w:szCs w:val="24"/>
        </w:rPr>
        <w:t>.</w:t>
      </w:r>
      <w:r w:rsidR="0054317A" w:rsidRPr="002F393F">
        <w:rPr>
          <w:rFonts w:asciiTheme="minorHAnsi" w:eastAsia="Calibri" w:hAnsiTheme="minorHAnsi"/>
          <w:sz w:val="24"/>
          <w:szCs w:val="24"/>
        </w:rPr>
        <w:t xml:space="preserve"> </w:t>
      </w:r>
      <w:r w:rsidRPr="00B6295E">
        <w:rPr>
          <w:rFonts w:asciiTheme="minorHAnsi" w:eastAsia="Calibri" w:hAnsiTheme="minorHAnsi"/>
          <w:sz w:val="24"/>
          <w:szCs w:val="24"/>
        </w:rPr>
        <w:t xml:space="preserve"> </w:t>
      </w:r>
      <w:r w:rsidR="00F416B5" w:rsidRPr="002F393F">
        <w:rPr>
          <w:rFonts w:asciiTheme="minorHAnsi" w:eastAsia="Calibri" w:hAnsiTheme="minorHAnsi"/>
          <w:sz w:val="24"/>
          <w:szCs w:val="24"/>
        </w:rPr>
        <w:t>Little is known</w:t>
      </w:r>
      <w:r w:rsidR="00CF0427">
        <w:rPr>
          <w:rFonts w:asciiTheme="minorHAnsi" w:eastAsia="Calibri" w:hAnsiTheme="minorHAnsi"/>
          <w:sz w:val="24"/>
          <w:szCs w:val="24"/>
        </w:rPr>
        <w:t>, however,</w:t>
      </w:r>
      <w:r w:rsidR="00F416B5" w:rsidRPr="002F393F">
        <w:rPr>
          <w:rFonts w:asciiTheme="minorHAnsi" w:eastAsia="Calibri" w:hAnsiTheme="minorHAnsi"/>
          <w:sz w:val="24"/>
          <w:szCs w:val="24"/>
        </w:rPr>
        <w:t xml:space="preserve"> about how providers </w:t>
      </w:r>
      <w:r w:rsidR="00ED1918">
        <w:rPr>
          <w:rFonts w:asciiTheme="minorHAnsi" w:eastAsia="Calibri" w:hAnsiTheme="minorHAnsi"/>
          <w:sz w:val="24"/>
          <w:szCs w:val="24"/>
        </w:rPr>
        <w:t xml:space="preserve">internally </w:t>
      </w:r>
      <w:r w:rsidR="00F416B5" w:rsidRPr="002F393F">
        <w:rPr>
          <w:rFonts w:asciiTheme="minorHAnsi" w:eastAsia="Calibri" w:hAnsiTheme="minorHAnsi"/>
          <w:sz w:val="24"/>
          <w:szCs w:val="24"/>
        </w:rPr>
        <w:t xml:space="preserve">make use of measures that are required by external bodies for payment or reporting. Nor </w:t>
      </w:r>
      <w:r w:rsidR="00CF0427">
        <w:rPr>
          <w:rFonts w:asciiTheme="minorHAnsi" w:eastAsia="Calibri" w:hAnsiTheme="minorHAnsi"/>
          <w:sz w:val="24"/>
          <w:szCs w:val="24"/>
        </w:rPr>
        <w:t>is it</w:t>
      </w:r>
      <w:r w:rsidR="00F416B5" w:rsidRPr="002F393F">
        <w:rPr>
          <w:rFonts w:asciiTheme="minorHAnsi" w:eastAsia="Calibri" w:hAnsiTheme="minorHAnsi"/>
          <w:sz w:val="24"/>
          <w:szCs w:val="24"/>
        </w:rPr>
        <w:t xml:space="preserve"> know</w:t>
      </w:r>
      <w:r w:rsidR="00CF0427">
        <w:rPr>
          <w:rFonts w:asciiTheme="minorHAnsi" w:eastAsia="Calibri" w:hAnsiTheme="minorHAnsi"/>
          <w:sz w:val="24"/>
          <w:szCs w:val="24"/>
        </w:rPr>
        <w:t>n</w:t>
      </w:r>
      <w:r w:rsidR="00F416B5" w:rsidRPr="002F393F">
        <w:rPr>
          <w:rFonts w:asciiTheme="minorHAnsi" w:eastAsia="Calibri" w:hAnsiTheme="minorHAnsi"/>
          <w:sz w:val="24"/>
          <w:szCs w:val="24"/>
        </w:rPr>
        <w:t xml:space="preserve"> what other measures providers collect and use to improve performance. </w:t>
      </w:r>
      <w:r w:rsidR="00283FB7" w:rsidRPr="00527462">
        <w:rPr>
          <w:rFonts w:asciiTheme="minorHAnsi" w:eastAsia="Calibri" w:hAnsiTheme="minorHAnsi"/>
          <w:sz w:val="24"/>
          <w:szCs w:val="24"/>
        </w:rPr>
        <w:t>Broadly, AHRQ seeks to improve the efficiency and value of U.S. health care by understanding how physicians in practice use measurement to improve outcomes and reduce costs.</w:t>
      </w:r>
      <w:r w:rsidR="00283FB7">
        <w:rPr>
          <w:rFonts w:asciiTheme="minorHAnsi" w:eastAsia="Calibri" w:hAnsiTheme="minorHAnsi"/>
          <w:sz w:val="24"/>
          <w:szCs w:val="24"/>
        </w:rPr>
        <w:t xml:space="preserve"> </w:t>
      </w:r>
      <w:r w:rsidR="00F416B5" w:rsidRPr="002F393F">
        <w:rPr>
          <w:rFonts w:asciiTheme="minorHAnsi" w:eastAsia="Calibri" w:hAnsiTheme="minorHAnsi"/>
          <w:sz w:val="24"/>
          <w:szCs w:val="24"/>
        </w:rPr>
        <w:t xml:space="preserve">This project aims to fill this knowledge gap. In doing so, it may also inform payment and reporting initiatives by providing indications of the degree to which providers view externally mandated measures as valuable for their internal quality assessment and reporting efforts. </w:t>
      </w:r>
    </w:p>
    <w:p w14:paraId="2C87F9EF" w14:textId="77777777" w:rsidR="00F416B5" w:rsidRPr="002F393F" w:rsidRDefault="00F416B5" w:rsidP="005F79ED">
      <w:pPr>
        <w:rPr>
          <w:rFonts w:asciiTheme="minorHAnsi" w:eastAsia="Calibri" w:hAnsiTheme="minorHAnsi"/>
          <w:sz w:val="24"/>
          <w:szCs w:val="24"/>
        </w:rPr>
      </w:pPr>
    </w:p>
    <w:p w14:paraId="778BFDF1" w14:textId="68AB14A1" w:rsidR="00F416B5" w:rsidRPr="002F393F" w:rsidRDefault="00F416B5" w:rsidP="005F79ED">
      <w:pPr>
        <w:rPr>
          <w:rFonts w:asciiTheme="minorHAnsi" w:eastAsia="Calibri" w:hAnsiTheme="minorHAnsi"/>
          <w:sz w:val="24"/>
          <w:szCs w:val="24"/>
        </w:rPr>
      </w:pPr>
      <w:r w:rsidRPr="002F393F">
        <w:rPr>
          <w:rFonts w:asciiTheme="minorHAnsi" w:eastAsia="Calibri" w:hAnsiTheme="minorHAnsi"/>
          <w:sz w:val="24"/>
          <w:szCs w:val="24"/>
        </w:rPr>
        <w:t xml:space="preserve">As an initial step in understanding the landscape of measurement for performance improvement, this research will look to understand how </w:t>
      </w:r>
      <w:r w:rsidR="00FB5853">
        <w:rPr>
          <w:rFonts w:asciiTheme="minorHAnsi" w:eastAsia="Calibri" w:hAnsiTheme="minorHAnsi"/>
          <w:sz w:val="24"/>
          <w:szCs w:val="24"/>
        </w:rPr>
        <w:t>medical group</w:t>
      </w:r>
      <w:r w:rsidRPr="002F393F">
        <w:rPr>
          <w:rFonts w:asciiTheme="minorHAnsi" w:eastAsia="Calibri" w:hAnsiTheme="minorHAnsi"/>
          <w:sz w:val="24"/>
          <w:szCs w:val="24"/>
        </w:rPr>
        <w:t>s define and measure performance improvement.</w:t>
      </w:r>
    </w:p>
    <w:p w14:paraId="509A08A0" w14:textId="77777777" w:rsidR="00BF634A" w:rsidRPr="002F393F" w:rsidRDefault="00BF634A">
      <w:pPr>
        <w:rPr>
          <w:rFonts w:asciiTheme="minorHAnsi" w:hAnsiTheme="minorHAnsi"/>
          <w:sz w:val="24"/>
          <w:szCs w:val="24"/>
        </w:rPr>
      </w:pPr>
    </w:p>
    <w:p w14:paraId="4049C88D" w14:textId="1C0413D7" w:rsidR="00D54B44" w:rsidRPr="002F393F" w:rsidRDefault="0092183E" w:rsidP="0092183E">
      <w:pPr>
        <w:rPr>
          <w:rFonts w:asciiTheme="minorHAnsi" w:eastAsia="Calibri" w:hAnsiTheme="minorHAnsi"/>
          <w:sz w:val="24"/>
          <w:szCs w:val="24"/>
        </w:rPr>
      </w:pPr>
      <w:r w:rsidRPr="002F393F">
        <w:rPr>
          <w:rFonts w:asciiTheme="minorHAnsi" w:eastAsia="Calibri" w:hAnsiTheme="minorHAnsi"/>
          <w:sz w:val="24"/>
          <w:szCs w:val="24"/>
        </w:rPr>
        <w:t>To meet the goals of this study, AHRQ</w:t>
      </w:r>
      <w:r w:rsidR="00CF0427">
        <w:rPr>
          <w:rFonts w:asciiTheme="minorHAnsi" w:eastAsia="Calibri" w:hAnsiTheme="minorHAnsi"/>
          <w:sz w:val="24"/>
          <w:szCs w:val="24"/>
        </w:rPr>
        <w:t xml:space="preserve"> has contracted with</w:t>
      </w:r>
      <w:r w:rsidRPr="002F393F">
        <w:rPr>
          <w:rFonts w:asciiTheme="minorHAnsi" w:eastAsia="Calibri" w:hAnsiTheme="minorHAnsi"/>
          <w:sz w:val="24"/>
          <w:szCs w:val="24"/>
        </w:rPr>
        <w:t xml:space="preserve"> t</w:t>
      </w:r>
      <w:r w:rsidR="00D54B44" w:rsidRPr="002F393F">
        <w:rPr>
          <w:rFonts w:asciiTheme="minorHAnsi" w:eastAsia="Calibri" w:hAnsiTheme="minorHAnsi"/>
          <w:sz w:val="24"/>
          <w:szCs w:val="24"/>
        </w:rPr>
        <w:t>he Westat team</w:t>
      </w:r>
      <w:r w:rsidRPr="002F393F">
        <w:rPr>
          <w:rFonts w:asciiTheme="minorHAnsi" w:eastAsia="Calibri" w:hAnsiTheme="minorHAnsi"/>
          <w:sz w:val="24"/>
          <w:szCs w:val="24"/>
        </w:rPr>
        <w:t>,</w:t>
      </w:r>
      <w:r w:rsidR="00D54B44" w:rsidRPr="002F393F">
        <w:rPr>
          <w:rFonts w:asciiTheme="minorHAnsi" w:eastAsia="Calibri" w:hAnsiTheme="minorHAnsi"/>
          <w:sz w:val="24"/>
          <w:szCs w:val="24"/>
        </w:rPr>
        <w:t xml:space="preserve"> </w:t>
      </w:r>
      <w:r w:rsidRPr="002F393F">
        <w:rPr>
          <w:rFonts w:asciiTheme="minorHAnsi" w:eastAsia="Calibri" w:hAnsiTheme="minorHAnsi"/>
          <w:sz w:val="24"/>
          <w:szCs w:val="24"/>
        </w:rPr>
        <w:t xml:space="preserve">comprised of Westat and </w:t>
      </w:r>
      <w:r w:rsidR="00CF0427">
        <w:rPr>
          <w:rFonts w:asciiTheme="minorHAnsi" w:eastAsia="Calibri" w:hAnsiTheme="minorHAnsi"/>
          <w:sz w:val="24"/>
          <w:szCs w:val="24"/>
        </w:rPr>
        <w:t>their</w:t>
      </w:r>
      <w:r w:rsidR="00CF0427" w:rsidRPr="002F393F">
        <w:rPr>
          <w:rFonts w:asciiTheme="minorHAnsi" w:eastAsia="Calibri" w:hAnsiTheme="minorHAnsi"/>
          <w:sz w:val="24"/>
          <w:szCs w:val="24"/>
        </w:rPr>
        <w:t xml:space="preserve"> </w:t>
      </w:r>
      <w:r w:rsidRPr="002F393F">
        <w:rPr>
          <w:rFonts w:asciiTheme="minorHAnsi" w:eastAsia="Calibri" w:hAnsiTheme="minorHAnsi"/>
          <w:sz w:val="24"/>
          <w:szCs w:val="24"/>
        </w:rPr>
        <w:t>partners at RAND</w:t>
      </w:r>
      <w:r w:rsidR="00CF0427">
        <w:rPr>
          <w:rFonts w:asciiTheme="minorHAnsi" w:eastAsia="Calibri" w:hAnsiTheme="minorHAnsi"/>
          <w:sz w:val="24"/>
          <w:szCs w:val="24"/>
        </w:rPr>
        <w:t xml:space="preserve">. </w:t>
      </w:r>
      <w:r w:rsidR="004C4585">
        <w:rPr>
          <w:rFonts w:asciiTheme="minorHAnsi" w:eastAsia="Calibri" w:hAnsiTheme="minorHAnsi"/>
          <w:sz w:val="24"/>
          <w:szCs w:val="24"/>
        </w:rPr>
        <w:t xml:space="preserve">For this study, </w:t>
      </w:r>
      <w:r w:rsidR="00CF0427">
        <w:rPr>
          <w:rFonts w:asciiTheme="minorHAnsi" w:eastAsia="Calibri" w:hAnsiTheme="minorHAnsi"/>
          <w:sz w:val="24"/>
          <w:szCs w:val="24"/>
        </w:rPr>
        <w:t>AHRQ</w:t>
      </w:r>
      <w:r w:rsidRPr="002F393F">
        <w:rPr>
          <w:rFonts w:asciiTheme="minorHAnsi" w:eastAsia="Calibri" w:hAnsiTheme="minorHAnsi"/>
          <w:sz w:val="24"/>
          <w:szCs w:val="24"/>
        </w:rPr>
        <w:t xml:space="preserve"> </w:t>
      </w:r>
      <w:r w:rsidR="00D54B44" w:rsidRPr="002F393F">
        <w:rPr>
          <w:rFonts w:asciiTheme="minorHAnsi" w:eastAsia="Calibri" w:hAnsiTheme="minorHAnsi"/>
          <w:sz w:val="24"/>
          <w:szCs w:val="24"/>
        </w:rPr>
        <w:t>will conduct field data collection through semi-structured in-depth interviews.</w:t>
      </w:r>
      <w:r w:rsidR="004C4585">
        <w:rPr>
          <w:rFonts w:asciiTheme="minorHAnsi" w:eastAsia="Calibri" w:hAnsiTheme="minorHAnsi"/>
          <w:sz w:val="24"/>
          <w:szCs w:val="24"/>
        </w:rPr>
        <w:t xml:space="preserve"> The unit of analysis for this work is the </w:t>
      </w:r>
      <w:r w:rsidR="00FB5853">
        <w:rPr>
          <w:rFonts w:asciiTheme="minorHAnsi" w:eastAsia="Calibri" w:hAnsiTheme="minorHAnsi"/>
          <w:sz w:val="24"/>
          <w:szCs w:val="24"/>
        </w:rPr>
        <w:t>medical group</w:t>
      </w:r>
      <w:r w:rsidR="004C4585">
        <w:rPr>
          <w:rFonts w:asciiTheme="minorHAnsi" w:eastAsia="Calibri" w:hAnsiTheme="minorHAnsi"/>
          <w:sz w:val="24"/>
          <w:szCs w:val="24"/>
        </w:rPr>
        <w:t xml:space="preserve">. </w:t>
      </w:r>
      <w:proofErr w:type="gramStart"/>
      <w:r w:rsidR="004C4585">
        <w:rPr>
          <w:rFonts w:asciiTheme="minorHAnsi" w:eastAsia="Calibri" w:hAnsiTheme="minorHAnsi"/>
          <w:sz w:val="24"/>
          <w:szCs w:val="24"/>
        </w:rPr>
        <w:t xml:space="preserve">To understand measurement for performance improvement in each </w:t>
      </w:r>
      <w:r w:rsidR="00FB5853">
        <w:rPr>
          <w:rFonts w:asciiTheme="minorHAnsi" w:eastAsia="Calibri" w:hAnsiTheme="minorHAnsi"/>
          <w:sz w:val="24"/>
          <w:szCs w:val="24"/>
        </w:rPr>
        <w:t>medical group</w:t>
      </w:r>
      <w:r w:rsidR="004C4585">
        <w:rPr>
          <w:rFonts w:asciiTheme="minorHAnsi" w:eastAsia="Calibri" w:hAnsiTheme="minorHAnsi"/>
          <w:sz w:val="24"/>
          <w:szCs w:val="24"/>
        </w:rPr>
        <w:t xml:space="preserve">, AHRQ will interview up to 5 administrators and frontline clinicians per </w:t>
      </w:r>
      <w:r w:rsidR="00FB5853">
        <w:rPr>
          <w:rFonts w:asciiTheme="minorHAnsi" w:eastAsia="Calibri" w:hAnsiTheme="minorHAnsi"/>
          <w:sz w:val="24"/>
          <w:szCs w:val="24"/>
        </w:rPr>
        <w:t>medical group</w:t>
      </w:r>
      <w:r w:rsidR="00CF1996">
        <w:rPr>
          <w:rFonts w:asciiTheme="minorHAnsi" w:eastAsia="Calibri" w:hAnsiTheme="minorHAnsi"/>
          <w:sz w:val="24"/>
          <w:szCs w:val="24"/>
        </w:rPr>
        <w:t xml:space="preserve"> included in the research</w:t>
      </w:r>
      <w:r w:rsidR="004C4585">
        <w:rPr>
          <w:rFonts w:asciiTheme="minorHAnsi" w:eastAsia="Calibri" w:hAnsiTheme="minorHAnsi"/>
          <w:sz w:val="24"/>
          <w:szCs w:val="24"/>
        </w:rPr>
        <w:t>.</w:t>
      </w:r>
      <w:proofErr w:type="gramEnd"/>
      <w:r w:rsidR="004C4585">
        <w:rPr>
          <w:rFonts w:asciiTheme="minorHAnsi" w:eastAsia="Calibri" w:hAnsiTheme="minorHAnsi"/>
          <w:sz w:val="24"/>
          <w:szCs w:val="24"/>
        </w:rPr>
        <w:t xml:space="preserve"> Interviews with both administrators and clinicians will be facilitated using the same protocol (Attachment C). As further discussed below, given the different levels of involvement and experience with internal performance measurement, interviews will vary in detail and thus length. But, as AHRQ works to uncover the story of each </w:t>
      </w:r>
      <w:r w:rsidR="00FB5853">
        <w:rPr>
          <w:rFonts w:asciiTheme="minorHAnsi" w:eastAsia="Calibri" w:hAnsiTheme="minorHAnsi"/>
          <w:sz w:val="24"/>
          <w:szCs w:val="24"/>
        </w:rPr>
        <w:t>medical group</w:t>
      </w:r>
      <w:r w:rsidR="004C4585">
        <w:rPr>
          <w:rFonts w:asciiTheme="minorHAnsi" w:eastAsia="Calibri" w:hAnsiTheme="minorHAnsi"/>
          <w:sz w:val="24"/>
          <w:szCs w:val="24"/>
        </w:rPr>
        <w:t xml:space="preserve"> involved in the study, the same guiding protocol will apply.</w:t>
      </w:r>
      <w:r w:rsidR="00D54B44" w:rsidRPr="002F393F">
        <w:rPr>
          <w:rFonts w:asciiTheme="minorHAnsi" w:eastAsia="Calibri" w:hAnsiTheme="minorHAnsi"/>
          <w:sz w:val="24"/>
          <w:szCs w:val="24"/>
        </w:rPr>
        <w:t xml:space="preserve"> </w:t>
      </w:r>
      <w:r w:rsidR="00B32FDE">
        <w:rPr>
          <w:rFonts w:asciiTheme="minorHAnsi" w:eastAsia="Calibri" w:hAnsiTheme="minorHAnsi"/>
          <w:sz w:val="24"/>
          <w:szCs w:val="24"/>
        </w:rPr>
        <w:t>AHRQ</w:t>
      </w:r>
      <w:r w:rsidR="00D54B44" w:rsidRPr="002F393F">
        <w:rPr>
          <w:rFonts w:asciiTheme="minorHAnsi" w:eastAsia="Calibri" w:hAnsiTheme="minorHAnsi"/>
          <w:sz w:val="24"/>
          <w:szCs w:val="24"/>
        </w:rPr>
        <w:t xml:space="preserve"> will audio-record and professionally transcribe each interview</w:t>
      </w:r>
      <w:r w:rsidR="004C4585">
        <w:rPr>
          <w:rFonts w:asciiTheme="minorHAnsi" w:eastAsia="Calibri" w:hAnsiTheme="minorHAnsi"/>
          <w:sz w:val="24"/>
          <w:szCs w:val="24"/>
        </w:rPr>
        <w:t xml:space="preserve"> conducted</w:t>
      </w:r>
      <w:r w:rsidR="00D54B44" w:rsidRPr="002F393F">
        <w:rPr>
          <w:rFonts w:asciiTheme="minorHAnsi" w:eastAsia="Calibri" w:hAnsiTheme="minorHAnsi"/>
          <w:sz w:val="24"/>
          <w:szCs w:val="24"/>
        </w:rPr>
        <w:t>. A</w:t>
      </w:r>
      <w:r w:rsidR="004C4585">
        <w:rPr>
          <w:rFonts w:asciiTheme="minorHAnsi" w:eastAsia="Calibri" w:hAnsiTheme="minorHAnsi"/>
          <w:sz w:val="24"/>
          <w:szCs w:val="24"/>
        </w:rPr>
        <w:t>nd, a</w:t>
      </w:r>
      <w:r w:rsidR="00D54B44" w:rsidRPr="002F393F">
        <w:rPr>
          <w:rFonts w:asciiTheme="minorHAnsi" w:eastAsia="Calibri" w:hAnsiTheme="minorHAnsi"/>
          <w:sz w:val="24"/>
          <w:szCs w:val="24"/>
        </w:rPr>
        <w:t xml:space="preserve">ll interviews will be loaded into Dedoose for coding and analysis. </w:t>
      </w:r>
    </w:p>
    <w:p w14:paraId="699FAEAC" w14:textId="77777777" w:rsidR="00D54B44" w:rsidRPr="002F393F" w:rsidRDefault="00D54B44" w:rsidP="00D54B44">
      <w:pPr>
        <w:ind w:left="720"/>
        <w:rPr>
          <w:rFonts w:asciiTheme="minorHAnsi" w:hAnsiTheme="minorHAnsi"/>
          <w:sz w:val="24"/>
          <w:szCs w:val="24"/>
        </w:rPr>
      </w:pPr>
    </w:p>
    <w:p w14:paraId="2DFCFA71" w14:textId="52A4CAA2" w:rsidR="00D54B44" w:rsidRPr="002F393F" w:rsidRDefault="00B32FDE" w:rsidP="0092183E">
      <w:pPr>
        <w:rPr>
          <w:rFonts w:asciiTheme="minorHAnsi" w:hAnsiTheme="minorHAnsi"/>
          <w:sz w:val="24"/>
          <w:szCs w:val="24"/>
        </w:rPr>
      </w:pPr>
      <w:r>
        <w:rPr>
          <w:rFonts w:asciiTheme="minorHAnsi" w:hAnsiTheme="minorHAnsi"/>
          <w:sz w:val="24"/>
          <w:szCs w:val="24"/>
        </w:rPr>
        <w:t>AHRQ</w:t>
      </w:r>
      <w:r w:rsidR="00D54B44" w:rsidRPr="002F393F">
        <w:rPr>
          <w:rFonts w:asciiTheme="minorHAnsi" w:hAnsiTheme="minorHAnsi"/>
          <w:sz w:val="24"/>
          <w:szCs w:val="24"/>
        </w:rPr>
        <w:t xml:space="preserve"> will </w:t>
      </w:r>
      <w:r w:rsidR="0092183E" w:rsidRPr="002F393F">
        <w:rPr>
          <w:rFonts w:asciiTheme="minorHAnsi" w:hAnsiTheme="minorHAnsi"/>
          <w:sz w:val="24"/>
          <w:szCs w:val="24"/>
        </w:rPr>
        <w:t xml:space="preserve">supplement this data collection with the collection of </w:t>
      </w:r>
      <w:r w:rsidR="00D54B44" w:rsidRPr="002F393F">
        <w:rPr>
          <w:rFonts w:asciiTheme="minorHAnsi" w:hAnsiTheme="minorHAnsi"/>
          <w:sz w:val="24"/>
          <w:szCs w:val="24"/>
        </w:rPr>
        <w:t xml:space="preserve">artifacts used for internal performance measurement efforts. </w:t>
      </w:r>
      <w:r w:rsidR="0092183E" w:rsidRPr="002F393F">
        <w:rPr>
          <w:rFonts w:asciiTheme="minorHAnsi" w:hAnsiTheme="minorHAnsi"/>
          <w:sz w:val="24"/>
          <w:szCs w:val="24"/>
        </w:rPr>
        <w:t>A</w:t>
      </w:r>
      <w:r w:rsidR="00D54B44" w:rsidRPr="002F393F">
        <w:rPr>
          <w:rFonts w:asciiTheme="minorHAnsi" w:hAnsiTheme="minorHAnsi"/>
          <w:sz w:val="24"/>
          <w:szCs w:val="24"/>
        </w:rPr>
        <w:t xml:space="preserve">rtifacts may include: </w:t>
      </w:r>
    </w:p>
    <w:p w14:paraId="5D20817D" w14:textId="77777777" w:rsidR="00D54B44" w:rsidRPr="002F393F" w:rsidRDefault="00D54B44" w:rsidP="0092183E">
      <w:pPr>
        <w:pStyle w:val="ListParagraph"/>
        <w:numPr>
          <w:ilvl w:val="0"/>
          <w:numId w:val="12"/>
        </w:numPr>
        <w:spacing w:after="200"/>
        <w:ind w:left="720"/>
        <w:rPr>
          <w:rFonts w:asciiTheme="minorHAnsi" w:hAnsiTheme="minorHAnsi"/>
          <w:sz w:val="24"/>
          <w:szCs w:val="24"/>
        </w:rPr>
      </w:pPr>
      <w:r w:rsidRPr="002F393F">
        <w:rPr>
          <w:rFonts w:asciiTheme="minorHAnsi" w:hAnsiTheme="minorHAnsi"/>
          <w:sz w:val="24"/>
          <w:szCs w:val="24"/>
        </w:rPr>
        <w:t xml:space="preserve">Checklists; </w:t>
      </w:r>
    </w:p>
    <w:p w14:paraId="43147A57" w14:textId="77777777" w:rsidR="00D54B44" w:rsidRPr="002F393F" w:rsidRDefault="00D54B44" w:rsidP="0092183E">
      <w:pPr>
        <w:pStyle w:val="ListParagraph"/>
        <w:numPr>
          <w:ilvl w:val="0"/>
          <w:numId w:val="12"/>
        </w:numPr>
        <w:spacing w:after="200"/>
        <w:ind w:left="720"/>
        <w:rPr>
          <w:rFonts w:asciiTheme="minorHAnsi" w:hAnsiTheme="minorHAnsi"/>
          <w:sz w:val="24"/>
          <w:szCs w:val="24"/>
        </w:rPr>
      </w:pPr>
      <w:r w:rsidRPr="002F393F">
        <w:rPr>
          <w:rFonts w:asciiTheme="minorHAnsi" w:hAnsiTheme="minorHAnsi"/>
          <w:sz w:val="24"/>
          <w:szCs w:val="24"/>
        </w:rPr>
        <w:t>Scorecards;</w:t>
      </w:r>
    </w:p>
    <w:p w14:paraId="03A644F5" w14:textId="77777777" w:rsidR="00D54B44" w:rsidRPr="002F393F" w:rsidRDefault="00D54B44" w:rsidP="0092183E">
      <w:pPr>
        <w:pStyle w:val="ListParagraph"/>
        <w:numPr>
          <w:ilvl w:val="0"/>
          <w:numId w:val="12"/>
        </w:numPr>
        <w:spacing w:after="200"/>
        <w:ind w:left="720"/>
        <w:rPr>
          <w:rFonts w:asciiTheme="minorHAnsi" w:hAnsiTheme="minorHAnsi"/>
          <w:sz w:val="24"/>
          <w:szCs w:val="24"/>
        </w:rPr>
      </w:pPr>
      <w:r w:rsidRPr="002F393F">
        <w:rPr>
          <w:rFonts w:asciiTheme="minorHAnsi" w:hAnsiTheme="minorHAnsi"/>
          <w:sz w:val="24"/>
          <w:szCs w:val="24"/>
        </w:rPr>
        <w:t xml:space="preserve">Dashboards; </w:t>
      </w:r>
    </w:p>
    <w:p w14:paraId="1CB02D51" w14:textId="77777777" w:rsidR="00D54B44" w:rsidRPr="002F393F" w:rsidRDefault="00D54B44" w:rsidP="0092183E">
      <w:pPr>
        <w:pStyle w:val="ListParagraph"/>
        <w:numPr>
          <w:ilvl w:val="0"/>
          <w:numId w:val="12"/>
        </w:numPr>
        <w:spacing w:after="200"/>
        <w:ind w:left="720"/>
        <w:rPr>
          <w:rFonts w:asciiTheme="minorHAnsi" w:hAnsiTheme="minorHAnsi"/>
          <w:sz w:val="24"/>
          <w:szCs w:val="24"/>
        </w:rPr>
      </w:pPr>
      <w:r w:rsidRPr="002F393F">
        <w:rPr>
          <w:rFonts w:asciiTheme="minorHAnsi" w:hAnsiTheme="minorHAnsi"/>
          <w:sz w:val="24"/>
          <w:szCs w:val="24"/>
        </w:rPr>
        <w:t>Assessment tools;</w:t>
      </w:r>
    </w:p>
    <w:p w14:paraId="2DC74CC0" w14:textId="77777777" w:rsidR="00D54B44" w:rsidRPr="002F393F" w:rsidRDefault="00D54B44" w:rsidP="0092183E">
      <w:pPr>
        <w:pStyle w:val="ListParagraph"/>
        <w:numPr>
          <w:ilvl w:val="0"/>
          <w:numId w:val="12"/>
        </w:numPr>
        <w:spacing w:after="200"/>
        <w:ind w:left="720"/>
        <w:rPr>
          <w:rFonts w:asciiTheme="minorHAnsi" w:hAnsiTheme="minorHAnsi"/>
          <w:sz w:val="24"/>
          <w:szCs w:val="24"/>
        </w:rPr>
      </w:pPr>
      <w:r w:rsidRPr="002F393F">
        <w:rPr>
          <w:rFonts w:asciiTheme="minorHAnsi" w:hAnsiTheme="minorHAnsi"/>
          <w:sz w:val="24"/>
          <w:szCs w:val="24"/>
        </w:rPr>
        <w:t xml:space="preserve">Measure specifications (including numerator and denominator criteria, rules for inclusion and exclusion, and information available on performance rate calculation and/or risk adjustment); </w:t>
      </w:r>
    </w:p>
    <w:p w14:paraId="51D830CC" w14:textId="77777777" w:rsidR="00D54B44" w:rsidRPr="002F393F" w:rsidRDefault="00D54B44" w:rsidP="0092183E">
      <w:pPr>
        <w:pStyle w:val="ListParagraph"/>
        <w:numPr>
          <w:ilvl w:val="0"/>
          <w:numId w:val="12"/>
        </w:numPr>
        <w:spacing w:after="200"/>
        <w:ind w:left="720"/>
        <w:rPr>
          <w:rFonts w:asciiTheme="minorHAnsi" w:hAnsiTheme="minorHAnsi"/>
          <w:sz w:val="24"/>
          <w:szCs w:val="24"/>
        </w:rPr>
      </w:pPr>
      <w:r w:rsidRPr="002F393F">
        <w:rPr>
          <w:rFonts w:asciiTheme="minorHAnsi" w:hAnsiTheme="minorHAnsi"/>
          <w:sz w:val="24"/>
          <w:szCs w:val="24"/>
        </w:rPr>
        <w:t>PQRS/HEDIS measures specifications adapted for internal use; or</w:t>
      </w:r>
    </w:p>
    <w:p w14:paraId="6DD4F426" w14:textId="77777777" w:rsidR="00D54B44" w:rsidRPr="002F393F" w:rsidRDefault="00D54B44" w:rsidP="0092183E">
      <w:pPr>
        <w:pStyle w:val="ListParagraph"/>
        <w:numPr>
          <w:ilvl w:val="0"/>
          <w:numId w:val="12"/>
        </w:numPr>
        <w:spacing w:after="200"/>
        <w:ind w:left="720"/>
        <w:rPr>
          <w:rFonts w:asciiTheme="minorHAnsi" w:hAnsiTheme="minorHAnsi"/>
          <w:sz w:val="24"/>
          <w:szCs w:val="24"/>
        </w:rPr>
      </w:pPr>
      <w:r w:rsidRPr="002F393F">
        <w:rPr>
          <w:rFonts w:asciiTheme="minorHAnsi" w:hAnsiTheme="minorHAnsi"/>
          <w:sz w:val="24"/>
          <w:szCs w:val="24"/>
        </w:rPr>
        <w:t>Redacted screenshots of the online tools.</w:t>
      </w:r>
    </w:p>
    <w:p w14:paraId="1DA7412E" w14:textId="51E23AFB" w:rsidR="00D54B44" w:rsidRDefault="00B32FDE" w:rsidP="0092183E">
      <w:pPr>
        <w:rPr>
          <w:rFonts w:asciiTheme="minorHAnsi" w:hAnsiTheme="minorHAnsi"/>
          <w:sz w:val="24"/>
          <w:szCs w:val="24"/>
        </w:rPr>
      </w:pPr>
      <w:r>
        <w:rPr>
          <w:rFonts w:asciiTheme="minorHAnsi" w:hAnsiTheme="minorHAnsi"/>
          <w:sz w:val="24"/>
          <w:szCs w:val="24"/>
        </w:rPr>
        <w:t>AHRQ</w:t>
      </w:r>
      <w:r w:rsidRPr="002F393F">
        <w:rPr>
          <w:rFonts w:asciiTheme="minorHAnsi" w:hAnsiTheme="minorHAnsi"/>
          <w:sz w:val="24"/>
          <w:szCs w:val="24"/>
        </w:rPr>
        <w:t xml:space="preserve"> </w:t>
      </w:r>
      <w:r w:rsidR="00D54B44" w:rsidRPr="002F393F">
        <w:rPr>
          <w:rFonts w:asciiTheme="minorHAnsi" w:hAnsiTheme="minorHAnsi"/>
          <w:sz w:val="24"/>
          <w:szCs w:val="24"/>
        </w:rPr>
        <w:t>will collect such artifacts via site visits</w:t>
      </w:r>
      <w:r w:rsidR="0092183E" w:rsidRPr="002F393F">
        <w:rPr>
          <w:rFonts w:asciiTheme="minorHAnsi" w:hAnsiTheme="minorHAnsi"/>
          <w:sz w:val="24"/>
          <w:szCs w:val="24"/>
        </w:rPr>
        <w:t xml:space="preserve"> when interviews are conducted in person</w:t>
      </w:r>
      <w:r w:rsidR="00D54B44" w:rsidRPr="002F393F">
        <w:rPr>
          <w:rFonts w:asciiTheme="minorHAnsi" w:hAnsiTheme="minorHAnsi"/>
          <w:sz w:val="24"/>
          <w:szCs w:val="24"/>
        </w:rPr>
        <w:t xml:space="preserve">. When conducting interviews over the phone, </w:t>
      </w:r>
      <w:r w:rsidR="004C4585">
        <w:rPr>
          <w:rFonts w:asciiTheme="minorHAnsi" w:hAnsiTheme="minorHAnsi"/>
          <w:sz w:val="24"/>
          <w:szCs w:val="24"/>
        </w:rPr>
        <w:t>AHRQ</w:t>
      </w:r>
      <w:r w:rsidRPr="002F393F">
        <w:rPr>
          <w:rFonts w:asciiTheme="minorHAnsi" w:hAnsiTheme="minorHAnsi"/>
          <w:sz w:val="24"/>
          <w:szCs w:val="24"/>
        </w:rPr>
        <w:t xml:space="preserve"> </w:t>
      </w:r>
      <w:r w:rsidR="00D54B44" w:rsidRPr="002F393F">
        <w:rPr>
          <w:rFonts w:asciiTheme="minorHAnsi" w:hAnsiTheme="minorHAnsi"/>
          <w:sz w:val="24"/>
          <w:szCs w:val="24"/>
        </w:rPr>
        <w:t>will ask for such materials to be sent in pre-supplied mail-out boxes.</w:t>
      </w:r>
    </w:p>
    <w:p w14:paraId="54788C1E" w14:textId="77777777" w:rsidR="00B6295E" w:rsidRPr="00B6295E" w:rsidRDefault="00B6295E" w:rsidP="00B6295E">
      <w:pPr>
        <w:rPr>
          <w:rFonts w:asciiTheme="minorHAnsi" w:eastAsia="Calibri" w:hAnsiTheme="minorHAnsi"/>
          <w:sz w:val="24"/>
          <w:szCs w:val="24"/>
          <w:highlight w:val="yellow"/>
        </w:rPr>
      </w:pPr>
    </w:p>
    <w:p w14:paraId="76A1F963" w14:textId="3A058176" w:rsidR="00B6295E" w:rsidRPr="00B6295E" w:rsidRDefault="00B6295E" w:rsidP="00B6295E">
      <w:pPr>
        <w:rPr>
          <w:rFonts w:asciiTheme="minorHAnsi" w:eastAsia="Calibri" w:hAnsiTheme="minorHAnsi"/>
          <w:sz w:val="24"/>
          <w:szCs w:val="24"/>
        </w:rPr>
      </w:pPr>
      <w:r w:rsidRPr="00527462">
        <w:rPr>
          <w:rFonts w:asciiTheme="minorHAnsi" w:eastAsia="Calibri" w:hAnsiTheme="minorHAnsi"/>
          <w:sz w:val="24"/>
          <w:szCs w:val="24"/>
        </w:rPr>
        <w:t>There are two specific rationales for performing qualitative exploratory research to understand how medical groups use measurement for internal performance improvement before proceeding to a nationally-representative quantitative study. First, there is no existing national roster of medical groups from which to draw a credible, national random sample. AHRQ anticipates that such a national roster will become available in a few years and is pursuing separate lines of research to create this roster. Second, even if such a roster already existed, the best way to gather data on this study’s research questions from a nationally-representative sample is unclear (i.e., we lack knowledge of which underlying constructs to measure, how to phrase questions for maximum understandability and salience, and which lines of inquiry are unlikely to yield much knowledge). The proposed exploratory qualitative research will clarify these important methodological points and guide the possible future development of refined data-gathering tools such as surveys and short interview guides that maximize the knowledge gained from future nationally-representative quantitative research efforts while making efficient use of medical group leaders’ time.</w:t>
      </w:r>
      <w:bookmarkStart w:id="4" w:name="_GoBack"/>
      <w:bookmarkEnd w:id="4"/>
    </w:p>
    <w:p w14:paraId="347C406D" w14:textId="77777777" w:rsidR="00D54B44" w:rsidRPr="002F393F" w:rsidRDefault="00D54B44" w:rsidP="00D54B44">
      <w:pPr>
        <w:autoSpaceDE w:val="0"/>
        <w:autoSpaceDN w:val="0"/>
        <w:adjustRightInd w:val="0"/>
        <w:rPr>
          <w:rFonts w:asciiTheme="minorHAnsi" w:eastAsia="Calibri" w:hAnsiTheme="minorHAnsi"/>
          <w:sz w:val="24"/>
          <w:szCs w:val="24"/>
        </w:rPr>
      </w:pPr>
    </w:p>
    <w:p w14:paraId="1DC070B6" w14:textId="6EFD8606" w:rsidR="00CB69CA" w:rsidRPr="002F393F" w:rsidRDefault="0092183E" w:rsidP="00CB69CA">
      <w:pPr>
        <w:rPr>
          <w:rFonts w:asciiTheme="minorHAnsi" w:hAnsiTheme="minorHAnsi"/>
          <w:sz w:val="24"/>
          <w:szCs w:val="24"/>
        </w:rPr>
      </w:pPr>
      <w:r w:rsidRPr="002F393F">
        <w:rPr>
          <w:rFonts w:asciiTheme="minorHAnsi" w:hAnsiTheme="minorHAnsi"/>
          <w:sz w:val="24"/>
          <w:szCs w:val="24"/>
        </w:rPr>
        <w:t xml:space="preserve">To support this data collection and ensure that the research done for this study has the greatest possible benefit for the field and for the future of health care research, </w:t>
      </w:r>
      <w:r w:rsidR="00B32FDE">
        <w:rPr>
          <w:rFonts w:asciiTheme="minorHAnsi" w:hAnsiTheme="minorHAnsi"/>
          <w:sz w:val="24"/>
          <w:szCs w:val="24"/>
        </w:rPr>
        <w:t>AHRQ</w:t>
      </w:r>
      <w:r w:rsidR="00B32FDE" w:rsidRPr="002F393F">
        <w:rPr>
          <w:rFonts w:asciiTheme="minorHAnsi" w:hAnsiTheme="minorHAnsi"/>
          <w:sz w:val="24"/>
          <w:szCs w:val="24"/>
        </w:rPr>
        <w:t xml:space="preserve"> </w:t>
      </w:r>
      <w:r w:rsidRPr="002F393F">
        <w:rPr>
          <w:rFonts w:asciiTheme="minorHAnsi" w:hAnsiTheme="minorHAnsi"/>
          <w:sz w:val="24"/>
          <w:szCs w:val="24"/>
        </w:rPr>
        <w:t xml:space="preserve">will also engage in </w:t>
      </w:r>
      <w:r w:rsidR="00863732" w:rsidRPr="002F393F">
        <w:rPr>
          <w:rFonts w:asciiTheme="minorHAnsi" w:hAnsiTheme="minorHAnsi"/>
          <w:sz w:val="24"/>
          <w:szCs w:val="24"/>
        </w:rPr>
        <w:t xml:space="preserve">the following </w:t>
      </w:r>
      <w:r w:rsidR="00BD71D7" w:rsidRPr="002F393F">
        <w:rPr>
          <w:rFonts w:asciiTheme="minorHAnsi" w:hAnsiTheme="minorHAnsi"/>
          <w:sz w:val="24"/>
          <w:szCs w:val="24"/>
        </w:rPr>
        <w:t>activities</w:t>
      </w:r>
      <w:r w:rsidR="00863732" w:rsidRPr="002F393F">
        <w:rPr>
          <w:rFonts w:asciiTheme="minorHAnsi" w:hAnsiTheme="minorHAnsi"/>
          <w:sz w:val="24"/>
          <w:szCs w:val="24"/>
        </w:rPr>
        <w:t>:</w:t>
      </w:r>
      <w:r w:rsidR="00CB69CA" w:rsidRPr="002F393F">
        <w:rPr>
          <w:rFonts w:asciiTheme="minorHAnsi" w:hAnsiTheme="minorHAnsi"/>
          <w:sz w:val="24"/>
          <w:szCs w:val="24"/>
        </w:rPr>
        <w:t xml:space="preserve"> </w:t>
      </w:r>
    </w:p>
    <w:p w14:paraId="7AB0CB28" w14:textId="77777777" w:rsidR="003561B0" w:rsidRPr="002F393F" w:rsidRDefault="003561B0" w:rsidP="0092183E">
      <w:pPr>
        <w:tabs>
          <w:tab w:val="left" w:pos="360"/>
        </w:tabs>
        <w:rPr>
          <w:rFonts w:asciiTheme="minorHAnsi" w:hAnsiTheme="minorHAnsi"/>
          <w:sz w:val="24"/>
          <w:szCs w:val="24"/>
        </w:rPr>
      </w:pPr>
    </w:p>
    <w:p w14:paraId="6B6EC3F3" w14:textId="57564459" w:rsidR="00565B4D" w:rsidRPr="002F393F" w:rsidRDefault="00F7541E" w:rsidP="0092183E">
      <w:pPr>
        <w:pStyle w:val="ListParagraph"/>
        <w:numPr>
          <w:ilvl w:val="0"/>
          <w:numId w:val="14"/>
        </w:numPr>
        <w:tabs>
          <w:tab w:val="left" w:pos="360"/>
        </w:tabs>
        <w:rPr>
          <w:rFonts w:asciiTheme="minorHAnsi" w:hAnsiTheme="minorHAnsi"/>
          <w:sz w:val="24"/>
          <w:szCs w:val="24"/>
        </w:rPr>
      </w:pPr>
      <w:r w:rsidRPr="002F393F">
        <w:rPr>
          <w:rFonts w:asciiTheme="minorHAnsi" w:hAnsiTheme="minorHAnsi"/>
          <w:b/>
          <w:sz w:val="24"/>
          <w:szCs w:val="24"/>
        </w:rPr>
        <w:t xml:space="preserve">Technical </w:t>
      </w:r>
      <w:r w:rsidR="006E6190" w:rsidRPr="002F393F">
        <w:rPr>
          <w:rFonts w:asciiTheme="minorHAnsi" w:hAnsiTheme="minorHAnsi"/>
          <w:b/>
          <w:sz w:val="24"/>
          <w:szCs w:val="24"/>
        </w:rPr>
        <w:t xml:space="preserve">Expert </w:t>
      </w:r>
      <w:r w:rsidRPr="002F393F">
        <w:rPr>
          <w:rFonts w:asciiTheme="minorHAnsi" w:hAnsiTheme="minorHAnsi"/>
          <w:b/>
          <w:sz w:val="24"/>
          <w:szCs w:val="24"/>
        </w:rPr>
        <w:t>Panel (TEP) feedback</w:t>
      </w:r>
      <w:r w:rsidR="003561B0" w:rsidRPr="002F393F">
        <w:rPr>
          <w:rFonts w:asciiTheme="minorHAnsi" w:hAnsiTheme="minorHAnsi"/>
          <w:sz w:val="24"/>
          <w:szCs w:val="24"/>
        </w:rPr>
        <w:t xml:space="preserve"> – </w:t>
      </w:r>
      <w:r w:rsidR="00481669" w:rsidRPr="002F393F">
        <w:rPr>
          <w:rFonts w:asciiTheme="minorHAnsi" w:hAnsiTheme="minorHAnsi"/>
          <w:sz w:val="24"/>
          <w:szCs w:val="24"/>
        </w:rPr>
        <w:t xml:space="preserve">A Technical Expert Panel (TEP) of eight members will be used to: (a) leverage information on key informants; (b) consult on the environmental scan; (c) identify participating </w:t>
      </w:r>
      <w:r w:rsidR="00FB5853">
        <w:rPr>
          <w:rFonts w:asciiTheme="minorHAnsi" w:hAnsiTheme="minorHAnsi"/>
          <w:sz w:val="24"/>
          <w:szCs w:val="24"/>
        </w:rPr>
        <w:t>medical group</w:t>
      </w:r>
      <w:r w:rsidR="00481669" w:rsidRPr="002F393F">
        <w:rPr>
          <w:rFonts w:asciiTheme="minorHAnsi" w:hAnsiTheme="minorHAnsi"/>
          <w:sz w:val="24"/>
          <w:szCs w:val="24"/>
        </w:rPr>
        <w:t xml:space="preserve">s; (d) provide input on the development of interview materials; (e) provide input on the analysis plan and results; and, (f) assist with disseminating findings. The diversity of the TEP will allow </w:t>
      </w:r>
      <w:r w:rsidR="004C4585">
        <w:rPr>
          <w:rFonts w:asciiTheme="minorHAnsi" w:hAnsiTheme="minorHAnsi"/>
          <w:sz w:val="24"/>
          <w:szCs w:val="24"/>
        </w:rPr>
        <w:t>AHRQ</w:t>
      </w:r>
      <w:r w:rsidR="004C4585" w:rsidRPr="002F393F">
        <w:rPr>
          <w:rFonts w:asciiTheme="minorHAnsi" w:hAnsiTheme="minorHAnsi"/>
          <w:sz w:val="24"/>
          <w:szCs w:val="24"/>
        </w:rPr>
        <w:t xml:space="preserve"> </w:t>
      </w:r>
      <w:r w:rsidR="00481669" w:rsidRPr="002F393F">
        <w:rPr>
          <w:rFonts w:asciiTheme="minorHAnsi" w:hAnsiTheme="minorHAnsi"/>
          <w:sz w:val="24"/>
          <w:szCs w:val="24"/>
        </w:rPr>
        <w:t>to gain deeper insight and varying perspectives.</w:t>
      </w:r>
      <w:r w:rsidR="004C4585">
        <w:rPr>
          <w:rFonts w:asciiTheme="minorHAnsi" w:hAnsiTheme="minorHAnsi"/>
          <w:sz w:val="24"/>
          <w:szCs w:val="24"/>
        </w:rPr>
        <w:t xml:space="preserve"> A list of TEP members can be found in Attachment B.</w:t>
      </w:r>
    </w:p>
    <w:p w14:paraId="13603C3D" w14:textId="77777777" w:rsidR="00481669" w:rsidRPr="002F393F" w:rsidRDefault="00481669" w:rsidP="0092183E">
      <w:pPr>
        <w:pStyle w:val="ListParagraph"/>
        <w:tabs>
          <w:tab w:val="left" w:pos="360"/>
        </w:tabs>
        <w:rPr>
          <w:rFonts w:asciiTheme="minorHAnsi" w:hAnsiTheme="minorHAnsi"/>
          <w:sz w:val="24"/>
          <w:szCs w:val="24"/>
        </w:rPr>
      </w:pPr>
    </w:p>
    <w:p w14:paraId="6DF3A67B" w14:textId="70923FF9" w:rsidR="00481669" w:rsidRPr="002F393F" w:rsidRDefault="00B80683" w:rsidP="0092183E">
      <w:pPr>
        <w:pStyle w:val="ListParagraph"/>
        <w:numPr>
          <w:ilvl w:val="0"/>
          <w:numId w:val="14"/>
        </w:numPr>
        <w:tabs>
          <w:tab w:val="left" w:pos="360"/>
        </w:tabs>
        <w:rPr>
          <w:rFonts w:asciiTheme="minorHAnsi" w:hAnsiTheme="minorHAnsi"/>
          <w:sz w:val="24"/>
          <w:szCs w:val="24"/>
        </w:rPr>
      </w:pPr>
      <w:r w:rsidRPr="002F393F">
        <w:rPr>
          <w:rFonts w:asciiTheme="minorHAnsi" w:hAnsiTheme="minorHAnsi"/>
          <w:b/>
          <w:sz w:val="24"/>
          <w:szCs w:val="24"/>
        </w:rPr>
        <w:t>Dissemination activities</w:t>
      </w:r>
      <w:r w:rsidRPr="002F393F">
        <w:rPr>
          <w:rFonts w:asciiTheme="minorHAnsi" w:hAnsiTheme="minorHAnsi"/>
          <w:sz w:val="24"/>
          <w:szCs w:val="24"/>
        </w:rPr>
        <w:t xml:space="preserve"> –</w:t>
      </w:r>
      <w:r w:rsidR="00B226F2" w:rsidRPr="002F393F">
        <w:rPr>
          <w:rFonts w:asciiTheme="minorHAnsi" w:hAnsiTheme="minorHAnsi"/>
          <w:sz w:val="24"/>
          <w:szCs w:val="24"/>
        </w:rPr>
        <w:t xml:space="preserve"> </w:t>
      </w:r>
      <w:r w:rsidR="004C4585">
        <w:rPr>
          <w:rFonts w:asciiTheme="minorHAnsi" w:hAnsiTheme="minorHAnsi"/>
          <w:sz w:val="24"/>
          <w:szCs w:val="24"/>
        </w:rPr>
        <w:t>AHRQ</w:t>
      </w:r>
      <w:r w:rsidR="004C4585" w:rsidRPr="002F393F">
        <w:rPr>
          <w:rFonts w:asciiTheme="minorHAnsi" w:hAnsiTheme="minorHAnsi"/>
          <w:sz w:val="24"/>
          <w:szCs w:val="24"/>
        </w:rPr>
        <w:t xml:space="preserve"> </w:t>
      </w:r>
      <w:r w:rsidR="00B226F2" w:rsidRPr="002F393F">
        <w:rPr>
          <w:rFonts w:asciiTheme="minorHAnsi" w:hAnsiTheme="minorHAnsi"/>
          <w:sz w:val="24"/>
          <w:szCs w:val="24"/>
        </w:rPr>
        <w:t>will produce at</w:t>
      </w:r>
      <w:r w:rsidR="00481669" w:rsidRPr="002F393F">
        <w:rPr>
          <w:rFonts w:asciiTheme="minorHAnsi" w:hAnsiTheme="minorHAnsi"/>
          <w:sz w:val="24"/>
          <w:szCs w:val="24"/>
        </w:rPr>
        <w:t xml:space="preserve"> least one manuscript suitable for publication in a peer-review journal; and produce a PowerPoint presentation of all research findings and implications for presentation to stakeholders, such as the ACTION III partners. </w:t>
      </w:r>
      <w:r w:rsidR="004C4585">
        <w:rPr>
          <w:rFonts w:asciiTheme="minorHAnsi" w:hAnsiTheme="minorHAnsi"/>
          <w:sz w:val="24"/>
          <w:szCs w:val="24"/>
        </w:rPr>
        <w:t>AHRQ</w:t>
      </w:r>
      <w:r w:rsidR="004C4585" w:rsidRPr="002F393F">
        <w:rPr>
          <w:rFonts w:asciiTheme="minorHAnsi" w:hAnsiTheme="minorHAnsi"/>
          <w:sz w:val="24"/>
          <w:szCs w:val="24"/>
        </w:rPr>
        <w:t xml:space="preserve"> </w:t>
      </w:r>
      <w:r w:rsidR="00481669" w:rsidRPr="002F393F">
        <w:rPr>
          <w:rFonts w:asciiTheme="minorHAnsi" w:hAnsiTheme="minorHAnsi"/>
          <w:sz w:val="24"/>
          <w:szCs w:val="24"/>
        </w:rPr>
        <w:t xml:space="preserve">will submit abstracts to scientific conferences, such as Academy Health’s Annual Research Meeting, the American Association of Public Opinion Research (AAPOR), the International Congress of Qualitative Inquiry (ICQI), AHRQ’s annual conference, the Patient-Centered Primary Care Collaborative (PCPCC) annual conference, the Society for General Internal Medicine’s annual conference, etc. </w:t>
      </w:r>
      <w:r w:rsidR="004C4585">
        <w:rPr>
          <w:rFonts w:asciiTheme="minorHAnsi" w:hAnsiTheme="minorHAnsi"/>
          <w:sz w:val="24"/>
          <w:szCs w:val="24"/>
        </w:rPr>
        <w:t>AHRQ</w:t>
      </w:r>
      <w:r w:rsidR="004C4585" w:rsidRPr="002F393F">
        <w:rPr>
          <w:rFonts w:asciiTheme="minorHAnsi" w:hAnsiTheme="minorHAnsi"/>
          <w:sz w:val="24"/>
          <w:szCs w:val="24"/>
        </w:rPr>
        <w:t xml:space="preserve"> </w:t>
      </w:r>
      <w:r w:rsidR="00481669" w:rsidRPr="002F393F">
        <w:rPr>
          <w:rFonts w:asciiTheme="minorHAnsi" w:hAnsiTheme="minorHAnsi"/>
          <w:sz w:val="24"/>
          <w:szCs w:val="24"/>
        </w:rPr>
        <w:t>will also submit abstracts to other health care quality conferences, including but not limited to conferences run by the Institute for Healthcare Improvement (IHI), Leapfrog, and the CMS Quality Conference.</w:t>
      </w:r>
    </w:p>
    <w:p w14:paraId="3746B0F9" w14:textId="77777777" w:rsidR="00481669" w:rsidRPr="002F393F" w:rsidRDefault="00481669" w:rsidP="0092183E">
      <w:pPr>
        <w:pStyle w:val="ListParagraph"/>
        <w:tabs>
          <w:tab w:val="left" w:pos="360"/>
        </w:tabs>
        <w:rPr>
          <w:rFonts w:asciiTheme="minorHAnsi" w:hAnsiTheme="minorHAnsi"/>
          <w:sz w:val="24"/>
          <w:szCs w:val="24"/>
        </w:rPr>
      </w:pPr>
    </w:p>
    <w:p w14:paraId="2E0016B3" w14:textId="550B04A4" w:rsidR="001A16CF" w:rsidRPr="002F393F" w:rsidRDefault="00B226F2" w:rsidP="004C4585">
      <w:pPr>
        <w:tabs>
          <w:tab w:val="left" w:pos="720"/>
        </w:tabs>
        <w:rPr>
          <w:rFonts w:asciiTheme="minorHAnsi" w:hAnsiTheme="minorHAnsi"/>
          <w:sz w:val="24"/>
          <w:szCs w:val="24"/>
        </w:rPr>
      </w:pPr>
      <w:r w:rsidRPr="002F393F">
        <w:rPr>
          <w:rFonts w:asciiTheme="minorHAnsi" w:hAnsiTheme="minorHAnsi"/>
          <w:sz w:val="24"/>
          <w:szCs w:val="24"/>
        </w:rPr>
        <w:t xml:space="preserve">AHRQ </w:t>
      </w:r>
      <w:r w:rsidR="00B32FDE">
        <w:rPr>
          <w:rFonts w:asciiTheme="minorHAnsi" w:hAnsiTheme="minorHAnsi"/>
          <w:sz w:val="24"/>
          <w:szCs w:val="24"/>
        </w:rPr>
        <w:t>will</w:t>
      </w:r>
      <w:r w:rsidR="00481669" w:rsidRPr="002F393F">
        <w:rPr>
          <w:rFonts w:asciiTheme="minorHAnsi" w:hAnsiTheme="minorHAnsi"/>
          <w:sz w:val="24"/>
          <w:szCs w:val="24"/>
        </w:rPr>
        <w:t xml:space="preserve"> </w:t>
      </w:r>
      <w:r w:rsidR="004C4585">
        <w:rPr>
          <w:rFonts w:asciiTheme="minorHAnsi" w:hAnsiTheme="minorHAnsi"/>
          <w:sz w:val="24"/>
          <w:szCs w:val="24"/>
        </w:rPr>
        <w:t xml:space="preserve">also </w:t>
      </w:r>
      <w:r w:rsidR="00481669" w:rsidRPr="002F393F">
        <w:rPr>
          <w:rFonts w:asciiTheme="minorHAnsi" w:hAnsiTheme="minorHAnsi"/>
          <w:sz w:val="24"/>
          <w:szCs w:val="24"/>
        </w:rPr>
        <w:t>disseminat</w:t>
      </w:r>
      <w:r w:rsidRPr="002F393F">
        <w:rPr>
          <w:rFonts w:asciiTheme="minorHAnsi" w:hAnsiTheme="minorHAnsi"/>
          <w:sz w:val="24"/>
          <w:szCs w:val="24"/>
        </w:rPr>
        <w:t>e</w:t>
      </w:r>
      <w:r w:rsidR="00481669" w:rsidRPr="002F393F">
        <w:rPr>
          <w:rFonts w:asciiTheme="minorHAnsi" w:hAnsiTheme="minorHAnsi"/>
          <w:sz w:val="24"/>
          <w:szCs w:val="24"/>
        </w:rPr>
        <w:t xml:space="preserve"> findings and implications through a variety of innovative approaches. Such possible approaches include collaborative learning circles of participating </w:t>
      </w:r>
      <w:r w:rsidR="00FB5853">
        <w:rPr>
          <w:rFonts w:asciiTheme="minorHAnsi" w:hAnsiTheme="minorHAnsi"/>
          <w:sz w:val="24"/>
          <w:szCs w:val="24"/>
        </w:rPr>
        <w:t>medical group</w:t>
      </w:r>
      <w:r w:rsidR="00481669" w:rsidRPr="002F393F">
        <w:rPr>
          <w:rFonts w:asciiTheme="minorHAnsi" w:hAnsiTheme="minorHAnsi"/>
          <w:sz w:val="24"/>
          <w:szCs w:val="24"/>
        </w:rPr>
        <w:t xml:space="preserve">s, podcasts, webcasts, and videos to share findings and efficiently reach a wide audience. </w:t>
      </w:r>
      <w:r w:rsidR="006F7766">
        <w:rPr>
          <w:rFonts w:asciiTheme="minorHAnsi" w:hAnsiTheme="minorHAnsi"/>
          <w:sz w:val="24"/>
          <w:szCs w:val="24"/>
        </w:rPr>
        <w:t>AHRQ</w:t>
      </w:r>
      <w:r w:rsidR="00481669" w:rsidRPr="002F393F">
        <w:rPr>
          <w:rFonts w:asciiTheme="minorHAnsi" w:hAnsiTheme="minorHAnsi"/>
          <w:sz w:val="24"/>
          <w:szCs w:val="24"/>
        </w:rPr>
        <w:t xml:space="preserve"> will discuss these various types of optional dynamic and innovative dissemination approaches available for consideration, and will consult both the TEP and our key informants on possible dissemination strategies. Regardless of dissemination method, </w:t>
      </w:r>
      <w:r w:rsidR="004C4585">
        <w:rPr>
          <w:rFonts w:asciiTheme="minorHAnsi" w:hAnsiTheme="minorHAnsi"/>
          <w:sz w:val="24"/>
          <w:szCs w:val="24"/>
        </w:rPr>
        <w:t>AHRQ</w:t>
      </w:r>
      <w:r w:rsidR="00481669" w:rsidRPr="002F393F">
        <w:rPr>
          <w:rFonts w:asciiTheme="minorHAnsi" w:hAnsiTheme="minorHAnsi"/>
          <w:sz w:val="24"/>
          <w:szCs w:val="24"/>
        </w:rPr>
        <w:t xml:space="preserve"> will ensure professional, engaging, accessible, plain language materials tailored to the appropriate audience. </w:t>
      </w:r>
    </w:p>
    <w:p w14:paraId="5473AD7D" w14:textId="77777777" w:rsidR="001A16CF" w:rsidRPr="002F393F" w:rsidRDefault="001A16CF" w:rsidP="0092183E">
      <w:pPr>
        <w:tabs>
          <w:tab w:val="left" w:pos="360"/>
        </w:tabs>
        <w:ind w:left="360" w:hanging="360"/>
        <w:rPr>
          <w:rFonts w:asciiTheme="minorHAnsi" w:hAnsiTheme="minorHAnsi"/>
          <w:sz w:val="24"/>
          <w:szCs w:val="24"/>
        </w:rPr>
      </w:pPr>
    </w:p>
    <w:p w14:paraId="74D373CA" w14:textId="626C7531" w:rsidR="003561B0" w:rsidRDefault="001A16CF" w:rsidP="0092183E">
      <w:pPr>
        <w:rPr>
          <w:rFonts w:asciiTheme="minorHAnsi" w:hAnsiTheme="minorHAnsi"/>
          <w:sz w:val="24"/>
          <w:szCs w:val="24"/>
        </w:rPr>
      </w:pPr>
      <w:r w:rsidRPr="002F393F">
        <w:rPr>
          <w:rFonts w:asciiTheme="minorHAnsi" w:hAnsiTheme="minorHAnsi"/>
          <w:sz w:val="24"/>
          <w:szCs w:val="24"/>
        </w:rPr>
        <w:t xml:space="preserve">This </w:t>
      </w:r>
      <w:r w:rsidR="00DA0C38" w:rsidRPr="002F393F">
        <w:rPr>
          <w:rFonts w:asciiTheme="minorHAnsi" w:hAnsiTheme="minorHAnsi"/>
          <w:sz w:val="24"/>
          <w:szCs w:val="24"/>
        </w:rPr>
        <w:t>work is</w:t>
      </w:r>
      <w:r w:rsidRPr="002F393F">
        <w:rPr>
          <w:rFonts w:asciiTheme="minorHAnsi" w:hAnsiTheme="minorHAnsi"/>
          <w:sz w:val="24"/>
          <w:szCs w:val="24"/>
        </w:rPr>
        <w:t xml:space="preserve"> being conducted by AHRQ through its contractor,</w:t>
      </w:r>
      <w:r w:rsidR="00663504" w:rsidRPr="002F393F">
        <w:rPr>
          <w:rFonts w:asciiTheme="minorHAnsi" w:hAnsiTheme="minorHAnsi"/>
          <w:sz w:val="24"/>
          <w:szCs w:val="24"/>
        </w:rPr>
        <w:t xml:space="preserve"> Westat</w:t>
      </w:r>
      <w:r w:rsidRPr="002F393F">
        <w:rPr>
          <w:rFonts w:asciiTheme="minorHAnsi" w:hAnsiTheme="minorHAnsi"/>
          <w:sz w:val="24"/>
          <w:szCs w:val="24"/>
        </w:rPr>
        <w:t>, pursuant to AHRQ’s statutory authority to conduct and support research on health</w:t>
      </w:r>
      <w:r w:rsidR="004C4585">
        <w:rPr>
          <w:rFonts w:asciiTheme="minorHAnsi" w:hAnsiTheme="minorHAnsi"/>
          <w:sz w:val="24"/>
          <w:szCs w:val="24"/>
        </w:rPr>
        <w:t xml:space="preserve"> </w:t>
      </w:r>
      <w:r w:rsidRPr="002F393F">
        <w:rPr>
          <w:rFonts w:asciiTheme="minorHAnsi" w:hAnsiTheme="minorHAnsi"/>
          <w:sz w:val="24"/>
          <w:szCs w:val="24"/>
        </w:rPr>
        <w:t xml:space="preserve">care and on systems for the delivery of such care, including activities with respect to the quality, effectiveness, efficiency, appropriateness and value of healthcare services and with respect to quality measurement and improvement.  42 U.S.C. </w:t>
      </w:r>
      <w:proofErr w:type="gramStart"/>
      <w:r w:rsidRPr="002F393F">
        <w:rPr>
          <w:rFonts w:asciiTheme="minorHAnsi" w:hAnsiTheme="minorHAnsi"/>
          <w:sz w:val="24"/>
          <w:szCs w:val="24"/>
        </w:rPr>
        <w:t>299a(</w:t>
      </w:r>
      <w:proofErr w:type="gramEnd"/>
      <w:r w:rsidRPr="002F393F">
        <w:rPr>
          <w:rFonts w:asciiTheme="minorHAnsi" w:hAnsiTheme="minorHAnsi"/>
          <w:sz w:val="24"/>
          <w:szCs w:val="24"/>
        </w:rPr>
        <w:t>a)(1) and (2).</w:t>
      </w:r>
    </w:p>
    <w:p w14:paraId="6F0E1559" w14:textId="77777777" w:rsidR="00A03934" w:rsidRDefault="00A03934" w:rsidP="0092183E">
      <w:pPr>
        <w:rPr>
          <w:rFonts w:asciiTheme="minorHAnsi" w:hAnsiTheme="minorHAnsi"/>
          <w:sz w:val="24"/>
          <w:szCs w:val="24"/>
        </w:rPr>
      </w:pPr>
    </w:p>
    <w:p w14:paraId="0A55F909" w14:textId="77777777" w:rsidR="0057087C" w:rsidRPr="002F393F" w:rsidRDefault="0057087C" w:rsidP="008C5826">
      <w:pPr>
        <w:pStyle w:val="Heading2"/>
        <w:rPr>
          <w:rFonts w:asciiTheme="minorHAnsi" w:hAnsiTheme="minorHAnsi" w:cs="Times New Roman"/>
          <w:color w:val="auto"/>
          <w:sz w:val="24"/>
          <w:szCs w:val="24"/>
        </w:rPr>
      </w:pPr>
      <w:bookmarkStart w:id="5" w:name="_Toc391970689"/>
      <w:r w:rsidRPr="002F393F">
        <w:rPr>
          <w:rFonts w:asciiTheme="minorHAnsi" w:hAnsiTheme="minorHAnsi" w:cs="Times New Roman"/>
          <w:color w:val="auto"/>
          <w:sz w:val="24"/>
          <w:szCs w:val="24"/>
        </w:rPr>
        <w:t xml:space="preserve">2.  </w:t>
      </w:r>
      <w:r w:rsidRPr="002F393F">
        <w:rPr>
          <w:rFonts w:asciiTheme="minorHAnsi" w:hAnsiTheme="minorHAnsi" w:cs="Times New Roman"/>
          <w:color w:val="auto"/>
          <w:sz w:val="24"/>
          <w:szCs w:val="24"/>
          <w:u w:val="single"/>
        </w:rPr>
        <w:t>How, by Whom, and for What Purpose Information Will Be Used</w:t>
      </w:r>
      <w:bookmarkEnd w:id="5"/>
    </w:p>
    <w:p w14:paraId="1F3F91EF" w14:textId="77777777" w:rsidR="006B0624" w:rsidRPr="002F393F" w:rsidRDefault="006B0624">
      <w:pPr>
        <w:rPr>
          <w:rFonts w:asciiTheme="minorHAnsi" w:hAnsiTheme="minorHAnsi"/>
          <w:sz w:val="24"/>
          <w:szCs w:val="24"/>
        </w:rPr>
      </w:pPr>
    </w:p>
    <w:p w14:paraId="64CE321F" w14:textId="77777777" w:rsidR="0063784E" w:rsidRPr="002F393F" w:rsidRDefault="00E332AA" w:rsidP="00E332AA">
      <w:pPr>
        <w:rPr>
          <w:rFonts w:asciiTheme="minorHAnsi" w:hAnsiTheme="minorHAnsi"/>
          <w:sz w:val="24"/>
          <w:szCs w:val="24"/>
        </w:rPr>
      </w:pPr>
      <w:r w:rsidRPr="002F393F">
        <w:rPr>
          <w:rFonts w:asciiTheme="minorHAnsi" w:hAnsiTheme="minorHAnsi"/>
          <w:sz w:val="24"/>
          <w:szCs w:val="24"/>
        </w:rPr>
        <w:t xml:space="preserve">The information collected </w:t>
      </w:r>
      <w:r w:rsidR="0063784E" w:rsidRPr="002F393F">
        <w:rPr>
          <w:rFonts w:asciiTheme="minorHAnsi" w:hAnsiTheme="minorHAnsi"/>
          <w:sz w:val="24"/>
          <w:szCs w:val="24"/>
        </w:rPr>
        <w:t xml:space="preserve">in </w:t>
      </w:r>
      <w:r w:rsidR="004B1F7D" w:rsidRPr="002F393F">
        <w:rPr>
          <w:rFonts w:asciiTheme="minorHAnsi" w:hAnsiTheme="minorHAnsi"/>
          <w:sz w:val="24"/>
          <w:szCs w:val="24"/>
        </w:rPr>
        <w:t xml:space="preserve">the </w:t>
      </w:r>
      <w:r w:rsidR="0063784E" w:rsidRPr="002F393F">
        <w:rPr>
          <w:rFonts w:asciiTheme="minorHAnsi" w:hAnsiTheme="minorHAnsi"/>
          <w:sz w:val="24"/>
          <w:szCs w:val="24"/>
        </w:rPr>
        <w:t xml:space="preserve">data collection effort will be used for </w:t>
      </w:r>
      <w:r w:rsidR="006152E9" w:rsidRPr="002F393F">
        <w:rPr>
          <w:rFonts w:asciiTheme="minorHAnsi" w:hAnsiTheme="minorHAnsi"/>
          <w:sz w:val="24"/>
          <w:szCs w:val="24"/>
        </w:rPr>
        <w:t>one main purpose</w:t>
      </w:r>
      <w:r w:rsidR="0063784E" w:rsidRPr="002F393F">
        <w:rPr>
          <w:rFonts w:asciiTheme="minorHAnsi" w:hAnsiTheme="minorHAnsi"/>
          <w:sz w:val="24"/>
          <w:szCs w:val="24"/>
        </w:rPr>
        <w:t>:</w:t>
      </w:r>
    </w:p>
    <w:p w14:paraId="5565C739" w14:textId="77777777" w:rsidR="004B1F7D" w:rsidRPr="002F393F" w:rsidRDefault="004B1F7D" w:rsidP="00E332AA">
      <w:pPr>
        <w:rPr>
          <w:rFonts w:asciiTheme="minorHAnsi" w:hAnsiTheme="minorHAnsi"/>
          <w:sz w:val="24"/>
          <w:szCs w:val="24"/>
        </w:rPr>
      </w:pPr>
    </w:p>
    <w:p w14:paraId="3C98A821" w14:textId="77777777" w:rsidR="004B1F7D" w:rsidRPr="002F393F" w:rsidRDefault="004B1F7D" w:rsidP="00E67427">
      <w:pPr>
        <w:ind w:left="720"/>
        <w:rPr>
          <w:rFonts w:asciiTheme="minorHAnsi" w:hAnsiTheme="minorHAnsi"/>
          <w:sz w:val="24"/>
          <w:szCs w:val="24"/>
        </w:rPr>
      </w:pPr>
      <w:r w:rsidRPr="002F393F">
        <w:rPr>
          <w:rFonts w:asciiTheme="minorHAnsi" w:hAnsiTheme="minorHAnsi"/>
          <w:b/>
          <w:sz w:val="24"/>
          <w:szCs w:val="24"/>
        </w:rPr>
        <w:t>Identify the current gaps in internal measurement</w:t>
      </w:r>
      <w:r w:rsidR="00B226F2" w:rsidRPr="002F393F">
        <w:rPr>
          <w:rFonts w:asciiTheme="minorHAnsi" w:hAnsiTheme="minorHAnsi"/>
          <w:b/>
          <w:sz w:val="24"/>
          <w:szCs w:val="24"/>
        </w:rPr>
        <w:t xml:space="preserve"> in physician practices</w:t>
      </w:r>
      <w:r w:rsidR="0063784E" w:rsidRPr="002F393F">
        <w:rPr>
          <w:rFonts w:asciiTheme="minorHAnsi" w:hAnsiTheme="minorHAnsi"/>
          <w:b/>
          <w:sz w:val="24"/>
          <w:szCs w:val="24"/>
        </w:rPr>
        <w:t>.</w:t>
      </w:r>
      <w:r w:rsidR="0063784E" w:rsidRPr="002F393F">
        <w:rPr>
          <w:rFonts w:asciiTheme="minorHAnsi" w:hAnsiTheme="minorHAnsi"/>
          <w:sz w:val="24"/>
          <w:szCs w:val="24"/>
        </w:rPr>
        <w:t xml:space="preserve">  The results from the</w:t>
      </w:r>
      <w:r w:rsidRPr="002F393F">
        <w:rPr>
          <w:rFonts w:asciiTheme="minorHAnsi" w:hAnsiTheme="minorHAnsi"/>
          <w:sz w:val="24"/>
          <w:szCs w:val="24"/>
        </w:rPr>
        <w:t xml:space="preserve"> data collection will </w:t>
      </w:r>
      <w:r w:rsidR="006152E9" w:rsidRPr="002F393F">
        <w:rPr>
          <w:rFonts w:asciiTheme="minorHAnsi" w:hAnsiTheme="minorHAnsi"/>
          <w:sz w:val="24"/>
          <w:szCs w:val="24"/>
        </w:rPr>
        <w:t xml:space="preserve">give AHRQ a snapshot on the current practices being </w:t>
      </w:r>
      <w:r w:rsidR="00B226F2" w:rsidRPr="002F393F">
        <w:rPr>
          <w:rFonts w:asciiTheme="minorHAnsi" w:hAnsiTheme="minorHAnsi"/>
          <w:sz w:val="24"/>
          <w:szCs w:val="24"/>
        </w:rPr>
        <w:t>under</w:t>
      </w:r>
      <w:r w:rsidR="006152E9" w:rsidRPr="002F393F">
        <w:rPr>
          <w:rFonts w:asciiTheme="minorHAnsi" w:hAnsiTheme="minorHAnsi"/>
          <w:sz w:val="24"/>
          <w:szCs w:val="24"/>
        </w:rPr>
        <w:t xml:space="preserve">taken for internal performance measurement </w:t>
      </w:r>
      <w:r w:rsidR="00B226F2" w:rsidRPr="002F393F">
        <w:rPr>
          <w:rFonts w:asciiTheme="minorHAnsi" w:hAnsiTheme="minorHAnsi"/>
          <w:sz w:val="24"/>
          <w:szCs w:val="24"/>
        </w:rPr>
        <w:t>and inform best next steps to move beyond this exploratory research phase</w:t>
      </w:r>
      <w:r w:rsidR="00E67427" w:rsidRPr="002F393F">
        <w:rPr>
          <w:rFonts w:asciiTheme="minorHAnsi" w:hAnsiTheme="minorHAnsi"/>
          <w:sz w:val="24"/>
          <w:szCs w:val="24"/>
        </w:rPr>
        <w:t>.</w:t>
      </w:r>
    </w:p>
    <w:p w14:paraId="4776CC56" w14:textId="77777777" w:rsidR="00AD3E2C" w:rsidRPr="002F393F" w:rsidRDefault="00AD3E2C" w:rsidP="00E332AA">
      <w:pPr>
        <w:rPr>
          <w:rFonts w:asciiTheme="minorHAnsi" w:hAnsiTheme="minorHAnsi"/>
          <w:sz w:val="24"/>
          <w:szCs w:val="24"/>
        </w:rPr>
      </w:pPr>
    </w:p>
    <w:p w14:paraId="3389CA9F" w14:textId="46FD64CB" w:rsidR="00566CFD" w:rsidRPr="002F393F" w:rsidRDefault="004B1F7D" w:rsidP="00ED6A78">
      <w:pPr>
        <w:rPr>
          <w:rFonts w:asciiTheme="minorHAnsi" w:hAnsiTheme="minorHAnsi"/>
          <w:sz w:val="24"/>
          <w:szCs w:val="24"/>
        </w:rPr>
      </w:pPr>
      <w:r w:rsidRPr="002F393F">
        <w:rPr>
          <w:rFonts w:asciiTheme="minorHAnsi" w:hAnsiTheme="minorHAnsi"/>
          <w:sz w:val="24"/>
          <w:szCs w:val="24"/>
        </w:rPr>
        <w:t>The intended target audiences expected to benefit most from the project include</w:t>
      </w:r>
      <w:r w:rsidR="00F706D8" w:rsidRPr="002F393F">
        <w:rPr>
          <w:rFonts w:asciiTheme="minorHAnsi" w:hAnsiTheme="minorHAnsi"/>
          <w:sz w:val="24"/>
          <w:szCs w:val="24"/>
        </w:rPr>
        <w:t xml:space="preserve"> the </w:t>
      </w:r>
      <w:r w:rsidR="00FB5853">
        <w:rPr>
          <w:rFonts w:asciiTheme="minorHAnsi" w:hAnsiTheme="minorHAnsi"/>
          <w:sz w:val="24"/>
          <w:szCs w:val="24"/>
        </w:rPr>
        <w:t>medical group</w:t>
      </w:r>
      <w:r w:rsidR="00F706D8" w:rsidRPr="002F393F">
        <w:rPr>
          <w:rFonts w:asciiTheme="minorHAnsi" w:hAnsiTheme="minorHAnsi"/>
          <w:sz w:val="24"/>
          <w:szCs w:val="24"/>
        </w:rPr>
        <w:t xml:space="preserve">s using this information to improve performance, the health care professionals who work in these </w:t>
      </w:r>
      <w:r w:rsidR="00FB5853">
        <w:rPr>
          <w:rFonts w:asciiTheme="minorHAnsi" w:hAnsiTheme="minorHAnsi"/>
          <w:sz w:val="24"/>
          <w:szCs w:val="24"/>
        </w:rPr>
        <w:t>medical group</w:t>
      </w:r>
      <w:r w:rsidR="00F706D8" w:rsidRPr="002F393F">
        <w:rPr>
          <w:rFonts w:asciiTheme="minorHAnsi" w:hAnsiTheme="minorHAnsi"/>
          <w:sz w:val="24"/>
          <w:szCs w:val="24"/>
        </w:rPr>
        <w:t xml:space="preserve">s working to improve their care to patients, and the patients that can benefit from improved care. One way this research could benefit these audiences is by informing </w:t>
      </w:r>
      <w:r w:rsidRPr="002F393F">
        <w:rPr>
          <w:rFonts w:asciiTheme="minorHAnsi" w:hAnsiTheme="minorHAnsi"/>
          <w:sz w:val="24"/>
          <w:szCs w:val="24"/>
        </w:rPr>
        <w:t xml:space="preserve">payment and reporting initiatives by providing indications of the degree to which providers view externally mandated measures as valuable for their internal quality assessment and reporting efforts.  </w:t>
      </w:r>
    </w:p>
    <w:p w14:paraId="482F0543" w14:textId="77777777" w:rsidR="0057087C" w:rsidRPr="002F393F" w:rsidRDefault="0057087C" w:rsidP="00ED6A78">
      <w:pPr>
        <w:pStyle w:val="Heading2"/>
        <w:rPr>
          <w:rFonts w:asciiTheme="minorHAnsi" w:hAnsiTheme="minorHAnsi" w:cs="Times New Roman"/>
          <w:color w:val="auto"/>
          <w:sz w:val="24"/>
          <w:szCs w:val="24"/>
          <w:u w:val="single"/>
        </w:rPr>
      </w:pPr>
      <w:bookmarkStart w:id="6" w:name="_Toc391970690"/>
      <w:r w:rsidRPr="002F393F">
        <w:rPr>
          <w:rFonts w:asciiTheme="minorHAnsi" w:hAnsiTheme="minorHAnsi" w:cs="Times New Roman"/>
          <w:color w:val="auto"/>
          <w:sz w:val="24"/>
          <w:szCs w:val="24"/>
        </w:rPr>
        <w:t xml:space="preserve">3.  </w:t>
      </w:r>
      <w:r w:rsidRPr="002F393F">
        <w:rPr>
          <w:rFonts w:asciiTheme="minorHAnsi" w:hAnsiTheme="minorHAnsi" w:cs="Times New Roman"/>
          <w:color w:val="auto"/>
          <w:sz w:val="24"/>
          <w:szCs w:val="24"/>
          <w:u w:val="single"/>
        </w:rPr>
        <w:t>Use of Improved Information Technology</w:t>
      </w:r>
      <w:bookmarkEnd w:id="6"/>
    </w:p>
    <w:p w14:paraId="4EE9AA77" w14:textId="77777777" w:rsidR="006B0624" w:rsidRPr="002F393F" w:rsidRDefault="006B0624">
      <w:pPr>
        <w:rPr>
          <w:rFonts w:asciiTheme="minorHAnsi" w:hAnsiTheme="minorHAnsi"/>
          <w:sz w:val="24"/>
          <w:szCs w:val="24"/>
        </w:rPr>
      </w:pPr>
    </w:p>
    <w:p w14:paraId="753D69E0" w14:textId="7F0A8425" w:rsidR="00770FA1" w:rsidRPr="002F393F" w:rsidRDefault="00D801AF">
      <w:pPr>
        <w:rPr>
          <w:rFonts w:asciiTheme="minorHAnsi" w:hAnsiTheme="minorHAnsi"/>
          <w:sz w:val="24"/>
          <w:szCs w:val="24"/>
        </w:rPr>
      </w:pPr>
      <w:r w:rsidRPr="002F393F">
        <w:rPr>
          <w:rFonts w:asciiTheme="minorHAnsi" w:hAnsiTheme="minorHAnsi"/>
          <w:sz w:val="24"/>
          <w:szCs w:val="24"/>
        </w:rPr>
        <w:t xml:space="preserve">The </w:t>
      </w:r>
      <w:r w:rsidR="00175902" w:rsidRPr="002F393F">
        <w:rPr>
          <w:rFonts w:asciiTheme="minorHAnsi" w:hAnsiTheme="minorHAnsi"/>
          <w:sz w:val="24"/>
          <w:szCs w:val="24"/>
        </w:rPr>
        <w:t>study d</w:t>
      </w:r>
      <w:r w:rsidR="00AD3E2C" w:rsidRPr="002F393F">
        <w:rPr>
          <w:rFonts w:asciiTheme="minorHAnsi" w:hAnsiTheme="minorHAnsi"/>
          <w:sz w:val="24"/>
          <w:szCs w:val="24"/>
        </w:rPr>
        <w:t>ata collection</w:t>
      </w:r>
      <w:r w:rsidRPr="002F393F">
        <w:rPr>
          <w:rFonts w:asciiTheme="minorHAnsi" w:hAnsiTheme="minorHAnsi"/>
          <w:sz w:val="24"/>
          <w:szCs w:val="24"/>
        </w:rPr>
        <w:t xml:space="preserve"> </w:t>
      </w:r>
      <w:r w:rsidR="00AD3E2C" w:rsidRPr="002F393F">
        <w:rPr>
          <w:rFonts w:asciiTheme="minorHAnsi" w:hAnsiTheme="minorHAnsi"/>
          <w:sz w:val="24"/>
          <w:szCs w:val="24"/>
        </w:rPr>
        <w:t xml:space="preserve">will be conducted </w:t>
      </w:r>
      <w:r w:rsidR="009D7D6B" w:rsidRPr="002F393F">
        <w:rPr>
          <w:rFonts w:asciiTheme="minorHAnsi" w:hAnsiTheme="minorHAnsi"/>
          <w:sz w:val="24"/>
          <w:szCs w:val="24"/>
        </w:rPr>
        <w:t xml:space="preserve">using </w:t>
      </w:r>
      <w:r w:rsidR="006E6190" w:rsidRPr="002F393F">
        <w:rPr>
          <w:rFonts w:asciiTheme="minorHAnsi" w:hAnsiTheme="minorHAnsi"/>
          <w:sz w:val="24"/>
          <w:szCs w:val="24"/>
        </w:rPr>
        <w:t>W</w:t>
      </w:r>
      <w:r w:rsidR="009D7D6B" w:rsidRPr="002F393F">
        <w:rPr>
          <w:rFonts w:asciiTheme="minorHAnsi" w:hAnsiTheme="minorHAnsi"/>
          <w:sz w:val="24"/>
          <w:szCs w:val="24"/>
        </w:rPr>
        <w:t>eb</w:t>
      </w:r>
      <w:r w:rsidR="00B64F6D" w:rsidRPr="002F393F">
        <w:rPr>
          <w:rFonts w:asciiTheme="minorHAnsi" w:hAnsiTheme="minorHAnsi"/>
          <w:sz w:val="24"/>
          <w:szCs w:val="24"/>
        </w:rPr>
        <w:t>Ex</w:t>
      </w:r>
      <w:r w:rsidR="009D7D6B" w:rsidRPr="002F393F">
        <w:rPr>
          <w:rFonts w:asciiTheme="minorHAnsi" w:hAnsiTheme="minorHAnsi"/>
          <w:sz w:val="24"/>
          <w:szCs w:val="24"/>
        </w:rPr>
        <w:t xml:space="preserve"> </w:t>
      </w:r>
      <w:r w:rsidR="00B64F6D" w:rsidRPr="002F393F">
        <w:rPr>
          <w:rFonts w:asciiTheme="minorHAnsi" w:hAnsiTheme="minorHAnsi"/>
          <w:sz w:val="24"/>
          <w:szCs w:val="24"/>
        </w:rPr>
        <w:t>to facilitate the interviews when they cannot be conducted in-person. The use of WebEx will significantly reduce the cost of the study since travel will not be necessary</w:t>
      </w:r>
      <w:r w:rsidR="004C4585">
        <w:rPr>
          <w:rFonts w:asciiTheme="minorHAnsi" w:hAnsiTheme="minorHAnsi"/>
          <w:sz w:val="24"/>
          <w:szCs w:val="24"/>
        </w:rPr>
        <w:t xml:space="preserve"> for all interviews</w:t>
      </w:r>
      <w:r w:rsidR="00F706D8" w:rsidRPr="002F393F">
        <w:rPr>
          <w:rFonts w:asciiTheme="minorHAnsi" w:hAnsiTheme="minorHAnsi"/>
          <w:sz w:val="24"/>
          <w:szCs w:val="24"/>
        </w:rPr>
        <w:t xml:space="preserve">. WebEx facilitates secure recording and use of WebEx facilitates </w:t>
      </w:r>
      <w:r w:rsidR="00AD4020">
        <w:rPr>
          <w:rFonts w:asciiTheme="minorHAnsi" w:hAnsiTheme="minorHAnsi"/>
          <w:sz w:val="24"/>
          <w:szCs w:val="24"/>
        </w:rPr>
        <w:t>AHRQ’s</w:t>
      </w:r>
      <w:r w:rsidR="00AD4020" w:rsidRPr="002F393F">
        <w:rPr>
          <w:rFonts w:asciiTheme="minorHAnsi" w:hAnsiTheme="minorHAnsi"/>
          <w:sz w:val="24"/>
          <w:szCs w:val="24"/>
        </w:rPr>
        <w:t xml:space="preserve"> </w:t>
      </w:r>
      <w:r w:rsidR="00F706D8" w:rsidRPr="002F393F">
        <w:rPr>
          <w:rFonts w:asciiTheme="minorHAnsi" w:hAnsiTheme="minorHAnsi"/>
          <w:sz w:val="24"/>
          <w:szCs w:val="24"/>
        </w:rPr>
        <w:t>ability to observe data collection as appropriate</w:t>
      </w:r>
      <w:r w:rsidR="00B64F6D" w:rsidRPr="002F393F">
        <w:rPr>
          <w:rFonts w:asciiTheme="minorHAnsi" w:hAnsiTheme="minorHAnsi"/>
          <w:sz w:val="24"/>
          <w:szCs w:val="24"/>
        </w:rPr>
        <w:t>. The study will also use</w:t>
      </w:r>
      <w:r w:rsidR="00F706D8" w:rsidRPr="002F393F">
        <w:rPr>
          <w:rFonts w:asciiTheme="minorHAnsi" w:hAnsiTheme="minorHAnsi"/>
          <w:sz w:val="24"/>
          <w:szCs w:val="24"/>
        </w:rPr>
        <w:t xml:space="preserve"> the digital qualitative research tool, Dedoose. This </w:t>
      </w:r>
      <w:r w:rsidR="00B64F6D" w:rsidRPr="002F393F">
        <w:rPr>
          <w:rFonts w:asciiTheme="minorHAnsi" w:hAnsiTheme="minorHAnsi"/>
          <w:sz w:val="24"/>
          <w:szCs w:val="24"/>
        </w:rPr>
        <w:t>software</w:t>
      </w:r>
      <w:r w:rsidR="00F706D8" w:rsidRPr="002F393F">
        <w:rPr>
          <w:rFonts w:asciiTheme="minorHAnsi" w:hAnsiTheme="minorHAnsi"/>
          <w:sz w:val="24"/>
          <w:szCs w:val="24"/>
        </w:rPr>
        <w:t xml:space="preserve"> allows </w:t>
      </w:r>
      <w:r w:rsidR="00B64F6D" w:rsidRPr="002F393F">
        <w:rPr>
          <w:rFonts w:asciiTheme="minorHAnsi" w:hAnsiTheme="minorHAnsi"/>
          <w:sz w:val="24"/>
          <w:szCs w:val="24"/>
        </w:rPr>
        <w:t>all data from the study</w:t>
      </w:r>
      <w:r w:rsidR="00F706D8" w:rsidRPr="002F393F">
        <w:rPr>
          <w:rFonts w:asciiTheme="minorHAnsi" w:hAnsiTheme="minorHAnsi"/>
          <w:sz w:val="24"/>
          <w:szCs w:val="24"/>
        </w:rPr>
        <w:t xml:space="preserve"> </w:t>
      </w:r>
      <w:r w:rsidR="00AD4020">
        <w:rPr>
          <w:rFonts w:asciiTheme="minorHAnsi" w:hAnsiTheme="minorHAnsi"/>
          <w:sz w:val="24"/>
          <w:szCs w:val="24"/>
        </w:rPr>
        <w:t xml:space="preserve">to be housed </w:t>
      </w:r>
      <w:r w:rsidR="00F706D8" w:rsidRPr="002F393F">
        <w:rPr>
          <w:rFonts w:asciiTheme="minorHAnsi" w:hAnsiTheme="minorHAnsi"/>
          <w:sz w:val="24"/>
          <w:szCs w:val="24"/>
        </w:rPr>
        <w:t>in a secure, cloud-based environment</w:t>
      </w:r>
      <w:r w:rsidR="00B64F6D" w:rsidRPr="002F393F">
        <w:rPr>
          <w:rFonts w:asciiTheme="minorHAnsi" w:hAnsiTheme="minorHAnsi"/>
          <w:sz w:val="24"/>
          <w:szCs w:val="24"/>
        </w:rPr>
        <w:t xml:space="preserve">, </w:t>
      </w:r>
      <w:r w:rsidR="00AD4020">
        <w:rPr>
          <w:rFonts w:asciiTheme="minorHAnsi" w:hAnsiTheme="minorHAnsi"/>
          <w:sz w:val="24"/>
          <w:szCs w:val="24"/>
        </w:rPr>
        <w:t xml:space="preserve">which provides the full project team </w:t>
      </w:r>
      <w:r w:rsidR="00F706D8" w:rsidRPr="002F393F">
        <w:rPr>
          <w:rFonts w:asciiTheme="minorHAnsi" w:hAnsiTheme="minorHAnsi"/>
          <w:sz w:val="24"/>
          <w:szCs w:val="24"/>
        </w:rPr>
        <w:t>access to the data</w:t>
      </w:r>
      <w:r w:rsidR="00AD4020">
        <w:rPr>
          <w:rFonts w:asciiTheme="minorHAnsi" w:hAnsiTheme="minorHAnsi"/>
          <w:sz w:val="24"/>
          <w:szCs w:val="24"/>
        </w:rPr>
        <w:t xml:space="preserve"> and</w:t>
      </w:r>
      <w:r w:rsidR="00F706D8" w:rsidRPr="002F393F">
        <w:rPr>
          <w:rFonts w:asciiTheme="minorHAnsi" w:hAnsiTheme="minorHAnsi"/>
          <w:sz w:val="24"/>
          <w:szCs w:val="24"/>
        </w:rPr>
        <w:t xml:space="preserve"> </w:t>
      </w:r>
      <w:r w:rsidR="00AD4020">
        <w:rPr>
          <w:rFonts w:asciiTheme="minorHAnsi" w:hAnsiTheme="minorHAnsi"/>
          <w:sz w:val="24"/>
          <w:szCs w:val="24"/>
        </w:rPr>
        <w:t xml:space="preserve">the </w:t>
      </w:r>
      <w:r w:rsidR="00F706D8" w:rsidRPr="002F393F">
        <w:rPr>
          <w:rFonts w:asciiTheme="minorHAnsi" w:hAnsiTheme="minorHAnsi"/>
          <w:sz w:val="24"/>
          <w:szCs w:val="24"/>
        </w:rPr>
        <w:t xml:space="preserve">ability to view and analyze the data efficiently and completely, and it ensures efficient and complete transmission of all data and analyses to AHRQ at the conclusion of the study. </w:t>
      </w:r>
    </w:p>
    <w:p w14:paraId="1B92E881" w14:textId="77777777" w:rsidR="0057087C" w:rsidRPr="002F393F" w:rsidRDefault="0057087C" w:rsidP="008C5826">
      <w:pPr>
        <w:pStyle w:val="Heading2"/>
        <w:rPr>
          <w:rFonts w:asciiTheme="minorHAnsi" w:hAnsiTheme="minorHAnsi" w:cs="Times New Roman"/>
          <w:color w:val="auto"/>
          <w:sz w:val="24"/>
          <w:szCs w:val="24"/>
        </w:rPr>
      </w:pPr>
      <w:bookmarkStart w:id="7" w:name="_Toc391970691"/>
      <w:r w:rsidRPr="002F393F">
        <w:rPr>
          <w:rFonts w:asciiTheme="minorHAnsi" w:hAnsiTheme="minorHAnsi" w:cs="Times New Roman"/>
          <w:color w:val="auto"/>
          <w:sz w:val="24"/>
          <w:szCs w:val="24"/>
        </w:rPr>
        <w:t xml:space="preserve">4.  </w:t>
      </w:r>
      <w:r w:rsidRPr="002F393F">
        <w:rPr>
          <w:rFonts w:asciiTheme="minorHAnsi" w:hAnsiTheme="minorHAnsi" w:cs="Times New Roman"/>
          <w:color w:val="auto"/>
          <w:sz w:val="24"/>
          <w:szCs w:val="24"/>
          <w:u w:val="single"/>
        </w:rPr>
        <w:t>Efforts to Avoid Duplication</w:t>
      </w:r>
      <w:bookmarkEnd w:id="7"/>
      <w:r w:rsidR="00E34199" w:rsidRPr="002F393F">
        <w:rPr>
          <w:rFonts w:asciiTheme="minorHAnsi" w:hAnsiTheme="minorHAnsi" w:cs="Times New Roman"/>
          <w:color w:val="auto"/>
          <w:sz w:val="24"/>
          <w:szCs w:val="24"/>
          <w:u w:val="single"/>
        </w:rPr>
        <w:t xml:space="preserve"> </w:t>
      </w:r>
    </w:p>
    <w:p w14:paraId="6DEE6D7C" w14:textId="77777777" w:rsidR="008D5175" w:rsidRPr="002F393F" w:rsidRDefault="008D5175" w:rsidP="00D07533">
      <w:pPr>
        <w:rPr>
          <w:rFonts w:asciiTheme="minorHAnsi" w:hAnsiTheme="minorHAnsi"/>
          <w:sz w:val="24"/>
          <w:szCs w:val="24"/>
        </w:rPr>
      </w:pPr>
    </w:p>
    <w:p w14:paraId="6EEB18F8" w14:textId="4F45FF2B" w:rsidR="004E1849" w:rsidRPr="002F393F" w:rsidRDefault="004E1849" w:rsidP="00D07533">
      <w:pPr>
        <w:rPr>
          <w:rFonts w:asciiTheme="minorHAnsi" w:hAnsiTheme="minorHAnsi"/>
          <w:sz w:val="24"/>
          <w:szCs w:val="24"/>
        </w:rPr>
      </w:pPr>
      <w:r w:rsidRPr="002F393F">
        <w:rPr>
          <w:rFonts w:asciiTheme="minorHAnsi" w:hAnsiTheme="minorHAnsi"/>
          <w:sz w:val="24"/>
          <w:szCs w:val="24"/>
        </w:rPr>
        <w:t xml:space="preserve">As previously mentioned, this study is an important first step to fully understanding measurement for performance improvement in </w:t>
      </w:r>
      <w:r w:rsidR="00FB5853">
        <w:rPr>
          <w:rFonts w:asciiTheme="minorHAnsi" w:hAnsiTheme="minorHAnsi"/>
          <w:sz w:val="24"/>
          <w:szCs w:val="24"/>
        </w:rPr>
        <w:t>medical group</w:t>
      </w:r>
      <w:r w:rsidRPr="002F393F">
        <w:rPr>
          <w:rFonts w:asciiTheme="minorHAnsi" w:hAnsiTheme="minorHAnsi"/>
          <w:sz w:val="24"/>
          <w:szCs w:val="24"/>
        </w:rPr>
        <w:t>s. This exploratory research is expected to set the stage for informing future research and policy discussions, both of which could ultimately have more direct impact on providers, payers, and patients. As a critical first step, however, this research breaks new ground in an important area of health care research.</w:t>
      </w:r>
    </w:p>
    <w:p w14:paraId="4C29C3BA" w14:textId="77777777" w:rsidR="00483A9A" w:rsidRPr="002F393F" w:rsidRDefault="00483A9A" w:rsidP="00D07533">
      <w:pPr>
        <w:rPr>
          <w:rFonts w:asciiTheme="minorHAnsi" w:hAnsiTheme="minorHAnsi"/>
          <w:sz w:val="24"/>
          <w:szCs w:val="24"/>
        </w:rPr>
      </w:pPr>
    </w:p>
    <w:p w14:paraId="7946841E" w14:textId="79F6D37D" w:rsidR="004D12E6" w:rsidRPr="002F393F" w:rsidRDefault="00AD4020" w:rsidP="004D12E6">
      <w:pPr>
        <w:rPr>
          <w:rFonts w:asciiTheme="minorHAnsi" w:hAnsiTheme="minorHAnsi"/>
          <w:sz w:val="24"/>
          <w:szCs w:val="24"/>
        </w:rPr>
      </w:pPr>
      <w:r>
        <w:rPr>
          <w:rFonts w:asciiTheme="minorHAnsi" w:hAnsiTheme="minorHAnsi"/>
          <w:sz w:val="24"/>
          <w:szCs w:val="24"/>
        </w:rPr>
        <w:t>The</w:t>
      </w:r>
      <w:r w:rsidR="004E1849" w:rsidRPr="002F393F">
        <w:rPr>
          <w:rFonts w:asciiTheme="minorHAnsi" w:hAnsiTheme="minorHAnsi"/>
          <w:sz w:val="24"/>
          <w:szCs w:val="24"/>
        </w:rPr>
        <w:t xml:space="preserve"> study is entirely exploratory in nature, and thus,</w:t>
      </w:r>
      <w:r w:rsidR="00842775" w:rsidRPr="002F393F">
        <w:rPr>
          <w:rFonts w:asciiTheme="minorHAnsi" w:hAnsiTheme="minorHAnsi"/>
          <w:sz w:val="24"/>
          <w:szCs w:val="24"/>
        </w:rPr>
        <w:t xml:space="preserve"> there are no current studies that are similar in nature. Although there have been prior studies on how external measurement is used </w:t>
      </w:r>
      <w:r w:rsidR="00CA7D85" w:rsidRPr="002F393F">
        <w:rPr>
          <w:rFonts w:asciiTheme="minorHAnsi" w:hAnsiTheme="minorHAnsi"/>
          <w:sz w:val="24"/>
          <w:szCs w:val="24"/>
        </w:rPr>
        <w:t xml:space="preserve">in </w:t>
      </w:r>
      <w:r w:rsidR="00FB5853">
        <w:rPr>
          <w:rFonts w:asciiTheme="minorHAnsi" w:hAnsiTheme="minorHAnsi"/>
          <w:sz w:val="24"/>
          <w:szCs w:val="24"/>
        </w:rPr>
        <w:t>medical group</w:t>
      </w:r>
      <w:r w:rsidR="00CA7D85" w:rsidRPr="002F393F">
        <w:rPr>
          <w:rFonts w:asciiTheme="minorHAnsi" w:hAnsiTheme="minorHAnsi"/>
          <w:sz w:val="24"/>
          <w:szCs w:val="24"/>
        </w:rPr>
        <w:t>s</w:t>
      </w:r>
      <w:r w:rsidR="00842775" w:rsidRPr="002F393F">
        <w:rPr>
          <w:rFonts w:asciiTheme="minorHAnsi" w:hAnsiTheme="minorHAnsi"/>
          <w:sz w:val="24"/>
          <w:szCs w:val="24"/>
        </w:rPr>
        <w:t xml:space="preserve">, the use of internal measurement and the motivation behind </w:t>
      </w:r>
      <w:r w:rsidR="00CA7D85" w:rsidRPr="002F393F">
        <w:rPr>
          <w:rFonts w:asciiTheme="minorHAnsi" w:hAnsiTheme="minorHAnsi"/>
          <w:sz w:val="24"/>
          <w:szCs w:val="24"/>
        </w:rPr>
        <w:t xml:space="preserve">and burdens related to use of internal measurement </w:t>
      </w:r>
      <w:r w:rsidR="00842775" w:rsidRPr="002F393F">
        <w:rPr>
          <w:rFonts w:asciiTheme="minorHAnsi" w:hAnsiTheme="minorHAnsi"/>
          <w:sz w:val="24"/>
          <w:szCs w:val="24"/>
        </w:rPr>
        <w:t>has not been studied</w:t>
      </w:r>
      <w:r w:rsidR="00CA7D85" w:rsidRPr="002F393F">
        <w:rPr>
          <w:rFonts w:asciiTheme="minorHAnsi" w:hAnsiTheme="minorHAnsi"/>
          <w:sz w:val="24"/>
          <w:szCs w:val="24"/>
        </w:rPr>
        <w:t>, especially not in a larger, diverse national sample</w:t>
      </w:r>
      <w:r>
        <w:rPr>
          <w:rFonts w:asciiTheme="minorHAnsi" w:hAnsiTheme="minorHAnsi"/>
          <w:sz w:val="24"/>
          <w:szCs w:val="24"/>
        </w:rPr>
        <w:t xml:space="preserve"> like the one proposed for this project</w:t>
      </w:r>
      <w:r w:rsidR="00842775" w:rsidRPr="002F393F">
        <w:rPr>
          <w:rFonts w:asciiTheme="minorHAnsi" w:hAnsiTheme="minorHAnsi"/>
          <w:sz w:val="24"/>
          <w:szCs w:val="24"/>
        </w:rPr>
        <w:t>.</w:t>
      </w:r>
    </w:p>
    <w:p w14:paraId="21477307" w14:textId="77777777" w:rsidR="00100DDD" w:rsidRPr="002F393F" w:rsidRDefault="00100DDD" w:rsidP="004D12E6">
      <w:pPr>
        <w:rPr>
          <w:rFonts w:asciiTheme="minorHAnsi" w:hAnsiTheme="minorHAnsi"/>
          <w:sz w:val="24"/>
          <w:szCs w:val="24"/>
        </w:rPr>
      </w:pPr>
    </w:p>
    <w:p w14:paraId="4D149E3F" w14:textId="77777777" w:rsidR="0057087C" w:rsidRPr="002F393F" w:rsidRDefault="0057087C" w:rsidP="008C5826">
      <w:pPr>
        <w:pStyle w:val="Heading2"/>
        <w:rPr>
          <w:rFonts w:asciiTheme="minorHAnsi" w:hAnsiTheme="minorHAnsi" w:cs="Times New Roman"/>
          <w:color w:val="auto"/>
          <w:sz w:val="24"/>
          <w:szCs w:val="24"/>
          <w:u w:val="single"/>
        </w:rPr>
      </w:pPr>
      <w:bookmarkStart w:id="8" w:name="_Toc391970692"/>
      <w:r w:rsidRPr="002F393F">
        <w:rPr>
          <w:rFonts w:asciiTheme="minorHAnsi" w:hAnsiTheme="minorHAnsi" w:cs="Times New Roman"/>
          <w:color w:val="auto"/>
          <w:sz w:val="24"/>
          <w:szCs w:val="24"/>
        </w:rPr>
        <w:t xml:space="preserve">5.  </w:t>
      </w:r>
      <w:r w:rsidR="001D6B6C" w:rsidRPr="002F393F">
        <w:rPr>
          <w:rFonts w:asciiTheme="minorHAnsi" w:hAnsiTheme="minorHAnsi" w:cs="Times New Roman"/>
          <w:color w:val="auto"/>
          <w:sz w:val="24"/>
          <w:szCs w:val="24"/>
          <w:u w:val="single"/>
        </w:rPr>
        <w:t>Involvement of</w:t>
      </w:r>
      <w:r w:rsidR="001936AB" w:rsidRPr="002F393F">
        <w:rPr>
          <w:rFonts w:asciiTheme="minorHAnsi" w:hAnsiTheme="minorHAnsi" w:cs="Times New Roman"/>
          <w:color w:val="auto"/>
          <w:sz w:val="24"/>
          <w:szCs w:val="24"/>
          <w:u w:val="single"/>
        </w:rPr>
        <w:t xml:space="preserve"> </w:t>
      </w:r>
      <w:r w:rsidRPr="002F393F">
        <w:rPr>
          <w:rFonts w:asciiTheme="minorHAnsi" w:hAnsiTheme="minorHAnsi" w:cs="Times New Roman"/>
          <w:color w:val="auto"/>
          <w:sz w:val="24"/>
          <w:szCs w:val="24"/>
          <w:u w:val="single"/>
        </w:rPr>
        <w:t>Small Businesses</w:t>
      </w:r>
      <w:bookmarkEnd w:id="8"/>
    </w:p>
    <w:p w14:paraId="2B07B466" w14:textId="77777777" w:rsidR="0057087C" w:rsidRPr="002F393F" w:rsidRDefault="0057087C">
      <w:pPr>
        <w:rPr>
          <w:rFonts w:asciiTheme="minorHAnsi" w:hAnsiTheme="minorHAnsi"/>
          <w:sz w:val="24"/>
          <w:szCs w:val="24"/>
        </w:rPr>
      </w:pPr>
    </w:p>
    <w:p w14:paraId="61A07AE7" w14:textId="77777777" w:rsidR="00D07533" w:rsidRDefault="00C91269">
      <w:pPr>
        <w:rPr>
          <w:rFonts w:asciiTheme="minorHAnsi" w:hAnsiTheme="minorHAnsi"/>
          <w:sz w:val="24"/>
          <w:szCs w:val="24"/>
        </w:rPr>
      </w:pPr>
      <w:r w:rsidRPr="002F393F">
        <w:rPr>
          <w:rFonts w:asciiTheme="minorHAnsi" w:hAnsiTheme="minorHAnsi"/>
          <w:sz w:val="24"/>
          <w:szCs w:val="24"/>
        </w:rPr>
        <w:t xml:space="preserve">It is </w:t>
      </w:r>
      <w:r w:rsidR="00842775" w:rsidRPr="002F393F">
        <w:rPr>
          <w:rFonts w:asciiTheme="minorHAnsi" w:hAnsiTheme="minorHAnsi"/>
          <w:sz w:val="24"/>
          <w:szCs w:val="24"/>
        </w:rPr>
        <w:t>possible</w:t>
      </w:r>
      <w:r w:rsidRPr="002F393F">
        <w:rPr>
          <w:rFonts w:asciiTheme="minorHAnsi" w:hAnsiTheme="minorHAnsi"/>
          <w:sz w:val="24"/>
          <w:szCs w:val="24"/>
        </w:rPr>
        <w:t xml:space="preserve"> that </w:t>
      </w:r>
      <w:r w:rsidR="00842775" w:rsidRPr="002F393F">
        <w:rPr>
          <w:rFonts w:asciiTheme="minorHAnsi" w:hAnsiTheme="minorHAnsi"/>
          <w:sz w:val="24"/>
          <w:szCs w:val="24"/>
        </w:rPr>
        <w:t>some small</w:t>
      </w:r>
      <w:r w:rsidRPr="002F393F">
        <w:rPr>
          <w:rFonts w:asciiTheme="minorHAnsi" w:hAnsiTheme="minorHAnsi"/>
          <w:sz w:val="24"/>
          <w:szCs w:val="24"/>
        </w:rPr>
        <w:t xml:space="preserve"> </w:t>
      </w:r>
      <w:r w:rsidR="00842775" w:rsidRPr="002F393F">
        <w:rPr>
          <w:rFonts w:asciiTheme="minorHAnsi" w:hAnsiTheme="minorHAnsi"/>
          <w:sz w:val="24"/>
          <w:szCs w:val="24"/>
        </w:rPr>
        <w:t>group practices</w:t>
      </w:r>
      <w:r w:rsidR="002C0B1B" w:rsidRPr="002F393F">
        <w:rPr>
          <w:rFonts w:asciiTheme="minorHAnsi" w:hAnsiTheme="minorHAnsi"/>
          <w:sz w:val="24"/>
          <w:szCs w:val="24"/>
        </w:rPr>
        <w:t xml:space="preserve"> participating in this </w:t>
      </w:r>
      <w:r w:rsidR="00842775" w:rsidRPr="002F393F">
        <w:rPr>
          <w:rFonts w:asciiTheme="minorHAnsi" w:hAnsiTheme="minorHAnsi"/>
          <w:sz w:val="24"/>
          <w:szCs w:val="24"/>
        </w:rPr>
        <w:t>study</w:t>
      </w:r>
      <w:r w:rsidR="002C0B1B" w:rsidRPr="002F393F">
        <w:rPr>
          <w:rFonts w:asciiTheme="minorHAnsi" w:hAnsiTheme="minorHAnsi"/>
          <w:sz w:val="24"/>
          <w:szCs w:val="24"/>
        </w:rPr>
        <w:t xml:space="preserve"> </w:t>
      </w:r>
      <w:r w:rsidR="0013058C" w:rsidRPr="002F393F">
        <w:rPr>
          <w:rFonts w:asciiTheme="minorHAnsi" w:hAnsiTheme="minorHAnsi"/>
          <w:sz w:val="24"/>
          <w:szCs w:val="24"/>
        </w:rPr>
        <w:t>will be</w:t>
      </w:r>
      <w:r w:rsidR="002C0B1B" w:rsidRPr="002F393F">
        <w:rPr>
          <w:rFonts w:asciiTheme="minorHAnsi" w:hAnsiTheme="minorHAnsi"/>
          <w:sz w:val="24"/>
          <w:szCs w:val="24"/>
        </w:rPr>
        <w:t xml:space="preserve"> small businesses.</w:t>
      </w:r>
      <w:r w:rsidR="002F393F">
        <w:rPr>
          <w:rFonts w:asciiTheme="minorHAnsi" w:hAnsiTheme="minorHAnsi"/>
          <w:sz w:val="24"/>
          <w:szCs w:val="24"/>
        </w:rPr>
        <w:t xml:space="preserve"> However, there are not any specific small business goals or considerations.</w:t>
      </w:r>
      <w:r w:rsidR="002C0B1B" w:rsidRPr="002F393F">
        <w:rPr>
          <w:rFonts w:asciiTheme="minorHAnsi" w:hAnsiTheme="minorHAnsi"/>
          <w:sz w:val="24"/>
          <w:szCs w:val="24"/>
        </w:rPr>
        <w:t xml:space="preserve"> </w:t>
      </w:r>
    </w:p>
    <w:p w14:paraId="6497E58E" w14:textId="77777777" w:rsidR="009742CE" w:rsidRPr="002F393F" w:rsidRDefault="009742CE">
      <w:pPr>
        <w:rPr>
          <w:rFonts w:asciiTheme="minorHAnsi" w:hAnsiTheme="minorHAnsi"/>
          <w:sz w:val="24"/>
          <w:szCs w:val="24"/>
        </w:rPr>
      </w:pPr>
    </w:p>
    <w:p w14:paraId="02BFA5A2" w14:textId="77777777" w:rsidR="0057087C" w:rsidRPr="002F393F" w:rsidRDefault="0057087C" w:rsidP="008C5826">
      <w:pPr>
        <w:pStyle w:val="Heading2"/>
        <w:rPr>
          <w:rFonts w:asciiTheme="minorHAnsi" w:hAnsiTheme="minorHAnsi" w:cs="Times New Roman"/>
          <w:color w:val="auto"/>
          <w:sz w:val="24"/>
          <w:szCs w:val="24"/>
        </w:rPr>
      </w:pPr>
      <w:bookmarkStart w:id="9" w:name="_Toc391970693"/>
      <w:r w:rsidRPr="002F393F">
        <w:rPr>
          <w:rFonts w:asciiTheme="minorHAnsi" w:hAnsiTheme="minorHAnsi" w:cs="Times New Roman"/>
          <w:color w:val="auto"/>
          <w:sz w:val="24"/>
          <w:szCs w:val="24"/>
        </w:rPr>
        <w:t xml:space="preserve">6.  </w:t>
      </w:r>
      <w:r w:rsidRPr="002F393F">
        <w:rPr>
          <w:rFonts w:asciiTheme="minorHAnsi" w:hAnsiTheme="minorHAnsi" w:cs="Times New Roman"/>
          <w:color w:val="auto"/>
          <w:sz w:val="24"/>
          <w:szCs w:val="24"/>
          <w:u w:val="single"/>
        </w:rPr>
        <w:t xml:space="preserve">Consequences </w:t>
      </w:r>
      <w:r w:rsidR="001936AB" w:rsidRPr="002F393F">
        <w:rPr>
          <w:rFonts w:asciiTheme="minorHAnsi" w:hAnsiTheme="minorHAnsi" w:cs="Times New Roman"/>
          <w:color w:val="auto"/>
          <w:sz w:val="24"/>
          <w:szCs w:val="24"/>
          <w:u w:val="single"/>
        </w:rPr>
        <w:t>if Information Collected Less Frequently</w:t>
      </w:r>
      <w:bookmarkEnd w:id="9"/>
    </w:p>
    <w:p w14:paraId="0D41F79E" w14:textId="77777777" w:rsidR="0057087C" w:rsidRPr="002F393F" w:rsidRDefault="0057087C">
      <w:pPr>
        <w:rPr>
          <w:rFonts w:asciiTheme="minorHAnsi" w:hAnsiTheme="minorHAnsi"/>
          <w:sz w:val="24"/>
          <w:szCs w:val="24"/>
        </w:rPr>
      </w:pPr>
    </w:p>
    <w:p w14:paraId="36C531FB" w14:textId="77777777" w:rsidR="0057087C" w:rsidRPr="002F393F" w:rsidRDefault="0057087C">
      <w:pPr>
        <w:rPr>
          <w:rFonts w:asciiTheme="minorHAnsi" w:hAnsiTheme="minorHAnsi"/>
          <w:sz w:val="24"/>
          <w:szCs w:val="24"/>
        </w:rPr>
      </w:pPr>
      <w:r w:rsidRPr="002F393F">
        <w:rPr>
          <w:rFonts w:asciiTheme="minorHAnsi" w:hAnsiTheme="minorHAnsi"/>
          <w:sz w:val="24"/>
          <w:szCs w:val="24"/>
        </w:rPr>
        <w:t xml:space="preserve">This effort is a one-time </w:t>
      </w:r>
      <w:r w:rsidR="004F3876" w:rsidRPr="002F393F">
        <w:rPr>
          <w:rFonts w:asciiTheme="minorHAnsi" w:hAnsiTheme="minorHAnsi"/>
          <w:sz w:val="24"/>
          <w:szCs w:val="24"/>
        </w:rPr>
        <w:t>data collection</w:t>
      </w:r>
      <w:r w:rsidR="00B76F2A" w:rsidRPr="002F393F">
        <w:rPr>
          <w:rFonts w:asciiTheme="minorHAnsi" w:hAnsiTheme="minorHAnsi"/>
          <w:sz w:val="24"/>
          <w:szCs w:val="24"/>
        </w:rPr>
        <w:t xml:space="preserve"> study</w:t>
      </w:r>
      <w:r w:rsidRPr="002F393F">
        <w:rPr>
          <w:rFonts w:asciiTheme="minorHAnsi" w:hAnsiTheme="minorHAnsi"/>
          <w:sz w:val="24"/>
          <w:szCs w:val="24"/>
        </w:rPr>
        <w:t>.</w:t>
      </w:r>
    </w:p>
    <w:p w14:paraId="461B42E4" w14:textId="77777777" w:rsidR="0057087C" w:rsidRDefault="0057087C">
      <w:pPr>
        <w:rPr>
          <w:rFonts w:asciiTheme="minorHAnsi" w:hAnsiTheme="minorHAnsi"/>
          <w:sz w:val="24"/>
          <w:szCs w:val="24"/>
        </w:rPr>
      </w:pPr>
    </w:p>
    <w:p w14:paraId="2F7BFC22" w14:textId="77777777" w:rsidR="00BC3877" w:rsidRPr="002F393F" w:rsidRDefault="00BC3877">
      <w:pPr>
        <w:rPr>
          <w:rFonts w:asciiTheme="minorHAnsi" w:hAnsiTheme="minorHAnsi"/>
          <w:sz w:val="24"/>
          <w:szCs w:val="24"/>
        </w:rPr>
      </w:pPr>
    </w:p>
    <w:p w14:paraId="1EE1F1C8" w14:textId="77777777" w:rsidR="0057087C" w:rsidRPr="002F393F" w:rsidRDefault="0057087C" w:rsidP="008C5826">
      <w:pPr>
        <w:pStyle w:val="Heading2"/>
        <w:rPr>
          <w:rFonts w:asciiTheme="minorHAnsi" w:hAnsiTheme="minorHAnsi" w:cs="Times New Roman"/>
          <w:color w:val="auto"/>
          <w:sz w:val="24"/>
          <w:szCs w:val="24"/>
        </w:rPr>
      </w:pPr>
      <w:bookmarkStart w:id="10" w:name="_Toc391970694"/>
      <w:r w:rsidRPr="002F393F">
        <w:rPr>
          <w:rFonts w:asciiTheme="minorHAnsi" w:hAnsiTheme="minorHAnsi" w:cs="Times New Roman"/>
          <w:color w:val="auto"/>
          <w:sz w:val="24"/>
          <w:szCs w:val="24"/>
        </w:rPr>
        <w:t xml:space="preserve">7.  </w:t>
      </w:r>
      <w:r w:rsidR="001936AB" w:rsidRPr="002F393F">
        <w:rPr>
          <w:rFonts w:asciiTheme="minorHAnsi" w:hAnsiTheme="minorHAnsi" w:cs="Times New Roman"/>
          <w:color w:val="auto"/>
          <w:sz w:val="24"/>
          <w:szCs w:val="24"/>
          <w:u w:val="single"/>
        </w:rPr>
        <w:t>Special Circumstances</w:t>
      </w:r>
      <w:bookmarkEnd w:id="10"/>
    </w:p>
    <w:p w14:paraId="5D054E09" w14:textId="77777777" w:rsidR="0057087C" w:rsidRPr="002F393F" w:rsidRDefault="0057087C">
      <w:pPr>
        <w:rPr>
          <w:rFonts w:asciiTheme="minorHAnsi" w:hAnsiTheme="minorHAnsi"/>
          <w:sz w:val="24"/>
          <w:szCs w:val="24"/>
        </w:rPr>
      </w:pPr>
    </w:p>
    <w:p w14:paraId="2F8F9AF1" w14:textId="77777777" w:rsidR="0057087C" w:rsidRPr="002F393F" w:rsidRDefault="0057087C">
      <w:pPr>
        <w:rPr>
          <w:rFonts w:asciiTheme="minorHAnsi" w:hAnsiTheme="minorHAnsi"/>
          <w:sz w:val="24"/>
          <w:szCs w:val="24"/>
        </w:rPr>
      </w:pPr>
      <w:r w:rsidRPr="002F393F">
        <w:rPr>
          <w:rFonts w:asciiTheme="minorHAnsi" w:hAnsiTheme="minorHAnsi"/>
          <w:sz w:val="24"/>
          <w:szCs w:val="24"/>
        </w:rPr>
        <w:t>The data collection efforts will be consistent with the guidelines at 5 CFR 1320.5(d</w:t>
      </w:r>
      <w:proofErr w:type="gramStart"/>
      <w:r w:rsidRPr="002F393F">
        <w:rPr>
          <w:rFonts w:asciiTheme="minorHAnsi" w:hAnsiTheme="minorHAnsi"/>
          <w:sz w:val="24"/>
          <w:szCs w:val="24"/>
        </w:rPr>
        <w:t>)(</w:t>
      </w:r>
      <w:proofErr w:type="gramEnd"/>
      <w:r w:rsidRPr="002F393F">
        <w:rPr>
          <w:rFonts w:asciiTheme="minorHAnsi" w:hAnsiTheme="minorHAnsi"/>
          <w:sz w:val="24"/>
          <w:szCs w:val="24"/>
        </w:rPr>
        <w:t>2).</w:t>
      </w:r>
    </w:p>
    <w:p w14:paraId="3337EA11" w14:textId="77777777" w:rsidR="000761E1" w:rsidRPr="002F393F" w:rsidRDefault="000761E1">
      <w:pPr>
        <w:rPr>
          <w:rFonts w:asciiTheme="minorHAnsi" w:hAnsiTheme="minorHAnsi"/>
          <w:b/>
          <w:sz w:val="24"/>
          <w:szCs w:val="24"/>
        </w:rPr>
      </w:pPr>
    </w:p>
    <w:p w14:paraId="031B51D7" w14:textId="77777777" w:rsidR="0057087C" w:rsidRPr="002F393F" w:rsidRDefault="0057087C" w:rsidP="001936AB">
      <w:pPr>
        <w:pStyle w:val="Heading2"/>
        <w:rPr>
          <w:rFonts w:asciiTheme="minorHAnsi" w:hAnsiTheme="minorHAnsi" w:cs="Times New Roman"/>
          <w:sz w:val="24"/>
          <w:szCs w:val="24"/>
        </w:rPr>
      </w:pPr>
      <w:bookmarkStart w:id="11" w:name="_Toc391970695"/>
      <w:r w:rsidRPr="002F393F">
        <w:rPr>
          <w:rFonts w:asciiTheme="minorHAnsi" w:hAnsiTheme="minorHAnsi" w:cs="Times New Roman"/>
          <w:color w:val="auto"/>
          <w:sz w:val="24"/>
          <w:szCs w:val="24"/>
        </w:rPr>
        <w:t xml:space="preserve">8.  </w:t>
      </w:r>
      <w:r w:rsidR="001936AB" w:rsidRPr="002F393F">
        <w:rPr>
          <w:rFonts w:asciiTheme="minorHAnsi" w:hAnsiTheme="minorHAnsi" w:cs="Times New Roman"/>
          <w:color w:val="auto"/>
          <w:sz w:val="24"/>
          <w:szCs w:val="24"/>
          <w:u w:val="single"/>
        </w:rPr>
        <w:t>Federal Register Notice and Outside Consultations</w:t>
      </w:r>
      <w:bookmarkEnd w:id="11"/>
      <w:r w:rsidR="001936AB" w:rsidRPr="002F393F" w:rsidDel="001936AB">
        <w:rPr>
          <w:rFonts w:asciiTheme="minorHAnsi" w:hAnsiTheme="minorHAnsi" w:cs="Times New Roman"/>
          <w:color w:val="auto"/>
          <w:sz w:val="24"/>
          <w:szCs w:val="24"/>
          <w:u w:val="single"/>
        </w:rPr>
        <w:t xml:space="preserve"> </w:t>
      </w:r>
    </w:p>
    <w:p w14:paraId="4A1F5968" w14:textId="77777777" w:rsidR="008B5EBB" w:rsidRPr="002F393F" w:rsidRDefault="008B5EBB" w:rsidP="001936AB">
      <w:pPr>
        <w:rPr>
          <w:rFonts w:asciiTheme="minorHAnsi" w:hAnsiTheme="minorHAnsi"/>
          <w:b/>
          <w:i/>
          <w:sz w:val="24"/>
          <w:szCs w:val="24"/>
        </w:rPr>
      </w:pPr>
    </w:p>
    <w:p w14:paraId="2FB5BC62" w14:textId="77777777" w:rsidR="001936AB" w:rsidRPr="002F393F" w:rsidRDefault="00167858" w:rsidP="001936AB">
      <w:pPr>
        <w:rPr>
          <w:rFonts w:asciiTheme="minorHAnsi" w:hAnsiTheme="minorHAnsi"/>
          <w:b/>
          <w:bCs/>
          <w:i/>
          <w:iCs/>
          <w:sz w:val="24"/>
          <w:szCs w:val="24"/>
        </w:rPr>
      </w:pPr>
      <w:proofErr w:type="gramStart"/>
      <w:r w:rsidRPr="002F393F">
        <w:rPr>
          <w:rFonts w:asciiTheme="minorHAnsi" w:hAnsiTheme="minorHAnsi"/>
          <w:b/>
          <w:i/>
          <w:sz w:val="24"/>
          <w:szCs w:val="24"/>
        </w:rPr>
        <w:t>8.a</w:t>
      </w:r>
      <w:proofErr w:type="gramEnd"/>
      <w:r w:rsidRPr="002F393F">
        <w:rPr>
          <w:rFonts w:asciiTheme="minorHAnsi" w:hAnsiTheme="minorHAnsi"/>
          <w:b/>
          <w:i/>
          <w:sz w:val="24"/>
          <w:szCs w:val="24"/>
        </w:rPr>
        <w:t>.</w:t>
      </w:r>
      <w:r w:rsidRPr="002F393F">
        <w:rPr>
          <w:rFonts w:asciiTheme="minorHAnsi" w:hAnsiTheme="minorHAnsi"/>
          <w:sz w:val="24"/>
          <w:szCs w:val="24"/>
        </w:rPr>
        <w:t xml:space="preserve"> </w:t>
      </w:r>
      <w:r w:rsidRPr="002F393F">
        <w:rPr>
          <w:rFonts w:asciiTheme="minorHAnsi" w:hAnsiTheme="minorHAnsi"/>
          <w:b/>
          <w:bCs/>
          <w:i/>
          <w:iCs/>
          <w:sz w:val="24"/>
          <w:szCs w:val="24"/>
        </w:rPr>
        <w:t>Federal Register Notice</w:t>
      </w:r>
    </w:p>
    <w:p w14:paraId="6A08BEA9" w14:textId="77777777" w:rsidR="001936AB" w:rsidRPr="002F393F" w:rsidRDefault="001936AB" w:rsidP="001936AB">
      <w:pPr>
        <w:rPr>
          <w:rFonts w:asciiTheme="minorHAnsi" w:hAnsiTheme="minorHAnsi"/>
          <w:b/>
          <w:bCs/>
          <w:i/>
          <w:iCs/>
          <w:sz w:val="24"/>
          <w:szCs w:val="24"/>
        </w:rPr>
      </w:pPr>
    </w:p>
    <w:p w14:paraId="6C874909" w14:textId="4ECF30D6" w:rsidR="001936AB" w:rsidRPr="002F393F" w:rsidRDefault="001936AB" w:rsidP="001936AB">
      <w:pPr>
        <w:rPr>
          <w:rFonts w:asciiTheme="minorHAnsi" w:hAnsiTheme="minorHAnsi"/>
          <w:b/>
          <w:bCs/>
          <w:i/>
          <w:iCs/>
          <w:sz w:val="24"/>
          <w:szCs w:val="24"/>
        </w:rPr>
      </w:pPr>
      <w:r w:rsidRPr="0007704A">
        <w:rPr>
          <w:rFonts w:asciiTheme="minorHAnsi" w:hAnsiTheme="minorHAnsi"/>
          <w:sz w:val="24"/>
          <w:szCs w:val="24"/>
        </w:rPr>
        <w:t>As required by 5 CFR 1320.8(d), notice was published in the Federal Register on</w:t>
      </w:r>
      <w:r w:rsidR="0007704A">
        <w:rPr>
          <w:rFonts w:asciiTheme="minorHAnsi" w:hAnsiTheme="minorHAnsi"/>
          <w:sz w:val="24"/>
          <w:szCs w:val="24"/>
        </w:rPr>
        <w:t xml:space="preserve"> P</w:t>
      </w:r>
      <w:r w:rsidR="0007704A" w:rsidRPr="0007704A">
        <w:rPr>
          <w:rFonts w:asciiTheme="minorHAnsi" w:hAnsiTheme="minorHAnsi"/>
          <w:sz w:val="24"/>
          <w:szCs w:val="24"/>
        </w:rPr>
        <w:t xml:space="preserve">age 21874 </w:t>
      </w:r>
      <w:r w:rsidR="0007704A">
        <w:rPr>
          <w:rFonts w:asciiTheme="minorHAnsi" w:hAnsiTheme="minorHAnsi"/>
          <w:sz w:val="24"/>
          <w:szCs w:val="24"/>
        </w:rPr>
        <w:t xml:space="preserve">of </w:t>
      </w:r>
      <w:r w:rsidR="0007704A" w:rsidRPr="0007704A">
        <w:rPr>
          <w:rFonts w:asciiTheme="minorHAnsi" w:hAnsiTheme="minorHAnsi"/>
          <w:sz w:val="24"/>
          <w:szCs w:val="24"/>
        </w:rPr>
        <w:t>Federal Register, April 13, 2016</w:t>
      </w:r>
      <w:r w:rsidRPr="0007704A">
        <w:rPr>
          <w:rFonts w:asciiTheme="minorHAnsi" w:hAnsiTheme="minorHAnsi"/>
          <w:sz w:val="24"/>
          <w:szCs w:val="24"/>
        </w:rPr>
        <w:t xml:space="preserve"> for 60 days (see Attachment </w:t>
      </w:r>
      <w:r w:rsidR="00114600" w:rsidRPr="0007704A">
        <w:rPr>
          <w:rFonts w:asciiTheme="minorHAnsi" w:hAnsiTheme="minorHAnsi"/>
          <w:sz w:val="24"/>
          <w:szCs w:val="24"/>
        </w:rPr>
        <w:t>A</w:t>
      </w:r>
      <w:r w:rsidRPr="0007704A">
        <w:rPr>
          <w:rFonts w:asciiTheme="minorHAnsi" w:hAnsiTheme="minorHAnsi"/>
          <w:sz w:val="24"/>
          <w:szCs w:val="24"/>
        </w:rPr>
        <w:t>).</w:t>
      </w:r>
    </w:p>
    <w:p w14:paraId="1D09D0D6" w14:textId="77777777" w:rsidR="001936AB" w:rsidRPr="002F393F" w:rsidRDefault="001936AB" w:rsidP="001936AB">
      <w:pPr>
        <w:rPr>
          <w:rFonts w:asciiTheme="minorHAnsi" w:hAnsiTheme="minorHAnsi"/>
          <w:sz w:val="24"/>
          <w:szCs w:val="24"/>
        </w:rPr>
      </w:pPr>
    </w:p>
    <w:p w14:paraId="1C9D713E" w14:textId="77777777" w:rsidR="001936AB" w:rsidRPr="002F393F" w:rsidRDefault="001936AB" w:rsidP="00D370CB">
      <w:pPr>
        <w:rPr>
          <w:rFonts w:asciiTheme="minorHAnsi" w:hAnsiTheme="minorHAnsi"/>
          <w:b/>
          <w:i/>
          <w:sz w:val="24"/>
          <w:szCs w:val="24"/>
        </w:rPr>
      </w:pPr>
      <w:proofErr w:type="gramStart"/>
      <w:r w:rsidRPr="002F393F">
        <w:rPr>
          <w:rFonts w:asciiTheme="minorHAnsi" w:hAnsiTheme="minorHAnsi"/>
          <w:b/>
          <w:i/>
          <w:sz w:val="24"/>
          <w:szCs w:val="24"/>
        </w:rPr>
        <w:t>8.b</w:t>
      </w:r>
      <w:proofErr w:type="gramEnd"/>
      <w:r w:rsidRPr="002F393F">
        <w:rPr>
          <w:rFonts w:asciiTheme="minorHAnsi" w:hAnsiTheme="minorHAnsi"/>
          <w:b/>
          <w:i/>
          <w:sz w:val="24"/>
          <w:szCs w:val="24"/>
        </w:rPr>
        <w:t>.  Outside Consultations</w:t>
      </w:r>
    </w:p>
    <w:p w14:paraId="5F0E26A5" w14:textId="77777777" w:rsidR="00D370CB" w:rsidRPr="002F393F" w:rsidRDefault="00D370CB" w:rsidP="001936AB">
      <w:pPr>
        <w:pStyle w:val="ListParagraph"/>
        <w:ind w:left="0"/>
        <w:rPr>
          <w:rFonts w:asciiTheme="minorHAnsi" w:hAnsiTheme="minorHAnsi"/>
          <w:sz w:val="24"/>
          <w:szCs w:val="24"/>
        </w:rPr>
      </w:pPr>
    </w:p>
    <w:p w14:paraId="3CED80F3" w14:textId="441A346C" w:rsidR="00483835" w:rsidRPr="002F393F" w:rsidRDefault="00812FFC" w:rsidP="00483835">
      <w:pPr>
        <w:pStyle w:val="ListParagraph"/>
        <w:ind w:left="0"/>
        <w:rPr>
          <w:rFonts w:asciiTheme="minorHAnsi" w:hAnsiTheme="minorHAnsi"/>
          <w:sz w:val="24"/>
          <w:szCs w:val="24"/>
        </w:rPr>
      </w:pPr>
      <w:r w:rsidRPr="002F393F">
        <w:rPr>
          <w:rFonts w:asciiTheme="minorHAnsi" w:hAnsiTheme="minorHAnsi"/>
          <w:sz w:val="24"/>
          <w:szCs w:val="24"/>
        </w:rPr>
        <w:t xml:space="preserve">To guide the development of all </w:t>
      </w:r>
      <w:r w:rsidR="00AC4640" w:rsidRPr="002F393F">
        <w:rPr>
          <w:rFonts w:asciiTheme="minorHAnsi" w:hAnsiTheme="minorHAnsi"/>
          <w:sz w:val="24"/>
          <w:szCs w:val="24"/>
        </w:rPr>
        <w:t xml:space="preserve">Measurement for Performance Improvement in Physician Practices </w:t>
      </w:r>
      <w:r w:rsidRPr="002F393F">
        <w:rPr>
          <w:rFonts w:asciiTheme="minorHAnsi" w:hAnsiTheme="minorHAnsi"/>
          <w:sz w:val="24"/>
          <w:szCs w:val="24"/>
        </w:rPr>
        <w:t xml:space="preserve">products, a TEP has been assembled. </w:t>
      </w:r>
      <w:r w:rsidR="00114600">
        <w:rPr>
          <w:rFonts w:asciiTheme="minorHAnsi" w:hAnsiTheme="minorHAnsi"/>
          <w:sz w:val="24"/>
          <w:szCs w:val="24"/>
        </w:rPr>
        <w:t xml:space="preserve">As indicated above, </w:t>
      </w:r>
      <w:r w:rsidR="00FA4EF7" w:rsidRPr="002F393F">
        <w:rPr>
          <w:rFonts w:asciiTheme="minorHAnsi" w:hAnsiTheme="minorHAnsi"/>
          <w:sz w:val="24"/>
          <w:szCs w:val="24"/>
        </w:rPr>
        <w:t xml:space="preserve">TEP </w:t>
      </w:r>
      <w:r w:rsidR="00114600">
        <w:rPr>
          <w:rFonts w:asciiTheme="minorHAnsi" w:hAnsiTheme="minorHAnsi"/>
          <w:sz w:val="24"/>
          <w:szCs w:val="24"/>
        </w:rPr>
        <w:t xml:space="preserve">activities include review of the interview protocol and analysis plan, and feedback regarding data collection. </w:t>
      </w:r>
      <w:r w:rsidRPr="002F393F">
        <w:rPr>
          <w:rFonts w:asciiTheme="minorHAnsi" w:hAnsiTheme="minorHAnsi"/>
          <w:sz w:val="24"/>
          <w:szCs w:val="24"/>
        </w:rPr>
        <w:t xml:space="preserve">The TEP contains </w:t>
      </w:r>
      <w:r w:rsidR="000B0D5A" w:rsidRPr="002F393F">
        <w:rPr>
          <w:rFonts w:asciiTheme="minorHAnsi" w:hAnsiTheme="minorHAnsi"/>
          <w:sz w:val="24"/>
          <w:szCs w:val="24"/>
        </w:rPr>
        <w:t>8</w:t>
      </w:r>
      <w:r w:rsidR="00850E7A" w:rsidRPr="002F393F">
        <w:rPr>
          <w:rFonts w:asciiTheme="minorHAnsi" w:hAnsiTheme="minorHAnsi"/>
          <w:sz w:val="24"/>
          <w:szCs w:val="24"/>
        </w:rPr>
        <w:t xml:space="preserve"> members</w:t>
      </w:r>
      <w:r w:rsidR="000B0D5A" w:rsidRPr="002F393F">
        <w:rPr>
          <w:rFonts w:asciiTheme="minorHAnsi" w:hAnsiTheme="minorHAnsi"/>
          <w:sz w:val="24"/>
          <w:szCs w:val="24"/>
        </w:rPr>
        <w:t xml:space="preserve"> from various geographic locations who are experts on </w:t>
      </w:r>
      <w:r w:rsidR="00114600">
        <w:rPr>
          <w:rFonts w:asciiTheme="minorHAnsi" w:hAnsiTheme="minorHAnsi"/>
          <w:sz w:val="24"/>
          <w:szCs w:val="24"/>
        </w:rPr>
        <w:t xml:space="preserve">varying aspects of </w:t>
      </w:r>
      <w:r w:rsidR="000B0D5A" w:rsidRPr="002F393F">
        <w:rPr>
          <w:rFonts w:asciiTheme="minorHAnsi" w:hAnsiTheme="minorHAnsi"/>
          <w:sz w:val="24"/>
          <w:szCs w:val="24"/>
        </w:rPr>
        <w:t>performance measurement</w:t>
      </w:r>
      <w:r w:rsidR="000B0D5A" w:rsidRPr="009D4109">
        <w:rPr>
          <w:rFonts w:asciiTheme="minorHAnsi" w:hAnsiTheme="minorHAnsi"/>
          <w:sz w:val="24"/>
          <w:szCs w:val="24"/>
        </w:rPr>
        <w:t xml:space="preserve">. </w:t>
      </w:r>
      <w:r w:rsidR="00850E7A" w:rsidRPr="009D4109">
        <w:rPr>
          <w:rFonts w:asciiTheme="minorHAnsi" w:hAnsiTheme="minorHAnsi"/>
          <w:sz w:val="24"/>
          <w:szCs w:val="24"/>
        </w:rPr>
        <w:t xml:space="preserve">Attachment </w:t>
      </w:r>
      <w:r w:rsidR="00114600" w:rsidRPr="009D4109">
        <w:rPr>
          <w:rFonts w:asciiTheme="minorHAnsi" w:hAnsiTheme="minorHAnsi"/>
          <w:sz w:val="24"/>
          <w:szCs w:val="24"/>
        </w:rPr>
        <w:t xml:space="preserve">B </w:t>
      </w:r>
      <w:r w:rsidR="00850E7A" w:rsidRPr="009D4109">
        <w:rPr>
          <w:rFonts w:asciiTheme="minorHAnsi" w:hAnsiTheme="minorHAnsi"/>
          <w:sz w:val="24"/>
          <w:szCs w:val="24"/>
        </w:rPr>
        <w:t xml:space="preserve">lists the TEP members and their </w:t>
      </w:r>
      <w:r w:rsidR="009D4109" w:rsidRPr="009D4109">
        <w:rPr>
          <w:rFonts w:asciiTheme="minorHAnsi" w:hAnsiTheme="minorHAnsi"/>
          <w:sz w:val="24"/>
          <w:szCs w:val="24"/>
        </w:rPr>
        <w:t>current</w:t>
      </w:r>
      <w:r w:rsidR="00850E7A" w:rsidRPr="009D4109">
        <w:rPr>
          <w:rFonts w:asciiTheme="minorHAnsi" w:hAnsiTheme="minorHAnsi"/>
          <w:sz w:val="24"/>
          <w:szCs w:val="24"/>
        </w:rPr>
        <w:t xml:space="preserve"> affiliations.</w:t>
      </w:r>
    </w:p>
    <w:p w14:paraId="7C0B0D6B" w14:textId="77777777" w:rsidR="0057087C" w:rsidRPr="002F393F" w:rsidRDefault="0057087C" w:rsidP="008C5826">
      <w:pPr>
        <w:pStyle w:val="Heading2"/>
        <w:rPr>
          <w:rFonts w:asciiTheme="minorHAnsi" w:hAnsiTheme="minorHAnsi" w:cs="Times New Roman"/>
          <w:color w:val="auto"/>
          <w:sz w:val="24"/>
          <w:szCs w:val="24"/>
        </w:rPr>
      </w:pPr>
      <w:bookmarkStart w:id="12" w:name="_Toc391970696"/>
      <w:r w:rsidRPr="002F393F">
        <w:rPr>
          <w:rFonts w:asciiTheme="minorHAnsi" w:hAnsiTheme="minorHAnsi" w:cs="Times New Roman"/>
          <w:color w:val="auto"/>
          <w:sz w:val="24"/>
          <w:szCs w:val="24"/>
        </w:rPr>
        <w:t xml:space="preserve">9.  </w:t>
      </w:r>
      <w:r w:rsidR="001936AB" w:rsidRPr="002F393F">
        <w:rPr>
          <w:rFonts w:asciiTheme="minorHAnsi" w:hAnsiTheme="minorHAnsi" w:cs="Times New Roman"/>
          <w:color w:val="auto"/>
          <w:sz w:val="24"/>
          <w:szCs w:val="24"/>
          <w:u w:val="single"/>
        </w:rPr>
        <w:t xml:space="preserve">Payments/Gifts to </w:t>
      </w:r>
      <w:bookmarkEnd w:id="12"/>
      <w:r w:rsidR="00B80C0B" w:rsidRPr="002F393F">
        <w:rPr>
          <w:rFonts w:asciiTheme="minorHAnsi" w:hAnsiTheme="minorHAnsi" w:cs="Times New Roman"/>
          <w:color w:val="auto"/>
          <w:sz w:val="24"/>
          <w:szCs w:val="24"/>
          <w:u w:val="single"/>
        </w:rPr>
        <w:t>Participants</w:t>
      </w:r>
    </w:p>
    <w:p w14:paraId="4F0EB8EE" w14:textId="77777777" w:rsidR="0057087C" w:rsidRPr="002F393F" w:rsidRDefault="0057087C">
      <w:pPr>
        <w:rPr>
          <w:rFonts w:asciiTheme="minorHAnsi" w:hAnsiTheme="minorHAnsi"/>
          <w:sz w:val="24"/>
          <w:szCs w:val="24"/>
          <w:highlight w:val="yellow"/>
        </w:rPr>
      </w:pPr>
    </w:p>
    <w:p w14:paraId="02D9746E" w14:textId="625FA0D5" w:rsidR="00671199" w:rsidRPr="009D4109" w:rsidRDefault="009D4109" w:rsidP="00671199">
      <w:pPr>
        <w:shd w:val="clear" w:color="auto" w:fill="FFFFFF"/>
        <w:spacing w:line="285" w:lineRule="atLeast"/>
        <w:rPr>
          <w:rFonts w:asciiTheme="minorHAnsi" w:hAnsiTheme="minorHAnsi"/>
          <w:color w:val="222222"/>
          <w:sz w:val="24"/>
          <w:szCs w:val="24"/>
        </w:rPr>
      </w:pPr>
      <w:r>
        <w:rPr>
          <w:rFonts w:asciiTheme="minorHAnsi" w:hAnsiTheme="minorHAnsi"/>
          <w:sz w:val="24"/>
          <w:szCs w:val="24"/>
        </w:rPr>
        <w:t xml:space="preserve">We are not proposing </w:t>
      </w:r>
      <w:r w:rsidR="00D400BF">
        <w:rPr>
          <w:rFonts w:asciiTheme="minorHAnsi" w:hAnsiTheme="minorHAnsi"/>
          <w:sz w:val="24"/>
          <w:szCs w:val="24"/>
        </w:rPr>
        <w:t xml:space="preserve">to provide any remuneration to participants for participation in this research effort. Given experience with the pilot test, this will not be a barrier to recruitment. This is a topic of keen interest, and </w:t>
      </w:r>
      <w:r w:rsidR="00FB5853">
        <w:rPr>
          <w:rFonts w:asciiTheme="minorHAnsi" w:hAnsiTheme="minorHAnsi"/>
          <w:sz w:val="24"/>
          <w:szCs w:val="24"/>
        </w:rPr>
        <w:t>medical group</w:t>
      </w:r>
      <w:r w:rsidR="00D400BF">
        <w:rPr>
          <w:rFonts w:asciiTheme="minorHAnsi" w:hAnsiTheme="minorHAnsi"/>
          <w:sz w:val="24"/>
          <w:szCs w:val="24"/>
        </w:rPr>
        <w:t xml:space="preserve">s want to share their experiences and thoughts on performance improvement measurement. The Groups also appreciate the exploratory nature of this research and look forward to seeing the findings. AHRQ </w:t>
      </w:r>
      <w:r w:rsidR="00397180">
        <w:rPr>
          <w:rFonts w:asciiTheme="minorHAnsi" w:hAnsiTheme="minorHAnsi"/>
          <w:sz w:val="24"/>
          <w:szCs w:val="24"/>
        </w:rPr>
        <w:t xml:space="preserve">is working to </w:t>
      </w:r>
      <w:r w:rsidR="00D400BF">
        <w:rPr>
          <w:rFonts w:asciiTheme="minorHAnsi" w:hAnsiTheme="minorHAnsi"/>
          <w:sz w:val="24"/>
          <w:szCs w:val="24"/>
        </w:rPr>
        <w:t xml:space="preserve">determine the best ways to share findings with participating </w:t>
      </w:r>
      <w:r w:rsidR="00FB5853">
        <w:rPr>
          <w:rFonts w:asciiTheme="minorHAnsi" w:hAnsiTheme="minorHAnsi"/>
          <w:sz w:val="24"/>
          <w:szCs w:val="24"/>
        </w:rPr>
        <w:t>medical group</w:t>
      </w:r>
      <w:r w:rsidR="00D400BF">
        <w:rPr>
          <w:rFonts w:asciiTheme="minorHAnsi" w:hAnsiTheme="minorHAnsi"/>
          <w:sz w:val="24"/>
          <w:szCs w:val="24"/>
        </w:rPr>
        <w:t>s to ensure they receive this benefit for participation</w:t>
      </w:r>
      <w:r w:rsidR="00AD4020">
        <w:rPr>
          <w:rFonts w:asciiTheme="minorHAnsi" w:hAnsiTheme="minorHAnsi"/>
          <w:sz w:val="24"/>
          <w:szCs w:val="24"/>
        </w:rPr>
        <w:t>, as noted above</w:t>
      </w:r>
      <w:r w:rsidR="00D400BF">
        <w:rPr>
          <w:rFonts w:asciiTheme="minorHAnsi" w:hAnsiTheme="minorHAnsi"/>
          <w:sz w:val="24"/>
          <w:szCs w:val="24"/>
        </w:rPr>
        <w:t xml:space="preserve">. </w:t>
      </w:r>
    </w:p>
    <w:p w14:paraId="6B545E00" w14:textId="77777777" w:rsidR="00121F5D" w:rsidRPr="006C6C03" w:rsidRDefault="00121F5D" w:rsidP="0070013C">
      <w:pPr>
        <w:rPr>
          <w:sz w:val="24"/>
          <w:szCs w:val="24"/>
        </w:rPr>
      </w:pPr>
    </w:p>
    <w:p w14:paraId="1EA70F21" w14:textId="77777777" w:rsidR="0057087C" w:rsidRPr="00D400BF" w:rsidRDefault="0057087C" w:rsidP="008C5826">
      <w:pPr>
        <w:pStyle w:val="Heading2"/>
        <w:rPr>
          <w:rFonts w:asciiTheme="minorHAnsi" w:hAnsiTheme="minorHAnsi" w:cs="Times New Roman"/>
          <w:color w:val="auto"/>
          <w:sz w:val="24"/>
          <w:szCs w:val="24"/>
        </w:rPr>
      </w:pPr>
      <w:bookmarkStart w:id="13" w:name="_Toc391970697"/>
      <w:r w:rsidRPr="00D400BF">
        <w:rPr>
          <w:rFonts w:asciiTheme="minorHAnsi" w:hAnsiTheme="minorHAnsi" w:cs="Times New Roman"/>
          <w:color w:val="auto"/>
          <w:sz w:val="24"/>
          <w:szCs w:val="24"/>
        </w:rPr>
        <w:t xml:space="preserve">10.  </w:t>
      </w:r>
      <w:r w:rsidRPr="00D400BF">
        <w:rPr>
          <w:rFonts w:asciiTheme="minorHAnsi" w:hAnsiTheme="minorHAnsi" w:cs="Times New Roman"/>
          <w:color w:val="auto"/>
          <w:sz w:val="24"/>
          <w:szCs w:val="24"/>
          <w:u w:val="single"/>
        </w:rPr>
        <w:t>Assurance of Confidentiality</w:t>
      </w:r>
      <w:bookmarkEnd w:id="13"/>
    </w:p>
    <w:p w14:paraId="09FC2967" w14:textId="77777777" w:rsidR="0057087C" w:rsidRPr="00D400BF" w:rsidRDefault="0057087C">
      <w:pPr>
        <w:rPr>
          <w:rFonts w:asciiTheme="minorHAnsi" w:hAnsiTheme="minorHAnsi"/>
          <w:sz w:val="24"/>
          <w:szCs w:val="24"/>
        </w:rPr>
      </w:pPr>
    </w:p>
    <w:p w14:paraId="29CD01AD" w14:textId="4211B7EF" w:rsidR="00D04744" w:rsidRPr="00D400BF" w:rsidRDefault="009921DC">
      <w:pPr>
        <w:rPr>
          <w:rFonts w:asciiTheme="minorHAnsi" w:hAnsiTheme="minorHAnsi"/>
          <w:sz w:val="24"/>
          <w:szCs w:val="24"/>
        </w:rPr>
      </w:pPr>
      <w:r w:rsidRPr="00D400BF">
        <w:rPr>
          <w:rFonts w:asciiTheme="minorHAnsi" w:hAnsiTheme="minorHAnsi"/>
          <w:sz w:val="24"/>
          <w:szCs w:val="24"/>
        </w:rPr>
        <w:t xml:space="preserve">Individuals and organizations will be assured of the confidentiality of their replies under Section 934(c) of the Public Health Service Act, </w:t>
      </w:r>
      <w:proofErr w:type="gramStart"/>
      <w:r w:rsidRPr="00D400BF">
        <w:rPr>
          <w:rFonts w:asciiTheme="minorHAnsi" w:hAnsiTheme="minorHAnsi"/>
          <w:sz w:val="24"/>
          <w:szCs w:val="24"/>
        </w:rPr>
        <w:t>42 USC 299c-3(c)</w:t>
      </w:r>
      <w:proofErr w:type="gramEnd"/>
      <w:r w:rsidRPr="00D400BF">
        <w:rPr>
          <w:rFonts w:asciiTheme="minorHAnsi" w:hAnsiTheme="minorHAnsi"/>
          <w:sz w:val="24"/>
          <w:szCs w:val="24"/>
        </w:rPr>
        <w:t xml:space="preserve">.  They will be told the purposes for which the information is collected and that, in accordance with this statute, any identifiable information about them will not be used or disclosed for any other purpose. </w:t>
      </w:r>
      <w:r w:rsidR="004506B2" w:rsidRPr="00D400BF">
        <w:rPr>
          <w:rFonts w:asciiTheme="minorHAnsi" w:hAnsiTheme="minorHAnsi"/>
          <w:sz w:val="24"/>
          <w:szCs w:val="24"/>
        </w:rPr>
        <w:t>Identifiers such as name,</w:t>
      </w:r>
      <w:r w:rsidR="00D400BF">
        <w:rPr>
          <w:rFonts w:asciiTheme="minorHAnsi" w:hAnsiTheme="minorHAnsi"/>
          <w:sz w:val="24"/>
          <w:szCs w:val="24"/>
        </w:rPr>
        <w:t xml:space="preserve"> organization name, and</w:t>
      </w:r>
      <w:r w:rsidR="004506B2" w:rsidRPr="00D400BF">
        <w:rPr>
          <w:rFonts w:asciiTheme="minorHAnsi" w:hAnsiTheme="minorHAnsi"/>
          <w:sz w:val="24"/>
          <w:szCs w:val="24"/>
        </w:rPr>
        <w:t xml:space="preserve"> e</w:t>
      </w:r>
      <w:r w:rsidR="00D400BF">
        <w:rPr>
          <w:rFonts w:asciiTheme="minorHAnsi" w:hAnsiTheme="minorHAnsi"/>
          <w:sz w:val="24"/>
          <w:szCs w:val="24"/>
        </w:rPr>
        <w:t>-</w:t>
      </w:r>
      <w:r w:rsidR="004506B2" w:rsidRPr="00D400BF">
        <w:rPr>
          <w:rFonts w:asciiTheme="minorHAnsi" w:hAnsiTheme="minorHAnsi"/>
          <w:sz w:val="24"/>
          <w:szCs w:val="24"/>
        </w:rPr>
        <w:t>mail address</w:t>
      </w:r>
      <w:r w:rsidR="00D400BF">
        <w:rPr>
          <w:rFonts w:asciiTheme="minorHAnsi" w:hAnsiTheme="minorHAnsi"/>
          <w:sz w:val="24"/>
          <w:szCs w:val="24"/>
        </w:rPr>
        <w:t xml:space="preserve"> </w:t>
      </w:r>
      <w:r w:rsidR="004506B2" w:rsidRPr="00D400BF">
        <w:rPr>
          <w:rFonts w:asciiTheme="minorHAnsi" w:hAnsiTheme="minorHAnsi"/>
          <w:sz w:val="24"/>
          <w:szCs w:val="24"/>
        </w:rPr>
        <w:t xml:space="preserve">will be collected to facilitate </w:t>
      </w:r>
      <w:r w:rsidR="00D400BF">
        <w:rPr>
          <w:rFonts w:asciiTheme="minorHAnsi" w:hAnsiTheme="minorHAnsi"/>
          <w:sz w:val="24"/>
          <w:szCs w:val="24"/>
        </w:rPr>
        <w:t>data collection and schedule interviews</w:t>
      </w:r>
      <w:r w:rsidR="004506B2" w:rsidRPr="00D400BF">
        <w:rPr>
          <w:rFonts w:asciiTheme="minorHAnsi" w:hAnsiTheme="minorHAnsi"/>
          <w:sz w:val="24"/>
          <w:szCs w:val="24"/>
        </w:rPr>
        <w:t>. Once data collection is complete, personal identifiers will be removed from the data and destroyed.</w:t>
      </w:r>
      <w:r w:rsidR="00AD4020">
        <w:rPr>
          <w:rFonts w:asciiTheme="minorHAnsi" w:hAnsiTheme="minorHAnsi"/>
          <w:sz w:val="24"/>
          <w:szCs w:val="24"/>
        </w:rPr>
        <w:t xml:space="preserve"> A copy of the consent form is included as Attachment D.</w:t>
      </w:r>
    </w:p>
    <w:p w14:paraId="38C61899" w14:textId="77777777" w:rsidR="0002178E" w:rsidRDefault="0002178E">
      <w:pPr>
        <w:rPr>
          <w:rFonts w:asciiTheme="minorHAnsi" w:hAnsiTheme="minorHAnsi"/>
          <w:sz w:val="24"/>
          <w:szCs w:val="24"/>
        </w:rPr>
      </w:pPr>
    </w:p>
    <w:p w14:paraId="42847B32" w14:textId="77777777" w:rsidR="00BC3877" w:rsidRDefault="00BC3877">
      <w:pPr>
        <w:rPr>
          <w:rFonts w:asciiTheme="minorHAnsi" w:hAnsiTheme="minorHAnsi"/>
          <w:sz w:val="24"/>
          <w:szCs w:val="24"/>
        </w:rPr>
      </w:pPr>
    </w:p>
    <w:p w14:paraId="6F76F4A5" w14:textId="77777777" w:rsidR="00BC3877" w:rsidRPr="00D400BF" w:rsidRDefault="00BC3877">
      <w:pPr>
        <w:rPr>
          <w:rFonts w:asciiTheme="minorHAnsi" w:hAnsiTheme="minorHAnsi"/>
          <w:sz w:val="24"/>
          <w:szCs w:val="24"/>
        </w:rPr>
      </w:pPr>
    </w:p>
    <w:p w14:paraId="22AA7BC0" w14:textId="77777777" w:rsidR="0057087C" w:rsidRPr="00D400BF" w:rsidRDefault="0057087C" w:rsidP="008C5826">
      <w:pPr>
        <w:pStyle w:val="Heading2"/>
        <w:rPr>
          <w:rFonts w:asciiTheme="minorHAnsi" w:hAnsiTheme="minorHAnsi" w:cs="Times New Roman"/>
          <w:color w:val="auto"/>
          <w:sz w:val="24"/>
          <w:szCs w:val="24"/>
        </w:rPr>
      </w:pPr>
      <w:bookmarkStart w:id="14" w:name="_Toc391970698"/>
      <w:r w:rsidRPr="00D400BF">
        <w:rPr>
          <w:rFonts w:asciiTheme="minorHAnsi" w:hAnsiTheme="minorHAnsi" w:cs="Times New Roman"/>
          <w:color w:val="auto"/>
          <w:sz w:val="24"/>
          <w:szCs w:val="24"/>
        </w:rPr>
        <w:t xml:space="preserve">11.  </w:t>
      </w:r>
      <w:r w:rsidRPr="00D400BF">
        <w:rPr>
          <w:rFonts w:asciiTheme="minorHAnsi" w:hAnsiTheme="minorHAnsi" w:cs="Times New Roman"/>
          <w:color w:val="auto"/>
          <w:sz w:val="24"/>
          <w:szCs w:val="24"/>
          <w:u w:val="single"/>
        </w:rPr>
        <w:t>Questions of a Sensitive Nature</w:t>
      </w:r>
      <w:bookmarkEnd w:id="14"/>
    </w:p>
    <w:p w14:paraId="015A4A3F" w14:textId="77777777" w:rsidR="0057087C" w:rsidRPr="00D400BF" w:rsidRDefault="0057087C">
      <w:pPr>
        <w:rPr>
          <w:rFonts w:asciiTheme="minorHAnsi" w:hAnsiTheme="minorHAnsi"/>
          <w:sz w:val="24"/>
          <w:szCs w:val="24"/>
        </w:rPr>
      </w:pPr>
    </w:p>
    <w:p w14:paraId="7FDF1006" w14:textId="560D840A" w:rsidR="0057087C" w:rsidRPr="00D400BF" w:rsidRDefault="00FD6872">
      <w:pPr>
        <w:rPr>
          <w:rFonts w:asciiTheme="minorHAnsi" w:hAnsiTheme="minorHAnsi"/>
          <w:sz w:val="24"/>
          <w:szCs w:val="24"/>
        </w:rPr>
      </w:pPr>
      <w:r w:rsidRPr="00D400BF">
        <w:rPr>
          <w:rFonts w:asciiTheme="minorHAnsi" w:hAnsiTheme="minorHAnsi"/>
          <w:sz w:val="24"/>
          <w:szCs w:val="24"/>
        </w:rPr>
        <w:t>We do not believe t</w:t>
      </w:r>
      <w:r w:rsidR="00995C3C" w:rsidRPr="00D400BF">
        <w:rPr>
          <w:rFonts w:asciiTheme="minorHAnsi" w:hAnsiTheme="minorHAnsi"/>
          <w:sz w:val="24"/>
          <w:szCs w:val="24"/>
        </w:rPr>
        <w:t xml:space="preserve">here are </w:t>
      </w:r>
      <w:r w:rsidR="0057087C" w:rsidRPr="00D400BF">
        <w:rPr>
          <w:rFonts w:asciiTheme="minorHAnsi" w:hAnsiTheme="minorHAnsi"/>
          <w:sz w:val="24"/>
          <w:szCs w:val="24"/>
        </w:rPr>
        <w:t xml:space="preserve">questions of a </w:t>
      </w:r>
      <w:r w:rsidR="00995C3C" w:rsidRPr="00D400BF">
        <w:rPr>
          <w:rFonts w:asciiTheme="minorHAnsi" w:hAnsiTheme="minorHAnsi"/>
          <w:sz w:val="24"/>
          <w:szCs w:val="24"/>
        </w:rPr>
        <w:t xml:space="preserve">particularly </w:t>
      </w:r>
      <w:r w:rsidR="0057087C" w:rsidRPr="00D400BF">
        <w:rPr>
          <w:rFonts w:asciiTheme="minorHAnsi" w:hAnsiTheme="minorHAnsi"/>
          <w:sz w:val="24"/>
          <w:szCs w:val="24"/>
        </w:rPr>
        <w:t xml:space="preserve">sensitive </w:t>
      </w:r>
      <w:r w:rsidR="00BF0C54" w:rsidRPr="00D400BF">
        <w:rPr>
          <w:rFonts w:asciiTheme="minorHAnsi" w:hAnsiTheme="minorHAnsi"/>
          <w:sz w:val="24"/>
          <w:szCs w:val="24"/>
        </w:rPr>
        <w:t xml:space="preserve">nature </w:t>
      </w:r>
      <w:r w:rsidR="0057087C" w:rsidRPr="00D400BF">
        <w:rPr>
          <w:rFonts w:asciiTheme="minorHAnsi" w:hAnsiTheme="minorHAnsi"/>
          <w:sz w:val="24"/>
          <w:szCs w:val="24"/>
        </w:rPr>
        <w:t>included in the survey</w:t>
      </w:r>
      <w:r w:rsidR="00D400BF">
        <w:rPr>
          <w:rFonts w:asciiTheme="minorHAnsi" w:hAnsiTheme="minorHAnsi"/>
          <w:sz w:val="24"/>
          <w:szCs w:val="24"/>
        </w:rPr>
        <w:t xml:space="preserve">. The unit of analysis is the </w:t>
      </w:r>
      <w:r w:rsidR="00FB5853">
        <w:rPr>
          <w:rFonts w:asciiTheme="minorHAnsi" w:hAnsiTheme="minorHAnsi"/>
          <w:sz w:val="24"/>
          <w:szCs w:val="24"/>
        </w:rPr>
        <w:t>medical group</w:t>
      </w:r>
      <w:r w:rsidR="00D400BF">
        <w:rPr>
          <w:rFonts w:asciiTheme="minorHAnsi" w:hAnsiTheme="minorHAnsi"/>
          <w:sz w:val="24"/>
          <w:szCs w:val="24"/>
        </w:rPr>
        <w:t xml:space="preserve">, so only information about Groups is being collected. No questions were identified as sensitive in nature by pilot participants. </w:t>
      </w:r>
    </w:p>
    <w:p w14:paraId="2B76BEC7" w14:textId="77777777" w:rsidR="000761E1" w:rsidRPr="006C6C03" w:rsidRDefault="000761E1">
      <w:pPr>
        <w:rPr>
          <w:b/>
          <w:sz w:val="24"/>
          <w:szCs w:val="24"/>
        </w:rPr>
      </w:pPr>
    </w:p>
    <w:p w14:paraId="05819C42" w14:textId="77777777" w:rsidR="0057087C" w:rsidRPr="00D400BF" w:rsidRDefault="0057087C" w:rsidP="00DB67C0">
      <w:pPr>
        <w:pStyle w:val="Heading2"/>
        <w:rPr>
          <w:rFonts w:asciiTheme="minorHAnsi" w:hAnsiTheme="minorHAnsi" w:cs="Times New Roman"/>
          <w:color w:val="auto"/>
          <w:sz w:val="24"/>
          <w:szCs w:val="24"/>
        </w:rPr>
      </w:pPr>
      <w:bookmarkStart w:id="15" w:name="_Toc391970699"/>
      <w:r w:rsidRPr="00D400BF">
        <w:rPr>
          <w:rFonts w:asciiTheme="minorHAnsi" w:hAnsiTheme="minorHAnsi" w:cs="Times New Roman"/>
          <w:color w:val="auto"/>
          <w:sz w:val="24"/>
          <w:szCs w:val="24"/>
        </w:rPr>
        <w:t xml:space="preserve">12.  </w:t>
      </w:r>
      <w:r w:rsidRPr="00D400BF">
        <w:rPr>
          <w:rFonts w:asciiTheme="minorHAnsi" w:hAnsiTheme="minorHAnsi" w:cs="Times New Roman"/>
          <w:color w:val="auto"/>
          <w:sz w:val="24"/>
          <w:szCs w:val="24"/>
          <w:u w:val="single"/>
        </w:rPr>
        <w:t xml:space="preserve">Estimates of Annualized </w:t>
      </w:r>
      <w:r w:rsidR="003321EC" w:rsidRPr="00D400BF">
        <w:rPr>
          <w:rFonts w:asciiTheme="minorHAnsi" w:hAnsiTheme="minorHAnsi" w:cs="Times New Roman"/>
          <w:color w:val="auto"/>
          <w:sz w:val="24"/>
          <w:szCs w:val="24"/>
          <w:u w:val="single"/>
        </w:rPr>
        <w:t>Burden Hours and Costs</w:t>
      </w:r>
      <w:bookmarkEnd w:id="15"/>
    </w:p>
    <w:p w14:paraId="585439C9" w14:textId="77777777" w:rsidR="00FE762F" w:rsidRPr="00D400BF" w:rsidRDefault="00FE762F" w:rsidP="00FE762F">
      <w:pPr>
        <w:rPr>
          <w:rFonts w:asciiTheme="minorHAnsi" w:hAnsiTheme="minorHAnsi"/>
        </w:rPr>
      </w:pPr>
    </w:p>
    <w:p w14:paraId="3239BB7F" w14:textId="0102899A" w:rsidR="00EE2233" w:rsidRDefault="00FE762F" w:rsidP="00FE762F">
      <w:pPr>
        <w:rPr>
          <w:rFonts w:asciiTheme="minorHAnsi" w:hAnsiTheme="minorHAnsi"/>
          <w:sz w:val="24"/>
          <w:szCs w:val="24"/>
        </w:rPr>
      </w:pPr>
      <w:r w:rsidRPr="00D400BF">
        <w:rPr>
          <w:rFonts w:asciiTheme="minorHAnsi" w:hAnsiTheme="minorHAnsi"/>
          <w:sz w:val="24"/>
          <w:szCs w:val="24"/>
        </w:rPr>
        <w:t xml:space="preserve">Exhibit </w:t>
      </w:r>
      <w:r w:rsidR="00932ED2" w:rsidRPr="00D400BF">
        <w:rPr>
          <w:rFonts w:asciiTheme="minorHAnsi" w:hAnsiTheme="minorHAnsi"/>
          <w:sz w:val="24"/>
          <w:szCs w:val="24"/>
        </w:rPr>
        <w:t>1</w:t>
      </w:r>
      <w:r w:rsidRPr="00D400BF">
        <w:rPr>
          <w:rFonts w:asciiTheme="minorHAnsi" w:hAnsiTheme="minorHAnsi"/>
          <w:sz w:val="24"/>
          <w:szCs w:val="24"/>
        </w:rPr>
        <w:t xml:space="preserve"> shows the estimated annualized burden hours for the </w:t>
      </w:r>
      <w:r w:rsidR="00C91A44" w:rsidRPr="00D400BF">
        <w:rPr>
          <w:rFonts w:asciiTheme="minorHAnsi" w:hAnsiTheme="minorHAnsi"/>
          <w:sz w:val="24"/>
          <w:szCs w:val="24"/>
        </w:rPr>
        <w:t xml:space="preserve">participants’ </w:t>
      </w:r>
      <w:r w:rsidRPr="00D400BF">
        <w:rPr>
          <w:rFonts w:asciiTheme="minorHAnsi" w:hAnsiTheme="minorHAnsi"/>
          <w:sz w:val="24"/>
          <w:szCs w:val="24"/>
        </w:rPr>
        <w:t xml:space="preserve">time to </w:t>
      </w:r>
      <w:r w:rsidR="00566CFD" w:rsidRPr="00D400BF">
        <w:rPr>
          <w:rFonts w:asciiTheme="minorHAnsi" w:hAnsiTheme="minorHAnsi"/>
          <w:sz w:val="24"/>
          <w:szCs w:val="24"/>
        </w:rPr>
        <w:t xml:space="preserve">take part </w:t>
      </w:r>
      <w:r w:rsidRPr="00D400BF">
        <w:rPr>
          <w:rFonts w:asciiTheme="minorHAnsi" w:hAnsiTheme="minorHAnsi"/>
          <w:sz w:val="24"/>
          <w:szCs w:val="24"/>
        </w:rPr>
        <w:t>in th</w:t>
      </w:r>
      <w:r w:rsidR="00452F9A" w:rsidRPr="00D400BF">
        <w:rPr>
          <w:rFonts w:asciiTheme="minorHAnsi" w:hAnsiTheme="minorHAnsi"/>
          <w:sz w:val="24"/>
          <w:szCs w:val="24"/>
        </w:rPr>
        <w:t>is research.</w:t>
      </w:r>
      <w:r w:rsidR="005F79ED">
        <w:rPr>
          <w:rFonts w:asciiTheme="minorHAnsi" w:hAnsiTheme="minorHAnsi"/>
          <w:sz w:val="24"/>
          <w:szCs w:val="24"/>
        </w:rPr>
        <w:t xml:space="preserve"> To recruit </w:t>
      </w:r>
      <w:r w:rsidR="00FB5853">
        <w:rPr>
          <w:rFonts w:asciiTheme="minorHAnsi" w:hAnsiTheme="minorHAnsi"/>
          <w:sz w:val="24"/>
          <w:szCs w:val="24"/>
        </w:rPr>
        <w:t>medical group</w:t>
      </w:r>
      <w:r w:rsidR="005F79ED">
        <w:rPr>
          <w:rFonts w:asciiTheme="minorHAnsi" w:hAnsiTheme="minorHAnsi"/>
          <w:sz w:val="24"/>
          <w:szCs w:val="24"/>
        </w:rPr>
        <w:t xml:space="preserve">s to participate, </w:t>
      </w:r>
      <w:r w:rsidR="00AD4020">
        <w:rPr>
          <w:rFonts w:asciiTheme="minorHAnsi" w:hAnsiTheme="minorHAnsi"/>
          <w:sz w:val="24"/>
          <w:szCs w:val="24"/>
        </w:rPr>
        <w:t>AHRQ</w:t>
      </w:r>
      <w:r w:rsidR="005F79ED">
        <w:rPr>
          <w:rFonts w:asciiTheme="minorHAnsi" w:hAnsiTheme="minorHAnsi"/>
          <w:sz w:val="24"/>
          <w:szCs w:val="24"/>
        </w:rPr>
        <w:t xml:space="preserve"> will engage Groups in a short call to assess interest and obtain a commitment to participate. </w:t>
      </w:r>
      <w:r w:rsidR="00AD4020">
        <w:rPr>
          <w:rFonts w:asciiTheme="minorHAnsi" w:hAnsiTheme="minorHAnsi"/>
          <w:sz w:val="24"/>
          <w:szCs w:val="24"/>
        </w:rPr>
        <w:t>AHRQ expects to</w:t>
      </w:r>
      <w:r w:rsidR="005F79ED">
        <w:rPr>
          <w:rFonts w:asciiTheme="minorHAnsi" w:hAnsiTheme="minorHAnsi"/>
          <w:sz w:val="24"/>
          <w:szCs w:val="24"/>
        </w:rPr>
        <w:t xml:space="preserve"> need to reach out to approximately 100 </w:t>
      </w:r>
      <w:r w:rsidR="00FB5853">
        <w:rPr>
          <w:rFonts w:asciiTheme="minorHAnsi" w:hAnsiTheme="minorHAnsi"/>
          <w:sz w:val="24"/>
          <w:szCs w:val="24"/>
        </w:rPr>
        <w:t>medical group</w:t>
      </w:r>
      <w:r w:rsidR="005F79ED">
        <w:rPr>
          <w:rFonts w:asciiTheme="minorHAnsi" w:hAnsiTheme="minorHAnsi"/>
          <w:sz w:val="24"/>
          <w:szCs w:val="24"/>
        </w:rPr>
        <w:t>s to obtain a sample of 45 Groups that are conducting some type of measurement for internal performance improvement, are interested in taking part, and are able to take part during the data collection window.</w:t>
      </w:r>
      <w:r w:rsidR="00452F9A" w:rsidRPr="00D400BF">
        <w:rPr>
          <w:rFonts w:asciiTheme="minorHAnsi" w:hAnsiTheme="minorHAnsi"/>
          <w:sz w:val="24"/>
          <w:szCs w:val="24"/>
        </w:rPr>
        <w:t xml:space="preserve"> </w:t>
      </w:r>
      <w:r w:rsidR="00D400BF">
        <w:rPr>
          <w:rFonts w:asciiTheme="minorHAnsi" w:hAnsiTheme="minorHAnsi"/>
          <w:sz w:val="24"/>
          <w:szCs w:val="24"/>
        </w:rPr>
        <w:t>In-depth, semi-structured qualitative</w:t>
      </w:r>
      <w:r w:rsidRPr="00D400BF">
        <w:rPr>
          <w:rFonts w:asciiTheme="minorHAnsi" w:hAnsiTheme="minorHAnsi"/>
          <w:sz w:val="24"/>
          <w:szCs w:val="24"/>
        </w:rPr>
        <w:t xml:space="preserve"> interviews will</w:t>
      </w:r>
      <w:r w:rsidR="00070191">
        <w:rPr>
          <w:rFonts w:asciiTheme="minorHAnsi" w:hAnsiTheme="minorHAnsi"/>
          <w:sz w:val="24"/>
          <w:szCs w:val="24"/>
        </w:rPr>
        <w:t xml:space="preserve"> then</w:t>
      </w:r>
      <w:r w:rsidRPr="00D400BF">
        <w:rPr>
          <w:rFonts w:asciiTheme="minorHAnsi" w:hAnsiTheme="minorHAnsi"/>
          <w:sz w:val="24"/>
          <w:szCs w:val="24"/>
        </w:rPr>
        <w:t xml:space="preserve"> be conducted with</w:t>
      </w:r>
      <w:r w:rsidR="00D400BF">
        <w:rPr>
          <w:rFonts w:asciiTheme="minorHAnsi" w:hAnsiTheme="minorHAnsi"/>
          <w:sz w:val="24"/>
          <w:szCs w:val="24"/>
        </w:rPr>
        <w:t xml:space="preserve"> up to 5 staff members </w:t>
      </w:r>
      <w:r w:rsidR="008A4F9C">
        <w:rPr>
          <w:rFonts w:asciiTheme="minorHAnsi" w:hAnsiTheme="minorHAnsi"/>
          <w:sz w:val="24"/>
          <w:szCs w:val="24"/>
        </w:rPr>
        <w:t>at</w:t>
      </w:r>
      <w:r w:rsidRPr="00D400BF">
        <w:rPr>
          <w:rFonts w:asciiTheme="minorHAnsi" w:hAnsiTheme="minorHAnsi"/>
          <w:sz w:val="24"/>
          <w:szCs w:val="24"/>
        </w:rPr>
        <w:t xml:space="preserve"> </w:t>
      </w:r>
      <w:r w:rsidR="00EE2233" w:rsidRPr="00D400BF">
        <w:rPr>
          <w:rFonts w:asciiTheme="minorHAnsi" w:hAnsiTheme="minorHAnsi"/>
          <w:sz w:val="24"/>
          <w:szCs w:val="24"/>
        </w:rPr>
        <w:t xml:space="preserve">45 </w:t>
      </w:r>
      <w:r w:rsidR="00FB5853">
        <w:rPr>
          <w:rFonts w:asciiTheme="minorHAnsi" w:hAnsiTheme="minorHAnsi"/>
          <w:sz w:val="24"/>
          <w:szCs w:val="24"/>
        </w:rPr>
        <w:t>medical group</w:t>
      </w:r>
      <w:r w:rsidR="00D400BF">
        <w:rPr>
          <w:rFonts w:asciiTheme="minorHAnsi" w:hAnsiTheme="minorHAnsi"/>
          <w:sz w:val="24"/>
          <w:szCs w:val="24"/>
        </w:rPr>
        <w:t>s</w:t>
      </w:r>
      <w:r w:rsidR="00AD4020">
        <w:rPr>
          <w:rFonts w:asciiTheme="minorHAnsi" w:hAnsiTheme="minorHAnsi"/>
          <w:sz w:val="24"/>
          <w:szCs w:val="24"/>
        </w:rPr>
        <w:t xml:space="preserve"> using a single protocol (see Attachment C)</w:t>
      </w:r>
      <w:r w:rsidR="00D400BF">
        <w:rPr>
          <w:rFonts w:asciiTheme="minorHAnsi" w:hAnsiTheme="minorHAnsi"/>
          <w:sz w:val="24"/>
          <w:szCs w:val="24"/>
        </w:rPr>
        <w:t xml:space="preserve">. </w:t>
      </w:r>
      <w:r w:rsidR="00AD4020">
        <w:rPr>
          <w:rFonts w:asciiTheme="minorHAnsi" w:hAnsiTheme="minorHAnsi"/>
          <w:sz w:val="24"/>
          <w:szCs w:val="24"/>
        </w:rPr>
        <w:t>AHRQ</w:t>
      </w:r>
      <w:r w:rsidR="00AD4020" w:rsidRPr="00D400BF">
        <w:rPr>
          <w:rFonts w:asciiTheme="minorHAnsi" w:hAnsiTheme="minorHAnsi"/>
          <w:sz w:val="24"/>
          <w:szCs w:val="24"/>
        </w:rPr>
        <w:t xml:space="preserve"> </w:t>
      </w:r>
      <w:r w:rsidR="00D400BF" w:rsidRPr="00D400BF">
        <w:rPr>
          <w:rFonts w:asciiTheme="minorHAnsi" w:hAnsiTheme="minorHAnsi"/>
          <w:sz w:val="24"/>
          <w:szCs w:val="24"/>
        </w:rPr>
        <w:t xml:space="preserve">will target small (2-9 </w:t>
      </w:r>
      <w:r w:rsidR="00D400BF">
        <w:rPr>
          <w:rFonts w:asciiTheme="minorHAnsi" w:hAnsiTheme="minorHAnsi"/>
          <w:sz w:val="24"/>
          <w:szCs w:val="24"/>
        </w:rPr>
        <w:t>eligible professionals (EP)</w:t>
      </w:r>
      <w:r w:rsidR="00D400BF" w:rsidRPr="00D400BF">
        <w:rPr>
          <w:rFonts w:asciiTheme="minorHAnsi" w:hAnsiTheme="minorHAnsi"/>
          <w:sz w:val="24"/>
          <w:szCs w:val="24"/>
        </w:rPr>
        <w:t xml:space="preserve">), medium (10-24 </w:t>
      </w:r>
      <w:r w:rsidR="00D400BF">
        <w:rPr>
          <w:rFonts w:asciiTheme="minorHAnsi" w:hAnsiTheme="minorHAnsi"/>
          <w:sz w:val="24"/>
          <w:szCs w:val="24"/>
        </w:rPr>
        <w:t>EPs</w:t>
      </w:r>
      <w:r w:rsidR="00D400BF" w:rsidRPr="00D400BF">
        <w:rPr>
          <w:rFonts w:asciiTheme="minorHAnsi" w:hAnsiTheme="minorHAnsi"/>
          <w:sz w:val="24"/>
          <w:szCs w:val="24"/>
        </w:rPr>
        <w:t xml:space="preserve">), and large (25+ </w:t>
      </w:r>
      <w:r w:rsidR="00D400BF">
        <w:rPr>
          <w:rFonts w:asciiTheme="minorHAnsi" w:hAnsiTheme="minorHAnsi"/>
          <w:sz w:val="24"/>
          <w:szCs w:val="24"/>
        </w:rPr>
        <w:t>EPs</w:t>
      </w:r>
      <w:r w:rsidR="00D400BF" w:rsidRPr="00D400BF">
        <w:rPr>
          <w:rFonts w:asciiTheme="minorHAnsi" w:hAnsiTheme="minorHAnsi"/>
          <w:sz w:val="24"/>
          <w:szCs w:val="24"/>
        </w:rPr>
        <w:t xml:space="preserve">) </w:t>
      </w:r>
      <w:r w:rsidR="00FB5853">
        <w:rPr>
          <w:rFonts w:asciiTheme="minorHAnsi" w:hAnsiTheme="minorHAnsi"/>
          <w:sz w:val="24"/>
          <w:szCs w:val="24"/>
        </w:rPr>
        <w:t>medical group</w:t>
      </w:r>
      <w:r w:rsidR="00D400BF">
        <w:rPr>
          <w:rFonts w:asciiTheme="minorHAnsi" w:hAnsiTheme="minorHAnsi"/>
          <w:sz w:val="24"/>
          <w:szCs w:val="24"/>
        </w:rPr>
        <w:t>s</w:t>
      </w:r>
      <w:r w:rsidR="00D400BF" w:rsidRPr="00D400BF">
        <w:rPr>
          <w:rFonts w:asciiTheme="minorHAnsi" w:hAnsiTheme="minorHAnsi"/>
          <w:sz w:val="24"/>
          <w:szCs w:val="24"/>
        </w:rPr>
        <w:t xml:space="preserve"> from across the Unites States.</w:t>
      </w:r>
      <w:r w:rsidR="008E5649">
        <w:rPr>
          <w:rFonts w:asciiTheme="minorHAnsi" w:hAnsiTheme="minorHAnsi"/>
          <w:sz w:val="24"/>
          <w:szCs w:val="24"/>
        </w:rPr>
        <w:t xml:space="preserve"> As this is exploratory research, we will include a mix of small, medium, and large groups but it is not expected this will be an even distribution of groups across each of the three </w:t>
      </w:r>
      <w:r w:rsidR="0054317A">
        <w:rPr>
          <w:rFonts w:asciiTheme="minorHAnsi" w:hAnsiTheme="minorHAnsi"/>
          <w:sz w:val="24"/>
          <w:szCs w:val="24"/>
        </w:rPr>
        <w:t xml:space="preserve">practice </w:t>
      </w:r>
      <w:r w:rsidR="008E5649">
        <w:rPr>
          <w:rFonts w:asciiTheme="minorHAnsi" w:hAnsiTheme="minorHAnsi"/>
          <w:sz w:val="24"/>
          <w:szCs w:val="24"/>
        </w:rPr>
        <w:t xml:space="preserve">size types. Initial available information indicates more large groups are currently engaging in performance improvement and </w:t>
      </w:r>
      <w:r w:rsidR="009D1D3A">
        <w:rPr>
          <w:rFonts w:asciiTheme="minorHAnsi" w:hAnsiTheme="minorHAnsi"/>
          <w:sz w:val="24"/>
          <w:szCs w:val="24"/>
        </w:rPr>
        <w:t>fewer</w:t>
      </w:r>
      <w:r w:rsidR="008E5649">
        <w:rPr>
          <w:rFonts w:asciiTheme="minorHAnsi" w:hAnsiTheme="minorHAnsi"/>
          <w:sz w:val="24"/>
          <w:szCs w:val="24"/>
        </w:rPr>
        <w:t xml:space="preserve"> small groups have the resources for this at this time. For that reason, we anticipate more large and medium size groups to be included in this research.</w:t>
      </w:r>
      <w:r w:rsidR="00D400BF">
        <w:rPr>
          <w:rFonts w:asciiTheme="minorHAnsi" w:hAnsiTheme="minorHAnsi"/>
          <w:sz w:val="24"/>
          <w:szCs w:val="24"/>
        </w:rPr>
        <w:t xml:space="preserve"> </w:t>
      </w:r>
      <w:r w:rsidR="00AD4020">
        <w:rPr>
          <w:rFonts w:asciiTheme="minorHAnsi" w:hAnsiTheme="minorHAnsi"/>
          <w:sz w:val="24"/>
          <w:szCs w:val="24"/>
        </w:rPr>
        <w:t>The goal is to</w:t>
      </w:r>
      <w:r w:rsidR="00D400BF">
        <w:rPr>
          <w:rFonts w:asciiTheme="minorHAnsi" w:hAnsiTheme="minorHAnsi"/>
          <w:sz w:val="24"/>
          <w:szCs w:val="24"/>
        </w:rPr>
        <w:t xml:space="preserve"> recruit approximately 3 administrators and 2 frontline clinicians in each Group, understanding that depending on the size and organization of the </w:t>
      </w:r>
      <w:r w:rsidR="00FB5853">
        <w:rPr>
          <w:rFonts w:asciiTheme="minorHAnsi" w:hAnsiTheme="minorHAnsi"/>
          <w:sz w:val="24"/>
          <w:szCs w:val="24"/>
        </w:rPr>
        <w:t>medical group</w:t>
      </w:r>
      <w:r w:rsidR="00D400BF">
        <w:rPr>
          <w:rFonts w:asciiTheme="minorHAnsi" w:hAnsiTheme="minorHAnsi"/>
          <w:sz w:val="24"/>
          <w:szCs w:val="24"/>
        </w:rPr>
        <w:t xml:space="preserve"> staff members may operate in multiple roles. </w:t>
      </w:r>
    </w:p>
    <w:p w14:paraId="6BDACB0E" w14:textId="77777777" w:rsidR="008A4F9C" w:rsidRDefault="008A4F9C" w:rsidP="00FE762F">
      <w:pPr>
        <w:rPr>
          <w:rFonts w:asciiTheme="minorHAnsi" w:hAnsiTheme="minorHAnsi"/>
          <w:sz w:val="24"/>
          <w:szCs w:val="24"/>
        </w:rPr>
      </w:pPr>
    </w:p>
    <w:p w14:paraId="43ACC2B6" w14:textId="3A47F8DB" w:rsidR="008A4F9C" w:rsidRPr="00D400BF" w:rsidRDefault="008A4F9C" w:rsidP="00FE762F">
      <w:pPr>
        <w:rPr>
          <w:rFonts w:asciiTheme="minorHAnsi" w:hAnsiTheme="minorHAnsi"/>
          <w:sz w:val="24"/>
          <w:szCs w:val="24"/>
        </w:rPr>
      </w:pPr>
      <w:r>
        <w:rPr>
          <w:rFonts w:asciiTheme="minorHAnsi" w:hAnsiTheme="minorHAnsi"/>
          <w:sz w:val="24"/>
          <w:szCs w:val="24"/>
        </w:rPr>
        <w:t xml:space="preserve">Based on </w:t>
      </w:r>
      <w:r w:rsidR="00AD4020">
        <w:rPr>
          <w:rFonts w:asciiTheme="minorHAnsi" w:hAnsiTheme="minorHAnsi"/>
          <w:sz w:val="24"/>
          <w:szCs w:val="24"/>
        </w:rPr>
        <w:t xml:space="preserve">the </w:t>
      </w:r>
      <w:r>
        <w:rPr>
          <w:rFonts w:asciiTheme="minorHAnsi" w:hAnsiTheme="minorHAnsi"/>
          <w:sz w:val="24"/>
          <w:szCs w:val="24"/>
        </w:rPr>
        <w:t>pilot study</w:t>
      </w:r>
      <w:r w:rsidR="00AD4020">
        <w:rPr>
          <w:rFonts w:asciiTheme="minorHAnsi" w:hAnsiTheme="minorHAnsi"/>
          <w:sz w:val="24"/>
          <w:szCs w:val="24"/>
        </w:rPr>
        <w:t xml:space="preserve"> conducted for this project</w:t>
      </w:r>
      <w:r>
        <w:rPr>
          <w:rFonts w:asciiTheme="minorHAnsi" w:hAnsiTheme="minorHAnsi"/>
          <w:sz w:val="24"/>
          <w:szCs w:val="24"/>
        </w:rPr>
        <w:t xml:space="preserve">, </w:t>
      </w:r>
      <w:r w:rsidR="00AD4020">
        <w:rPr>
          <w:rFonts w:asciiTheme="minorHAnsi" w:hAnsiTheme="minorHAnsi"/>
          <w:sz w:val="24"/>
          <w:szCs w:val="24"/>
        </w:rPr>
        <w:t xml:space="preserve">AHRQ </w:t>
      </w:r>
      <w:r>
        <w:rPr>
          <w:rFonts w:asciiTheme="minorHAnsi" w:hAnsiTheme="minorHAnsi"/>
          <w:sz w:val="24"/>
          <w:szCs w:val="24"/>
        </w:rPr>
        <w:t>estimate</w:t>
      </w:r>
      <w:r w:rsidR="00AD4020">
        <w:rPr>
          <w:rFonts w:asciiTheme="minorHAnsi" w:hAnsiTheme="minorHAnsi"/>
          <w:sz w:val="24"/>
          <w:szCs w:val="24"/>
        </w:rPr>
        <w:t>s</w:t>
      </w:r>
      <w:r>
        <w:rPr>
          <w:rFonts w:asciiTheme="minorHAnsi" w:hAnsiTheme="minorHAnsi"/>
          <w:sz w:val="24"/>
          <w:szCs w:val="24"/>
        </w:rPr>
        <w:t xml:space="preserve"> </w:t>
      </w:r>
      <w:r w:rsidR="00070191">
        <w:rPr>
          <w:rFonts w:asciiTheme="minorHAnsi" w:hAnsiTheme="minorHAnsi"/>
          <w:sz w:val="24"/>
          <w:szCs w:val="24"/>
        </w:rPr>
        <w:t>that the recruitment call will average 15 minutes</w:t>
      </w:r>
      <w:r w:rsidR="00AD4020">
        <w:rPr>
          <w:rFonts w:asciiTheme="minorHAnsi" w:hAnsiTheme="minorHAnsi"/>
          <w:sz w:val="24"/>
          <w:szCs w:val="24"/>
        </w:rPr>
        <w:t xml:space="preserve">, and </w:t>
      </w:r>
      <w:r>
        <w:rPr>
          <w:rFonts w:asciiTheme="minorHAnsi" w:hAnsiTheme="minorHAnsi"/>
          <w:sz w:val="24"/>
          <w:szCs w:val="24"/>
        </w:rPr>
        <w:t xml:space="preserve">that the longest interviews will be 1.5 hours. These longest interviews will be with </w:t>
      </w:r>
      <w:r w:rsidR="00E367D1">
        <w:rPr>
          <w:rFonts w:asciiTheme="minorHAnsi" w:hAnsiTheme="minorHAnsi"/>
          <w:sz w:val="24"/>
          <w:szCs w:val="24"/>
        </w:rPr>
        <w:t xml:space="preserve">the highest level </w:t>
      </w:r>
      <w:r>
        <w:rPr>
          <w:rFonts w:asciiTheme="minorHAnsi" w:hAnsiTheme="minorHAnsi"/>
          <w:sz w:val="24"/>
          <w:szCs w:val="24"/>
        </w:rPr>
        <w:t xml:space="preserve">administrators </w:t>
      </w:r>
      <w:r w:rsidR="00E367D1">
        <w:rPr>
          <w:rFonts w:asciiTheme="minorHAnsi" w:hAnsiTheme="minorHAnsi"/>
          <w:sz w:val="24"/>
          <w:szCs w:val="24"/>
        </w:rPr>
        <w:t>working on internal performance measurement at</w:t>
      </w:r>
      <w:r>
        <w:rPr>
          <w:rFonts w:asciiTheme="minorHAnsi" w:hAnsiTheme="minorHAnsi"/>
          <w:sz w:val="24"/>
          <w:szCs w:val="24"/>
        </w:rPr>
        <w:t xml:space="preserve"> the most complex </w:t>
      </w:r>
      <w:r w:rsidR="00FB5853">
        <w:rPr>
          <w:rFonts w:asciiTheme="minorHAnsi" w:hAnsiTheme="minorHAnsi"/>
          <w:sz w:val="24"/>
          <w:szCs w:val="24"/>
        </w:rPr>
        <w:t>medical group</w:t>
      </w:r>
      <w:r>
        <w:rPr>
          <w:rFonts w:asciiTheme="minorHAnsi" w:hAnsiTheme="minorHAnsi"/>
          <w:sz w:val="24"/>
          <w:szCs w:val="24"/>
        </w:rPr>
        <w:t xml:space="preserve">s. </w:t>
      </w:r>
      <w:r w:rsidR="00AD4020">
        <w:rPr>
          <w:rFonts w:asciiTheme="minorHAnsi" w:hAnsiTheme="minorHAnsi"/>
          <w:sz w:val="24"/>
          <w:szCs w:val="24"/>
        </w:rPr>
        <w:t xml:space="preserve">AHRQ </w:t>
      </w:r>
      <w:r>
        <w:rPr>
          <w:rFonts w:asciiTheme="minorHAnsi" w:hAnsiTheme="minorHAnsi"/>
          <w:sz w:val="24"/>
          <w:szCs w:val="24"/>
        </w:rPr>
        <w:t>believe</w:t>
      </w:r>
      <w:r w:rsidR="00AD4020">
        <w:rPr>
          <w:rFonts w:asciiTheme="minorHAnsi" w:hAnsiTheme="minorHAnsi"/>
          <w:sz w:val="24"/>
          <w:szCs w:val="24"/>
        </w:rPr>
        <w:t>s</w:t>
      </w:r>
      <w:r>
        <w:rPr>
          <w:rFonts w:asciiTheme="minorHAnsi" w:hAnsiTheme="minorHAnsi"/>
          <w:sz w:val="24"/>
          <w:szCs w:val="24"/>
        </w:rPr>
        <w:t xml:space="preserve"> these will be</w:t>
      </w:r>
      <w:r w:rsidR="00E367D1">
        <w:rPr>
          <w:rFonts w:asciiTheme="minorHAnsi" w:hAnsiTheme="minorHAnsi"/>
          <w:sz w:val="24"/>
          <w:szCs w:val="24"/>
        </w:rPr>
        <w:t xml:space="preserve"> the</w:t>
      </w:r>
      <w:r>
        <w:rPr>
          <w:rFonts w:asciiTheme="minorHAnsi" w:hAnsiTheme="minorHAnsi"/>
          <w:sz w:val="24"/>
          <w:szCs w:val="24"/>
        </w:rPr>
        <w:t xml:space="preserve"> largest </w:t>
      </w:r>
      <w:r w:rsidR="00FB5853">
        <w:rPr>
          <w:rFonts w:asciiTheme="minorHAnsi" w:hAnsiTheme="minorHAnsi"/>
          <w:sz w:val="24"/>
          <w:szCs w:val="24"/>
        </w:rPr>
        <w:t>medical group</w:t>
      </w:r>
      <w:r>
        <w:rPr>
          <w:rFonts w:asciiTheme="minorHAnsi" w:hAnsiTheme="minorHAnsi"/>
          <w:sz w:val="24"/>
          <w:szCs w:val="24"/>
        </w:rPr>
        <w:t>s that are part of complex system</w:t>
      </w:r>
      <w:r w:rsidR="00E367D1">
        <w:rPr>
          <w:rFonts w:asciiTheme="minorHAnsi" w:hAnsiTheme="minorHAnsi"/>
          <w:sz w:val="24"/>
          <w:szCs w:val="24"/>
        </w:rPr>
        <w:t>s</w:t>
      </w:r>
      <w:r>
        <w:rPr>
          <w:rFonts w:asciiTheme="minorHAnsi" w:hAnsiTheme="minorHAnsi"/>
          <w:sz w:val="24"/>
          <w:szCs w:val="24"/>
        </w:rPr>
        <w:t xml:space="preserve"> and payment relationships. These complex organizational relationships will require more time to understand in order to understand the place, role, and operation of internal measurement for performance improvement</w:t>
      </w:r>
      <w:r w:rsidR="00AD4020">
        <w:rPr>
          <w:rFonts w:asciiTheme="minorHAnsi" w:hAnsiTheme="minorHAnsi"/>
          <w:sz w:val="24"/>
          <w:szCs w:val="24"/>
        </w:rPr>
        <w:t xml:space="preserve"> within the Group</w:t>
      </w:r>
      <w:r>
        <w:rPr>
          <w:rFonts w:asciiTheme="minorHAnsi" w:hAnsiTheme="minorHAnsi"/>
          <w:sz w:val="24"/>
          <w:szCs w:val="24"/>
        </w:rPr>
        <w:t xml:space="preserve">. For equivalent administrators from medium and small groups, </w:t>
      </w:r>
      <w:r w:rsidR="00AD4020">
        <w:rPr>
          <w:rFonts w:asciiTheme="minorHAnsi" w:hAnsiTheme="minorHAnsi"/>
          <w:sz w:val="24"/>
          <w:szCs w:val="24"/>
        </w:rPr>
        <w:t xml:space="preserve">AHRQ </w:t>
      </w:r>
      <w:r>
        <w:rPr>
          <w:rFonts w:asciiTheme="minorHAnsi" w:hAnsiTheme="minorHAnsi"/>
          <w:sz w:val="24"/>
          <w:szCs w:val="24"/>
        </w:rPr>
        <w:t>estimate</w:t>
      </w:r>
      <w:r w:rsidR="00AD4020">
        <w:rPr>
          <w:rFonts w:asciiTheme="minorHAnsi" w:hAnsiTheme="minorHAnsi"/>
          <w:sz w:val="24"/>
          <w:szCs w:val="24"/>
        </w:rPr>
        <w:t>s</w:t>
      </w:r>
      <w:r>
        <w:rPr>
          <w:rFonts w:asciiTheme="minorHAnsi" w:hAnsiTheme="minorHAnsi"/>
          <w:sz w:val="24"/>
          <w:szCs w:val="24"/>
        </w:rPr>
        <w:t xml:space="preserve"> the longest interviews will be </w:t>
      </w:r>
      <w:r w:rsidR="00E367D1">
        <w:rPr>
          <w:rFonts w:asciiTheme="minorHAnsi" w:hAnsiTheme="minorHAnsi"/>
          <w:sz w:val="24"/>
          <w:szCs w:val="24"/>
        </w:rPr>
        <w:t>1.25 hours</w:t>
      </w:r>
      <w:r>
        <w:rPr>
          <w:rFonts w:asciiTheme="minorHAnsi" w:hAnsiTheme="minorHAnsi"/>
          <w:sz w:val="24"/>
          <w:szCs w:val="24"/>
        </w:rPr>
        <w:t xml:space="preserve">. For all other administrators and frontline clinicians, </w:t>
      </w:r>
      <w:r w:rsidR="00AD4020">
        <w:rPr>
          <w:rFonts w:asciiTheme="minorHAnsi" w:hAnsiTheme="minorHAnsi"/>
          <w:sz w:val="24"/>
          <w:szCs w:val="24"/>
        </w:rPr>
        <w:t xml:space="preserve">AHRQ </w:t>
      </w:r>
      <w:r>
        <w:rPr>
          <w:rFonts w:asciiTheme="minorHAnsi" w:hAnsiTheme="minorHAnsi"/>
          <w:sz w:val="24"/>
          <w:szCs w:val="24"/>
        </w:rPr>
        <w:t>estimate</w:t>
      </w:r>
      <w:r w:rsidR="00AD4020">
        <w:rPr>
          <w:rFonts w:asciiTheme="minorHAnsi" w:hAnsiTheme="minorHAnsi"/>
          <w:sz w:val="24"/>
          <w:szCs w:val="24"/>
        </w:rPr>
        <w:t>s</w:t>
      </w:r>
      <w:r>
        <w:rPr>
          <w:rFonts w:asciiTheme="minorHAnsi" w:hAnsiTheme="minorHAnsi"/>
          <w:sz w:val="24"/>
          <w:szCs w:val="24"/>
        </w:rPr>
        <w:t xml:space="preserve"> the interviews will be </w:t>
      </w:r>
      <w:r w:rsidR="00E367D1">
        <w:rPr>
          <w:rFonts w:asciiTheme="minorHAnsi" w:hAnsiTheme="minorHAnsi"/>
          <w:sz w:val="24"/>
          <w:szCs w:val="24"/>
        </w:rPr>
        <w:t>1 hour</w:t>
      </w:r>
      <w:r>
        <w:rPr>
          <w:rFonts w:asciiTheme="minorHAnsi" w:hAnsiTheme="minorHAnsi"/>
          <w:sz w:val="24"/>
          <w:szCs w:val="24"/>
        </w:rPr>
        <w:t>.</w:t>
      </w:r>
    </w:p>
    <w:p w14:paraId="55B685E0" w14:textId="77777777" w:rsidR="00EE2233" w:rsidRPr="00D400BF" w:rsidRDefault="00EE2233" w:rsidP="00FE762F">
      <w:pPr>
        <w:rPr>
          <w:rFonts w:asciiTheme="minorHAnsi" w:hAnsiTheme="minorHAnsi"/>
          <w:sz w:val="24"/>
          <w:szCs w:val="24"/>
        </w:rPr>
      </w:pPr>
    </w:p>
    <w:p w14:paraId="563AC056" w14:textId="29813ED0" w:rsidR="00FE762F" w:rsidRPr="00E367D1" w:rsidRDefault="00FE762F" w:rsidP="00FE762F">
      <w:pPr>
        <w:rPr>
          <w:rFonts w:asciiTheme="minorHAnsi" w:hAnsiTheme="minorHAnsi"/>
          <w:sz w:val="24"/>
          <w:szCs w:val="24"/>
        </w:rPr>
      </w:pPr>
      <w:r w:rsidRPr="00E367D1">
        <w:rPr>
          <w:rFonts w:asciiTheme="minorHAnsi" w:hAnsiTheme="minorHAnsi"/>
          <w:sz w:val="24"/>
          <w:szCs w:val="24"/>
        </w:rPr>
        <w:t xml:space="preserve">The total annualized burden is estimated to be </w:t>
      </w:r>
      <w:r w:rsidR="00070191">
        <w:rPr>
          <w:rFonts w:asciiTheme="minorHAnsi" w:hAnsiTheme="minorHAnsi"/>
          <w:b/>
          <w:color w:val="000000"/>
          <w:sz w:val="24"/>
          <w:szCs w:val="24"/>
        </w:rPr>
        <w:t xml:space="preserve">295 </w:t>
      </w:r>
      <w:r w:rsidRPr="00A03934">
        <w:rPr>
          <w:rFonts w:asciiTheme="minorHAnsi" w:hAnsiTheme="minorHAnsi"/>
          <w:sz w:val="24"/>
          <w:szCs w:val="24"/>
        </w:rPr>
        <w:t>hours</w:t>
      </w:r>
      <w:r w:rsidRPr="00E367D1">
        <w:rPr>
          <w:rFonts w:asciiTheme="minorHAnsi" w:hAnsiTheme="minorHAnsi"/>
          <w:sz w:val="24"/>
          <w:szCs w:val="24"/>
        </w:rPr>
        <w:t>.</w:t>
      </w:r>
      <w:r w:rsidR="004944C8">
        <w:rPr>
          <w:rFonts w:asciiTheme="minorHAnsi" w:hAnsiTheme="minorHAnsi"/>
          <w:sz w:val="24"/>
          <w:szCs w:val="24"/>
        </w:rPr>
        <w:t xml:space="preserve"> Again, interviews with both frontline clinicians and all </w:t>
      </w:r>
      <w:r w:rsidR="00FB5853">
        <w:rPr>
          <w:rFonts w:asciiTheme="minorHAnsi" w:hAnsiTheme="minorHAnsi"/>
          <w:sz w:val="24"/>
          <w:szCs w:val="24"/>
        </w:rPr>
        <w:t>medical group</w:t>
      </w:r>
      <w:r w:rsidR="004944C8">
        <w:rPr>
          <w:rFonts w:asciiTheme="minorHAnsi" w:hAnsiTheme="minorHAnsi"/>
          <w:sz w:val="24"/>
          <w:szCs w:val="24"/>
        </w:rPr>
        <w:t xml:space="preserve"> administrators will use the same protocol (see Attachment C). The screening call will be an informal conversation where AHRQ looks to learn if the </w:t>
      </w:r>
      <w:r w:rsidR="00FB5853">
        <w:rPr>
          <w:rFonts w:asciiTheme="minorHAnsi" w:hAnsiTheme="minorHAnsi"/>
          <w:sz w:val="24"/>
          <w:szCs w:val="24"/>
        </w:rPr>
        <w:t>medical group</w:t>
      </w:r>
      <w:r w:rsidR="004944C8">
        <w:rPr>
          <w:rFonts w:asciiTheme="minorHAnsi" w:hAnsiTheme="minorHAnsi"/>
          <w:sz w:val="24"/>
          <w:szCs w:val="24"/>
        </w:rPr>
        <w:t xml:space="preserve"> self identifies as using measurement for performance improvement and provides consent to take part. AHRQ will answer any questions the </w:t>
      </w:r>
      <w:r w:rsidR="00FB5853">
        <w:rPr>
          <w:rFonts w:asciiTheme="minorHAnsi" w:hAnsiTheme="minorHAnsi"/>
          <w:sz w:val="24"/>
          <w:szCs w:val="24"/>
        </w:rPr>
        <w:t>medical group</w:t>
      </w:r>
      <w:r w:rsidR="004944C8">
        <w:rPr>
          <w:rFonts w:asciiTheme="minorHAnsi" w:hAnsiTheme="minorHAnsi"/>
          <w:sz w:val="24"/>
          <w:szCs w:val="24"/>
        </w:rPr>
        <w:t xml:space="preserve"> has about the study on this call and confirm some basic, publicly available background information about the Group </w:t>
      </w:r>
      <w:r w:rsidR="00CF1996">
        <w:rPr>
          <w:rFonts w:asciiTheme="minorHAnsi" w:hAnsiTheme="minorHAnsi"/>
          <w:sz w:val="24"/>
          <w:szCs w:val="24"/>
        </w:rPr>
        <w:t xml:space="preserve">that </w:t>
      </w:r>
      <w:r w:rsidR="004944C8">
        <w:rPr>
          <w:rFonts w:asciiTheme="minorHAnsi" w:hAnsiTheme="minorHAnsi"/>
          <w:sz w:val="24"/>
          <w:szCs w:val="24"/>
        </w:rPr>
        <w:t xml:space="preserve">AHRQ has obtained is accurate and up-to-date. </w:t>
      </w:r>
      <w:r w:rsidR="00CF1996">
        <w:rPr>
          <w:rFonts w:asciiTheme="minorHAnsi" w:hAnsiTheme="minorHAnsi"/>
          <w:sz w:val="24"/>
          <w:szCs w:val="24"/>
        </w:rPr>
        <w:t xml:space="preserve">This background information will help put the information learned during the interview in better context. The </w:t>
      </w:r>
      <w:proofErr w:type="gramStart"/>
      <w:r w:rsidR="00CF1996">
        <w:rPr>
          <w:rFonts w:asciiTheme="minorHAnsi" w:hAnsiTheme="minorHAnsi"/>
          <w:sz w:val="24"/>
          <w:szCs w:val="24"/>
        </w:rPr>
        <w:t>types</w:t>
      </w:r>
      <w:proofErr w:type="gramEnd"/>
      <w:r w:rsidR="00CF1996">
        <w:rPr>
          <w:rFonts w:asciiTheme="minorHAnsi" w:hAnsiTheme="minorHAnsi"/>
          <w:sz w:val="24"/>
          <w:szCs w:val="24"/>
        </w:rPr>
        <w:t xml:space="preserve"> of background information AHRQ is looking at includes </w:t>
      </w:r>
      <w:r w:rsidR="00FB5853">
        <w:rPr>
          <w:rFonts w:asciiTheme="minorHAnsi" w:hAnsiTheme="minorHAnsi"/>
          <w:sz w:val="24"/>
          <w:szCs w:val="24"/>
        </w:rPr>
        <w:t>medical group</w:t>
      </w:r>
      <w:r w:rsidR="00CF1996">
        <w:rPr>
          <w:rFonts w:asciiTheme="minorHAnsi" w:hAnsiTheme="minorHAnsi"/>
          <w:sz w:val="24"/>
          <w:szCs w:val="24"/>
        </w:rPr>
        <w:t xml:space="preserve"> size, organizational structure, specialty mix, and payment relationships.</w:t>
      </w:r>
    </w:p>
    <w:p w14:paraId="53181BD3" w14:textId="77777777" w:rsidR="00414B3C" w:rsidRDefault="00414B3C" w:rsidP="00262784">
      <w:pPr>
        <w:rPr>
          <w:b/>
          <w:bCs/>
          <w:sz w:val="24"/>
          <w:szCs w:val="24"/>
        </w:rPr>
      </w:pPr>
      <w:bookmarkStart w:id="16" w:name="OLE_LINK1"/>
      <w:bookmarkStart w:id="17" w:name="OLE_LINK2"/>
    </w:p>
    <w:p w14:paraId="5488BF37" w14:textId="77777777" w:rsidR="00262784" w:rsidRPr="00E367D1" w:rsidRDefault="00262784" w:rsidP="00262784">
      <w:pPr>
        <w:rPr>
          <w:rFonts w:asciiTheme="minorHAnsi" w:hAnsiTheme="minorHAnsi"/>
          <w:sz w:val="24"/>
          <w:szCs w:val="24"/>
        </w:rPr>
      </w:pPr>
      <w:proofErr w:type="gramStart"/>
      <w:r w:rsidRPr="00E367D1">
        <w:rPr>
          <w:rFonts w:asciiTheme="minorHAnsi" w:hAnsiTheme="minorHAnsi"/>
          <w:b/>
          <w:bCs/>
          <w:sz w:val="24"/>
          <w:szCs w:val="24"/>
        </w:rPr>
        <w:t xml:space="preserve">Exhibit </w:t>
      </w:r>
      <w:r w:rsidR="00932ED2" w:rsidRPr="00E367D1">
        <w:rPr>
          <w:rFonts w:asciiTheme="minorHAnsi" w:hAnsiTheme="minorHAnsi"/>
          <w:b/>
          <w:bCs/>
          <w:sz w:val="24"/>
          <w:szCs w:val="24"/>
        </w:rPr>
        <w:t>1</w:t>
      </w:r>
      <w:r w:rsidRPr="00E367D1">
        <w:rPr>
          <w:rFonts w:asciiTheme="minorHAnsi" w:hAnsiTheme="minorHAnsi"/>
          <w:b/>
          <w:bCs/>
          <w:sz w:val="24"/>
          <w:szCs w:val="24"/>
        </w:rPr>
        <w:t>.</w:t>
      </w:r>
      <w:proofErr w:type="gramEnd"/>
      <w:r w:rsidRPr="00E367D1">
        <w:rPr>
          <w:rFonts w:asciiTheme="minorHAnsi" w:hAnsiTheme="minorHAnsi"/>
          <w:b/>
          <w:bCs/>
          <w:sz w:val="24"/>
          <w:szCs w:val="24"/>
        </w:rPr>
        <w:t>  Estimated annualized burden hours</w:t>
      </w:r>
    </w:p>
    <w:tbl>
      <w:tblPr>
        <w:tblW w:w="0" w:type="auto"/>
        <w:tblCellMar>
          <w:left w:w="0" w:type="dxa"/>
          <w:right w:w="0" w:type="dxa"/>
        </w:tblCellMar>
        <w:tblLook w:val="0000" w:firstRow="0" w:lastRow="0" w:firstColumn="0" w:lastColumn="0" w:noHBand="0" w:noVBand="0"/>
      </w:tblPr>
      <w:tblGrid>
        <w:gridCol w:w="3978"/>
        <w:gridCol w:w="1727"/>
        <w:gridCol w:w="1080"/>
        <w:gridCol w:w="1296"/>
      </w:tblGrid>
      <w:tr w:rsidR="00E43093" w:rsidRPr="00E367D1" w14:paraId="4735DB11" w14:textId="77777777" w:rsidTr="00A3432D">
        <w:tc>
          <w:tcPr>
            <w:tcW w:w="397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D1C963F" w14:textId="3C5092FE" w:rsidR="00E43093" w:rsidRPr="00E367D1" w:rsidRDefault="00220405" w:rsidP="00FE762F">
            <w:pPr>
              <w:rPr>
                <w:rFonts w:asciiTheme="minorHAnsi" w:hAnsiTheme="minorHAnsi"/>
                <w:sz w:val="24"/>
                <w:szCs w:val="24"/>
              </w:rPr>
            </w:pPr>
            <w:r>
              <w:rPr>
                <w:rFonts w:asciiTheme="minorHAnsi" w:hAnsiTheme="minorHAnsi"/>
                <w:sz w:val="24"/>
                <w:szCs w:val="24"/>
              </w:rPr>
              <w:t>Form Name</w:t>
            </w:r>
          </w:p>
        </w:tc>
        <w:tc>
          <w:tcPr>
            <w:tcW w:w="172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CBCACA0" w14:textId="77777777" w:rsidR="00E43093" w:rsidRPr="00E367D1" w:rsidRDefault="00E43093" w:rsidP="00E43093">
            <w:pPr>
              <w:jc w:val="center"/>
              <w:rPr>
                <w:rFonts w:asciiTheme="minorHAnsi" w:hAnsiTheme="minorHAnsi"/>
                <w:sz w:val="24"/>
                <w:szCs w:val="24"/>
              </w:rPr>
            </w:pPr>
            <w:r w:rsidRPr="00E367D1">
              <w:rPr>
                <w:rFonts w:asciiTheme="minorHAnsi" w:hAnsiTheme="minorHAnsi"/>
                <w:sz w:val="24"/>
                <w:szCs w:val="24"/>
              </w:rPr>
              <w:t>Number of respondents</w:t>
            </w:r>
          </w:p>
        </w:tc>
        <w:tc>
          <w:tcPr>
            <w:tcW w:w="1080" w:type="dxa"/>
            <w:tcBorders>
              <w:top w:val="single" w:sz="8" w:space="0" w:color="auto"/>
              <w:left w:val="nil"/>
              <w:bottom w:val="single" w:sz="8" w:space="0" w:color="auto"/>
              <w:right w:val="single" w:sz="8" w:space="0" w:color="auto"/>
            </w:tcBorders>
            <w:vAlign w:val="center"/>
          </w:tcPr>
          <w:p w14:paraId="1D3769BE" w14:textId="77777777" w:rsidR="00E43093" w:rsidRPr="00E367D1" w:rsidRDefault="00E43093" w:rsidP="00FE762F">
            <w:pPr>
              <w:jc w:val="center"/>
              <w:rPr>
                <w:rFonts w:asciiTheme="minorHAnsi" w:hAnsiTheme="minorHAnsi"/>
                <w:sz w:val="24"/>
                <w:szCs w:val="24"/>
              </w:rPr>
            </w:pPr>
            <w:r w:rsidRPr="00E367D1">
              <w:rPr>
                <w:rFonts w:asciiTheme="minorHAnsi" w:hAnsiTheme="minorHAnsi"/>
                <w:sz w:val="24"/>
                <w:szCs w:val="24"/>
              </w:rPr>
              <w:t>Hours per response</w:t>
            </w:r>
          </w:p>
        </w:tc>
        <w:tc>
          <w:tcPr>
            <w:tcW w:w="129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1E05BFD" w14:textId="77777777" w:rsidR="00E43093" w:rsidRPr="00E367D1" w:rsidRDefault="00E43093" w:rsidP="00FE762F">
            <w:pPr>
              <w:jc w:val="center"/>
              <w:rPr>
                <w:rFonts w:asciiTheme="minorHAnsi" w:hAnsiTheme="minorHAnsi"/>
                <w:sz w:val="24"/>
                <w:szCs w:val="24"/>
              </w:rPr>
            </w:pPr>
            <w:r w:rsidRPr="00E367D1">
              <w:rPr>
                <w:rFonts w:asciiTheme="minorHAnsi" w:hAnsiTheme="minorHAnsi"/>
                <w:sz w:val="24"/>
                <w:szCs w:val="24"/>
              </w:rPr>
              <w:t>Total burden hours</w:t>
            </w:r>
          </w:p>
        </w:tc>
      </w:tr>
      <w:tr w:rsidR="00323FCD" w:rsidRPr="00E367D1" w14:paraId="33CC135F" w14:textId="77777777" w:rsidTr="00A3432D">
        <w:tc>
          <w:tcPr>
            <w:tcW w:w="397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F95950E" w14:textId="77777777" w:rsidR="00063E19" w:rsidRDefault="004058F4" w:rsidP="004944C8">
            <w:pPr>
              <w:rPr>
                <w:rFonts w:asciiTheme="minorHAnsi" w:hAnsiTheme="minorHAnsi"/>
                <w:sz w:val="24"/>
                <w:szCs w:val="24"/>
              </w:rPr>
            </w:pPr>
            <w:r w:rsidRPr="00E367D1">
              <w:rPr>
                <w:rFonts w:asciiTheme="minorHAnsi" w:hAnsiTheme="minorHAnsi"/>
                <w:sz w:val="24"/>
                <w:szCs w:val="24"/>
              </w:rPr>
              <w:t>Frontline Clinicians</w:t>
            </w:r>
            <w:r w:rsidR="00D14D74">
              <w:rPr>
                <w:rFonts w:asciiTheme="minorHAnsi" w:hAnsiTheme="minorHAnsi"/>
                <w:sz w:val="24"/>
                <w:szCs w:val="24"/>
              </w:rPr>
              <w:t xml:space="preserve"> </w:t>
            </w:r>
          </w:p>
          <w:p w14:paraId="7821F310" w14:textId="58843604" w:rsidR="00323FCD" w:rsidRPr="00E367D1" w:rsidRDefault="00D14D74" w:rsidP="004944C8">
            <w:pPr>
              <w:rPr>
                <w:rFonts w:asciiTheme="minorHAnsi" w:hAnsiTheme="minorHAnsi"/>
                <w:sz w:val="24"/>
                <w:szCs w:val="24"/>
              </w:rPr>
            </w:pPr>
            <w:r>
              <w:rPr>
                <w:rFonts w:asciiTheme="minorHAnsi" w:hAnsiTheme="minorHAnsi"/>
                <w:sz w:val="24"/>
                <w:szCs w:val="24"/>
              </w:rPr>
              <w:t xml:space="preserve">(Attachment </w:t>
            </w:r>
            <w:r w:rsidR="004944C8">
              <w:rPr>
                <w:rFonts w:asciiTheme="minorHAnsi" w:hAnsiTheme="minorHAnsi"/>
                <w:sz w:val="24"/>
                <w:szCs w:val="24"/>
              </w:rPr>
              <w:t>C</w:t>
            </w:r>
            <w:r>
              <w:rPr>
                <w:rFonts w:asciiTheme="minorHAnsi" w:hAnsiTheme="minorHAnsi"/>
                <w:sz w:val="24"/>
                <w:szCs w:val="24"/>
              </w:rPr>
              <w:t>)</w:t>
            </w:r>
          </w:p>
        </w:tc>
        <w:tc>
          <w:tcPr>
            <w:tcW w:w="17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976AF7D" w14:textId="77777777" w:rsidR="00323FCD" w:rsidRPr="00E367D1" w:rsidRDefault="002A545A">
            <w:pPr>
              <w:jc w:val="center"/>
              <w:rPr>
                <w:rFonts w:asciiTheme="minorHAnsi" w:hAnsiTheme="minorHAnsi"/>
                <w:color w:val="000000"/>
                <w:sz w:val="24"/>
                <w:szCs w:val="24"/>
              </w:rPr>
            </w:pPr>
            <w:r w:rsidRPr="00E367D1">
              <w:rPr>
                <w:rFonts w:asciiTheme="minorHAnsi" w:hAnsiTheme="minorHAnsi"/>
                <w:color w:val="000000"/>
                <w:sz w:val="24"/>
                <w:szCs w:val="24"/>
              </w:rPr>
              <w:t>90</w:t>
            </w:r>
          </w:p>
        </w:tc>
        <w:tc>
          <w:tcPr>
            <w:tcW w:w="1080" w:type="dxa"/>
            <w:tcBorders>
              <w:top w:val="nil"/>
              <w:left w:val="nil"/>
              <w:bottom w:val="single" w:sz="8" w:space="0" w:color="auto"/>
              <w:right w:val="single" w:sz="8" w:space="0" w:color="auto"/>
            </w:tcBorders>
            <w:vAlign w:val="center"/>
          </w:tcPr>
          <w:p w14:paraId="69371FDB" w14:textId="77777777" w:rsidR="00323FCD" w:rsidRPr="00E367D1" w:rsidRDefault="00323FCD">
            <w:pPr>
              <w:jc w:val="center"/>
              <w:rPr>
                <w:rFonts w:asciiTheme="minorHAnsi" w:hAnsiTheme="minorHAnsi"/>
                <w:color w:val="000000"/>
                <w:sz w:val="24"/>
                <w:szCs w:val="24"/>
              </w:rPr>
            </w:pPr>
            <w:r w:rsidRPr="00E367D1">
              <w:rPr>
                <w:rFonts w:asciiTheme="minorHAnsi" w:hAnsiTheme="minorHAnsi"/>
                <w:color w:val="000000"/>
                <w:sz w:val="24"/>
                <w:szCs w:val="24"/>
              </w:rPr>
              <w:t>1</w:t>
            </w:r>
          </w:p>
        </w:tc>
        <w:tc>
          <w:tcPr>
            <w:tcW w:w="129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2CDFF69" w14:textId="77777777" w:rsidR="00323FCD" w:rsidRPr="00E367D1" w:rsidRDefault="008A4F9C">
            <w:pPr>
              <w:jc w:val="center"/>
              <w:rPr>
                <w:rFonts w:asciiTheme="minorHAnsi" w:hAnsiTheme="minorHAnsi"/>
                <w:color w:val="000000"/>
                <w:sz w:val="24"/>
                <w:szCs w:val="24"/>
              </w:rPr>
            </w:pPr>
            <w:r w:rsidRPr="00E367D1">
              <w:rPr>
                <w:rFonts w:asciiTheme="minorHAnsi" w:hAnsiTheme="minorHAnsi"/>
                <w:color w:val="000000"/>
                <w:sz w:val="24"/>
                <w:szCs w:val="24"/>
              </w:rPr>
              <w:t>90</w:t>
            </w:r>
          </w:p>
        </w:tc>
      </w:tr>
      <w:tr w:rsidR="0069563F" w:rsidRPr="00E367D1" w14:paraId="7E8DA162" w14:textId="77777777" w:rsidTr="00063E19">
        <w:tc>
          <w:tcPr>
            <w:tcW w:w="3978" w:type="dxa"/>
            <w:tcBorders>
              <w:top w:val="nil"/>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tcPr>
          <w:p w14:paraId="370FEE25" w14:textId="3EA58254" w:rsidR="0069563F" w:rsidRPr="00E367D1" w:rsidRDefault="00FB5853" w:rsidP="004944C8">
            <w:pPr>
              <w:rPr>
                <w:rFonts w:asciiTheme="minorHAnsi" w:hAnsiTheme="minorHAnsi"/>
                <w:sz w:val="24"/>
                <w:szCs w:val="24"/>
              </w:rPr>
            </w:pPr>
            <w:r>
              <w:rPr>
                <w:rFonts w:asciiTheme="minorHAnsi" w:hAnsiTheme="minorHAnsi"/>
                <w:sz w:val="24"/>
                <w:szCs w:val="24"/>
              </w:rPr>
              <w:t>Medical Group</w:t>
            </w:r>
            <w:r w:rsidR="004058F4" w:rsidRPr="00E367D1">
              <w:rPr>
                <w:rFonts w:asciiTheme="minorHAnsi" w:hAnsiTheme="minorHAnsi"/>
                <w:sz w:val="24"/>
                <w:szCs w:val="24"/>
              </w:rPr>
              <w:t xml:space="preserve"> Administrators</w:t>
            </w:r>
            <w:r w:rsidR="0069563F" w:rsidRPr="00E367D1">
              <w:rPr>
                <w:rFonts w:asciiTheme="minorHAnsi" w:hAnsiTheme="minorHAnsi"/>
                <w:sz w:val="24"/>
                <w:szCs w:val="24"/>
              </w:rPr>
              <w:t xml:space="preserve"> </w:t>
            </w:r>
            <w:r w:rsidR="00D14D74">
              <w:rPr>
                <w:rFonts w:asciiTheme="minorHAnsi" w:hAnsiTheme="minorHAnsi"/>
                <w:sz w:val="24"/>
                <w:szCs w:val="24"/>
              </w:rPr>
              <w:t xml:space="preserve">(Attachment </w:t>
            </w:r>
            <w:r w:rsidR="004944C8">
              <w:rPr>
                <w:rFonts w:asciiTheme="minorHAnsi" w:hAnsiTheme="minorHAnsi"/>
                <w:sz w:val="24"/>
                <w:szCs w:val="24"/>
              </w:rPr>
              <w:t>C</w:t>
            </w:r>
            <w:r w:rsidR="00D14D74">
              <w:rPr>
                <w:rFonts w:asciiTheme="minorHAnsi" w:hAnsiTheme="minorHAnsi"/>
                <w:sz w:val="24"/>
                <w:szCs w:val="24"/>
              </w:rPr>
              <w:t>)</w:t>
            </w:r>
          </w:p>
        </w:tc>
        <w:tc>
          <w:tcPr>
            <w:tcW w:w="1727" w:type="dxa"/>
            <w:tcBorders>
              <w:top w:val="nil"/>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tcPr>
          <w:p w14:paraId="792FC89F" w14:textId="7A23E08E" w:rsidR="0069563F" w:rsidRPr="00E367D1" w:rsidRDefault="004944C8">
            <w:pPr>
              <w:jc w:val="center"/>
              <w:rPr>
                <w:rFonts w:asciiTheme="minorHAnsi" w:hAnsiTheme="minorHAnsi"/>
                <w:color w:val="000000"/>
                <w:sz w:val="24"/>
                <w:szCs w:val="24"/>
              </w:rPr>
            </w:pPr>
            <w:r>
              <w:rPr>
                <w:rFonts w:asciiTheme="minorHAnsi" w:hAnsiTheme="minorHAnsi"/>
                <w:color w:val="000000"/>
                <w:sz w:val="24"/>
                <w:szCs w:val="24"/>
              </w:rPr>
              <w:t>2</w:t>
            </w:r>
            <w:r w:rsidRPr="00E367D1">
              <w:rPr>
                <w:rFonts w:asciiTheme="minorHAnsi" w:hAnsiTheme="minorHAnsi"/>
                <w:color w:val="000000"/>
                <w:sz w:val="24"/>
                <w:szCs w:val="24"/>
              </w:rPr>
              <w:t>35</w:t>
            </w:r>
          </w:p>
        </w:tc>
        <w:tc>
          <w:tcPr>
            <w:tcW w:w="1080" w:type="dxa"/>
            <w:tcBorders>
              <w:top w:val="nil"/>
              <w:left w:val="nil"/>
              <w:bottom w:val="single" w:sz="8" w:space="0" w:color="auto"/>
              <w:right w:val="single" w:sz="8" w:space="0" w:color="auto"/>
            </w:tcBorders>
            <w:shd w:val="clear" w:color="auto" w:fill="BFBFBF" w:themeFill="background1" w:themeFillShade="BF"/>
            <w:vAlign w:val="center"/>
          </w:tcPr>
          <w:p w14:paraId="39306B08" w14:textId="77777777" w:rsidR="0069563F" w:rsidRPr="00E367D1" w:rsidRDefault="0069563F" w:rsidP="004058F4">
            <w:pPr>
              <w:jc w:val="center"/>
              <w:rPr>
                <w:rFonts w:asciiTheme="minorHAnsi" w:hAnsiTheme="minorHAnsi"/>
                <w:color w:val="000000"/>
                <w:sz w:val="24"/>
                <w:szCs w:val="24"/>
              </w:rPr>
            </w:pPr>
          </w:p>
        </w:tc>
        <w:tc>
          <w:tcPr>
            <w:tcW w:w="1296"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tcPr>
          <w:p w14:paraId="1186E1B5" w14:textId="77777777" w:rsidR="0069563F" w:rsidRPr="00E367D1" w:rsidRDefault="0069563F">
            <w:pPr>
              <w:jc w:val="center"/>
              <w:rPr>
                <w:rFonts w:asciiTheme="minorHAnsi" w:hAnsiTheme="minorHAnsi"/>
                <w:color w:val="000000"/>
                <w:sz w:val="24"/>
                <w:szCs w:val="24"/>
              </w:rPr>
            </w:pPr>
          </w:p>
        </w:tc>
      </w:tr>
      <w:tr w:rsidR="00070191" w:rsidRPr="00E367D1" w14:paraId="4635F97A" w14:textId="77777777" w:rsidTr="00A3432D">
        <w:tc>
          <w:tcPr>
            <w:tcW w:w="397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31921ED" w14:textId="5615CA29" w:rsidR="00063E19" w:rsidRDefault="00FB5853" w:rsidP="00E367D1">
            <w:pPr>
              <w:rPr>
                <w:rFonts w:asciiTheme="minorHAnsi" w:hAnsiTheme="minorHAnsi"/>
                <w:bCs/>
                <w:sz w:val="24"/>
                <w:szCs w:val="24"/>
              </w:rPr>
            </w:pPr>
            <w:r>
              <w:rPr>
                <w:rFonts w:asciiTheme="minorHAnsi" w:hAnsiTheme="minorHAnsi"/>
                <w:sz w:val="24"/>
                <w:szCs w:val="24"/>
              </w:rPr>
              <w:t>Medical group a</w:t>
            </w:r>
            <w:r w:rsidR="00D14D74" w:rsidRPr="00E367D1">
              <w:rPr>
                <w:rFonts w:asciiTheme="minorHAnsi" w:hAnsiTheme="minorHAnsi"/>
                <w:sz w:val="24"/>
                <w:szCs w:val="24"/>
              </w:rPr>
              <w:t>dministrators</w:t>
            </w:r>
            <w:r w:rsidR="00D14D74">
              <w:rPr>
                <w:rFonts w:asciiTheme="minorHAnsi" w:hAnsiTheme="minorHAnsi"/>
                <w:sz w:val="24"/>
                <w:szCs w:val="24"/>
              </w:rPr>
              <w:t>:</w:t>
            </w:r>
            <w:r w:rsidR="00070191">
              <w:rPr>
                <w:rFonts w:asciiTheme="minorHAnsi" w:hAnsiTheme="minorHAnsi"/>
                <w:bCs/>
                <w:sz w:val="24"/>
                <w:szCs w:val="24"/>
              </w:rPr>
              <w:t xml:space="preserve">     Administrator with authority to agree to participate in the study</w:t>
            </w:r>
            <w:r w:rsidR="004944C8">
              <w:rPr>
                <w:rFonts w:asciiTheme="minorHAnsi" w:hAnsiTheme="minorHAnsi"/>
                <w:bCs/>
                <w:sz w:val="24"/>
                <w:szCs w:val="24"/>
              </w:rPr>
              <w:t xml:space="preserve"> </w:t>
            </w:r>
          </w:p>
          <w:p w14:paraId="1A753B7E" w14:textId="56375F35" w:rsidR="00070191" w:rsidRDefault="004944C8" w:rsidP="00E367D1">
            <w:pPr>
              <w:rPr>
                <w:rFonts w:asciiTheme="minorHAnsi" w:hAnsiTheme="minorHAnsi"/>
                <w:bCs/>
                <w:sz w:val="24"/>
                <w:szCs w:val="24"/>
              </w:rPr>
            </w:pPr>
            <w:r>
              <w:rPr>
                <w:rFonts w:asciiTheme="minorHAnsi" w:hAnsiTheme="minorHAnsi"/>
                <w:bCs/>
                <w:sz w:val="24"/>
                <w:szCs w:val="24"/>
              </w:rPr>
              <w:t>(Screener call)</w:t>
            </w:r>
          </w:p>
        </w:tc>
        <w:tc>
          <w:tcPr>
            <w:tcW w:w="17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E78133D" w14:textId="77777777" w:rsidR="00070191" w:rsidRDefault="00070191" w:rsidP="0053705B">
            <w:pPr>
              <w:jc w:val="center"/>
              <w:rPr>
                <w:rFonts w:asciiTheme="minorHAnsi" w:hAnsiTheme="minorHAnsi"/>
                <w:color w:val="000000"/>
                <w:sz w:val="24"/>
                <w:szCs w:val="24"/>
              </w:rPr>
            </w:pPr>
            <w:r>
              <w:rPr>
                <w:rFonts w:asciiTheme="minorHAnsi" w:hAnsiTheme="minorHAnsi"/>
                <w:color w:val="000000"/>
                <w:sz w:val="24"/>
                <w:szCs w:val="24"/>
              </w:rPr>
              <w:t>100</w:t>
            </w:r>
          </w:p>
        </w:tc>
        <w:tc>
          <w:tcPr>
            <w:tcW w:w="1080" w:type="dxa"/>
            <w:tcBorders>
              <w:top w:val="nil"/>
              <w:left w:val="nil"/>
              <w:bottom w:val="single" w:sz="8" w:space="0" w:color="auto"/>
              <w:right w:val="single" w:sz="8" w:space="0" w:color="auto"/>
            </w:tcBorders>
            <w:vAlign w:val="center"/>
          </w:tcPr>
          <w:p w14:paraId="7F86C30E" w14:textId="77777777" w:rsidR="00070191" w:rsidRDefault="00070191">
            <w:pPr>
              <w:jc w:val="center"/>
              <w:rPr>
                <w:rFonts w:asciiTheme="minorHAnsi" w:hAnsiTheme="minorHAnsi"/>
                <w:color w:val="000000"/>
                <w:sz w:val="24"/>
                <w:szCs w:val="24"/>
              </w:rPr>
            </w:pPr>
            <w:r>
              <w:rPr>
                <w:rFonts w:asciiTheme="minorHAnsi" w:hAnsiTheme="minorHAnsi"/>
                <w:color w:val="000000"/>
                <w:sz w:val="24"/>
                <w:szCs w:val="24"/>
              </w:rPr>
              <w:t>0.25</w:t>
            </w:r>
          </w:p>
        </w:tc>
        <w:tc>
          <w:tcPr>
            <w:tcW w:w="129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FF5DD41" w14:textId="77777777" w:rsidR="00070191" w:rsidRDefault="00070191" w:rsidP="00E413A5">
            <w:pPr>
              <w:jc w:val="center"/>
              <w:rPr>
                <w:rFonts w:asciiTheme="minorHAnsi" w:hAnsiTheme="minorHAnsi"/>
                <w:color w:val="000000"/>
                <w:sz w:val="24"/>
                <w:szCs w:val="24"/>
              </w:rPr>
            </w:pPr>
            <w:r>
              <w:rPr>
                <w:rFonts w:asciiTheme="minorHAnsi" w:hAnsiTheme="minorHAnsi"/>
                <w:color w:val="000000"/>
                <w:sz w:val="24"/>
                <w:szCs w:val="24"/>
              </w:rPr>
              <w:t>25</w:t>
            </w:r>
          </w:p>
        </w:tc>
      </w:tr>
      <w:tr w:rsidR="00E367D1" w:rsidRPr="00E367D1" w14:paraId="6CF61283" w14:textId="77777777" w:rsidTr="00A3432D">
        <w:tc>
          <w:tcPr>
            <w:tcW w:w="397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54C537D" w14:textId="2F8B3FA9" w:rsidR="00063E19" w:rsidRDefault="00FB5853" w:rsidP="00E367D1">
            <w:pPr>
              <w:rPr>
                <w:rFonts w:asciiTheme="minorHAnsi" w:hAnsiTheme="minorHAnsi"/>
                <w:bCs/>
                <w:sz w:val="24"/>
                <w:szCs w:val="24"/>
              </w:rPr>
            </w:pPr>
            <w:r>
              <w:rPr>
                <w:rFonts w:asciiTheme="minorHAnsi" w:hAnsiTheme="minorHAnsi"/>
                <w:sz w:val="24"/>
                <w:szCs w:val="24"/>
              </w:rPr>
              <w:t>Medical group a</w:t>
            </w:r>
            <w:r w:rsidR="00D14D74" w:rsidRPr="00E367D1">
              <w:rPr>
                <w:rFonts w:asciiTheme="minorHAnsi" w:hAnsiTheme="minorHAnsi"/>
                <w:sz w:val="24"/>
                <w:szCs w:val="24"/>
              </w:rPr>
              <w:t>dministrators</w:t>
            </w:r>
            <w:r w:rsidR="00D14D74">
              <w:rPr>
                <w:rFonts w:asciiTheme="minorHAnsi" w:hAnsiTheme="minorHAnsi"/>
                <w:sz w:val="24"/>
                <w:szCs w:val="24"/>
              </w:rPr>
              <w:t>:</w:t>
            </w:r>
            <w:r w:rsidR="00D14D74">
              <w:rPr>
                <w:rFonts w:asciiTheme="minorHAnsi" w:hAnsiTheme="minorHAnsi"/>
                <w:bCs/>
                <w:sz w:val="24"/>
                <w:szCs w:val="24"/>
              </w:rPr>
              <w:t xml:space="preserve"> </w:t>
            </w:r>
          </w:p>
          <w:p w14:paraId="1FB0A8B2" w14:textId="7C2BB713" w:rsidR="00E367D1" w:rsidRPr="00E367D1" w:rsidRDefault="00E367D1" w:rsidP="00E367D1">
            <w:pPr>
              <w:rPr>
                <w:rFonts w:asciiTheme="minorHAnsi" w:hAnsiTheme="minorHAnsi"/>
                <w:bCs/>
                <w:sz w:val="24"/>
                <w:szCs w:val="24"/>
              </w:rPr>
            </w:pPr>
            <w:r>
              <w:rPr>
                <w:rFonts w:asciiTheme="minorHAnsi" w:hAnsiTheme="minorHAnsi"/>
                <w:bCs/>
                <w:sz w:val="24"/>
                <w:szCs w:val="24"/>
              </w:rPr>
              <w:t>Initial, h</w:t>
            </w:r>
            <w:r w:rsidRPr="00E367D1">
              <w:rPr>
                <w:rFonts w:asciiTheme="minorHAnsi" w:hAnsiTheme="minorHAnsi"/>
                <w:bCs/>
                <w:sz w:val="24"/>
                <w:szCs w:val="24"/>
              </w:rPr>
              <w:t xml:space="preserve">ighest </w:t>
            </w:r>
            <w:r>
              <w:rPr>
                <w:rFonts w:asciiTheme="minorHAnsi" w:hAnsiTheme="minorHAnsi"/>
                <w:bCs/>
                <w:sz w:val="24"/>
                <w:szCs w:val="24"/>
              </w:rPr>
              <w:t>level a</w:t>
            </w:r>
            <w:r w:rsidRPr="00E367D1">
              <w:rPr>
                <w:rFonts w:asciiTheme="minorHAnsi" w:hAnsiTheme="minorHAnsi"/>
                <w:bCs/>
                <w:sz w:val="24"/>
                <w:szCs w:val="24"/>
              </w:rPr>
              <w:t>dministrators</w:t>
            </w:r>
            <w:r w:rsidR="004944C8">
              <w:rPr>
                <w:rFonts w:asciiTheme="minorHAnsi" w:hAnsiTheme="minorHAnsi"/>
                <w:bCs/>
                <w:sz w:val="24"/>
                <w:szCs w:val="24"/>
              </w:rPr>
              <w:t xml:space="preserve"> (Attachment C)</w:t>
            </w:r>
          </w:p>
        </w:tc>
        <w:tc>
          <w:tcPr>
            <w:tcW w:w="17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744734E" w14:textId="77777777" w:rsidR="00E367D1" w:rsidRPr="00E367D1" w:rsidRDefault="008A1108" w:rsidP="0053705B">
            <w:pPr>
              <w:jc w:val="center"/>
              <w:rPr>
                <w:rFonts w:asciiTheme="minorHAnsi" w:hAnsiTheme="minorHAnsi"/>
                <w:color w:val="000000"/>
                <w:sz w:val="24"/>
                <w:szCs w:val="24"/>
              </w:rPr>
            </w:pPr>
            <w:r>
              <w:rPr>
                <w:rFonts w:asciiTheme="minorHAnsi" w:hAnsiTheme="minorHAnsi"/>
                <w:color w:val="000000"/>
                <w:sz w:val="24"/>
                <w:szCs w:val="24"/>
              </w:rPr>
              <w:t>45</w:t>
            </w:r>
          </w:p>
        </w:tc>
        <w:tc>
          <w:tcPr>
            <w:tcW w:w="1080" w:type="dxa"/>
            <w:tcBorders>
              <w:top w:val="nil"/>
              <w:left w:val="nil"/>
              <w:bottom w:val="single" w:sz="8" w:space="0" w:color="auto"/>
              <w:right w:val="single" w:sz="8" w:space="0" w:color="auto"/>
            </w:tcBorders>
            <w:vAlign w:val="center"/>
          </w:tcPr>
          <w:p w14:paraId="78084B7A" w14:textId="77777777" w:rsidR="00E367D1" w:rsidRDefault="00E367D1">
            <w:pPr>
              <w:jc w:val="center"/>
              <w:rPr>
                <w:rFonts w:asciiTheme="minorHAnsi" w:hAnsiTheme="minorHAnsi"/>
                <w:color w:val="000000"/>
                <w:sz w:val="24"/>
                <w:szCs w:val="24"/>
              </w:rPr>
            </w:pPr>
            <w:r>
              <w:rPr>
                <w:rFonts w:asciiTheme="minorHAnsi" w:hAnsiTheme="minorHAnsi"/>
                <w:color w:val="000000"/>
                <w:sz w:val="24"/>
                <w:szCs w:val="24"/>
              </w:rPr>
              <w:t>1.5</w:t>
            </w:r>
          </w:p>
        </w:tc>
        <w:tc>
          <w:tcPr>
            <w:tcW w:w="129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14486D8" w14:textId="77777777" w:rsidR="00E367D1" w:rsidRPr="00E367D1" w:rsidRDefault="00D17CE8" w:rsidP="00E413A5">
            <w:pPr>
              <w:jc w:val="center"/>
              <w:rPr>
                <w:rFonts w:asciiTheme="minorHAnsi" w:hAnsiTheme="minorHAnsi"/>
                <w:color w:val="000000"/>
                <w:sz w:val="24"/>
                <w:szCs w:val="24"/>
              </w:rPr>
            </w:pPr>
            <w:r>
              <w:rPr>
                <w:rFonts w:asciiTheme="minorHAnsi" w:hAnsiTheme="minorHAnsi"/>
                <w:color w:val="000000"/>
                <w:sz w:val="24"/>
                <w:szCs w:val="24"/>
              </w:rPr>
              <w:t>67.5</w:t>
            </w:r>
          </w:p>
        </w:tc>
      </w:tr>
      <w:tr w:rsidR="00E367D1" w:rsidRPr="00E367D1" w14:paraId="50718A83" w14:textId="77777777" w:rsidTr="00A3432D">
        <w:tc>
          <w:tcPr>
            <w:tcW w:w="397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41B5DD9" w14:textId="4E9872CA" w:rsidR="00063E19" w:rsidRDefault="00FB5853" w:rsidP="00FE762F">
            <w:pPr>
              <w:rPr>
                <w:rFonts w:asciiTheme="minorHAnsi" w:hAnsiTheme="minorHAnsi"/>
                <w:bCs/>
                <w:sz w:val="24"/>
                <w:szCs w:val="24"/>
              </w:rPr>
            </w:pPr>
            <w:r>
              <w:rPr>
                <w:rFonts w:asciiTheme="minorHAnsi" w:hAnsiTheme="minorHAnsi"/>
                <w:sz w:val="24"/>
                <w:szCs w:val="24"/>
              </w:rPr>
              <w:t>Medical group a</w:t>
            </w:r>
            <w:r w:rsidR="00D14D74" w:rsidRPr="00E367D1">
              <w:rPr>
                <w:rFonts w:asciiTheme="minorHAnsi" w:hAnsiTheme="minorHAnsi"/>
                <w:sz w:val="24"/>
                <w:szCs w:val="24"/>
              </w:rPr>
              <w:t xml:space="preserve">dministrators </w:t>
            </w:r>
            <w:r w:rsidR="00D14D74">
              <w:rPr>
                <w:rFonts w:asciiTheme="minorHAnsi" w:hAnsiTheme="minorHAnsi"/>
                <w:bCs/>
                <w:sz w:val="24"/>
                <w:szCs w:val="24"/>
              </w:rPr>
              <w:t xml:space="preserve">: </w:t>
            </w:r>
          </w:p>
          <w:p w14:paraId="334B2ABB" w14:textId="77777777" w:rsidR="00063E19" w:rsidRDefault="00E367D1" w:rsidP="00FE762F">
            <w:pPr>
              <w:rPr>
                <w:rFonts w:asciiTheme="minorHAnsi" w:hAnsiTheme="minorHAnsi"/>
                <w:bCs/>
                <w:sz w:val="24"/>
                <w:szCs w:val="24"/>
              </w:rPr>
            </w:pPr>
            <w:r w:rsidRPr="00E367D1">
              <w:rPr>
                <w:rFonts w:asciiTheme="minorHAnsi" w:hAnsiTheme="minorHAnsi"/>
                <w:bCs/>
                <w:sz w:val="24"/>
                <w:szCs w:val="24"/>
              </w:rPr>
              <w:t>All other administrators</w:t>
            </w:r>
            <w:r w:rsidR="004944C8">
              <w:rPr>
                <w:rFonts w:asciiTheme="minorHAnsi" w:hAnsiTheme="minorHAnsi"/>
                <w:bCs/>
                <w:sz w:val="24"/>
                <w:szCs w:val="24"/>
              </w:rPr>
              <w:t xml:space="preserve"> </w:t>
            </w:r>
          </w:p>
          <w:p w14:paraId="37312A25" w14:textId="65B31C60" w:rsidR="00E367D1" w:rsidRPr="00E367D1" w:rsidRDefault="004944C8" w:rsidP="00FE762F">
            <w:pPr>
              <w:rPr>
                <w:rFonts w:asciiTheme="minorHAnsi" w:hAnsiTheme="minorHAnsi"/>
                <w:bCs/>
                <w:sz w:val="24"/>
                <w:szCs w:val="24"/>
              </w:rPr>
            </w:pPr>
            <w:r>
              <w:rPr>
                <w:rFonts w:asciiTheme="minorHAnsi" w:hAnsiTheme="minorHAnsi"/>
                <w:bCs/>
                <w:sz w:val="24"/>
                <w:szCs w:val="24"/>
              </w:rPr>
              <w:t>(Attachment C)</w:t>
            </w:r>
          </w:p>
        </w:tc>
        <w:tc>
          <w:tcPr>
            <w:tcW w:w="17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42A9F56" w14:textId="77777777" w:rsidR="00E367D1" w:rsidRPr="00E367D1" w:rsidRDefault="008A1108" w:rsidP="0053705B">
            <w:pPr>
              <w:jc w:val="center"/>
              <w:rPr>
                <w:rFonts w:asciiTheme="minorHAnsi" w:hAnsiTheme="minorHAnsi"/>
                <w:color w:val="000000"/>
                <w:sz w:val="24"/>
                <w:szCs w:val="24"/>
              </w:rPr>
            </w:pPr>
            <w:r>
              <w:rPr>
                <w:rFonts w:asciiTheme="minorHAnsi" w:hAnsiTheme="minorHAnsi"/>
                <w:color w:val="000000"/>
                <w:sz w:val="24"/>
                <w:szCs w:val="24"/>
              </w:rPr>
              <w:t>90</w:t>
            </w:r>
          </w:p>
        </w:tc>
        <w:tc>
          <w:tcPr>
            <w:tcW w:w="1080" w:type="dxa"/>
            <w:tcBorders>
              <w:top w:val="nil"/>
              <w:left w:val="nil"/>
              <w:bottom w:val="single" w:sz="8" w:space="0" w:color="auto"/>
              <w:right w:val="single" w:sz="8" w:space="0" w:color="auto"/>
            </w:tcBorders>
            <w:vAlign w:val="center"/>
          </w:tcPr>
          <w:p w14:paraId="222F948A" w14:textId="77777777" w:rsidR="00E367D1" w:rsidRDefault="008A1108" w:rsidP="008A1108">
            <w:pPr>
              <w:jc w:val="center"/>
              <w:rPr>
                <w:rFonts w:asciiTheme="minorHAnsi" w:hAnsiTheme="minorHAnsi"/>
                <w:color w:val="000000"/>
                <w:sz w:val="24"/>
                <w:szCs w:val="24"/>
              </w:rPr>
            </w:pPr>
            <w:r>
              <w:rPr>
                <w:rFonts w:asciiTheme="minorHAnsi" w:hAnsiTheme="minorHAnsi"/>
                <w:color w:val="000000"/>
                <w:sz w:val="24"/>
                <w:szCs w:val="24"/>
              </w:rPr>
              <w:t>1.25</w:t>
            </w:r>
          </w:p>
        </w:tc>
        <w:tc>
          <w:tcPr>
            <w:tcW w:w="129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66233FF" w14:textId="77777777" w:rsidR="00E367D1" w:rsidRPr="00E367D1" w:rsidRDefault="008A1108" w:rsidP="00E413A5">
            <w:pPr>
              <w:jc w:val="center"/>
              <w:rPr>
                <w:rFonts w:asciiTheme="minorHAnsi" w:hAnsiTheme="minorHAnsi"/>
                <w:color w:val="000000"/>
                <w:sz w:val="24"/>
                <w:szCs w:val="24"/>
              </w:rPr>
            </w:pPr>
            <w:r>
              <w:rPr>
                <w:rFonts w:asciiTheme="minorHAnsi" w:hAnsiTheme="minorHAnsi"/>
                <w:color w:val="000000"/>
                <w:sz w:val="24"/>
                <w:szCs w:val="24"/>
              </w:rPr>
              <w:t>112.5</w:t>
            </w:r>
          </w:p>
        </w:tc>
      </w:tr>
      <w:tr w:rsidR="00C55F3A" w:rsidRPr="00E367D1" w14:paraId="43939223" w14:textId="77777777" w:rsidTr="00A3432D">
        <w:tc>
          <w:tcPr>
            <w:tcW w:w="397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EDBAB5E" w14:textId="77777777" w:rsidR="00C55F3A" w:rsidRPr="00E367D1" w:rsidRDefault="00C55F3A" w:rsidP="00FE762F">
            <w:pPr>
              <w:rPr>
                <w:rFonts w:asciiTheme="minorHAnsi" w:hAnsiTheme="minorHAnsi"/>
                <w:sz w:val="24"/>
                <w:szCs w:val="24"/>
              </w:rPr>
            </w:pPr>
            <w:r w:rsidRPr="00E367D1">
              <w:rPr>
                <w:rFonts w:asciiTheme="minorHAnsi" w:hAnsiTheme="minorHAnsi"/>
                <w:b/>
                <w:bCs/>
                <w:sz w:val="24"/>
                <w:szCs w:val="24"/>
              </w:rPr>
              <w:t>Total</w:t>
            </w:r>
          </w:p>
        </w:tc>
        <w:tc>
          <w:tcPr>
            <w:tcW w:w="17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C49FE94" w14:textId="53AA597A" w:rsidR="00C55F3A" w:rsidRPr="00D17CE8" w:rsidRDefault="00070191" w:rsidP="0053705B">
            <w:pPr>
              <w:jc w:val="center"/>
              <w:rPr>
                <w:rFonts w:asciiTheme="minorHAnsi" w:hAnsiTheme="minorHAnsi"/>
                <w:b/>
                <w:color w:val="000000"/>
                <w:sz w:val="24"/>
                <w:szCs w:val="24"/>
              </w:rPr>
            </w:pPr>
            <w:r>
              <w:rPr>
                <w:rFonts w:asciiTheme="minorHAnsi" w:hAnsiTheme="minorHAnsi"/>
                <w:b/>
                <w:color w:val="000000"/>
                <w:sz w:val="24"/>
                <w:szCs w:val="24"/>
              </w:rPr>
              <w:t>325</w:t>
            </w:r>
          </w:p>
        </w:tc>
        <w:tc>
          <w:tcPr>
            <w:tcW w:w="1080" w:type="dxa"/>
            <w:tcBorders>
              <w:top w:val="nil"/>
              <w:left w:val="nil"/>
              <w:bottom w:val="single" w:sz="8" w:space="0" w:color="auto"/>
              <w:right w:val="single" w:sz="8" w:space="0" w:color="auto"/>
            </w:tcBorders>
            <w:vAlign w:val="center"/>
          </w:tcPr>
          <w:p w14:paraId="7DB84DE7" w14:textId="77777777" w:rsidR="00C55F3A" w:rsidRPr="00E367D1" w:rsidRDefault="00E367D1">
            <w:pPr>
              <w:jc w:val="center"/>
              <w:rPr>
                <w:rFonts w:asciiTheme="minorHAnsi" w:hAnsiTheme="minorHAnsi"/>
                <w:color w:val="000000"/>
                <w:sz w:val="24"/>
                <w:szCs w:val="24"/>
              </w:rPr>
            </w:pPr>
            <w:r>
              <w:rPr>
                <w:rFonts w:asciiTheme="minorHAnsi" w:hAnsiTheme="minorHAnsi"/>
                <w:color w:val="000000"/>
                <w:sz w:val="24"/>
                <w:szCs w:val="24"/>
              </w:rPr>
              <w:t>NA</w:t>
            </w:r>
          </w:p>
        </w:tc>
        <w:tc>
          <w:tcPr>
            <w:tcW w:w="129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2918477" w14:textId="49377523" w:rsidR="00C55F3A" w:rsidRPr="00D17CE8" w:rsidRDefault="00070191" w:rsidP="00070191">
            <w:pPr>
              <w:jc w:val="center"/>
              <w:rPr>
                <w:rFonts w:asciiTheme="minorHAnsi" w:hAnsiTheme="minorHAnsi"/>
                <w:b/>
                <w:color w:val="000000"/>
                <w:sz w:val="24"/>
                <w:szCs w:val="24"/>
              </w:rPr>
            </w:pPr>
            <w:r w:rsidRPr="00D17CE8">
              <w:rPr>
                <w:rFonts w:asciiTheme="minorHAnsi" w:hAnsiTheme="minorHAnsi"/>
                <w:b/>
                <w:color w:val="000000"/>
                <w:sz w:val="24"/>
                <w:szCs w:val="24"/>
              </w:rPr>
              <w:t>2</w:t>
            </w:r>
            <w:r>
              <w:rPr>
                <w:rFonts w:asciiTheme="minorHAnsi" w:hAnsiTheme="minorHAnsi"/>
                <w:b/>
                <w:color w:val="000000"/>
                <w:sz w:val="24"/>
                <w:szCs w:val="24"/>
              </w:rPr>
              <w:t>95</w:t>
            </w:r>
          </w:p>
        </w:tc>
      </w:tr>
      <w:bookmarkEnd w:id="16"/>
      <w:bookmarkEnd w:id="17"/>
    </w:tbl>
    <w:p w14:paraId="0F5A1871" w14:textId="77777777" w:rsidR="00262784" w:rsidRPr="00E367D1" w:rsidRDefault="00262784" w:rsidP="00262784">
      <w:pPr>
        <w:rPr>
          <w:rFonts w:asciiTheme="minorHAnsi" w:hAnsiTheme="minorHAnsi"/>
          <w:sz w:val="24"/>
          <w:szCs w:val="24"/>
        </w:rPr>
      </w:pPr>
    </w:p>
    <w:p w14:paraId="74407BFB" w14:textId="77777777" w:rsidR="004944C8" w:rsidRPr="00E367D1" w:rsidRDefault="004944C8" w:rsidP="004944C8">
      <w:pPr>
        <w:rPr>
          <w:rFonts w:asciiTheme="minorHAnsi" w:hAnsiTheme="minorHAnsi"/>
          <w:sz w:val="24"/>
          <w:szCs w:val="24"/>
        </w:rPr>
      </w:pPr>
      <w:r w:rsidRPr="00E367D1">
        <w:rPr>
          <w:rFonts w:asciiTheme="minorHAnsi" w:hAnsiTheme="minorHAnsi"/>
          <w:sz w:val="24"/>
          <w:szCs w:val="24"/>
        </w:rPr>
        <w:t xml:space="preserve">Exhibit 2 shows the estimated annualized cost burden associated with the participants’ time to take part in this research.  The total cost burden is estimated to be </w:t>
      </w:r>
      <w:r w:rsidRPr="00D17CE8">
        <w:rPr>
          <w:rFonts w:asciiTheme="minorHAnsi" w:hAnsiTheme="minorHAnsi"/>
          <w:b/>
          <w:color w:val="000000"/>
          <w:sz w:val="24"/>
          <w:szCs w:val="24"/>
        </w:rPr>
        <w:t>$</w:t>
      </w:r>
      <w:r>
        <w:rPr>
          <w:rFonts w:asciiTheme="minorHAnsi" w:hAnsiTheme="minorHAnsi"/>
          <w:b/>
          <w:color w:val="000000"/>
          <w:sz w:val="24"/>
          <w:szCs w:val="24"/>
        </w:rPr>
        <w:t>27,270.45</w:t>
      </w:r>
      <w:r w:rsidRPr="00E367D1">
        <w:rPr>
          <w:rFonts w:asciiTheme="minorHAnsi" w:hAnsiTheme="minorHAnsi"/>
          <w:sz w:val="24"/>
          <w:szCs w:val="24"/>
        </w:rPr>
        <w:t>.</w:t>
      </w:r>
    </w:p>
    <w:p w14:paraId="0E6864B8" w14:textId="77777777" w:rsidR="00D17CE8" w:rsidRDefault="00D17CE8" w:rsidP="00F627AD">
      <w:pPr>
        <w:keepNext/>
        <w:rPr>
          <w:rFonts w:asciiTheme="minorHAnsi" w:hAnsiTheme="minorHAnsi"/>
          <w:b/>
          <w:sz w:val="24"/>
          <w:szCs w:val="24"/>
        </w:rPr>
      </w:pPr>
    </w:p>
    <w:p w14:paraId="55ECAD20" w14:textId="77777777" w:rsidR="00262784" w:rsidRPr="00E367D1" w:rsidRDefault="00566CFD" w:rsidP="00F627AD">
      <w:pPr>
        <w:keepNext/>
        <w:rPr>
          <w:rFonts w:asciiTheme="minorHAnsi" w:hAnsiTheme="minorHAnsi"/>
          <w:b/>
          <w:sz w:val="24"/>
          <w:szCs w:val="24"/>
        </w:rPr>
      </w:pPr>
      <w:proofErr w:type="gramStart"/>
      <w:r w:rsidRPr="00E367D1">
        <w:rPr>
          <w:rFonts w:asciiTheme="minorHAnsi" w:hAnsiTheme="minorHAnsi"/>
          <w:b/>
          <w:sz w:val="24"/>
          <w:szCs w:val="24"/>
        </w:rPr>
        <w:t>E</w:t>
      </w:r>
      <w:r w:rsidR="00262784" w:rsidRPr="00E367D1">
        <w:rPr>
          <w:rFonts w:asciiTheme="minorHAnsi" w:hAnsiTheme="minorHAnsi"/>
          <w:b/>
          <w:sz w:val="24"/>
          <w:szCs w:val="24"/>
        </w:rPr>
        <w:t xml:space="preserve">xhibit </w:t>
      </w:r>
      <w:r w:rsidR="00932ED2" w:rsidRPr="00E367D1">
        <w:rPr>
          <w:rFonts w:asciiTheme="minorHAnsi" w:hAnsiTheme="minorHAnsi"/>
          <w:b/>
          <w:sz w:val="24"/>
          <w:szCs w:val="24"/>
        </w:rPr>
        <w:t>2</w:t>
      </w:r>
      <w:r w:rsidR="00262784" w:rsidRPr="00E367D1">
        <w:rPr>
          <w:rFonts w:asciiTheme="minorHAnsi" w:hAnsiTheme="minorHAnsi"/>
          <w:b/>
          <w:sz w:val="24"/>
          <w:szCs w:val="24"/>
        </w:rPr>
        <w:t>.</w:t>
      </w:r>
      <w:proofErr w:type="gramEnd"/>
      <w:r w:rsidR="00262784" w:rsidRPr="00E367D1">
        <w:rPr>
          <w:rFonts w:asciiTheme="minorHAnsi" w:hAnsiTheme="minorHAnsi"/>
          <w:b/>
          <w:sz w:val="24"/>
          <w:szCs w:val="24"/>
        </w:rPr>
        <w:t xml:space="preserve">  Estimated annualized cost burden</w:t>
      </w:r>
    </w:p>
    <w:tbl>
      <w:tblPr>
        <w:tblW w:w="0" w:type="auto"/>
        <w:tblLayout w:type="fixed"/>
        <w:tblCellMar>
          <w:left w:w="0" w:type="dxa"/>
          <w:right w:w="0" w:type="dxa"/>
        </w:tblCellMar>
        <w:tblLook w:val="0000" w:firstRow="0" w:lastRow="0" w:firstColumn="0" w:lastColumn="0" w:noHBand="0" w:noVBand="0"/>
      </w:tblPr>
      <w:tblGrid>
        <w:gridCol w:w="3888"/>
        <w:gridCol w:w="1536"/>
        <w:gridCol w:w="1440"/>
        <w:gridCol w:w="2064"/>
      </w:tblGrid>
      <w:tr w:rsidR="00AD4588" w:rsidRPr="00E367D1" w14:paraId="5CBAA46F" w14:textId="77777777" w:rsidTr="00F627AD">
        <w:tc>
          <w:tcPr>
            <w:tcW w:w="388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3BA8CFF" w14:textId="77777777" w:rsidR="00AD4588" w:rsidRPr="00E367D1" w:rsidRDefault="00D17CE8" w:rsidP="00FE762F">
            <w:pPr>
              <w:rPr>
                <w:rFonts w:asciiTheme="minorHAnsi" w:hAnsiTheme="minorHAnsi"/>
                <w:sz w:val="24"/>
                <w:szCs w:val="24"/>
              </w:rPr>
            </w:pPr>
            <w:r>
              <w:rPr>
                <w:rFonts w:asciiTheme="minorHAnsi" w:hAnsiTheme="minorHAnsi"/>
                <w:sz w:val="24"/>
                <w:szCs w:val="24"/>
              </w:rPr>
              <w:t>Interviewee Type</w:t>
            </w:r>
          </w:p>
        </w:tc>
        <w:tc>
          <w:tcPr>
            <w:tcW w:w="153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6C013D0" w14:textId="77777777" w:rsidR="00AD4588" w:rsidRPr="00E367D1" w:rsidRDefault="00AD4588" w:rsidP="00FE762F">
            <w:pPr>
              <w:jc w:val="center"/>
              <w:rPr>
                <w:rFonts w:asciiTheme="minorHAnsi" w:hAnsiTheme="minorHAnsi"/>
                <w:sz w:val="24"/>
                <w:szCs w:val="24"/>
              </w:rPr>
            </w:pPr>
            <w:r w:rsidRPr="00E367D1">
              <w:rPr>
                <w:rFonts w:asciiTheme="minorHAnsi" w:hAnsiTheme="minorHAnsi"/>
                <w:sz w:val="24"/>
                <w:szCs w:val="24"/>
              </w:rPr>
              <w:t>Total burden hours</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1C4F219" w14:textId="77777777" w:rsidR="00AD4588" w:rsidRPr="00E367D1" w:rsidRDefault="00741BFF" w:rsidP="00FE762F">
            <w:pPr>
              <w:jc w:val="center"/>
              <w:rPr>
                <w:rFonts w:asciiTheme="minorHAnsi" w:hAnsiTheme="minorHAnsi"/>
                <w:sz w:val="24"/>
                <w:szCs w:val="24"/>
              </w:rPr>
            </w:pPr>
            <w:r w:rsidRPr="00E367D1">
              <w:rPr>
                <w:rFonts w:asciiTheme="minorHAnsi" w:hAnsiTheme="minorHAnsi"/>
                <w:sz w:val="24"/>
                <w:szCs w:val="24"/>
              </w:rPr>
              <w:t>Average hourly wage rate</w:t>
            </w:r>
            <w:r w:rsidR="00E71D83" w:rsidRPr="00E367D1">
              <w:rPr>
                <w:rFonts w:asciiTheme="minorHAnsi" w:hAnsiTheme="minorHAnsi"/>
                <w:sz w:val="24"/>
                <w:szCs w:val="24"/>
              </w:rPr>
              <w:t>*</w:t>
            </w:r>
          </w:p>
        </w:tc>
        <w:tc>
          <w:tcPr>
            <w:tcW w:w="206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B887343" w14:textId="77777777" w:rsidR="00AD4588" w:rsidRPr="00E367D1" w:rsidRDefault="00AD4588" w:rsidP="00FE762F">
            <w:pPr>
              <w:jc w:val="center"/>
              <w:rPr>
                <w:rFonts w:asciiTheme="minorHAnsi" w:hAnsiTheme="minorHAnsi"/>
                <w:sz w:val="24"/>
                <w:szCs w:val="24"/>
              </w:rPr>
            </w:pPr>
            <w:r w:rsidRPr="00E367D1">
              <w:rPr>
                <w:rFonts w:asciiTheme="minorHAnsi" w:hAnsiTheme="minorHAnsi"/>
                <w:sz w:val="24"/>
                <w:szCs w:val="24"/>
              </w:rPr>
              <w:t>Total  cost burden</w:t>
            </w:r>
          </w:p>
        </w:tc>
      </w:tr>
      <w:tr w:rsidR="00323FCD" w:rsidRPr="00E367D1" w14:paraId="4D791AE7" w14:textId="77777777" w:rsidTr="00F627AD">
        <w:tc>
          <w:tcPr>
            <w:tcW w:w="38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F432105" w14:textId="61C818A4" w:rsidR="00323FCD" w:rsidRPr="00E367D1" w:rsidRDefault="00FB5853" w:rsidP="00FE762F">
            <w:pPr>
              <w:rPr>
                <w:rFonts w:asciiTheme="minorHAnsi" w:hAnsiTheme="minorHAnsi"/>
                <w:sz w:val="24"/>
                <w:szCs w:val="24"/>
              </w:rPr>
            </w:pPr>
            <w:r>
              <w:rPr>
                <w:rFonts w:asciiTheme="minorHAnsi" w:hAnsiTheme="minorHAnsi"/>
                <w:sz w:val="24"/>
                <w:szCs w:val="24"/>
              </w:rPr>
              <w:t>Frontline c</w:t>
            </w:r>
            <w:r w:rsidR="004058F4" w:rsidRPr="00E367D1">
              <w:rPr>
                <w:rFonts w:asciiTheme="minorHAnsi" w:hAnsiTheme="minorHAnsi"/>
                <w:sz w:val="24"/>
                <w:szCs w:val="24"/>
              </w:rPr>
              <w:t>linicians</w:t>
            </w:r>
          </w:p>
        </w:tc>
        <w:tc>
          <w:tcPr>
            <w:tcW w:w="15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D56AFD5" w14:textId="77777777" w:rsidR="00323FCD" w:rsidRPr="00E367D1" w:rsidRDefault="00D17CE8" w:rsidP="0053705B">
            <w:pPr>
              <w:jc w:val="center"/>
              <w:rPr>
                <w:rFonts w:asciiTheme="minorHAnsi" w:hAnsiTheme="minorHAnsi"/>
                <w:color w:val="000000"/>
                <w:sz w:val="24"/>
                <w:szCs w:val="24"/>
              </w:rPr>
            </w:pPr>
            <w:r>
              <w:rPr>
                <w:rFonts w:asciiTheme="minorHAnsi" w:hAnsiTheme="minorHAnsi"/>
                <w:color w:val="000000"/>
                <w:sz w:val="24"/>
                <w:szCs w:val="24"/>
              </w:rPr>
              <w:t>90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1A45154" w14:textId="77777777" w:rsidR="00323FCD" w:rsidRPr="00E367D1" w:rsidRDefault="00323FCD" w:rsidP="002A545A">
            <w:pPr>
              <w:jc w:val="center"/>
              <w:rPr>
                <w:rFonts w:asciiTheme="minorHAnsi" w:hAnsiTheme="minorHAnsi"/>
                <w:sz w:val="24"/>
                <w:szCs w:val="24"/>
                <w:vertAlign w:val="superscript"/>
              </w:rPr>
            </w:pPr>
            <w:r w:rsidRPr="00E367D1">
              <w:rPr>
                <w:rFonts w:asciiTheme="minorHAnsi" w:hAnsiTheme="minorHAnsi"/>
                <w:sz w:val="24"/>
                <w:szCs w:val="24"/>
              </w:rPr>
              <w:t>$</w:t>
            </w:r>
            <w:r w:rsidR="002A545A" w:rsidRPr="00E367D1">
              <w:rPr>
                <w:rFonts w:asciiTheme="minorHAnsi" w:hAnsiTheme="minorHAnsi"/>
                <w:sz w:val="24"/>
                <w:szCs w:val="24"/>
              </w:rPr>
              <w:t>103.54</w:t>
            </w:r>
            <w:r w:rsidR="00B90161" w:rsidRPr="00E367D1">
              <w:rPr>
                <w:rFonts w:asciiTheme="minorHAnsi" w:hAnsiTheme="minorHAnsi"/>
                <w:sz w:val="24"/>
                <w:szCs w:val="24"/>
                <w:vertAlign w:val="superscript"/>
              </w:rPr>
              <w:t>a</w:t>
            </w:r>
          </w:p>
        </w:tc>
        <w:tc>
          <w:tcPr>
            <w:tcW w:w="20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7D0B9E9" w14:textId="77777777" w:rsidR="00323FCD" w:rsidRPr="00E367D1" w:rsidRDefault="00323FCD" w:rsidP="00D17CE8">
            <w:pPr>
              <w:jc w:val="right"/>
              <w:rPr>
                <w:rFonts w:asciiTheme="minorHAnsi" w:hAnsiTheme="minorHAnsi"/>
                <w:color w:val="000000"/>
                <w:sz w:val="24"/>
                <w:szCs w:val="24"/>
              </w:rPr>
            </w:pPr>
            <w:r w:rsidRPr="00E367D1">
              <w:rPr>
                <w:rFonts w:asciiTheme="minorHAnsi" w:hAnsiTheme="minorHAnsi"/>
                <w:color w:val="000000"/>
                <w:sz w:val="24"/>
                <w:szCs w:val="24"/>
              </w:rPr>
              <w:t>$</w:t>
            </w:r>
            <w:r w:rsidR="00D17CE8">
              <w:rPr>
                <w:rFonts w:asciiTheme="minorHAnsi" w:hAnsiTheme="minorHAnsi"/>
                <w:color w:val="000000"/>
                <w:sz w:val="24"/>
                <w:szCs w:val="24"/>
              </w:rPr>
              <w:t>9,318.60</w:t>
            </w:r>
          </w:p>
        </w:tc>
      </w:tr>
      <w:tr w:rsidR="00C55F3A" w:rsidRPr="00E367D1" w14:paraId="1E028D14" w14:textId="77777777" w:rsidTr="00F627AD">
        <w:tc>
          <w:tcPr>
            <w:tcW w:w="38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A09E20A" w14:textId="300F34EF" w:rsidR="00C55F3A" w:rsidRPr="00E367D1" w:rsidRDefault="00FB5853" w:rsidP="00D17CE8">
            <w:pPr>
              <w:rPr>
                <w:rFonts w:asciiTheme="minorHAnsi" w:hAnsiTheme="minorHAnsi"/>
                <w:sz w:val="24"/>
                <w:szCs w:val="24"/>
              </w:rPr>
            </w:pPr>
            <w:r>
              <w:rPr>
                <w:rFonts w:asciiTheme="minorHAnsi" w:hAnsiTheme="minorHAnsi"/>
                <w:sz w:val="24"/>
                <w:szCs w:val="24"/>
              </w:rPr>
              <w:t>Medical group a</w:t>
            </w:r>
            <w:r w:rsidR="004058F4" w:rsidRPr="00E367D1">
              <w:rPr>
                <w:rFonts w:asciiTheme="minorHAnsi" w:hAnsiTheme="minorHAnsi"/>
                <w:sz w:val="24"/>
                <w:szCs w:val="24"/>
              </w:rPr>
              <w:t>dministrators</w:t>
            </w:r>
          </w:p>
        </w:tc>
        <w:tc>
          <w:tcPr>
            <w:tcW w:w="15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8317679" w14:textId="63EBD413" w:rsidR="00C55F3A" w:rsidRPr="00E367D1" w:rsidRDefault="00070191" w:rsidP="00E413A5">
            <w:pPr>
              <w:jc w:val="center"/>
              <w:rPr>
                <w:rFonts w:asciiTheme="minorHAnsi" w:hAnsiTheme="minorHAnsi"/>
                <w:color w:val="000000"/>
                <w:sz w:val="24"/>
                <w:szCs w:val="24"/>
              </w:rPr>
            </w:pPr>
            <w:r>
              <w:rPr>
                <w:rFonts w:asciiTheme="minorHAnsi" w:hAnsiTheme="minorHAnsi"/>
                <w:color w:val="000000"/>
                <w:sz w:val="24"/>
                <w:szCs w:val="24"/>
              </w:rPr>
              <w:t>205</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C9AB576" w14:textId="77777777" w:rsidR="00C55F3A" w:rsidRPr="00E367D1" w:rsidRDefault="00C55F3A" w:rsidP="002A545A">
            <w:pPr>
              <w:jc w:val="center"/>
              <w:rPr>
                <w:rFonts w:asciiTheme="minorHAnsi" w:hAnsiTheme="minorHAnsi"/>
                <w:sz w:val="24"/>
                <w:szCs w:val="24"/>
              </w:rPr>
            </w:pPr>
            <w:r w:rsidRPr="00E367D1">
              <w:rPr>
                <w:rFonts w:asciiTheme="minorHAnsi" w:hAnsiTheme="minorHAnsi"/>
                <w:sz w:val="24"/>
                <w:szCs w:val="24"/>
              </w:rPr>
              <w:t>$</w:t>
            </w:r>
            <w:r w:rsidR="002A545A" w:rsidRPr="00E367D1">
              <w:rPr>
                <w:rFonts w:asciiTheme="minorHAnsi" w:hAnsiTheme="minorHAnsi"/>
                <w:sz w:val="24"/>
                <w:szCs w:val="24"/>
              </w:rPr>
              <w:t>87.57</w:t>
            </w:r>
            <w:r w:rsidRPr="00E367D1">
              <w:rPr>
                <w:rFonts w:asciiTheme="minorHAnsi" w:hAnsiTheme="minorHAnsi"/>
                <w:sz w:val="24"/>
                <w:szCs w:val="24"/>
                <w:vertAlign w:val="superscript"/>
              </w:rPr>
              <w:t>b</w:t>
            </w:r>
          </w:p>
        </w:tc>
        <w:tc>
          <w:tcPr>
            <w:tcW w:w="20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6301782" w14:textId="6933C0B4" w:rsidR="00C55F3A" w:rsidRPr="00E367D1" w:rsidRDefault="00902047" w:rsidP="00070191">
            <w:pPr>
              <w:jc w:val="right"/>
              <w:rPr>
                <w:rFonts w:asciiTheme="minorHAnsi" w:hAnsiTheme="minorHAnsi"/>
                <w:color w:val="000000"/>
                <w:sz w:val="24"/>
                <w:szCs w:val="24"/>
              </w:rPr>
            </w:pPr>
            <w:r w:rsidRPr="00E367D1">
              <w:rPr>
                <w:rFonts w:asciiTheme="minorHAnsi" w:hAnsiTheme="minorHAnsi"/>
                <w:color w:val="000000"/>
                <w:sz w:val="24"/>
                <w:szCs w:val="24"/>
              </w:rPr>
              <w:t>$</w:t>
            </w:r>
            <w:r w:rsidR="00070191">
              <w:rPr>
                <w:rFonts w:asciiTheme="minorHAnsi" w:hAnsiTheme="minorHAnsi"/>
                <w:color w:val="000000"/>
                <w:sz w:val="24"/>
                <w:szCs w:val="24"/>
              </w:rPr>
              <w:t>17,951.85</w:t>
            </w:r>
            <w:r w:rsidR="00C55F3A" w:rsidRPr="00E367D1">
              <w:rPr>
                <w:rFonts w:asciiTheme="minorHAnsi" w:hAnsiTheme="minorHAnsi"/>
                <w:color w:val="000000"/>
                <w:sz w:val="24"/>
                <w:szCs w:val="24"/>
              </w:rPr>
              <w:t xml:space="preserve"> </w:t>
            </w:r>
          </w:p>
        </w:tc>
      </w:tr>
      <w:tr w:rsidR="00C55F3A" w:rsidRPr="00E367D1" w14:paraId="09276370" w14:textId="77777777" w:rsidTr="00F627AD">
        <w:tc>
          <w:tcPr>
            <w:tcW w:w="38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2EAEA3E" w14:textId="77777777" w:rsidR="00C55F3A" w:rsidRPr="00E367D1" w:rsidRDefault="00C55F3A" w:rsidP="00FE762F">
            <w:pPr>
              <w:rPr>
                <w:rFonts w:asciiTheme="minorHAnsi" w:hAnsiTheme="minorHAnsi"/>
                <w:sz w:val="24"/>
                <w:szCs w:val="24"/>
              </w:rPr>
            </w:pPr>
            <w:r w:rsidRPr="00E367D1">
              <w:rPr>
                <w:rFonts w:asciiTheme="minorHAnsi" w:hAnsiTheme="minorHAnsi"/>
                <w:b/>
                <w:bCs/>
                <w:sz w:val="24"/>
                <w:szCs w:val="24"/>
              </w:rPr>
              <w:t>Total</w:t>
            </w:r>
          </w:p>
        </w:tc>
        <w:tc>
          <w:tcPr>
            <w:tcW w:w="15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9292C48" w14:textId="0174B780" w:rsidR="00C55F3A" w:rsidRPr="00D17CE8" w:rsidRDefault="00070191">
            <w:pPr>
              <w:jc w:val="center"/>
              <w:rPr>
                <w:rFonts w:asciiTheme="minorHAnsi" w:hAnsiTheme="minorHAnsi"/>
                <w:b/>
                <w:color w:val="000000"/>
                <w:sz w:val="24"/>
                <w:szCs w:val="24"/>
              </w:rPr>
            </w:pPr>
            <w:r>
              <w:rPr>
                <w:rFonts w:asciiTheme="minorHAnsi" w:hAnsiTheme="minorHAnsi"/>
                <w:b/>
                <w:color w:val="000000"/>
                <w:sz w:val="24"/>
                <w:szCs w:val="24"/>
              </w:rPr>
              <w:t>295</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B94A53D" w14:textId="77777777" w:rsidR="00C55F3A" w:rsidRPr="00E367D1" w:rsidRDefault="00E367D1" w:rsidP="00FE762F">
            <w:pPr>
              <w:jc w:val="center"/>
              <w:rPr>
                <w:rFonts w:asciiTheme="minorHAnsi" w:hAnsiTheme="minorHAnsi"/>
                <w:sz w:val="24"/>
                <w:szCs w:val="24"/>
              </w:rPr>
            </w:pPr>
            <w:r>
              <w:rPr>
                <w:rFonts w:asciiTheme="minorHAnsi" w:hAnsiTheme="minorHAnsi"/>
                <w:sz w:val="24"/>
                <w:szCs w:val="24"/>
              </w:rPr>
              <w:t>NA</w:t>
            </w:r>
          </w:p>
        </w:tc>
        <w:tc>
          <w:tcPr>
            <w:tcW w:w="20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0940242" w14:textId="75B05182" w:rsidR="00C55F3A" w:rsidRPr="00D17CE8" w:rsidRDefault="004235AA" w:rsidP="00070191">
            <w:pPr>
              <w:jc w:val="right"/>
              <w:rPr>
                <w:rFonts w:asciiTheme="minorHAnsi" w:hAnsiTheme="minorHAnsi"/>
                <w:b/>
                <w:color w:val="000000"/>
                <w:sz w:val="24"/>
                <w:szCs w:val="24"/>
              </w:rPr>
            </w:pPr>
            <w:r w:rsidRPr="00D17CE8">
              <w:rPr>
                <w:rFonts w:asciiTheme="minorHAnsi" w:hAnsiTheme="minorHAnsi"/>
                <w:b/>
                <w:color w:val="000000"/>
                <w:sz w:val="24"/>
                <w:szCs w:val="24"/>
              </w:rPr>
              <w:t>$</w:t>
            </w:r>
            <w:r w:rsidR="00070191">
              <w:rPr>
                <w:rFonts w:asciiTheme="minorHAnsi" w:hAnsiTheme="minorHAnsi"/>
                <w:b/>
                <w:color w:val="000000"/>
                <w:sz w:val="24"/>
                <w:szCs w:val="24"/>
              </w:rPr>
              <w:t>27,270.45</w:t>
            </w:r>
          </w:p>
        </w:tc>
      </w:tr>
    </w:tbl>
    <w:p w14:paraId="471E81C6" w14:textId="77777777" w:rsidR="002A545A" w:rsidRPr="00E367D1" w:rsidRDefault="00065349">
      <w:pPr>
        <w:rPr>
          <w:rFonts w:asciiTheme="minorHAnsi" w:hAnsiTheme="minorHAnsi"/>
          <w:color w:val="000000"/>
          <w:sz w:val="22"/>
          <w:szCs w:val="22"/>
        </w:rPr>
      </w:pPr>
      <w:proofErr w:type="gramStart"/>
      <w:r w:rsidRPr="00E367D1">
        <w:rPr>
          <w:rFonts w:asciiTheme="minorHAnsi" w:hAnsiTheme="minorHAnsi"/>
          <w:color w:val="000000"/>
          <w:sz w:val="22"/>
          <w:szCs w:val="22"/>
          <w:vertAlign w:val="superscript"/>
        </w:rPr>
        <w:t>a</w:t>
      </w:r>
      <w:proofErr w:type="gramEnd"/>
      <w:r w:rsidR="00C55F3A" w:rsidRPr="00E367D1">
        <w:rPr>
          <w:rFonts w:asciiTheme="minorHAnsi" w:hAnsiTheme="minorHAnsi"/>
          <w:color w:val="000000"/>
          <w:sz w:val="22"/>
          <w:szCs w:val="22"/>
          <w:vertAlign w:val="superscript"/>
        </w:rPr>
        <w:t xml:space="preserve"> </w:t>
      </w:r>
      <w:r w:rsidRPr="00E367D1">
        <w:rPr>
          <w:rFonts w:asciiTheme="minorHAnsi" w:hAnsiTheme="minorHAnsi"/>
          <w:color w:val="000000"/>
          <w:sz w:val="22"/>
          <w:szCs w:val="22"/>
        </w:rPr>
        <w:t xml:space="preserve">Based on the average </w:t>
      </w:r>
      <w:r w:rsidR="007217AA" w:rsidRPr="00E367D1">
        <w:rPr>
          <w:rFonts w:asciiTheme="minorHAnsi" w:hAnsiTheme="minorHAnsi"/>
          <w:color w:val="000000"/>
          <w:sz w:val="22"/>
          <w:szCs w:val="22"/>
        </w:rPr>
        <w:t xml:space="preserve">hourly </w:t>
      </w:r>
      <w:r w:rsidRPr="00E367D1">
        <w:rPr>
          <w:rFonts w:asciiTheme="minorHAnsi" w:hAnsiTheme="minorHAnsi"/>
          <w:color w:val="000000"/>
          <w:sz w:val="22"/>
          <w:szCs w:val="22"/>
        </w:rPr>
        <w:t>wage</w:t>
      </w:r>
      <w:r w:rsidR="002A545A" w:rsidRPr="00E367D1">
        <w:rPr>
          <w:rFonts w:asciiTheme="minorHAnsi" w:hAnsiTheme="minorHAnsi"/>
          <w:color w:val="000000"/>
          <w:sz w:val="22"/>
          <w:szCs w:val="22"/>
        </w:rPr>
        <w:t xml:space="preserve"> </w:t>
      </w:r>
      <w:r w:rsidRPr="00E367D1">
        <w:rPr>
          <w:rFonts w:asciiTheme="minorHAnsi" w:hAnsiTheme="minorHAnsi"/>
          <w:color w:val="000000"/>
          <w:sz w:val="22"/>
          <w:szCs w:val="22"/>
        </w:rPr>
        <w:t>for one physician (29-1060; $</w:t>
      </w:r>
      <w:r w:rsidR="00DE618A" w:rsidRPr="00E367D1">
        <w:rPr>
          <w:rFonts w:asciiTheme="minorHAnsi" w:hAnsiTheme="minorHAnsi"/>
          <w:color w:val="000000"/>
          <w:sz w:val="22"/>
          <w:szCs w:val="22"/>
        </w:rPr>
        <w:t>103.54</w:t>
      </w:r>
      <w:r w:rsidR="00D17CE8">
        <w:rPr>
          <w:rFonts w:asciiTheme="minorHAnsi" w:hAnsiTheme="minorHAnsi"/>
          <w:color w:val="000000"/>
          <w:sz w:val="22"/>
          <w:szCs w:val="22"/>
        </w:rPr>
        <w:t>).</w:t>
      </w:r>
    </w:p>
    <w:p w14:paraId="78656AB5" w14:textId="77777777" w:rsidR="007217AA" w:rsidRPr="00E367D1" w:rsidRDefault="007217AA">
      <w:pPr>
        <w:rPr>
          <w:rFonts w:asciiTheme="minorHAnsi" w:hAnsiTheme="minorHAnsi"/>
          <w:color w:val="000000"/>
          <w:sz w:val="22"/>
          <w:szCs w:val="22"/>
        </w:rPr>
      </w:pPr>
      <w:proofErr w:type="gramStart"/>
      <w:r w:rsidRPr="00E367D1">
        <w:rPr>
          <w:rFonts w:asciiTheme="minorHAnsi" w:hAnsiTheme="minorHAnsi"/>
          <w:color w:val="000000"/>
          <w:sz w:val="22"/>
          <w:szCs w:val="22"/>
          <w:vertAlign w:val="superscript"/>
        </w:rPr>
        <w:t>b</w:t>
      </w:r>
      <w:proofErr w:type="gramEnd"/>
      <w:r w:rsidR="00C55F3A" w:rsidRPr="00E367D1">
        <w:rPr>
          <w:rFonts w:asciiTheme="minorHAnsi" w:hAnsiTheme="minorHAnsi"/>
          <w:color w:val="000000"/>
          <w:sz w:val="22"/>
          <w:szCs w:val="22"/>
          <w:vertAlign w:val="superscript"/>
        </w:rPr>
        <w:t xml:space="preserve"> </w:t>
      </w:r>
      <w:r w:rsidRPr="00E367D1">
        <w:rPr>
          <w:rFonts w:asciiTheme="minorHAnsi" w:hAnsiTheme="minorHAnsi"/>
          <w:color w:val="000000"/>
          <w:sz w:val="22"/>
          <w:szCs w:val="22"/>
        </w:rPr>
        <w:t xml:space="preserve">Based on the average hourly wage for </w:t>
      </w:r>
      <w:r w:rsidR="002A545A" w:rsidRPr="00E367D1">
        <w:rPr>
          <w:rFonts w:asciiTheme="minorHAnsi" w:hAnsiTheme="minorHAnsi"/>
          <w:color w:val="000000"/>
          <w:sz w:val="22"/>
          <w:szCs w:val="22"/>
        </w:rPr>
        <w:t>one Chief Executive (11-1011; $87.57)</w:t>
      </w:r>
      <w:r w:rsidR="00D17CE8">
        <w:rPr>
          <w:rFonts w:asciiTheme="minorHAnsi" w:hAnsiTheme="minorHAnsi"/>
          <w:color w:val="000000"/>
          <w:sz w:val="22"/>
          <w:szCs w:val="22"/>
        </w:rPr>
        <w:t>.</w:t>
      </w:r>
      <w:r w:rsidR="002A545A" w:rsidRPr="00E367D1">
        <w:rPr>
          <w:rFonts w:asciiTheme="minorHAnsi" w:hAnsiTheme="minorHAnsi"/>
          <w:color w:val="000000"/>
          <w:sz w:val="22"/>
          <w:szCs w:val="22"/>
        </w:rPr>
        <w:t xml:space="preserve"> </w:t>
      </w:r>
    </w:p>
    <w:p w14:paraId="65BBA387" w14:textId="77777777" w:rsidR="007B0E76" w:rsidRPr="00E367D1" w:rsidRDefault="001E6D0C" w:rsidP="00C55F3A">
      <w:pPr>
        <w:rPr>
          <w:rFonts w:asciiTheme="minorHAnsi" w:hAnsiTheme="minorHAnsi"/>
          <w:color w:val="000000"/>
          <w:sz w:val="22"/>
          <w:szCs w:val="22"/>
        </w:rPr>
      </w:pPr>
      <w:r w:rsidRPr="00E367D1">
        <w:rPr>
          <w:rFonts w:asciiTheme="minorHAnsi" w:hAnsiTheme="minorHAnsi"/>
          <w:color w:val="000000"/>
          <w:sz w:val="22"/>
          <w:szCs w:val="22"/>
        </w:rPr>
        <w:t>*</w:t>
      </w:r>
      <w:r w:rsidR="00E71D83" w:rsidRPr="00E367D1">
        <w:rPr>
          <w:rFonts w:asciiTheme="minorHAnsi" w:hAnsiTheme="minorHAnsi"/>
          <w:color w:val="000000"/>
          <w:sz w:val="22"/>
          <w:szCs w:val="22"/>
        </w:rPr>
        <w:t xml:space="preserve">National </w:t>
      </w:r>
      <w:r w:rsidRPr="00E367D1">
        <w:rPr>
          <w:rFonts w:asciiTheme="minorHAnsi" w:hAnsiTheme="minorHAnsi"/>
          <w:color w:val="000000"/>
          <w:sz w:val="22"/>
          <w:szCs w:val="22"/>
        </w:rPr>
        <w:t xml:space="preserve">Industry-Specific </w:t>
      </w:r>
      <w:r w:rsidR="00E71D83" w:rsidRPr="00E367D1">
        <w:rPr>
          <w:rFonts w:asciiTheme="minorHAnsi" w:hAnsiTheme="minorHAnsi"/>
          <w:color w:val="000000"/>
          <w:sz w:val="22"/>
          <w:szCs w:val="22"/>
        </w:rPr>
        <w:t xml:space="preserve">Occupational Employment and Wage Estimates, May </w:t>
      </w:r>
      <w:r w:rsidR="00DE618A" w:rsidRPr="00E367D1">
        <w:rPr>
          <w:rFonts w:asciiTheme="minorHAnsi" w:hAnsiTheme="minorHAnsi"/>
          <w:color w:val="000000"/>
          <w:sz w:val="22"/>
          <w:szCs w:val="22"/>
        </w:rPr>
        <w:t>2014</w:t>
      </w:r>
      <w:r w:rsidR="00E71D83" w:rsidRPr="00E367D1">
        <w:rPr>
          <w:rFonts w:asciiTheme="minorHAnsi" w:hAnsiTheme="minorHAnsi"/>
          <w:color w:val="000000"/>
          <w:sz w:val="22"/>
          <w:szCs w:val="22"/>
        </w:rPr>
        <w:t>,</w:t>
      </w:r>
      <w:r w:rsidRPr="00E367D1">
        <w:rPr>
          <w:rFonts w:asciiTheme="minorHAnsi" w:hAnsiTheme="minorHAnsi"/>
          <w:color w:val="000000"/>
          <w:sz w:val="22"/>
          <w:szCs w:val="22"/>
        </w:rPr>
        <w:t xml:space="preserve"> from the Bureau of Labor Statistics</w:t>
      </w:r>
      <w:r w:rsidR="00E71D83" w:rsidRPr="00E367D1">
        <w:rPr>
          <w:rFonts w:asciiTheme="minorHAnsi" w:hAnsiTheme="minorHAnsi"/>
          <w:color w:val="000000"/>
          <w:sz w:val="22"/>
          <w:szCs w:val="22"/>
        </w:rPr>
        <w:t xml:space="preserve"> (available at </w:t>
      </w:r>
      <w:hyperlink r:id="rId9" w:history="1">
        <w:r w:rsidR="00E71D83" w:rsidRPr="00E367D1">
          <w:rPr>
            <w:rStyle w:val="Hyperlink"/>
            <w:rFonts w:asciiTheme="minorHAnsi" w:hAnsiTheme="minorHAnsi"/>
            <w:sz w:val="22"/>
            <w:szCs w:val="22"/>
          </w:rPr>
          <w:t>http://www.bls.gov/oes/current/naics4_621100.htm</w:t>
        </w:r>
      </w:hyperlink>
      <w:r w:rsidR="00E71D83" w:rsidRPr="00E367D1">
        <w:rPr>
          <w:rFonts w:asciiTheme="minorHAnsi" w:hAnsiTheme="minorHAnsi"/>
          <w:sz w:val="22"/>
          <w:szCs w:val="22"/>
        </w:rPr>
        <w:t xml:space="preserve"> </w:t>
      </w:r>
      <w:r w:rsidR="00E71D83" w:rsidRPr="00E367D1">
        <w:rPr>
          <w:rFonts w:asciiTheme="minorHAnsi" w:hAnsiTheme="minorHAnsi"/>
          <w:color w:val="000000"/>
          <w:sz w:val="22"/>
          <w:szCs w:val="22"/>
        </w:rPr>
        <w:t xml:space="preserve">[for </w:t>
      </w:r>
      <w:r w:rsidR="002A545A" w:rsidRPr="00E367D1">
        <w:rPr>
          <w:rFonts w:asciiTheme="minorHAnsi" w:hAnsiTheme="minorHAnsi"/>
          <w:color w:val="000000"/>
          <w:sz w:val="22"/>
          <w:szCs w:val="22"/>
        </w:rPr>
        <w:t>Offices of Physicians</w:t>
      </w:r>
      <w:r w:rsidRPr="00E367D1">
        <w:rPr>
          <w:rFonts w:asciiTheme="minorHAnsi" w:hAnsiTheme="minorHAnsi"/>
          <w:color w:val="000000"/>
          <w:sz w:val="22"/>
          <w:szCs w:val="22"/>
        </w:rPr>
        <w:t>, NAICS 622100</w:t>
      </w:r>
      <w:r w:rsidR="00E71D83" w:rsidRPr="00E367D1">
        <w:rPr>
          <w:rFonts w:asciiTheme="minorHAnsi" w:hAnsiTheme="minorHAnsi"/>
          <w:color w:val="000000"/>
          <w:sz w:val="22"/>
          <w:szCs w:val="22"/>
        </w:rPr>
        <w:t>]).</w:t>
      </w:r>
    </w:p>
    <w:p w14:paraId="6A7D62F5" w14:textId="77777777" w:rsidR="00E84105" w:rsidRDefault="00E84105">
      <w:pPr>
        <w:rPr>
          <w:color w:val="000000"/>
          <w:sz w:val="22"/>
          <w:szCs w:val="22"/>
        </w:rPr>
      </w:pPr>
    </w:p>
    <w:p w14:paraId="419442B8" w14:textId="77777777" w:rsidR="00BC3877" w:rsidRPr="006C6C03" w:rsidRDefault="00BC3877">
      <w:pPr>
        <w:rPr>
          <w:color w:val="000000"/>
          <w:sz w:val="22"/>
          <w:szCs w:val="22"/>
        </w:rPr>
      </w:pPr>
    </w:p>
    <w:p w14:paraId="674A46F0" w14:textId="77777777" w:rsidR="00E720CD" w:rsidRPr="00A03934" w:rsidRDefault="00E720CD" w:rsidP="00E720CD">
      <w:pPr>
        <w:pStyle w:val="Heading2"/>
        <w:rPr>
          <w:rFonts w:asciiTheme="minorHAnsi" w:eastAsia="Times New Roman" w:hAnsiTheme="minorHAnsi" w:cs="Times New Roman"/>
          <w:color w:val="auto"/>
          <w:sz w:val="24"/>
          <w:szCs w:val="24"/>
        </w:rPr>
      </w:pPr>
      <w:bookmarkStart w:id="18" w:name="_Toc391970700"/>
      <w:r w:rsidRPr="00A03934">
        <w:rPr>
          <w:rFonts w:asciiTheme="minorHAnsi" w:eastAsia="Times New Roman" w:hAnsiTheme="minorHAnsi" w:cs="Times New Roman"/>
          <w:color w:val="auto"/>
          <w:sz w:val="24"/>
          <w:szCs w:val="24"/>
        </w:rPr>
        <w:t xml:space="preserve">13.  </w:t>
      </w:r>
      <w:r w:rsidRPr="00A03934">
        <w:rPr>
          <w:rFonts w:asciiTheme="minorHAnsi" w:eastAsia="Times New Roman" w:hAnsiTheme="minorHAnsi" w:cs="Times New Roman"/>
          <w:color w:val="auto"/>
          <w:sz w:val="24"/>
          <w:szCs w:val="24"/>
          <w:u w:val="single"/>
        </w:rPr>
        <w:t>Estimates of Annualized Respondent Capital and Maintenance Costs</w:t>
      </w:r>
      <w:bookmarkEnd w:id="18"/>
    </w:p>
    <w:p w14:paraId="279061A5" w14:textId="77777777" w:rsidR="00E720CD" w:rsidRPr="00A03934" w:rsidRDefault="00E720CD" w:rsidP="00E720CD">
      <w:pPr>
        <w:rPr>
          <w:rFonts w:asciiTheme="minorHAnsi" w:eastAsiaTheme="minorHAnsi" w:hAnsiTheme="minorHAnsi"/>
          <w:sz w:val="24"/>
          <w:szCs w:val="24"/>
        </w:rPr>
      </w:pPr>
    </w:p>
    <w:p w14:paraId="68FEC577" w14:textId="77777777" w:rsidR="00E720CD" w:rsidRPr="00A03934" w:rsidRDefault="00E720CD" w:rsidP="00E720CD">
      <w:pPr>
        <w:rPr>
          <w:rFonts w:asciiTheme="minorHAnsi" w:hAnsiTheme="minorHAnsi"/>
          <w:b/>
          <w:bCs/>
          <w:sz w:val="24"/>
          <w:szCs w:val="24"/>
        </w:rPr>
      </w:pPr>
      <w:r w:rsidRPr="00A03934">
        <w:rPr>
          <w:rFonts w:asciiTheme="minorHAnsi" w:hAnsiTheme="minorHAnsi"/>
          <w:sz w:val="24"/>
          <w:szCs w:val="24"/>
        </w:rPr>
        <w:t xml:space="preserve">Capital and maintenance costs include the purchase of equipment, computers or computer software or services, or storage facilities for records, as a result of complying with this data collection.  The only cost to the respondent will be that associated with their time to respond to the information collection, as shown in Exhibits 1 and 2. </w:t>
      </w:r>
    </w:p>
    <w:p w14:paraId="10EA4DDC" w14:textId="77777777" w:rsidR="00E720CD" w:rsidRDefault="00E720CD" w:rsidP="00E720CD">
      <w:pPr>
        <w:rPr>
          <w:rFonts w:asciiTheme="minorHAnsi" w:hAnsiTheme="minorHAnsi"/>
          <w:sz w:val="22"/>
          <w:szCs w:val="22"/>
        </w:rPr>
      </w:pPr>
    </w:p>
    <w:p w14:paraId="2E34A74A" w14:textId="77777777" w:rsidR="00E720CD" w:rsidRPr="00A03934" w:rsidRDefault="00E720CD" w:rsidP="00E720CD">
      <w:pPr>
        <w:pStyle w:val="Heading2"/>
        <w:rPr>
          <w:rFonts w:asciiTheme="minorHAnsi" w:eastAsia="Times New Roman" w:hAnsiTheme="minorHAnsi" w:cs="Times New Roman"/>
          <w:color w:val="FF0000"/>
          <w:sz w:val="24"/>
          <w:szCs w:val="24"/>
        </w:rPr>
      </w:pPr>
      <w:bookmarkStart w:id="19" w:name="_Toc391970701"/>
      <w:r w:rsidRPr="00A03934">
        <w:rPr>
          <w:rFonts w:asciiTheme="minorHAnsi" w:eastAsia="Times New Roman" w:hAnsiTheme="minorHAnsi" w:cs="Times New Roman"/>
          <w:color w:val="auto"/>
          <w:sz w:val="24"/>
          <w:szCs w:val="24"/>
        </w:rPr>
        <w:t xml:space="preserve">14.  </w:t>
      </w:r>
      <w:r w:rsidRPr="00A03934">
        <w:rPr>
          <w:rFonts w:asciiTheme="minorHAnsi" w:eastAsia="Times New Roman" w:hAnsiTheme="minorHAnsi" w:cs="Times New Roman"/>
          <w:color w:val="auto"/>
          <w:sz w:val="24"/>
          <w:szCs w:val="24"/>
          <w:u w:val="single"/>
        </w:rPr>
        <w:t>Estimates of Annualized Cost to the Government</w:t>
      </w:r>
      <w:bookmarkEnd w:id="19"/>
      <w:r w:rsidR="0053705B" w:rsidRPr="00A03934">
        <w:rPr>
          <w:rFonts w:asciiTheme="minorHAnsi" w:eastAsia="Times New Roman" w:hAnsiTheme="minorHAnsi" w:cs="Times New Roman"/>
          <w:color w:val="auto"/>
          <w:sz w:val="24"/>
          <w:szCs w:val="24"/>
          <w:u w:val="single"/>
        </w:rPr>
        <w:t xml:space="preserve"> </w:t>
      </w:r>
    </w:p>
    <w:p w14:paraId="35029474" w14:textId="77777777" w:rsidR="00E720CD" w:rsidRPr="00A03934" w:rsidRDefault="00E720CD" w:rsidP="00E720CD">
      <w:pPr>
        <w:rPr>
          <w:rFonts w:asciiTheme="minorHAnsi" w:eastAsiaTheme="minorHAnsi" w:hAnsiTheme="minorHAnsi"/>
          <w:sz w:val="24"/>
          <w:szCs w:val="24"/>
        </w:rPr>
      </w:pPr>
    </w:p>
    <w:p w14:paraId="3F06066D" w14:textId="5DD8975D" w:rsidR="00E720CD" w:rsidRDefault="00E720CD" w:rsidP="00B96495">
      <w:pPr>
        <w:tabs>
          <w:tab w:val="left" w:pos="6840"/>
        </w:tabs>
        <w:rPr>
          <w:rFonts w:asciiTheme="minorHAnsi" w:hAnsiTheme="minorHAnsi"/>
          <w:sz w:val="24"/>
          <w:szCs w:val="24"/>
        </w:rPr>
      </w:pPr>
      <w:r w:rsidRPr="00CE5C3F">
        <w:rPr>
          <w:rFonts w:asciiTheme="minorHAnsi" w:hAnsiTheme="minorHAnsi"/>
          <w:sz w:val="24"/>
          <w:szCs w:val="24"/>
        </w:rPr>
        <w:t xml:space="preserve">Exhibit 3 shows the estimated total and annualized cost for this project.  Although data collection will last for less than one year, the </w:t>
      </w:r>
      <w:r w:rsidR="00D44A2F" w:rsidRPr="00CE5C3F">
        <w:rPr>
          <w:rFonts w:asciiTheme="minorHAnsi" w:hAnsiTheme="minorHAnsi"/>
          <w:sz w:val="24"/>
          <w:szCs w:val="24"/>
        </w:rPr>
        <w:t>entire project will take about 2</w:t>
      </w:r>
      <w:r w:rsidRPr="00CE5C3F">
        <w:rPr>
          <w:rFonts w:asciiTheme="minorHAnsi" w:hAnsiTheme="minorHAnsi"/>
          <w:sz w:val="24"/>
          <w:szCs w:val="24"/>
        </w:rPr>
        <w:t xml:space="preserve"> years.  The total cost for this project</w:t>
      </w:r>
      <w:r w:rsidR="004944C8">
        <w:rPr>
          <w:rFonts w:asciiTheme="minorHAnsi" w:hAnsiTheme="minorHAnsi"/>
          <w:sz w:val="24"/>
          <w:szCs w:val="24"/>
        </w:rPr>
        <w:t xml:space="preserve"> in its entirety</w:t>
      </w:r>
      <w:r w:rsidRPr="00CE5C3F">
        <w:rPr>
          <w:rFonts w:asciiTheme="minorHAnsi" w:hAnsiTheme="minorHAnsi"/>
          <w:sz w:val="24"/>
          <w:szCs w:val="24"/>
        </w:rPr>
        <w:t xml:space="preserve"> is approximately </w:t>
      </w:r>
      <w:r w:rsidR="001A72F3" w:rsidRPr="00CE5C3F">
        <w:rPr>
          <w:rFonts w:asciiTheme="minorHAnsi" w:hAnsiTheme="minorHAnsi"/>
          <w:sz w:val="24"/>
          <w:szCs w:val="24"/>
        </w:rPr>
        <w:t>$645,272.</w:t>
      </w:r>
      <w:r w:rsidR="004944C8">
        <w:rPr>
          <w:rFonts w:asciiTheme="minorHAnsi" w:hAnsiTheme="minorHAnsi"/>
          <w:sz w:val="24"/>
          <w:szCs w:val="24"/>
        </w:rPr>
        <w:t xml:space="preserve"> </w:t>
      </w:r>
      <w:r w:rsidR="004944C8" w:rsidRPr="00CE5C3F">
        <w:rPr>
          <w:rFonts w:asciiTheme="minorHAnsi" w:hAnsiTheme="minorHAnsi"/>
          <w:sz w:val="24"/>
          <w:szCs w:val="24"/>
        </w:rPr>
        <w:t xml:space="preserve">The total cost of the actual data collection activities </w:t>
      </w:r>
      <w:r w:rsidR="004944C8">
        <w:rPr>
          <w:rFonts w:asciiTheme="minorHAnsi" w:hAnsiTheme="minorHAnsi"/>
          <w:sz w:val="24"/>
          <w:szCs w:val="24"/>
        </w:rPr>
        <w:t>is</w:t>
      </w:r>
      <w:r w:rsidR="004944C8" w:rsidRPr="00CE5C3F">
        <w:rPr>
          <w:rFonts w:asciiTheme="minorHAnsi" w:hAnsiTheme="minorHAnsi"/>
          <w:sz w:val="24"/>
          <w:szCs w:val="24"/>
        </w:rPr>
        <w:t xml:space="preserve"> approximately $186,650. </w:t>
      </w:r>
      <w:r w:rsidR="000F2A57">
        <w:rPr>
          <w:rFonts w:asciiTheme="minorHAnsi" w:hAnsiTheme="minorHAnsi"/>
          <w:sz w:val="24"/>
          <w:szCs w:val="24"/>
        </w:rPr>
        <w:t>A</w:t>
      </w:r>
      <w:r w:rsidRPr="00CE5C3F">
        <w:rPr>
          <w:rFonts w:asciiTheme="minorHAnsi" w:hAnsiTheme="minorHAnsi"/>
          <w:sz w:val="24"/>
          <w:szCs w:val="24"/>
        </w:rPr>
        <w:t>nd</w:t>
      </w:r>
      <w:r w:rsidR="000F2A57">
        <w:rPr>
          <w:rFonts w:asciiTheme="minorHAnsi" w:hAnsiTheme="minorHAnsi"/>
          <w:sz w:val="24"/>
          <w:szCs w:val="24"/>
        </w:rPr>
        <w:t>,</w:t>
      </w:r>
      <w:r w:rsidRPr="00CE5C3F">
        <w:rPr>
          <w:rFonts w:asciiTheme="minorHAnsi" w:hAnsiTheme="minorHAnsi"/>
          <w:sz w:val="24"/>
          <w:szCs w:val="24"/>
        </w:rPr>
        <w:t xml:space="preserve"> the annualized cost is estimated at </w:t>
      </w:r>
      <w:r w:rsidR="00CE5C3F" w:rsidRPr="00CE5C3F">
        <w:rPr>
          <w:rFonts w:asciiTheme="minorHAnsi" w:hAnsiTheme="minorHAnsi"/>
          <w:sz w:val="24"/>
          <w:szCs w:val="24"/>
        </w:rPr>
        <w:t>approximately $</w:t>
      </w:r>
      <w:r w:rsidR="00B96495">
        <w:rPr>
          <w:rFonts w:asciiTheme="minorHAnsi" w:hAnsiTheme="minorHAnsi"/>
          <w:sz w:val="24"/>
          <w:szCs w:val="24"/>
        </w:rPr>
        <w:t>192,620</w:t>
      </w:r>
      <w:r w:rsidR="00CE5C3F" w:rsidRPr="00CE5C3F">
        <w:rPr>
          <w:rFonts w:asciiTheme="minorHAnsi" w:hAnsiTheme="minorHAnsi"/>
          <w:sz w:val="24"/>
          <w:szCs w:val="24"/>
        </w:rPr>
        <w:t xml:space="preserve"> in year one and approximately $</w:t>
      </w:r>
      <w:r w:rsidR="00B96495">
        <w:rPr>
          <w:rFonts w:asciiTheme="minorHAnsi" w:hAnsiTheme="minorHAnsi"/>
          <w:sz w:val="24"/>
          <w:szCs w:val="24"/>
        </w:rPr>
        <w:t>452,652</w:t>
      </w:r>
      <w:r w:rsidR="00CE5C3F" w:rsidRPr="00CE5C3F">
        <w:rPr>
          <w:rFonts w:asciiTheme="minorHAnsi" w:hAnsiTheme="minorHAnsi"/>
          <w:sz w:val="24"/>
          <w:szCs w:val="24"/>
        </w:rPr>
        <w:t xml:space="preserve"> for year two to the end of contract.</w:t>
      </w:r>
      <w:r w:rsidR="00CE5C3F">
        <w:rPr>
          <w:rFonts w:asciiTheme="minorHAnsi" w:hAnsiTheme="minorHAnsi"/>
          <w:sz w:val="24"/>
          <w:szCs w:val="24"/>
        </w:rPr>
        <w:t xml:space="preserve"> </w:t>
      </w:r>
      <w:r w:rsidRPr="00A03934">
        <w:rPr>
          <w:rFonts w:asciiTheme="minorHAnsi" w:hAnsiTheme="minorHAnsi"/>
          <w:sz w:val="24"/>
          <w:szCs w:val="24"/>
        </w:rPr>
        <w:t xml:space="preserve"> </w:t>
      </w:r>
      <w:r w:rsidR="000F2A57">
        <w:rPr>
          <w:rFonts w:asciiTheme="minorHAnsi" w:hAnsiTheme="minorHAnsi"/>
          <w:sz w:val="24"/>
          <w:szCs w:val="24"/>
        </w:rPr>
        <w:t>Note that the only activities noted in Exhibit 3 that will extend to both years of the project are Project Management and Overhead. As a result, for all other tasks, the annualized cost equals the total cost of the task as the task will be completed within the span of a single year.</w:t>
      </w:r>
    </w:p>
    <w:p w14:paraId="6A6A3177" w14:textId="77777777" w:rsidR="000F2A57" w:rsidRPr="00A03934" w:rsidRDefault="000F2A57" w:rsidP="00B96495">
      <w:pPr>
        <w:tabs>
          <w:tab w:val="left" w:pos="6840"/>
        </w:tabs>
        <w:rPr>
          <w:rFonts w:asciiTheme="minorHAnsi" w:hAnsiTheme="minorHAnsi"/>
          <w:sz w:val="24"/>
          <w:szCs w:val="24"/>
        </w:rPr>
      </w:pPr>
    </w:p>
    <w:p w14:paraId="1CCB44F1" w14:textId="569A8E87" w:rsidR="00E720CD" w:rsidRPr="00A03934" w:rsidRDefault="00063E19" w:rsidP="00E720CD">
      <w:pPr>
        <w:rPr>
          <w:rFonts w:asciiTheme="minorHAnsi" w:hAnsiTheme="minorHAnsi"/>
          <w:sz w:val="24"/>
          <w:szCs w:val="24"/>
        </w:rPr>
      </w:pPr>
      <w:proofErr w:type="gramStart"/>
      <w:r>
        <w:rPr>
          <w:rFonts w:asciiTheme="minorHAnsi" w:hAnsiTheme="minorHAnsi"/>
          <w:b/>
          <w:bCs/>
          <w:sz w:val="24"/>
          <w:szCs w:val="24"/>
        </w:rPr>
        <w:t>Exhibit 3.</w:t>
      </w:r>
      <w:proofErr w:type="gramEnd"/>
      <w:r>
        <w:rPr>
          <w:rFonts w:asciiTheme="minorHAnsi" w:hAnsiTheme="minorHAnsi"/>
          <w:b/>
          <w:bCs/>
          <w:sz w:val="24"/>
          <w:szCs w:val="24"/>
        </w:rPr>
        <w:t>  Estimated total and annualized c</w:t>
      </w:r>
      <w:r w:rsidR="00E720CD" w:rsidRPr="00A03934">
        <w:rPr>
          <w:rFonts w:asciiTheme="minorHAnsi" w:hAnsiTheme="minorHAnsi"/>
          <w:b/>
          <w:bCs/>
          <w:sz w:val="24"/>
          <w:szCs w:val="24"/>
        </w:rPr>
        <w:t>ost</w:t>
      </w:r>
    </w:p>
    <w:tbl>
      <w:tblPr>
        <w:tblW w:w="0" w:type="auto"/>
        <w:tblCellMar>
          <w:left w:w="0" w:type="dxa"/>
          <w:right w:w="0" w:type="dxa"/>
        </w:tblCellMar>
        <w:tblLook w:val="04A0" w:firstRow="1" w:lastRow="0" w:firstColumn="1" w:lastColumn="0" w:noHBand="0" w:noVBand="1"/>
      </w:tblPr>
      <w:tblGrid>
        <w:gridCol w:w="3798"/>
        <w:gridCol w:w="1620"/>
        <w:gridCol w:w="2070"/>
      </w:tblGrid>
      <w:tr w:rsidR="00E720CD" w:rsidRPr="00A03934" w14:paraId="4730B962" w14:textId="77777777" w:rsidTr="00E720CD">
        <w:tc>
          <w:tcPr>
            <w:tcW w:w="37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D20A15A" w14:textId="77777777" w:rsidR="00E720CD" w:rsidRPr="00A03934" w:rsidRDefault="00E720CD">
            <w:pPr>
              <w:rPr>
                <w:rFonts w:asciiTheme="minorHAnsi" w:eastAsiaTheme="minorHAnsi" w:hAnsiTheme="minorHAnsi"/>
                <w:b/>
                <w:bCs/>
                <w:sz w:val="24"/>
                <w:szCs w:val="24"/>
              </w:rPr>
            </w:pPr>
            <w:r w:rsidRPr="00A03934">
              <w:rPr>
                <w:rFonts w:asciiTheme="minorHAnsi" w:hAnsiTheme="minorHAnsi"/>
                <w:b/>
                <w:bCs/>
                <w:sz w:val="24"/>
                <w:szCs w:val="24"/>
              </w:rPr>
              <w:t xml:space="preserve">Cost Component </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7DABE55" w14:textId="77777777" w:rsidR="00E720CD" w:rsidRPr="00A03934" w:rsidRDefault="00E720CD">
            <w:pPr>
              <w:rPr>
                <w:rFonts w:asciiTheme="minorHAnsi" w:eastAsiaTheme="minorHAnsi" w:hAnsiTheme="minorHAnsi"/>
                <w:b/>
                <w:bCs/>
                <w:sz w:val="24"/>
                <w:szCs w:val="24"/>
              </w:rPr>
            </w:pPr>
            <w:r w:rsidRPr="00A03934">
              <w:rPr>
                <w:rFonts w:asciiTheme="minorHAnsi" w:hAnsiTheme="minorHAnsi"/>
                <w:b/>
                <w:bCs/>
                <w:sz w:val="24"/>
                <w:szCs w:val="24"/>
              </w:rPr>
              <w:t>Total Cost</w:t>
            </w:r>
          </w:p>
        </w:tc>
        <w:tc>
          <w:tcPr>
            <w:tcW w:w="20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DC4850B" w14:textId="77777777" w:rsidR="00E720CD" w:rsidRPr="00A03934" w:rsidRDefault="00E720CD">
            <w:pPr>
              <w:rPr>
                <w:rFonts w:asciiTheme="minorHAnsi" w:eastAsiaTheme="minorHAnsi" w:hAnsiTheme="minorHAnsi"/>
                <w:b/>
                <w:bCs/>
                <w:sz w:val="24"/>
                <w:szCs w:val="24"/>
              </w:rPr>
            </w:pPr>
            <w:r w:rsidRPr="00A03934">
              <w:rPr>
                <w:rFonts w:asciiTheme="minorHAnsi" w:hAnsiTheme="minorHAnsi"/>
                <w:b/>
                <w:bCs/>
                <w:sz w:val="24"/>
                <w:szCs w:val="24"/>
              </w:rPr>
              <w:t>Annualized Cost</w:t>
            </w:r>
          </w:p>
        </w:tc>
      </w:tr>
      <w:tr w:rsidR="00E720CD" w:rsidRPr="00A03934" w14:paraId="5E4D94FD" w14:textId="77777777" w:rsidTr="00D44A2F">
        <w:tc>
          <w:tcPr>
            <w:tcW w:w="37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44BBE5" w14:textId="77777777" w:rsidR="00E720CD" w:rsidRPr="00A03934" w:rsidRDefault="00E720CD">
            <w:pPr>
              <w:rPr>
                <w:rFonts w:asciiTheme="minorHAnsi" w:eastAsiaTheme="minorHAnsi" w:hAnsiTheme="minorHAnsi"/>
                <w:sz w:val="24"/>
                <w:szCs w:val="24"/>
              </w:rPr>
            </w:pPr>
            <w:r w:rsidRPr="00A03934">
              <w:rPr>
                <w:rFonts w:asciiTheme="minorHAnsi" w:hAnsiTheme="minorHAnsi"/>
                <w:sz w:val="24"/>
                <w:szCs w:val="24"/>
              </w:rPr>
              <w:t xml:space="preserve">Project Development </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tcPr>
          <w:p w14:paraId="6EE90B1E" w14:textId="77777777" w:rsidR="00E720CD" w:rsidRPr="00A03934" w:rsidRDefault="00CE5C3F" w:rsidP="0065326D">
            <w:pPr>
              <w:rPr>
                <w:rFonts w:asciiTheme="minorHAnsi" w:eastAsiaTheme="minorHAnsi" w:hAnsiTheme="minorHAnsi"/>
                <w:sz w:val="24"/>
                <w:szCs w:val="24"/>
              </w:rPr>
            </w:pPr>
            <w:r>
              <w:rPr>
                <w:rFonts w:asciiTheme="minorHAnsi" w:eastAsiaTheme="minorHAnsi" w:hAnsiTheme="minorHAnsi"/>
                <w:sz w:val="24"/>
                <w:szCs w:val="24"/>
              </w:rPr>
              <w:t>$168,200</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center"/>
          </w:tcPr>
          <w:p w14:paraId="7D5C704F" w14:textId="77777777" w:rsidR="00E720CD" w:rsidRPr="00A03934" w:rsidRDefault="00CE5C3F" w:rsidP="00F3744F">
            <w:pPr>
              <w:rPr>
                <w:rFonts w:asciiTheme="minorHAnsi" w:eastAsiaTheme="minorHAnsi" w:hAnsiTheme="minorHAnsi"/>
                <w:sz w:val="24"/>
                <w:szCs w:val="24"/>
              </w:rPr>
            </w:pPr>
            <w:r>
              <w:rPr>
                <w:rFonts w:asciiTheme="minorHAnsi" w:eastAsiaTheme="minorHAnsi" w:hAnsiTheme="minorHAnsi"/>
                <w:sz w:val="24"/>
                <w:szCs w:val="24"/>
              </w:rPr>
              <w:t>$168,200</w:t>
            </w:r>
          </w:p>
        </w:tc>
      </w:tr>
      <w:tr w:rsidR="00E720CD" w:rsidRPr="00A03934" w14:paraId="28B0DBDD" w14:textId="77777777" w:rsidTr="00D44A2F">
        <w:tc>
          <w:tcPr>
            <w:tcW w:w="37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59855A" w14:textId="77777777" w:rsidR="00E720CD" w:rsidRPr="00A03934" w:rsidRDefault="00E720CD">
            <w:pPr>
              <w:rPr>
                <w:rFonts w:asciiTheme="minorHAnsi" w:eastAsiaTheme="minorHAnsi" w:hAnsiTheme="minorHAnsi"/>
                <w:sz w:val="24"/>
                <w:szCs w:val="24"/>
              </w:rPr>
            </w:pPr>
            <w:r w:rsidRPr="00A03934">
              <w:rPr>
                <w:rFonts w:asciiTheme="minorHAnsi" w:hAnsiTheme="minorHAnsi"/>
                <w:sz w:val="24"/>
                <w:szCs w:val="24"/>
              </w:rPr>
              <w:t xml:space="preserve">Data Collection Activities </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tcPr>
          <w:p w14:paraId="425DA68F" w14:textId="77777777" w:rsidR="00E720CD" w:rsidRPr="00A03934" w:rsidRDefault="00CE5C3F" w:rsidP="009E4CDB">
            <w:pPr>
              <w:rPr>
                <w:rFonts w:asciiTheme="minorHAnsi" w:eastAsiaTheme="minorHAnsi" w:hAnsiTheme="minorHAnsi"/>
                <w:sz w:val="24"/>
                <w:szCs w:val="24"/>
              </w:rPr>
            </w:pPr>
            <w:r>
              <w:rPr>
                <w:rFonts w:asciiTheme="minorHAnsi" w:eastAsiaTheme="minorHAnsi" w:hAnsiTheme="minorHAnsi"/>
                <w:sz w:val="24"/>
                <w:szCs w:val="24"/>
              </w:rPr>
              <w:t>$186,650</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DCBA620" w14:textId="77777777" w:rsidR="00E720CD" w:rsidRPr="00A03934" w:rsidRDefault="00CE5C3F" w:rsidP="00F3744F">
            <w:pPr>
              <w:rPr>
                <w:rFonts w:asciiTheme="minorHAnsi" w:eastAsiaTheme="minorHAnsi" w:hAnsiTheme="minorHAnsi"/>
                <w:sz w:val="24"/>
                <w:szCs w:val="24"/>
              </w:rPr>
            </w:pPr>
            <w:r>
              <w:rPr>
                <w:rFonts w:asciiTheme="minorHAnsi" w:eastAsiaTheme="minorHAnsi" w:hAnsiTheme="minorHAnsi"/>
                <w:sz w:val="24"/>
                <w:szCs w:val="24"/>
              </w:rPr>
              <w:t>$186,650</w:t>
            </w:r>
          </w:p>
        </w:tc>
      </w:tr>
      <w:tr w:rsidR="00E720CD" w:rsidRPr="00A03934" w14:paraId="3536F29E" w14:textId="77777777" w:rsidTr="00D44A2F">
        <w:tc>
          <w:tcPr>
            <w:tcW w:w="37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EF76A4" w14:textId="77777777" w:rsidR="00E720CD" w:rsidRPr="00A03934" w:rsidRDefault="00E720CD">
            <w:pPr>
              <w:rPr>
                <w:rFonts w:asciiTheme="minorHAnsi" w:eastAsiaTheme="minorHAnsi" w:hAnsiTheme="minorHAnsi"/>
                <w:sz w:val="24"/>
                <w:szCs w:val="24"/>
              </w:rPr>
            </w:pPr>
            <w:r w:rsidRPr="00A03934">
              <w:rPr>
                <w:rFonts w:asciiTheme="minorHAnsi" w:hAnsiTheme="minorHAnsi"/>
                <w:sz w:val="24"/>
                <w:szCs w:val="24"/>
              </w:rPr>
              <w:t xml:space="preserve">Data Processing and Analysis </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tcPr>
          <w:p w14:paraId="34A744C0" w14:textId="77777777" w:rsidR="00E720CD" w:rsidRPr="00A03934" w:rsidRDefault="00CE5C3F" w:rsidP="009E4CDB">
            <w:pPr>
              <w:rPr>
                <w:rFonts w:asciiTheme="minorHAnsi" w:eastAsiaTheme="minorHAnsi" w:hAnsiTheme="minorHAnsi"/>
                <w:sz w:val="24"/>
                <w:szCs w:val="24"/>
              </w:rPr>
            </w:pPr>
            <w:r>
              <w:rPr>
                <w:rFonts w:asciiTheme="minorHAnsi" w:eastAsiaTheme="minorHAnsi" w:hAnsiTheme="minorHAnsi"/>
                <w:sz w:val="24"/>
                <w:szCs w:val="24"/>
              </w:rPr>
              <w:t>$108,94</w:t>
            </w:r>
            <w:r w:rsidR="00F045D8">
              <w:rPr>
                <w:rFonts w:asciiTheme="minorHAnsi" w:eastAsiaTheme="minorHAnsi" w:hAnsiTheme="minorHAnsi"/>
                <w:sz w:val="24"/>
                <w:szCs w:val="24"/>
              </w:rPr>
              <w:t>0</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005450E" w14:textId="77777777" w:rsidR="00E720CD" w:rsidRPr="00A03934" w:rsidRDefault="00CE5C3F" w:rsidP="00F3744F">
            <w:pPr>
              <w:rPr>
                <w:rFonts w:asciiTheme="minorHAnsi" w:eastAsiaTheme="minorHAnsi" w:hAnsiTheme="minorHAnsi"/>
                <w:sz w:val="24"/>
                <w:szCs w:val="24"/>
              </w:rPr>
            </w:pPr>
            <w:r>
              <w:rPr>
                <w:rFonts w:asciiTheme="minorHAnsi" w:eastAsiaTheme="minorHAnsi" w:hAnsiTheme="minorHAnsi"/>
                <w:sz w:val="24"/>
                <w:szCs w:val="24"/>
              </w:rPr>
              <w:t>$108,94</w:t>
            </w:r>
            <w:r w:rsidR="00F045D8">
              <w:rPr>
                <w:rFonts w:asciiTheme="minorHAnsi" w:eastAsiaTheme="minorHAnsi" w:hAnsiTheme="minorHAnsi"/>
                <w:sz w:val="24"/>
                <w:szCs w:val="24"/>
              </w:rPr>
              <w:t>0</w:t>
            </w:r>
          </w:p>
        </w:tc>
      </w:tr>
      <w:tr w:rsidR="00E720CD" w:rsidRPr="00A03934" w14:paraId="65D087F2" w14:textId="77777777" w:rsidTr="00D44A2F">
        <w:tc>
          <w:tcPr>
            <w:tcW w:w="37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066AA6" w14:textId="77777777" w:rsidR="00E720CD" w:rsidRPr="00A03934" w:rsidRDefault="00E720CD">
            <w:pPr>
              <w:rPr>
                <w:rFonts w:asciiTheme="minorHAnsi" w:eastAsiaTheme="minorHAnsi" w:hAnsiTheme="minorHAnsi"/>
                <w:sz w:val="24"/>
                <w:szCs w:val="24"/>
              </w:rPr>
            </w:pPr>
            <w:r w:rsidRPr="00A03934">
              <w:rPr>
                <w:rFonts w:asciiTheme="minorHAnsi" w:hAnsiTheme="minorHAnsi"/>
                <w:sz w:val="24"/>
                <w:szCs w:val="24"/>
              </w:rPr>
              <w:t xml:space="preserve">Publication of Results </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tcPr>
          <w:p w14:paraId="49360E36" w14:textId="77777777" w:rsidR="00E720CD" w:rsidRPr="00A03934" w:rsidRDefault="00CE5C3F" w:rsidP="009E4CDB">
            <w:pPr>
              <w:rPr>
                <w:rFonts w:asciiTheme="minorHAnsi" w:eastAsiaTheme="minorHAnsi" w:hAnsiTheme="minorHAnsi"/>
                <w:sz w:val="24"/>
                <w:szCs w:val="24"/>
              </w:rPr>
            </w:pPr>
            <w:r>
              <w:rPr>
                <w:rFonts w:asciiTheme="minorHAnsi" w:eastAsiaTheme="minorHAnsi" w:hAnsiTheme="minorHAnsi"/>
                <w:sz w:val="24"/>
                <w:szCs w:val="24"/>
              </w:rPr>
              <w:t>$63,780</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center"/>
          </w:tcPr>
          <w:p w14:paraId="39CC1864" w14:textId="77777777" w:rsidR="00E720CD" w:rsidRPr="00A03934" w:rsidRDefault="00CE5C3F" w:rsidP="00F3744F">
            <w:pPr>
              <w:rPr>
                <w:rFonts w:asciiTheme="minorHAnsi" w:eastAsiaTheme="minorHAnsi" w:hAnsiTheme="minorHAnsi"/>
                <w:sz w:val="24"/>
                <w:szCs w:val="24"/>
              </w:rPr>
            </w:pPr>
            <w:r>
              <w:rPr>
                <w:rFonts w:asciiTheme="minorHAnsi" w:eastAsiaTheme="minorHAnsi" w:hAnsiTheme="minorHAnsi"/>
                <w:sz w:val="24"/>
                <w:szCs w:val="24"/>
              </w:rPr>
              <w:t>$63,780</w:t>
            </w:r>
          </w:p>
        </w:tc>
      </w:tr>
      <w:tr w:rsidR="00CE5C3F" w:rsidRPr="00A03934" w14:paraId="6585D92D" w14:textId="77777777" w:rsidTr="00D44A2F">
        <w:tc>
          <w:tcPr>
            <w:tcW w:w="37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FC4408" w14:textId="77777777" w:rsidR="00CE5C3F" w:rsidRPr="00A03934" w:rsidRDefault="00CE5C3F">
            <w:pPr>
              <w:rPr>
                <w:rFonts w:asciiTheme="minorHAnsi" w:eastAsiaTheme="minorHAnsi" w:hAnsiTheme="minorHAnsi"/>
                <w:sz w:val="24"/>
                <w:szCs w:val="24"/>
              </w:rPr>
            </w:pPr>
            <w:r w:rsidRPr="00A03934">
              <w:rPr>
                <w:rFonts w:asciiTheme="minorHAnsi" w:hAnsiTheme="minorHAnsi"/>
                <w:sz w:val="24"/>
                <w:szCs w:val="24"/>
              </w:rPr>
              <w:t xml:space="preserve">Project Management </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tcPr>
          <w:p w14:paraId="67CA96B5" w14:textId="77777777" w:rsidR="00CE5C3F" w:rsidRPr="00A03934" w:rsidRDefault="00CE5C3F" w:rsidP="00AD4020">
            <w:pPr>
              <w:rPr>
                <w:rFonts w:asciiTheme="minorHAnsi" w:eastAsiaTheme="minorHAnsi" w:hAnsiTheme="minorHAnsi"/>
                <w:sz w:val="24"/>
                <w:szCs w:val="24"/>
              </w:rPr>
            </w:pPr>
            <w:r>
              <w:rPr>
                <w:rFonts w:asciiTheme="minorHAnsi" w:eastAsiaTheme="minorHAnsi" w:hAnsiTheme="minorHAnsi"/>
                <w:sz w:val="24"/>
                <w:szCs w:val="24"/>
              </w:rPr>
              <w:t>$48,840</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center"/>
          </w:tcPr>
          <w:p w14:paraId="6204999C" w14:textId="77777777" w:rsidR="00CE5C3F" w:rsidRPr="00A03934" w:rsidRDefault="00CE5C3F" w:rsidP="00AD4020">
            <w:pPr>
              <w:rPr>
                <w:rFonts w:asciiTheme="minorHAnsi" w:eastAsiaTheme="minorHAnsi" w:hAnsiTheme="minorHAnsi"/>
                <w:sz w:val="24"/>
                <w:szCs w:val="24"/>
              </w:rPr>
            </w:pPr>
            <w:r>
              <w:rPr>
                <w:rFonts w:asciiTheme="minorHAnsi" w:eastAsiaTheme="minorHAnsi" w:hAnsiTheme="minorHAnsi"/>
                <w:sz w:val="24"/>
                <w:szCs w:val="24"/>
              </w:rPr>
              <w:t>$24,420</w:t>
            </w:r>
          </w:p>
        </w:tc>
      </w:tr>
      <w:tr w:rsidR="00CE5C3F" w:rsidRPr="00A03934" w14:paraId="29FCF440" w14:textId="77777777" w:rsidTr="00D44A2F">
        <w:tc>
          <w:tcPr>
            <w:tcW w:w="37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E97594" w14:textId="77777777" w:rsidR="00CE5C3F" w:rsidRPr="00A03934" w:rsidRDefault="00CE5C3F">
            <w:pPr>
              <w:rPr>
                <w:rFonts w:asciiTheme="minorHAnsi" w:eastAsiaTheme="minorHAnsi" w:hAnsiTheme="minorHAnsi"/>
                <w:sz w:val="24"/>
                <w:szCs w:val="24"/>
              </w:rPr>
            </w:pPr>
            <w:r w:rsidRPr="00A03934">
              <w:rPr>
                <w:rFonts w:asciiTheme="minorHAnsi" w:hAnsiTheme="minorHAnsi"/>
                <w:sz w:val="24"/>
                <w:szCs w:val="24"/>
              </w:rPr>
              <w:t xml:space="preserve">Overhead </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tcPr>
          <w:p w14:paraId="49508DA0" w14:textId="77777777" w:rsidR="00CE5C3F" w:rsidRPr="00A03934" w:rsidRDefault="00CE5C3F" w:rsidP="00F3744F">
            <w:pPr>
              <w:rPr>
                <w:rFonts w:asciiTheme="minorHAnsi" w:eastAsiaTheme="minorHAnsi" w:hAnsiTheme="minorHAnsi"/>
                <w:sz w:val="24"/>
                <w:szCs w:val="24"/>
              </w:rPr>
            </w:pPr>
            <w:r>
              <w:rPr>
                <w:rFonts w:asciiTheme="minorHAnsi" w:eastAsiaTheme="minorHAnsi" w:hAnsiTheme="minorHAnsi"/>
                <w:sz w:val="24"/>
                <w:szCs w:val="24"/>
              </w:rPr>
              <w:t>$82,900</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center"/>
          </w:tcPr>
          <w:p w14:paraId="32560B51" w14:textId="77777777" w:rsidR="00CE5C3F" w:rsidRPr="00A03934" w:rsidRDefault="00CE5C3F" w:rsidP="00F3744F">
            <w:pPr>
              <w:rPr>
                <w:rFonts w:asciiTheme="minorHAnsi" w:eastAsiaTheme="minorHAnsi" w:hAnsiTheme="minorHAnsi"/>
                <w:sz w:val="24"/>
                <w:szCs w:val="24"/>
              </w:rPr>
            </w:pPr>
            <w:r>
              <w:rPr>
                <w:rFonts w:asciiTheme="minorHAnsi" w:eastAsiaTheme="minorHAnsi" w:hAnsiTheme="minorHAnsi"/>
                <w:sz w:val="24"/>
                <w:szCs w:val="24"/>
              </w:rPr>
              <w:t>$41,450</w:t>
            </w:r>
          </w:p>
        </w:tc>
      </w:tr>
    </w:tbl>
    <w:p w14:paraId="3DC1E30C" w14:textId="16792212" w:rsidR="00A013C5" w:rsidRDefault="000F2A57" w:rsidP="008C5826">
      <w:pPr>
        <w:pStyle w:val="Heading2"/>
        <w:rPr>
          <w:rFonts w:asciiTheme="minorHAnsi" w:eastAsia="Times New Roman" w:hAnsiTheme="minorHAnsi" w:cs="Times New Roman"/>
          <w:b w:val="0"/>
          <w:bCs w:val="0"/>
          <w:color w:val="auto"/>
          <w:sz w:val="24"/>
          <w:szCs w:val="24"/>
        </w:rPr>
      </w:pPr>
      <w:bookmarkStart w:id="20" w:name="_Toc391970702"/>
      <w:r w:rsidRPr="000F2A57">
        <w:rPr>
          <w:rFonts w:asciiTheme="minorHAnsi" w:eastAsia="Times New Roman" w:hAnsiTheme="minorHAnsi" w:cs="Times New Roman"/>
          <w:b w:val="0"/>
          <w:bCs w:val="0"/>
          <w:color w:val="auto"/>
          <w:sz w:val="24"/>
          <w:szCs w:val="24"/>
        </w:rPr>
        <w:t>E</w:t>
      </w:r>
      <w:r>
        <w:rPr>
          <w:rFonts w:asciiTheme="minorHAnsi" w:eastAsia="Times New Roman" w:hAnsiTheme="minorHAnsi" w:cs="Times New Roman"/>
          <w:b w:val="0"/>
          <w:bCs w:val="0"/>
          <w:color w:val="auto"/>
          <w:sz w:val="24"/>
          <w:szCs w:val="24"/>
        </w:rPr>
        <w:t>xhibit 4 shows the annual cost to AHRQ for oversight of this project.</w:t>
      </w:r>
    </w:p>
    <w:p w14:paraId="0BB76A63" w14:textId="77777777" w:rsidR="000F2A57" w:rsidRDefault="000F2A57" w:rsidP="000F2A57"/>
    <w:p w14:paraId="3809DF18" w14:textId="09169A21" w:rsidR="000F2A57" w:rsidRPr="000F2A57" w:rsidRDefault="000F2A57" w:rsidP="000F2A57">
      <w:pPr>
        <w:ind w:firstLine="90"/>
        <w:rPr>
          <w:rFonts w:asciiTheme="minorHAnsi" w:hAnsiTheme="minorHAnsi"/>
          <w:b/>
          <w:sz w:val="24"/>
          <w:szCs w:val="24"/>
        </w:rPr>
      </w:pPr>
      <w:proofErr w:type="gramStart"/>
      <w:r w:rsidRPr="000F2A57">
        <w:rPr>
          <w:rFonts w:asciiTheme="minorHAnsi" w:hAnsiTheme="minorHAnsi"/>
          <w:b/>
          <w:sz w:val="24"/>
          <w:szCs w:val="24"/>
        </w:rPr>
        <w:t>Exhibit 4.</w:t>
      </w:r>
      <w:proofErr w:type="gramEnd"/>
      <w:r w:rsidRPr="000F2A57">
        <w:rPr>
          <w:rFonts w:asciiTheme="minorHAnsi" w:hAnsiTheme="minorHAnsi"/>
          <w:b/>
          <w:sz w:val="24"/>
          <w:szCs w:val="24"/>
        </w:rPr>
        <w:t xml:space="preserve"> Federal </w:t>
      </w:r>
      <w:r w:rsidR="00063E19">
        <w:rPr>
          <w:rFonts w:asciiTheme="minorHAnsi" w:hAnsiTheme="minorHAnsi"/>
          <w:b/>
          <w:sz w:val="24"/>
          <w:szCs w:val="24"/>
        </w:rPr>
        <w:t>g</w:t>
      </w:r>
      <w:r w:rsidRPr="000F2A57">
        <w:rPr>
          <w:rFonts w:asciiTheme="minorHAnsi" w:hAnsiTheme="minorHAnsi"/>
          <w:b/>
          <w:sz w:val="24"/>
          <w:szCs w:val="24"/>
        </w:rPr>
        <w:t xml:space="preserve">overnment </w:t>
      </w:r>
      <w:r w:rsidR="00063E19">
        <w:rPr>
          <w:rFonts w:asciiTheme="minorHAnsi" w:hAnsiTheme="minorHAnsi"/>
          <w:b/>
          <w:sz w:val="24"/>
          <w:szCs w:val="24"/>
        </w:rPr>
        <w:t>personnel c</w:t>
      </w:r>
      <w:r w:rsidRPr="000F2A57">
        <w:rPr>
          <w:rFonts w:asciiTheme="minorHAnsi" w:hAnsiTheme="minorHAnsi"/>
          <w:b/>
          <w:sz w:val="24"/>
          <w:szCs w:val="24"/>
        </w:rPr>
        <w:t>ost (FY 16 and FY 17)</w:t>
      </w:r>
    </w:p>
    <w:tbl>
      <w:tblPr>
        <w:tblpPr w:leftFromText="180" w:rightFromText="180" w:vertAnchor="text" w:tblpY="1"/>
        <w:tblOverlap w:val="never"/>
        <w:tblW w:w="0" w:type="auto"/>
        <w:tblCellMar>
          <w:left w:w="0" w:type="dxa"/>
          <w:right w:w="0" w:type="dxa"/>
        </w:tblCellMar>
        <w:tblLook w:val="04A0" w:firstRow="1" w:lastRow="0" w:firstColumn="1" w:lastColumn="0" w:noHBand="0" w:noVBand="1"/>
      </w:tblPr>
      <w:tblGrid>
        <w:gridCol w:w="4338"/>
        <w:gridCol w:w="1350"/>
        <w:gridCol w:w="2070"/>
      </w:tblGrid>
      <w:tr w:rsidR="000F2A57" w:rsidRPr="000F2A57" w14:paraId="4E3FC8ED" w14:textId="77777777" w:rsidTr="000F2A57">
        <w:tc>
          <w:tcPr>
            <w:tcW w:w="43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6DC0697E" w14:textId="70609770" w:rsidR="000F2A57" w:rsidRPr="000F2A57" w:rsidRDefault="000F2A57" w:rsidP="0027477E">
            <w:pPr>
              <w:rPr>
                <w:rFonts w:asciiTheme="minorHAnsi" w:eastAsia="Calibri" w:hAnsiTheme="minorHAnsi"/>
                <w:b/>
                <w:bCs/>
                <w:sz w:val="24"/>
                <w:szCs w:val="24"/>
              </w:rPr>
            </w:pPr>
            <w:r w:rsidRPr="000F2A57">
              <w:rPr>
                <w:rFonts w:asciiTheme="minorHAnsi" w:hAnsiTheme="minorHAnsi"/>
                <w:b/>
                <w:bCs/>
                <w:color w:val="000000"/>
                <w:sz w:val="24"/>
                <w:szCs w:val="24"/>
              </w:rPr>
              <w:t>Role/Personnel/Salary</w:t>
            </w:r>
            <w:r>
              <w:rPr>
                <w:rFonts w:asciiTheme="minorHAnsi" w:hAnsiTheme="minorHAnsi"/>
                <w:b/>
                <w:bCs/>
                <w:color w:val="000000"/>
                <w:sz w:val="24"/>
                <w:szCs w:val="24"/>
              </w:rPr>
              <w:t>*</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099BF572" w14:textId="77777777" w:rsidR="000F2A57" w:rsidRPr="000F2A57" w:rsidRDefault="000F2A57" w:rsidP="000F2A57">
            <w:pPr>
              <w:jc w:val="center"/>
              <w:rPr>
                <w:rFonts w:asciiTheme="minorHAnsi" w:eastAsia="Calibri" w:hAnsiTheme="minorHAnsi"/>
                <w:b/>
                <w:bCs/>
                <w:sz w:val="24"/>
                <w:szCs w:val="24"/>
              </w:rPr>
            </w:pPr>
            <w:r w:rsidRPr="000F2A57">
              <w:rPr>
                <w:rFonts w:asciiTheme="minorHAnsi" w:hAnsiTheme="minorHAnsi"/>
                <w:b/>
                <w:bCs/>
                <w:sz w:val="24"/>
                <w:szCs w:val="24"/>
              </w:rPr>
              <w:t>% of Time</w:t>
            </w:r>
          </w:p>
        </w:tc>
        <w:tc>
          <w:tcPr>
            <w:tcW w:w="2070" w:type="dxa"/>
            <w:tcBorders>
              <w:top w:val="single" w:sz="8" w:space="0" w:color="auto"/>
              <w:left w:val="nil"/>
              <w:bottom w:val="single" w:sz="8" w:space="0" w:color="auto"/>
              <w:right w:val="single" w:sz="8" w:space="0" w:color="auto"/>
            </w:tcBorders>
          </w:tcPr>
          <w:p w14:paraId="3F23D4D4" w14:textId="77777777" w:rsidR="000F2A57" w:rsidRPr="000F2A57" w:rsidRDefault="000F2A57" w:rsidP="0027477E">
            <w:pPr>
              <w:jc w:val="center"/>
              <w:rPr>
                <w:rFonts w:asciiTheme="minorHAnsi" w:eastAsia="Calibri" w:hAnsiTheme="minorHAnsi"/>
                <w:b/>
                <w:bCs/>
                <w:sz w:val="24"/>
                <w:szCs w:val="24"/>
              </w:rPr>
            </w:pPr>
          </w:p>
          <w:p w14:paraId="5CA8AE9E" w14:textId="77777777" w:rsidR="000F2A57" w:rsidRPr="000F2A57" w:rsidRDefault="000F2A57" w:rsidP="0027477E">
            <w:pPr>
              <w:jc w:val="center"/>
              <w:rPr>
                <w:rFonts w:asciiTheme="minorHAnsi" w:eastAsia="Calibri" w:hAnsiTheme="minorHAnsi"/>
                <w:b/>
                <w:bCs/>
                <w:sz w:val="24"/>
                <w:szCs w:val="24"/>
              </w:rPr>
            </w:pPr>
            <w:r w:rsidRPr="000F2A57">
              <w:rPr>
                <w:rFonts w:asciiTheme="minorHAnsi" w:hAnsiTheme="minorHAnsi"/>
                <w:b/>
                <w:bCs/>
                <w:sz w:val="24"/>
                <w:szCs w:val="24"/>
              </w:rPr>
              <w:t>Cost</w:t>
            </w:r>
          </w:p>
        </w:tc>
      </w:tr>
      <w:tr w:rsidR="000F2A57" w:rsidRPr="000F2A57" w14:paraId="6D337EE6" w14:textId="77777777" w:rsidTr="0027477E">
        <w:trPr>
          <w:trHeight w:val="250"/>
        </w:trPr>
        <w:tc>
          <w:tcPr>
            <w:tcW w:w="43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0C0AA9" w14:textId="77777777" w:rsidR="000F2A57" w:rsidRPr="000F2A57" w:rsidRDefault="000F2A57" w:rsidP="0027477E">
            <w:pPr>
              <w:rPr>
                <w:rFonts w:asciiTheme="minorHAnsi" w:eastAsia="Calibri" w:hAnsiTheme="minorHAnsi"/>
                <w:sz w:val="24"/>
                <w:szCs w:val="24"/>
              </w:rPr>
            </w:pPr>
            <w:r w:rsidRPr="000F2A57">
              <w:rPr>
                <w:rFonts w:asciiTheme="minorHAnsi" w:eastAsia="Calibri" w:hAnsiTheme="minorHAnsi"/>
                <w:sz w:val="24"/>
                <w:szCs w:val="24"/>
              </w:rPr>
              <w:t>Project Officer/Staff Fellow</w:t>
            </w:r>
          </w:p>
          <w:p w14:paraId="6901B1B6" w14:textId="77777777" w:rsidR="000F2A57" w:rsidRPr="000F2A57" w:rsidRDefault="000F2A57" w:rsidP="0027477E">
            <w:pPr>
              <w:rPr>
                <w:rFonts w:asciiTheme="minorHAnsi" w:eastAsia="Calibri" w:hAnsiTheme="minorHAnsi"/>
                <w:sz w:val="24"/>
                <w:szCs w:val="24"/>
              </w:rPr>
            </w:pPr>
            <w:r w:rsidRPr="000F2A57">
              <w:rPr>
                <w:rFonts w:asciiTheme="minorHAnsi" w:eastAsia="Calibri" w:hAnsiTheme="minorHAnsi"/>
                <w:sz w:val="24"/>
                <w:szCs w:val="24"/>
              </w:rPr>
              <w:t>GS 13 Step 10</w:t>
            </w:r>
          </w:p>
          <w:p w14:paraId="010B756E" w14:textId="77777777" w:rsidR="000F2A57" w:rsidRPr="000F2A57" w:rsidRDefault="000F2A57" w:rsidP="0027477E">
            <w:pPr>
              <w:rPr>
                <w:rFonts w:asciiTheme="minorHAnsi" w:eastAsia="Calibri" w:hAnsiTheme="minorHAnsi"/>
                <w:sz w:val="24"/>
                <w:szCs w:val="24"/>
              </w:rPr>
            </w:pPr>
            <w:r w:rsidRPr="000F2A57">
              <w:rPr>
                <w:rFonts w:asciiTheme="minorHAnsi" w:eastAsia="Calibri" w:hAnsiTheme="minorHAnsi"/>
                <w:sz w:val="24"/>
                <w:szCs w:val="24"/>
              </w:rPr>
              <w:t>$119,794</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14:paraId="2FA4A3B3" w14:textId="77777777" w:rsidR="000F2A57" w:rsidRPr="000F2A57" w:rsidRDefault="000F2A57" w:rsidP="0027477E">
            <w:pPr>
              <w:jc w:val="center"/>
              <w:rPr>
                <w:rFonts w:asciiTheme="minorHAnsi" w:eastAsia="Calibri" w:hAnsiTheme="minorHAnsi"/>
                <w:sz w:val="24"/>
                <w:szCs w:val="24"/>
              </w:rPr>
            </w:pPr>
            <w:r w:rsidRPr="000F2A57">
              <w:rPr>
                <w:rFonts w:asciiTheme="minorHAnsi" w:eastAsia="Calibri" w:hAnsiTheme="minorHAnsi"/>
                <w:sz w:val="24"/>
                <w:szCs w:val="24"/>
              </w:rPr>
              <w:t>25%</w:t>
            </w:r>
          </w:p>
        </w:tc>
        <w:tc>
          <w:tcPr>
            <w:tcW w:w="2070" w:type="dxa"/>
            <w:tcBorders>
              <w:top w:val="nil"/>
              <w:left w:val="nil"/>
              <w:bottom w:val="single" w:sz="8" w:space="0" w:color="auto"/>
              <w:right w:val="single" w:sz="8" w:space="0" w:color="auto"/>
            </w:tcBorders>
          </w:tcPr>
          <w:p w14:paraId="5A28E058" w14:textId="77777777" w:rsidR="000F2A57" w:rsidRPr="000F2A57" w:rsidRDefault="000F2A57" w:rsidP="0027477E">
            <w:pPr>
              <w:jc w:val="center"/>
              <w:rPr>
                <w:rFonts w:asciiTheme="minorHAnsi" w:eastAsia="Calibri" w:hAnsiTheme="minorHAnsi"/>
                <w:sz w:val="24"/>
                <w:szCs w:val="24"/>
              </w:rPr>
            </w:pPr>
            <w:r w:rsidRPr="000F2A57">
              <w:rPr>
                <w:rFonts w:asciiTheme="minorHAnsi" w:eastAsia="Calibri" w:hAnsiTheme="minorHAnsi"/>
                <w:sz w:val="24"/>
                <w:szCs w:val="24"/>
              </w:rPr>
              <w:t>$29,948</w:t>
            </w:r>
          </w:p>
        </w:tc>
      </w:tr>
      <w:tr w:rsidR="000F2A57" w:rsidRPr="000F2A57" w14:paraId="493699B0" w14:textId="77777777" w:rsidTr="0027477E">
        <w:trPr>
          <w:trHeight w:val="376"/>
        </w:trPr>
        <w:tc>
          <w:tcPr>
            <w:tcW w:w="43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982780" w14:textId="77777777" w:rsidR="000F2A57" w:rsidRPr="000F2A57" w:rsidRDefault="000F2A57" w:rsidP="0027477E">
            <w:pPr>
              <w:rPr>
                <w:rFonts w:asciiTheme="minorHAnsi" w:hAnsiTheme="minorHAnsi"/>
                <w:sz w:val="24"/>
                <w:szCs w:val="24"/>
              </w:rPr>
            </w:pPr>
            <w:r w:rsidRPr="000F2A57">
              <w:rPr>
                <w:rFonts w:asciiTheme="minorHAnsi" w:hAnsiTheme="minorHAnsi"/>
                <w:sz w:val="24"/>
                <w:szCs w:val="24"/>
              </w:rPr>
              <w:t>Senior Advisor/Senior Social Scientist</w:t>
            </w:r>
          </w:p>
          <w:p w14:paraId="4730538F" w14:textId="77777777" w:rsidR="000F2A57" w:rsidRPr="000F2A57" w:rsidRDefault="000F2A57" w:rsidP="0027477E">
            <w:pPr>
              <w:rPr>
                <w:rFonts w:asciiTheme="minorHAnsi" w:hAnsiTheme="minorHAnsi"/>
                <w:sz w:val="24"/>
                <w:szCs w:val="24"/>
              </w:rPr>
            </w:pPr>
            <w:r w:rsidRPr="000F2A57">
              <w:rPr>
                <w:rFonts w:asciiTheme="minorHAnsi" w:hAnsiTheme="minorHAnsi"/>
                <w:sz w:val="24"/>
                <w:szCs w:val="24"/>
              </w:rPr>
              <w:t>GS 15 Step 10</w:t>
            </w:r>
          </w:p>
          <w:p w14:paraId="0BC5D40B" w14:textId="7C998142" w:rsidR="000F2A57" w:rsidRPr="000F2A57" w:rsidRDefault="000F2A57" w:rsidP="0027477E">
            <w:pPr>
              <w:rPr>
                <w:rFonts w:asciiTheme="minorHAnsi" w:hAnsiTheme="minorHAnsi"/>
                <w:sz w:val="24"/>
                <w:szCs w:val="24"/>
              </w:rPr>
            </w:pPr>
            <w:r w:rsidRPr="000F2A57">
              <w:rPr>
                <w:rFonts w:asciiTheme="minorHAnsi" w:hAnsiTheme="minorHAnsi"/>
                <w:sz w:val="24"/>
                <w:szCs w:val="24"/>
              </w:rPr>
              <w:t>$160,300</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14:paraId="3F645561" w14:textId="77777777" w:rsidR="000F2A57" w:rsidRPr="000F2A57" w:rsidRDefault="000F2A57" w:rsidP="0027477E">
            <w:pPr>
              <w:jc w:val="center"/>
              <w:rPr>
                <w:rFonts w:asciiTheme="minorHAnsi" w:eastAsia="Calibri" w:hAnsiTheme="minorHAnsi"/>
                <w:sz w:val="24"/>
                <w:szCs w:val="24"/>
              </w:rPr>
            </w:pPr>
            <w:r w:rsidRPr="000F2A57">
              <w:rPr>
                <w:rFonts w:asciiTheme="minorHAnsi" w:eastAsia="Calibri" w:hAnsiTheme="minorHAnsi"/>
                <w:sz w:val="24"/>
                <w:szCs w:val="24"/>
              </w:rPr>
              <w:t>5%</w:t>
            </w:r>
          </w:p>
        </w:tc>
        <w:tc>
          <w:tcPr>
            <w:tcW w:w="2070" w:type="dxa"/>
            <w:tcBorders>
              <w:top w:val="nil"/>
              <w:left w:val="nil"/>
              <w:bottom w:val="single" w:sz="8" w:space="0" w:color="auto"/>
              <w:right w:val="single" w:sz="8" w:space="0" w:color="auto"/>
            </w:tcBorders>
          </w:tcPr>
          <w:p w14:paraId="072C4A9A" w14:textId="77777777" w:rsidR="000F2A57" w:rsidRPr="000F2A57" w:rsidRDefault="000F2A57" w:rsidP="0027477E">
            <w:pPr>
              <w:jc w:val="center"/>
              <w:rPr>
                <w:rFonts w:asciiTheme="minorHAnsi" w:eastAsia="Calibri" w:hAnsiTheme="minorHAnsi"/>
                <w:sz w:val="24"/>
                <w:szCs w:val="24"/>
              </w:rPr>
            </w:pPr>
            <w:r w:rsidRPr="000F2A57">
              <w:rPr>
                <w:rFonts w:asciiTheme="minorHAnsi" w:eastAsia="Calibri" w:hAnsiTheme="minorHAnsi"/>
                <w:sz w:val="24"/>
                <w:szCs w:val="24"/>
              </w:rPr>
              <w:t>$8,015</w:t>
            </w:r>
          </w:p>
        </w:tc>
      </w:tr>
      <w:tr w:rsidR="000F2A57" w:rsidRPr="000F2A57" w14:paraId="77AE6861" w14:textId="77777777" w:rsidTr="0027477E">
        <w:tc>
          <w:tcPr>
            <w:tcW w:w="43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B2C110" w14:textId="77777777" w:rsidR="000F2A57" w:rsidRPr="000F2A57" w:rsidRDefault="000F2A57" w:rsidP="0027477E">
            <w:pPr>
              <w:rPr>
                <w:rFonts w:asciiTheme="minorHAnsi" w:eastAsia="Calibri" w:hAnsiTheme="minorHAnsi"/>
                <w:sz w:val="24"/>
                <w:szCs w:val="24"/>
              </w:rPr>
            </w:pPr>
            <w:r w:rsidRPr="000F2A57">
              <w:rPr>
                <w:rFonts w:asciiTheme="minorHAnsi" w:hAnsiTheme="minorHAnsi"/>
                <w:b/>
                <w:bCs/>
                <w:color w:val="000000"/>
                <w:sz w:val="24"/>
                <w:szCs w:val="24"/>
              </w:rPr>
              <w:t>Total</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tcPr>
          <w:p w14:paraId="3AA571A2" w14:textId="77777777" w:rsidR="000F2A57" w:rsidRPr="000F2A57" w:rsidRDefault="000F2A57" w:rsidP="0027477E">
            <w:pPr>
              <w:jc w:val="right"/>
              <w:rPr>
                <w:rFonts w:asciiTheme="minorHAnsi" w:eastAsia="Calibri" w:hAnsiTheme="minorHAnsi"/>
                <w:sz w:val="24"/>
                <w:szCs w:val="24"/>
              </w:rPr>
            </w:pPr>
          </w:p>
        </w:tc>
        <w:tc>
          <w:tcPr>
            <w:tcW w:w="2070" w:type="dxa"/>
            <w:tcBorders>
              <w:top w:val="nil"/>
              <w:left w:val="nil"/>
              <w:bottom w:val="single" w:sz="8" w:space="0" w:color="auto"/>
              <w:right w:val="single" w:sz="8" w:space="0" w:color="auto"/>
            </w:tcBorders>
          </w:tcPr>
          <w:p w14:paraId="78052020" w14:textId="77777777" w:rsidR="000F2A57" w:rsidRPr="000F2A57" w:rsidRDefault="000F2A57" w:rsidP="0027477E">
            <w:pPr>
              <w:jc w:val="center"/>
              <w:rPr>
                <w:rFonts w:asciiTheme="minorHAnsi" w:eastAsia="Calibri" w:hAnsiTheme="minorHAnsi"/>
                <w:b/>
                <w:sz w:val="24"/>
                <w:szCs w:val="24"/>
              </w:rPr>
            </w:pPr>
            <w:r w:rsidRPr="000F2A57">
              <w:rPr>
                <w:rFonts w:asciiTheme="minorHAnsi" w:eastAsia="Calibri" w:hAnsiTheme="minorHAnsi"/>
                <w:b/>
                <w:sz w:val="24"/>
                <w:szCs w:val="24"/>
              </w:rPr>
              <w:t>$37,953</w:t>
            </w:r>
          </w:p>
        </w:tc>
      </w:tr>
    </w:tbl>
    <w:p w14:paraId="59EA934D" w14:textId="1105C16A" w:rsidR="000F2A57" w:rsidRPr="000F2A57" w:rsidRDefault="000F2A57" w:rsidP="000F2A57">
      <w:pPr>
        <w:rPr>
          <w:rFonts w:asciiTheme="minorHAnsi" w:hAnsiTheme="minorHAnsi"/>
          <w:color w:val="000000"/>
          <w:sz w:val="22"/>
          <w:szCs w:val="24"/>
        </w:rPr>
      </w:pPr>
      <w:r w:rsidRPr="000F2A57">
        <w:rPr>
          <w:rFonts w:asciiTheme="minorHAnsi" w:hAnsiTheme="minorHAnsi"/>
          <w:color w:val="000000"/>
          <w:sz w:val="24"/>
          <w:szCs w:val="24"/>
        </w:rPr>
        <w:br w:type="textWrapping" w:clear="all"/>
      </w:r>
      <w:r w:rsidRPr="000F2A57">
        <w:rPr>
          <w:rFonts w:asciiTheme="minorHAnsi" w:hAnsiTheme="minorHAnsi"/>
          <w:color w:val="000000"/>
          <w:sz w:val="22"/>
          <w:szCs w:val="24"/>
        </w:rPr>
        <w:t xml:space="preserve">*Annual salaries based on 2016 OPM Pay Schedule for Washington/DC area: </w:t>
      </w:r>
      <w:hyperlink r:id="rId10" w:history="1">
        <w:r w:rsidRPr="000F2A57">
          <w:rPr>
            <w:rStyle w:val="Hyperlink"/>
            <w:rFonts w:asciiTheme="minorHAnsi" w:hAnsiTheme="minorHAnsi"/>
            <w:sz w:val="22"/>
            <w:szCs w:val="24"/>
          </w:rPr>
          <w:t>http://www.opm.gov/policy-data-oversight/pay-leave/salaries-wages/salary-tables/pdf/2016/DCB.pdf</w:t>
        </w:r>
      </w:hyperlink>
      <w:r w:rsidRPr="000F2A57">
        <w:rPr>
          <w:rFonts w:asciiTheme="minorHAnsi" w:hAnsiTheme="minorHAnsi"/>
          <w:color w:val="000000"/>
          <w:sz w:val="22"/>
          <w:szCs w:val="24"/>
        </w:rPr>
        <w:t xml:space="preserve"> </w:t>
      </w:r>
    </w:p>
    <w:p w14:paraId="1721D741" w14:textId="77777777" w:rsidR="000F2A57" w:rsidRPr="000F2A57" w:rsidRDefault="000F2A57" w:rsidP="000F2A57">
      <w:pPr>
        <w:rPr>
          <w:rFonts w:asciiTheme="minorHAnsi" w:hAnsiTheme="minorHAnsi"/>
          <w:color w:val="000000"/>
          <w:sz w:val="24"/>
          <w:szCs w:val="24"/>
        </w:rPr>
      </w:pPr>
    </w:p>
    <w:p w14:paraId="084B89C5" w14:textId="77777777" w:rsidR="000F2A57" w:rsidRPr="000F2A57" w:rsidRDefault="000F2A57" w:rsidP="000F2A57">
      <w:pPr>
        <w:rPr>
          <w:rFonts w:asciiTheme="minorHAnsi" w:hAnsiTheme="minorHAnsi"/>
          <w:sz w:val="24"/>
          <w:szCs w:val="24"/>
        </w:rPr>
      </w:pPr>
      <w:r w:rsidRPr="000F2A57">
        <w:rPr>
          <w:rFonts w:asciiTheme="minorHAnsi" w:hAnsiTheme="minorHAnsi"/>
          <w:color w:val="000000"/>
          <w:sz w:val="24"/>
          <w:szCs w:val="24"/>
        </w:rPr>
        <w:t>Note that these oversight costs are included in “Overhead” in Exhibit 3.</w:t>
      </w:r>
    </w:p>
    <w:p w14:paraId="401CD8AB" w14:textId="77777777" w:rsidR="000F2A57" w:rsidRPr="000F2A57" w:rsidRDefault="000F2A57" w:rsidP="000F2A57"/>
    <w:p w14:paraId="6832FC36" w14:textId="77777777" w:rsidR="0057087C" w:rsidRPr="00A03934" w:rsidRDefault="0057087C" w:rsidP="008C5826">
      <w:pPr>
        <w:pStyle w:val="Heading2"/>
        <w:rPr>
          <w:rFonts w:asciiTheme="minorHAnsi" w:hAnsiTheme="minorHAnsi" w:cs="Times New Roman"/>
          <w:color w:val="auto"/>
          <w:sz w:val="24"/>
          <w:szCs w:val="24"/>
        </w:rPr>
      </w:pPr>
      <w:r w:rsidRPr="00A03934">
        <w:rPr>
          <w:rFonts w:asciiTheme="minorHAnsi" w:hAnsiTheme="minorHAnsi" w:cs="Times New Roman"/>
          <w:color w:val="auto"/>
          <w:sz w:val="24"/>
          <w:szCs w:val="24"/>
        </w:rPr>
        <w:t xml:space="preserve">15.  </w:t>
      </w:r>
      <w:r w:rsidRPr="00A03934">
        <w:rPr>
          <w:rFonts w:asciiTheme="minorHAnsi" w:hAnsiTheme="minorHAnsi" w:cs="Times New Roman"/>
          <w:color w:val="auto"/>
          <w:sz w:val="24"/>
          <w:szCs w:val="24"/>
          <w:u w:val="single"/>
        </w:rPr>
        <w:t>Change in Burden</w:t>
      </w:r>
      <w:bookmarkEnd w:id="20"/>
    </w:p>
    <w:p w14:paraId="07028FF8" w14:textId="77777777" w:rsidR="0057087C" w:rsidRPr="00A03934" w:rsidRDefault="0057087C">
      <w:pPr>
        <w:rPr>
          <w:rFonts w:asciiTheme="minorHAnsi" w:hAnsiTheme="minorHAnsi"/>
          <w:sz w:val="24"/>
          <w:szCs w:val="24"/>
        </w:rPr>
      </w:pPr>
    </w:p>
    <w:p w14:paraId="0859C33C" w14:textId="77777777" w:rsidR="0057087C" w:rsidRPr="00A03934" w:rsidRDefault="0057087C">
      <w:pPr>
        <w:rPr>
          <w:rFonts w:asciiTheme="minorHAnsi" w:hAnsiTheme="minorHAnsi"/>
          <w:sz w:val="24"/>
          <w:szCs w:val="24"/>
        </w:rPr>
      </w:pPr>
      <w:r w:rsidRPr="00A03934">
        <w:rPr>
          <w:rFonts w:asciiTheme="minorHAnsi" w:hAnsiTheme="minorHAnsi"/>
          <w:sz w:val="24"/>
          <w:szCs w:val="24"/>
        </w:rPr>
        <w:t>This is a new activity</w:t>
      </w:r>
      <w:r w:rsidR="00B044C0" w:rsidRPr="00A03934">
        <w:rPr>
          <w:rFonts w:asciiTheme="minorHAnsi" w:hAnsiTheme="minorHAnsi"/>
          <w:sz w:val="24"/>
          <w:szCs w:val="24"/>
        </w:rPr>
        <w:t>.</w:t>
      </w:r>
    </w:p>
    <w:p w14:paraId="76A399BA" w14:textId="77777777" w:rsidR="0057087C" w:rsidRPr="00A03934" w:rsidRDefault="0057087C">
      <w:pPr>
        <w:rPr>
          <w:rFonts w:asciiTheme="minorHAnsi" w:hAnsiTheme="minorHAnsi"/>
          <w:sz w:val="24"/>
          <w:szCs w:val="24"/>
        </w:rPr>
      </w:pPr>
    </w:p>
    <w:p w14:paraId="7D4D78F7" w14:textId="77777777" w:rsidR="0057087C" w:rsidRPr="00A03934" w:rsidRDefault="0057087C" w:rsidP="008C5826">
      <w:pPr>
        <w:pStyle w:val="Heading2"/>
        <w:rPr>
          <w:rFonts w:asciiTheme="minorHAnsi" w:hAnsiTheme="minorHAnsi" w:cs="Times New Roman"/>
          <w:b w:val="0"/>
          <w:color w:val="auto"/>
          <w:sz w:val="24"/>
          <w:szCs w:val="24"/>
        </w:rPr>
      </w:pPr>
      <w:bookmarkStart w:id="21" w:name="_Toc391970703"/>
      <w:r w:rsidRPr="00A03934">
        <w:rPr>
          <w:rFonts w:asciiTheme="minorHAnsi" w:hAnsiTheme="minorHAnsi" w:cs="Times New Roman"/>
          <w:color w:val="auto"/>
          <w:sz w:val="24"/>
          <w:szCs w:val="24"/>
        </w:rPr>
        <w:t xml:space="preserve">16.  </w:t>
      </w:r>
      <w:r w:rsidR="00E209C2" w:rsidRPr="00A03934">
        <w:rPr>
          <w:rFonts w:asciiTheme="minorHAnsi" w:hAnsiTheme="minorHAnsi" w:cs="Times New Roman"/>
          <w:color w:val="auto"/>
          <w:sz w:val="24"/>
          <w:u w:val="single"/>
        </w:rPr>
        <w:t>Time Schedule, Publication and Analysis Plan</w:t>
      </w:r>
      <w:bookmarkEnd w:id="21"/>
    </w:p>
    <w:p w14:paraId="20269A70" w14:textId="77777777" w:rsidR="0057087C" w:rsidRPr="00A03934" w:rsidRDefault="0057087C">
      <w:pPr>
        <w:rPr>
          <w:rFonts w:asciiTheme="minorHAnsi" w:hAnsiTheme="minorHAnsi"/>
          <w:sz w:val="24"/>
          <w:szCs w:val="24"/>
        </w:rPr>
      </w:pPr>
    </w:p>
    <w:p w14:paraId="03FF7429" w14:textId="77777777" w:rsidR="002112A0" w:rsidRPr="00A03934" w:rsidRDefault="00A27C34" w:rsidP="002112A0">
      <w:pPr>
        <w:rPr>
          <w:rFonts w:asciiTheme="minorHAnsi" w:hAnsiTheme="minorHAnsi"/>
          <w:sz w:val="24"/>
          <w:szCs w:val="24"/>
        </w:rPr>
      </w:pPr>
      <w:r w:rsidRPr="00A03934">
        <w:rPr>
          <w:rFonts w:asciiTheme="minorHAnsi" w:hAnsiTheme="minorHAnsi"/>
          <w:sz w:val="24"/>
          <w:szCs w:val="24"/>
        </w:rPr>
        <w:t>As soon as OMB approval is received,</w:t>
      </w:r>
      <w:r w:rsidR="002112A0" w:rsidRPr="00A03934">
        <w:rPr>
          <w:rFonts w:asciiTheme="minorHAnsi" w:hAnsiTheme="minorHAnsi"/>
          <w:sz w:val="22"/>
          <w:szCs w:val="22"/>
        </w:rPr>
        <w:t xml:space="preserve"> </w:t>
      </w:r>
      <w:r w:rsidR="00DF5092" w:rsidRPr="00A03934">
        <w:rPr>
          <w:rFonts w:asciiTheme="minorHAnsi" w:hAnsiTheme="minorHAnsi"/>
          <w:sz w:val="24"/>
          <w:szCs w:val="24"/>
        </w:rPr>
        <w:t>field interviews will</w:t>
      </w:r>
      <w:r w:rsidR="002112A0" w:rsidRPr="00A03934">
        <w:rPr>
          <w:rFonts w:asciiTheme="minorHAnsi" w:hAnsiTheme="minorHAnsi"/>
          <w:sz w:val="24"/>
          <w:szCs w:val="24"/>
        </w:rPr>
        <w:t xml:space="preserve"> begin. The estimated time</w:t>
      </w:r>
      <w:r w:rsidR="0074731F" w:rsidRPr="00A03934">
        <w:rPr>
          <w:rFonts w:asciiTheme="minorHAnsi" w:hAnsiTheme="minorHAnsi"/>
          <w:sz w:val="24"/>
          <w:szCs w:val="24"/>
        </w:rPr>
        <w:t xml:space="preserve"> schedule </w:t>
      </w:r>
      <w:r w:rsidR="002112A0" w:rsidRPr="00A03934">
        <w:rPr>
          <w:rFonts w:asciiTheme="minorHAnsi" w:hAnsiTheme="minorHAnsi"/>
          <w:sz w:val="24"/>
          <w:szCs w:val="24"/>
        </w:rPr>
        <w:t xml:space="preserve">to conduct </w:t>
      </w:r>
      <w:r w:rsidR="00DF5092" w:rsidRPr="00A03934">
        <w:rPr>
          <w:rFonts w:asciiTheme="minorHAnsi" w:hAnsiTheme="minorHAnsi"/>
          <w:sz w:val="24"/>
          <w:szCs w:val="24"/>
        </w:rPr>
        <w:t>the</w:t>
      </w:r>
      <w:r w:rsidR="002112A0" w:rsidRPr="00A03934">
        <w:rPr>
          <w:rFonts w:asciiTheme="minorHAnsi" w:hAnsiTheme="minorHAnsi"/>
          <w:sz w:val="24"/>
          <w:szCs w:val="24"/>
        </w:rPr>
        <w:t xml:space="preserve"> </w:t>
      </w:r>
      <w:r w:rsidR="00DF5092" w:rsidRPr="00A03934">
        <w:rPr>
          <w:rFonts w:asciiTheme="minorHAnsi" w:hAnsiTheme="minorHAnsi"/>
          <w:sz w:val="24"/>
          <w:szCs w:val="24"/>
        </w:rPr>
        <w:t>interviews</w:t>
      </w:r>
      <w:r w:rsidR="00F37DC4" w:rsidRPr="00A03934">
        <w:rPr>
          <w:rFonts w:asciiTheme="minorHAnsi" w:hAnsiTheme="minorHAnsi"/>
          <w:sz w:val="24"/>
          <w:szCs w:val="24"/>
        </w:rPr>
        <w:t xml:space="preserve"> and analysis </w:t>
      </w:r>
      <w:r w:rsidR="002112A0" w:rsidRPr="00A03934">
        <w:rPr>
          <w:rFonts w:asciiTheme="minorHAnsi" w:hAnsiTheme="minorHAnsi"/>
          <w:sz w:val="24"/>
          <w:szCs w:val="24"/>
        </w:rPr>
        <w:t>is shown below:</w:t>
      </w:r>
    </w:p>
    <w:p w14:paraId="7A180895" w14:textId="77777777" w:rsidR="002112A0" w:rsidRPr="00A03934" w:rsidRDefault="002112A0" w:rsidP="002112A0">
      <w:pPr>
        <w:rPr>
          <w:rFonts w:asciiTheme="minorHAnsi" w:hAnsiTheme="minorHAnsi"/>
          <w:sz w:val="24"/>
          <w:szCs w:val="24"/>
        </w:rPr>
      </w:pPr>
    </w:p>
    <w:p w14:paraId="070E251B" w14:textId="79333199" w:rsidR="002112A0" w:rsidRPr="00A03934" w:rsidRDefault="00DF5092" w:rsidP="00C04E76">
      <w:pPr>
        <w:numPr>
          <w:ilvl w:val="0"/>
          <w:numId w:val="1"/>
        </w:numPr>
        <w:rPr>
          <w:rFonts w:asciiTheme="minorHAnsi" w:hAnsiTheme="minorHAnsi"/>
          <w:sz w:val="24"/>
          <w:szCs w:val="24"/>
        </w:rPr>
      </w:pPr>
      <w:r w:rsidRPr="00A03934">
        <w:rPr>
          <w:rFonts w:asciiTheme="minorHAnsi" w:hAnsiTheme="minorHAnsi"/>
          <w:sz w:val="24"/>
          <w:szCs w:val="24"/>
        </w:rPr>
        <w:t>Field interview</w:t>
      </w:r>
      <w:r w:rsidR="00094CAE" w:rsidRPr="00A03934">
        <w:rPr>
          <w:rFonts w:asciiTheme="minorHAnsi" w:hAnsiTheme="minorHAnsi"/>
          <w:sz w:val="24"/>
          <w:szCs w:val="24"/>
        </w:rPr>
        <w:t xml:space="preserve"> </w:t>
      </w:r>
      <w:r w:rsidR="002112A0" w:rsidRPr="00A03934">
        <w:rPr>
          <w:rFonts w:asciiTheme="minorHAnsi" w:hAnsiTheme="minorHAnsi"/>
          <w:sz w:val="24"/>
          <w:szCs w:val="24"/>
        </w:rPr>
        <w:t>data collection</w:t>
      </w:r>
      <w:r w:rsidR="000F2A57">
        <w:rPr>
          <w:rFonts w:asciiTheme="minorHAnsi" w:hAnsiTheme="minorHAnsi"/>
          <w:sz w:val="24"/>
          <w:szCs w:val="24"/>
        </w:rPr>
        <w:t>, including recruitment</w:t>
      </w:r>
      <w:r w:rsidR="002112A0" w:rsidRPr="00A03934">
        <w:rPr>
          <w:rFonts w:asciiTheme="minorHAnsi" w:hAnsiTheme="minorHAnsi"/>
          <w:sz w:val="24"/>
          <w:szCs w:val="24"/>
        </w:rPr>
        <w:t xml:space="preserve"> (</w:t>
      </w:r>
      <w:r w:rsidR="000F2A57">
        <w:rPr>
          <w:rFonts w:asciiTheme="minorHAnsi" w:hAnsiTheme="minorHAnsi"/>
          <w:sz w:val="24"/>
          <w:szCs w:val="24"/>
        </w:rPr>
        <w:t>6</w:t>
      </w:r>
      <w:r w:rsidR="00094CAE" w:rsidRPr="00A03934">
        <w:rPr>
          <w:rFonts w:asciiTheme="minorHAnsi" w:hAnsiTheme="minorHAnsi"/>
          <w:sz w:val="24"/>
          <w:szCs w:val="24"/>
        </w:rPr>
        <w:t xml:space="preserve"> </w:t>
      </w:r>
      <w:r w:rsidR="0094006E" w:rsidRPr="00A03934">
        <w:rPr>
          <w:rFonts w:asciiTheme="minorHAnsi" w:hAnsiTheme="minorHAnsi"/>
          <w:sz w:val="24"/>
          <w:szCs w:val="24"/>
        </w:rPr>
        <w:t>months)</w:t>
      </w:r>
    </w:p>
    <w:p w14:paraId="44B242B7" w14:textId="77777777" w:rsidR="002112A0" w:rsidRPr="00A03934" w:rsidRDefault="002112A0" w:rsidP="00C04E76">
      <w:pPr>
        <w:numPr>
          <w:ilvl w:val="0"/>
          <w:numId w:val="1"/>
        </w:numPr>
        <w:rPr>
          <w:rFonts w:asciiTheme="minorHAnsi" w:hAnsiTheme="minorHAnsi"/>
          <w:sz w:val="24"/>
          <w:szCs w:val="24"/>
        </w:rPr>
      </w:pPr>
      <w:r w:rsidRPr="00A03934">
        <w:rPr>
          <w:rFonts w:asciiTheme="minorHAnsi" w:hAnsiTheme="minorHAnsi"/>
          <w:sz w:val="24"/>
          <w:szCs w:val="24"/>
        </w:rPr>
        <w:t>Data analysis</w:t>
      </w:r>
      <w:r w:rsidR="00DF5092" w:rsidRPr="00A03934">
        <w:rPr>
          <w:rFonts w:asciiTheme="minorHAnsi" w:hAnsiTheme="minorHAnsi"/>
          <w:sz w:val="24"/>
          <w:szCs w:val="24"/>
        </w:rPr>
        <w:t xml:space="preserve">, report, and final summary </w:t>
      </w:r>
      <w:r w:rsidRPr="00A03934">
        <w:rPr>
          <w:rFonts w:asciiTheme="minorHAnsi" w:hAnsiTheme="minorHAnsi"/>
          <w:sz w:val="24"/>
          <w:szCs w:val="24"/>
        </w:rPr>
        <w:t>(</w:t>
      </w:r>
      <w:r w:rsidR="00DF5092" w:rsidRPr="00A03934">
        <w:rPr>
          <w:rFonts w:asciiTheme="minorHAnsi" w:hAnsiTheme="minorHAnsi"/>
          <w:sz w:val="24"/>
          <w:szCs w:val="24"/>
        </w:rPr>
        <w:t>3</w:t>
      </w:r>
      <w:r w:rsidR="00094CAE" w:rsidRPr="00A03934">
        <w:rPr>
          <w:rFonts w:asciiTheme="minorHAnsi" w:hAnsiTheme="minorHAnsi"/>
          <w:sz w:val="24"/>
          <w:szCs w:val="24"/>
        </w:rPr>
        <w:t xml:space="preserve"> </w:t>
      </w:r>
      <w:r w:rsidR="0094006E" w:rsidRPr="00A03934">
        <w:rPr>
          <w:rFonts w:asciiTheme="minorHAnsi" w:hAnsiTheme="minorHAnsi"/>
          <w:sz w:val="24"/>
          <w:szCs w:val="24"/>
        </w:rPr>
        <w:t>months</w:t>
      </w:r>
      <w:r w:rsidRPr="00A03934">
        <w:rPr>
          <w:rFonts w:asciiTheme="minorHAnsi" w:hAnsiTheme="minorHAnsi"/>
          <w:sz w:val="24"/>
          <w:szCs w:val="24"/>
        </w:rPr>
        <w:t>)</w:t>
      </w:r>
    </w:p>
    <w:p w14:paraId="05B65262" w14:textId="77777777" w:rsidR="002112A0" w:rsidRPr="00A03934" w:rsidRDefault="00DF5092" w:rsidP="00C04E76">
      <w:pPr>
        <w:numPr>
          <w:ilvl w:val="0"/>
          <w:numId w:val="1"/>
        </w:numPr>
        <w:rPr>
          <w:rFonts w:asciiTheme="minorHAnsi" w:hAnsiTheme="minorHAnsi"/>
          <w:sz w:val="24"/>
          <w:szCs w:val="24"/>
        </w:rPr>
      </w:pPr>
      <w:r w:rsidRPr="00A03934">
        <w:rPr>
          <w:rFonts w:asciiTheme="minorHAnsi" w:hAnsiTheme="minorHAnsi"/>
          <w:sz w:val="24"/>
          <w:szCs w:val="24"/>
        </w:rPr>
        <w:t>Dissemination of important findings</w:t>
      </w:r>
      <w:r w:rsidR="002112A0" w:rsidRPr="00A03934">
        <w:rPr>
          <w:rFonts w:asciiTheme="minorHAnsi" w:hAnsiTheme="minorHAnsi"/>
          <w:sz w:val="24"/>
          <w:szCs w:val="24"/>
        </w:rPr>
        <w:t xml:space="preserve"> (</w:t>
      </w:r>
      <w:r w:rsidR="00C55F3A" w:rsidRPr="00A03934">
        <w:rPr>
          <w:rFonts w:asciiTheme="minorHAnsi" w:hAnsiTheme="minorHAnsi"/>
          <w:sz w:val="24"/>
          <w:szCs w:val="24"/>
        </w:rPr>
        <w:t>3</w:t>
      </w:r>
      <w:r w:rsidR="0094006E" w:rsidRPr="00A03934">
        <w:rPr>
          <w:rFonts w:asciiTheme="minorHAnsi" w:hAnsiTheme="minorHAnsi"/>
          <w:sz w:val="24"/>
          <w:szCs w:val="24"/>
        </w:rPr>
        <w:t xml:space="preserve"> months</w:t>
      </w:r>
      <w:r w:rsidR="002112A0" w:rsidRPr="00A03934">
        <w:rPr>
          <w:rFonts w:asciiTheme="minorHAnsi" w:hAnsiTheme="minorHAnsi"/>
          <w:sz w:val="24"/>
          <w:szCs w:val="24"/>
        </w:rPr>
        <w:t>)</w:t>
      </w:r>
    </w:p>
    <w:p w14:paraId="3E831C4B" w14:textId="77777777" w:rsidR="002112A0" w:rsidRPr="00A03934" w:rsidRDefault="002112A0" w:rsidP="002112A0">
      <w:pPr>
        <w:rPr>
          <w:rFonts w:asciiTheme="minorHAnsi" w:hAnsiTheme="minorHAnsi"/>
          <w:sz w:val="24"/>
          <w:szCs w:val="24"/>
        </w:rPr>
      </w:pPr>
    </w:p>
    <w:p w14:paraId="46E146E8" w14:textId="77777777" w:rsidR="00A27C34" w:rsidRPr="00A03934" w:rsidRDefault="003D0095">
      <w:pPr>
        <w:rPr>
          <w:rFonts w:asciiTheme="minorHAnsi" w:hAnsiTheme="minorHAnsi"/>
          <w:sz w:val="24"/>
          <w:szCs w:val="24"/>
        </w:rPr>
      </w:pPr>
      <w:r w:rsidRPr="00A03934">
        <w:rPr>
          <w:rFonts w:asciiTheme="minorHAnsi" w:hAnsiTheme="minorHAnsi"/>
          <w:sz w:val="24"/>
          <w:szCs w:val="24"/>
        </w:rPr>
        <w:t>T</w:t>
      </w:r>
      <w:r w:rsidR="007317D1" w:rsidRPr="00A03934">
        <w:rPr>
          <w:rFonts w:asciiTheme="minorHAnsi" w:hAnsiTheme="minorHAnsi"/>
          <w:sz w:val="24"/>
          <w:szCs w:val="24"/>
        </w:rPr>
        <w:t xml:space="preserve">he final </w:t>
      </w:r>
      <w:r w:rsidR="00F37DC4" w:rsidRPr="00A03934">
        <w:rPr>
          <w:rFonts w:asciiTheme="minorHAnsi" w:hAnsiTheme="minorHAnsi"/>
          <w:sz w:val="24"/>
          <w:szCs w:val="24"/>
        </w:rPr>
        <w:t>dissemination of the findings will be made public following the analysis.</w:t>
      </w:r>
    </w:p>
    <w:p w14:paraId="4B6A0E11" w14:textId="77777777" w:rsidR="007317D1" w:rsidRPr="00A03934" w:rsidRDefault="007317D1" w:rsidP="00006691">
      <w:pPr>
        <w:rPr>
          <w:rFonts w:asciiTheme="minorHAnsi" w:hAnsiTheme="minorHAnsi"/>
          <w:sz w:val="24"/>
          <w:szCs w:val="24"/>
        </w:rPr>
      </w:pPr>
    </w:p>
    <w:p w14:paraId="3EAA8F92" w14:textId="77777777" w:rsidR="00932ED2" w:rsidRDefault="00AE2971" w:rsidP="00932ED2">
      <w:pPr>
        <w:rPr>
          <w:rFonts w:asciiTheme="minorHAnsi" w:hAnsiTheme="minorHAnsi"/>
          <w:sz w:val="24"/>
          <w:szCs w:val="24"/>
        </w:rPr>
      </w:pPr>
      <w:r w:rsidRPr="00A03934">
        <w:rPr>
          <w:rFonts w:asciiTheme="minorHAnsi" w:hAnsiTheme="minorHAnsi"/>
          <w:sz w:val="24"/>
          <w:szCs w:val="24"/>
        </w:rPr>
        <w:t>The data collection and analysis are qualitative in nature. Analysis on the data will be conducted using the qualitative software</w:t>
      </w:r>
      <w:r w:rsidR="00F045D8">
        <w:rPr>
          <w:rFonts w:asciiTheme="minorHAnsi" w:hAnsiTheme="minorHAnsi"/>
          <w:sz w:val="24"/>
          <w:szCs w:val="24"/>
        </w:rPr>
        <w:t xml:space="preserve"> tool,</w:t>
      </w:r>
      <w:r w:rsidRPr="00A03934">
        <w:rPr>
          <w:rFonts w:asciiTheme="minorHAnsi" w:hAnsiTheme="minorHAnsi"/>
          <w:sz w:val="24"/>
          <w:szCs w:val="24"/>
        </w:rPr>
        <w:t xml:space="preserve"> Dedoose. </w:t>
      </w:r>
    </w:p>
    <w:p w14:paraId="3052B55F" w14:textId="77777777" w:rsidR="00F045D8" w:rsidRPr="00A03934" w:rsidRDefault="00F045D8" w:rsidP="00932ED2">
      <w:pPr>
        <w:rPr>
          <w:rFonts w:asciiTheme="minorHAnsi" w:hAnsiTheme="minorHAnsi"/>
          <w:sz w:val="24"/>
          <w:szCs w:val="24"/>
        </w:rPr>
      </w:pPr>
    </w:p>
    <w:p w14:paraId="7004D57A" w14:textId="77777777" w:rsidR="0057087C" w:rsidRPr="00A03934" w:rsidRDefault="0057087C" w:rsidP="008C5826">
      <w:pPr>
        <w:pStyle w:val="Heading2"/>
        <w:rPr>
          <w:rFonts w:asciiTheme="minorHAnsi" w:hAnsiTheme="minorHAnsi" w:cs="Times New Roman"/>
          <w:color w:val="auto"/>
          <w:sz w:val="24"/>
          <w:szCs w:val="24"/>
        </w:rPr>
      </w:pPr>
      <w:bookmarkStart w:id="22" w:name="_Toc391970704"/>
      <w:r w:rsidRPr="00A03934">
        <w:rPr>
          <w:rFonts w:asciiTheme="minorHAnsi" w:hAnsiTheme="minorHAnsi" w:cs="Times New Roman"/>
          <w:color w:val="auto"/>
          <w:sz w:val="24"/>
          <w:szCs w:val="24"/>
        </w:rPr>
        <w:t xml:space="preserve">17.  </w:t>
      </w:r>
      <w:r w:rsidRPr="00A03934">
        <w:rPr>
          <w:rFonts w:asciiTheme="minorHAnsi" w:hAnsiTheme="minorHAnsi" w:cs="Times New Roman"/>
          <w:color w:val="auto"/>
          <w:sz w:val="24"/>
          <w:szCs w:val="24"/>
          <w:u w:val="single"/>
        </w:rPr>
        <w:t>Exemption for Display of Expiration Date</w:t>
      </w:r>
      <w:bookmarkEnd w:id="22"/>
    </w:p>
    <w:p w14:paraId="047E8C9B" w14:textId="77777777" w:rsidR="0057087C" w:rsidRPr="00A03934" w:rsidRDefault="0057087C">
      <w:pPr>
        <w:rPr>
          <w:rFonts w:asciiTheme="minorHAnsi" w:hAnsiTheme="minorHAnsi"/>
          <w:sz w:val="24"/>
          <w:szCs w:val="24"/>
        </w:rPr>
      </w:pPr>
    </w:p>
    <w:p w14:paraId="05E4BD5A" w14:textId="77777777" w:rsidR="0057087C" w:rsidRPr="00A03934" w:rsidRDefault="0057087C">
      <w:pPr>
        <w:rPr>
          <w:rFonts w:asciiTheme="minorHAnsi" w:hAnsiTheme="minorHAnsi"/>
          <w:sz w:val="24"/>
          <w:szCs w:val="24"/>
        </w:rPr>
      </w:pPr>
      <w:r w:rsidRPr="00A03934">
        <w:rPr>
          <w:rFonts w:asciiTheme="minorHAnsi" w:hAnsiTheme="minorHAnsi"/>
          <w:sz w:val="24"/>
          <w:szCs w:val="24"/>
        </w:rPr>
        <w:t>No exemption is being requested.</w:t>
      </w:r>
    </w:p>
    <w:p w14:paraId="57BEB6D7" w14:textId="6BED483D" w:rsidR="00682E25" w:rsidRDefault="00682E25">
      <w:pPr>
        <w:rPr>
          <w:rFonts w:asciiTheme="minorHAnsi" w:eastAsiaTheme="majorEastAsia" w:hAnsiTheme="minorHAnsi"/>
          <w:b/>
          <w:bCs/>
          <w:sz w:val="24"/>
          <w:szCs w:val="24"/>
        </w:rPr>
      </w:pPr>
      <w:bookmarkStart w:id="23" w:name="_Toc391970705"/>
    </w:p>
    <w:p w14:paraId="4A7932DE" w14:textId="77777777" w:rsidR="00ED3641" w:rsidRPr="00682E25" w:rsidRDefault="00ED3641" w:rsidP="00694335">
      <w:pPr>
        <w:pStyle w:val="Heading1"/>
        <w:rPr>
          <w:rFonts w:asciiTheme="minorHAnsi" w:hAnsiTheme="minorHAnsi" w:cs="Times New Roman"/>
          <w:color w:val="auto"/>
          <w:sz w:val="24"/>
          <w:szCs w:val="24"/>
        </w:rPr>
      </w:pPr>
      <w:r w:rsidRPr="00682E25">
        <w:rPr>
          <w:rFonts w:asciiTheme="minorHAnsi" w:hAnsiTheme="minorHAnsi" w:cs="Times New Roman"/>
          <w:color w:val="auto"/>
          <w:sz w:val="24"/>
          <w:szCs w:val="24"/>
        </w:rPr>
        <w:t>L</w:t>
      </w:r>
      <w:r w:rsidR="000A3475" w:rsidRPr="00682E25">
        <w:rPr>
          <w:rFonts w:asciiTheme="minorHAnsi" w:hAnsiTheme="minorHAnsi" w:cs="Times New Roman"/>
          <w:color w:val="auto"/>
          <w:sz w:val="24"/>
          <w:szCs w:val="24"/>
        </w:rPr>
        <w:t>ist</w:t>
      </w:r>
      <w:r w:rsidRPr="00682E25">
        <w:rPr>
          <w:rFonts w:asciiTheme="minorHAnsi" w:hAnsiTheme="minorHAnsi" w:cs="Times New Roman"/>
          <w:color w:val="auto"/>
          <w:sz w:val="24"/>
          <w:szCs w:val="24"/>
        </w:rPr>
        <w:t xml:space="preserve"> </w:t>
      </w:r>
      <w:r w:rsidR="000A3475" w:rsidRPr="00682E25">
        <w:rPr>
          <w:rFonts w:asciiTheme="minorHAnsi" w:hAnsiTheme="minorHAnsi" w:cs="Times New Roman"/>
          <w:color w:val="auto"/>
          <w:sz w:val="24"/>
          <w:szCs w:val="24"/>
        </w:rPr>
        <w:t>of</w:t>
      </w:r>
      <w:r w:rsidRPr="00682E25">
        <w:rPr>
          <w:rFonts w:asciiTheme="minorHAnsi" w:hAnsiTheme="minorHAnsi" w:cs="Times New Roman"/>
          <w:color w:val="auto"/>
          <w:sz w:val="24"/>
          <w:szCs w:val="24"/>
        </w:rPr>
        <w:t xml:space="preserve"> A</w:t>
      </w:r>
      <w:r w:rsidR="000A3475" w:rsidRPr="00682E25">
        <w:rPr>
          <w:rFonts w:asciiTheme="minorHAnsi" w:hAnsiTheme="minorHAnsi" w:cs="Times New Roman"/>
          <w:color w:val="auto"/>
          <w:sz w:val="24"/>
          <w:szCs w:val="24"/>
        </w:rPr>
        <w:t>ttachments</w:t>
      </w:r>
      <w:bookmarkEnd w:id="23"/>
    </w:p>
    <w:p w14:paraId="26A1438B" w14:textId="77777777" w:rsidR="00694335" w:rsidRPr="00682E25" w:rsidRDefault="00694335">
      <w:pPr>
        <w:rPr>
          <w:rFonts w:asciiTheme="minorHAnsi" w:hAnsiTheme="minorHAnsi"/>
          <w:b/>
          <w:sz w:val="24"/>
          <w:szCs w:val="24"/>
          <w:u w:val="single"/>
        </w:rPr>
      </w:pPr>
    </w:p>
    <w:p w14:paraId="13A8FD9F" w14:textId="77777777" w:rsidR="00E16002" w:rsidRDefault="00B96495" w:rsidP="00876E02">
      <w:pPr>
        <w:rPr>
          <w:rFonts w:asciiTheme="minorHAnsi" w:hAnsiTheme="minorHAnsi"/>
          <w:sz w:val="24"/>
          <w:szCs w:val="24"/>
        </w:rPr>
      </w:pPr>
      <w:bookmarkStart w:id="24" w:name="_Toc277862455"/>
      <w:r>
        <w:rPr>
          <w:rFonts w:asciiTheme="minorHAnsi" w:hAnsiTheme="minorHAnsi"/>
          <w:sz w:val="24"/>
          <w:szCs w:val="24"/>
        </w:rPr>
        <w:t>Attachment</w:t>
      </w:r>
      <w:r w:rsidR="00A03934" w:rsidRPr="00682E25">
        <w:rPr>
          <w:rFonts w:asciiTheme="minorHAnsi" w:hAnsiTheme="minorHAnsi"/>
          <w:sz w:val="24"/>
          <w:szCs w:val="24"/>
        </w:rPr>
        <w:t xml:space="preserve"> A</w:t>
      </w:r>
      <w:r w:rsidR="00682E25">
        <w:rPr>
          <w:rFonts w:asciiTheme="minorHAnsi" w:hAnsiTheme="minorHAnsi"/>
          <w:sz w:val="24"/>
          <w:szCs w:val="24"/>
        </w:rPr>
        <w:t>: Federal Register Notice</w:t>
      </w:r>
    </w:p>
    <w:p w14:paraId="5516733C" w14:textId="77777777" w:rsidR="00682E25" w:rsidRDefault="00682E25" w:rsidP="00876E02">
      <w:pPr>
        <w:rPr>
          <w:rFonts w:asciiTheme="minorHAnsi" w:hAnsiTheme="minorHAnsi"/>
          <w:sz w:val="24"/>
          <w:szCs w:val="24"/>
        </w:rPr>
      </w:pPr>
    </w:p>
    <w:p w14:paraId="594FA0A8" w14:textId="77777777" w:rsidR="00682E25" w:rsidRDefault="00B96495" w:rsidP="00876E02">
      <w:pPr>
        <w:rPr>
          <w:rFonts w:asciiTheme="minorHAnsi" w:hAnsiTheme="minorHAnsi"/>
          <w:sz w:val="24"/>
          <w:szCs w:val="24"/>
        </w:rPr>
      </w:pPr>
      <w:r>
        <w:rPr>
          <w:rFonts w:asciiTheme="minorHAnsi" w:hAnsiTheme="minorHAnsi"/>
          <w:sz w:val="24"/>
          <w:szCs w:val="24"/>
        </w:rPr>
        <w:t>Attachment</w:t>
      </w:r>
      <w:r w:rsidRPr="00682E25">
        <w:rPr>
          <w:rFonts w:asciiTheme="minorHAnsi" w:hAnsiTheme="minorHAnsi"/>
          <w:sz w:val="24"/>
          <w:szCs w:val="24"/>
        </w:rPr>
        <w:t xml:space="preserve"> </w:t>
      </w:r>
      <w:r w:rsidR="00682E25">
        <w:rPr>
          <w:rFonts w:asciiTheme="minorHAnsi" w:hAnsiTheme="minorHAnsi"/>
          <w:sz w:val="24"/>
          <w:szCs w:val="24"/>
        </w:rPr>
        <w:t>B: Technical Expert Panel</w:t>
      </w:r>
    </w:p>
    <w:p w14:paraId="5ED34165" w14:textId="77777777" w:rsidR="00682E25" w:rsidRDefault="00682E25" w:rsidP="00876E02">
      <w:pPr>
        <w:rPr>
          <w:rFonts w:asciiTheme="minorHAnsi" w:hAnsiTheme="minorHAnsi"/>
          <w:sz w:val="24"/>
          <w:szCs w:val="24"/>
        </w:rPr>
      </w:pPr>
    </w:p>
    <w:p w14:paraId="69809CE6" w14:textId="77777777" w:rsidR="00682E25" w:rsidRDefault="00B96495" w:rsidP="00876E02">
      <w:pPr>
        <w:rPr>
          <w:rFonts w:asciiTheme="minorHAnsi" w:hAnsiTheme="minorHAnsi"/>
          <w:sz w:val="24"/>
          <w:szCs w:val="24"/>
        </w:rPr>
      </w:pPr>
      <w:r>
        <w:rPr>
          <w:rFonts w:asciiTheme="minorHAnsi" w:hAnsiTheme="minorHAnsi"/>
          <w:sz w:val="24"/>
          <w:szCs w:val="24"/>
        </w:rPr>
        <w:t>Attachment</w:t>
      </w:r>
      <w:r w:rsidRPr="00682E25">
        <w:rPr>
          <w:rFonts w:asciiTheme="minorHAnsi" w:hAnsiTheme="minorHAnsi"/>
          <w:sz w:val="24"/>
          <w:szCs w:val="24"/>
        </w:rPr>
        <w:t xml:space="preserve"> </w:t>
      </w:r>
      <w:r w:rsidR="00682E25">
        <w:rPr>
          <w:rFonts w:asciiTheme="minorHAnsi" w:hAnsiTheme="minorHAnsi"/>
          <w:sz w:val="24"/>
          <w:szCs w:val="24"/>
        </w:rPr>
        <w:t>C: Interview Protocol</w:t>
      </w:r>
    </w:p>
    <w:p w14:paraId="06102243" w14:textId="77777777" w:rsidR="00682E25" w:rsidRDefault="00682E25" w:rsidP="00876E02">
      <w:pPr>
        <w:rPr>
          <w:rFonts w:asciiTheme="minorHAnsi" w:hAnsiTheme="minorHAnsi"/>
          <w:sz w:val="24"/>
          <w:szCs w:val="24"/>
        </w:rPr>
      </w:pPr>
    </w:p>
    <w:p w14:paraId="33FF1DBC" w14:textId="77777777" w:rsidR="00682E25" w:rsidRPr="00682E25" w:rsidRDefault="00B96495" w:rsidP="00876E02">
      <w:pPr>
        <w:rPr>
          <w:rFonts w:asciiTheme="minorHAnsi" w:hAnsiTheme="minorHAnsi"/>
          <w:sz w:val="24"/>
          <w:szCs w:val="24"/>
        </w:rPr>
      </w:pPr>
      <w:r>
        <w:rPr>
          <w:rFonts w:asciiTheme="minorHAnsi" w:hAnsiTheme="minorHAnsi"/>
          <w:sz w:val="24"/>
          <w:szCs w:val="24"/>
        </w:rPr>
        <w:t>Attachment</w:t>
      </w:r>
      <w:r w:rsidRPr="00682E25">
        <w:rPr>
          <w:rFonts w:asciiTheme="minorHAnsi" w:hAnsiTheme="minorHAnsi"/>
          <w:sz w:val="24"/>
          <w:szCs w:val="24"/>
        </w:rPr>
        <w:t xml:space="preserve"> </w:t>
      </w:r>
      <w:r w:rsidR="00682E25">
        <w:rPr>
          <w:rFonts w:asciiTheme="minorHAnsi" w:hAnsiTheme="minorHAnsi"/>
          <w:sz w:val="24"/>
          <w:szCs w:val="24"/>
        </w:rPr>
        <w:t>D: Consent Form</w:t>
      </w:r>
    </w:p>
    <w:p w14:paraId="5D249461" w14:textId="77777777" w:rsidR="00876E02" w:rsidRPr="00682E25" w:rsidRDefault="00876E02" w:rsidP="00876E02">
      <w:pPr>
        <w:rPr>
          <w:rFonts w:asciiTheme="minorHAnsi" w:hAnsiTheme="minorHAnsi"/>
          <w:sz w:val="24"/>
          <w:szCs w:val="24"/>
        </w:rPr>
      </w:pPr>
    </w:p>
    <w:bookmarkEnd w:id="24"/>
    <w:p w14:paraId="5F5D3A55" w14:textId="77777777" w:rsidR="00A853EA" w:rsidRPr="006C6C03" w:rsidRDefault="00A853EA" w:rsidP="00ED3641">
      <w:pPr>
        <w:pStyle w:val="Heading1"/>
        <w:spacing w:before="240"/>
        <w:rPr>
          <w:rFonts w:ascii="Times New Roman" w:hAnsi="Times New Roman" w:cs="Times New Roman"/>
          <w:b w:val="0"/>
          <w:color w:val="auto"/>
          <w:sz w:val="24"/>
          <w:szCs w:val="24"/>
          <w:u w:val="single"/>
        </w:rPr>
      </w:pPr>
    </w:p>
    <w:p w14:paraId="1693BAB4" w14:textId="77777777" w:rsidR="00876E02" w:rsidRPr="006C6C03" w:rsidRDefault="00876E02" w:rsidP="00876E02">
      <w:pPr>
        <w:pStyle w:val="Heading1"/>
        <w:spacing w:before="240"/>
        <w:rPr>
          <w:rFonts w:ascii="Times New Roman" w:hAnsi="Times New Roman" w:cs="Times New Roman"/>
          <w:b w:val="0"/>
          <w:color w:val="auto"/>
          <w:sz w:val="24"/>
          <w:szCs w:val="24"/>
        </w:rPr>
      </w:pPr>
    </w:p>
    <w:p w14:paraId="3C6E4D7A" w14:textId="77777777" w:rsidR="00523B5C" w:rsidRPr="006C6C03" w:rsidRDefault="00523B5C">
      <w:pPr>
        <w:rPr>
          <w:b/>
          <w:sz w:val="24"/>
          <w:szCs w:val="24"/>
          <w:u w:val="single"/>
        </w:rPr>
      </w:pPr>
    </w:p>
    <w:p w14:paraId="6E9F2319" w14:textId="77777777" w:rsidR="00523B5C" w:rsidRPr="006C6C03" w:rsidRDefault="00523B5C">
      <w:pPr>
        <w:rPr>
          <w:b/>
          <w:sz w:val="24"/>
          <w:szCs w:val="24"/>
          <w:u w:val="single"/>
        </w:rPr>
      </w:pPr>
    </w:p>
    <w:p w14:paraId="6A1277DB" w14:textId="77777777" w:rsidR="00634DCA" w:rsidRPr="006C6C03" w:rsidRDefault="00634DCA">
      <w:pPr>
        <w:jc w:val="center"/>
        <w:rPr>
          <w:b/>
          <w:sz w:val="24"/>
          <w:szCs w:val="24"/>
          <w:u w:val="single"/>
        </w:rPr>
      </w:pPr>
    </w:p>
    <w:sectPr w:rsidR="00634DCA" w:rsidRPr="006C6C03" w:rsidSect="00FA3B94">
      <w:footerReference w:type="even" r:id="rId11"/>
      <w:footerReference w:type="default" r:id="rId12"/>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49F2512" w15:done="0"/>
  <w15:commentEx w15:paraId="45147D34" w15:done="0"/>
  <w15:commentEx w15:paraId="777342EC" w15:done="0"/>
  <w15:commentEx w15:paraId="2FC713F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1E407F" w14:textId="77777777" w:rsidR="005614A1" w:rsidRDefault="005614A1">
      <w:r>
        <w:separator/>
      </w:r>
    </w:p>
  </w:endnote>
  <w:endnote w:type="continuationSeparator" w:id="0">
    <w:p w14:paraId="771C31C6" w14:textId="77777777" w:rsidR="005614A1" w:rsidRDefault="00561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Courier 10cp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8CFD79" w14:textId="77777777" w:rsidR="00AD4020" w:rsidRDefault="00AD4020">
    <w:pPr>
      <w:pStyle w:val="Footer"/>
      <w:framePr w:w="576" w:wrap="around"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8E500E4" w14:textId="77777777" w:rsidR="00AD4020" w:rsidRDefault="00AD40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2865258"/>
      <w:docPartObj>
        <w:docPartGallery w:val="Page Numbers (Bottom of Page)"/>
        <w:docPartUnique/>
      </w:docPartObj>
    </w:sdtPr>
    <w:sdtEndPr>
      <w:rPr>
        <w:noProof/>
      </w:rPr>
    </w:sdtEndPr>
    <w:sdtContent>
      <w:p w14:paraId="1C8E578D" w14:textId="666E3D21" w:rsidR="00DC7726" w:rsidRDefault="00DC7726">
        <w:pPr>
          <w:pStyle w:val="Footer"/>
          <w:jc w:val="center"/>
        </w:pPr>
        <w:r>
          <w:fldChar w:fldCharType="begin"/>
        </w:r>
        <w:r>
          <w:instrText xml:space="preserve"> PAGE   \* MERGEFORMAT </w:instrText>
        </w:r>
        <w:r>
          <w:fldChar w:fldCharType="separate"/>
        </w:r>
        <w:r w:rsidR="00527462">
          <w:rPr>
            <w:noProof/>
          </w:rPr>
          <w:t>1</w:t>
        </w:r>
        <w:r>
          <w:rPr>
            <w:noProof/>
          </w:rPr>
          <w:fldChar w:fldCharType="end"/>
        </w:r>
      </w:p>
    </w:sdtContent>
  </w:sdt>
  <w:p w14:paraId="7E556F7D" w14:textId="19819DC5" w:rsidR="00AD4020" w:rsidRPr="00CE1236" w:rsidRDefault="00AD4020">
    <w:pPr>
      <w:pStyle w:val="Footer"/>
      <w:rPr>
        <w:rFonts w:asciiTheme="minorHAnsi" w:hAnsiTheme="minorHAnsi"/>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BA6952" w14:textId="77777777" w:rsidR="005614A1" w:rsidRDefault="005614A1">
      <w:r>
        <w:separator/>
      </w:r>
    </w:p>
  </w:footnote>
  <w:footnote w:type="continuationSeparator" w:id="0">
    <w:p w14:paraId="76E7A1DC" w14:textId="77777777" w:rsidR="005614A1" w:rsidRDefault="005614A1">
      <w:r>
        <w:continuationSeparator/>
      </w:r>
    </w:p>
  </w:footnote>
  <w:footnote w:id="1">
    <w:p w14:paraId="76600ED7" w14:textId="545F783B" w:rsidR="00BC3877" w:rsidRPr="00527462" w:rsidRDefault="00BC3877">
      <w:pPr>
        <w:pStyle w:val="FootnoteText"/>
        <w:rPr>
          <w:rFonts w:asciiTheme="minorHAnsi" w:hAnsiTheme="minorHAnsi"/>
        </w:rPr>
      </w:pPr>
      <w:r w:rsidRPr="00527462">
        <w:rPr>
          <w:rStyle w:val="FootnoteReference"/>
          <w:rFonts w:asciiTheme="minorHAnsi" w:hAnsiTheme="minorHAnsi"/>
        </w:rPr>
        <w:footnoteRef/>
      </w:r>
      <w:r w:rsidRPr="00527462">
        <w:rPr>
          <w:rFonts w:asciiTheme="minorHAnsi" w:hAnsiTheme="minorHAnsi"/>
        </w:rPr>
        <w:t xml:space="preserve"> Casalino LP. </w:t>
      </w:r>
      <w:proofErr w:type="gramStart"/>
      <w:r w:rsidRPr="00527462">
        <w:rPr>
          <w:rFonts w:asciiTheme="minorHAnsi" w:hAnsiTheme="minorHAnsi"/>
        </w:rPr>
        <w:t>Identifying key areas for delivery system research.</w:t>
      </w:r>
      <w:proofErr w:type="gramEnd"/>
      <w:r w:rsidRPr="00527462">
        <w:rPr>
          <w:rFonts w:asciiTheme="minorHAnsi" w:hAnsiTheme="minorHAnsi"/>
        </w:rPr>
        <w:t xml:space="preserve"> Rockville, MD: Agency for Healthcare Research and Quality; 2014. </w:t>
      </w:r>
      <w:proofErr w:type="gramStart"/>
      <w:r w:rsidRPr="00527462">
        <w:rPr>
          <w:rFonts w:asciiTheme="minorHAnsi" w:hAnsiTheme="minorHAnsi"/>
        </w:rPr>
        <w:t>AHRQ Publication No. 14-0024-EF.</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90FA1"/>
    <w:multiLevelType w:val="hybridMultilevel"/>
    <w:tmpl w:val="6A62B408"/>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
    <w:nsid w:val="1460623D"/>
    <w:multiLevelType w:val="hybridMultilevel"/>
    <w:tmpl w:val="F5A41AA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0A16D1D"/>
    <w:multiLevelType w:val="hybridMultilevel"/>
    <w:tmpl w:val="947AA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AC2D94"/>
    <w:multiLevelType w:val="hybridMultilevel"/>
    <w:tmpl w:val="F7AE6C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5E4E0B"/>
    <w:multiLevelType w:val="hybridMultilevel"/>
    <w:tmpl w:val="C3ECD7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7425F1"/>
    <w:multiLevelType w:val="hybridMultilevel"/>
    <w:tmpl w:val="80E8E1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37C55278"/>
    <w:multiLevelType w:val="hybridMultilevel"/>
    <w:tmpl w:val="C7D2715A"/>
    <w:lvl w:ilvl="0" w:tplc="B9BC11D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1D3123"/>
    <w:multiLevelType w:val="hybridMultilevel"/>
    <w:tmpl w:val="42786E8E"/>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51062419"/>
    <w:multiLevelType w:val="hybridMultilevel"/>
    <w:tmpl w:val="C16A8860"/>
    <w:lvl w:ilvl="0" w:tplc="04090011">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55B484B"/>
    <w:multiLevelType w:val="hybridMultilevel"/>
    <w:tmpl w:val="14C8AE2C"/>
    <w:lvl w:ilvl="0" w:tplc="04090001">
      <w:start w:val="1"/>
      <w:numFmt w:val="bullet"/>
      <w:lvlText w:val=""/>
      <w:lvlJc w:val="left"/>
      <w:pPr>
        <w:ind w:left="720" w:hanging="360"/>
      </w:pPr>
      <w:rPr>
        <w:rFonts w:ascii="Symbol" w:hAnsi="Symbol" w:hint="default"/>
      </w:rPr>
    </w:lvl>
    <w:lvl w:ilvl="1" w:tplc="7B087756">
      <w:numFmt w:val="bullet"/>
      <w:lvlText w:val="•"/>
      <w:lvlJc w:val="left"/>
      <w:pPr>
        <w:ind w:left="1440" w:hanging="360"/>
      </w:pPr>
      <w:rPr>
        <w:rFonts w:ascii="Garamond" w:eastAsia="Calibri" w:hAnsi="Garamond"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6EC61AB"/>
    <w:multiLevelType w:val="hybridMultilevel"/>
    <w:tmpl w:val="51BC0E5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649270DA"/>
    <w:multiLevelType w:val="hybridMultilevel"/>
    <w:tmpl w:val="5564797C"/>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713B24C3"/>
    <w:multiLevelType w:val="hybridMultilevel"/>
    <w:tmpl w:val="200CEF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34C6B10"/>
    <w:multiLevelType w:val="hybridMultilevel"/>
    <w:tmpl w:val="0FE8AEB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B733F41"/>
    <w:multiLevelType w:val="hybridMultilevel"/>
    <w:tmpl w:val="9DE617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7C645396"/>
    <w:multiLevelType w:val="hybridMultilevel"/>
    <w:tmpl w:val="E75C37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3"/>
  </w:num>
  <w:num w:numId="4">
    <w:abstractNumId w:val="13"/>
  </w:num>
  <w:num w:numId="5">
    <w:abstractNumId w:val="10"/>
  </w:num>
  <w:num w:numId="6">
    <w:abstractNumId w:val="4"/>
  </w:num>
  <w:num w:numId="7">
    <w:abstractNumId w:val="9"/>
  </w:num>
  <w:num w:numId="8">
    <w:abstractNumId w:val="14"/>
  </w:num>
  <w:num w:numId="9">
    <w:abstractNumId w:val="15"/>
  </w:num>
  <w:num w:numId="10">
    <w:abstractNumId w:val="12"/>
  </w:num>
  <w:num w:numId="11">
    <w:abstractNumId w:val="7"/>
  </w:num>
  <w:num w:numId="12">
    <w:abstractNumId w:val="5"/>
  </w:num>
  <w:num w:numId="13">
    <w:abstractNumId w:val="1"/>
  </w:num>
  <w:num w:numId="14">
    <w:abstractNumId w:val="6"/>
  </w:num>
  <w:num w:numId="15">
    <w:abstractNumId w:val="0"/>
  </w:num>
  <w:num w:numId="16">
    <w:abstractNumId w:val="2"/>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161"/>
    <w:rsid w:val="00000E24"/>
    <w:rsid w:val="00003DF1"/>
    <w:rsid w:val="00006059"/>
    <w:rsid w:val="00006112"/>
    <w:rsid w:val="00006691"/>
    <w:rsid w:val="00010780"/>
    <w:rsid w:val="00012527"/>
    <w:rsid w:val="00012C91"/>
    <w:rsid w:val="00012DB6"/>
    <w:rsid w:val="000137E3"/>
    <w:rsid w:val="00013F97"/>
    <w:rsid w:val="00015CA7"/>
    <w:rsid w:val="00017360"/>
    <w:rsid w:val="00017B9E"/>
    <w:rsid w:val="000200F6"/>
    <w:rsid w:val="0002178E"/>
    <w:rsid w:val="000237C9"/>
    <w:rsid w:val="00026470"/>
    <w:rsid w:val="0003322A"/>
    <w:rsid w:val="00033751"/>
    <w:rsid w:val="00034BAC"/>
    <w:rsid w:val="000366AC"/>
    <w:rsid w:val="00043753"/>
    <w:rsid w:val="00044EB2"/>
    <w:rsid w:val="00046D85"/>
    <w:rsid w:val="00047650"/>
    <w:rsid w:val="00047716"/>
    <w:rsid w:val="00050A98"/>
    <w:rsid w:val="00050FE6"/>
    <w:rsid w:val="0005180E"/>
    <w:rsid w:val="00052A3F"/>
    <w:rsid w:val="00052C23"/>
    <w:rsid w:val="00054B69"/>
    <w:rsid w:val="00063E19"/>
    <w:rsid w:val="000642AB"/>
    <w:rsid w:val="00065349"/>
    <w:rsid w:val="00065B5E"/>
    <w:rsid w:val="00067206"/>
    <w:rsid w:val="00067354"/>
    <w:rsid w:val="00067AF0"/>
    <w:rsid w:val="00070191"/>
    <w:rsid w:val="0007271E"/>
    <w:rsid w:val="000735D4"/>
    <w:rsid w:val="000748C8"/>
    <w:rsid w:val="000761E1"/>
    <w:rsid w:val="0007704A"/>
    <w:rsid w:val="000804BF"/>
    <w:rsid w:val="00082D72"/>
    <w:rsid w:val="00085CF8"/>
    <w:rsid w:val="00086453"/>
    <w:rsid w:val="00087BFB"/>
    <w:rsid w:val="00090A31"/>
    <w:rsid w:val="00090F13"/>
    <w:rsid w:val="0009249F"/>
    <w:rsid w:val="00092D42"/>
    <w:rsid w:val="00094CAE"/>
    <w:rsid w:val="00095106"/>
    <w:rsid w:val="00095C35"/>
    <w:rsid w:val="00095C91"/>
    <w:rsid w:val="00095DFD"/>
    <w:rsid w:val="00097889"/>
    <w:rsid w:val="000A141E"/>
    <w:rsid w:val="000A3475"/>
    <w:rsid w:val="000A34EB"/>
    <w:rsid w:val="000A37B3"/>
    <w:rsid w:val="000A4B34"/>
    <w:rsid w:val="000A50A4"/>
    <w:rsid w:val="000A5379"/>
    <w:rsid w:val="000B0490"/>
    <w:rsid w:val="000B0D5A"/>
    <w:rsid w:val="000B3841"/>
    <w:rsid w:val="000B48BF"/>
    <w:rsid w:val="000C0309"/>
    <w:rsid w:val="000C16CC"/>
    <w:rsid w:val="000C17F8"/>
    <w:rsid w:val="000C2EC4"/>
    <w:rsid w:val="000C5819"/>
    <w:rsid w:val="000C6BD8"/>
    <w:rsid w:val="000C74A1"/>
    <w:rsid w:val="000C7F54"/>
    <w:rsid w:val="000D026B"/>
    <w:rsid w:val="000D4947"/>
    <w:rsid w:val="000D4E9D"/>
    <w:rsid w:val="000D5D7D"/>
    <w:rsid w:val="000D6FB2"/>
    <w:rsid w:val="000E0DB3"/>
    <w:rsid w:val="000E21BA"/>
    <w:rsid w:val="000E2EEF"/>
    <w:rsid w:val="000E5BAE"/>
    <w:rsid w:val="000E7227"/>
    <w:rsid w:val="000E7EA0"/>
    <w:rsid w:val="000F0D3E"/>
    <w:rsid w:val="000F2A57"/>
    <w:rsid w:val="000F3595"/>
    <w:rsid w:val="000F47D4"/>
    <w:rsid w:val="000F4EDF"/>
    <w:rsid w:val="000F7251"/>
    <w:rsid w:val="00100DDD"/>
    <w:rsid w:val="00101D28"/>
    <w:rsid w:val="00103D0F"/>
    <w:rsid w:val="00107577"/>
    <w:rsid w:val="00107DEC"/>
    <w:rsid w:val="0011206C"/>
    <w:rsid w:val="00114600"/>
    <w:rsid w:val="001152BB"/>
    <w:rsid w:val="001158B8"/>
    <w:rsid w:val="00120AA8"/>
    <w:rsid w:val="00121332"/>
    <w:rsid w:val="00121F5D"/>
    <w:rsid w:val="001233CB"/>
    <w:rsid w:val="00127E95"/>
    <w:rsid w:val="001302F5"/>
    <w:rsid w:val="0013058C"/>
    <w:rsid w:val="00131093"/>
    <w:rsid w:val="00131939"/>
    <w:rsid w:val="00132CA3"/>
    <w:rsid w:val="00133E0F"/>
    <w:rsid w:val="00136179"/>
    <w:rsid w:val="00136E68"/>
    <w:rsid w:val="00144ECD"/>
    <w:rsid w:val="00150BD2"/>
    <w:rsid w:val="00151BCD"/>
    <w:rsid w:val="0015401B"/>
    <w:rsid w:val="0015570B"/>
    <w:rsid w:val="00157544"/>
    <w:rsid w:val="00161BBC"/>
    <w:rsid w:val="00166C2A"/>
    <w:rsid w:val="001671E7"/>
    <w:rsid w:val="001676D5"/>
    <w:rsid w:val="00167858"/>
    <w:rsid w:val="001704FF"/>
    <w:rsid w:val="001711B9"/>
    <w:rsid w:val="00171DDF"/>
    <w:rsid w:val="0017401B"/>
    <w:rsid w:val="00175076"/>
    <w:rsid w:val="001753F2"/>
    <w:rsid w:val="00175902"/>
    <w:rsid w:val="00177B44"/>
    <w:rsid w:val="00180B53"/>
    <w:rsid w:val="00180BDC"/>
    <w:rsid w:val="00185B21"/>
    <w:rsid w:val="00190033"/>
    <w:rsid w:val="0019245F"/>
    <w:rsid w:val="001928C4"/>
    <w:rsid w:val="00192FB7"/>
    <w:rsid w:val="001936AB"/>
    <w:rsid w:val="00193B15"/>
    <w:rsid w:val="00195EB7"/>
    <w:rsid w:val="0019613E"/>
    <w:rsid w:val="00196D72"/>
    <w:rsid w:val="001A02F8"/>
    <w:rsid w:val="001A0F4E"/>
    <w:rsid w:val="001A16CF"/>
    <w:rsid w:val="001A3607"/>
    <w:rsid w:val="001A72F3"/>
    <w:rsid w:val="001B13E5"/>
    <w:rsid w:val="001B4100"/>
    <w:rsid w:val="001B4AA9"/>
    <w:rsid w:val="001B4C0A"/>
    <w:rsid w:val="001B5FDD"/>
    <w:rsid w:val="001C0EE7"/>
    <w:rsid w:val="001C2BF0"/>
    <w:rsid w:val="001C48F8"/>
    <w:rsid w:val="001C513A"/>
    <w:rsid w:val="001C5583"/>
    <w:rsid w:val="001C7C88"/>
    <w:rsid w:val="001D0916"/>
    <w:rsid w:val="001D16FA"/>
    <w:rsid w:val="001D367A"/>
    <w:rsid w:val="001D6B6C"/>
    <w:rsid w:val="001E18B9"/>
    <w:rsid w:val="001E452E"/>
    <w:rsid w:val="001E638C"/>
    <w:rsid w:val="001E6D0C"/>
    <w:rsid w:val="001E76CA"/>
    <w:rsid w:val="001F008C"/>
    <w:rsid w:val="001F0DCD"/>
    <w:rsid w:val="001F5538"/>
    <w:rsid w:val="00200238"/>
    <w:rsid w:val="002003A0"/>
    <w:rsid w:val="0020113B"/>
    <w:rsid w:val="0020224A"/>
    <w:rsid w:val="00202468"/>
    <w:rsid w:val="002030A9"/>
    <w:rsid w:val="002033DF"/>
    <w:rsid w:val="00206578"/>
    <w:rsid w:val="002112A0"/>
    <w:rsid w:val="00211E0D"/>
    <w:rsid w:val="00213361"/>
    <w:rsid w:val="0021366F"/>
    <w:rsid w:val="00213867"/>
    <w:rsid w:val="002148C5"/>
    <w:rsid w:val="00216DFA"/>
    <w:rsid w:val="00220405"/>
    <w:rsid w:val="00222050"/>
    <w:rsid w:val="0022206A"/>
    <w:rsid w:val="002250C6"/>
    <w:rsid w:val="00230084"/>
    <w:rsid w:val="00230682"/>
    <w:rsid w:val="00230BC7"/>
    <w:rsid w:val="002318C7"/>
    <w:rsid w:val="00233E06"/>
    <w:rsid w:val="00234EF3"/>
    <w:rsid w:val="00236C09"/>
    <w:rsid w:val="00236D6D"/>
    <w:rsid w:val="0024077A"/>
    <w:rsid w:val="0024161F"/>
    <w:rsid w:val="0024613D"/>
    <w:rsid w:val="00247D92"/>
    <w:rsid w:val="00250D7B"/>
    <w:rsid w:val="0025398D"/>
    <w:rsid w:val="00260260"/>
    <w:rsid w:val="00262784"/>
    <w:rsid w:val="00262CC2"/>
    <w:rsid w:val="00262ED9"/>
    <w:rsid w:val="002630DD"/>
    <w:rsid w:val="00263FB9"/>
    <w:rsid w:val="00266286"/>
    <w:rsid w:val="00266D8B"/>
    <w:rsid w:val="00271B41"/>
    <w:rsid w:val="00271DB0"/>
    <w:rsid w:val="00272355"/>
    <w:rsid w:val="002731CC"/>
    <w:rsid w:val="002813B9"/>
    <w:rsid w:val="00281C87"/>
    <w:rsid w:val="00283468"/>
    <w:rsid w:val="00283C07"/>
    <w:rsid w:val="00283FB7"/>
    <w:rsid w:val="002843A4"/>
    <w:rsid w:val="00284A5F"/>
    <w:rsid w:val="00287B42"/>
    <w:rsid w:val="00287F9F"/>
    <w:rsid w:val="00291087"/>
    <w:rsid w:val="00291686"/>
    <w:rsid w:val="00295441"/>
    <w:rsid w:val="00297A54"/>
    <w:rsid w:val="002A14D6"/>
    <w:rsid w:val="002A1E79"/>
    <w:rsid w:val="002A2A8B"/>
    <w:rsid w:val="002A3BA3"/>
    <w:rsid w:val="002A481E"/>
    <w:rsid w:val="002A4963"/>
    <w:rsid w:val="002A5182"/>
    <w:rsid w:val="002A545A"/>
    <w:rsid w:val="002A71E1"/>
    <w:rsid w:val="002A7F6B"/>
    <w:rsid w:val="002B10C0"/>
    <w:rsid w:val="002B1858"/>
    <w:rsid w:val="002B1BD8"/>
    <w:rsid w:val="002B312B"/>
    <w:rsid w:val="002B3F36"/>
    <w:rsid w:val="002B4F2E"/>
    <w:rsid w:val="002C0B1B"/>
    <w:rsid w:val="002C5116"/>
    <w:rsid w:val="002C626E"/>
    <w:rsid w:val="002C6699"/>
    <w:rsid w:val="002C7BFE"/>
    <w:rsid w:val="002D3B00"/>
    <w:rsid w:val="002D4122"/>
    <w:rsid w:val="002D48E1"/>
    <w:rsid w:val="002D52C2"/>
    <w:rsid w:val="002D6431"/>
    <w:rsid w:val="002E0179"/>
    <w:rsid w:val="002E0912"/>
    <w:rsid w:val="002E094D"/>
    <w:rsid w:val="002E0FA4"/>
    <w:rsid w:val="002E1720"/>
    <w:rsid w:val="002E5E3A"/>
    <w:rsid w:val="002E5FED"/>
    <w:rsid w:val="002E67CA"/>
    <w:rsid w:val="002E73AE"/>
    <w:rsid w:val="002F019C"/>
    <w:rsid w:val="002F0C82"/>
    <w:rsid w:val="002F1BA8"/>
    <w:rsid w:val="002F2C45"/>
    <w:rsid w:val="002F393F"/>
    <w:rsid w:val="002F5DA1"/>
    <w:rsid w:val="002F763F"/>
    <w:rsid w:val="003025E5"/>
    <w:rsid w:val="00303B74"/>
    <w:rsid w:val="00304BDC"/>
    <w:rsid w:val="00304FCC"/>
    <w:rsid w:val="003066AE"/>
    <w:rsid w:val="00312519"/>
    <w:rsid w:val="00313F4B"/>
    <w:rsid w:val="003161F3"/>
    <w:rsid w:val="00323FCD"/>
    <w:rsid w:val="003251E0"/>
    <w:rsid w:val="0033037C"/>
    <w:rsid w:val="00330AC8"/>
    <w:rsid w:val="00330D42"/>
    <w:rsid w:val="003321EC"/>
    <w:rsid w:val="00334CC3"/>
    <w:rsid w:val="0033654A"/>
    <w:rsid w:val="003416E6"/>
    <w:rsid w:val="003426D4"/>
    <w:rsid w:val="00342BB7"/>
    <w:rsid w:val="00342E5C"/>
    <w:rsid w:val="003442B1"/>
    <w:rsid w:val="00344CF4"/>
    <w:rsid w:val="0034684E"/>
    <w:rsid w:val="00350E68"/>
    <w:rsid w:val="0035373D"/>
    <w:rsid w:val="00354DC9"/>
    <w:rsid w:val="003561B0"/>
    <w:rsid w:val="00356BBB"/>
    <w:rsid w:val="00363799"/>
    <w:rsid w:val="003642E9"/>
    <w:rsid w:val="00366536"/>
    <w:rsid w:val="00367079"/>
    <w:rsid w:val="00367345"/>
    <w:rsid w:val="003746CE"/>
    <w:rsid w:val="00376292"/>
    <w:rsid w:val="003765FA"/>
    <w:rsid w:val="00377B30"/>
    <w:rsid w:val="00380D0C"/>
    <w:rsid w:val="003859F2"/>
    <w:rsid w:val="003874C7"/>
    <w:rsid w:val="003902D0"/>
    <w:rsid w:val="003908A6"/>
    <w:rsid w:val="00393377"/>
    <w:rsid w:val="00393EE3"/>
    <w:rsid w:val="00395DB1"/>
    <w:rsid w:val="00396BC7"/>
    <w:rsid w:val="00397180"/>
    <w:rsid w:val="003A35B6"/>
    <w:rsid w:val="003A472C"/>
    <w:rsid w:val="003A4FBE"/>
    <w:rsid w:val="003A5074"/>
    <w:rsid w:val="003A56F6"/>
    <w:rsid w:val="003A7504"/>
    <w:rsid w:val="003B020A"/>
    <w:rsid w:val="003B191F"/>
    <w:rsid w:val="003B1A4B"/>
    <w:rsid w:val="003B1C64"/>
    <w:rsid w:val="003B1F1B"/>
    <w:rsid w:val="003B31B8"/>
    <w:rsid w:val="003B3E67"/>
    <w:rsid w:val="003B6B5D"/>
    <w:rsid w:val="003B729B"/>
    <w:rsid w:val="003C24EF"/>
    <w:rsid w:val="003D0095"/>
    <w:rsid w:val="003D1394"/>
    <w:rsid w:val="003D2018"/>
    <w:rsid w:val="003D2559"/>
    <w:rsid w:val="003D3D00"/>
    <w:rsid w:val="003D5983"/>
    <w:rsid w:val="003E376D"/>
    <w:rsid w:val="003E406D"/>
    <w:rsid w:val="003E529E"/>
    <w:rsid w:val="003E6A62"/>
    <w:rsid w:val="003F1422"/>
    <w:rsid w:val="003F4206"/>
    <w:rsid w:val="003F4788"/>
    <w:rsid w:val="003F47FA"/>
    <w:rsid w:val="003F6BC4"/>
    <w:rsid w:val="003F738E"/>
    <w:rsid w:val="00400D38"/>
    <w:rsid w:val="004049B1"/>
    <w:rsid w:val="00404BC6"/>
    <w:rsid w:val="00405031"/>
    <w:rsid w:val="0040503E"/>
    <w:rsid w:val="004058F4"/>
    <w:rsid w:val="00406FCE"/>
    <w:rsid w:val="0040746B"/>
    <w:rsid w:val="0041280C"/>
    <w:rsid w:val="00413B85"/>
    <w:rsid w:val="00413BFC"/>
    <w:rsid w:val="00414B3C"/>
    <w:rsid w:val="004151F8"/>
    <w:rsid w:val="0042302B"/>
    <w:rsid w:val="004235AA"/>
    <w:rsid w:val="004239E6"/>
    <w:rsid w:val="00424EEA"/>
    <w:rsid w:val="00426150"/>
    <w:rsid w:val="00426266"/>
    <w:rsid w:val="00431BE2"/>
    <w:rsid w:val="00433B47"/>
    <w:rsid w:val="004348AF"/>
    <w:rsid w:val="00435ADA"/>
    <w:rsid w:val="0043662E"/>
    <w:rsid w:val="00437F79"/>
    <w:rsid w:val="004420BA"/>
    <w:rsid w:val="004445CB"/>
    <w:rsid w:val="004448FF"/>
    <w:rsid w:val="00444E9E"/>
    <w:rsid w:val="00447A17"/>
    <w:rsid w:val="00447BA9"/>
    <w:rsid w:val="004506B2"/>
    <w:rsid w:val="00450899"/>
    <w:rsid w:val="00451AEA"/>
    <w:rsid w:val="00452F9A"/>
    <w:rsid w:val="00454BC1"/>
    <w:rsid w:val="004563FE"/>
    <w:rsid w:val="004578F7"/>
    <w:rsid w:val="004620B2"/>
    <w:rsid w:val="004621B2"/>
    <w:rsid w:val="004642BA"/>
    <w:rsid w:val="00465056"/>
    <w:rsid w:val="00465848"/>
    <w:rsid w:val="00473FA4"/>
    <w:rsid w:val="0047429C"/>
    <w:rsid w:val="00474935"/>
    <w:rsid w:val="00474B31"/>
    <w:rsid w:val="00476766"/>
    <w:rsid w:val="00476C50"/>
    <w:rsid w:val="00480D19"/>
    <w:rsid w:val="00481669"/>
    <w:rsid w:val="004818C7"/>
    <w:rsid w:val="00483835"/>
    <w:rsid w:val="00483A9A"/>
    <w:rsid w:val="00483BEA"/>
    <w:rsid w:val="00485763"/>
    <w:rsid w:val="00490A5E"/>
    <w:rsid w:val="00490C78"/>
    <w:rsid w:val="00492371"/>
    <w:rsid w:val="004932C3"/>
    <w:rsid w:val="0049411A"/>
    <w:rsid w:val="004944C8"/>
    <w:rsid w:val="00496A66"/>
    <w:rsid w:val="00496F64"/>
    <w:rsid w:val="004A0CE1"/>
    <w:rsid w:val="004A1477"/>
    <w:rsid w:val="004A1CFD"/>
    <w:rsid w:val="004A47FA"/>
    <w:rsid w:val="004A611A"/>
    <w:rsid w:val="004A6A0A"/>
    <w:rsid w:val="004A6BEF"/>
    <w:rsid w:val="004B1ED3"/>
    <w:rsid w:val="004B1F7D"/>
    <w:rsid w:val="004B611E"/>
    <w:rsid w:val="004B7393"/>
    <w:rsid w:val="004C1E37"/>
    <w:rsid w:val="004C2187"/>
    <w:rsid w:val="004C34C6"/>
    <w:rsid w:val="004C4585"/>
    <w:rsid w:val="004C5451"/>
    <w:rsid w:val="004C5A6A"/>
    <w:rsid w:val="004C5F80"/>
    <w:rsid w:val="004C76B3"/>
    <w:rsid w:val="004C7C4D"/>
    <w:rsid w:val="004D09CC"/>
    <w:rsid w:val="004D0EB7"/>
    <w:rsid w:val="004D12E6"/>
    <w:rsid w:val="004D28C3"/>
    <w:rsid w:val="004D4BAC"/>
    <w:rsid w:val="004D4ECD"/>
    <w:rsid w:val="004D574C"/>
    <w:rsid w:val="004E1849"/>
    <w:rsid w:val="004F3876"/>
    <w:rsid w:val="004F40DB"/>
    <w:rsid w:val="004F6793"/>
    <w:rsid w:val="00500A2B"/>
    <w:rsid w:val="00502A66"/>
    <w:rsid w:val="005039B6"/>
    <w:rsid w:val="00503B44"/>
    <w:rsid w:val="00505819"/>
    <w:rsid w:val="00505A66"/>
    <w:rsid w:val="00512104"/>
    <w:rsid w:val="005125A7"/>
    <w:rsid w:val="00513768"/>
    <w:rsid w:val="005159F8"/>
    <w:rsid w:val="005214F1"/>
    <w:rsid w:val="00521983"/>
    <w:rsid w:val="00523860"/>
    <w:rsid w:val="00523B5C"/>
    <w:rsid w:val="005258E9"/>
    <w:rsid w:val="0052643D"/>
    <w:rsid w:val="00527462"/>
    <w:rsid w:val="005303A5"/>
    <w:rsid w:val="00531077"/>
    <w:rsid w:val="005319BF"/>
    <w:rsid w:val="00531CAB"/>
    <w:rsid w:val="0053705B"/>
    <w:rsid w:val="005409BD"/>
    <w:rsid w:val="005416A6"/>
    <w:rsid w:val="0054317A"/>
    <w:rsid w:val="005432BA"/>
    <w:rsid w:val="00545ADE"/>
    <w:rsid w:val="0055071D"/>
    <w:rsid w:val="0055135E"/>
    <w:rsid w:val="005522DC"/>
    <w:rsid w:val="0055393B"/>
    <w:rsid w:val="00553F0A"/>
    <w:rsid w:val="005540E9"/>
    <w:rsid w:val="00554B62"/>
    <w:rsid w:val="0055505C"/>
    <w:rsid w:val="00555F00"/>
    <w:rsid w:val="0055755B"/>
    <w:rsid w:val="00560249"/>
    <w:rsid w:val="005614A1"/>
    <w:rsid w:val="005615AD"/>
    <w:rsid w:val="00561604"/>
    <w:rsid w:val="0056316F"/>
    <w:rsid w:val="00565937"/>
    <w:rsid w:val="00565A75"/>
    <w:rsid w:val="00565B4D"/>
    <w:rsid w:val="00566930"/>
    <w:rsid w:val="00566CFD"/>
    <w:rsid w:val="0056703D"/>
    <w:rsid w:val="0057087C"/>
    <w:rsid w:val="00571098"/>
    <w:rsid w:val="00571984"/>
    <w:rsid w:val="00571FC1"/>
    <w:rsid w:val="00575BB6"/>
    <w:rsid w:val="00577626"/>
    <w:rsid w:val="00580E7E"/>
    <w:rsid w:val="00581770"/>
    <w:rsid w:val="00581C43"/>
    <w:rsid w:val="00581E66"/>
    <w:rsid w:val="00582BED"/>
    <w:rsid w:val="00582CB9"/>
    <w:rsid w:val="00583FDD"/>
    <w:rsid w:val="0058590E"/>
    <w:rsid w:val="005874BF"/>
    <w:rsid w:val="0058784C"/>
    <w:rsid w:val="0059557C"/>
    <w:rsid w:val="0059610A"/>
    <w:rsid w:val="005A01F6"/>
    <w:rsid w:val="005A2564"/>
    <w:rsid w:val="005A349C"/>
    <w:rsid w:val="005A43EA"/>
    <w:rsid w:val="005A455B"/>
    <w:rsid w:val="005A4F9B"/>
    <w:rsid w:val="005A4FFD"/>
    <w:rsid w:val="005A66FB"/>
    <w:rsid w:val="005B25AD"/>
    <w:rsid w:val="005B3296"/>
    <w:rsid w:val="005B3C46"/>
    <w:rsid w:val="005B4227"/>
    <w:rsid w:val="005B6720"/>
    <w:rsid w:val="005C036B"/>
    <w:rsid w:val="005C133F"/>
    <w:rsid w:val="005C40AF"/>
    <w:rsid w:val="005C589F"/>
    <w:rsid w:val="005C7F44"/>
    <w:rsid w:val="005D0FAB"/>
    <w:rsid w:val="005E5209"/>
    <w:rsid w:val="005E634F"/>
    <w:rsid w:val="005E7BE2"/>
    <w:rsid w:val="005F1F2E"/>
    <w:rsid w:val="005F2D9B"/>
    <w:rsid w:val="005F4E96"/>
    <w:rsid w:val="005F79B9"/>
    <w:rsid w:val="005F79ED"/>
    <w:rsid w:val="00600F3A"/>
    <w:rsid w:val="006027DF"/>
    <w:rsid w:val="006056F1"/>
    <w:rsid w:val="00611158"/>
    <w:rsid w:val="00611EAA"/>
    <w:rsid w:val="006152E9"/>
    <w:rsid w:val="006155DF"/>
    <w:rsid w:val="00616008"/>
    <w:rsid w:val="00623AC7"/>
    <w:rsid w:val="00627DEE"/>
    <w:rsid w:val="006332B8"/>
    <w:rsid w:val="00634D9E"/>
    <w:rsid w:val="00634DCA"/>
    <w:rsid w:val="00634EF0"/>
    <w:rsid w:val="00635002"/>
    <w:rsid w:val="00636DA4"/>
    <w:rsid w:val="0063784E"/>
    <w:rsid w:val="00641780"/>
    <w:rsid w:val="00641F71"/>
    <w:rsid w:val="00644CA3"/>
    <w:rsid w:val="006450DA"/>
    <w:rsid w:val="0064510B"/>
    <w:rsid w:val="00645A56"/>
    <w:rsid w:val="00645F14"/>
    <w:rsid w:val="006461B3"/>
    <w:rsid w:val="0065326D"/>
    <w:rsid w:val="00656B74"/>
    <w:rsid w:val="00661146"/>
    <w:rsid w:val="00661756"/>
    <w:rsid w:val="0066259A"/>
    <w:rsid w:val="0066333F"/>
    <w:rsid w:val="00663504"/>
    <w:rsid w:val="006635C4"/>
    <w:rsid w:val="00664585"/>
    <w:rsid w:val="0066725E"/>
    <w:rsid w:val="00670774"/>
    <w:rsid w:val="00671199"/>
    <w:rsid w:val="006715F4"/>
    <w:rsid w:val="00671A01"/>
    <w:rsid w:val="00675B28"/>
    <w:rsid w:val="0067768B"/>
    <w:rsid w:val="00677C6E"/>
    <w:rsid w:val="00680002"/>
    <w:rsid w:val="00680008"/>
    <w:rsid w:val="0068096A"/>
    <w:rsid w:val="00682E25"/>
    <w:rsid w:val="006840F5"/>
    <w:rsid w:val="00684341"/>
    <w:rsid w:val="0068447E"/>
    <w:rsid w:val="00685981"/>
    <w:rsid w:val="006860A1"/>
    <w:rsid w:val="00687C77"/>
    <w:rsid w:val="00687D73"/>
    <w:rsid w:val="00691EDB"/>
    <w:rsid w:val="00692247"/>
    <w:rsid w:val="00694335"/>
    <w:rsid w:val="0069563F"/>
    <w:rsid w:val="00695B92"/>
    <w:rsid w:val="00697397"/>
    <w:rsid w:val="006A00E2"/>
    <w:rsid w:val="006A164A"/>
    <w:rsid w:val="006A36C0"/>
    <w:rsid w:val="006A56C5"/>
    <w:rsid w:val="006A6058"/>
    <w:rsid w:val="006A7FFD"/>
    <w:rsid w:val="006B00CE"/>
    <w:rsid w:val="006B0624"/>
    <w:rsid w:val="006B56AA"/>
    <w:rsid w:val="006B6655"/>
    <w:rsid w:val="006B6B0B"/>
    <w:rsid w:val="006B6C86"/>
    <w:rsid w:val="006C131A"/>
    <w:rsid w:val="006C1F1C"/>
    <w:rsid w:val="006C2838"/>
    <w:rsid w:val="006C3C40"/>
    <w:rsid w:val="006C40CE"/>
    <w:rsid w:val="006C6C03"/>
    <w:rsid w:val="006C73F1"/>
    <w:rsid w:val="006C769D"/>
    <w:rsid w:val="006D1D07"/>
    <w:rsid w:val="006D2082"/>
    <w:rsid w:val="006D4505"/>
    <w:rsid w:val="006D49E4"/>
    <w:rsid w:val="006D56DA"/>
    <w:rsid w:val="006D6CBD"/>
    <w:rsid w:val="006D7753"/>
    <w:rsid w:val="006E11A5"/>
    <w:rsid w:val="006E3134"/>
    <w:rsid w:val="006E50AC"/>
    <w:rsid w:val="006E56BE"/>
    <w:rsid w:val="006E6190"/>
    <w:rsid w:val="006E7313"/>
    <w:rsid w:val="006E7551"/>
    <w:rsid w:val="006F03C2"/>
    <w:rsid w:val="006F2662"/>
    <w:rsid w:val="006F3C73"/>
    <w:rsid w:val="006F6526"/>
    <w:rsid w:val="006F7766"/>
    <w:rsid w:val="0070013C"/>
    <w:rsid w:val="0070244E"/>
    <w:rsid w:val="00703B14"/>
    <w:rsid w:val="0070407B"/>
    <w:rsid w:val="0070550E"/>
    <w:rsid w:val="007056FA"/>
    <w:rsid w:val="00705D68"/>
    <w:rsid w:val="0070607F"/>
    <w:rsid w:val="00706735"/>
    <w:rsid w:val="0070750C"/>
    <w:rsid w:val="00710945"/>
    <w:rsid w:val="007122AA"/>
    <w:rsid w:val="007138AF"/>
    <w:rsid w:val="0071504C"/>
    <w:rsid w:val="00716493"/>
    <w:rsid w:val="007171A0"/>
    <w:rsid w:val="0071781D"/>
    <w:rsid w:val="007201ED"/>
    <w:rsid w:val="007217AA"/>
    <w:rsid w:val="00722B9A"/>
    <w:rsid w:val="007256CB"/>
    <w:rsid w:val="00726493"/>
    <w:rsid w:val="007317D1"/>
    <w:rsid w:val="007324AF"/>
    <w:rsid w:val="007325D7"/>
    <w:rsid w:val="00733EA7"/>
    <w:rsid w:val="00734543"/>
    <w:rsid w:val="00735500"/>
    <w:rsid w:val="00740DCD"/>
    <w:rsid w:val="00741BFF"/>
    <w:rsid w:val="007439B6"/>
    <w:rsid w:val="00743E46"/>
    <w:rsid w:val="00745DE7"/>
    <w:rsid w:val="00747121"/>
    <w:rsid w:val="00747259"/>
    <w:rsid w:val="0074731F"/>
    <w:rsid w:val="00752416"/>
    <w:rsid w:val="00753B3D"/>
    <w:rsid w:val="00754A71"/>
    <w:rsid w:val="00754F13"/>
    <w:rsid w:val="007564D9"/>
    <w:rsid w:val="00760494"/>
    <w:rsid w:val="00761E6E"/>
    <w:rsid w:val="007620C3"/>
    <w:rsid w:val="0076612D"/>
    <w:rsid w:val="007674A8"/>
    <w:rsid w:val="00767C9B"/>
    <w:rsid w:val="00770D38"/>
    <w:rsid w:val="00770FA1"/>
    <w:rsid w:val="0077144E"/>
    <w:rsid w:val="0077196C"/>
    <w:rsid w:val="007737F8"/>
    <w:rsid w:val="007743BC"/>
    <w:rsid w:val="00774431"/>
    <w:rsid w:val="00775A92"/>
    <w:rsid w:val="007779A1"/>
    <w:rsid w:val="007817CC"/>
    <w:rsid w:val="00783B2C"/>
    <w:rsid w:val="007847E9"/>
    <w:rsid w:val="00784D25"/>
    <w:rsid w:val="00792455"/>
    <w:rsid w:val="007932AB"/>
    <w:rsid w:val="0079770B"/>
    <w:rsid w:val="007A2B3D"/>
    <w:rsid w:val="007A35CD"/>
    <w:rsid w:val="007A7FD8"/>
    <w:rsid w:val="007B085B"/>
    <w:rsid w:val="007B0E76"/>
    <w:rsid w:val="007B5E7A"/>
    <w:rsid w:val="007B6019"/>
    <w:rsid w:val="007B6379"/>
    <w:rsid w:val="007C08AB"/>
    <w:rsid w:val="007C0CA6"/>
    <w:rsid w:val="007C2307"/>
    <w:rsid w:val="007D39DF"/>
    <w:rsid w:val="007D53F8"/>
    <w:rsid w:val="007D6E53"/>
    <w:rsid w:val="007D7D61"/>
    <w:rsid w:val="007E0297"/>
    <w:rsid w:val="007E2449"/>
    <w:rsid w:val="007E7063"/>
    <w:rsid w:val="007F0536"/>
    <w:rsid w:val="007F0E22"/>
    <w:rsid w:val="007F59C2"/>
    <w:rsid w:val="00801D71"/>
    <w:rsid w:val="00802AA0"/>
    <w:rsid w:val="00803406"/>
    <w:rsid w:val="00806C11"/>
    <w:rsid w:val="00810325"/>
    <w:rsid w:val="0081084E"/>
    <w:rsid w:val="00811272"/>
    <w:rsid w:val="00811992"/>
    <w:rsid w:val="00812FFC"/>
    <w:rsid w:val="0081432A"/>
    <w:rsid w:val="008200FB"/>
    <w:rsid w:val="008207C5"/>
    <w:rsid w:val="008222EE"/>
    <w:rsid w:val="00824618"/>
    <w:rsid w:val="00826FDA"/>
    <w:rsid w:val="00827FA6"/>
    <w:rsid w:val="00833BAC"/>
    <w:rsid w:val="00834E1F"/>
    <w:rsid w:val="008376AF"/>
    <w:rsid w:val="008377FD"/>
    <w:rsid w:val="00841548"/>
    <w:rsid w:val="00841FA9"/>
    <w:rsid w:val="00842775"/>
    <w:rsid w:val="00844A74"/>
    <w:rsid w:val="00844AC5"/>
    <w:rsid w:val="0084643A"/>
    <w:rsid w:val="00847135"/>
    <w:rsid w:val="00847BB5"/>
    <w:rsid w:val="00850E24"/>
    <w:rsid w:val="00850E7A"/>
    <w:rsid w:val="008516D6"/>
    <w:rsid w:val="00851729"/>
    <w:rsid w:val="00854C19"/>
    <w:rsid w:val="00855379"/>
    <w:rsid w:val="00857B73"/>
    <w:rsid w:val="00857DB8"/>
    <w:rsid w:val="00860CD5"/>
    <w:rsid w:val="00861C9E"/>
    <w:rsid w:val="00861D59"/>
    <w:rsid w:val="008635C5"/>
    <w:rsid w:val="00863732"/>
    <w:rsid w:val="00865BD9"/>
    <w:rsid w:val="00865E38"/>
    <w:rsid w:val="0086634F"/>
    <w:rsid w:val="00866365"/>
    <w:rsid w:val="008666AD"/>
    <w:rsid w:val="008700A6"/>
    <w:rsid w:val="0087118B"/>
    <w:rsid w:val="00871B7A"/>
    <w:rsid w:val="008732A1"/>
    <w:rsid w:val="008732C2"/>
    <w:rsid w:val="0087355A"/>
    <w:rsid w:val="0087428B"/>
    <w:rsid w:val="008761B0"/>
    <w:rsid w:val="00876E02"/>
    <w:rsid w:val="008770A4"/>
    <w:rsid w:val="00877B4F"/>
    <w:rsid w:val="0088746D"/>
    <w:rsid w:val="00890B8A"/>
    <w:rsid w:val="008915B2"/>
    <w:rsid w:val="008941B8"/>
    <w:rsid w:val="00896C0D"/>
    <w:rsid w:val="008971D1"/>
    <w:rsid w:val="008A08A7"/>
    <w:rsid w:val="008A1108"/>
    <w:rsid w:val="008A20BC"/>
    <w:rsid w:val="008A22DD"/>
    <w:rsid w:val="008A2DF5"/>
    <w:rsid w:val="008A4F9C"/>
    <w:rsid w:val="008A5CB6"/>
    <w:rsid w:val="008B0A77"/>
    <w:rsid w:val="008B1271"/>
    <w:rsid w:val="008B332E"/>
    <w:rsid w:val="008B5136"/>
    <w:rsid w:val="008B5819"/>
    <w:rsid w:val="008B5EBB"/>
    <w:rsid w:val="008B64FF"/>
    <w:rsid w:val="008C054A"/>
    <w:rsid w:val="008C1538"/>
    <w:rsid w:val="008C1CF3"/>
    <w:rsid w:val="008C501F"/>
    <w:rsid w:val="008C5826"/>
    <w:rsid w:val="008C5AE1"/>
    <w:rsid w:val="008D0DF9"/>
    <w:rsid w:val="008D11CE"/>
    <w:rsid w:val="008D2620"/>
    <w:rsid w:val="008D5175"/>
    <w:rsid w:val="008D681F"/>
    <w:rsid w:val="008D6E30"/>
    <w:rsid w:val="008D7061"/>
    <w:rsid w:val="008D7739"/>
    <w:rsid w:val="008E228A"/>
    <w:rsid w:val="008E2AB0"/>
    <w:rsid w:val="008E5649"/>
    <w:rsid w:val="008E793E"/>
    <w:rsid w:val="008F038B"/>
    <w:rsid w:val="008F07CB"/>
    <w:rsid w:val="008F17A0"/>
    <w:rsid w:val="008F3918"/>
    <w:rsid w:val="008F48F4"/>
    <w:rsid w:val="008F68A3"/>
    <w:rsid w:val="00900FFD"/>
    <w:rsid w:val="00902047"/>
    <w:rsid w:val="00902AEB"/>
    <w:rsid w:val="00903C20"/>
    <w:rsid w:val="00904612"/>
    <w:rsid w:val="00904D8B"/>
    <w:rsid w:val="00904FFF"/>
    <w:rsid w:val="0090733D"/>
    <w:rsid w:val="00907576"/>
    <w:rsid w:val="00907F46"/>
    <w:rsid w:val="009105AD"/>
    <w:rsid w:val="009213AF"/>
    <w:rsid w:val="0092183E"/>
    <w:rsid w:val="009222D0"/>
    <w:rsid w:val="00922442"/>
    <w:rsid w:val="00923466"/>
    <w:rsid w:val="009259D3"/>
    <w:rsid w:val="00925A4F"/>
    <w:rsid w:val="00927CDC"/>
    <w:rsid w:val="00930F8D"/>
    <w:rsid w:val="00931410"/>
    <w:rsid w:val="00932ED2"/>
    <w:rsid w:val="00933C5D"/>
    <w:rsid w:val="00934440"/>
    <w:rsid w:val="009346C9"/>
    <w:rsid w:val="00937FEA"/>
    <w:rsid w:val="0094006E"/>
    <w:rsid w:val="00940475"/>
    <w:rsid w:val="00942D36"/>
    <w:rsid w:val="009451B7"/>
    <w:rsid w:val="009464CA"/>
    <w:rsid w:val="0094712A"/>
    <w:rsid w:val="0094723D"/>
    <w:rsid w:val="00950800"/>
    <w:rsid w:val="00951DF0"/>
    <w:rsid w:val="00953D3B"/>
    <w:rsid w:val="00957684"/>
    <w:rsid w:val="00957D0D"/>
    <w:rsid w:val="00960092"/>
    <w:rsid w:val="00960C47"/>
    <w:rsid w:val="00963A78"/>
    <w:rsid w:val="00965706"/>
    <w:rsid w:val="00965D06"/>
    <w:rsid w:val="00966BA9"/>
    <w:rsid w:val="009742CE"/>
    <w:rsid w:val="00974BF9"/>
    <w:rsid w:val="00974CC7"/>
    <w:rsid w:val="00981E75"/>
    <w:rsid w:val="00984AB8"/>
    <w:rsid w:val="009916E1"/>
    <w:rsid w:val="009921DC"/>
    <w:rsid w:val="009927E2"/>
    <w:rsid w:val="00995175"/>
    <w:rsid w:val="00995C3C"/>
    <w:rsid w:val="009A2E6E"/>
    <w:rsid w:val="009A41C7"/>
    <w:rsid w:val="009A6E9A"/>
    <w:rsid w:val="009A7432"/>
    <w:rsid w:val="009A76BF"/>
    <w:rsid w:val="009A7F25"/>
    <w:rsid w:val="009B16A5"/>
    <w:rsid w:val="009B18AC"/>
    <w:rsid w:val="009B27D1"/>
    <w:rsid w:val="009B3269"/>
    <w:rsid w:val="009B33AD"/>
    <w:rsid w:val="009B3F39"/>
    <w:rsid w:val="009C04DC"/>
    <w:rsid w:val="009C0552"/>
    <w:rsid w:val="009C0B1A"/>
    <w:rsid w:val="009D1D3A"/>
    <w:rsid w:val="009D2473"/>
    <w:rsid w:val="009D4109"/>
    <w:rsid w:val="009D5BA9"/>
    <w:rsid w:val="009D5CE2"/>
    <w:rsid w:val="009D7068"/>
    <w:rsid w:val="009D7665"/>
    <w:rsid w:val="009D786A"/>
    <w:rsid w:val="009D7D6B"/>
    <w:rsid w:val="009E008B"/>
    <w:rsid w:val="009E0D66"/>
    <w:rsid w:val="009E4CDB"/>
    <w:rsid w:val="009E506C"/>
    <w:rsid w:val="009E5A2B"/>
    <w:rsid w:val="009E6F2C"/>
    <w:rsid w:val="009F1024"/>
    <w:rsid w:val="009F1115"/>
    <w:rsid w:val="009F205E"/>
    <w:rsid w:val="009F3A5C"/>
    <w:rsid w:val="009F3BFB"/>
    <w:rsid w:val="009F5420"/>
    <w:rsid w:val="009F5F4D"/>
    <w:rsid w:val="009F6642"/>
    <w:rsid w:val="00A007D4"/>
    <w:rsid w:val="00A013C5"/>
    <w:rsid w:val="00A01DCD"/>
    <w:rsid w:val="00A02306"/>
    <w:rsid w:val="00A02B0D"/>
    <w:rsid w:val="00A03934"/>
    <w:rsid w:val="00A03C13"/>
    <w:rsid w:val="00A03CC5"/>
    <w:rsid w:val="00A04608"/>
    <w:rsid w:val="00A056F1"/>
    <w:rsid w:val="00A13BEE"/>
    <w:rsid w:val="00A2134F"/>
    <w:rsid w:val="00A26D36"/>
    <w:rsid w:val="00A27784"/>
    <w:rsid w:val="00A27C34"/>
    <w:rsid w:val="00A30E96"/>
    <w:rsid w:val="00A33BF1"/>
    <w:rsid w:val="00A3432D"/>
    <w:rsid w:val="00A3537D"/>
    <w:rsid w:val="00A360C3"/>
    <w:rsid w:val="00A40AB5"/>
    <w:rsid w:val="00A418CF"/>
    <w:rsid w:val="00A445F7"/>
    <w:rsid w:val="00A44794"/>
    <w:rsid w:val="00A44867"/>
    <w:rsid w:val="00A471F3"/>
    <w:rsid w:val="00A507AE"/>
    <w:rsid w:val="00A5429E"/>
    <w:rsid w:val="00A641C0"/>
    <w:rsid w:val="00A648D7"/>
    <w:rsid w:val="00A723D7"/>
    <w:rsid w:val="00A73AC8"/>
    <w:rsid w:val="00A73B58"/>
    <w:rsid w:val="00A76B7B"/>
    <w:rsid w:val="00A76FB3"/>
    <w:rsid w:val="00A778F1"/>
    <w:rsid w:val="00A77BB0"/>
    <w:rsid w:val="00A809EA"/>
    <w:rsid w:val="00A81510"/>
    <w:rsid w:val="00A853EA"/>
    <w:rsid w:val="00A87A6C"/>
    <w:rsid w:val="00A91B46"/>
    <w:rsid w:val="00A91BC4"/>
    <w:rsid w:val="00A91E70"/>
    <w:rsid w:val="00A9229F"/>
    <w:rsid w:val="00A93ECD"/>
    <w:rsid w:val="00A94523"/>
    <w:rsid w:val="00A97A52"/>
    <w:rsid w:val="00AA1E9A"/>
    <w:rsid w:val="00AA2277"/>
    <w:rsid w:val="00AA2A01"/>
    <w:rsid w:val="00AA5E94"/>
    <w:rsid w:val="00AA7004"/>
    <w:rsid w:val="00AB1F24"/>
    <w:rsid w:val="00AB28C8"/>
    <w:rsid w:val="00AB4A19"/>
    <w:rsid w:val="00AB73D9"/>
    <w:rsid w:val="00AC0C98"/>
    <w:rsid w:val="00AC12D9"/>
    <w:rsid w:val="00AC38AD"/>
    <w:rsid w:val="00AC4640"/>
    <w:rsid w:val="00AC46EC"/>
    <w:rsid w:val="00AC7914"/>
    <w:rsid w:val="00AC7BBC"/>
    <w:rsid w:val="00AC7EFB"/>
    <w:rsid w:val="00AD26D3"/>
    <w:rsid w:val="00AD3E2C"/>
    <w:rsid w:val="00AD4020"/>
    <w:rsid w:val="00AD4588"/>
    <w:rsid w:val="00AD4E91"/>
    <w:rsid w:val="00AE2971"/>
    <w:rsid w:val="00AE3A02"/>
    <w:rsid w:val="00AE4255"/>
    <w:rsid w:val="00AE48BA"/>
    <w:rsid w:val="00AE5F5B"/>
    <w:rsid w:val="00AF0FE3"/>
    <w:rsid w:val="00AF15FE"/>
    <w:rsid w:val="00AF2BEB"/>
    <w:rsid w:val="00AF3AE3"/>
    <w:rsid w:val="00AF6CD6"/>
    <w:rsid w:val="00AF6E85"/>
    <w:rsid w:val="00AF7576"/>
    <w:rsid w:val="00AF7855"/>
    <w:rsid w:val="00B0121B"/>
    <w:rsid w:val="00B03FF1"/>
    <w:rsid w:val="00B040CA"/>
    <w:rsid w:val="00B044C0"/>
    <w:rsid w:val="00B05670"/>
    <w:rsid w:val="00B07CF8"/>
    <w:rsid w:val="00B07E46"/>
    <w:rsid w:val="00B1494E"/>
    <w:rsid w:val="00B14CE8"/>
    <w:rsid w:val="00B226F2"/>
    <w:rsid w:val="00B2275A"/>
    <w:rsid w:val="00B256DE"/>
    <w:rsid w:val="00B2576C"/>
    <w:rsid w:val="00B325EF"/>
    <w:rsid w:val="00B32FCF"/>
    <w:rsid w:val="00B32FDE"/>
    <w:rsid w:val="00B33BC7"/>
    <w:rsid w:val="00B3671C"/>
    <w:rsid w:val="00B37674"/>
    <w:rsid w:val="00B44829"/>
    <w:rsid w:val="00B50B9A"/>
    <w:rsid w:val="00B51F8D"/>
    <w:rsid w:val="00B55BD5"/>
    <w:rsid w:val="00B57628"/>
    <w:rsid w:val="00B60C68"/>
    <w:rsid w:val="00B6295E"/>
    <w:rsid w:val="00B636EF"/>
    <w:rsid w:val="00B64F6D"/>
    <w:rsid w:val="00B65495"/>
    <w:rsid w:val="00B662C1"/>
    <w:rsid w:val="00B6693D"/>
    <w:rsid w:val="00B67071"/>
    <w:rsid w:val="00B70C6A"/>
    <w:rsid w:val="00B73D3B"/>
    <w:rsid w:val="00B76F2A"/>
    <w:rsid w:val="00B77027"/>
    <w:rsid w:val="00B771D0"/>
    <w:rsid w:val="00B77823"/>
    <w:rsid w:val="00B80683"/>
    <w:rsid w:val="00B80BA9"/>
    <w:rsid w:val="00B80C0B"/>
    <w:rsid w:val="00B81537"/>
    <w:rsid w:val="00B826B5"/>
    <w:rsid w:val="00B836D8"/>
    <w:rsid w:val="00B84272"/>
    <w:rsid w:val="00B84EB0"/>
    <w:rsid w:val="00B85D30"/>
    <w:rsid w:val="00B85F8B"/>
    <w:rsid w:val="00B86872"/>
    <w:rsid w:val="00B86DAD"/>
    <w:rsid w:val="00B87E38"/>
    <w:rsid w:val="00B90161"/>
    <w:rsid w:val="00B903A5"/>
    <w:rsid w:val="00B916CE"/>
    <w:rsid w:val="00B927F7"/>
    <w:rsid w:val="00B93EB3"/>
    <w:rsid w:val="00B9426F"/>
    <w:rsid w:val="00B959B6"/>
    <w:rsid w:val="00B95C44"/>
    <w:rsid w:val="00B96495"/>
    <w:rsid w:val="00B96DD3"/>
    <w:rsid w:val="00B974BE"/>
    <w:rsid w:val="00B9763E"/>
    <w:rsid w:val="00B97DBC"/>
    <w:rsid w:val="00BA06C9"/>
    <w:rsid w:val="00BA2F72"/>
    <w:rsid w:val="00BA3895"/>
    <w:rsid w:val="00BA4973"/>
    <w:rsid w:val="00BA6742"/>
    <w:rsid w:val="00BA6A7F"/>
    <w:rsid w:val="00BB1520"/>
    <w:rsid w:val="00BB1FA2"/>
    <w:rsid w:val="00BB465C"/>
    <w:rsid w:val="00BC09C7"/>
    <w:rsid w:val="00BC2805"/>
    <w:rsid w:val="00BC3877"/>
    <w:rsid w:val="00BC3A1E"/>
    <w:rsid w:val="00BC4B8F"/>
    <w:rsid w:val="00BC5554"/>
    <w:rsid w:val="00BC5AC3"/>
    <w:rsid w:val="00BC713E"/>
    <w:rsid w:val="00BD0967"/>
    <w:rsid w:val="00BD1BE6"/>
    <w:rsid w:val="00BD3A68"/>
    <w:rsid w:val="00BD435A"/>
    <w:rsid w:val="00BD5003"/>
    <w:rsid w:val="00BD56D2"/>
    <w:rsid w:val="00BD71D7"/>
    <w:rsid w:val="00BE1A77"/>
    <w:rsid w:val="00BE1D86"/>
    <w:rsid w:val="00BE3251"/>
    <w:rsid w:val="00BE3FEE"/>
    <w:rsid w:val="00BF0C54"/>
    <w:rsid w:val="00BF328D"/>
    <w:rsid w:val="00BF4AB7"/>
    <w:rsid w:val="00BF634A"/>
    <w:rsid w:val="00C0267A"/>
    <w:rsid w:val="00C03E00"/>
    <w:rsid w:val="00C04360"/>
    <w:rsid w:val="00C049FB"/>
    <w:rsid w:val="00C04E76"/>
    <w:rsid w:val="00C052D2"/>
    <w:rsid w:val="00C05851"/>
    <w:rsid w:val="00C05CBF"/>
    <w:rsid w:val="00C12FC2"/>
    <w:rsid w:val="00C16A6A"/>
    <w:rsid w:val="00C2384C"/>
    <w:rsid w:val="00C2445A"/>
    <w:rsid w:val="00C260A9"/>
    <w:rsid w:val="00C30D44"/>
    <w:rsid w:val="00C30F81"/>
    <w:rsid w:val="00C35D50"/>
    <w:rsid w:val="00C37DD1"/>
    <w:rsid w:val="00C406DC"/>
    <w:rsid w:val="00C40773"/>
    <w:rsid w:val="00C442C0"/>
    <w:rsid w:val="00C44626"/>
    <w:rsid w:val="00C44919"/>
    <w:rsid w:val="00C456ED"/>
    <w:rsid w:val="00C457D5"/>
    <w:rsid w:val="00C4670E"/>
    <w:rsid w:val="00C478AD"/>
    <w:rsid w:val="00C50303"/>
    <w:rsid w:val="00C5253A"/>
    <w:rsid w:val="00C53BD6"/>
    <w:rsid w:val="00C55BC7"/>
    <w:rsid w:val="00C55F3A"/>
    <w:rsid w:val="00C605C5"/>
    <w:rsid w:val="00C623B8"/>
    <w:rsid w:val="00C62900"/>
    <w:rsid w:val="00C65831"/>
    <w:rsid w:val="00C715E3"/>
    <w:rsid w:val="00C74AD0"/>
    <w:rsid w:val="00C76354"/>
    <w:rsid w:val="00C80B35"/>
    <w:rsid w:val="00C81E5C"/>
    <w:rsid w:val="00C82E85"/>
    <w:rsid w:val="00C83AB2"/>
    <w:rsid w:val="00C83F16"/>
    <w:rsid w:val="00C86735"/>
    <w:rsid w:val="00C8686E"/>
    <w:rsid w:val="00C91269"/>
    <w:rsid w:val="00C91314"/>
    <w:rsid w:val="00C91A44"/>
    <w:rsid w:val="00C92AE6"/>
    <w:rsid w:val="00C92C5D"/>
    <w:rsid w:val="00C97BAD"/>
    <w:rsid w:val="00CA01C2"/>
    <w:rsid w:val="00CA17C4"/>
    <w:rsid w:val="00CA494C"/>
    <w:rsid w:val="00CA4E0A"/>
    <w:rsid w:val="00CA7D85"/>
    <w:rsid w:val="00CB0B27"/>
    <w:rsid w:val="00CB177A"/>
    <w:rsid w:val="00CB18D5"/>
    <w:rsid w:val="00CB442E"/>
    <w:rsid w:val="00CB51A4"/>
    <w:rsid w:val="00CB69CA"/>
    <w:rsid w:val="00CB7234"/>
    <w:rsid w:val="00CC177A"/>
    <w:rsid w:val="00CC3A54"/>
    <w:rsid w:val="00CC3F0F"/>
    <w:rsid w:val="00CD41D5"/>
    <w:rsid w:val="00CD49BE"/>
    <w:rsid w:val="00CD689B"/>
    <w:rsid w:val="00CD716B"/>
    <w:rsid w:val="00CD737E"/>
    <w:rsid w:val="00CD7C89"/>
    <w:rsid w:val="00CE1236"/>
    <w:rsid w:val="00CE3C46"/>
    <w:rsid w:val="00CE53F1"/>
    <w:rsid w:val="00CE5C3F"/>
    <w:rsid w:val="00CE7F0B"/>
    <w:rsid w:val="00CF0427"/>
    <w:rsid w:val="00CF0995"/>
    <w:rsid w:val="00CF1996"/>
    <w:rsid w:val="00CF2230"/>
    <w:rsid w:val="00CF2524"/>
    <w:rsid w:val="00CF3065"/>
    <w:rsid w:val="00CF3BCC"/>
    <w:rsid w:val="00CF4E26"/>
    <w:rsid w:val="00D00FD7"/>
    <w:rsid w:val="00D01066"/>
    <w:rsid w:val="00D0267F"/>
    <w:rsid w:val="00D02BEE"/>
    <w:rsid w:val="00D036F2"/>
    <w:rsid w:val="00D04744"/>
    <w:rsid w:val="00D07533"/>
    <w:rsid w:val="00D12300"/>
    <w:rsid w:val="00D136AE"/>
    <w:rsid w:val="00D14D74"/>
    <w:rsid w:val="00D16036"/>
    <w:rsid w:val="00D17C7A"/>
    <w:rsid w:val="00D17CE8"/>
    <w:rsid w:val="00D20104"/>
    <w:rsid w:val="00D216F6"/>
    <w:rsid w:val="00D22F2E"/>
    <w:rsid w:val="00D251D3"/>
    <w:rsid w:val="00D25494"/>
    <w:rsid w:val="00D26723"/>
    <w:rsid w:val="00D354D2"/>
    <w:rsid w:val="00D370CB"/>
    <w:rsid w:val="00D400BF"/>
    <w:rsid w:val="00D40A87"/>
    <w:rsid w:val="00D41659"/>
    <w:rsid w:val="00D4238C"/>
    <w:rsid w:val="00D4306F"/>
    <w:rsid w:val="00D434DE"/>
    <w:rsid w:val="00D44A2F"/>
    <w:rsid w:val="00D515EE"/>
    <w:rsid w:val="00D530DB"/>
    <w:rsid w:val="00D54B44"/>
    <w:rsid w:val="00D55542"/>
    <w:rsid w:val="00D55E55"/>
    <w:rsid w:val="00D56D01"/>
    <w:rsid w:val="00D575BD"/>
    <w:rsid w:val="00D6494D"/>
    <w:rsid w:val="00D663D8"/>
    <w:rsid w:val="00D66980"/>
    <w:rsid w:val="00D700C7"/>
    <w:rsid w:val="00D741A0"/>
    <w:rsid w:val="00D76170"/>
    <w:rsid w:val="00D765A9"/>
    <w:rsid w:val="00D801AF"/>
    <w:rsid w:val="00D80746"/>
    <w:rsid w:val="00D8296F"/>
    <w:rsid w:val="00D839EC"/>
    <w:rsid w:val="00D84393"/>
    <w:rsid w:val="00D86D7F"/>
    <w:rsid w:val="00D937E7"/>
    <w:rsid w:val="00D97FAF"/>
    <w:rsid w:val="00DA050A"/>
    <w:rsid w:val="00DA0C38"/>
    <w:rsid w:val="00DA5221"/>
    <w:rsid w:val="00DA7093"/>
    <w:rsid w:val="00DB3D6E"/>
    <w:rsid w:val="00DB67C0"/>
    <w:rsid w:val="00DC328D"/>
    <w:rsid w:val="00DC45C2"/>
    <w:rsid w:val="00DC53CD"/>
    <w:rsid w:val="00DC70EA"/>
    <w:rsid w:val="00DC7726"/>
    <w:rsid w:val="00DD3D69"/>
    <w:rsid w:val="00DE0DC4"/>
    <w:rsid w:val="00DE1161"/>
    <w:rsid w:val="00DE1E45"/>
    <w:rsid w:val="00DE48A1"/>
    <w:rsid w:val="00DE580F"/>
    <w:rsid w:val="00DE618A"/>
    <w:rsid w:val="00DE6364"/>
    <w:rsid w:val="00DE637E"/>
    <w:rsid w:val="00DE7C27"/>
    <w:rsid w:val="00DF5092"/>
    <w:rsid w:val="00DF6999"/>
    <w:rsid w:val="00E000F7"/>
    <w:rsid w:val="00E004CF"/>
    <w:rsid w:val="00E0531C"/>
    <w:rsid w:val="00E0665C"/>
    <w:rsid w:val="00E06E9A"/>
    <w:rsid w:val="00E07521"/>
    <w:rsid w:val="00E11E60"/>
    <w:rsid w:val="00E15EB8"/>
    <w:rsid w:val="00E16002"/>
    <w:rsid w:val="00E163BB"/>
    <w:rsid w:val="00E209C2"/>
    <w:rsid w:val="00E20D65"/>
    <w:rsid w:val="00E20D82"/>
    <w:rsid w:val="00E2318C"/>
    <w:rsid w:val="00E24343"/>
    <w:rsid w:val="00E332AA"/>
    <w:rsid w:val="00E34199"/>
    <w:rsid w:val="00E35260"/>
    <w:rsid w:val="00E367D1"/>
    <w:rsid w:val="00E36A66"/>
    <w:rsid w:val="00E3789A"/>
    <w:rsid w:val="00E3791D"/>
    <w:rsid w:val="00E413A5"/>
    <w:rsid w:val="00E416F0"/>
    <w:rsid w:val="00E42BB9"/>
    <w:rsid w:val="00E43093"/>
    <w:rsid w:val="00E457CD"/>
    <w:rsid w:val="00E461AA"/>
    <w:rsid w:val="00E4631C"/>
    <w:rsid w:val="00E46B3D"/>
    <w:rsid w:val="00E47DAA"/>
    <w:rsid w:val="00E515AB"/>
    <w:rsid w:val="00E53CA4"/>
    <w:rsid w:val="00E53E4C"/>
    <w:rsid w:val="00E53FCE"/>
    <w:rsid w:val="00E55BC2"/>
    <w:rsid w:val="00E56132"/>
    <w:rsid w:val="00E65E1F"/>
    <w:rsid w:val="00E67427"/>
    <w:rsid w:val="00E71D83"/>
    <w:rsid w:val="00E720CD"/>
    <w:rsid w:val="00E73281"/>
    <w:rsid w:val="00E73E80"/>
    <w:rsid w:val="00E74CD6"/>
    <w:rsid w:val="00E755BB"/>
    <w:rsid w:val="00E8032C"/>
    <w:rsid w:val="00E80587"/>
    <w:rsid w:val="00E84105"/>
    <w:rsid w:val="00E86E2F"/>
    <w:rsid w:val="00E90A2D"/>
    <w:rsid w:val="00E90C88"/>
    <w:rsid w:val="00E90D86"/>
    <w:rsid w:val="00E90DEA"/>
    <w:rsid w:val="00E923BB"/>
    <w:rsid w:val="00E9414B"/>
    <w:rsid w:val="00E955CD"/>
    <w:rsid w:val="00E957DE"/>
    <w:rsid w:val="00E95AAF"/>
    <w:rsid w:val="00EA00E4"/>
    <w:rsid w:val="00EA371E"/>
    <w:rsid w:val="00EA6FA6"/>
    <w:rsid w:val="00EA7F44"/>
    <w:rsid w:val="00EB0E7D"/>
    <w:rsid w:val="00EB13DF"/>
    <w:rsid w:val="00EB1ED9"/>
    <w:rsid w:val="00EB3E8D"/>
    <w:rsid w:val="00EC0F52"/>
    <w:rsid w:val="00EC3137"/>
    <w:rsid w:val="00EC35D2"/>
    <w:rsid w:val="00EC51ED"/>
    <w:rsid w:val="00EC6281"/>
    <w:rsid w:val="00EC7774"/>
    <w:rsid w:val="00ED0ACD"/>
    <w:rsid w:val="00ED10BF"/>
    <w:rsid w:val="00ED1918"/>
    <w:rsid w:val="00ED271D"/>
    <w:rsid w:val="00ED3641"/>
    <w:rsid w:val="00ED3D1D"/>
    <w:rsid w:val="00ED6A78"/>
    <w:rsid w:val="00EE2233"/>
    <w:rsid w:val="00EE469C"/>
    <w:rsid w:val="00EE4B21"/>
    <w:rsid w:val="00EF0400"/>
    <w:rsid w:val="00EF04A2"/>
    <w:rsid w:val="00EF0ADB"/>
    <w:rsid w:val="00EF15DF"/>
    <w:rsid w:val="00EF1DFB"/>
    <w:rsid w:val="00EF4C8E"/>
    <w:rsid w:val="00EF6804"/>
    <w:rsid w:val="00EF791C"/>
    <w:rsid w:val="00F01696"/>
    <w:rsid w:val="00F01FF1"/>
    <w:rsid w:val="00F020F3"/>
    <w:rsid w:val="00F039C2"/>
    <w:rsid w:val="00F03F46"/>
    <w:rsid w:val="00F045D8"/>
    <w:rsid w:val="00F063D1"/>
    <w:rsid w:val="00F0644F"/>
    <w:rsid w:val="00F06B83"/>
    <w:rsid w:val="00F07AA5"/>
    <w:rsid w:val="00F12B75"/>
    <w:rsid w:val="00F154FB"/>
    <w:rsid w:val="00F15C89"/>
    <w:rsid w:val="00F168EB"/>
    <w:rsid w:val="00F204F5"/>
    <w:rsid w:val="00F21553"/>
    <w:rsid w:val="00F22740"/>
    <w:rsid w:val="00F24A5C"/>
    <w:rsid w:val="00F262C4"/>
    <w:rsid w:val="00F3149A"/>
    <w:rsid w:val="00F32125"/>
    <w:rsid w:val="00F32B85"/>
    <w:rsid w:val="00F33497"/>
    <w:rsid w:val="00F3524C"/>
    <w:rsid w:val="00F35624"/>
    <w:rsid w:val="00F3744F"/>
    <w:rsid w:val="00F37D63"/>
    <w:rsid w:val="00F37DC4"/>
    <w:rsid w:val="00F416B5"/>
    <w:rsid w:val="00F41D05"/>
    <w:rsid w:val="00F42B97"/>
    <w:rsid w:val="00F47EF7"/>
    <w:rsid w:val="00F5357F"/>
    <w:rsid w:val="00F53E98"/>
    <w:rsid w:val="00F56E07"/>
    <w:rsid w:val="00F578B3"/>
    <w:rsid w:val="00F57F13"/>
    <w:rsid w:val="00F60538"/>
    <w:rsid w:val="00F6067B"/>
    <w:rsid w:val="00F60EDF"/>
    <w:rsid w:val="00F62005"/>
    <w:rsid w:val="00F627AD"/>
    <w:rsid w:val="00F65B6D"/>
    <w:rsid w:val="00F706D8"/>
    <w:rsid w:val="00F71568"/>
    <w:rsid w:val="00F7182A"/>
    <w:rsid w:val="00F72129"/>
    <w:rsid w:val="00F752AD"/>
    <w:rsid w:val="00F7541E"/>
    <w:rsid w:val="00F77591"/>
    <w:rsid w:val="00F77DAD"/>
    <w:rsid w:val="00F805FC"/>
    <w:rsid w:val="00F811C6"/>
    <w:rsid w:val="00F827E9"/>
    <w:rsid w:val="00F83C78"/>
    <w:rsid w:val="00F8436E"/>
    <w:rsid w:val="00F86551"/>
    <w:rsid w:val="00F86697"/>
    <w:rsid w:val="00F9100C"/>
    <w:rsid w:val="00F92565"/>
    <w:rsid w:val="00F950D9"/>
    <w:rsid w:val="00F96638"/>
    <w:rsid w:val="00F96F98"/>
    <w:rsid w:val="00F97106"/>
    <w:rsid w:val="00F97A08"/>
    <w:rsid w:val="00FA0563"/>
    <w:rsid w:val="00FA12AB"/>
    <w:rsid w:val="00FA3320"/>
    <w:rsid w:val="00FA3B94"/>
    <w:rsid w:val="00FA4EF7"/>
    <w:rsid w:val="00FA5191"/>
    <w:rsid w:val="00FA5B12"/>
    <w:rsid w:val="00FA71A1"/>
    <w:rsid w:val="00FA7B18"/>
    <w:rsid w:val="00FB21C5"/>
    <w:rsid w:val="00FB2226"/>
    <w:rsid w:val="00FB3821"/>
    <w:rsid w:val="00FB4A11"/>
    <w:rsid w:val="00FB5853"/>
    <w:rsid w:val="00FC02B0"/>
    <w:rsid w:val="00FC12FF"/>
    <w:rsid w:val="00FC1327"/>
    <w:rsid w:val="00FC1924"/>
    <w:rsid w:val="00FC306C"/>
    <w:rsid w:val="00FC3385"/>
    <w:rsid w:val="00FC4966"/>
    <w:rsid w:val="00FC5612"/>
    <w:rsid w:val="00FC5C14"/>
    <w:rsid w:val="00FC683C"/>
    <w:rsid w:val="00FC7443"/>
    <w:rsid w:val="00FC7D48"/>
    <w:rsid w:val="00FD0579"/>
    <w:rsid w:val="00FD31E4"/>
    <w:rsid w:val="00FD3F67"/>
    <w:rsid w:val="00FD6422"/>
    <w:rsid w:val="00FD6872"/>
    <w:rsid w:val="00FE09B1"/>
    <w:rsid w:val="00FE0B03"/>
    <w:rsid w:val="00FE1284"/>
    <w:rsid w:val="00FE32DB"/>
    <w:rsid w:val="00FE60B6"/>
    <w:rsid w:val="00FE6DAC"/>
    <w:rsid w:val="00FE762F"/>
    <w:rsid w:val="00FF0B31"/>
    <w:rsid w:val="00FF118C"/>
    <w:rsid w:val="00FF24A2"/>
    <w:rsid w:val="00FF351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449"/>
  </w:style>
  <w:style w:type="paragraph" w:styleId="Heading1">
    <w:name w:val="heading 1"/>
    <w:basedOn w:val="Normal"/>
    <w:next w:val="Normal"/>
    <w:link w:val="Heading1Char"/>
    <w:uiPriority w:val="9"/>
    <w:qFormat/>
    <w:rsid w:val="008C582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C582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2">
    <w:name w:val="1AutoList2"/>
    <w:rsid w:val="007E2449"/>
    <w:pPr>
      <w:tabs>
        <w:tab w:val="left" w:pos="720"/>
      </w:tabs>
      <w:ind w:left="720" w:hanging="720"/>
    </w:pPr>
    <w:rPr>
      <w:rFonts w:ascii="Courier 10cpi" w:hAnsi="Courier 10cpi"/>
      <w:snapToGrid w:val="0"/>
      <w:sz w:val="24"/>
    </w:rPr>
  </w:style>
  <w:style w:type="character" w:styleId="PageNumber">
    <w:name w:val="page number"/>
    <w:basedOn w:val="DefaultParagraphFont"/>
    <w:rsid w:val="007E2449"/>
  </w:style>
  <w:style w:type="paragraph" w:styleId="Footer">
    <w:name w:val="footer"/>
    <w:basedOn w:val="Normal"/>
    <w:link w:val="FooterChar"/>
    <w:uiPriority w:val="99"/>
    <w:rsid w:val="007E2449"/>
    <w:pPr>
      <w:tabs>
        <w:tab w:val="center" w:pos="4320"/>
        <w:tab w:val="right" w:pos="8640"/>
      </w:tabs>
    </w:pPr>
    <w:rPr>
      <w:rFonts w:ascii="Courier 10cpi" w:hAnsi="Courier 10cpi"/>
      <w:snapToGrid w:val="0"/>
    </w:rPr>
  </w:style>
  <w:style w:type="paragraph" w:customStyle="1" w:styleId="H3">
    <w:name w:val="H3"/>
    <w:basedOn w:val="Normal"/>
    <w:next w:val="Normal"/>
    <w:rsid w:val="007E2449"/>
    <w:pPr>
      <w:keepNext/>
      <w:spacing w:before="100" w:after="100"/>
      <w:outlineLvl w:val="3"/>
    </w:pPr>
    <w:rPr>
      <w:b/>
      <w:snapToGrid w:val="0"/>
      <w:sz w:val="28"/>
    </w:rPr>
  </w:style>
  <w:style w:type="character" w:styleId="Emphasis">
    <w:name w:val="Emphasis"/>
    <w:basedOn w:val="DefaultParagraphFont"/>
    <w:qFormat/>
    <w:rsid w:val="007E2449"/>
    <w:rPr>
      <w:i/>
    </w:rPr>
  </w:style>
  <w:style w:type="character" w:styleId="Strong">
    <w:name w:val="Strong"/>
    <w:basedOn w:val="DefaultParagraphFont"/>
    <w:qFormat/>
    <w:rsid w:val="007E2449"/>
    <w:rPr>
      <w:b/>
    </w:rPr>
  </w:style>
  <w:style w:type="paragraph" w:styleId="BalloonText">
    <w:name w:val="Balloon Text"/>
    <w:basedOn w:val="Normal"/>
    <w:semiHidden/>
    <w:rsid w:val="007E2449"/>
    <w:rPr>
      <w:rFonts w:ascii="Tahoma" w:hAnsi="Tahoma" w:cs="Tahoma"/>
      <w:sz w:val="16"/>
      <w:szCs w:val="16"/>
    </w:rPr>
  </w:style>
  <w:style w:type="character" w:styleId="CommentReference">
    <w:name w:val="annotation reference"/>
    <w:basedOn w:val="DefaultParagraphFont"/>
    <w:semiHidden/>
    <w:rsid w:val="007E2449"/>
    <w:rPr>
      <w:sz w:val="16"/>
      <w:szCs w:val="16"/>
    </w:rPr>
  </w:style>
  <w:style w:type="paragraph" w:styleId="CommentText">
    <w:name w:val="annotation text"/>
    <w:basedOn w:val="Normal"/>
    <w:link w:val="CommentTextChar"/>
    <w:uiPriority w:val="99"/>
    <w:semiHidden/>
    <w:rsid w:val="007E2449"/>
  </w:style>
  <w:style w:type="paragraph" w:styleId="CommentSubject">
    <w:name w:val="annotation subject"/>
    <w:basedOn w:val="CommentText"/>
    <w:next w:val="CommentText"/>
    <w:semiHidden/>
    <w:rsid w:val="007E2449"/>
    <w:rPr>
      <w:b/>
      <w:bCs/>
    </w:rPr>
  </w:style>
  <w:style w:type="paragraph" w:styleId="Header">
    <w:name w:val="header"/>
    <w:basedOn w:val="Normal"/>
    <w:rsid w:val="007E2449"/>
    <w:pPr>
      <w:tabs>
        <w:tab w:val="center" w:pos="4320"/>
        <w:tab w:val="right" w:pos="8640"/>
      </w:tabs>
    </w:pPr>
  </w:style>
  <w:style w:type="character" w:styleId="Hyperlink">
    <w:name w:val="Hyperlink"/>
    <w:basedOn w:val="DefaultParagraphFont"/>
    <w:rsid w:val="00801D71"/>
    <w:rPr>
      <w:color w:val="0000FF"/>
      <w:u w:val="single"/>
    </w:rPr>
  </w:style>
  <w:style w:type="paragraph" w:styleId="NormalWeb">
    <w:name w:val="Normal (Web)"/>
    <w:basedOn w:val="Normal"/>
    <w:uiPriority w:val="99"/>
    <w:rsid w:val="007E2449"/>
    <w:pPr>
      <w:spacing w:before="100" w:beforeAutospacing="1" w:after="100" w:afterAutospacing="1"/>
    </w:pPr>
    <w:rPr>
      <w:sz w:val="24"/>
      <w:szCs w:val="24"/>
    </w:rPr>
  </w:style>
  <w:style w:type="character" w:styleId="FollowedHyperlink">
    <w:name w:val="FollowedHyperlink"/>
    <w:basedOn w:val="DefaultParagraphFont"/>
    <w:rsid w:val="00801D71"/>
    <w:rPr>
      <w:color w:val="800080"/>
      <w:u w:val="single"/>
    </w:rPr>
  </w:style>
  <w:style w:type="table" w:styleId="TableGrid">
    <w:name w:val="Table Grid"/>
    <w:basedOn w:val="TableNormal"/>
    <w:rsid w:val="00127E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C92AE6"/>
  </w:style>
  <w:style w:type="character" w:styleId="FootnoteReference">
    <w:name w:val="footnote reference"/>
    <w:basedOn w:val="DefaultParagraphFont"/>
    <w:semiHidden/>
    <w:rsid w:val="00C92AE6"/>
    <w:rPr>
      <w:vertAlign w:val="superscript"/>
    </w:rPr>
  </w:style>
  <w:style w:type="table" w:customStyle="1" w:styleId="MediumShading1-Accent11">
    <w:name w:val="Medium Shading 1 - Accent 11"/>
    <w:basedOn w:val="TableNormal"/>
    <w:uiPriority w:val="63"/>
    <w:rsid w:val="0068598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ListParagraph">
    <w:name w:val="List Paragraph"/>
    <w:basedOn w:val="Normal"/>
    <w:uiPriority w:val="34"/>
    <w:qFormat/>
    <w:rsid w:val="00131093"/>
    <w:pPr>
      <w:ind w:left="720"/>
      <w:contextualSpacing/>
    </w:pPr>
  </w:style>
  <w:style w:type="character" w:customStyle="1" w:styleId="Heading1Char">
    <w:name w:val="Heading 1 Char"/>
    <w:basedOn w:val="DefaultParagraphFont"/>
    <w:link w:val="Heading1"/>
    <w:uiPriority w:val="9"/>
    <w:rsid w:val="008C5826"/>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8C5826"/>
    <w:pPr>
      <w:spacing w:line="276" w:lineRule="auto"/>
      <w:outlineLvl w:val="9"/>
    </w:pPr>
  </w:style>
  <w:style w:type="character" w:customStyle="1" w:styleId="Heading2Char">
    <w:name w:val="Heading 2 Char"/>
    <w:basedOn w:val="DefaultParagraphFont"/>
    <w:link w:val="Heading2"/>
    <w:uiPriority w:val="9"/>
    <w:rsid w:val="008C5826"/>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8C5826"/>
    <w:pPr>
      <w:spacing w:after="100"/>
    </w:pPr>
  </w:style>
  <w:style w:type="paragraph" w:styleId="TOC2">
    <w:name w:val="toc 2"/>
    <w:basedOn w:val="Normal"/>
    <w:next w:val="Normal"/>
    <w:autoRedefine/>
    <w:uiPriority w:val="39"/>
    <w:unhideWhenUsed/>
    <w:rsid w:val="008C5826"/>
    <w:pPr>
      <w:spacing w:after="100"/>
      <w:ind w:left="200"/>
    </w:pPr>
  </w:style>
  <w:style w:type="paragraph" w:customStyle="1" w:styleId="TT-TableTitle">
    <w:name w:val="TT-Table Title"/>
    <w:rsid w:val="001A3607"/>
    <w:pPr>
      <w:tabs>
        <w:tab w:val="left" w:pos="1152"/>
      </w:tabs>
      <w:spacing w:line="240" w:lineRule="atLeast"/>
      <w:ind w:left="1152" w:hanging="1152"/>
    </w:pPr>
    <w:rPr>
      <w:sz w:val="22"/>
    </w:rPr>
  </w:style>
  <w:style w:type="character" w:customStyle="1" w:styleId="FootnoteTextChar">
    <w:name w:val="Footnote Text Char"/>
    <w:basedOn w:val="DefaultParagraphFont"/>
    <w:link w:val="FootnoteText"/>
    <w:rsid w:val="00E332AA"/>
  </w:style>
  <w:style w:type="paragraph" w:styleId="Revision">
    <w:name w:val="Revision"/>
    <w:hidden/>
    <w:uiPriority w:val="99"/>
    <w:semiHidden/>
    <w:rsid w:val="00C049FB"/>
  </w:style>
  <w:style w:type="paragraph" w:customStyle="1" w:styleId="N0-FlLftBullet">
    <w:name w:val="N0-Fl Lft Bullet"/>
    <w:basedOn w:val="Normal"/>
    <w:rsid w:val="00100DDD"/>
    <w:pPr>
      <w:spacing w:after="240" w:line="240" w:lineRule="atLeast"/>
      <w:ind w:left="576" w:hanging="576"/>
    </w:pPr>
    <w:rPr>
      <w:rFonts w:ascii="Garamond" w:eastAsiaTheme="minorHAnsi" w:hAnsi="Garamond"/>
      <w:sz w:val="24"/>
      <w:szCs w:val="24"/>
    </w:rPr>
  </w:style>
  <w:style w:type="character" w:customStyle="1" w:styleId="CommentTextChar">
    <w:name w:val="Comment Text Char"/>
    <w:basedOn w:val="DefaultParagraphFont"/>
    <w:link w:val="CommentText"/>
    <w:uiPriority w:val="99"/>
    <w:semiHidden/>
    <w:locked/>
    <w:rsid w:val="006F7766"/>
  </w:style>
  <w:style w:type="character" w:customStyle="1" w:styleId="FooterChar">
    <w:name w:val="Footer Char"/>
    <w:basedOn w:val="DefaultParagraphFont"/>
    <w:link w:val="Footer"/>
    <w:uiPriority w:val="99"/>
    <w:rsid w:val="00DC7726"/>
    <w:rPr>
      <w:rFonts w:ascii="Courier 10cpi" w:hAnsi="Courier 10cpi"/>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449"/>
  </w:style>
  <w:style w:type="paragraph" w:styleId="Heading1">
    <w:name w:val="heading 1"/>
    <w:basedOn w:val="Normal"/>
    <w:next w:val="Normal"/>
    <w:link w:val="Heading1Char"/>
    <w:uiPriority w:val="9"/>
    <w:qFormat/>
    <w:rsid w:val="008C582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C582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2">
    <w:name w:val="1AutoList2"/>
    <w:rsid w:val="007E2449"/>
    <w:pPr>
      <w:tabs>
        <w:tab w:val="left" w:pos="720"/>
      </w:tabs>
      <w:ind w:left="720" w:hanging="720"/>
    </w:pPr>
    <w:rPr>
      <w:rFonts w:ascii="Courier 10cpi" w:hAnsi="Courier 10cpi"/>
      <w:snapToGrid w:val="0"/>
      <w:sz w:val="24"/>
    </w:rPr>
  </w:style>
  <w:style w:type="character" w:styleId="PageNumber">
    <w:name w:val="page number"/>
    <w:basedOn w:val="DefaultParagraphFont"/>
    <w:rsid w:val="007E2449"/>
  </w:style>
  <w:style w:type="paragraph" w:styleId="Footer">
    <w:name w:val="footer"/>
    <w:basedOn w:val="Normal"/>
    <w:link w:val="FooterChar"/>
    <w:uiPriority w:val="99"/>
    <w:rsid w:val="007E2449"/>
    <w:pPr>
      <w:tabs>
        <w:tab w:val="center" w:pos="4320"/>
        <w:tab w:val="right" w:pos="8640"/>
      </w:tabs>
    </w:pPr>
    <w:rPr>
      <w:rFonts w:ascii="Courier 10cpi" w:hAnsi="Courier 10cpi"/>
      <w:snapToGrid w:val="0"/>
    </w:rPr>
  </w:style>
  <w:style w:type="paragraph" w:customStyle="1" w:styleId="H3">
    <w:name w:val="H3"/>
    <w:basedOn w:val="Normal"/>
    <w:next w:val="Normal"/>
    <w:rsid w:val="007E2449"/>
    <w:pPr>
      <w:keepNext/>
      <w:spacing w:before="100" w:after="100"/>
      <w:outlineLvl w:val="3"/>
    </w:pPr>
    <w:rPr>
      <w:b/>
      <w:snapToGrid w:val="0"/>
      <w:sz w:val="28"/>
    </w:rPr>
  </w:style>
  <w:style w:type="character" w:styleId="Emphasis">
    <w:name w:val="Emphasis"/>
    <w:basedOn w:val="DefaultParagraphFont"/>
    <w:qFormat/>
    <w:rsid w:val="007E2449"/>
    <w:rPr>
      <w:i/>
    </w:rPr>
  </w:style>
  <w:style w:type="character" w:styleId="Strong">
    <w:name w:val="Strong"/>
    <w:basedOn w:val="DefaultParagraphFont"/>
    <w:qFormat/>
    <w:rsid w:val="007E2449"/>
    <w:rPr>
      <w:b/>
    </w:rPr>
  </w:style>
  <w:style w:type="paragraph" w:styleId="BalloonText">
    <w:name w:val="Balloon Text"/>
    <w:basedOn w:val="Normal"/>
    <w:semiHidden/>
    <w:rsid w:val="007E2449"/>
    <w:rPr>
      <w:rFonts w:ascii="Tahoma" w:hAnsi="Tahoma" w:cs="Tahoma"/>
      <w:sz w:val="16"/>
      <w:szCs w:val="16"/>
    </w:rPr>
  </w:style>
  <w:style w:type="character" w:styleId="CommentReference">
    <w:name w:val="annotation reference"/>
    <w:basedOn w:val="DefaultParagraphFont"/>
    <w:semiHidden/>
    <w:rsid w:val="007E2449"/>
    <w:rPr>
      <w:sz w:val="16"/>
      <w:szCs w:val="16"/>
    </w:rPr>
  </w:style>
  <w:style w:type="paragraph" w:styleId="CommentText">
    <w:name w:val="annotation text"/>
    <w:basedOn w:val="Normal"/>
    <w:link w:val="CommentTextChar"/>
    <w:uiPriority w:val="99"/>
    <w:semiHidden/>
    <w:rsid w:val="007E2449"/>
  </w:style>
  <w:style w:type="paragraph" w:styleId="CommentSubject">
    <w:name w:val="annotation subject"/>
    <w:basedOn w:val="CommentText"/>
    <w:next w:val="CommentText"/>
    <w:semiHidden/>
    <w:rsid w:val="007E2449"/>
    <w:rPr>
      <w:b/>
      <w:bCs/>
    </w:rPr>
  </w:style>
  <w:style w:type="paragraph" w:styleId="Header">
    <w:name w:val="header"/>
    <w:basedOn w:val="Normal"/>
    <w:rsid w:val="007E2449"/>
    <w:pPr>
      <w:tabs>
        <w:tab w:val="center" w:pos="4320"/>
        <w:tab w:val="right" w:pos="8640"/>
      </w:tabs>
    </w:pPr>
  </w:style>
  <w:style w:type="character" w:styleId="Hyperlink">
    <w:name w:val="Hyperlink"/>
    <w:basedOn w:val="DefaultParagraphFont"/>
    <w:rsid w:val="00801D71"/>
    <w:rPr>
      <w:color w:val="0000FF"/>
      <w:u w:val="single"/>
    </w:rPr>
  </w:style>
  <w:style w:type="paragraph" w:styleId="NormalWeb">
    <w:name w:val="Normal (Web)"/>
    <w:basedOn w:val="Normal"/>
    <w:uiPriority w:val="99"/>
    <w:rsid w:val="007E2449"/>
    <w:pPr>
      <w:spacing w:before="100" w:beforeAutospacing="1" w:after="100" w:afterAutospacing="1"/>
    </w:pPr>
    <w:rPr>
      <w:sz w:val="24"/>
      <w:szCs w:val="24"/>
    </w:rPr>
  </w:style>
  <w:style w:type="character" w:styleId="FollowedHyperlink">
    <w:name w:val="FollowedHyperlink"/>
    <w:basedOn w:val="DefaultParagraphFont"/>
    <w:rsid w:val="00801D71"/>
    <w:rPr>
      <w:color w:val="800080"/>
      <w:u w:val="single"/>
    </w:rPr>
  </w:style>
  <w:style w:type="table" w:styleId="TableGrid">
    <w:name w:val="Table Grid"/>
    <w:basedOn w:val="TableNormal"/>
    <w:rsid w:val="00127E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C92AE6"/>
  </w:style>
  <w:style w:type="character" w:styleId="FootnoteReference">
    <w:name w:val="footnote reference"/>
    <w:basedOn w:val="DefaultParagraphFont"/>
    <w:semiHidden/>
    <w:rsid w:val="00C92AE6"/>
    <w:rPr>
      <w:vertAlign w:val="superscript"/>
    </w:rPr>
  </w:style>
  <w:style w:type="table" w:customStyle="1" w:styleId="MediumShading1-Accent11">
    <w:name w:val="Medium Shading 1 - Accent 11"/>
    <w:basedOn w:val="TableNormal"/>
    <w:uiPriority w:val="63"/>
    <w:rsid w:val="0068598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ListParagraph">
    <w:name w:val="List Paragraph"/>
    <w:basedOn w:val="Normal"/>
    <w:uiPriority w:val="34"/>
    <w:qFormat/>
    <w:rsid w:val="00131093"/>
    <w:pPr>
      <w:ind w:left="720"/>
      <w:contextualSpacing/>
    </w:pPr>
  </w:style>
  <w:style w:type="character" w:customStyle="1" w:styleId="Heading1Char">
    <w:name w:val="Heading 1 Char"/>
    <w:basedOn w:val="DefaultParagraphFont"/>
    <w:link w:val="Heading1"/>
    <w:uiPriority w:val="9"/>
    <w:rsid w:val="008C5826"/>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8C5826"/>
    <w:pPr>
      <w:spacing w:line="276" w:lineRule="auto"/>
      <w:outlineLvl w:val="9"/>
    </w:pPr>
  </w:style>
  <w:style w:type="character" w:customStyle="1" w:styleId="Heading2Char">
    <w:name w:val="Heading 2 Char"/>
    <w:basedOn w:val="DefaultParagraphFont"/>
    <w:link w:val="Heading2"/>
    <w:uiPriority w:val="9"/>
    <w:rsid w:val="008C5826"/>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8C5826"/>
    <w:pPr>
      <w:spacing w:after="100"/>
    </w:pPr>
  </w:style>
  <w:style w:type="paragraph" w:styleId="TOC2">
    <w:name w:val="toc 2"/>
    <w:basedOn w:val="Normal"/>
    <w:next w:val="Normal"/>
    <w:autoRedefine/>
    <w:uiPriority w:val="39"/>
    <w:unhideWhenUsed/>
    <w:rsid w:val="008C5826"/>
    <w:pPr>
      <w:spacing w:after="100"/>
      <w:ind w:left="200"/>
    </w:pPr>
  </w:style>
  <w:style w:type="paragraph" w:customStyle="1" w:styleId="TT-TableTitle">
    <w:name w:val="TT-Table Title"/>
    <w:rsid w:val="001A3607"/>
    <w:pPr>
      <w:tabs>
        <w:tab w:val="left" w:pos="1152"/>
      </w:tabs>
      <w:spacing w:line="240" w:lineRule="atLeast"/>
      <w:ind w:left="1152" w:hanging="1152"/>
    </w:pPr>
    <w:rPr>
      <w:sz w:val="22"/>
    </w:rPr>
  </w:style>
  <w:style w:type="character" w:customStyle="1" w:styleId="FootnoteTextChar">
    <w:name w:val="Footnote Text Char"/>
    <w:basedOn w:val="DefaultParagraphFont"/>
    <w:link w:val="FootnoteText"/>
    <w:rsid w:val="00E332AA"/>
  </w:style>
  <w:style w:type="paragraph" w:styleId="Revision">
    <w:name w:val="Revision"/>
    <w:hidden/>
    <w:uiPriority w:val="99"/>
    <w:semiHidden/>
    <w:rsid w:val="00C049FB"/>
  </w:style>
  <w:style w:type="paragraph" w:customStyle="1" w:styleId="N0-FlLftBullet">
    <w:name w:val="N0-Fl Lft Bullet"/>
    <w:basedOn w:val="Normal"/>
    <w:rsid w:val="00100DDD"/>
    <w:pPr>
      <w:spacing w:after="240" w:line="240" w:lineRule="atLeast"/>
      <w:ind w:left="576" w:hanging="576"/>
    </w:pPr>
    <w:rPr>
      <w:rFonts w:ascii="Garamond" w:eastAsiaTheme="minorHAnsi" w:hAnsi="Garamond"/>
      <w:sz w:val="24"/>
      <w:szCs w:val="24"/>
    </w:rPr>
  </w:style>
  <w:style w:type="character" w:customStyle="1" w:styleId="CommentTextChar">
    <w:name w:val="Comment Text Char"/>
    <w:basedOn w:val="DefaultParagraphFont"/>
    <w:link w:val="CommentText"/>
    <w:uiPriority w:val="99"/>
    <w:semiHidden/>
    <w:locked/>
    <w:rsid w:val="006F7766"/>
  </w:style>
  <w:style w:type="character" w:customStyle="1" w:styleId="FooterChar">
    <w:name w:val="Footer Char"/>
    <w:basedOn w:val="DefaultParagraphFont"/>
    <w:link w:val="Footer"/>
    <w:uiPriority w:val="99"/>
    <w:rsid w:val="00DC7726"/>
    <w:rPr>
      <w:rFonts w:ascii="Courier 10cpi" w:hAnsi="Courier 10cpi"/>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40862">
      <w:bodyDiv w:val="1"/>
      <w:marLeft w:val="0"/>
      <w:marRight w:val="0"/>
      <w:marTop w:val="0"/>
      <w:marBottom w:val="0"/>
      <w:divBdr>
        <w:top w:val="none" w:sz="0" w:space="0" w:color="auto"/>
        <w:left w:val="none" w:sz="0" w:space="0" w:color="auto"/>
        <w:bottom w:val="none" w:sz="0" w:space="0" w:color="auto"/>
        <w:right w:val="none" w:sz="0" w:space="0" w:color="auto"/>
      </w:divBdr>
      <w:divsChild>
        <w:div w:id="14157116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23762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1620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52898188">
      <w:bodyDiv w:val="1"/>
      <w:marLeft w:val="0"/>
      <w:marRight w:val="0"/>
      <w:marTop w:val="0"/>
      <w:marBottom w:val="0"/>
      <w:divBdr>
        <w:top w:val="none" w:sz="0" w:space="0" w:color="auto"/>
        <w:left w:val="none" w:sz="0" w:space="0" w:color="auto"/>
        <w:bottom w:val="none" w:sz="0" w:space="0" w:color="auto"/>
        <w:right w:val="none" w:sz="0" w:space="0" w:color="auto"/>
      </w:divBdr>
    </w:div>
    <w:div w:id="154298734">
      <w:bodyDiv w:val="1"/>
      <w:marLeft w:val="0"/>
      <w:marRight w:val="0"/>
      <w:marTop w:val="0"/>
      <w:marBottom w:val="0"/>
      <w:divBdr>
        <w:top w:val="none" w:sz="0" w:space="0" w:color="auto"/>
        <w:left w:val="none" w:sz="0" w:space="0" w:color="auto"/>
        <w:bottom w:val="none" w:sz="0" w:space="0" w:color="auto"/>
        <w:right w:val="none" w:sz="0" w:space="0" w:color="auto"/>
      </w:divBdr>
    </w:div>
    <w:div w:id="180780654">
      <w:bodyDiv w:val="1"/>
      <w:marLeft w:val="0"/>
      <w:marRight w:val="0"/>
      <w:marTop w:val="0"/>
      <w:marBottom w:val="0"/>
      <w:divBdr>
        <w:top w:val="none" w:sz="0" w:space="0" w:color="auto"/>
        <w:left w:val="none" w:sz="0" w:space="0" w:color="auto"/>
        <w:bottom w:val="none" w:sz="0" w:space="0" w:color="auto"/>
        <w:right w:val="none" w:sz="0" w:space="0" w:color="auto"/>
      </w:divBdr>
    </w:div>
    <w:div w:id="201944704">
      <w:bodyDiv w:val="1"/>
      <w:marLeft w:val="0"/>
      <w:marRight w:val="0"/>
      <w:marTop w:val="0"/>
      <w:marBottom w:val="0"/>
      <w:divBdr>
        <w:top w:val="none" w:sz="0" w:space="0" w:color="auto"/>
        <w:left w:val="none" w:sz="0" w:space="0" w:color="auto"/>
        <w:bottom w:val="none" w:sz="0" w:space="0" w:color="auto"/>
        <w:right w:val="none" w:sz="0" w:space="0" w:color="auto"/>
      </w:divBdr>
    </w:div>
    <w:div w:id="281428323">
      <w:bodyDiv w:val="1"/>
      <w:marLeft w:val="0"/>
      <w:marRight w:val="0"/>
      <w:marTop w:val="0"/>
      <w:marBottom w:val="0"/>
      <w:divBdr>
        <w:top w:val="none" w:sz="0" w:space="0" w:color="auto"/>
        <w:left w:val="none" w:sz="0" w:space="0" w:color="auto"/>
        <w:bottom w:val="none" w:sz="0" w:space="0" w:color="auto"/>
        <w:right w:val="none" w:sz="0" w:space="0" w:color="auto"/>
      </w:divBdr>
      <w:divsChild>
        <w:div w:id="1601062864">
          <w:marLeft w:val="0"/>
          <w:marRight w:val="0"/>
          <w:marTop w:val="0"/>
          <w:marBottom w:val="0"/>
          <w:divBdr>
            <w:top w:val="none" w:sz="0" w:space="0" w:color="auto"/>
            <w:left w:val="none" w:sz="0" w:space="0" w:color="auto"/>
            <w:bottom w:val="none" w:sz="0" w:space="0" w:color="auto"/>
            <w:right w:val="none" w:sz="0" w:space="0" w:color="auto"/>
          </w:divBdr>
          <w:divsChild>
            <w:div w:id="534081610">
              <w:marLeft w:val="0"/>
              <w:marRight w:val="0"/>
              <w:marTop w:val="0"/>
              <w:marBottom w:val="0"/>
              <w:divBdr>
                <w:top w:val="none" w:sz="0" w:space="0" w:color="auto"/>
                <w:left w:val="single" w:sz="6" w:space="0" w:color="E2E2E2"/>
                <w:bottom w:val="none" w:sz="0" w:space="0" w:color="auto"/>
                <w:right w:val="single" w:sz="6" w:space="0" w:color="E2E2E2"/>
              </w:divBdr>
              <w:divsChild>
                <w:div w:id="2129199268">
                  <w:marLeft w:val="0"/>
                  <w:marRight w:val="0"/>
                  <w:marTop w:val="0"/>
                  <w:marBottom w:val="0"/>
                  <w:divBdr>
                    <w:top w:val="none" w:sz="0" w:space="0" w:color="auto"/>
                    <w:left w:val="none" w:sz="0" w:space="0" w:color="auto"/>
                    <w:bottom w:val="none" w:sz="0" w:space="0" w:color="auto"/>
                    <w:right w:val="none" w:sz="0" w:space="0" w:color="auto"/>
                  </w:divBdr>
                  <w:divsChild>
                    <w:div w:id="59081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484254">
      <w:bodyDiv w:val="1"/>
      <w:marLeft w:val="0"/>
      <w:marRight w:val="0"/>
      <w:marTop w:val="0"/>
      <w:marBottom w:val="0"/>
      <w:divBdr>
        <w:top w:val="none" w:sz="0" w:space="0" w:color="auto"/>
        <w:left w:val="none" w:sz="0" w:space="0" w:color="auto"/>
        <w:bottom w:val="none" w:sz="0" w:space="0" w:color="auto"/>
        <w:right w:val="none" w:sz="0" w:space="0" w:color="auto"/>
      </w:divBdr>
    </w:div>
    <w:div w:id="417793177">
      <w:bodyDiv w:val="1"/>
      <w:marLeft w:val="0"/>
      <w:marRight w:val="0"/>
      <w:marTop w:val="0"/>
      <w:marBottom w:val="0"/>
      <w:divBdr>
        <w:top w:val="none" w:sz="0" w:space="0" w:color="auto"/>
        <w:left w:val="none" w:sz="0" w:space="0" w:color="auto"/>
        <w:bottom w:val="none" w:sz="0" w:space="0" w:color="auto"/>
        <w:right w:val="none" w:sz="0" w:space="0" w:color="auto"/>
      </w:divBdr>
      <w:divsChild>
        <w:div w:id="10264475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2830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9280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47354944">
      <w:bodyDiv w:val="1"/>
      <w:marLeft w:val="0"/>
      <w:marRight w:val="0"/>
      <w:marTop w:val="0"/>
      <w:marBottom w:val="0"/>
      <w:divBdr>
        <w:top w:val="none" w:sz="0" w:space="0" w:color="auto"/>
        <w:left w:val="none" w:sz="0" w:space="0" w:color="auto"/>
        <w:bottom w:val="none" w:sz="0" w:space="0" w:color="auto"/>
        <w:right w:val="none" w:sz="0" w:space="0" w:color="auto"/>
      </w:divBdr>
    </w:div>
    <w:div w:id="607127319">
      <w:bodyDiv w:val="1"/>
      <w:marLeft w:val="0"/>
      <w:marRight w:val="0"/>
      <w:marTop w:val="0"/>
      <w:marBottom w:val="0"/>
      <w:divBdr>
        <w:top w:val="none" w:sz="0" w:space="0" w:color="auto"/>
        <w:left w:val="none" w:sz="0" w:space="0" w:color="auto"/>
        <w:bottom w:val="none" w:sz="0" w:space="0" w:color="auto"/>
        <w:right w:val="none" w:sz="0" w:space="0" w:color="auto"/>
      </w:divBdr>
    </w:div>
    <w:div w:id="616107996">
      <w:bodyDiv w:val="1"/>
      <w:marLeft w:val="0"/>
      <w:marRight w:val="0"/>
      <w:marTop w:val="0"/>
      <w:marBottom w:val="0"/>
      <w:divBdr>
        <w:top w:val="none" w:sz="0" w:space="0" w:color="auto"/>
        <w:left w:val="none" w:sz="0" w:space="0" w:color="auto"/>
        <w:bottom w:val="none" w:sz="0" w:space="0" w:color="auto"/>
        <w:right w:val="none" w:sz="0" w:space="0" w:color="auto"/>
      </w:divBdr>
    </w:div>
    <w:div w:id="640579428">
      <w:bodyDiv w:val="1"/>
      <w:marLeft w:val="0"/>
      <w:marRight w:val="0"/>
      <w:marTop w:val="0"/>
      <w:marBottom w:val="0"/>
      <w:divBdr>
        <w:top w:val="none" w:sz="0" w:space="0" w:color="auto"/>
        <w:left w:val="none" w:sz="0" w:space="0" w:color="auto"/>
        <w:bottom w:val="none" w:sz="0" w:space="0" w:color="auto"/>
        <w:right w:val="none" w:sz="0" w:space="0" w:color="auto"/>
      </w:divBdr>
    </w:div>
    <w:div w:id="679967513">
      <w:bodyDiv w:val="1"/>
      <w:marLeft w:val="0"/>
      <w:marRight w:val="0"/>
      <w:marTop w:val="0"/>
      <w:marBottom w:val="0"/>
      <w:divBdr>
        <w:top w:val="none" w:sz="0" w:space="0" w:color="auto"/>
        <w:left w:val="none" w:sz="0" w:space="0" w:color="auto"/>
        <w:bottom w:val="none" w:sz="0" w:space="0" w:color="auto"/>
        <w:right w:val="none" w:sz="0" w:space="0" w:color="auto"/>
      </w:divBdr>
    </w:div>
    <w:div w:id="737630259">
      <w:bodyDiv w:val="1"/>
      <w:marLeft w:val="0"/>
      <w:marRight w:val="0"/>
      <w:marTop w:val="0"/>
      <w:marBottom w:val="0"/>
      <w:divBdr>
        <w:top w:val="none" w:sz="0" w:space="0" w:color="auto"/>
        <w:left w:val="none" w:sz="0" w:space="0" w:color="auto"/>
        <w:bottom w:val="none" w:sz="0" w:space="0" w:color="auto"/>
        <w:right w:val="none" w:sz="0" w:space="0" w:color="auto"/>
      </w:divBdr>
    </w:div>
    <w:div w:id="789125913">
      <w:bodyDiv w:val="1"/>
      <w:marLeft w:val="0"/>
      <w:marRight w:val="0"/>
      <w:marTop w:val="0"/>
      <w:marBottom w:val="0"/>
      <w:divBdr>
        <w:top w:val="none" w:sz="0" w:space="0" w:color="auto"/>
        <w:left w:val="none" w:sz="0" w:space="0" w:color="auto"/>
        <w:bottom w:val="none" w:sz="0" w:space="0" w:color="auto"/>
        <w:right w:val="none" w:sz="0" w:space="0" w:color="auto"/>
      </w:divBdr>
    </w:div>
    <w:div w:id="808015232">
      <w:bodyDiv w:val="1"/>
      <w:marLeft w:val="0"/>
      <w:marRight w:val="0"/>
      <w:marTop w:val="0"/>
      <w:marBottom w:val="0"/>
      <w:divBdr>
        <w:top w:val="none" w:sz="0" w:space="0" w:color="auto"/>
        <w:left w:val="none" w:sz="0" w:space="0" w:color="auto"/>
        <w:bottom w:val="none" w:sz="0" w:space="0" w:color="auto"/>
        <w:right w:val="none" w:sz="0" w:space="0" w:color="auto"/>
      </w:divBdr>
      <w:divsChild>
        <w:div w:id="963079700">
          <w:marLeft w:val="0"/>
          <w:marRight w:val="0"/>
          <w:marTop w:val="0"/>
          <w:marBottom w:val="0"/>
          <w:divBdr>
            <w:top w:val="none" w:sz="0" w:space="0" w:color="auto"/>
            <w:left w:val="none" w:sz="0" w:space="0" w:color="auto"/>
            <w:bottom w:val="none" w:sz="0" w:space="0" w:color="auto"/>
            <w:right w:val="none" w:sz="0" w:space="0" w:color="auto"/>
          </w:divBdr>
          <w:divsChild>
            <w:div w:id="885725074">
              <w:marLeft w:val="0"/>
              <w:marRight w:val="0"/>
              <w:marTop w:val="0"/>
              <w:marBottom w:val="0"/>
              <w:divBdr>
                <w:top w:val="none" w:sz="0" w:space="0" w:color="auto"/>
                <w:left w:val="single" w:sz="6" w:space="0" w:color="E2E2E2"/>
                <w:bottom w:val="none" w:sz="0" w:space="0" w:color="auto"/>
                <w:right w:val="single" w:sz="6" w:space="0" w:color="E2E2E2"/>
              </w:divBdr>
              <w:divsChild>
                <w:div w:id="1746296767">
                  <w:marLeft w:val="0"/>
                  <w:marRight w:val="0"/>
                  <w:marTop w:val="0"/>
                  <w:marBottom w:val="0"/>
                  <w:divBdr>
                    <w:top w:val="none" w:sz="0" w:space="0" w:color="auto"/>
                    <w:left w:val="none" w:sz="0" w:space="0" w:color="auto"/>
                    <w:bottom w:val="none" w:sz="0" w:space="0" w:color="auto"/>
                    <w:right w:val="none" w:sz="0" w:space="0" w:color="auto"/>
                  </w:divBdr>
                  <w:divsChild>
                    <w:div w:id="191681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952104">
      <w:bodyDiv w:val="1"/>
      <w:marLeft w:val="0"/>
      <w:marRight w:val="0"/>
      <w:marTop w:val="0"/>
      <w:marBottom w:val="0"/>
      <w:divBdr>
        <w:top w:val="none" w:sz="0" w:space="0" w:color="auto"/>
        <w:left w:val="none" w:sz="0" w:space="0" w:color="auto"/>
        <w:bottom w:val="none" w:sz="0" w:space="0" w:color="auto"/>
        <w:right w:val="none" w:sz="0" w:space="0" w:color="auto"/>
      </w:divBdr>
    </w:div>
    <w:div w:id="854268861">
      <w:bodyDiv w:val="1"/>
      <w:marLeft w:val="0"/>
      <w:marRight w:val="0"/>
      <w:marTop w:val="0"/>
      <w:marBottom w:val="0"/>
      <w:divBdr>
        <w:top w:val="none" w:sz="0" w:space="0" w:color="auto"/>
        <w:left w:val="none" w:sz="0" w:space="0" w:color="auto"/>
        <w:bottom w:val="none" w:sz="0" w:space="0" w:color="auto"/>
        <w:right w:val="none" w:sz="0" w:space="0" w:color="auto"/>
      </w:divBdr>
    </w:div>
    <w:div w:id="1038050056">
      <w:bodyDiv w:val="1"/>
      <w:marLeft w:val="0"/>
      <w:marRight w:val="0"/>
      <w:marTop w:val="0"/>
      <w:marBottom w:val="0"/>
      <w:divBdr>
        <w:top w:val="none" w:sz="0" w:space="0" w:color="auto"/>
        <w:left w:val="none" w:sz="0" w:space="0" w:color="auto"/>
        <w:bottom w:val="none" w:sz="0" w:space="0" w:color="auto"/>
        <w:right w:val="none" w:sz="0" w:space="0" w:color="auto"/>
      </w:divBdr>
    </w:div>
    <w:div w:id="1108239430">
      <w:bodyDiv w:val="1"/>
      <w:marLeft w:val="0"/>
      <w:marRight w:val="0"/>
      <w:marTop w:val="0"/>
      <w:marBottom w:val="0"/>
      <w:divBdr>
        <w:top w:val="none" w:sz="0" w:space="0" w:color="auto"/>
        <w:left w:val="none" w:sz="0" w:space="0" w:color="auto"/>
        <w:bottom w:val="none" w:sz="0" w:space="0" w:color="auto"/>
        <w:right w:val="none" w:sz="0" w:space="0" w:color="auto"/>
      </w:divBdr>
      <w:divsChild>
        <w:div w:id="32316997">
          <w:marLeft w:val="0"/>
          <w:marRight w:val="0"/>
          <w:marTop w:val="0"/>
          <w:marBottom w:val="0"/>
          <w:divBdr>
            <w:top w:val="none" w:sz="0" w:space="0" w:color="auto"/>
            <w:left w:val="none" w:sz="0" w:space="0" w:color="auto"/>
            <w:bottom w:val="none" w:sz="0" w:space="0" w:color="auto"/>
            <w:right w:val="none" w:sz="0" w:space="0" w:color="auto"/>
          </w:divBdr>
          <w:divsChild>
            <w:div w:id="1837572315">
              <w:marLeft w:val="0"/>
              <w:marRight w:val="0"/>
              <w:marTop w:val="0"/>
              <w:marBottom w:val="0"/>
              <w:divBdr>
                <w:top w:val="none" w:sz="0" w:space="0" w:color="auto"/>
                <w:left w:val="none" w:sz="0" w:space="0" w:color="auto"/>
                <w:bottom w:val="none" w:sz="0" w:space="0" w:color="auto"/>
                <w:right w:val="none" w:sz="0" w:space="0" w:color="auto"/>
              </w:divBdr>
              <w:divsChild>
                <w:div w:id="1457018715">
                  <w:marLeft w:val="0"/>
                  <w:marRight w:val="0"/>
                  <w:marTop w:val="450"/>
                  <w:marBottom w:val="0"/>
                  <w:divBdr>
                    <w:top w:val="none" w:sz="0" w:space="0" w:color="auto"/>
                    <w:left w:val="none" w:sz="0" w:space="0" w:color="auto"/>
                    <w:bottom w:val="none" w:sz="0" w:space="0" w:color="auto"/>
                    <w:right w:val="none" w:sz="0" w:space="0" w:color="auto"/>
                  </w:divBdr>
                  <w:divsChild>
                    <w:div w:id="190552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728409">
      <w:bodyDiv w:val="1"/>
      <w:marLeft w:val="0"/>
      <w:marRight w:val="0"/>
      <w:marTop w:val="0"/>
      <w:marBottom w:val="0"/>
      <w:divBdr>
        <w:top w:val="none" w:sz="0" w:space="0" w:color="auto"/>
        <w:left w:val="none" w:sz="0" w:space="0" w:color="auto"/>
        <w:bottom w:val="none" w:sz="0" w:space="0" w:color="auto"/>
        <w:right w:val="none" w:sz="0" w:space="0" w:color="auto"/>
      </w:divBdr>
    </w:div>
    <w:div w:id="1183282235">
      <w:bodyDiv w:val="1"/>
      <w:marLeft w:val="0"/>
      <w:marRight w:val="0"/>
      <w:marTop w:val="0"/>
      <w:marBottom w:val="0"/>
      <w:divBdr>
        <w:top w:val="none" w:sz="0" w:space="0" w:color="auto"/>
        <w:left w:val="none" w:sz="0" w:space="0" w:color="auto"/>
        <w:bottom w:val="none" w:sz="0" w:space="0" w:color="auto"/>
        <w:right w:val="none" w:sz="0" w:space="0" w:color="auto"/>
      </w:divBdr>
    </w:div>
    <w:div w:id="1241328072">
      <w:bodyDiv w:val="1"/>
      <w:marLeft w:val="0"/>
      <w:marRight w:val="0"/>
      <w:marTop w:val="0"/>
      <w:marBottom w:val="0"/>
      <w:divBdr>
        <w:top w:val="none" w:sz="0" w:space="0" w:color="auto"/>
        <w:left w:val="none" w:sz="0" w:space="0" w:color="auto"/>
        <w:bottom w:val="none" w:sz="0" w:space="0" w:color="auto"/>
        <w:right w:val="none" w:sz="0" w:space="0" w:color="auto"/>
      </w:divBdr>
    </w:div>
    <w:div w:id="1452165409">
      <w:bodyDiv w:val="1"/>
      <w:marLeft w:val="0"/>
      <w:marRight w:val="0"/>
      <w:marTop w:val="0"/>
      <w:marBottom w:val="0"/>
      <w:divBdr>
        <w:top w:val="none" w:sz="0" w:space="0" w:color="auto"/>
        <w:left w:val="none" w:sz="0" w:space="0" w:color="auto"/>
        <w:bottom w:val="none" w:sz="0" w:space="0" w:color="auto"/>
        <w:right w:val="none" w:sz="0" w:space="0" w:color="auto"/>
      </w:divBdr>
    </w:div>
    <w:div w:id="1666737901">
      <w:bodyDiv w:val="1"/>
      <w:marLeft w:val="0"/>
      <w:marRight w:val="0"/>
      <w:marTop w:val="0"/>
      <w:marBottom w:val="0"/>
      <w:divBdr>
        <w:top w:val="none" w:sz="0" w:space="0" w:color="auto"/>
        <w:left w:val="none" w:sz="0" w:space="0" w:color="auto"/>
        <w:bottom w:val="none" w:sz="0" w:space="0" w:color="auto"/>
        <w:right w:val="none" w:sz="0" w:space="0" w:color="auto"/>
      </w:divBdr>
    </w:div>
    <w:div w:id="1668287699">
      <w:bodyDiv w:val="1"/>
      <w:marLeft w:val="0"/>
      <w:marRight w:val="0"/>
      <w:marTop w:val="0"/>
      <w:marBottom w:val="0"/>
      <w:divBdr>
        <w:top w:val="none" w:sz="0" w:space="0" w:color="auto"/>
        <w:left w:val="none" w:sz="0" w:space="0" w:color="auto"/>
        <w:bottom w:val="none" w:sz="0" w:space="0" w:color="auto"/>
        <w:right w:val="none" w:sz="0" w:space="0" w:color="auto"/>
      </w:divBdr>
    </w:div>
    <w:div w:id="1736315762">
      <w:bodyDiv w:val="1"/>
      <w:marLeft w:val="0"/>
      <w:marRight w:val="0"/>
      <w:marTop w:val="0"/>
      <w:marBottom w:val="0"/>
      <w:divBdr>
        <w:top w:val="none" w:sz="0" w:space="0" w:color="auto"/>
        <w:left w:val="none" w:sz="0" w:space="0" w:color="auto"/>
        <w:bottom w:val="none" w:sz="0" w:space="0" w:color="auto"/>
        <w:right w:val="none" w:sz="0" w:space="0" w:color="auto"/>
      </w:divBdr>
    </w:div>
    <w:div w:id="1757287979">
      <w:bodyDiv w:val="1"/>
      <w:marLeft w:val="0"/>
      <w:marRight w:val="0"/>
      <w:marTop w:val="0"/>
      <w:marBottom w:val="0"/>
      <w:divBdr>
        <w:top w:val="none" w:sz="0" w:space="0" w:color="auto"/>
        <w:left w:val="none" w:sz="0" w:space="0" w:color="auto"/>
        <w:bottom w:val="none" w:sz="0" w:space="0" w:color="auto"/>
        <w:right w:val="none" w:sz="0" w:space="0" w:color="auto"/>
      </w:divBdr>
    </w:div>
    <w:div w:id="1792018397">
      <w:bodyDiv w:val="1"/>
      <w:marLeft w:val="0"/>
      <w:marRight w:val="0"/>
      <w:marTop w:val="0"/>
      <w:marBottom w:val="0"/>
      <w:divBdr>
        <w:top w:val="none" w:sz="0" w:space="0" w:color="auto"/>
        <w:left w:val="none" w:sz="0" w:space="0" w:color="auto"/>
        <w:bottom w:val="none" w:sz="0" w:space="0" w:color="auto"/>
        <w:right w:val="none" w:sz="0" w:space="0" w:color="auto"/>
      </w:divBdr>
    </w:div>
    <w:div w:id="2096125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opm.gov/policy-data-oversight/pay-leave/salaries-wages/salary-tables/pdf/2016/DCB.pdf" TargetMode="External"/><Relationship Id="rId4" Type="http://schemas.microsoft.com/office/2007/relationships/stylesWithEffects" Target="stylesWithEffects.xml"/><Relationship Id="rId9" Type="http://schemas.openxmlformats.org/officeDocument/2006/relationships/hyperlink" Target="http://www.bls.gov/oes/current/naics4_621100.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2AFB4E-78AB-4FF6-B980-3C8558B29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3937</Words>
  <Characters>24174</Characters>
  <Application>Microsoft Office Word</Application>
  <DocSecurity>4</DocSecurity>
  <Lines>201</Lines>
  <Paragraphs>56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AHCPR</Company>
  <LinksUpToDate>false</LinksUpToDate>
  <CharactersWithSpaces>28055</CharactersWithSpaces>
  <SharedDoc>false</SharedDoc>
  <HLinks>
    <vt:vector size="6" baseType="variant">
      <vt:variant>
        <vt:i4>4915211</vt:i4>
      </vt:variant>
      <vt:variant>
        <vt:i4>0</vt:i4>
      </vt:variant>
      <vt:variant>
        <vt:i4>0</vt:i4>
      </vt:variant>
      <vt:variant>
        <vt:i4>5</vt:i4>
      </vt:variant>
      <vt:variant>
        <vt:lpwstr>http://www.ahrq.gov/qual/hospculture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AHCPR</dc:creator>
  <cp:lastModifiedBy>Windows User</cp:lastModifiedBy>
  <cp:revision>2</cp:revision>
  <cp:lastPrinted>2014-07-01T13:37:00Z</cp:lastPrinted>
  <dcterms:created xsi:type="dcterms:W3CDTF">2016-10-17T19:29:00Z</dcterms:created>
  <dcterms:modified xsi:type="dcterms:W3CDTF">2016-10-17T19:29:00Z</dcterms:modified>
</cp:coreProperties>
</file>