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5A637" w14:textId="45ECDC98" w:rsidR="00ED0429" w:rsidRDefault="00ED0429" w:rsidP="00ED0429">
      <w:pPr>
        <w:jc w:val="center"/>
        <w:rPr>
          <w:rFonts w:ascii="Times New Roman Bold" w:hAnsi="Times New Roman Bold"/>
          <w:b/>
          <w:caps/>
        </w:rPr>
      </w:pPr>
      <w:r>
        <w:rPr>
          <w:rFonts w:ascii="Times New Roman Bold" w:hAnsi="Times New Roman Bold"/>
          <w:b/>
          <w:caps/>
        </w:rPr>
        <w:t>The NATIONAL Evaluation OF the Substance Abuse and</w:t>
      </w:r>
    </w:p>
    <w:p w14:paraId="06066DF4" w14:textId="55E2C6F8" w:rsidR="00ED0429" w:rsidRPr="002035C2" w:rsidRDefault="00ED0429" w:rsidP="00ED0429">
      <w:pPr>
        <w:spacing w:after="120"/>
        <w:jc w:val="center"/>
        <w:rPr>
          <w:rFonts w:ascii="Times New Roman Bold" w:hAnsi="Times New Roman Bold"/>
          <w:b/>
          <w:caps/>
        </w:rPr>
      </w:pPr>
      <w:r>
        <w:rPr>
          <w:rFonts w:ascii="Times New Roman Bold" w:hAnsi="Times New Roman Bold"/>
          <w:b/>
          <w:caps/>
        </w:rPr>
        <w:t xml:space="preserve"> Mental Health Services administration’s </w:t>
      </w:r>
      <w:r w:rsidR="002354D6">
        <w:rPr>
          <w:rFonts w:ascii="Times New Roman Bold" w:hAnsi="Times New Roman Bold"/>
          <w:b/>
          <w:caps/>
        </w:rPr>
        <w:t xml:space="preserve">Youth Programs </w:t>
      </w:r>
    </w:p>
    <w:p w14:paraId="3FB4DCE4" w14:textId="77777777" w:rsidR="00ED0429" w:rsidRPr="00F64D36" w:rsidRDefault="00ED0429" w:rsidP="00ED0429">
      <w:pPr>
        <w:jc w:val="center"/>
        <w:rPr>
          <w:b/>
        </w:rPr>
      </w:pPr>
      <w:r w:rsidRPr="002035C2">
        <w:rPr>
          <w:rFonts w:ascii="Times New Roman Bold" w:hAnsi="Times New Roman Bold"/>
          <w:b/>
          <w:caps/>
        </w:rPr>
        <w:t>Supporting Statement</w:t>
      </w:r>
    </w:p>
    <w:p w14:paraId="26A411C2" w14:textId="7DD047B2" w:rsidR="00ED0429" w:rsidRPr="001B1E03" w:rsidRDefault="00ED0429" w:rsidP="00795B76">
      <w:pPr>
        <w:pStyle w:val="Heading2"/>
      </w:pPr>
      <w:bookmarkStart w:id="0" w:name="_Toc8007688"/>
      <w:bookmarkStart w:id="1" w:name="_Toc88277971"/>
      <w:bookmarkStart w:id="2" w:name="_Toc131564368"/>
      <w:r w:rsidRPr="001B1E03">
        <w:t>B.</w:t>
      </w:r>
      <w:r w:rsidRPr="001B1E03">
        <w:tab/>
        <w:t>C</w:t>
      </w:r>
      <w:r>
        <w:t>OLLECTION OF INFORMATION EMPLOYING STATISTICAL METHO</w:t>
      </w:r>
      <w:bookmarkEnd w:id="0"/>
      <w:bookmarkEnd w:id="1"/>
      <w:bookmarkEnd w:id="2"/>
      <w:r>
        <w:t>DS</w:t>
      </w:r>
    </w:p>
    <w:p w14:paraId="56D16015" w14:textId="77777777" w:rsidR="00ED0429" w:rsidRPr="001B1E03" w:rsidRDefault="00ED0429" w:rsidP="00795B76">
      <w:pPr>
        <w:pStyle w:val="Heading2"/>
      </w:pPr>
      <w:bookmarkStart w:id="3" w:name="_Toc8007689"/>
      <w:bookmarkStart w:id="4" w:name="_Toc88277972"/>
      <w:bookmarkStart w:id="5" w:name="_Toc131564369"/>
      <w:r w:rsidRPr="001B1E03">
        <w:t>1.</w:t>
      </w:r>
      <w:r w:rsidRPr="001B1E03">
        <w:tab/>
      </w:r>
      <w:bookmarkEnd w:id="3"/>
      <w:r w:rsidRPr="00795B76">
        <w:rPr>
          <w:u w:val="single"/>
        </w:rPr>
        <w:t>Respondent Universe and Sampling Methods</w:t>
      </w:r>
      <w:bookmarkEnd w:id="4"/>
      <w:bookmarkEnd w:id="5"/>
    </w:p>
    <w:p w14:paraId="51B272E6" w14:textId="3A8FED5A" w:rsidR="00B372ED" w:rsidRDefault="009B4E09" w:rsidP="008248C9">
      <w:pPr>
        <w:pStyle w:val="BodyText"/>
        <w:rPr>
          <w:bCs/>
        </w:rPr>
      </w:pPr>
      <w:r>
        <w:t xml:space="preserve">The respondent universe for </w:t>
      </w:r>
      <w:r w:rsidRPr="005543E4">
        <w:t xml:space="preserve">the </w:t>
      </w:r>
      <w:r w:rsidR="005514C5">
        <w:rPr>
          <w:iCs/>
        </w:rPr>
        <w:t>interview</w:t>
      </w:r>
      <w:r w:rsidR="008248C9" w:rsidRPr="005543E4">
        <w:rPr>
          <w:iCs/>
        </w:rPr>
        <w:t>s</w:t>
      </w:r>
      <w:r w:rsidR="008248C9" w:rsidRPr="005543E4">
        <w:t>,</w:t>
      </w:r>
      <w:r w:rsidRPr="005543E4">
        <w:rPr>
          <w:iCs/>
        </w:rPr>
        <w:t xml:space="preserve"> </w:t>
      </w:r>
      <w:r w:rsidR="005514C5">
        <w:rPr>
          <w:iCs/>
        </w:rPr>
        <w:t>provider survey</w:t>
      </w:r>
      <w:r w:rsidR="008248C9" w:rsidRPr="005543E4">
        <w:rPr>
          <w:iCs/>
        </w:rPr>
        <w:t xml:space="preserve"> </w:t>
      </w:r>
      <w:r w:rsidR="008248C9" w:rsidRPr="005543E4">
        <w:t xml:space="preserve">and </w:t>
      </w:r>
      <w:r w:rsidR="006F53B0">
        <w:rPr>
          <w:iCs/>
        </w:rPr>
        <w:t>f</w:t>
      </w:r>
      <w:r w:rsidR="008248C9" w:rsidRPr="005543E4">
        <w:rPr>
          <w:iCs/>
        </w:rPr>
        <w:t>ocus groups</w:t>
      </w:r>
      <w:r>
        <w:t xml:space="preserve"> </w:t>
      </w:r>
      <w:r w:rsidR="006600AB">
        <w:t xml:space="preserve">comprises </w:t>
      </w:r>
      <w:r>
        <w:t xml:space="preserve">representatives from the SYT grantee programs, representatives of each programs stakeholders and representatives of all </w:t>
      </w:r>
      <w:r w:rsidR="005543E4">
        <w:t xml:space="preserve">pilot site </w:t>
      </w:r>
      <w:r>
        <w:t xml:space="preserve">provider organizations </w:t>
      </w:r>
      <w:r w:rsidR="005543E4">
        <w:t>that are</w:t>
      </w:r>
      <w:r>
        <w:t xml:space="preserve"> </w:t>
      </w:r>
      <w:r w:rsidR="005543E4">
        <w:t xml:space="preserve">part </w:t>
      </w:r>
      <w:r>
        <w:t xml:space="preserve">of the SYT grantee programs. The sampling frame </w:t>
      </w:r>
      <w:r w:rsidR="00F649B5">
        <w:t xml:space="preserve">is a </w:t>
      </w:r>
      <w:r>
        <w:t xml:space="preserve">census </w:t>
      </w:r>
      <w:r w:rsidR="00F649B5">
        <w:t>of the provider and stakeholder organization identified by the grantee</w:t>
      </w:r>
      <w:r w:rsidR="005543E4">
        <w:t xml:space="preserve"> and through document review and environmental scan activities</w:t>
      </w:r>
      <w:r w:rsidR="00F649B5">
        <w:t>.</w:t>
      </w:r>
      <w:r>
        <w:t xml:space="preserve"> </w:t>
      </w:r>
      <w:r w:rsidR="000B6724">
        <w:t xml:space="preserve">The expected number of respondents for the interviews and survey are discussed in </w:t>
      </w:r>
      <w:r w:rsidR="000B6724" w:rsidRPr="00F649B5">
        <w:rPr>
          <w:b/>
          <w:i/>
        </w:rPr>
        <w:t>Section A.12</w:t>
      </w:r>
      <w:r w:rsidR="000B6724">
        <w:t>.</w:t>
      </w:r>
    </w:p>
    <w:p w14:paraId="4F1154F6" w14:textId="77777777" w:rsidR="00ED0429" w:rsidRPr="001B1E03" w:rsidRDefault="00ED0429" w:rsidP="00795B76">
      <w:pPr>
        <w:pStyle w:val="Heading2"/>
      </w:pPr>
      <w:r w:rsidRPr="0095575B">
        <w:t>2.</w:t>
      </w:r>
      <w:r w:rsidRPr="0095575B">
        <w:tab/>
      </w:r>
      <w:r w:rsidRPr="00795B76">
        <w:rPr>
          <w:u w:val="single"/>
        </w:rPr>
        <w:t>Information Collection Procedures</w:t>
      </w:r>
    </w:p>
    <w:p w14:paraId="2A3246E6" w14:textId="42810196" w:rsidR="00DF6D9E" w:rsidRPr="00AA7524" w:rsidRDefault="00DF6D9E" w:rsidP="008248C9">
      <w:pPr>
        <w:pStyle w:val="Heading3"/>
      </w:pPr>
      <w:r w:rsidRPr="00AA7524">
        <w:t xml:space="preserve">Interview </w:t>
      </w:r>
      <w:r w:rsidR="008248C9">
        <w:t xml:space="preserve">and Focus Group </w:t>
      </w:r>
      <w:r w:rsidR="005514C5">
        <w:t>Guide</w:t>
      </w:r>
      <w:r w:rsidRPr="00AA7524">
        <w:t>s</w:t>
      </w:r>
    </w:p>
    <w:p w14:paraId="36208536" w14:textId="2A81FC7E" w:rsidR="00A56D57" w:rsidRDefault="00B027AB" w:rsidP="00795B76">
      <w:pPr>
        <w:pStyle w:val="BodyText"/>
      </w:pPr>
      <w:r>
        <w:t xml:space="preserve">Project directors from each SYT grantee will initially be contacted via email regarding the upcoming sustainability and implementation interviews. </w:t>
      </w:r>
      <w:r w:rsidR="00A56D57">
        <w:t xml:space="preserve">Project director information already provided to SAMHSA and the evaluation team. For interviews with stakeholders and providers, grantee project directors will be asked to confirm lists of key stakeholders and providers already identified in project applications and reports. </w:t>
      </w:r>
    </w:p>
    <w:p w14:paraId="47C5442D" w14:textId="39ED2862" w:rsidR="00B027AB" w:rsidRDefault="00B027AB" w:rsidP="008248C9">
      <w:pPr>
        <w:pStyle w:val="BodyText"/>
      </w:pPr>
      <w:r>
        <w:t xml:space="preserve">The initial email </w:t>
      </w:r>
      <w:r w:rsidR="00633A9C">
        <w:t xml:space="preserve">(see Attachment </w:t>
      </w:r>
      <w:r w:rsidR="008248C9">
        <w:t>7</w:t>
      </w:r>
      <w:r w:rsidR="00633A9C">
        <w:t xml:space="preserve">) </w:t>
      </w:r>
      <w:r>
        <w:t>will provide a brief summary of the interview questions to help grantees</w:t>
      </w:r>
      <w:r w:rsidR="00F40F8D">
        <w:t>, stakeholders</w:t>
      </w:r>
      <w:r w:rsidR="002A7051">
        <w:t>,</w:t>
      </w:r>
      <w:r w:rsidR="00F40F8D">
        <w:t xml:space="preserve"> and providers</w:t>
      </w:r>
      <w:r>
        <w:t xml:space="preserve"> identify which staff will b</w:t>
      </w:r>
      <w:r w:rsidR="005514C5">
        <w:t xml:space="preserve">e best able to the address the </w:t>
      </w:r>
      <w:r w:rsidR="003C5112" w:rsidRPr="00D4216F">
        <w:rPr>
          <w:i/>
          <w:iCs/>
        </w:rPr>
        <w:t xml:space="preserve">Implementation, Sustainability, </w:t>
      </w:r>
      <w:r w:rsidR="003C5112" w:rsidRPr="00834138">
        <w:rPr>
          <w:iCs/>
        </w:rPr>
        <w:t>and</w:t>
      </w:r>
      <w:r w:rsidR="003C5112" w:rsidRPr="00D4216F">
        <w:rPr>
          <w:i/>
          <w:iCs/>
        </w:rPr>
        <w:t xml:space="preserve"> Stakeholder</w:t>
      </w:r>
      <w:r w:rsidR="003C5112">
        <w:t xml:space="preserve"> </w:t>
      </w:r>
      <w:r w:rsidR="00FD26E2" w:rsidRPr="00FD26E2">
        <w:rPr>
          <w:i/>
          <w:iCs/>
        </w:rPr>
        <w:t>Interview Guide</w:t>
      </w:r>
      <w:r>
        <w:t xml:space="preserve"> topics. The initial email will also provide a suggested</w:t>
      </w:r>
      <w:r w:rsidR="002A7051">
        <w:t xml:space="preserve"> 2</w:t>
      </w:r>
      <w:r>
        <w:t xml:space="preserve"> week window </w:t>
      </w:r>
      <w:r w:rsidR="002A7051">
        <w:t xml:space="preserve">in </w:t>
      </w:r>
      <w:r>
        <w:t xml:space="preserve">which to complete the interview(s). The evaluation team will work with the </w:t>
      </w:r>
      <w:r w:rsidR="00F40F8D">
        <w:t>interviewee</w:t>
      </w:r>
      <w:r>
        <w:t xml:space="preserve"> to schedule the interview(s) through follow-up emails and telephone calls.</w:t>
      </w:r>
    </w:p>
    <w:p w14:paraId="0BFF5957" w14:textId="6DD873DD" w:rsidR="00A56D57" w:rsidRDefault="005543E4" w:rsidP="008248C9">
      <w:r>
        <w:t>For telephone interviews and virtual focus groups, o</w:t>
      </w:r>
      <w:r w:rsidR="00B027AB">
        <w:t>nce an interview</w:t>
      </w:r>
      <w:r w:rsidR="008248C9">
        <w:t xml:space="preserve"> or focus group</w:t>
      </w:r>
      <w:r w:rsidR="00B027AB">
        <w:t xml:space="preserve"> date is set, the interviewer will provide a 1-800 conference line number to the grantee staff</w:t>
      </w:r>
      <w:r w:rsidR="00F40F8D">
        <w:t>, stakeholder</w:t>
      </w:r>
      <w:r w:rsidR="002A7051">
        <w:t>,</w:t>
      </w:r>
      <w:r w:rsidR="00F40F8D">
        <w:t xml:space="preserve"> or provider staff</w:t>
      </w:r>
      <w:r w:rsidR="00B027AB">
        <w:t xml:space="preserve"> participating in the interview</w:t>
      </w:r>
      <w:r w:rsidR="008248C9">
        <w:t>/focus group</w:t>
      </w:r>
      <w:r w:rsidR="00B027AB">
        <w:t xml:space="preserve">. The interviewer will also send a short reminder a few days before the </w:t>
      </w:r>
      <w:r w:rsidR="00A56D57">
        <w:t>scheduled interview. Interviews</w:t>
      </w:r>
      <w:r w:rsidR="008248C9">
        <w:t xml:space="preserve"> and focus groups</w:t>
      </w:r>
      <w:r w:rsidR="00A56D57">
        <w:t xml:space="preserve"> will include grantee staff respondents, a lead interviewer and a designated note taker. Each interview</w:t>
      </w:r>
      <w:r w:rsidR="008248C9">
        <w:t xml:space="preserve"> and focus group</w:t>
      </w:r>
      <w:r w:rsidR="00A56D57">
        <w:t xml:space="preserve"> will also be </w:t>
      </w:r>
      <w:r>
        <w:t>audio</w:t>
      </w:r>
      <w:r w:rsidR="00A56D57">
        <w:t xml:space="preserve"> recorded if the respondents provide permission. The audio</w:t>
      </w:r>
      <w:r>
        <w:t xml:space="preserve"> recording</w:t>
      </w:r>
      <w:r w:rsidR="00A56D57">
        <w:t xml:space="preserve"> will only be used for note checking and will be destroyed once notes are finalized by the interviewer and note taker.</w:t>
      </w:r>
    </w:p>
    <w:p w14:paraId="773FAFF4" w14:textId="77777777" w:rsidR="008248C9" w:rsidRDefault="008248C9" w:rsidP="00F7297F"/>
    <w:p w14:paraId="6DAF6888" w14:textId="71B5AA4D" w:rsidR="008248C9" w:rsidRDefault="008248C9" w:rsidP="008248C9">
      <w:pPr>
        <w:pStyle w:val="BodyText"/>
      </w:pPr>
      <w:r>
        <w:t>A simila</w:t>
      </w:r>
      <w:r w:rsidR="005543E4">
        <w:t xml:space="preserve">r process will be followed for interviews and focus groups completed in </w:t>
      </w:r>
      <w:r>
        <w:t>person. The initial email (see Attachment 7) will provide a brief summary of the interview questions to help grantees, stakeholders, and providers identify which staff will b</w:t>
      </w:r>
      <w:r w:rsidR="005514C5">
        <w:t xml:space="preserve">e best able to the address the </w:t>
      </w:r>
      <w:r w:rsidR="003C5112" w:rsidRPr="000A6048">
        <w:rPr>
          <w:i/>
          <w:iCs/>
        </w:rPr>
        <w:t xml:space="preserve">Implementation, Sustainability, </w:t>
      </w:r>
      <w:r w:rsidR="003C5112" w:rsidRPr="00834138">
        <w:rPr>
          <w:iCs/>
        </w:rPr>
        <w:t>and</w:t>
      </w:r>
      <w:r w:rsidR="003C5112" w:rsidRPr="000A6048">
        <w:rPr>
          <w:i/>
          <w:iCs/>
        </w:rPr>
        <w:t xml:space="preserve"> Stakeholder</w:t>
      </w:r>
      <w:r w:rsidR="003C5112">
        <w:t xml:space="preserve"> </w:t>
      </w:r>
      <w:r w:rsidR="00FD26E2" w:rsidRPr="00FD26E2">
        <w:rPr>
          <w:i/>
          <w:iCs/>
        </w:rPr>
        <w:t>Interview Guide</w:t>
      </w:r>
      <w:r>
        <w:t xml:space="preserve"> topics. The initial email will also provide a suggested window in which </w:t>
      </w:r>
      <w:r w:rsidR="005514C5">
        <w:t xml:space="preserve">to complete the interview(s) in </w:t>
      </w:r>
      <w:r>
        <w:t xml:space="preserve">person. The evaluation </w:t>
      </w:r>
      <w:r>
        <w:lastRenderedPageBreak/>
        <w:t>team will work with the interviewee to schedule the in-person interview(s) through follow-up emails and telephone calls.</w:t>
      </w:r>
    </w:p>
    <w:p w14:paraId="1AA72059" w14:textId="25B19F20" w:rsidR="009B4E09" w:rsidRPr="00AA7524" w:rsidRDefault="00DF6D9E" w:rsidP="00795B76">
      <w:pPr>
        <w:pStyle w:val="Heading3"/>
      </w:pPr>
      <w:r w:rsidRPr="00AA7524">
        <w:t>Provider survey</w:t>
      </w:r>
    </w:p>
    <w:p w14:paraId="7C820D6C" w14:textId="615341C2" w:rsidR="00F2064A" w:rsidRDefault="00F2064A" w:rsidP="008248C9">
      <w:pPr>
        <w:pStyle w:val="BodyText"/>
      </w:pPr>
      <w:r>
        <w:t xml:space="preserve">Similar to the </w:t>
      </w:r>
      <w:r w:rsidR="003C5112" w:rsidRPr="000A6048">
        <w:rPr>
          <w:i/>
          <w:iCs/>
        </w:rPr>
        <w:t xml:space="preserve">Implementation, Sustainability, </w:t>
      </w:r>
      <w:r w:rsidR="003C5112" w:rsidRPr="00834138">
        <w:rPr>
          <w:iCs/>
        </w:rPr>
        <w:t>and</w:t>
      </w:r>
      <w:r w:rsidR="003C5112" w:rsidRPr="000A6048">
        <w:rPr>
          <w:i/>
          <w:iCs/>
        </w:rPr>
        <w:t xml:space="preserve"> Stakeholder</w:t>
      </w:r>
      <w:r w:rsidR="003C5112">
        <w:t xml:space="preserve"> </w:t>
      </w:r>
      <w:r w:rsidR="00FD26E2" w:rsidRPr="00FD26E2">
        <w:rPr>
          <w:i/>
          <w:iCs/>
        </w:rPr>
        <w:t>Interview Guides</w:t>
      </w:r>
      <w:r w:rsidRPr="005543E4">
        <w:t xml:space="preserve">, the </w:t>
      </w:r>
      <w:r w:rsidR="006F53B0" w:rsidRPr="00FD26E2">
        <w:rPr>
          <w:i/>
          <w:iCs/>
          <w:sz w:val="23"/>
          <w:szCs w:val="23"/>
        </w:rPr>
        <w:t>Provider Survey</w:t>
      </w:r>
      <w:r>
        <w:t xml:space="preserve"> will use a list of grantee provider</w:t>
      </w:r>
      <w:r w:rsidR="005543E4">
        <w:t>s</w:t>
      </w:r>
      <w:r>
        <w:t xml:space="preserve"> confirmed by the grantee project director. A key </w:t>
      </w:r>
      <w:r w:rsidR="002A7051">
        <w:t xml:space="preserve">informant </w:t>
      </w:r>
      <w:r>
        <w:t xml:space="preserve">at each provider organization, </w:t>
      </w:r>
      <w:r w:rsidRPr="007671FB">
        <w:t xml:space="preserve">typically a director or manager within the organization most knowledgeable on the </w:t>
      </w:r>
      <w:r>
        <w:t>SYT-ED or SYT-I</w:t>
      </w:r>
      <w:r w:rsidRPr="007671FB">
        <w:t xml:space="preserve"> </w:t>
      </w:r>
      <w:r w:rsidR="002A7051">
        <w:t>p</w:t>
      </w:r>
      <w:r w:rsidRPr="007671FB">
        <w:t>rogram</w:t>
      </w:r>
      <w:r>
        <w:t xml:space="preserve">, will be identified by the evaluation team and sent the initial provider survey email. The initial email will include all information to securely access the </w:t>
      </w:r>
      <w:r w:rsidR="006F53B0" w:rsidRPr="00FD26E2">
        <w:rPr>
          <w:i/>
          <w:iCs/>
          <w:sz w:val="23"/>
          <w:szCs w:val="23"/>
        </w:rPr>
        <w:t>Provider Survey</w:t>
      </w:r>
      <w:r>
        <w:t xml:space="preserve"> web instrument and provide a </w:t>
      </w:r>
      <w:r w:rsidR="002A7051">
        <w:t>2-</w:t>
      </w:r>
      <w:r>
        <w:t>week period during which the survey should be completed.</w:t>
      </w:r>
      <w:r w:rsidR="00207E4C">
        <w:t xml:space="preserve"> </w:t>
      </w:r>
    </w:p>
    <w:p w14:paraId="4416DF72" w14:textId="411595EC" w:rsidR="00F2064A" w:rsidRDefault="00F2064A" w:rsidP="008248C9">
      <w:pPr>
        <w:pStyle w:val="BodyText"/>
      </w:pPr>
      <w:r>
        <w:t>Brief reminder emails will be sent to providers to help ensure surveys are completed. If a provider requests a paper copy of the survey, it will be mailed securely via Fed Ex with a postage</w:t>
      </w:r>
      <w:r w:rsidR="002A7051">
        <w:t>-</w:t>
      </w:r>
      <w:r>
        <w:t xml:space="preserve">paid return envelope. </w:t>
      </w:r>
      <w:r w:rsidR="00B154C4">
        <w:t xml:space="preserve">Full details and template emails are provided in </w:t>
      </w:r>
      <w:r w:rsidR="00B154C4" w:rsidRPr="00ED3519">
        <w:t xml:space="preserve">Attachment </w:t>
      </w:r>
      <w:r w:rsidR="008248C9">
        <w:t>8</w:t>
      </w:r>
      <w:r w:rsidR="00B154C4">
        <w:t>.</w:t>
      </w:r>
    </w:p>
    <w:p w14:paraId="141A57E1" w14:textId="0BE236AE" w:rsidR="00B372ED" w:rsidRDefault="00F2064A" w:rsidP="0048240B">
      <w:pPr>
        <w:pStyle w:val="BodyText"/>
      </w:pPr>
      <w:r>
        <w:t xml:space="preserve">Respondents to the </w:t>
      </w:r>
      <w:r w:rsidR="006F53B0" w:rsidRPr="00FD26E2">
        <w:rPr>
          <w:i/>
          <w:iCs/>
          <w:sz w:val="23"/>
          <w:szCs w:val="23"/>
        </w:rPr>
        <w:t>Provider Survey</w:t>
      </w:r>
      <w:r>
        <w:t xml:space="preserve"> will be provided with a user name and password (changed by the respondent at first login) through which to access the survey. </w:t>
      </w:r>
      <w:r w:rsidR="0074048A">
        <w:t>Before the respondent begins the survey, the respondent will be ask</w:t>
      </w:r>
      <w:r w:rsidR="002A7051">
        <w:t>ed</w:t>
      </w:r>
      <w:r w:rsidR="0074048A">
        <w:t xml:space="preserve"> to review a short paragraph </w:t>
      </w:r>
      <w:r w:rsidR="002A7051">
        <w:t xml:space="preserve">that </w:t>
      </w:r>
      <w:r w:rsidR="0074048A">
        <w:t>details how</w:t>
      </w:r>
      <w:r w:rsidR="002A7051">
        <w:t xml:space="preserve"> the</w:t>
      </w:r>
      <w:r w:rsidR="0074048A">
        <w:t xml:space="preserve"> </w:t>
      </w:r>
      <w:r w:rsidR="006F53B0" w:rsidRPr="00FD26E2">
        <w:rPr>
          <w:i/>
          <w:iCs/>
          <w:sz w:val="23"/>
          <w:szCs w:val="23"/>
        </w:rPr>
        <w:t>Provider Survey</w:t>
      </w:r>
      <w:r w:rsidR="0074048A">
        <w:t xml:space="preserve"> is </w:t>
      </w:r>
      <w:r w:rsidR="0048240B">
        <w:t>private</w:t>
      </w:r>
      <w:r w:rsidR="0074048A">
        <w:t xml:space="preserve"> and voluntary. Surveys</w:t>
      </w:r>
      <w:r>
        <w:t xml:space="preserve"> will only be considered complete once the respondent </w:t>
      </w:r>
      <w:r w:rsidR="0074048A">
        <w:t>submits the survey</w:t>
      </w:r>
      <w:r w:rsidR="002A7051">
        <w:t>;</w:t>
      </w:r>
      <w:r>
        <w:t xml:space="preserve"> </w:t>
      </w:r>
      <w:r w:rsidR="0074048A">
        <w:t xml:space="preserve">this feature will allow the respondent to complete parts of the survey and return to the survey at a later time. All data will be stored securely on RTI’s servers and data will only be identified </w:t>
      </w:r>
      <w:r w:rsidR="00F7297F">
        <w:t xml:space="preserve">with </w:t>
      </w:r>
      <w:r w:rsidR="0074048A">
        <w:t>a</w:t>
      </w:r>
      <w:r w:rsidR="00F7297F">
        <w:t xml:space="preserve"> random</w:t>
      </w:r>
      <w:r w:rsidR="0074048A">
        <w:t xml:space="preserve"> provider ID. </w:t>
      </w:r>
    </w:p>
    <w:p w14:paraId="0501E388" w14:textId="77777777" w:rsidR="00ED0429" w:rsidRPr="00241701" w:rsidRDefault="00ED0429" w:rsidP="00795B76">
      <w:pPr>
        <w:pStyle w:val="Heading2"/>
      </w:pPr>
      <w:r w:rsidRPr="00241701">
        <w:t>3.</w:t>
      </w:r>
      <w:r w:rsidRPr="00241701">
        <w:tab/>
      </w:r>
      <w:r w:rsidRPr="00795B76">
        <w:rPr>
          <w:u w:val="single"/>
        </w:rPr>
        <w:t>Methods to Maximize Response Rates</w:t>
      </w:r>
    </w:p>
    <w:p w14:paraId="5A13D306" w14:textId="520E9DFF" w:rsidR="00B154C4" w:rsidRDefault="00B154C4" w:rsidP="008248C9">
      <w:pPr>
        <w:pStyle w:val="BodyText"/>
      </w:pPr>
      <w:r>
        <w:t xml:space="preserve">While grantees in the SYT programs are expected to participate </w:t>
      </w:r>
      <w:r w:rsidR="002A7051">
        <w:t xml:space="preserve">in </w:t>
      </w:r>
      <w:r>
        <w:t xml:space="preserve">evaluation data collection activities as SAMHSA grantees, </w:t>
      </w:r>
      <w:r w:rsidRPr="005543E4">
        <w:t xml:space="preserve">the </w:t>
      </w:r>
      <w:r w:rsidR="003C5112" w:rsidRPr="000A6048">
        <w:rPr>
          <w:i/>
          <w:iCs/>
        </w:rPr>
        <w:t xml:space="preserve">Implementation, Sustainability, </w:t>
      </w:r>
      <w:r w:rsidR="003C5112" w:rsidRPr="00834138">
        <w:rPr>
          <w:iCs/>
        </w:rPr>
        <w:t>and</w:t>
      </w:r>
      <w:r w:rsidR="003C5112" w:rsidRPr="000A6048">
        <w:rPr>
          <w:i/>
          <w:iCs/>
        </w:rPr>
        <w:t xml:space="preserve"> Stakeholder</w:t>
      </w:r>
      <w:r w:rsidR="003C5112">
        <w:t xml:space="preserve"> </w:t>
      </w:r>
      <w:r w:rsidR="00FD26E2" w:rsidRPr="00FD26E2">
        <w:rPr>
          <w:i/>
          <w:iCs/>
        </w:rPr>
        <w:t>Interview Guides</w:t>
      </w:r>
      <w:r w:rsidR="008248C9" w:rsidRPr="005543E4">
        <w:t>,</w:t>
      </w:r>
      <w:r w:rsidRPr="005543E4">
        <w:rPr>
          <w:iCs/>
        </w:rPr>
        <w:t xml:space="preserve"> </w:t>
      </w:r>
      <w:r w:rsidR="006F53B0" w:rsidRPr="00FD26E2">
        <w:rPr>
          <w:i/>
          <w:iCs/>
          <w:sz w:val="23"/>
          <w:szCs w:val="23"/>
        </w:rPr>
        <w:t>Provider Survey</w:t>
      </w:r>
      <w:r w:rsidR="008248C9" w:rsidRPr="005543E4">
        <w:t xml:space="preserve">, </w:t>
      </w:r>
      <w:r w:rsidR="00245E6F">
        <w:rPr>
          <w:iCs/>
        </w:rPr>
        <w:t>focus group</w:t>
      </w:r>
      <w:r w:rsidR="00601884" w:rsidRPr="005543E4">
        <w:rPr>
          <w:iCs/>
        </w:rPr>
        <w:t>s</w:t>
      </w:r>
      <w:r w:rsidRPr="005543E4">
        <w:rPr>
          <w:iCs/>
        </w:rPr>
        <w:t xml:space="preserve"> </w:t>
      </w:r>
      <w:r w:rsidRPr="005543E4">
        <w:t>are designed to help ensure that each grantee, stakeholder</w:t>
      </w:r>
      <w:r w:rsidR="00745EB2" w:rsidRPr="005543E4">
        <w:t>,</w:t>
      </w:r>
      <w:r w:rsidRPr="005543E4">
        <w:t xml:space="preserve"> and provider responds. Efforts to reach</w:t>
      </w:r>
      <w:r>
        <w:t xml:space="preserve"> a 100% response rate begins at recruitment and focuses on reducing grantee burden and communicating information about the data collection efforts before its implementation.</w:t>
      </w:r>
      <w:r w:rsidRPr="00676C73">
        <w:t xml:space="preserve"> The </w:t>
      </w:r>
      <w:r w:rsidR="00D80EA6">
        <w:t>evaluation team</w:t>
      </w:r>
      <w:r w:rsidRPr="00676C73">
        <w:t xml:space="preserve"> has already begun the engagement process by</w:t>
      </w:r>
      <w:r w:rsidR="00D80EA6">
        <w:t xml:space="preserve"> participating in grantee </w:t>
      </w:r>
      <w:r w:rsidR="00D663DB">
        <w:t xml:space="preserve">meetings and conference calls. </w:t>
      </w:r>
    </w:p>
    <w:p w14:paraId="69630FA4" w14:textId="723BEF91" w:rsidR="00E559CA" w:rsidRPr="00A92679" w:rsidRDefault="00D663DB" w:rsidP="00795B76">
      <w:pPr>
        <w:pStyle w:val="BodyText"/>
      </w:pPr>
      <w:r>
        <w:t>The evaluation team plans to use reminder emails and telephone calls to help maintain a 100% response rate.</w:t>
      </w:r>
      <w:r w:rsidR="00A92679">
        <w:t xml:space="preserve"> </w:t>
      </w:r>
    </w:p>
    <w:p w14:paraId="79ED7322" w14:textId="77777777" w:rsidR="00ED0429" w:rsidRDefault="00ED0429" w:rsidP="00795B76">
      <w:pPr>
        <w:pStyle w:val="Heading2"/>
      </w:pPr>
      <w:r w:rsidRPr="005E67F7">
        <w:t>4.</w:t>
      </w:r>
      <w:r w:rsidRPr="005E67F7">
        <w:tab/>
      </w:r>
      <w:r w:rsidRPr="00795B76">
        <w:rPr>
          <w:u w:val="single"/>
        </w:rPr>
        <w:t>Test of Procedures</w:t>
      </w:r>
    </w:p>
    <w:p w14:paraId="5DB3A7BF" w14:textId="077A32AC" w:rsidR="00EE63D0" w:rsidRPr="005543E4" w:rsidRDefault="00E559CA" w:rsidP="00601884">
      <w:pPr>
        <w:pStyle w:val="BodyText"/>
      </w:pPr>
      <w:r>
        <w:t>Both the</w:t>
      </w:r>
      <w:r w:rsidR="003C5112">
        <w:t xml:space="preserve"> </w:t>
      </w:r>
      <w:r w:rsidR="003C5112" w:rsidRPr="000A6048">
        <w:rPr>
          <w:i/>
          <w:iCs/>
        </w:rPr>
        <w:t xml:space="preserve">Implementation, Sustainability, </w:t>
      </w:r>
      <w:r w:rsidR="003C5112" w:rsidRPr="00834138">
        <w:rPr>
          <w:iCs/>
        </w:rPr>
        <w:t>and</w:t>
      </w:r>
      <w:r w:rsidR="003C5112" w:rsidRPr="000A6048">
        <w:rPr>
          <w:i/>
          <w:iCs/>
        </w:rPr>
        <w:t xml:space="preserve"> Stakeholder</w:t>
      </w:r>
      <w:r>
        <w:t xml:space="preserve"> </w:t>
      </w:r>
      <w:r w:rsidR="00FD26E2" w:rsidRPr="00FD26E2">
        <w:rPr>
          <w:i/>
          <w:iCs/>
        </w:rPr>
        <w:t>Interview Guides</w:t>
      </w:r>
      <w:r w:rsidR="00601884" w:rsidRPr="005543E4">
        <w:t>,</w:t>
      </w:r>
      <w:r w:rsidR="00601884" w:rsidRPr="005543E4">
        <w:rPr>
          <w:iCs/>
        </w:rPr>
        <w:t xml:space="preserve"> </w:t>
      </w:r>
      <w:r w:rsidR="006F53B0" w:rsidRPr="00FD26E2">
        <w:rPr>
          <w:i/>
          <w:iCs/>
          <w:sz w:val="23"/>
          <w:szCs w:val="23"/>
        </w:rPr>
        <w:t>Provider Survey</w:t>
      </w:r>
      <w:r w:rsidR="00601884" w:rsidRPr="005543E4">
        <w:t xml:space="preserve">, </w:t>
      </w:r>
      <w:r w:rsidR="003C5112">
        <w:t xml:space="preserve">and </w:t>
      </w:r>
      <w:r w:rsidR="00245E6F">
        <w:rPr>
          <w:iCs/>
        </w:rPr>
        <w:t>focus group</w:t>
      </w:r>
      <w:r w:rsidR="00601884" w:rsidRPr="005543E4">
        <w:rPr>
          <w:iCs/>
        </w:rPr>
        <w:t>s</w:t>
      </w:r>
      <w:r w:rsidR="00601884" w:rsidRPr="005543E4">
        <w:t xml:space="preserve"> </w:t>
      </w:r>
      <w:r w:rsidRPr="005543E4">
        <w:t xml:space="preserve">leverage the significant experience of the evaluation team and both instruments are based on tools used successfully in other evaluation efforts. The </w:t>
      </w:r>
      <w:r w:rsidR="00F67EC5" w:rsidRPr="00F67EC5">
        <w:rPr>
          <w:i/>
          <w:iCs/>
        </w:rPr>
        <w:t>I</w:t>
      </w:r>
      <w:r w:rsidRPr="00F67EC5">
        <w:rPr>
          <w:i/>
          <w:iCs/>
        </w:rPr>
        <w:t>nterview</w:t>
      </w:r>
      <w:r w:rsidR="00601884" w:rsidRPr="005543E4">
        <w:rPr>
          <w:iCs/>
        </w:rPr>
        <w:t xml:space="preserve"> </w:t>
      </w:r>
      <w:r w:rsidR="00601884" w:rsidRPr="005543E4">
        <w:t>and</w:t>
      </w:r>
      <w:r w:rsidR="00245E6F">
        <w:rPr>
          <w:iCs/>
        </w:rPr>
        <w:t xml:space="preserve"> </w:t>
      </w:r>
      <w:r w:rsidR="00F67EC5" w:rsidRPr="00F67EC5">
        <w:rPr>
          <w:i/>
          <w:iCs/>
          <w:sz w:val="23"/>
          <w:szCs w:val="23"/>
        </w:rPr>
        <w:t>Focus Group Guides</w:t>
      </w:r>
      <w:r w:rsidR="00745EB2" w:rsidRPr="005543E4">
        <w:t xml:space="preserve"> </w:t>
      </w:r>
      <w:r w:rsidR="00EE63D0" w:rsidRPr="005543E4">
        <w:t xml:space="preserve">are adapted to address the specific </w:t>
      </w:r>
      <w:r w:rsidR="00745EB2" w:rsidRPr="005543E4">
        <w:t xml:space="preserve">youth </w:t>
      </w:r>
      <w:r w:rsidR="00EE63D0" w:rsidRPr="005543E4">
        <w:t xml:space="preserve">program evaluations from similar instruments </w:t>
      </w:r>
      <w:r w:rsidR="00745EB2" w:rsidRPr="005543E4">
        <w:t xml:space="preserve">that were </w:t>
      </w:r>
      <w:r w:rsidR="00EE63D0" w:rsidRPr="005543E4">
        <w:t xml:space="preserve">used </w:t>
      </w:r>
      <w:r w:rsidR="00EE63D0" w:rsidRPr="005543E4">
        <w:rPr>
          <w:rFonts w:asciiTheme="majorBidi" w:hAnsiTheme="majorBidi" w:cstheme="majorBidi"/>
        </w:rPr>
        <w:t xml:space="preserve">successfully in other evaluations including the </w:t>
      </w:r>
      <w:r w:rsidR="005543E4">
        <w:rPr>
          <w:rFonts w:asciiTheme="majorBidi" w:hAnsiTheme="majorBidi" w:cstheme="majorBidi"/>
        </w:rPr>
        <w:t xml:space="preserve">SAMHSA </w:t>
      </w:r>
      <w:r w:rsidR="00EE63D0" w:rsidRPr="005543E4">
        <w:rPr>
          <w:rFonts w:asciiTheme="majorBidi" w:hAnsiTheme="majorBidi" w:cstheme="majorBidi"/>
        </w:rPr>
        <w:t xml:space="preserve">Access to Recovery </w:t>
      </w:r>
      <w:r w:rsidR="00745EB2" w:rsidRPr="005543E4">
        <w:rPr>
          <w:rFonts w:asciiTheme="majorBidi" w:hAnsiTheme="majorBidi" w:cstheme="majorBidi"/>
        </w:rPr>
        <w:t xml:space="preserve">evaluation </w:t>
      </w:r>
      <w:r w:rsidR="00EE63D0" w:rsidRPr="005543E4">
        <w:rPr>
          <w:rFonts w:asciiTheme="majorBidi" w:hAnsiTheme="majorBidi" w:cstheme="majorBidi"/>
        </w:rPr>
        <w:t xml:space="preserve">(used with 25 grantee projects and over 200 respondents), ASPE Medicaid Expansion Evaluation, and the </w:t>
      </w:r>
      <w:r w:rsidR="005543E4">
        <w:rPr>
          <w:rFonts w:asciiTheme="majorBidi" w:hAnsiTheme="majorBidi" w:cstheme="majorBidi"/>
        </w:rPr>
        <w:t xml:space="preserve">SAMHSA </w:t>
      </w:r>
      <w:r w:rsidR="00EE63D0" w:rsidRPr="005543E4">
        <w:rPr>
          <w:rFonts w:asciiTheme="majorBidi" w:hAnsiTheme="majorBidi" w:cstheme="majorBidi"/>
        </w:rPr>
        <w:t xml:space="preserve">Homeless Programs Evaluations (used with 43 grantee projects </w:t>
      </w:r>
      <w:r w:rsidR="00EE63D0" w:rsidRPr="005543E4">
        <w:rPr>
          <w:rFonts w:asciiTheme="majorBidi" w:hAnsiTheme="majorBidi" w:cstheme="majorBidi"/>
        </w:rPr>
        <w:lastRenderedPageBreak/>
        <w:t>and over 400 respondents).</w:t>
      </w:r>
      <w:r w:rsidRPr="005543E4">
        <w:t xml:space="preserve"> </w:t>
      </w:r>
      <w:r w:rsidR="00EE63D0" w:rsidRPr="005543E4">
        <w:t xml:space="preserve">The </w:t>
      </w:r>
      <w:r w:rsidR="006F53B0" w:rsidRPr="00FD26E2">
        <w:rPr>
          <w:i/>
          <w:iCs/>
          <w:sz w:val="23"/>
          <w:szCs w:val="23"/>
        </w:rPr>
        <w:t>Provider Survey</w:t>
      </w:r>
      <w:r w:rsidR="00EE63D0" w:rsidRPr="005543E4">
        <w:t xml:space="preserve"> is adapted from similar provider survey used in the Access to Recovery evaluation which received hundreds of responses. </w:t>
      </w:r>
    </w:p>
    <w:p w14:paraId="625ADFC2" w14:textId="75C51F51" w:rsidR="00E559CA" w:rsidRDefault="00EE63D0" w:rsidP="00795B76">
      <w:pPr>
        <w:pStyle w:val="BodyText"/>
      </w:pPr>
      <w:r>
        <w:t xml:space="preserve">The evaluation team also tested instruments by completing instruments to estimate the burden time as outlined in </w:t>
      </w:r>
      <w:r w:rsidRPr="00F7297F">
        <w:rPr>
          <w:b/>
          <w:i/>
        </w:rPr>
        <w:t>Section A.12</w:t>
      </w:r>
      <w:r>
        <w:t>.</w:t>
      </w:r>
      <w:r w:rsidR="00207E4C">
        <w:t xml:space="preserve"> </w:t>
      </w:r>
    </w:p>
    <w:p w14:paraId="776CF2D0" w14:textId="77777777" w:rsidR="00ED0429" w:rsidRPr="00241701" w:rsidRDefault="00ED0429" w:rsidP="00795B76">
      <w:pPr>
        <w:pStyle w:val="Heading2"/>
      </w:pPr>
      <w:r w:rsidRPr="00241701">
        <w:t>5.</w:t>
      </w:r>
      <w:r w:rsidRPr="00241701">
        <w:tab/>
      </w:r>
      <w:r w:rsidRPr="00795B76">
        <w:rPr>
          <w:u w:val="single"/>
        </w:rPr>
        <w:t>Statistical Consultants</w:t>
      </w:r>
    </w:p>
    <w:p w14:paraId="4AA36853" w14:textId="18FB7CE0" w:rsidR="00ED0429" w:rsidRDefault="00ED0429" w:rsidP="00601884">
      <w:pPr>
        <w:pStyle w:val="BodyText"/>
      </w:pPr>
      <w:r w:rsidRPr="008C607D">
        <w:t xml:space="preserve">As noted in </w:t>
      </w:r>
      <w:r w:rsidRPr="00F7297F">
        <w:rPr>
          <w:b/>
          <w:i/>
        </w:rPr>
        <w:t>Section A.8</w:t>
      </w:r>
      <w:r w:rsidRPr="008C607D">
        <w:t xml:space="preserve">, </w:t>
      </w:r>
      <w:r>
        <w:t>SAMHSA</w:t>
      </w:r>
      <w:r w:rsidRPr="008C607D">
        <w:t xml:space="preserve"> has </w:t>
      </w:r>
      <w:r w:rsidR="00EE63D0">
        <w:t>contracted an evaluation team consisting of relevant subject</w:t>
      </w:r>
      <w:r w:rsidR="00745EB2">
        <w:t>-</w:t>
      </w:r>
      <w:r w:rsidR="00EE63D0">
        <w:t xml:space="preserve">matter experts. </w:t>
      </w:r>
      <w:r w:rsidRPr="008C607D">
        <w:t xml:space="preserve">In addition, </w:t>
      </w:r>
      <w:r>
        <w:t xml:space="preserve">the contractor team </w:t>
      </w:r>
      <w:r w:rsidR="00745EB2">
        <w:t>comprises</w:t>
      </w:r>
      <w:r>
        <w:t xml:space="preserve"> several experts who will be directly involved in the data collection and statistical analysis. Also, contractor </w:t>
      </w:r>
      <w:r w:rsidRPr="008C607D">
        <w:t xml:space="preserve">in-house experts will be consulted throughout the program on various statistical aspects of the design, methodological issues, economic analysis, database management, and data analysis. </w:t>
      </w:r>
      <w:r w:rsidRPr="00C47473">
        <w:rPr>
          <w:b/>
          <w:bCs/>
          <w:i/>
        </w:rPr>
        <w:t xml:space="preserve">Exhibit </w:t>
      </w:r>
      <w:r w:rsidR="00BE204C">
        <w:rPr>
          <w:b/>
          <w:bCs/>
          <w:i/>
        </w:rPr>
        <w:t xml:space="preserve">11 </w:t>
      </w:r>
      <w:r w:rsidRPr="008C607D">
        <w:t xml:space="preserve">provides details of these </w:t>
      </w:r>
      <w:r>
        <w:t xml:space="preserve">team members and </w:t>
      </w:r>
      <w:r w:rsidRPr="008C607D">
        <w:t>advisors.</w:t>
      </w:r>
    </w:p>
    <w:p w14:paraId="0BFF1B6C" w14:textId="26004244" w:rsidR="00ED0429" w:rsidRDefault="00ED0429" w:rsidP="00601884">
      <w:pPr>
        <w:pStyle w:val="Exhibittitle"/>
      </w:pPr>
      <w:bookmarkStart w:id="6" w:name="_Toc93987698"/>
      <w:bookmarkStart w:id="7" w:name="_Toc131566262"/>
      <w:r w:rsidRPr="004C2F68">
        <w:t xml:space="preserve">Exhibit </w:t>
      </w:r>
      <w:r w:rsidR="00BE204C">
        <w:t>11</w:t>
      </w:r>
      <w:r w:rsidRPr="004C2F68">
        <w:t xml:space="preserve">. </w:t>
      </w:r>
      <w:bookmarkEnd w:id="6"/>
      <w:bookmarkEnd w:id="7"/>
      <w:r w:rsidR="00795B76">
        <w:tab/>
      </w:r>
      <w:r w:rsidRPr="004C2F68">
        <w:t>Data Collection and Analysis Team Members and Advisors</w:t>
      </w:r>
    </w:p>
    <w:tbl>
      <w:tblPr>
        <w:tblStyle w:val="LightShading"/>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367"/>
        <w:gridCol w:w="3870"/>
      </w:tblGrid>
      <w:tr w:rsidR="00795B76" w:rsidRPr="002045A1" w14:paraId="7527CBE0" w14:textId="77777777" w:rsidTr="00D4216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bottom"/>
          </w:tcPr>
          <w:p w14:paraId="7D976A19" w14:textId="77777777" w:rsidR="00795B76" w:rsidRPr="002045A1" w:rsidRDefault="00795B76" w:rsidP="00B03998">
            <w:pPr>
              <w:pStyle w:val="Tabletext"/>
              <w:spacing w:before="20" w:after="20"/>
              <w:jc w:val="center"/>
            </w:pPr>
            <w:r w:rsidRPr="002045A1">
              <w:t>Expert</w:t>
            </w:r>
          </w:p>
        </w:tc>
        <w:tc>
          <w:tcPr>
            <w:tcW w:w="2367"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bottom"/>
          </w:tcPr>
          <w:p w14:paraId="34CE4C60" w14:textId="77777777" w:rsidR="00795B76" w:rsidRPr="002045A1" w:rsidRDefault="00795B76" w:rsidP="00B03998">
            <w:pPr>
              <w:pStyle w:val="Tabletext"/>
              <w:spacing w:before="20" w:after="20"/>
              <w:jc w:val="center"/>
              <w:cnfStyle w:val="100000000000" w:firstRow="1" w:lastRow="0" w:firstColumn="0" w:lastColumn="0" w:oddVBand="0" w:evenVBand="0" w:oddHBand="0" w:evenHBand="0" w:firstRowFirstColumn="0" w:firstRowLastColumn="0" w:lastRowFirstColumn="0" w:lastRowLastColumn="0"/>
            </w:pPr>
            <w:r w:rsidRPr="002045A1">
              <w:t>Affiliation</w:t>
            </w:r>
          </w:p>
        </w:tc>
        <w:tc>
          <w:tcPr>
            <w:tcW w:w="3870"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bottom"/>
          </w:tcPr>
          <w:p w14:paraId="6954CC20" w14:textId="77777777" w:rsidR="00795B76" w:rsidRPr="002045A1" w:rsidRDefault="00795B76" w:rsidP="00B03998">
            <w:pPr>
              <w:pStyle w:val="Tabletext"/>
              <w:spacing w:before="20" w:after="20"/>
              <w:jc w:val="center"/>
              <w:cnfStyle w:val="100000000000" w:firstRow="1" w:lastRow="0" w:firstColumn="0" w:lastColumn="0" w:oddVBand="0" w:evenVBand="0" w:oddHBand="0" w:evenHBand="0" w:firstRowFirstColumn="0" w:firstRowLastColumn="0" w:lastRowFirstColumn="0" w:lastRowLastColumn="0"/>
            </w:pPr>
            <w:r w:rsidRPr="002045A1">
              <w:t>Contact Information</w:t>
            </w:r>
          </w:p>
        </w:tc>
      </w:tr>
      <w:tr w:rsidR="00F61657" w:rsidRPr="002045A1" w14:paraId="5E6A4611" w14:textId="77777777" w:rsidTr="00D4216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8" w:type="dxa"/>
            <w:tcBorders>
              <w:left w:val="none" w:sz="0" w:space="0" w:color="auto"/>
              <w:right w:val="none" w:sz="0" w:space="0" w:color="auto"/>
            </w:tcBorders>
            <w:shd w:val="clear" w:color="auto" w:fill="auto"/>
          </w:tcPr>
          <w:p w14:paraId="18B2B441" w14:textId="77777777" w:rsidR="00F61657" w:rsidRDefault="00F61657" w:rsidP="00F61657">
            <w:pPr>
              <w:pStyle w:val="Tabletext"/>
              <w:spacing w:before="20" w:after="20"/>
            </w:pPr>
            <w:r>
              <w:t>Sharon Amatetti, MPH</w:t>
            </w:r>
          </w:p>
          <w:p w14:paraId="1AB9E14E" w14:textId="77777777" w:rsidR="00F61657" w:rsidRDefault="00F61657" w:rsidP="003C5112">
            <w:pPr>
              <w:pStyle w:val="Tabletext"/>
              <w:spacing w:before="20" w:after="20"/>
            </w:pPr>
            <w:r>
              <w:t>Senior Public Health Analyst</w:t>
            </w:r>
          </w:p>
          <w:p w14:paraId="23252E2B" w14:textId="68052FF2" w:rsidR="00F61657" w:rsidRPr="002045A1" w:rsidRDefault="00F61657" w:rsidP="003C5112">
            <w:pPr>
              <w:pStyle w:val="Tabletext"/>
              <w:spacing w:before="20" w:after="20"/>
            </w:pPr>
            <w:r>
              <w:t>SAMHSA Women’s Issue Coordinator</w:t>
            </w:r>
          </w:p>
        </w:tc>
        <w:tc>
          <w:tcPr>
            <w:tcW w:w="2367" w:type="dxa"/>
            <w:tcBorders>
              <w:left w:val="none" w:sz="0" w:space="0" w:color="auto"/>
              <w:right w:val="none" w:sz="0" w:space="0" w:color="auto"/>
            </w:tcBorders>
            <w:shd w:val="clear" w:color="auto" w:fill="auto"/>
          </w:tcPr>
          <w:p w14:paraId="6468FC4A" w14:textId="13F8E8B9" w:rsidR="00F61657" w:rsidRPr="002045A1" w:rsidRDefault="00F61657" w:rsidP="003C5112">
            <w:pPr>
              <w:pStyle w:val="Tabletext"/>
              <w:spacing w:before="20" w:after="20"/>
              <w:cnfStyle w:val="000000100000" w:firstRow="0" w:lastRow="0" w:firstColumn="0" w:lastColumn="0" w:oddVBand="0" w:evenVBand="0" w:oddHBand="1" w:evenHBand="0" w:firstRowFirstColumn="0" w:firstRowLastColumn="0" w:lastRowFirstColumn="0" w:lastRowLastColumn="0"/>
            </w:pPr>
            <w:r w:rsidRPr="00F61657">
              <w:t>SAMHSA/CSAT</w:t>
            </w:r>
          </w:p>
        </w:tc>
        <w:tc>
          <w:tcPr>
            <w:tcW w:w="3870" w:type="dxa"/>
            <w:tcBorders>
              <w:left w:val="none" w:sz="0" w:space="0" w:color="auto"/>
              <w:right w:val="none" w:sz="0" w:space="0" w:color="auto"/>
            </w:tcBorders>
            <w:shd w:val="clear" w:color="auto" w:fill="auto"/>
          </w:tcPr>
          <w:p w14:paraId="2D054B3D" w14:textId="6A81AEF9" w:rsidR="00F61657" w:rsidRDefault="00F61657" w:rsidP="00F61657">
            <w:pPr>
              <w:pStyle w:val="Tabletext"/>
              <w:spacing w:before="20" w:after="20"/>
              <w:cnfStyle w:val="000000100000" w:firstRow="0" w:lastRow="0" w:firstColumn="0" w:lastColumn="0" w:oddVBand="0" w:evenVBand="0" w:oddHBand="1" w:evenHBand="0" w:firstRowFirstColumn="0" w:firstRowLastColumn="0" w:lastRowFirstColumn="0" w:lastRowLastColumn="0"/>
            </w:pPr>
            <w:r>
              <w:t>5600 Fishers Lane</w:t>
            </w:r>
          </w:p>
          <w:p w14:paraId="0C22810B" w14:textId="77777777" w:rsidR="00F61657" w:rsidRDefault="00F61657" w:rsidP="003C5112">
            <w:pPr>
              <w:pStyle w:val="Tabletext"/>
              <w:spacing w:before="20" w:after="20"/>
              <w:cnfStyle w:val="000000100000" w:firstRow="0" w:lastRow="0" w:firstColumn="0" w:lastColumn="0" w:oddVBand="0" w:evenVBand="0" w:oddHBand="1" w:evenHBand="0" w:firstRowFirstColumn="0" w:firstRowLastColumn="0" w:lastRowFirstColumn="0" w:lastRowLastColumn="0"/>
            </w:pPr>
            <w:r>
              <w:t>Rockville, MD 20857</w:t>
            </w:r>
          </w:p>
          <w:p w14:paraId="2AA38677" w14:textId="2E1F217B" w:rsidR="00F61657" w:rsidRPr="002045A1" w:rsidRDefault="00F61657" w:rsidP="003C5112">
            <w:pPr>
              <w:pStyle w:val="Tabletext"/>
              <w:spacing w:before="20" w:after="20"/>
              <w:cnfStyle w:val="000000100000" w:firstRow="0" w:lastRow="0" w:firstColumn="0" w:lastColumn="0" w:oddVBand="0" w:evenVBand="0" w:oddHBand="1" w:evenHBand="0" w:firstRowFirstColumn="0" w:firstRowLastColumn="0" w:lastRowFirstColumn="0" w:lastRowLastColumn="0"/>
            </w:pPr>
            <w:r>
              <w:t>Sharon.Amatetti@samhsa.hhs.gov</w:t>
            </w:r>
          </w:p>
        </w:tc>
      </w:tr>
      <w:tr w:rsidR="000108B4" w:rsidRPr="002045A1" w14:paraId="44828D59" w14:textId="77777777" w:rsidTr="00D4216F">
        <w:trPr>
          <w:cantSplit/>
        </w:trPr>
        <w:tc>
          <w:tcPr>
            <w:cnfStyle w:val="001000000000" w:firstRow="0" w:lastRow="0" w:firstColumn="1" w:lastColumn="0" w:oddVBand="0" w:evenVBand="0" w:oddHBand="0" w:evenHBand="0" w:firstRowFirstColumn="0" w:firstRowLastColumn="0" w:lastRowFirstColumn="0" w:lastRowLastColumn="0"/>
            <w:tcW w:w="3118" w:type="dxa"/>
            <w:shd w:val="clear" w:color="auto" w:fill="auto"/>
          </w:tcPr>
          <w:p w14:paraId="03AA3C77" w14:textId="77777777" w:rsidR="000108B4" w:rsidRPr="000108B4" w:rsidRDefault="000108B4" w:rsidP="000108B4">
            <w:pPr>
              <w:pStyle w:val="Tabletext"/>
              <w:spacing w:before="20" w:after="20"/>
              <w:rPr>
                <w:rFonts w:asciiTheme="majorBidi" w:hAnsiTheme="majorBidi" w:cstheme="majorBidi"/>
              </w:rPr>
            </w:pPr>
            <w:r w:rsidRPr="000108B4">
              <w:rPr>
                <w:rFonts w:asciiTheme="majorBidi" w:hAnsiTheme="majorBidi" w:cstheme="majorBidi"/>
              </w:rPr>
              <w:t>Twyla Adams</w:t>
            </w:r>
          </w:p>
          <w:p w14:paraId="2CE2552E" w14:textId="6A20D313" w:rsidR="000108B4" w:rsidRPr="000108B4" w:rsidRDefault="000108B4" w:rsidP="000108B4">
            <w:pPr>
              <w:pStyle w:val="Tabletext"/>
              <w:spacing w:before="20" w:after="20"/>
              <w:rPr>
                <w:rFonts w:asciiTheme="majorBidi" w:hAnsiTheme="majorBidi" w:cstheme="majorBidi"/>
              </w:rPr>
            </w:pPr>
            <w:r w:rsidRPr="000108B4">
              <w:rPr>
                <w:rFonts w:asciiTheme="majorBidi" w:hAnsiTheme="majorBidi" w:cstheme="majorBidi"/>
              </w:rPr>
              <w:t>Branch Chief</w:t>
            </w:r>
          </w:p>
        </w:tc>
        <w:tc>
          <w:tcPr>
            <w:tcW w:w="2367" w:type="dxa"/>
            <w:shd w:val="clear" w:color="auto" w:fill="auto"/>
          </w:tcPr>
          <w:p w14:paraId="01EA9A3C" w14:textId="16074495" w:rsidR="000108B4" w:rsidRPr="00F61657" w:rsidRDefault="000108B4" w:rsidP="000108B4">
            <w:pPr>
              <w:pStyle w:val="Tabletext"/>
              <w:spacing w:before="20" w:after="20"/>
              <w:cnfStyle w:val="000000000000" w:firstRow="0" w:lastRow="0" w:firstColumn="0" w:lastColumn="0" w:oddVBand="0" w:evenVBand="0" w:oddHBand="0" w:evenHBand="0" w:firstRowFirstColumn="0" w:firstRowLastColumn="0" w:lastRowFirstColumn="0" w:lastRowLastColumn="0"/>
            </w:pPr>
            <w:r w:rsidRPr="00F61657">
              <w:t>SAMHSA/CSAT</w:t>
            </w:r>
          </w:p>
        </w:tc>
        <w:tc>
          <w:tcPr>
            <w:tcW w:w="3870" w:type="dxa"/>
            <w:shd w:val="clear" w:color="auto" w:fill="auto"/>
          </w:tcPr>
          <w:p w14:paraId="2FDEB2B1" w14:textId="77777777" w:rsidR="000108B4" w:rsidRDefault="000108B4" w:rsidP="000108B4">
            <w:pPr>
              <w:pStyle w:val="Tabletext"/>
              <w:spacing w:before="20" w:after="20"/>
              <w:cnfStyle w:val="000000000000" w:firstRow="0" w:lastRow="0" w:firstColumn="0" w:lastColumn="0" w:oddVBand="0" w:evenVBand="0" w:oddHBand="0" w:evenHBand="0" w:firstRowFirstColumn="0" w:firstRowLastColumn="0" w:lastRowFirstColumn="0" w:lastRowLastColumn="0"/>
            </w:pPr>
            <w:r>
              <w:t>5600 Fishers Lane</w:t>
            </w:r>
          </w:p>
          <w:p w14:paraId="0D79EA60" w14:textId="77777777" w:rsidR="000108B4" w:rsidRDefault="000108B4" w:rsidP="000108B4">
            <w:pPr>
              <w:pStyle w:val="Tabletext"/>
              <w:spacing w:before="20" w:after="20"/>
              <w:cnfStyle w:val="000000000000" w:firstRow="0" w:lastRow="0" w:firstColumn="0" w:lastColumn="0" w:oddVBand="0" w:evenVBand="0" w:oddHBand="0" w:evenHBand="0" w:firstRowFirstColumn="0" w:firstRowLastColumn="0" w:lastRowFirstColumn="0" w:lastRowLastColumn="0"/>
            </w:pPr>
            <w:r>
              <w:t>Rockville, MD 20857</w:t>
            </w:r>
          </w:p>
          <w:p w14:paraId="202B9F14" w14:textId="7BF95F8F" w:rsidR="000108B4" w:rsidRDefault="000108B4" w:rsidP="000108B4">
            <w:pPr>
              <w:pStyle w:val="Tabletext"/>
              <w:spacing w:before="20" w:after="20"/>
              <w:cnfStyle w:val="000000000000" w:firstRow="0" w:lastRow="0" w:firstColumn="0" w:lastColumn="0" w:oddVBand="0" w:evenVBand="0" w:oddHBand="0" w:evenHBand="0" w:firstRowFirstColumn="0" w:firstRowLastColumn="0" w:lastRowFirstColumn="0" w:lastRowLastColumn="0"/>
            </w:pPr>
            <w:r>
              <w:t>Twyla.Adams@samhsa.hhs.gov</w:t>
            </w:r>
          </w:p>
        </w:tc>
      </w:tr>
      <w:tr w:rsidR="000108B4" w:rsidRPr="002045A1" w14:paraId="7379DDDD" w14:textId="77777777" w:rsidTr="00D4216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8" w:type="dxa"/>
            <w:tcBorders>
              <w:left w:val="none" w:sz="0" w:space="0" w:color="auto"/>
              <w:right w:val="none" w:sz="0" w:space="0" w:color="auto"/>
            </w:tcBorders>
            <w:shd w:val="clear" w:color="auto" w:fill="auto"/>
          </w:tcPr>
          <w:p w14:paraId="068A4DE5" w14:textId="77777777" w:rsidR="000108B4" w:rsidRPr="00D4216F" w:rsidRDefault="000108B4" w:rsidP="000108B4">
            <w:pPr>
              <w:pStyle w:val="Tabletext"/>
              <w:spacing w:before="20" w:after="20"/>
              <w:rPr>
                <w:rFonts w:asciiTheme="majorBidi" w:hAnsiTheme="majorBidi" w:cstheme="majorBidi"/>
                <w:color w:val="auto"/>
              </w:rPr>
            </w:pPr>
            <w:r w:rsidRPr="00D4216F">
              <w:rPr>
                <w:rFonts w:asciiTheme="majorBidi" w:hAnsiTheme="majorBidi" w:cstheme="majorBidi"/>
                <w:color w:val="auto"/>
              </w:rPr>
              <w:t>Linda White-Young</w:t>
            </w:r>
          </w:p>
          <w:p w14:paraId="354F0787" w14:textId="3FFEEF54" w:rsidR="000108B4" w:rsidRPr="000108B4" w:rsidRDefault="000108B4" w:rsidP="000108B4">
            <w:pPr>
              <w:pStyle w:val="Tabletext"/>
              <w:spacing w:before="20" w:after="20"/>
              <w:rPr>
                <w:rFonts w:asciiTheme="majorBidi" w:hAnsiTheme="majorBidi" w:cstheme="majorBidi"/>
              </w:rPr>
            </w:pPr>
            <w:r w:rsidRPr="000108B4">
              <w:rPr>
                <w:rFonts w:asciiTheme="majorBidi" w:hAnsiTheme="majorBidi" w:cstheme="majorBidi"/>
              </w:rPr>
              <w:t>Public Health Advisor</w:t>
            </w:r>
          </w:p>
        </w:tc>
        <w:tc>
          <w:tcPr>
            <w:tcW w:w="2367" w:type="dxa"/>
            <w:tcBorders>
              <w:left w:val="none" w:sz="0" w:space="0" w:color="auto"/>
              <w:right w:val="none" w:sz="0" w:space="0" w:color="auto"/>
            </w:tcBorders>
            <w:shd w:val="clear" w:color="auto" w:fill="auto"/>
          </w:tcPr>
          <w:p w14:paraId="33E09F82" w14:textId="42BDE280" w:rsidR="000108B4" w:rsidRPr="00F61657" w:rsidRDefault="000108B4" w:rsidP="000108B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F61657">
              <w:t>SAMHSA/CSAT</w:t>
            </w:r>
          </w:p>
        </w:tc>
        <w:tc>
          <w:tcPr>
            <w:tcW w:w="3870" w:type="dxa"/>
            <w:tcBorders>
              <w:left w:val="none" w:sz="0" w:space="0" w:color="auto"/>
              <w:right w:val="none" w:sz="0" w:space="0" w:color="auto"/>
            </w:tcBorders>
            <w:shd w:val="clear" w:color="auto" w:fill="auto"/>
          </w:tcPr>
          <w:p w14:paraId="09A72890" w14:textId="77777777" w:rsidR="000108B4" w:rsidRDefault="000108B4" w:rsidP="000108B4">
            <w:pPr>
              <w:pStyle w:val="Tabletext"/>
              <w:spacing w:before="20" w:after="20"/>
              <w:cnfStyle w:val="000000100000" w:firstRow="0" w:lastRow="0" w:firstColumn="0" w:lastColumn="0" w:oddVBand="0" w:evenVBand="0" w:oddHBand="1" w:evenHBand="0" w:firstRowFirstColumn="0" w:firstRowLastColumn="0" w:lastRowFirstColumn="0" w:lastRowLastColumn="0"/>
            </w:pPr>
            <w:r>
              <w:t>5600 Fishers Lane</w:t>
            </w:r>
          </w:p>
          <w:p w14:paraId="6CCBCA8A" w14:textId="77777777" w:rsidR="000108B4" w:rsidRDefault="000108B4" w:rsidP="000108B4">
            <w:pPr>
              <w:pStyle w:val="Tabletext"/>
              <w:spacing w:before="20" w:after="20"/>
              <w:cnfStyle w:val="000000100000" w:firstRow="0" w:lastRow="0" w:firstColumn="0" w:lastColumn="0" w:oddVBand="0" w:evenVBand="0" w:oddHBand="1" w:evenHBand="0" w:firstRowFirstColumn="0" w:firstRowLastColumn="0" w:lastRowFirstColumn="0" w:lastRowLastColumn="0"/>
            </w:pPr>
            <w:r>
              <w:t>Rockville, MD 20857</w:t>
            </w:r>
          </w:p>
          <w:p w14:paraId="4B54136B" w14:textId="305D3AEC" w:rsidR="000108B4" w:rsidRDefault="000108B4" w:rsidP="000108B4">
            <w:pPr>
              <w:pStyle w:val="Tabletext"/>
              <w:spacing w:before="20" w:after="20"/>
              <w:cnfStyle w:val="000000100000" w:firstRow="0" w:lastRow="0" w:firstColumn="0" w:lastColumn="0" w:oddVBand="0" w:evenVBand="0" w:oddHBand="1" w:evenHBand="0" w:firstRowFirstColumn="0" w:firstRowLastColumn="0" w:lastRowFirstColumn="0" w:lastRowLastColumn="0"/>
            </w:pPr>
            <w:r>
              <w:t>Linda.White-Young@samhsa.hhs.gov</w:t>
            </w:r>
          </w:p>
        </w:tc>
      </w:tr>
      <w:tr w:rsidR="000108B4" w:rsidRPr="002045A1" w14:paraId="0DF21860" w14:textId="77777777" w:rsidTr="00795B76">
        <w:trPr>
          <w:cantSplit/>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0C1835E6" w14:textId="77777777" w:rsidR="000108B4" w:rsidRDefault="000108B4" w:rsidP="000108B4">
            <w:pPr>
              <w:keepNext/>
              <w:spacing w:before="20" w:after="20"/>
              <w:rPr>
                <w:sz w:val="20"/>
                <w:szCs w:val="20"/>
              </w:rPr>
            </w:pPr>
            <w:r>
              <w:rPr>
                <w:sz w:val="20"/>
                <w:szCs w:val="20"/>
              </w:rPr>
              <w:t>Arnie Aldridge, PhD</w:t>
            </w:r>
          </w:p>
          <w:p w14:paraId="36E4CD2F" w14:textId="17D87865" w:rsidR="000108B4" w:rsidRPr="002045A1" w:rsidRDefault="000108B4" w:rsidP="000108B4">
            <w:pPr>
              <w:pStyle w:val="Tabletext"/>
              <w:spacing w:before="20" w:after="20"/>
            </w:pPr>
            <w:r>
              <w:t xml:space="preserve">Research Economist </w:t>
            </w:r>
          </w:p>
        </w:tc>
        <w:tc>
          <w:tcPr>
            <w:tcW w:w="2367" w:type="dxa"/>
            <w:shd w:val="clear" w:color="auto" w:fill="FFFFFF" w:themeFill="background1"/>
          </w:tcPr>
          <w:p w14:paraId="02A066FC" w14:textId="668F8B3D" w:rsidR="000108B4" w:rsidRPr="002045A1" w:rsidRDefault="000108B4" w:rsidP="000108B4">
            <w:pPr>
              <w:pStyle w:val="Tabletext"/>
              <w:spacing w:before="20" w:after="20"/>
              <w:cnfStyle w:val="000000000000" w:firstRow="0" w:lastRow="0" w:firstColumn="0" w:lastColumn="0" w:oddVBand="0" w:evenVBand="0" w:oddHBand="0" w:evenHBand="0" w:firstRowFirstColumn="0" w:firstRowLastColumn="0" w:lastRowFirstColumn="0" w:lastRowLastColumn="0"/>
            </w:pPr>
            <w:r>
              <w:t xml:space="preserve">RTI, International </w:t>
            </w:r>
          </w:p>
        </w:tc>
        <w:tc>
          <w:tcPr>
            <w:tcW w:w="3870" w:type="dxa"/>
            <w:shd w:val="clear" w:color="auto" w:fill="FFFFFF" w:themeFill="background1"/>
          </w:tcPr>
          <w:p w14:paraId="2BDD871E" w14:textId="77777777" w:rsidR="000108B4" w:rsidRPr="008E15D8" w:rsidRDefault="000108B4" w:rsidP="000108B4">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8E15D8">
              <w:rPr>
                <w:sz w:val="20"/>
                <w:szCs w:val="20"/>
              </w:rPr>
              <w:t>3040 East Cornwallis Road</w:t>
            </w:r>
          </w:p>
          <w:p w14:paraId="6C954936" w14:textId="77777777" w:rsidR="000108B4" w:rsidRPr="008E15D8" w:rsidRDefault="000108B4" w:rsidP="000108B4">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8E15D8">
              <w:rPr>
                <w:sz w:val="20"/>
                <w:szCs w:val="20"/>
              </w:rPr>
              <w:t>Post Office Box 12194</w:t>
            </w:r>
          </w:p>
          <w:p w14:paraId="3626891D" w14:textId="77777777" w:rsidR="000108B4" w:rsidRDefault="000108B4" w:rsidP="000108B4">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8E15D8">
              <w:rPr>
                <w:sz w:val="20"/>
                <w:szCs w:val="20"/>
              </w:rPr>
              <w:t>Research Triangle Park, NC 27709-2194</w:t>
            </w:r>
          </w:p>
          <w:p w14:paraId="5E9B7C08" w14:textId="30BE60CD" w:rsidR="000108B4" w:rsidRPr="002045A1" w:rsidRDefault="000E0356" w:rsidP="000108B4">
            <w:pPr>
              <w:pStyle w:val="Tabletext"/>
              <w:spacing w:before="20" w:after="20"/>
              <w:cnfStyle w:val="000000000000" w:firstRow="0" w:lastRow="0" w:firstColumn="0" w:lastColumn="0" w:oddVBand="0" w:evenVBand="0" w:oddHBand="0" w:evenHBand="0" w:firstRowFirstColumn="0" w:firstRowLastColumn="0" w:lastRowFirstColumn="0" w:lastRowLastColumn="0"/>
            </w:pPr>
            <w:hyperlink r:id="rId9" w:history="1">
              <w:r w:rsidR="000108B4" w:rsidRPr="00795B76">
                <w:rPr>
                  <w:rStyle w:val="Hyperlink"/>
                </w:rPr>
                <w:t>aaldridge@rti.org</w:t>
              </w:r>
            </w:hyperlink>
          </w:p>
        </w:tc>
      </w:tr>
      <w:tr w:rsidR="000108B4" w:rsidRPr="002045A1" w14:paraId="4D8334E0" w14:textId="77777777" w:rsidTr="00D4216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8" w:type="dxa"/>
            <w:tcBorders>
              <w:left w:val="none" w:sz="0" w:space="0" w:color="auto"/>
              <w:right w:val="none" w:sz="0" w:space="0" w:color="auto"/>
            </w:tcBorders>
            <w:shd w:val="clear" w:color="auto" w:fill="FFFFFF" w:themeFill="background1"/>
          </w:tcPr>
          <w:p w14:paraId="2C43EE84" w14:textId="77777777" w:rsidR="000108B4" w:rsidRDefault="000108B4" w:rsidP="000108B4">
            <w:pPr>
              <w:spacing w:before="20" w:after="20"/>
              <w:rPr>
                <w:sz w:val="20"/>
                <w:szCs w:val="20"/>
              </w:rPr>
            </w:pPr>
            <w:r>
              <w:rPr>
                <w:sz w:val="20"/>
                <w:szCs w:val="20"/>
              </w:rPr>
              <w:t>Josephine D. Korchmaros, PhD</w:t>
            </w:r>
          </w:p>
          <w:p w14:paraId="1DAF550A" w14:textId="39C61147" w:rsidR="000108B4" w:rsidRPr="002045A1" w:rsidRDefault="000108B4" w:rsidP="000108B4">
            <w:pPr>
              <w:pStyle w:val="Tabletext"/>
              <w:spacing w:before="20" w:after="20"/>
            </w:pPr>
            <w:r w:rsidRPr="000500BB">
              <w:rPr>
                <w:rFonts w:asciiTheme="majorBidi" w:hAnsiTheme="majorBidi" w:cstheme="majorBidi"/>
              </w:rPr>
              <w:t>Director</w:t>
            </w:r>
            <w:r>
              <w:rPr>
                <w:rFonts w:asciiTheme="majorBidi" w:hAnsiTheme="majorBidi" w:cstheme="majorBidi"/>
              </w:rPr>
              <w:t>—</w:t>
            </w:r>
            <w:r w:rsidRPr="000500BB">
              <w:rPr>
                <w:rFonts w:asciiTheme="majorBidi" w:hAnsiTheme="majorBidi" w:cstheme="majorBidi"/>
              </w:rPr>
              <w:t>Research Methods and Statistics</w:t>
            </w:r>
          </w:p>
        </w:tc>
        <w:tc>
          <w:tcPr>
            <w:tcW w:w="2367" w:type="dxa"/>
            <w:tcBorders>
              <w:left w:val="none" w:sz="0" w:space="0" w:color="auto"/>
              <w:right w:val="none" w:sz="0" w:space="0" w:color="auto"/>
            </w:tcBorders>
            <w:shd w:val="clear" w:color="auto" w:fill="FFFFFF" w:themeFill="background1"/>
          </w:tcPr>
          <w:p w14:paraId="6A5E1993" w14:textId="52694437" w:rsidR="000108B4" w:rsidRPr="00795B76" w:rsidRDefault="000108B4" w:rsidP="000108B4">
            <w:pPr>
              <w:spacing w:before="20" w:after="20"/>
              <w:cnfStyle w:val="000000100000" w:firstRow="0" w:lastRow="0" w:firstColumn="0" w:lastColumn="0" w:oddVBand="0" w:evenVBand="0" w:oddHBand="1" w:evenHBand="0" w:firstRowFirstColumn="0" w:firstRowLastColumn="0" w:lastRowFirstColumn="0" w:lastRowLastColumn="0"/>
              <w:rPr>
                <w:sz w:val="20"/>
                <w:szCs w:val="20"/>
              </w:rPr>
            </w:pPr>
            <w:r w:rsidRPr="000500BB">
              <w:rPr>
                <w:sz w:val="20"/>
                <w:szCs w:val="20"/>
              </w:rPr>
              <w:t>University of Arizona-Southwest Institut</w:t>
            </w:r>
            <w:r>
              <w:rPr>
                <w:sz w:val="20"/>
                <w:szCs w:val="20"/>
              </w:rPr>
              <w:t>e for Research on Women</w:t>
            </w:r>
          </w:p>
        </w:tc>
        <w:tc>
          <w:tcPr>
            <w:tcW w:w="3870" w:type="dxa"/>
            <w:tcBorders>
              <w:left w:val="none" w:sz="0" w:space="0" w:color="auto"/>
              <w:right w:val="none" w:sz="0" w:space="0" w:color="auto"/>
            </w:tcBorders>
            <w:shd w:val="clear" w:color="auto" w:fill="FFFFFF" w:themeFill="background1"/>
          </w:tcPr>
          <w:p w14:paraId="3E7F72CE" w14:textId="77777777" w:rsidR="000108B4" w:rsidRPr="000500BB" w:rsidRDefault="000108B4" w:rsidP="000108B4">
            <w:pPr>
              <w:spacing w:before="20" w:after="20"/>
              <w:cnfStyle w:val="000000100000" w:firstRow="0" w:lastRow="0" w:firstColumn="0" w:lastColumn="0" w:oddVBand="0" w:evenVBand="0" w:oddHBand="1" w:evenHBand="0" w:firstRowFirstColumn="0" w:firstRowLastColumn="0" w:lastRowFirstColumn="0" w:lastRowLastColumn="0"/>
              <w:rPr>
                <w:sz w:val="20"/>
                <w:szCs w:val="20"/>
              </w:rPr>
            </w:pPr>
            <w:r w:rsidRPr="000500BB">
              <w:rPr>
                <w:sz w:val="20"/>
                <w:szCs w:val="20"/>
              </w:rPr>
              <w:t>181 S. Tucson Blvd., Ste. 101</w:t>
            </w:r>
          </w:p>
          <w:p w14:paraId="3A64308A" w14:textId="77777777" w:rsidR="000108B4" w:rsidRDefault="000108B4" w:rsidP="000108B4">
            <w:pPr>
              <w:spacing w:before="20" w:after="20"/>
              <w:cnfStyle w:val="000000100000" w:firstRow="0" w:lastRow="0" w:firstColumn="0" w:lastColumn="0" w:oddVBand="0" w:evenVBand="0" w:oddHBand="1" w:evenHBand="0" w:firstRowFirstColumn="0" w:firstRowLastColumn="0" w:lastRowFirstColumn="0" w:lastRowLastColumn="0"/>
              <w:rPr>
                <w:sz w:val="20"/>
                <w:szCs w:val="20"/>
              </w:rPr>
            </w:pPr>
            <w:r w:rsidRPr="000500BB">
              <w:rPr>
                <w:sz w:val="20"/>
                <w:szCs w:val="20"/>
              </w:rPr>
              <w:t>Tucson, AZ 85716</w:t>
            </w:r>
          </w:p>
          <w:p w14:paraId="37081E67" w14:textId="423FB2E4" w:rsidR="000108B4" w:rsidRPr="002045A1" w:rsidRDefault="000E0356" w:rsidP="000108B4">
            <w:pPr>
              <w:pStyle w:val="Tabletext"/>
              <w:spacing w:before="20" w:after="20"/>
              <w:cnfStyle w:val="000000100000" w:firstRow="0" w:lastRow="0" w:firstColumn="0" w:lastColumn="0" w:oddVBand="0" w:evenVBand="0" w:oddHBand="1" w:evenHBand="0" w:firstRowFirstColumn="0" w:firstRowLastColumn="0" w:lastRowFirstColumn="0" w:lastRowLastColumn="0"/>
            </w:pPr>
            <w:hyperlink r:id="rId10" w:history="1">
              <w:r w:rsidR="000108B4" w:rsidRPr="00795B76">
                <w:rPr>
                  <w:rStyle w:val="Hyperlink"/>
                </w:rPr>
                <w:t>jkorch@email.arizona.edu</w:t>
              </w:r>
            </w:hyperlink>
          </w:p>
        </w:tc>
      </w:tr>
      <w:tr w:rsidR="000108B4" w:rsidRPr="002045A1" w14:paraId="61E0150D" w14:textId="77777777" w:rsidTr="00795B76">
        <w:trPr>
          <w:cantSplit/>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0D03057B" w14:textId="77777777" w:rsidR="000108B4" w:rsidRDefault="000108B4" w:rsidP="000108B4">
            <w:pPr>
              <w:spacing w:before="20" w:after="20"/>
              <w:rPr>
                <w:sz w:val="20"/>
                <w:szCs w:val="20"/>
              </w:rPr>
            </w:pPr>
            <w:r>
              <w:rPr>
                <w:sz w:val="20"/>
                <w:szCs w:val="20"/>
              </w:rPr>
              <w:t>Will Parish, PhD</w:t>
            </w:r>
          </w:p>
          <w:p w14:paraId="5AD08A41" w14:textId="47F6067E" w:rsidR="000108B4" w:rsidRPr="002045A1" w:rsidRDefault="000108B4" w:rsidP="000108B4">
            <w:pPr>
              <w:pStyle w:val="Tabletext"/>
              <w:spacing w:before="20" w:after="20"/>
            </w:pPr>
            <w:r>
              <w:t>Research Economist</w:t>
            </w:r>
          </w:p>
        </w:tc>
        <w:tc>
          <w:tcPr>
            <w:tcW w:w="2367" w:type="dxa"/>
            <w:shd w:val="clear" w:color="auto" w:fill="FFFFFF" w:themeFill="background1"/>
          </w:tcPr>
          <w:p w14:paraId="0D54C718" w14:textId="4463DC33" w:rsidR="000108B4" w:rsidRPr="002045A1" w:rsidRDefault="000108B4" w:rsidP="000108B4">
            <w:pPr>
              <w:pStyle w:val="Tabletext"/>
              <w:spacing w:before="20" w:after="20"/>
              <w:cnfStyle w:val="000000000000" w:firstRow="0" w:lastRow="0" w:firstColumn="0" w:lastColumn="0" w:oddVBand="0" w:evenVBand="0" w:oddHBand="0" w:evenHBand="0" w:firstRowFirstColumn="0" w:firstRowLastColumn="0" w:lastRowFirstColumn="0" w:lastRowLastColumn="0"/>
            </w:pPr>
            <w:r>
              <w:t>RTI, International</w:t>
            </w:r>
          </w:p>
        </w:tc>
        <w:tc>
          <w:tcPr>
            <w:tcW w:w="3870" w:type="dxa"/>
            <w:shd w:val="clear" w:color="auto" w:fill="FFFFFF" w:themeFill="background1"/>
          </w:tcPr>
          <w:p w14:paraId="460374DB" w14:textId="77777777" w:rsidR="000108B4" w:rsidRPr="008E15D8" w:rsidRDefault="000108B4" w:rsidP="000108B4">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8E15D8">
              <w:rPr>
                <w:sz w:val="20"/>
                <w:szCs w:val="20"/>
              </w:rPr>
              <w:t>3040 East Cornwallis Road</w:t>
            </w:r>
          </w:p>
          <w:p w14:paraId="0DA6D7B8" w14:textId="77777777" w:rsidR="000108B4" w:rsidRPr="008E15D8" w:rsidRDefault="000108B4" w:rsidP="000108B4">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8E15D8">
              <w:rPr>
                <w:sz w:val="20"/>
                <w:szCs w:val="20"/>
              </w:rPr>
              <w:t>Post Office Box 12194</w:t>
            </w:r>
          </w:p>
          <w:p w14:paraId="54AE5F5F" w14:textId="77777777" w:rsidR="000108B4" w:rsidRDefault="000108B4" w:rsidP="000108B4">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8E15D8">
              <w:rPr>
                <w:sz w:val="20"/>
                <w:szCs w:val="20"/>
              </w:rPr>
              <w:t>Research Triangle Park, NC 27709-2194</w:t>
            </w:r>
          </w:p>
          <w:p w14:paraId="08669147" w14:textId="4EF2573D" w:rsidR="000108B4" w:rsidRPr="002045A1" w:rsidRDefault="000E0356" w:rsidP="000108B4">
            <w:pPr>
              <w:pStyle w:val="Tabletext"/>
              <w:spacing w:before="20" w:after="20"/>
              <w:cnfStyle w:val="000000000000" w:firstRow="0" w:lastRow="0" w:firstColumn="0" w:lastColumn="0" w:oddVBand="0" w:evenVBand="0" w:oddHBand="0" w:evenHBand="0" w:firstRowFirstColumn="0" w:firstRowLastColumn="0" w:lastRowFirstColumn="0" w:lastRowLastColumn="0"/>
            </w:pPr>
            <w:hyperlink r:id="rId11" w:history="1">
              <w:r w:rsidR="000108B4" w:rsidRPr="00795B76">
                <w:rPr>
                  <w:rStyle w:val="Hyperlink"/>
                </w:rPr>
                <w:t>wparish@rti.org</w:t>
              </w:r>
            </w:hyperlink>
          </w:p>
        </w:tc>
      </w:tr>
      <w:tr w:rsidR="000108B4" w:rsidRPr="002045A1" w14:paraId="6679F835" w14:textId="77777777" w:rsidTr="00D4216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8" w:type="dxa"/>
            <w:tcBorders>
              <w:left w:val="none" w:sz="0" w:space="0" w:color="auto"/>
              <w:right w:val="none" w:sz="0" w:space="0" w:color="auto"/>
            </w:tcBorders>
            <w:shd w:val="clear" w:color="auto" w:fill="FFFFFF" w:themeFill="background1"/>
          </w:tcPr>
          <w:p w14:paraId="139FBF1A" w14:textId="77777777" w:rsidR="000108B4" w:rsidRDefault="000108B4" w:rsidP="000108B4">
            <w:pPr>
              <w:spacing w:before="20" w:after="20"/>
              <w:rPr>
                <w:sz w:val="20"/>
                <w:szCs w:val="20"/>
              </w:rPr>
            </w:pPr>
            <w:r>
              <w:rPr>
                <w:sz w:val="20"/>
                <w:szCs w:val="20"/>
              </w:rPr>
              <w:t>Michael Penne</w:t>
            </w:r>
          </w:p>
          <w:p w14:paraId="19CEE08F" w14:textId="72730CED" w:rsidR="000108B4" w:rsidRPr="002045A1" w:rsidRDefault="000108B4" w:rsidP="000108B4">
            <w:pPr>
              <w:pStyle w:val="Tabletext"/>
              <w:spacing w:before="20" w:after="20"/>
            </w:pPr>
            <w:r>
              <w:t xml:space="preserve">Research Statistician </w:t>
            </w:r>
          </w:p>
        </w:tc>
        <w:tc>
          <w:tcPr>
            <w:tcW w:w="2367" w:type="dxa"/>
            <w:tcBorders>
              <w:left w:val="none" w:sz="0" w:space="0" w:color="auto"/>
              <w:right w:val="none" w:sz="0" w:space="0" w:color="auto"/>
            </w:tcBorders>
            <w:shd w:val="clear" w:color="auto" w:fill="FFFFFF" w:themeFill="background1"/>
          </w:tcPr>
          <w:p w14:paraId="308989D1" w14:textId="42C3E10D" w:rsidR="000108B4" w:rsidRPr="002045A1" w:rsidRDefault="000108B4" w:rsidP="000108B4">
            <w:pPr>
              <w:pStyle w:val="Tabletext"/>
              <w:spacing w:before="20" w:after="20"/>
              <w:cnfStyle w:val="000000100000" w:firstRow="0" w:lastRow="0" w:firstColumn="0" w:lastColumn="0" w:oddVBand="0" w:evenVBand="0" w:oddHBand="1" w:evenHBand="0" w:firstRowFirstColumn="0" w:firstRowLastColumn="0" w:lastRowFirstColumn="0" w:lastRowLastColumn="0"/>
            </w:pPr>
            <w:r>
              <w:t>RTI, International</w:t>
            </w:r>
          </w:p>
        </w:tc>
        <w:tc>
          <w:tcPr>
            <w:tcW w:w="3870" w:type="dxa"/>
            <w:tcBorders>
              <w:left w:val="none" w:sz="0" w:space="0" w:color="auto"/>
              <w:right w:val="none" w:sz="0" w:space="0" w:color="auto"/>
            </w:tcBorders>
            <w:shd w:val="clear" w:color="auto" w:fill="FFFFFF" w:themeFill="background1"/>
          </w:tcPr>
          <w:p w14:paraId="6F9D7A6C" w14:textId="77777777" w:rsidR="000108B4" w:rsidRPr="008E15D8" w:rsidRDefault="000108B4" w:rsidP="000108B4">
            <w:pPr>
              <w:spacing w:before="20" w:after="20"/>
              <w:cnfStyle w:val="000000100000" w:firstRow="0" w:lastRow="0" w:firstColumn="0" w:lastColumn="0" w:oddVBand="0" w:evenVBand="0" w:oddHBand="1" w:evenHBand="0" w:firstRowFirstColumn="0" w:firstRowLastColumn="0" w:lastRowFirstColumn="0" w:lastRowLastColumn="0"/>
              <w:rPr>
                <w:sz w:val="20"/>
                <w:szCs w:val="20"/>
              </w:rPr>
            </w:pPr>
            <w:r w:rsidRPr="008E15D8">
              <w:rPr>
                <w:sz w:val="20"/>
                <w:szCs w:val="20"/>
              </w:rPr>
              <w:t>3040 East Cornwallis Road</w:t>
            </w:r>
          </w:p>
          <w:p w14:paraId="076E851D" w14:textId="77777777" w:rsidR="000108B4" w:rsidRPr="008E15D8" w:rsidRDefault="000108B4" w:rsidP="000108B4">
            <w:pPr>
              <w:spacing w:before="20" w:after="20"/>
              <w:cnfStyle w:val="000000100000" w:firstRow="0" w:lastRow="0" w:firstColumn="0" w:lastColumn="0" w:oddVBand="0" w:evenVBand="0" w:oddHBand="1" w:evenHBand="0" w:firstRowFirstColumn="0" w:firstRowLastColumn="0" w:lastRowFirstColumn="0" w:lastRowLastColumn="0"/>
              <w:rPr>
                <w:sz w:val="20"/>
                <w:szCs w:val="20"/>
              </w:rPr>
            </w:pPr>
            <w:r w:rsidRPr="008E15D8">
              <w:rPr>
                <w:sz w:val="20"/>
                <w:szCs w:val="20"/>
              </w:rPr>
              <w:t>Post Office Box 12194</w:t>
            </w:r>
          </w:p>
          <w:p w14:paraId="35F55106" w14:textId="77777777" w:rsidR="000108B4" w:rsidRDefault="000108B4" w:rsidP="000108B4">
            <w:pPr>
              <w:spacing w:before="20" w:after="20"/>
              <w:cnfStyle w:val="000000100000" w:firstRow="0" w:lastRow="0" w:firstColumn="0" w:lastColumn="0" w:oddVBand="0" w:evenVBand="0" w:oddHBand="1" w:evenHBand="0" w:firstRowFirstColumn="0" w:firstRowLastColumn="0" w:lastRowFirstColumn="0" w:lastRowLastColumn="0"/>
              <w:rPr>
                <w:sz w:val="20"/>
                <w:szCs w:val="20"/>
              </w:rPr>
            </w:pPr>
            <w:r w:rsidRPr="008E15D8">
              <w:rPr>
                <w:sz w:val="20"/>
                <w:szCs w:val="20"/>
              </w:rPr>
              <w:t>Research Triangle Park, NC 27709-2194</w:t>
            </w:r>
          </w:p>
          <w:p w14:paraId="2778F5C9" w14:textId="55016BEE" w:rsidR="000108B4" w:rsidRPr="002045A1" w:rsidRDefault="000E0356" w:rsidP="000108B4">
            <w:pPr>
              <w:pStyle w:val="Tabletext"/>
              <w:spacing w:before="20" w:after="20"/>
              <w:cnfStyle w:val="000000100000" w:firstRow="0" w:lastRow="0" w:firstColumn="0" w:lastColumn="0" w:oddVBand="0" w:evenVBand="0" w:oddHBand="1" w:evenHBand="0" w:firstRowFirstColumn="0" w:firstRowLastColumn="0" w:lastRowFirstColumn="0" w:lastRowLastColumn="0"/>
            </w:pPr>
            <w:hyperlink r:id="rId12" w:history="1">
              <w:r w:rsidR="000108B4" w:rsidRPr="00795B76">
                <w:rPr>
                  <w:rStyle w:val="Hyperlink"/>
                </w:rPr>
                <w:t>penne@rti.org</w:t>
              </w:r>
            </w:hyperlink>
          </w:p>
        </w:tc>
      </w:tr>
    </w:tbl>
    <w:p w14:paraId="550B8C42" w14:textId="77777777" w:rsidR="0038132D" w:rsidRDefault="0038132D" w:rsidP="000108B4">
      <w:pPr>
        <w:spacing w:after="160" w:line="259" w:lineRule="auto"/>
        <w:jc w:val="center"/>
        <w:rPr>
          <w:rFonts w:asciiTheme="majorBidi" w:hAnsiTheme="majorBidi" w:cstheme="majorBidi"/>
        </w:rPr>
      </w:pPr>
    </w:p>
    <w:p w14:paraId="662928C1" w14:textId="77777777" w:rsidR="000E0356" w:rsidRDefault="000E0356">
      <w:pPr>
        <w:spacing w:after="160" w:line="259" w:lineRule="auto"/>
        <w:rPr>
          <w:rFonts w:asciiTheme="majorBidi" w:hAnsiTheme="majorBidi" w:cstheme="majorBidi"/>
        </w:rPr>
      </w:pPr>
      <w:r>
        <w:rPr>
          <w:rFonts w:asciiTheme="majorBidi" w:hAnsiTheme="majorBidi" w:cstheme="majorBidi"/>
        </w:rPr>
        <w:br w:type="page"/>
      </w:r>
    </w:p>
    <w:p w14:paraId="6E743D47" w14:textId="389FD131" w:rsidR="00ED3519" w:rsidRDefault="00ED3519" w:rsidP="000108B4">
      <w:pPr>
        <w:spacing w:after="160" w:line="259" w:lineRule="auto"/>
        <w:jc w:val="center"/>
        <w:rPr>
          <w:rFonts w:asciiTheme="majorBidi" w:hAnsiTheme="majorBidi" w:cstheme="majorBidi"/>
        </w:rPr>
      </w:pPr>
      <w:bookmarkStart w:id="8" w:name="_GoBack"/>
      <w:bookmarkEnd w:id="8"/>
      <w:r>
        <w:rPr>
          <w:rFonts w:asciiTheme="majorBidi" w:hAnsiTheme="majorBidi" w:cstheme="majorBidi"/>
        </w:rPr>
        <w:lastRenderedPageBreak/>
        <w:t>ATTACHMENTS</w:t>
      </w:r>
    </w:p>
    <w:p w14:paraId="7C5FCA4B" w14:textId="77777777" w:rsidR="00ED3519" w:rsidRDefault="00ED3519" w:rsidP="00ED3519">
      <w:pPr>
        <w:jc w:val="center"/>
        <w:rPr>
          <w:rFonts w:asciiTheme="majorBidi" w:hAnsiTheme="majorBidi" w:cstheme="majorBidi"/>
        </w:rPr>
      </w:pPr>
    </w:p>
    <w:p w14:paraId="01E0A90B" w14:textId="77777777" w:rsidR="00ED3519" w:rsidRDefault="00ED3519" w:rsidP="00ED3519">
      <w:pPr>
        <w:jc w:val="center"/>
        <w:rPr>
          <w:rFonts w:asciiTheme="majorBidi" w:hAnsiTheme="majorBidi" w:cstheme="majorBidi"/>
        </w:rPr>
      </w:pPr>
    </w:p>
    <w:p w14:paraId="22C1BFF9" w14:textId="77777777" w:rsidR="00ED3519" w:rsidRDefault="00ED3519" w:rsidP="003C5112">
      <w:pPr>
        <w:rPr>
          <w:rFonts w:asciiTheme="majorBidi" w:hAnsiTheme="majorBidi" w:cstheme="majorBidi"/>
        </w:rPr>
      </w:pPr>
      <w:r>
        <w:rPr>
          <w:rFonts w:asciiTheme="majorBidi" w:hAnsiTheme="majorBidi" w:cstheme="majorBidi"/>
        </w:rPr>
        <w:t>Attachment 1 – Evaluation Questions</w:t>
      </w:r>
    </w:p>
    <w:p w14:paraId="7DEE770B" w14:textId="77777777" w:rsidR="00ED3519" w:rsidRDefault="00ED3519" w:rsidP="003C5112">
      <w:pPr>
        <w:rPr>
          <w:rFonts w:asciiTheme="majorBidi" w:hAnsiTheme="majorBidi" w:cstheme="majorBidi"/>
        </w:rPr>
      </w:pPr>
    </w:p>
    <w:p w14:paraId="4059CBB2" w14:textId="77777777" w:rsidR="00ED3519" w:rsidRDefault="00ED3519" w:rsidP="003C5112">
      <w:pPr>
        <w:rPr>
          <w:rFonts w:asciiTheme="majorBidi" w:hAnsiTheme="majorBidi" w:cstheme="majorBidi"/>
        </w:rPr>
      </w:pPr>
      <w:r>
        <w:rPr>
          <w:rFonts w:asciiTheme="majorBidi" w:hAnsiTheme="majorBidi" w:cstheme="majorBidi"/>
        </w:rPr>
        <w:t>Attachment 2 – Implementation Interview Guides</w:t>
      </w:r>
    </w:p>
    <w:p w14:paraId="4FE83851" w14:textId="77777777" w:rsidR="00ED3519" w:rsidRDefault="00ED3519" w:rsidP="003C5112">
      <w:pPr>
        <w:rPr>
          <w:rFonts w:asciiTheme="majorBidi" w:hAnsiTheme="majorBidi" w:cstheme="majorBidi"/>
        </w:rPr>
      </w:pPr>
    </w:p>
    <w:p w14:paraId="1AC54E4D" w14:textId="77777777" w:rsidR="00ED3519" w:rsidRDefault="00ED3519" w:rsidP="003C5112">
      <w:pPr>
        <w:rPr>
          <w:rFonts w:asciiTheme="majorBidi" w:hAnsiTheme="majorBidi" w:cstheme="majorBidi"/>
        </w:rPr>
      </w:pPr>
      <w:r>
        <w:rPr>
          <w:rFonts w:asciiTheme="majorBidi" w:hAnsiTheme="majorBidi" w:cstheme="majorBidi"/>
        </w:rPr>
        <w:t>Attachment 3 – Sustainability Interview Guides</w:t>
      </w:r>
    </w:p>
    <w:p w14:paraId="1E598F68" w14:textId="77777777" w:rsidR="00ED3519" w:rsidRDefault="00ED3519" w:rsidP="003C5112">
      <w:pPr>
        <w:rPr>
          <w:rFonts w:asciiTheme="majorBidi" w:hAnsiTheme="majorBidi" w:cstheme="majorBidi"/>
        </w:rPr>
      </w:pPr>
    </w:p>
    <w:p w14:paraId="6CDF3B6E" w14:textId="77777777" w:rsidR="00ED3519" w:rsidRDefault="00ED3519" w:rsidP="003C5112">
      <w:pPr>
        <w:rPr>
          <w:rFonts w:asciiTheme="majorBidi" w:hAnsiTheme="majorBidi" w:cstheme="majorBidi"/>
        </w:rPr>
      </w:pPr>
      <w:r>
        <w:rPr>
          <w:rFonts w:asciiTheme="majorBidi" w:hAnsiTheme="majorBidi" w:cstheme="majorBidi"/>
        </w:rPr>
        <w:t>Attachment 4 – Stakeholder Interview Guides</w:t>
      </w:r>
    </w:p>
    <w:p w14:paraId="4AF7E312" w14:textId="77777777" w:rsidR="00ED3519" w:rsidRDefault="00ED3519" w:rsidP="003C5112">
      <w:pPr>
        <w:rPr>
          <w:rFonts w:asciiTheme="majorBidi" w:hAnsiTheme="majorBidi" w:cstheme="majorBidi"/>
        </w:rPr>
      </w:pPr>
    </w:p>
    <w:p w14:paraId="22CF09F9" w14:textId="77777777" w:rsidR="00ED3519" w:rsidRDefault="00ED3519" w:rsidP="003C5112">
      <w:pPr>
        <w:rPr>
          <w:rFonts w:asciiTheme="majorBidi" w:hAnsiTheme="majorBidi" w:cstheme="majorBidi"/>
        </w:rPr>
      </w:pPr>
      <w:r>
        <w:rPr>
          <w:rFonts w:asciiTheme="majorBidi" w:hAnsiTheme="majorBidi" w:cstheme="majorBidi"/>
        </w:rPr>
        <w:t>Attachment 5 – Provider Survey</w:t>
      </w:r>
    </w:p>
    <w:p w14:paraId="5536D1EF" w14:textId="77777777" w:rsidR="00601884" w:rsidRDefault="00601884" w:rsidP="003C5112">
      <w:pPr>
        <w:rPr>
          <w:rFonts w:asciiTheme="majorBidi" w:hAnsiTheme="majorBidi" w:cstheme="majorBidi"/>
        </w:rPr>
      </w:pPr>
    </w:p>
    <w:p w14:paraId="33209724" w14:textId="06CFA2E9" w:rsidR="00601884" w:rsidRDefault="00601884" w:rsidP="003C5112">
      <w:pPr>
        <w:rPr>
          <w:rFonts w:asciiTheme="majorBidi" w:hAnsiTheme="majorBidi" w:cstheme="majorBidi"/>
        </w:rPr>
      </w:pPr>
      <w:r>
        <w:rPr>
          <w:rFonts w:asciiTheme="majorBidi" w:hAnsiTheme="majorBidi" w:cstheme="majorBidi"/>
        </w:rPr>
        <w:t>Attachment 6 – Focus Group Guide</w:t>
      </w:r>
    </w:p>
    <w:p w14:paraId="7BBE6687" w14:textId="77777777" w:rsidR="00ED3519" w:rsidRDefault="00ED3519" w:rsidP="003C5112">
      <w:pPr>
        <w:rPr>
          <w:rFonts w:asciiTheme="majorBidi" w:hAnsiTheme="majorBidi" w:cstheme="majorBidi"/>
        </w:rPr>
      </w:pPr>
    </w:p>
    <w:p w14:paraId="52703769" w14:textId="7C748FC2" w:rsidR="00ED3519" w:rsidRDefault="00ED3519" w:rsidP="003C5112">
      <w:pPr>
        <w:rPr>
          <w:rFonts w:asciiTheme="majorBidi" w:hAnsiTheme="majorBidi" w:cstheme="majorBidi"/>
        </w:rPr>
      </w:pPr>
      <w:r>
        <w:rPr>
          <w:rFonts w:asciiTheme="majorBidi" w:hAnsiTheme="majorBidi" w:cstheme="majorBidi"/>
        </w:rPr>
        <w:t xml:space="preserve">Attachment </w:t>
      </w:r>
      <w:r w:rsidR="00601884">
        <w:rPr>
          <w:rFonts w:asciiTheme="majorBidi" w:hAnsiTheme="majorBidi" w:cstheme="majorBidi"/>
        </w:rPr>
        <w:t>7</w:t>
      </w:r>
      <w:r>
        <w:rPr>
          <w:rFonts w:asciiTheme="majorBidi" w:hAnsiTheme="majorBidi" w:cstheme="majorBidi"/>
        </w:rPr>
        <w:t xml:space="preserve"> – Interview Guide Supporting </w:t>
      </w:r>
      <w:r w:rsidR="006967DF">
        <w:rPr>
          <w:rFonts w:asciiTheme="majorBidi" w:hAnsiTheme="majorBidi" w:cstheme="majorBidi"/>
        </w:rPr>
        <w:t>D</w:t>
      </w:r>
      <w:r>
        <w:rPr>
          <w:rFonts w:asciiTheme="majorBidi" w:hAnsiTheme="majorBidi" w:cstheme="majorBidi"/>
        </w:rPr>
        <w:t>ocuments</w:t>
      </w:r>
    </w:p>
    <w:p w14:paraId="360AA66A" w14:textId="77777777" w:rsidR="00ED3519" w:rsidRDefault="00ED3519" w:rsidP="003C5112">
      <w:pPr>
        <w:rPr>
          <w:rFonts w:asciiTheme="majorBidi" w:hAnsiTheme="majorBidi" w:cstheme="majorBidi"/>
        </w:rPr>
      </w:pPr>
    </w:p>
    <w:p w14:paraId="519F003B" w14:textId="37AF0EA8" w:rsidR="00ED3519" w:rsidRDefault="00ED3519" w:rsidP="003C5112">
      <w:pPr>
        <w:rPr>
          <w:rFonts w:asciiTheme="majorBidi" w:hAnsiTheme="majorBidi" w:cstheme="majorBidi"/>
        </w:rPr>
      </w:pPr>
      <w:r>
        <w:rPr>
          <w:rFonts w:asciiTheme="majorBidi" w:hAnsiTheme="majorBidi" w:cstheme="majorBidi"/>
        </w:rPr>
        <w:t xml:space="preserve">Attachment </w:t>
      </w:r>
      <w:r w:rsidR="00601884">
        <w:rPr>
          <w:rFonts w:asciiTheme="majorBidi" w:hAnsiTheme="majorBidi" w:cstheme="majorBidi"/>
        </w:rPr>
        <w:t>8</w:t>
      </w:r>
      <w:r w:rsidR="006967DF">
        <w:rPr>
          <w:rFonts w:asciiTheme="majorBidi" w:hAnsiTheme="majorBidi" w:cstheme="majorBidi"/>
        </w:rPr>
        <w:t xml:space="preserve"> – Provider Survey Supporting D</w:t>
      </w:r>
      <w:r>
        <w:rPr>
          <w:rFonts w:asciiTheme="majorBidi" w:hAnsiTheme="majorBidi" w:cstheme="majorBidi"/>
        </w:rPr>
        <w:t>ocuments</w:t>
      </w:r>
    </w:p>
    <w:p w14:paraId="5BD8BB76" w14:textId="77777777" w:rsidR="00ED3519" w:rsidRDefault="00ED3519" w:rsidP="003C5112">
      <w:pPr>
        <w:rPr>
          <w:rFonts w:asciiTheme="majorBidi" w:hAnsiTheme="majorBidi" w:cstheme="majorBidi"/>
        </w:rPr>
      </w:pPr>
    </w:p>
    <w:p w14:paraId="249C8A84" w14:textId="6DD05DF5" w:rsidR="00ED3519" w:rsidRPr="003C639D" w:rsidRDefault="00ED3519" w:rsidP="003C5112">
      <w:pPr>
        <w:rPr>
          <w:rFonts w:asciiTheme="majorBidi" w:hAnsiTheme="majorBidi" w:cstheme="majorBidi"/>
        </w:rPr>
      </w:pPr>
      <w:r>
        <w:rPr>
          <w:rFonts w:asciiTheme="majorBidi" w:hAnsiTheme="majorBidi" w:cstheme="majorBidi"/>
        </w:rPr>
        <w:t xml:space="preserve">Attachment </w:t>
      </w:r>
      <w:r w:rsidR="00601884">
        <w:rPr>
          <w:rFonts w:asciiTheme="majorBidi" w:hAnsiTheme="majorBidi" w:cstheme="majorBidi"/>
        </w:rPr>
        <w:t>9</w:t>
      </w:r>
      <w:r w:rsidR="006967DF">
        <w:rPr>
          <w:rFonts w:asciiTheme="majorBidi" w:hAnsiTheme="majorBidi" w:cstheme="majorBidi"/>
        </w:rPr>
        <w:t xml:space="preserve"> – Provider Survey Table S</w:t>
      </w:r>
      <w:r>
        <w:rPr>
          <w:rFonts w:asciiTheme="majorBidi" w:hAnsiTheme="majorBidi" w:cstheme="majorBidi"/>
        </w:rPr>
        <w:t>hells</w:t>
      </w:r>
    </w:p>
    <w:p w14:paraId="7AA3DDA0" w14:textId="77777777" w:rsidR="00ED0429" w:rsidRDefault="00ED0429" w:rsidP="003C5112"/>
    <w:sectPr w:rsidR="00ED042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11A80" w14:textId="77777777" w:rsidR="00890346" w:rsidRDefault="00890346" w:rsidP="00ED0429">
      <w:r>
        <w:separator/>
      </w:r>
    </w:p>
  </w:endnote>
  <w:endnote w:type="continuationSeparator" w:id="0">
    <w:p w14:paraId="4E121261" w14:textId="77777777" w:rsidR="00890346" w:rsidRDefault="00890346" w:rsidP="00ED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144843"/>
      <w:docPartObj>
        <w:docPartGallery w:val="Page Numbers (Bottom of Page)"/>
        <w:docPartUnique/>
      </w:docPartObj>
    </w:sdtPr>
    <w:sdtEndPr>
      <w:rPr>
        <w:noProof/>
      </w:rPr>
    </w:sdtEndPr>
    <w:sdtContent>
      <w:p w14:paraId="59BBDFF5" w14:textId="343B1B00" w:rsidR="00890346" w:rsidRDefault="00890346" w:rsidP="00B974B1">
        <w:pPr>
          <w:pStyle w:val="Footer"/>
          <w:jc w:val="right"/>
        </w:pPr>
        <w:r>
          <w:fldChar w:fldCharType="begin"/>
        </w:r>
        <w:r>
          <w:instrText xml:space="preserve"> PAGE   \* MERGEFORMAT </w:instrText>
        </w:r>
        <w:r>
          <w:fldChar w:fldCharType="separate"/>
        </w:r>
        <w:r w:rsidR="000E035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CEB0F" w14:textId="77777777" w:rsidR="00890346" w:rsidRDefault="00890346" w:rsidP="00ED0429">
      <w:r>
        <w:separator/>
      </w:r>
    </w:p>
  </w:footnote>
  <w:footnote w:type="continuationSeparator" w:id="0">
    <w:p w14:paraId="0AC80748" w14:textId="77777777" w:rsidR="00890346" w:rsidRDefault="00890346" w:rsidP="00ED0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1452EE"/>
    <w:lvl w:ilvl="0">
      <w:start w:val="1"/>
      <w:numFmt w:val="decimal"/>
      <w:lvlText w:val="%1."/>
      <w:lvlJc w:val="left"/>
      <w:pPr>
        <w:tabs>
          <w:tab w:val="num" w:pos="1800"/>
        </w:tabs>
        <w:ind w:left="1800" w:hanging="360"/>
      </w:pPr>
    </w:lvl>
  </w:abstractNum>
  <w:abstractNum w:abstractNumId="1">
    <w:nsid w:val="FFFFFF7D"/>
    <w:multiLevelType w:val="singleLevel"/>
    <w:tmpl w:val="08DADCCA"/>
    <w:lvl w:ilvl="0">
      <w:start w:val="1"/>
      <w:numFmt w:val="decimal"/>
      <w:lvlText w:val="%1."/>
      <w:lvlJc w:val="left"/>
      <w:pPr>
        <w:tabs>
          <w:tab w:val="num" w:pos="1440"/>
        </w:tabs>
        <w:ind w:left="1440" w:hanging="360"/>
      </w:pPr>
    </w:lvl>
  </w:abstractNum>
  <w:abstractNum w:abstractNumId="2">
    <w:nsid w:val="FFFFFF7E"/>
    <w:multiLevelType w:val="singleLevel"/>
    <w:tmpl w:val="A6F23C96"/>
    <w:lvl w:ilvl="0">
      <w:start w:val="1"/>
      <w:numFmt w:val="decimal"/>
      <w:lvlText w:val="%1."/>
      <w:lvlJc w:val="left"/>
      <w:pPr>
        <w:tabs>
          <w:tab w:val="num" w:pos="1080"/>
        </w:tabs>
        <w:ind w:left="1080" w:hanging="360"/>
      </w:pPr>
    </w:lvl>
  </w:abstractNum>
  <w:abstractNum w:abstractNumId="3">
    <w:nsid w:val="FFFFFF7F"/>
    <w:multiLevelType w:val="singleLevel"/>
    <w:tmpl w:val="CD2C9BDA"/>
    <w:lvl w:ilvl="0">
      <w:start w:val="1"/>
      <w:numFmt w:val="decimal"/>
      <w:lvlText w:val="%1."/>
      <w:lvlJc w:val="left"/>
      <w:pPr>
        <w:tabs>
          <w:tab w:val="num" w:pos="720"/>
        </w:tabs>
        <w:ind w:left="720" w:hanging="360"/>
      </w:pPr>
    </w:lvl>
  </w:abstractNum>
  <w:abstractNum w:abstractNumId="4">
    <w:nsid w:val="FFFFFF80"/>
    <w:multiLevelType w:val="singleLevel"/>
    <w:tmpl w:val="7C4C05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B696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D4ED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1C5C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C867EC"/>
    <w:lvl w:ilvl="0">
      <w:start w:val="1"/>
      <w:numFmt w:val="decimal"/>
      <w:pStyle w:val="ListNumber"/>
      <w:lvlText w:val="%1."/>
      <w:lvlJc w:val="left"/>
      <w:pPr>
        <w:tabs>
          <w:tab w:val="num" w:pos="360"/>
        </w:tabs>
        <w:ind w:left="360" w:hanging="360"/>
      </w:pPr>
    </w:lvl>
  </w:abstractNum>
  <w:abstractNum w:abstractNumId="9">
    <w:nsid w:val="FFFFFF89"/>
    <w:multiLevelType w:val="singleLevel"/>
    <w:tmpl w:val="8B5CD4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B52913"/>
    <w:multiLevelType w:val="hybridMultilevel"/>
    <w:tmpl w:val="552274EA"/>
    <w:lvl w:ilvl="0" w:tplc="B524B256">
      <w:start w:val="3"/>
      <w:numFmt w:val="decimal"/>
      <w:lvlText w:val="%1."/>
      <w:lvlJc w:val="left"/>
      <w:pPr>
        <w:tabs>
          <w:tab w:val="num" w:pos="720"/>
        </w:tabs>
        <w:ind w:left="72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392669"/>
    <w:multiLevelType w:val="hybridMultilevel"/>
    <w:tmpl w:val="7464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8580C"/>
    <w:multiLevelType w:val="hybridMultilevel"/>
    <w:tmpl w:val="0776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22"/>
    <w:rsid w:val="000108B4"/>
    <w:rsid w:val="00011504"/>
    <w:rsid w:val="00033B70"/>
    <w:rsid w:val="0004335C"/>
    <w:rsid w:val="000500BB"/>
    <w:rsid w:val="00065A04"/>
    <w:rsid w:val="000823D6"/>
    <w:rsid w:val="000A2D27"/>
    <w:rsid w:val="000A3C2F"/>
    <w:rsid w:val="000A48EF"/>
    <w:rsid w:val="000B4083"/>
    <w:rsid w:val="000B6724"/>
    <w:rsid w:val="000E0356"/>
    <w:rsid w:val="000E30BE"/>
    <w:rsid w:val="000E42F9"/>
    <w:rsid w:val="000E4469"/>
    <w:rsid w:val="000E6892"/>
    <w:rsid w:val="00101CEC"/>
    <w:rsid w:val="001056F0"/>
    <w:rsid w:val="00113111"/>
    <w:rsid w:val="0011497B"/>
    <w:rsid w:val="001334C5"/>
    <w:rsid w:val="00136306"/>
    <w:rsid w:val="0013717D"/>
    <w:rsid w:val="001447DF"/>
    <w:rsid w:val="00151CCC"/>
    <w:rsid w:val="00160D65"/>
    <w:rsid w:val="00161260"/>
    <w:rsid w:val="001708BE"/>
    <w:rsid w:val="00180CBF"/>
    <w:rsid w:val="001945A0"/>
    <w:rsid w:val="00196817"/>
    <w:rsid w:val="001A1CA3"/>
    <w:rsid w:val="001A5A61"/>
    <w:rsid w:val="001B11F0"/>
    <w:rsid w:val="001B41FC"/>
    <w:rsid w:val="001C4F74"/>
    <w:rsid w:val="001D066C"/>
    <w:rsid w:val="001D3BB7"/>
    <w:rsid w:val="001E3054"/>
    <w:rsid w:val="001F10CE"/>
    <w:rsid w:val="001F634B"/>
    <w:rsid w:val="001F7E7D"/>
    <w:rsid w:val="002045A1"/>
    <w:rsid w:val="00207E4C"/>
    <w:rsid w:val="00210734"/>
    <w:rsid w:val="00220B76"/>
    <w:rsid w:val="002354D6"/>
    <w:rsid w:val="00237700"/>
    <w:rsid w:val="00240ADC"/>
    <w:rsid w:val="00245E6F"/>
    <w:rsid w:val="00246512"/>
    <w:rsid w:val="00264131"/>
    <w:rsid w:val="002670D9"/>
    <w:rsid w:val="00267342"/>
    <w:rsid w:val="00277B9B"/>
    <w:rsid w:val="002A0978"/>
    <w:rsid w:val="002A7051"/>
    <w:rsid w:val="002B5E81"/>
    <w:rsid w:val="002C1027"/>
    <w:rsid w:val="002E2871"/>
    <w:rsid w:val="002E5878"/>
    <w:rsid w:val="002F0EF2"/>
    <w:rsid w:val="002F1569"/>
    <w:rsid w:val="00315454"/>
    <w:rsid w:val="00321B0B"/>
    <w:rsid w:val="00326AD6"/>
    <w:rsid w:val="00363164"/>
    <w:rsid w:val="0038132D"/>
    <w:rsid w:val="003C5112"/>
    <w:rsid w:val="003E49DF"/>
    <w:rsid w:val="003E6D66"/>
    <w:rsid w:val="00400B29"/>
    <w:rsid w:val="004248E5"/>
    <w:rsid w:val="00427E3F"/>
    <w:rsid w:val="00454546"/>
    <w:rsid w:val="00461F1D"/>
    <w:rsid w:val="0048240B"/>
    <w:rsid w:val="004B36BA"/>
    <w:rsid w:val="004B3F79"/>
    <w:rsid w:val="004C2D52"/>
    <w:rsid w:val="004E3F2C"/>
    <w:rsid w:val="004F4862"/>
    <w:rsid w:val="005011CD"/>
    <w:rsid w:val="005039D5"/>
    <w:rsid w:val="00506955"/>
    <w:rsid w:val="005152D5"/>
    <w:rsid w:val="005514C5"/>
    <w:rsid w:val="005543E4"/>
    <w:rsid w:val="00560487"/>
    <w:rsid w:val="00562DF1"/>
    <w:rsid w:val="00563F8C"/>
    <w:rsid w:val="00566794"/>
    <w:rsid w:val="0057776F"/>
    <w:rsid w:val="00594AB9"/>
    <w:rsid w:val="005A69BD"/>
    <w:rsid w:val="005B748B"/>
    <w:rsid w:val="005C483C"/>
    <w:rsid w:val="005E46C0"/>
    <w:rsid w:val="00601884"/>
    <w:rsid w:val="00611371"/>
    <w:rsid w:val="00622401"/>
    <w:rsid w:val="00631B75"/>
    <w:rsid w:val="00633A9C"/>
    <w:rsid w:val="0063454A"/>
    <w:rsid w:val="006412D2"/>
    <w:rsid w:val="00643FD7"/>
    <w:rsid w:val="006600AB"/>
    <w:rsid w:val="006609D3"/>
    <w:rsid w:val="0066526D"/>
    <w:rsid w:val="0066749B"/>
    <w:rsid w:val="00676E3F"/>
    <w:rsid w:val="0069058E"/>
    <w:rsid w:val="006967DF"/>
    <w:rsid w:val="006B6F71"/>
    <w:rsid w:val="006C131B"/>
    <w:rsid w:val="006D08AE"/>
    <w:rsid w:val="006E0D6B"/>
    <w:rsid w:val="006F1765"/>
    <w:rsid w:val="006F53B0"/>
    <w:rsid w:val="0071797D"/>
    <w:rsid w:val="00720818"/>
    <w:rsid w:val="007321EB"/>
    <w:rsid w:val="0074048A"/>
    <w:rsid w:val="00745EB2"/>
    <w:rsid w:val="0074684D"/>
    <w:rsid w:val="007502D8"/>
    <w:rsid w:val="007536AB"/>
    <w:rsid w:val="00760F1B"/>
    <w:rsid w:val="00773E99"/>
    <w:rsid w:val="007925A7"/>
    <w:rsid w:val="007926E6"/>
    <w:rsid w:val="00795B76"/>
    <w:rsid w:val="007A7354"/>
    <w:rsid w:val="007B2346"/>
    <w:rsid w:val="007E4693"/>
    <w:rsid w:val="007F3139"/>
    <w:rsid w:val="007F3553"/>
    <w:rsid w:val="008002F4"/>
    <w:rsid w:val="008025D7"/>
    <w:rsid w:val="008063A8"/>
    <w:rsid w:val="00807BF5"/>
    <w:rsid w:val="00810E90"/>
    <w:rsid w:val="008225B5"/>
    <w:rsid w:val="008248C9"/>
    <w:rsid w:val="00834138"/>
    <w:rsid w:val="00883D52"/>
    <w:rsid w:val="00890346"/>
    <w:rsid w:val="008A3B78"/>
    <w:rsid w:val="008B2F02"/>
    <w:rsid w:val="008E15D8"/>
    <w:rsid w:val="008E2545"/>
    <w:rsid w:val="00900DA6"/>
    <w:rsid w:val="00903D77"/>
    <w:rsid w:val="00905FCA"/>
    <w:rsid w:val="00913E02"/>
    <w:rsid w:val="00920A95"/>
    <w:rsid w:val="00930744"/>
    <w:rsid w:val="009322AF"/>
    <w:rsid w:val="0095171E"/>
    <w:rsid w:val="00954E6D"/>
    <w:rsid w:val="0095529A"/>
    <w:rsid w:val="009604D2"/>
    <w:rsid w:val="009647D6"/>
    <w:rsid w:val="00965133"/>
    <w:rsid w:val="00981F17"/>
    <w:rsid w:val="00994F8A"/>
    <w:rsid w:val="009A1D5D"/>
    <w:rsid w:val="009A53D8"/>
    <w:rsid w:val="009B1BAF"/>
    <w:rsid w:val="009B4E09"/>
    <w:rsid w:val="009B635E"/>
    <w:rsid w:val="009B66F3"/>
    <w:rsid w:val="009D4032"/>
    <w:rsid w:val="009E0121"/>
    <w:rsid w:val="009E5143"/>
    <w:rsid w:val="00A40F81"/>
    <w:rsid w:val="00A43BD3"/>
    <w:rsid w:val="00A56D57"/>
    <w:rsid w:val="00A60B8E"/>
    <w:rsid w:val="00A64822"/>
    <w:rsid w:val="00A77E8C"/>
    <w:rsid w:val="00A80B24"/>
    <w:rsid w:val="00A82E48"/>
    <w:rsid w:val="00A92679"/>
    <w:rsid w:val="00A9538A"/>
    <w:rsid w:val="00A962DA"/>
    <w:rsid w:val="00AA53F6"/>
    <w:rsid w:val="00AA7524"/>
    <w:rsid w:val="00AB1805"/>
    <w:rsid w:val="00AB5463"/>
    <w:rsid w:val="00AC2B6D"/>
    <w:rsid w:val="00AD26A8"/>
    <w:rsid w:val="00AD283E"/>
    <w:rsid w:val="00AE1FFF"/>
    <w:rsid w:val="00AE7704"/>
    <w:rsid w:val="00B027AB"/>
    <w:rsid w:val="00B03998"/>
    <w:rsid w:val="00B12072"/>
    <w:rsid w:val="00B12DE4"/>
    <w:rsid w:val="00B1448C"/>
    <w:rsid w:val="00B154C4"/>
    <w:rsid w:val="00B23578"/>
    <w:rsid w:val="00B249EF"/>
    <w:rsid w:val="00B372ED"/>
    <w:rsid w:val="00B4151E"/>
    <w:rsid w:val="00B55837"/>
    <w:rsid w:val="00B74B21"/>
    <w:rsid w:val="00B754AD"/>
    <w:rsid w:val="00B75C22"/>
    <w:rsid w:val="00B974B1"/>
    <w:rsid w:val="00BA61B0"/>
    <w:rsid w:val="00BB1864"/>
    <w:rsid w:val="00BB4EFA"/>
    <w:rsid w:val="00BC06CD"/>
    <w:rsid w:val="00BE204C"/>
    <w:rsid w:val="00BE5223"/>
    <w:rsid w:val="00BE5A24"/>
    <w:rsid w:val="00BF0599"/>
    <w:rsid w:val="00C22459"/>
    <w:rsid w:val="00C355E6"/>
    <w:rsid w:val="00C47473"/>
    <w:rsid w:val="00C6538F"/>
    <w:rsid w:val="00C66FCC"/>
    <w:rsid w:val="00C739DC"/>
    <w:rsid w:val="00C8060E"/>
    <w:rsid w:val="00C83BAF"/>
    <w:rsid w:val="00C856D3"/>
    <w:rsid w:val="00C86469"/>
    <w:rsid w:val="00C95D63"/>
    <w:rsid w:val="00C95F8B"/>
    <w:rsid w:val="00CA6E26"/>
    <w:rsid w:val="00CA72A8"/>
    <w:rsid w:val="00CB0A7D"/>
    <w:rsid w:val="00CB1C5B"/>
    <w:rsid w:val="00CC4585"/>
    <w:rsid w:val="00CD1499"/>
    <w:rsid w:val="00CE1700"/>
    <w:rsid w:val="00CF78A8"/>
    <w:rsid w:val="00D01214"/>
    <w:rsid w:val="00D01B33"/>
    <w:rsid w:val="00D055C7"/>
    <w:rsid w:val="00D061E2"/>
    <w:rsid w:val="00D162FA"/>
    <w:rsid w:val="00D2031A"/>
    <w:rsid w:val="00D2272D"/>
    <w:rsid w:val="00D22BF9"/>
    <w:rsid w:val="00D23E19"/>
    <w:rsid w:val="00D4216F"/>
    <w:rsid w:val="00D46C0A"/>
    <w:rsid w:val="00D544BE"/>
    <w:rsid w:val="00D57FE7"/>
    <w:rsid w:val="00D62D6E"/>
    <w:rsid w:val="00D663DB"/>
    <w:rsid w:val="00D703AF"/>
    <w:rsid w:val="00D80EA6"/>
    <w:rsid w:val="00D8599B"/>
    <w:rsid w:val="00DA0505"/>
    <w:rsid w:val="00DA5B90"/>
    <w:rsid w:val="00DB476A"/>
    <w:rsid w:val="00DC00B7"/>
    <w:rsid w:val="00DE594B"/>
    <w:rsid w:val="00DF03E0"/>
    <w:rsid w:val="00DF6D9E"/>
    <w:rsid w:val="00E02577"/>
    <w:rsid w:val="00E1723C"/>
    <w:rsid w:val="00E4203B"/>
    <w:rsid w:val="00E517BE"/>
    <w:rsid w:val="00E53E86"/>
    <w:rsid w:val="00E559CA"/>
    <w:rsid w:val="00E6245E"/>
    <w:rsid w:val="00E75368"/>
    <w:rsid w:val="00E77BBD"/>
    <w:rsid w:val="00E8510E"/>
    <w:rsid w:val="00E878B7"/>
    <w:rsid w:val="00E919FF"/>
    <w:rsid w:val="00E9212C"/>
    <w:rsid w:val="00EA4D19"/>
    <w:rsid w:val="00EA625D"/>
    <w:rsid w:val="00EA73B6"/>
    <w:rsid w:val="00EB4395"/>
    <w:rsid w:val="00ED013D"/>
    <w:rsid w:val="00ED0429"/>
    <w:rsid w:val="00ED3519"/>
    <w:rsid w:val="00ED551F"/>
    <w:rsid w:val="00ED745A"/>
    <w:rsid w:val="00EE63D0"/>
    <w:rsid w:val="00F07288"/>
    <w:rsid w:val="00F13BE3"/>
    <w:rsid w:val="00F2064A"/>
    <w:rsid w:val="00F26433"/>
    <w:rsid w:val="00F3483C"/>
    <w:rsid w:val="00F34F5F"/>
    <w:rsid w:val="00F4008F"/>
    <w:rsid w:val="00F40F8D"/>
    <w:rsid w:val="00F44863"/>
    <w:rsid w:val="00F469B3"/>
    <w:rsid w:val="00F50241"/>
    <w:rsid w:val="00F53644"/>
    <w:rsid w:val="00F559EA"/>
    <w:rsid w:val="00F6007F"/>
    <w:rsid w:val="00F61657"/>
    <w:rsid w:val="00F617EA"/>
    <w:rsid w:val="00F649B5"/>
    <w:rsid w:val="00F6634F"/>
    <w:rsid w:val="00F669EA"/>
    <w:rsid w:val="00F67EC5"/>
    <w:rsid w:val="00F71DDB"/>
    <w:rsid w:val="00F7297F"/>
    <w:rsid w:val="00F83AA9"/>
    <w:rsid w:val="00F85539"/>
    <w:rsid w:val="00F85F88"/>
    <w:rsid w:val="00F92159"/>
    <w:rsid w:val="00FC45A4"/>
    <w:rsid w:val="00FD20B1"/>
    <w:rsid w:val="00FD26E2"/>
    <w:rsid w:val="00FD2D6E"/>
    <w:rsid w:val="00FD448C"/>
    <w:rsid w:val="00FE2B2F"/>
    <w:rsid w:val="00FF4979"/>
    <w:rsid w:val="00FF5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E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A6E26"/>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unhideWhenUsed/>
    <w:qFormat/>
    <w:rsid w:val="00427E3F"/>
    <w:pPr>
      <w:keepNext/>
      <w:keepLines/>
      <w:spacing w:after="2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427E3F"/>
    <w:pPr>
      <w:keepNext/>
      <w:keepLines/>
      <w:spacing w:after="240"/>
      <w:outlineLvl w:val="3"/>
    </w:pPr>
    <w:rPr>
      <w:rFonts w:eastAsiaTheme="majorEastAsia" w:cstheme="majorBidi"/>
      <w:i/>
      <w:iCs/>
    </w:rPr>
  </w:style>
  <w:style w:type="paragraph" w:styleId="Heading5">
    <w:name w:val="heading 5"/>
    <w:basedOn w:val="Normal"/>
    <w:next w:val="Normal"/>
    <w:link w:val="Heading5Char"/>
    <w:uiPriority w:val="9"/>
    <w:unhideWhenUsed/>
    <w:qFormat/>
    <w:rsid w:val="00427E3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27E3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6E26"/>
    <w:rPr>
      <w:rFonts w:ascii="Times New Roman" w:eastAsia="Times New Roman" w:hAnsi="Times New Roman" w:cs="Arial"/>
      <w:b/>
      <w:bCs/>
      <w:iCs/>
      <w:sz w:val="24"/>
      <w:szCs w:val="28"/>
    </w:rPr>
  </w:style>
  <w:style w:type="paragraph" w:styleId="ListParagraph">
    <w:name w:val="List Paragraph"/>
    <w:basedOn w:val="Normal"/>
    <w:uiPriority w:val="34"/>
    <w:qFormat/>
    <w:rsid w:val="00427E3F"/>
    <w:pPr>
      <w:contextualSpacing/>
    </w:pPr>
    <w:rPr>
      <w:b/>
    </w:rPr>
  </w:style>
  <w:style w:type="character" w:styleId="Hyperlink">
    <w:name w:val="Hyperlink"/>
    <w:basedOn w:val="DefaultParagraphFont"/>
    <w:rsid w:val="00CA6E26"/>
    <w:rPr>
      <w:color w:val="0000FF"/>
      <w:u w:val="single"/>
    </w:rPr>
  </w:style>
  <w:style w:type="paragraph" w:styleId="Header">
    <w:name w:val="header"/>
    <w:basedOn w:val="Normal"/>
    <w:link w:val="HeaderChar"/>
    <w:uiPriority w:val="99"/>
    <w:unhideWhenUsed/>
    <w:rsid w:val="00ED0429"/>
    <w:pPr>
      <w:tabs>
        <w:tab w:val="center" w:pos="4680"/>
        <w:tab w:val="right" w:pos="9360"/>
      </w:tabs>
    </w:pPr>
  </w:style>
  <w:style w:type="character" w:customStyle="1" w:styleId="HeaderChar">
    <w:name w:val="Header Char"/>
    <w:basedOn w:val="DefaultParagraphFont"/>
    <w:link w:val="Header"/>
    <w:uiPriority w:val="99"/>
    <w:rsid w:val="00ED04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0429"/>
    <w:pPr>
      <w:tabs>
        <w:tab w:val="center" w:pos="4680"/>
        <w:tab w:val="right" w:pos="9360"/>
      </w:tabs>
    </w:pPr>
  </w:style>
  <w:style w:type="character" w:customStyle="1" w:styleId="FooterChar">
    <w:name w:val="Footer Char"/>
    <w:basedOn w:val="DefaultParagraphFont"/>
    <w:link w:val="Footer"/>
    <w:uiPriority w:val="99"/>
    <w:rsid w:val="00ED0429"/>
    <w:rPr>
      <w:rFonts w:ascii="Times New Roman" w:eastAsia="Times New Roman" w:hAnsi="Times New Roman" w:cs="Times New Roman"/>
      <w:sz w:val="24"/>
      <w:szCs w:val="24"/>
    </w:rPr>
  </w:style>
  <w:style w:type="paragraph" w:customStyle="1" w:styleId="Default">
    <w:name w:val="Default"/>
    <w:rsid w:val="00BE5A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72ED"/>
    <w:rPr>
      <w:sz w:val="16"/>
      <w:szCs w:val="16"/>
    </w:rPr>
  </w:style>
  <w:style w:type="paragraph" w:styleId="CommentText">
    <w:name w:val="annotation text"/>
    <w:basedOn w:val="Normal"/>
    <w:link w:val="CommentTextChar"/>
    <w:uiPriority w:val="99"/>
    <w:semiHidden/>
    <w:unhideWhenUsed/>
    <w:rsid w:val="00B372ED"/>
    <w:rPr>
      <w:sz w:val="20"/>
      <w:szCs w:val="20"/>
    </w:rPr>
  </w:style>
  <w:style w:type="character" w:customStyle="1" w:styleId="CommentTextChar">
    <w:name w:val="Comment Text Char"/>
    <w:basedOn w:val="DefaultParagraphFont"/>
    <w:link w:val="CommentText"/>
    <w:uiPriority w:val="99"/>
    <w:semiHidden/>
    <w:rsid w:val="00B372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7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2ED"/>
    <w:rPr>
      <w:rFonts w:ascii="Segoe UI" w:eastAsia="Times New Roman" w:hAnsi="Segoe UI" w:cs="Segoe UI"/>
      <w:sz w:val="18"/>
      <w:szCs w:val="18"/>
    </w:rPr>
  </w:style>
  <w:style w:type="table" w:styleId="LightShading">
    <w:name w:val="Light Shading"/>
    <w:basedOn w:val="TableNormal"/>
    <w:uiPriority w:val="60"/>
    <w:rsid w:val="00B372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6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0599"/>
    <w:rPr>
      <w:b/>
      <w:bCs/>
    </w:rPr>
  </w:style>
  <w:style w:type="character" w:customStyle="1" w:styleId="CommentSubjectChar">
    <w:name w:val="Comment Subject Char"/>
    <w:basedOn w:val="CommentTextChar"/>
    <w:link w:val="CommentSubject"/>
    <w:uiPriority w:val="99"/>
    <w:semiHidden/>
    <w:rsid w:val="00BF0599"/>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427E3F"/>
    <w:pPr>
      <w:spacing w:after="240"/>
    </w:pPr>
  </w:style>
  <w:style w:type="character" w:customStyle="1" w:styleId="BodyTextChar">
    <w:name w:val="Body Text Char"/>
    <w:basedOn w:val="DefaultParagraphFont"/>
    <w:link w:val="BodyText"/>
    <w:uiPriority w:val="99"/>
    <w:rsid w:val="00427E3F"/>
    <w:rPr>
      <w:rFonts w:ascii="Times New Roman" w:eastAsia="Times New Roman" w:hAnsi="Times New Roman" w:cs="Times New Roman"/>
      <w:sz w:val="24"/>
      <w:szCs w:val="24"/>
    </w:rPr>
  </w:style>
  <w:style w:type="paragraph" w:styleId="ListNumber">
    <w:name w:val="List Number"/>
    <w:basedOn w:val="Normal"/>
    <w:uiPriority w:val="99"/>
    <w:unhideWhenUsed/>
    <w:rsid w:val="00427E3F"/>
    <w:pPr>
      <w:numPr>
        <w:numId w:val="9"/>
      </w:numPr>
    </w:pPr>
    <w:rPr>
      <w:b/>
    </w:rPr>
  </w:style>
  <w:style w:type="character" w:customStyle="1" w:styleId="Heading1Char">
    <w:name w:val="Heading 1 Char"/>
    <w:basedOn w:val="DefaultParagraphFont"/>
    <w:link w:val="Heading1"/>
    <w:uiPriority w:val="9"/>
    <w:rsid w:val="00427E3F"/>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99"/>
    <w:unhideWhenUsed/>
    <w:rsid w:val="00427E3F"/>
    <w:pPr>
      <w:numPr>
        <w:numId w:val="4"/>
      </w:numPr>
      <w:spacing w:after="240"/>
      <w:ind w:left="720"/>
    </w:pPr>
  </w:style>
  <w:style w:type="character" w:customStyle="1" w:styleId="Heading3Char">
    <w:name w:val="Heading 3 Char"/>
    <w:basedOn w:val="DefaultParagraphFont"/>
    <w:link w:val="Heading3"/>
    <w:uiPriority w:val="9"/>
    <w:rsid w:val="00427E3F"/>
    <w:rPr>
      <w:rFonts w:ascii="Times New Roman" w:eastAsiaTheme="majorEastAsia" w:hAnsi="Times New Roman" w:cstheme="majorBidi"/>
      <w:sz w:val="24"/>
      <w:szCs w:val="24"/>
      <w:u w:val="single"/>
    </w:rPr>
  </w:style>
  <w:style w:type="character" w:customStyle="1" w:styleId="Heading4Char">
    <w:name w:val="Heading 4 Char"/>
    <w:basedOn w:val="DefaultParagraphFont"/>
    <w:link w:val="Heading4"/>
    <w:uiPriority w:val="9"/>
    <w:rsid w:val="00427E3F"/>
    <w:rPr>
      <w:rFonts w:ascii="Times New Roman" w:eastAsiaTheme="majorEastAsia" w:hAnsi="Times New Roman" w:cstheme="majorBidi"/>
      <w:i/>
      <w:iCs/>
      <w:sz w:val="24"/>
      <w:szCs w:val="24"/>
    </w:rPr>
  </w:style>
  <w:style w:type="character" w:customStyle="1" w:styleId="Heading5Char">
    <w:name w:val="Heading 5 Char"/>
    <w:basedOn w:val="DefaultParagraphFont"/>
    <w:link w:val="Heading5"/>
    <w:uiPriority w:val="9"/>
    <w:rsid w:val="00427E3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427E3F"/>
    <w:rPr>
      <w:rFonts w:asciiTheme="majorHAnsi" w:eastAsiaTheme="majorEastAsia" w:hAnsiTheme="majorHAnsi" w:cstheme="majorBidi"/>
      <w:color w:val="1F4D78" w:themeColor="accent1" w:themeShade="7F"/>
      <w:sz w:val="24"/>
      <w:szCs w:val="24"/>
    </w:rPr>
  </w:style>
  <w:style w:type="paragraph" w:customStyle="1" w:styleId="Exhibittitle">
    <w:name w:val="Exhibit title"/>
    <w:basedOn w:val="Normal"/>
    <w:qFormat/>
    <w:rsid w:val="00F53644"/>
    <w:pPr>
      <w:keepNext/>
      <w:spacing w:after="120"/>
      <w:ind w:left="1166" w:hanging="1166"/>
    </w:pPr>
    <w:rPr>
      <w:b/>
    </w:rPr>
  </w:style>
  <w:style w:type="paragraph" w:customStyle="1" w:styleId="Tabletext">
    <w:name w:val="Table text"/>
    <w:basedOn w:val="Normal"/>
    <w:qFormat/>
    <w:rsid w:val="002045A1"/>
    <w:rPr>
      <w:color w:val="000000" w:themeColor="text1" w:themeShade="BF"/>
      <w:sz w:val="20"/>
      <w:szCs w:val="20"/>
    </w:rPr>
  </w:style>
  <w:style w:type="paragraph" w:customStyle="1" w:styleId="biblio">
    <w:name w:val="biblio"/>
    <w:basedOn w:val="Normal"/>
    <w:rsid w:val="00CF78A8"/>
    <w:pPr>
      <w:keepLines/>
      <w:spacing w:after="80"/>
      <w:ind w:left="806" w:hanging="806"/>
    </w:pPr>
    <w:rPr>
      <w:noProof/>
      <w:szCs w:val="20"/>
    </w:rPr>
  </w:style>
  <w:style w:type="character" w:customStyle="1" w:styleId="end1">
    <w:name w:val="end1"/>
    <w:basedOn w:val="DefaultParagraphFont"/>
    <w:rsid w:val="00F71DDB"/>
    <w:rPr>
      <w:rFonts w:ascii="Arial" w:hAnsi="Arial" w:cs="Arial" w:hint="default"/>
      <w:b w:val="0"/>
      <w:bCs w:val="0"/>
      <w:i w:val="0"/>
      <w:iCs w:val="0"/>
      <w:color w:val="000000"/>
      <w:sz w:val="17"/>
      <w:szCs w:val="17"/>
    </w:rPr>
  </w:style>
  <w:style w:type="character" w:styleId="Emphasis">
    <w:name w:val="Emphasis"/>
    <w:basedOn w:val="DefaultParagraphFont"/>
    <w:uiPriority w:val="20"/>
    <w:qFormat/>
    <w:rsid w:val="00F71DDB"/>
    <w:rPr>
      <w:i/>
      <w:iCs/>
    </w:rPr>
  </w:style>
  <w:style w:type="character" w:customStyle="1" w:styleId="italic1">
    <w:name w:val="italic1"/>
    <w:basedOn w:val="DefaultParagraphFont"/>
    <w:rsid w:val="00151CCC"/>
    <w:rPr>
      <w:b w:val="0"/>
      <w:bCs w:val="0"/>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E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A6E26"/>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unhideWhenUsed/>
    <w:qFormat/>
    <w:rsid w:val="00427E3F"/>
    <w:pPr>
      <w:keepNext/>
      <w:keepLines/>
      <w:spacing w:after="2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427E3F"/>
    <w:pPr>
      <w:keepNext/>
      <w:keepLines/>
      <w:spacing w:after="240"/>
      <w:outlineLvl w:val="3"/>
    </w:pPr>
    <w:rPr>
      <w:rFonts w:eastAsiaTheme="majorEastAsia" w:cstheme="majorBidi"/>
      <w:i/>
      <w:iCs/>
    </w:rPr>
  </w:style>
  <w:style w:type="paragraph" w:styleId="Heading5">
    <w:name w:val="heading 5"/>
    <w:basedOn w:val="Normal"/>
    <w:next w:val="Normal"/>
    <w:link w:val="Heading5Char"/>
    <w:uiPriority w:val="9"/>
    <w:unhideWhenUsed/>
    <w:qFormat/>
    <w:rsid w:val="00427E3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27E3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6E26"/>
    <w:rPr>
      <w:rFonts w:ascii="Times New Roman" w:eastAsia="Times New Roman" w:hAnsi="Times New Roman" w:cs="Arial"/>
      <w:b/>
      <w:bCs/>
      <w:iCs/>
      <w:sz w:val="24"/>
      <w:szCs w:val="28"/>
    </w:rPr>
  </w:style>
  <w:style w:type="paragraph" w:styleId="ListParagraph">
    <w:name w:val="List Paragraph"/>
    <w:basedOn w:val="Normal"/>
    <w:uiPriority w:val="34"/>
    <w:qFormat/>
    <w:rsid w:val="00427E3F"/>
    <w:pPr>
      <w:contextualSpacing/>
    </w:pPr>
    <w:rPr>
      <w:b/>
    </w:rPr>
  </w:style>
  <w:style w:type="character" w:styleId="Hyperlink">
    <w:name w:val="Hyperlink"/>
    <w:basedOn w:val="DefaultParagraphFont"/>
    <w:rsid w:val="00CA6E26"/>
    <w:rPr>
      <w:color w:val="0000FF"/>
      <w:u w:val="single"/>
    </w:rPr>
  </w:style>
  <w:style w:type="paragraph" w:styleId="Header">
    <w:name w:val="header"/>
    <w:basedOn w:val="Normal"/>
    <w:link w:val="HeaderChar"/>
    <w:uiPriority w:val="99"/>
    <w:unhideWhenUsed/>
    <w:rsid w:val="00ED0429"/>
    <w:pPr>
      <w:tabs>
        <w:tab w:val="center" w:pos="4680"/>
        <w:tab w:val="right" w:pos="9360"/>
      </w:tabs>
    </w:pPr>
  </w:style>
  <w:style w:type="character" w:customStyle="1" w:styleId="HeaderChar">
    <w:name w:val="Header Char"/>
    <w:basedOn w:val="DefaultParagraphFont"/>
    <w:link w:val="Header"/>
    <w:uiPriority w:val="99"/>
    <w:rsid w:val="00ED04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0429"/>
    <w:pPr>
      <w:tabs>
        <w:tab w:val="center" w:pos="4680"/>
        <w:tab w:val="right" w:pos="9360"/>
      </w:tabs>
    </w:pPr>
  </w:style>
  <w:style w:type="character" w:customStyle="1" w:styleId="FooterChar">
    <w:name w:val="Footer Char"/>
    <w:basedOn w:val="DefaultParagraphFont"/>
    <w:link w:val="Footer"/>
    <w:uiPriority w:val="99"/>
    <w:rsid w:val="00ED0429"/>
    <w:rPr>
      <w:rFonts w:ascii="Times New Roman" w:eastAsia="Times New Roman" w:hAnsi="Times New Roman" w:cs="Times New Roman"/>
      <w:sz w:val="24"/>
      <w:szCs w:val="24"/>
    </w:rPr>
  </w:style>
  <w:style w:type="paragraph" w:customStyle="1" w:styleId="Default">
    <w:name w:val="Default"/>
    <w:rsid w:val="00BE5A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72ED"/>
    <w:rPr>
      <w:sz w:val="16"/>
      <w:szCs w:val="16"/>
    </w:rPr>
  </w:style>
  <w:style w:type="paragraph" w:styleId="CommentText">
    <w:name w:val="annotation text"/>
    <w:basedOn w:val="Normal"/>
    <w:link w:val="CommentTextChar"/>
    <w:uiPriority w:val="99"/>
    <w:semiHidden/>
    <w:unhideWhenUsed/>
    <w:rsid w:val="00B372ED"/>
    <w:rPr>
      <w:sz w:val="20"/>
      <w:szCs w:val="20"/>
    </w:rPr>
  </w:style>
  <w:style w:type="character" w:customStyle="1" w:styleId="CommentTextChar">
    <w:name w:val="Comment Text Char"/>
    <w:basedOn w:val="DefaultParagraphFont"/>
    <w:link w:val="CommentText"/>
    <w:uiPriority w:val="99"/>
    <w:semiHidden/>
    <w:rsid w:val="00B372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7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2ED"/>
    <w:rPr>
      <w:rFonts w:ascii="Segoe UI" w:eastAsia="Times New Roman" w:hAnsi="Segoe UI" w:cs="Segoe UI"/>
      <w:sz w:val="18"/>
      <w:szCs w:val="18"/>
    </w:rPr>
  </w:style>
  <w:style w:type="table" w:styleId="LightShading">
    <w:name w:val="Light Shading"/>
    <w:basedOn w:val="TableNormal"/>
    <w:uiPriority w:val="60"/>
    <w:rsid w:val="00B372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6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0599"/>
    <w:rPr>
      <w:b/>
      <w:bCs/>
    </w:rPr>
  </w:style>
  <w:style w:type="character" w:customStyle="1" w:styleId="CommentSubjectChar">
    <w:name w:val="Comment Subject Char"/>
    <w:basedOn w:val="CommentTextChar"/>
    <w:link w:val="CommentSubject"/>
    <w:uiPriority w:val="99"/>
    <w:semiHidden/>
    <w:rsid w:val="00BF0599"/>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427E3F"/>
    <w:pPr>
      <w:spacing w:after="240"/>
    </w:pPr>
  </w:style>
  <w:style w:type="character" w:customStyle="1" w:styleId="BodyTextChar">
    <w:name w:val="Body Text Char"/>
    <w:basedOn w:val="DefaultParagraphFont"/>
    <w:link w:val="BodyText"/>
    <w:uiPriority w:val="99"/>
    <w:rsid w:val="00427E3F"/>
    <w:rPr>
      <w:rFonts w:ascii="Times New Roman" w:eastAsia="Times New Roman" w:hAnsi="Times New Roman" w:cs="Times New Roman"/>
      <w:sz w:val="24"/>
      <w:szCs w:val="24"/>
    </w:rPr>
  </w:style>
  <w:style w:type="paragraph" w:styleId="ListNumber">
    <w:name w:val="List Number"/>
    <w:basedOn w:val="Normal"/>
    <w:uiPriority w:val="99"/>
    <w:unhideWhenUsed/>
    <w:rsid w:val="00427E3F"/>
    <w:pPr>
      <w:numPr>
        <w:numId w:val="9"/>
      </w:numPr>
    </w:pPr>
    <w:rPr>
      <w:b/>
    </w:rPr>
  </w:style>
  <w:style w:type="character" w:customStyle="1" w:styleId="Heading1Char">
    <w:name w:val="Heading 1 Char"/>
    <w:basedOn w:val="DefaultParagraphFont"/>
    <w:link w:val="Heading1"/>
    <w:uiPriority w:val="9"/>
    <w:rsid w:val="00427E3F"/>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99"/>
    <w:unhideWhenUsed/>
    <w:rsid w:val="00427E3F"/>
    <w:pPr>
      <w:numPr>
        <w:numId w:val="4"/>
      </w:numPr>
      <w:spacing w:after="240"/>
      <w:ind w:left="720"/>
    </w:pPr>
  </w:style>
  <w:style w:type="character" w:customStyle="1" w:styleId="Heading3Char">
    <w:name w:val="Heading 3 Char"/>
    <w:basedOn w:val="DefaultParagraphFont"/>
    <w:link w:val="Heading3"/>
    <w:uiPriority w:val="9"/>
    <w:rsid w:val="00427E3F"/>
    <w:rPr>
      <w:rFonts w:ascii="Times New Roman" w:eastAsiaTheme="majorEastAsia" w:hAnsi="Times New Roman" w:cstheme="majorBidi"/>
      <w:sz w:val="24"/>
      <w:szCs w:val="24"/>
      <w:u w:val="single"/>
    </w:rPr>
  </w:style>
  <w:style w:type="character" w:customStyle="1" w:styleId="Heading4Char">
    <w:name w:val="Heading 4 Char"/>
    <w:basedOn w:val="DefaultParagraphFont"/>
    <w:link w:val="Heading4"/>
    <w:uiPriority w:val="9"/>
    <w:rsid w:val="00427E3F"/>
    <w:rPr>
      <w:rFonts w:ascii="Times New Roman" w:eastAsiaTheme="majorEastAsia" w:hAnsi="Times New Roman" w:cstheme="majorBidi"/>
      <w:i/>
      <w:iCs/>
      <w:sz w:val="24"/>
      <w:szCs w:val="24"/>
    </w:rPr>
  </w:style>
  <w:style w:type="character" w:customStyle="1" w:styleId="Heading5Char">
    <w:name w:val="Heading 5 Char"/>
    <w:basedOn w:val="DefaultParagraphFont"/>
    <w:link w:val="Heading5"/>
    <w:uiPriority w:val="9"/>
    <w:rsid w:val="00427E3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427E3F"/>
    <w:rPr>
      <w:rFonts w:asciiTheme="majorHAnsi" w:eastAsiaTheme="majorEastAsia" w:hAnsiTheme="majorHAnsi" w:cstheme="majorBidi"/>
      <w:color w:val="1F4D78" w:themeColor="accent1" w:themeShade="7F"/>
      <w:sz w:val="24"/>
      <w:szCs w:val="24"/>
    </w:rPr>
  </w:style>
  <w:style w:type="paragraph" w:customStyle="1" w:styleId="Exhibittitle">
    <w:name w:val="Exhibit title"/>
    <w:basedOn w:val="Normal"/>
    <w:qFormat/>
    <w:rsid w:val="00F53644"/>
    <w:pPr>
      <w:keepNext/>
      <w:spacing w:after="120"/>
      <w:ind w:left="1166" w:hanging="1166"/>
    </w:pPr>
    <w:rPr>
      <w:b/>
    </w:rPr>
  </w:style>
  <w:style w:type="paragraph" w:customStyle="1" w:styleId="Tabletext">
    <w:name w:val="Table text"/>
    <w:basedOn w:val="Normal"/>
    <w:qFormat/>
    <w:rsid w:val="002045A1"/>
    <w:rPr>
      <w:color w:val="000000" w:themeColor="text1" w:themeShade="BF"/>
      <w:sz w:val="20"/>
      <w:szCs w:val="20"/>
    </w:rPr>
  </w:style>
  <w:style w:type="paragraph" w:customStyle="1" w:styleId="biblio">
    <w:name w:val="biblio"/>
    <w:basedOn w:val="Normal"/>
    <w:rsid w:val="00CF78A8"/>
    <w:pPr>
      <w:keepLines/>
      <w:spacing w:after="80"/>
      <w:ind w:left="806" w:hanging="806"/>
    </w:pPr>
    <w:rPr>
      <w:noProof/>
      <w:szCs w:val="20"/>
    </w:rPr>
  </w:style>
  <w:style w:type="character" w:customStyle="1" w:styleId="end1">
    <w:name w:val="end1"/>
    <w:basedOn w:val="DefaultParagraphFont"/>
    <w:rsid w:val="00F71DDB"/>
    <w:rPr>
      <w:rFonts w:ascii="Arial" w:hAnsi="Arial" w:cs="Arial" w:hint="default"/>
      <w:b w:val="0"/>
      <w:bCs w:val="0"/>
      <w:i w:val="0"/>
      <w:iCs w:val="0"/>
      <w:color w:val="000000"/>
      <w:sz w:val="17"/>
      <w:szCs w:val="17"/>
    </w:rPr>
  </w:style>
  <w:style w:type="character" w:styleId="Emphasis">
    <w:name w:val="Emphasis"/>
    <w:basedOn w:val="DefaultParagraphFont"/>
    <w:uiPriority w:val="20"/>
    <w:qFormat/>
    <w:rsid w:val="00F71DDB"/>
    <w:rPr>
      <w:i/>
      <w:iCs/>
    </w:rPr>
  </w:style>
  <w:style w:type="character" w:customStyle="1" w:styleId="italic1">
    <w:name w:val="italic1"/>
    <w:basedOn w:val="DefaultParagraphFont"/>
    <w:rsid w:val="00151CCC"/>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44417">
      <w:bodyDiv w:val="1"/>
      <w:marLeft w:val="0"/>
      <w:marRight w:val="0"/>
      <w:marTop w:val="0"/>
      <w:marBottom w:val="0"/>
      <w:divBdr>
        <w:top w:val="none" w:sz="0" w:space="0" w:color="auto"/>
        <w:left w:val="none" w:sz="0" w:space="0" w:color="auto"/>
        <w:bottom w:val="none" w:sz="0" w:space="0" w:color="auto"/>
        <w:right w:val="none" w:sz="0" w:space="0" w:color="auto"/>
      </w:divBdr>
    </w:div>
    <w:div w:id="395512926">
      <w:bodyDiv w:val="1"/>
      <w:marLeft w:val="0"/>
      <w:marRight w:val="0"/>
      <w:marTop w:val="0"/>
      <w:marBottom w:val="0"/>
      <w:divBdr>
        <w:top w:val="none" w:sz="0" w:space="0" w:color="auto"/>
        <w:left w:val="none" w:sz="0" w:space="0" w:color="auto"/>
        <w:bottom w:val="none" w:sz="0" w:space="0" w:color="auto"/>
        <w:right w:val="none" w:sz="0" w:space="0" w:color="auto"/>
      </w:divBdr>
    </w:div>
    <w:div w:id="399405322">
      <w:bodyDiv w:val="1"/>
      <w:marLeft w:val="0"/>
      <w:marRight w:val="0"/>
      <w:marTop w:val="0"/>
      <w:marBottom w:val="0"/>
      <w:divBdr>
        <w:top w:val="none" w:sz="0" w:space="0" w:color="auto"/>
        <w:left w:val="none" w:sz="0" w:space="0" w:color="auto"/>
        <w:bottom w:val="none" w:sz="0" w:space="0" w:color="auto"/>
        <w:right w:val="none" w:sz="0" w:space="0" w:color="auto"/>
      </w:divBdr>
    </w:div>
    <w:div w:id="418059090">
      <w:bodyDiv w:val="1"/>
      <w:marLeft w:val="0"/>
      <w:marRight w:val="0"/>
      <w:marTop w:val="0"/>
      <w:marBottom w:val="0"/>
      <w:divBdr>
        <w:top w:val="none" w:sz="0" w:space="0" w:color="auto"/>
        <w:left w:val="none" w:sz="0" w:space="0" w:color="auto"/>
        <w:bottom w:val="none" w:sz="0" w:space="0" w:color="auto"/>
        <w:right w:val="none" w:sz="0" w:space="0" w:color="auto"/>
      </w:divBdr>
    </w:div>
    <w:div w:id="511385387">
      <w:bodyDiv w:val="1"/>
      <w:marLeft w:val="0"/>
      <w:marRight w:val="0"/>
      <w:marTop w:val="0"/>
      <w:marBottom w:val="0"/>
      <w:divBdr>
        <w:top w:val="none" w:sz="0" w:space="0" w:color="auto"/>
        <w:left w:val="none" w:sz="0" w:space="0" w:color="auto"/>
        <w:bottom w:val="none" w:sz="0" w:space="0" w:color="auto"/>
        <w:right w:val="none" w:sz="0" w:space="0" w:color="auto"/>
      </w:divBdr>
    </w:div>
    <w:div w:id="609244059">
      <w:bodyDiv w:val="1"/>
      <w:marLeft w:val="0"/>
      <w:marRight w:val="0"/>
      <w:marTop w:val="0"/>
      <w:marBottom w:val="0"/>
      <w:divBdr>
        <w:top w:val="none" w:sz="0" w:space="0" w:color="auto"/>
        <w:left w:val="none" w:sz="0" w:space="0" w:color="auto"/>
        <w:bottom w:val="none" w:sz="0" w:space="0" w:color="auto"/>
        <w:right w:val="none" w:sz="0" w:space="0" w:color="auto"/>
      </w:divBdr>
    </w:div>
    <w:div w:id="628626977">
      <w:bodyDiv w:val="1"/>
      <w:marLeft w:val="0"/>
      <w:marRight w:val="0"/>
      <w:marTop w:val="0"/>
      <w:marBottom w:val="0"/>
      <w:divBdr>
        <w:top w:val="none" w:sz="0" w:space="0" w:color="auto"/>
        <w:left w:val="none" w:sz="0" w:space="0" w:color="auto"/>
        <w:bottom w:val="none" w:sz="0" w:space="0" w:color="auto"/>
        <w:right w:val="none" w:sz="0" w:space="0" w:color="auto"/>
      </w:divBdr>
    </w:div>
    <w:div w:id="731393417">
      <w:bodyDiv w:val="1"/>
      <w:marLeft w:val="0"/>
      <w:marRight w:val="0"/>
      <w:marTop w:val="0"/>
      <w:marBottom w:val="0"/>
      <w:divBdr>
        <w:top w:val="none" w:sz="0" w:space="0" w:color="auto"/>
        <w:left w:val="none" w:sz="0" w:space="0" w:color="auto"/>
        <w:bottom w:val="none" w:sz="0" w:space="0" w:color="auto"/>
        <w:right w:val="none" w:sz="0" w:space="0" w:color="auto"/>
      </w:divBdr>
    </w:div>
    <w:div w:id="789133796">
      <w:bodyDiv w:val="1"/>
      <w:marLeft w:val="0"/>
      <w:marRight w:val="0"/>
      <w:marTop w:val="0"/>
      <w:marBottom w:val="0"/>
      <w:divBdr>
        <w:top w:val="none" w:sz="0" w:space="0" w:color="auto"/>
        <w:left w:val="none" w:sz="0" w:space="0" w:color="auto"/>
        <w:bottom w:val="none" w:sz="0" w:space="0" w:color="auto"/>
        <w:right w:val="none" w:sz="0" w:space="0" w:color="auto"/>
      </w:divBdr>
    </w:div>
    <w:div w:id="994837985">
      <w:bodyDiv w:val="1"/>
      <w:marLeft w:val="0"/>
      <w:marRight w:val="0"/>
      <w:marTop w:val="0"/>
      <w:marBottom w:val="0"/>
      <w:divBdr>
        <w:top w:val="none" w:sz="0" w:space="0" w:color="auto"/>
        <w:left w:val="none" w:sz="0" w:space="0" w:color="auto"/>
        <w:bottom w:val="none" w:sz="0" w:space="0" w:color="auto"/>
        <w:right w:val="none" w:sz="0" w:space="0" w:color="auto"/>
      </w:divBdr>
    </w:div>
    <w:div w:id="1167088034">
      <w:bodyDiv w:val="1"/>
      <w:marLeft w:val="0"/>
      <w:marRight w:val="0"/>
      <w:marTop w:val="0"/>
      <w:marBottom w:val="0"/>
      <w:divBdr>
        <w:top w:val="none" w:sz="0" w:space="0" w:color="auto"/>
        <w:left w:val="none" w:sz="0" w:space="0" w:color="auto"/>
        <w:bottom w:val="none" w:sz="0" w:space="0" w:color="auto"/>
        <w:right w:val="none" w:sz="0" w:space="0" w:color="auto"/>
      </w:divBdr>
    </w:div>
    <w:div w:id="1474255520">
      <w:bodyDiv w:val="1"/>
      <w:marLeft w:val="0"/>
      <w:marRight w:val="0"/>
      <w:marTop w:val="0"/>
      <w:marBottom w:val="0"/>
      <w:divBdr>
        <w:top w:val="none" w:sz="0" w:space="0" w:color="auto"/>
        <w:left w:val="none" w:sz="0" w:space="0" w:color="auto"/>
        <w:bottom w:val="none" w:sz="0" w:space="0" w:color="auto"/>
        <w:right w:val="none" w:sz="0" w:space="0" w:color="auto"/>
      </w:divBdr>
    </w:div>
    <w:div w:id="1509295592">
      <w:bodyDiv w:val="1"/>
      <w:marLeft w:val="0"/>
      <w:marRight w:val="0"/>
      <w:marTop w:val="0"/>
      <w:marBottom w:val="0"/>
      <w:divBdr>
        <w:top w:val="none" w:sz="0" w:space="0" w:color="auto"/>
        <w:left w:val="none" w:sz="0" w:space="0" w:color="auto"/>
        <w:bottom w:val="none" w:sz="0" w:space="0" w:color="auto"/>
        <w:right w:val="none" w:sz="0" w:space="0" w:color="auto"/>
      </w:divBdr>
    </w:div>
    <w:div w:id="1574462978">
      <w:bodyDiv w:val="1"/>
      <w:marLeft w:val="0"/>
      <w:marRight w:val="0"/>
      <w:marTop w:val="0"/>
      <w:marBottom w:val="0"/>
      <w:divBdr>
        <w:top w:val="none" w:sz="0" w:space="0" w:color="auto"/>
        <w:left w:val="none" w:sz="0" w:space="0" w:color="auto"/>
        <w:bottom w:val="none" w:sz="0" w:space="0" w:color="auto"/>
        <w:right w:val="none" w:sz="0" w:space="0" w:color="auto"/>
      </w:divBdr>
    </w:div>
    <w:div w:id="1599096574">
      <w:bodyDiv w:val="1"/>
      <w:marLeft w:val="0"/>
      <w:marRight w:val="0"/>
      <w:marTop w:val="0"/>
      <w:marBottom w:val="0"/>
      <w:divBdr>
        <w:top w:val="none" w:sz="0" w:space="0" w:color="auto"/>
        <w:left w:val="none" w:sz="0" w:space="0" w:color="auto"/>
        <w:bottom w:val="none" w:sz="0" w:space="0" w:color="auto"/>
        <w:right w:val="none" w:sz="0" w:space="0" w:color="auto"/>
      </w:divBdr>
    </w:div>
    <w:div w:id="1749766806">
      <w:bodyDiv w:val="1"/>
      <w:marLeft w:val="0"/>
      <w:marRight w:val="0"/>
      <w:marTop w:val="0"/>
      <w:marBottom w:val="0"/>
      <w:divBdr>
        <w:top w:val="none" w:sz="0" w:space="0" w:color="auto"/>
        <w:left w:val="none" w:sz="0" w:space="0" w:color="auto"/>
        <w:bottom w:val="none" w:sz="0" w:space="0" w:color="auto"/>
        <w:right w:val="none" w:sz="0" w:space="0" w:color="auto"/>
      </w:divBdr>
    </w:div>
    <w:div w:id="1830173047">
      <w:bodyDiv w:val="1"/>
      <w:marLeft w:val="0"/>
      <w:marRight w:val="0"/>
      <w:marTop w:val="0"/>
      <w:marBottom w:val="0"/>
      <w:divBdr>
        <w:top w:val="none" w:sz="0" w:space="0" w:color="auto"/>
        <w:left w:val="none" w:sz="0" w:space="0" w:color="auto"/>
        <w:bottom w:val="none" w:sz="0" w:space="0" w:color="auto"/>
        <w:right w:val="none" w:sz="0" w:space="0" w:color="auto"/>
      </w:divBdr>
    </w:div>
    <w:div w:id="1844583346">
      <w:bodyDiv w:val="1"/>
      <w:marLeft w:val="0"/>
      <w:marRight w:val="0"/>
      <w:marTop w:val="0"/>
      <w:marBottom w:val="0"/>
      <w:divBdr>
        <w:top w:val="none" w:sz="0" w:space="0" w:color="auto"/>
        <w:left w:val="none" w:sz="0" w:space="0" w:color="auto"/>
        <w:bottom w:val="none" w:sz="0" w:space="0" w:color="auto"/>
        <w:right w:val="none" w:sz="0" w:space="0" w:color="auto"/>
      </w:divBdr>
    </w:div>
    <w:div w:id="20210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nne@rt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arish@rt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korch@email.arizona.edu" TargetMode="External"/><Relationship Id="rId4" Type="http://schemas.microsoft.com/office/2007/relationships/stylesWithEffects" Target="stylesWithEffects.xml"/><Relationship Id="rId9" Type="http://schemas.openxmlformats.org/officeDocument/2006/relationships/hyperlink" Target="mailto:aaldridge@rt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C5642-7A7B-4CA2-BA7B-059365C7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Orme, Stephen</dc:creator>
  <cp:lastModifiedBy>Windows User</cp:lastModifiedBy>
  <cp:revision>7</cp:revision>
  <cp:lastPrinted>2016-02-10T18:26:00Z</cp:lastPrinted>
  <dcterms:created xsi:type="dcterms:W3CDTF">2016-03-11T17:01:00Z</dcterms:created>
  <dcterms:modified xsi:type="dcterms:W3CDTF">2016-06-23T14:27:00Z</dcterms:modified>
</cp:coreProperties>
</file>