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8F" w:rsidRDefault="00AA468F" w:rsidP="00AA468F">
      <w:pPr>
        <w:rPr>
          <w:b/>
          <w:sz w:val="32"/>
          <w:szCs w:val="32"/>
        </w:rPr>
      </w:pPr>
      <w:r>
        <w:rPr>
          <w:b/>
          <w:sz w:val="32"/>
          <w:szCs w:val="32"/>
        </w:rPr>
        <w:t xml:space="preserve">         </w:t>
      </w:r>
    </w:p>
    <w:p w:rsidR="00AA468F" w:rsidRDefault="00AA468F" w:rsidP="00AA468F">
      <w:pPr>
        <w:rPr>
          <w:b/>
          <w:sz w:val="32"/>
          <w:szCs w:val="32"/>
        </w:rPr>
      </w:pPr>
    </w:p>
    <w:p w:rsidR="00AA468F" w:rsidRDefault="00AA468F" w:rsidP="00AA468F">
      <w:pPr>
        <w:rPr>
          <w:b/>
          <w:sz w:val="32"/>
          <w:szCs w:val="32"/>
        </w:rPr>
      </w:pPr>
    </w:p>
    <w:p w:rsidR="00C12631" w:rsidRDefault="000E5A18" w:rsidP="00AA468F">
      <w:pPr>
        <w:ind w:left="720" w:firstLine="720"/>
        <w:rPr>
          <w:b/>
          <w:sz w:val="32"/>
          <w:szCs w:val="32"/>
        </w:rPr>
      </w:pPr>
      <w:r w:rsidRPr="000E5A18">
        <w:rPr>
          <w:b/>
          <w:sz w:val="32"/>
          <w:szCs w:val="32"/>
        </w:rPr>
        <w:t>Attachment B</w:t>
      </w:r>
      <w:r w:rsidR="00AA468F">
        <w:rPr>
          <w:b/>
          <w:sz w:val="32"/>
          <w:szCs w:val="32"/>
        </w:rPr>
        <w:t xml:space="preserve"> – SAMHSA’s Response to the Comments</w:t>
      </w:r>
    </w:p>
    <w:p w:rsidR="000E5A18" w:rsidRDefault="000E5A18">
      <w:pPr>
        <w:rPr>
          <w:b/>
          <w:sz w:val="32"/>
          <w:szCs w:val="32"/>
        </w:rPr>
      </w:pPr>
    </w:p>
    <w:p w:rsidR="000E5A18" w:rsidRDefault="000E5A18">
      <w:pPr>
        <w:rPr>
          <w:b/>
          <w:sz w:val="32"/>
          <w:szCs w:val="32"/>
        </w:rPr>
      </w:pPr>
    </w:p>
    <w:p w:rsidR="000E5A18" w:rsidRDefault="000E5A18">
      <w:pPr>
        <w:rPr>
          <w:b/>
          <w:sz w:val="32"/>
          <w:szCs w:val="32"/>
        </w:rPr>
      </w:pPr>
    </w:p>
    <w:p w:rsidR="000E5A18" w:rsidRDefault="000E5A18">
      <w:pPr>
        <w:rPr>
          <w:b/>
          <w:sz w:val="32"/>
          <w:szCs w:val="32"/>
        </w:rPr>
      </w:pPr>
    </w:p>
    <w:p w:rsidR="000E5A18" w:rsidRDefault="000E5A18">
      <w:pPr>
        <w:rPr>
          <w:b/>
          <w:sz w:val="32"/>
          <w:szCs w:val="32"/>
        </w:rPr>
      </w:pPr>
    </w:p>
    <w:p w:rsidR="000E5A18" w:rsidRDefault="000E5A18">
      <w:pPr>
        <w:rPr>
          <w:b/>
          <w:sz w:val="32"/>
          <w:szCs w:val="32"/>
        </w:rPr>
      </w:pPr>
    </w:p>
    <w:p w:rsidR="000E5A18" w:rsidRDefault="000E5A18">
      <w:pPr>
        <w:rPr>
          <w:b/>
          <w:sz w:val="32"/>
          <w:szCs w:val="32"/>
        </w:rPr>
      </w:pPr>
    </w:p>
    <w:p w:rsidR="000E5A18" w:rsidRDefault="000E5A18">
      <w:pPr>
        <w:rPr>
          <w:b/>
          <w:sz w:val="32"/>
          <w:szCs w:val="32"/>
        </w:rPr>
      </w:pPr>
    </w:p>
    <w:p w:rsidR="000E5A18" w:rsidRDefault="000E5A18">
      <w:pPr>
        <w:rPr>
          <w:b/>
          <w:sz w:val="32"/>
          <w:szCs w:val="32"/>
        </w:rPr>
      </w:pPr>
    </w:p>
    <w:p w:rsidR="000E5A18" w:rsidRDefault="000E5A18">
      <w:pPr>
        <w:rPr>
          <w:b/>
          <w:sz w:val="32"/>
          <w:szCs w:val="32"/>
        </w:rPr>
      </w:pPr>
    </w:p>
    <w:p w:rsidR="000E5A18" w:rsidRDefault="000E5A18">
      <w:pPr>
        <w:rPr>
          <w:b/>
          <w:sz w:val="32"/>
          <w:szCs w:val="32"/>
        </w:rPr>
      </w:pPr>
    </w:p>
    <w:p w:rsidR="000E5A18" w:rsidRDefault="000E5A18">
      <w:pPr>
        <w:rPr>
          <w:b/>
          <w:sz w:val="32"/>
          <w:szCs w:val="32"/>
        </w:rPr>
      </w:pPr>
    </w:p>
    <w:tbl>
      <w:tblPr>
        <w:tblStyle w:val="TableGrid"/>
        <w:tblW w:w="14580" w:type="dxa"/>
        <w:tblInd w:w="-702" w:type="dxa"/>
        <w:tblLayout w:type="fixed"/>
        <w:tblLook w:val="04A0" w:firstRow="1" w:lastRow="0" w:firstColumn="1" w:lastColumn="0" w:noHBand="0" w:noVBand="1"/>
      </w:tblPr>
      <w:tblGrid>
        <w:gridCol w:w="2430"/>
        <w:gridCol w:w="8010"/>
        <w:gridCol w:w="4140"/>
      </w:tblGrid>
      <w:tr w:rsidR="000E5A18" w:rsidTr="00AA468F">
        <w:tc>
          <w:tcPr>
            <w:tcW w:w="2430" w:type="dxa"/>
          </w:tcPr>
          <w:p w:rsidR="000E5A18" w:rsidRPr="000C2482" w:rsidRDefault="000E5A18" w:rsidP="000E5A18">
            <w:pPr>
              <w:rPr>
                <w:b/>
              </w:rPr>
            </w:pPr>
            <w:r w:rsidRPr="000C2482">
              <w:rPr>
                <w:b/>
              </w:rPr>
              <w:t xml:space="preserve">Commenters </w:t>
            </w:r>
          </w:p>
        </w:tc>
        <w:tc>
          <w:tcPr>
            <w:tcW w:w="8010" w:type="dxa"/>
          </w:tcPr>
          <w:p w:rsidR="000E5A18" w:rsidRPr="000C2482" w:rsidRDefault="000E5A18">
            <w:pPr>
              <w:rPr>
                <w:b/>
              </w:rPr>
            </w:pPr>
            <w:r w:rsidRPr="000C2482">
              <w:rPr>
                <w:b/>
              </w:rPr>
              <w:t>Comments</w:t>
            </w:r>
            <w:r w:rsidR="0037172D" w:rsidRPr="000C2482">
              <w:rPr>
                <w:b/>
              </w:rPr>
              <w:t xml:space="preserve"> Summary</w:t>
            </w:r>
          </w:p>
        </w:tc>
        <w:tc>
          <w:tcPr>
            <w:tcW w:w="4140" w:type="dxa"/>
          </w:tcPr>
          <w:p w:rsidR="000E5A18" w:rsidRPr="000C2482" w:rsidRDefault="000E5A18">
            <w:r w:rsidRPr="000C2482">
              <w:rPr>
                <w:b/>
              </w:rPr>
              <w:t>SAMHSA’s Response</w:t>
            </w:r>
          </w:p>
        </w:tc>
      </w:tr>
      <w:tr w:rsidR="00DF6549" w:rsidTr="00AA468F">
        <w:trPr>
          <w:trHeight w:val="2222"/>
        </w:trPr>
        <w:tc>
          <w:tcPr>
            <w:tcW w:w="2430" w:type="dxa"/>
          </w:tcPr>
          <w:p w:rsidR="00DF6549" w:rsidRPr="002D169B" w:rsidRDefault="00DF6549" w:rsidP="0037172D">
            <w:pPr>
              <w:rPr>
                <w:sz w:val="20"/>
                <w:szCs w:val="20"/>
              </w:rPr>
            </w:pPr>
            <w:r w:rsidRPr="002D169B">
              <w:rPr>
                <w:sz w:val="20"/>
                <w:szCs w:val="20"/>
              </w:rPr>
              <w:t xml:space="preserve">The Hawaii Disability </w:t>
            </w:r>
            <w:r>
              <w:rPr>
                <w:sz w:val="20"/>
                <w:szCs w:val="20"/>
              </w:rPr>
              <w:t>Rights</w:t>
            </w:r>
            <w:r w:rsidRPr="002D169B">
              <w:rPr>
                <w:sz w:val="20"/>
                <w:szCs w:val="20"/>
              </w:rPr>
              <w:t xml:space="preserve"> Center </w:t>
            </w:r>
            <w:r>
              <w:rPr>
                <w:sz w:val="20"/>
                <w:szCs w:val="20"/>
              </w:rPr>
              <w:t>(HDRC)</w:t>
            </w:r>
            <w:r w:rsidRPr="002D169B">
              <w:rPr>
                <w:sz w:val="20"/>
                <w:szCs w:val="20"/>
              </w:rPr>
              <w:t>– the Executive Director</w:t>
            </w:r>
          </w:p>
        </w:tc>
        <w:tc>
          <w:tcPr>
            <w:tcW w:w="8010" w:type="dxa"/>
          </w:tcPr>
          <w:p w:rsidR="00DF6549" w:rsidRPr="000C2482" w:rsidRDefault="00DF6549" w:rsidP="000C2482">
            <w:pPr>
              <w:pStyle w:val="BodyText"/>
              <w:ind w:left="0"/>
              <w:rPr>
                <w:sz w:val="20"/>
                <w:szCs w:val="20"/>
                <w:highlight w:val="yellow"/>
              </w:rPr>
            </w:pPr>
            <w:r w:rsidRPr="00250EE6">
              <w:rPr>
                <w:rFonts w:ascii="Times New Roman" w:hAnsi="Times New Roman" w:cs="Times New Roman"/>
                <w:sz w:val="20"/>
                <w:szCs w:val="20"/>
              </w:rPr>
              <w:t xml:space="preserve">HDRC requested that SAMHS not adopt the current ACL/AIDD/annual performance model. DD/ACL. HDLC acknowledged that the current PAIMI Program Performance </w:t>
            </w:r>
            <w:proofErr w:type="gramStart"/>
            <w:r w:rsidRPr="00250EE6">
              <w:rPr>
                <w:rFonts w:ascii="Times New Roman" w:hAnsi="Times New Roman" w:cs="Times New Roman"/>
                <w:sz w:val="20"/>
                <w:szCs w:val="20"/>
              </w:rPr>
              <w:t>Report  (</w:t>
            </w:r>
            <w:proofErr w:type="gramEnd"/>
            <w:r w:rsidRPr="00250EE6">
              <w:rPr>
                <w:rFonts w:ascii="Times New Roman" w:hAnsi="Times New Roman" w:cs="Times New Roman"/>
                <w:sz w:val="20"/>
                <w:szCs w:val="20"/>
              </w:rPr>
              <w:t>PPR) format has some issues; however, the</w:t>
            </w:r>
            <w:r w:rsidRPr="000C2482">
              <w:rPr>
                <w:rFonts w:ascii="Times New Roman" w:hAnsi="Times New Roman" w:cs="Times New Roman"/>
                <w:sz w:val="20"/>
                <w:szCs w:val="20"/>
              </w:rPr>
              <w:t xml:space="preserve"> </w:t>
            </w:r>
            <w:r w:rsidRPr="000C2482">
              <w:rPr>
                <w:rFonts w:ascii="Times New Roman" w:hAnsi="Times New Roman" w:cs="Times New Roman"/>
                <w:color w:val="080808"/>
                <w:spacing w:val="26"/>
                <w:sz w:val="20"/>
                <w:szCs w:val="20"/>
              </w:rPr>
              <w:t>AI</w:t>
            </w:r>
            <w:r w:rsidRPr="000C2482">
              <w:rPr>
                <w:rFonts w:ascii="Times New Roman" w:hAnsi="Times New Roman" w:cs="Times New Roman"/>
                <w:color w:val="080808"/>
                <w:sz w:val="20"/>
                <w:szCs w:val="20"/>
              </w:rPr>
              <w:t>DD</w:t>
            </w:r>
            <w:r w:rsidRPr="000C2482">
              <w:rPr>
                <w:rFonts w:ascii="Times New Roman" w:hAnsi="Times New Roman" w:cs="Times New Roman"/>
                <w:color w:val="080808"/>
                <w:spacing w:val="15"/>
                <w:sz w:val="20"/>
                <w:szCs w:val="20"/>
              </w:rPr>
              <w:t xml:space="preserve"> Protection and Advocacy of Developmental Disabilities (PADD) PPR was format was described as burdensome, difficult to complete, had convoluted reporting requirements, and </w:t>
            </w:r>
            <w:r w:rsidRPr="000C2482">
              <w:rPr>
                <w:rFonts w:ascii="Times New Roman" w:hAnsi="Times New Roman" w:cs="Times New Roman"/>
                <w:color w:val="080808"/>
                <w:sz w:val="20"/>
                <w:szCs w:val="20"/>
              </w:rPr>
              <w:t>requirements convoluted. The PADD PPR</w:t>
            </w:r>
            <w:r w:rsidRPr="000C2482">
              <w:rPr>
                <w:rFonts w:ascii="Times New Roman" w:hAnsi="Times New Roman" w:cs="Times New Roman"/>
                <w:color w:val="080808"/>
                <w:spacing w:val="15"/>
                <w:sz w:val="20"/>
                <w:szCs w:val="20"/>
              </w:rPr>
              <w:t xml:space="preserve"> </w:t>
            </w:r>
            <w:r w:rsidRPr="000C2482">
              <w:rPr>
                <w:rFonts w:ascii="Times New Roman" w:hAnsi="Times New Roman" w:cs="Times New Roman"/>
                <w:color w:val="080808"/>
                <w:sz w:val="20"/>
                <w:szCs w:val="20"/>
              </w:rPr>
              <w:t>inaccurately reflected the significant</w:t>
            </w:r>
            <w:r w:rsidRPr="000C2482">
              <w:rPr>
                <w:rFonts w:ascii="Times New Roman" w:hAnsi="Times New Roman" w:cs="Times New Roman"/>
                <w:color w:val="080808"/>
                <w:spacing w:val="23"/>
                <w:sz w:val="20"/>
                <w:szCs w:val="20"/>
              </w:rPr>
              <w:t xml:space="preserve"> </w:t>
            </w:r>
            <w:r w:rsidRPr="000C2482">
              <w:rPr>
                <w:rFonts w:ascii="Times New Roman" w:hAnsi="Times New Roman" w:cs="Times New Roman"/>
                <w:color w:val="080808"/>
                <w:sz w:val="20"/>
                <w:szCs w:val="20"/>
              </w:rPr>
              <w:t>work</w:t>
            </w:r>
            <w:r w:rsidRPr="000C2482">
              <w:rPr>
                <w:rFonts w:ascii="Times New Roman" w:hAnsi="Times New Roman" w:cs="Times New Roman"/>
                <w:color w:val="080808"/>
                <w:spacing w:val="20"/>
                <w:sz w:val="20"/>
                <w:szCs w:val="20"/>
              </w:rPr>
              <w:t xml:space="preserve"> that HDRC did </w:t>
            </w:r>
            <w:r w:rsidRPr="000C2482">
              <w:rPr>
                <w:rFonts w:ascii="Times New Roman" w:hAnsi="Times New Roman" w:cs="Times New Roman"/>
                <w:color w:val="080808"/>
                <w:sz w:val="20"/>
                <w:szCs w:val="20"/>
              </w:rPr>
              <w:t>with</w:t>
            </w:r>
            <w:r w:rsidRPr="000C2482">
              <w:rPr>
                <w:rFonts w:ascii="Times New Roman" w:hAnsi="Times New Roman" w:cs="Times New Roman"/>
                <w:color w:val="080808"/>
                <w:spacing w:val="25"/>
                <w:sz w:val="20"/>
                <w:szCs w:val="20"/>
              </w:rPr>
              <w:t xml:space="preserve"> its </w:t>
            </w:r>
            <w:r w:rsidRPr="000C2482">
              <w:rPr>
                <w:rFonts w:ascii="Times New Roman" w:hAnsi="Times New Roman" w:cs="Times New Roman"/>
                <w:color w:val="080808"/>
                <w:sz w:val="20"/>
                <w:szCs w:val="20"/>
              </w:rPr>
              <w:t>federal</w:t>
            </w:r>
            <w:r w:rsidRPr="000C2482">
              <w:rPr>
                <w:rFonts w:ascii="Times New Roman" w:hAnsi="Times New Roman" w:cs="Times New Roman"/>
                <w:color w:val="080808"/>
                <w:spacing w:val="25"/>
                <w:sz w:val="20"/>
                <w:szCs w:val="20"/>
              </w:rPr>
              <w:t xml:space="preserve"> </w:t>
            </w:r>
            <w:r w:rsidRPr="000C2482">
              <w:rPr>
                <w:rFonts w:ascii="Times New Roman" w:hAnsi="Times New Roman" w:cs="Times New Roman"/>
                <w:color w:val="080808"/>
                <w:sz w:val="20"/>
                <w:szCs w:val="20"/>
              </w:rPr>
              <w:t>funding.  HDRC concluded that the AIDD PPR reporting system needed substantial improvements and urged SAMHSA to</w:t>
            </w:r>
            <w:r w:rsidRPr="000C2482">
              <w:rPr>
                <w:rFonts w:ascii="Times New Roman" w:hAnsi="Times New Roman" w:cs="Times New Roman"/>
                <w:color w:val="080808"/>
                <w:spacing w:val="24"/>
                <w:sz w:val="20"/>
                <w:szCs w:val="20"/>
              </w:rPr>
              <w:t xml:space="preserve"> </w:t>
            </w:r>
            <w:r w:rsidRPr="000C2482">
              <w:rPr>
                <w:rFonts w:ascii="Times New Roman" w:hAnsi="Times New Roman" w:cs="Times New Roman"/>
                <w:color w:val="080808"/>
                <w:sz w:val="20"/>
                <w:szCs w:val="20"/>
              </w:rPr>
              <w:t>avoid</w:t>
            </w:r>
            <w:r w:rsidRPr="000C2482">
              <w:rPr>
                <w:rFonts w:ascii="Times New Roman" w:hAnsi="Times New Roman" w:cs="Times New Roman"/>
                <w:color w:val="080808"/>
                <w:spacing w:val="23"/>
                <w:sz w:val="20"/>
                <w:szCs w:val="20"/>
              </w:rPr>
              <w:t xml:space="preserve"> </w:t>
            </w:r>
            <w:r w:rsidRPr="000C2482">
              <w:rPr>
                <w:rFonts w:ascii="Times New Roman" w:hAnsi="Times New Roman" w:cs="Times New Roman"/>
                <w:color w:val="080808"/>
                <w:sz w:val="20"/>
                <w:szCs w:val="20"/>
              </w:rPr>
              <w:t>using</w:t>
            </w:r>
            <w:r w:rsidRPr="000C2482">
              <w:rPr>
                <w:rFonts w:ascii="Times New Roman" w:hAnsi="Times New Roman" w:cs="Times New Roman"/>
                <w:color w:val="080808"/>
                <w:spacing w:val="5"/>
                <w:sz w:val="20"/>
                <w:szCs w:val="20"/>
              </w:rPr>
              <w:t xml:space="preserve"> </w:t>
            </w:r>
            <w:r w:rsidRPr="000C2482">
              <w:rPr>
                <w:rFonts w:ascii="Times New Roman" w:hAnsi="Times New Roman" w:cs="Times New Roman"/>
                <w:color w:val="080808"/>
                <w:sz w:val="20"/>
                <w:szCs w:val="20"/>
              </w:rPr>
              <w:t>the</w:t>
            </w:r>
            <w:r w:rsidRPr="000C2482">
              <w:rPr>
                <w:rFonts w:ascii="Times New Roman" w:hAnsi="Times New Roman" w:cs="Times New Roman"/>
                <w:color w:val="080808"/>
                <w:spacing w:val="31"/>
                <w:sz w:val="20"/>
                <w:szCs w:val="20"/>
              </w:rPr>
              <w:t xml:space="preserve"> AIDD </w:t>
            </w:r>
            <w:r w:rsidRPr="000C2482">
              <w:rPr>
                <w:rFonts w:ascii="Times New Roman" w:hAnsi="Times New Roman" w:cs="Times New Roman"/>
                <w:color w:val="080808"/>
                <w:sz w:val="20"/>
                <w:szCs w:val="20"/>
              </w:rPr>
              <w:t>PADD</w:t>
            </w:r>
            <w:r w:rsidRPr="000C2482">
              <w:rPr>
                <w:rFonts w:ascii="Times New Roman" w:hAnsi="Times New Roman" w:cs="Times New Roman"/>
                <w:color w:val="080808"/>
                <w:spacing w:val="19"/>
                <w:sz w:val="20"/>
                <w:szCs w:val="20"/>
              </w:rPr>
              <w:t xml:space="preserve"> </w:t>
            </w:r>
            <w:r w:rsidRPr="000C2482">
              <w:rPr>
                <w:rFonts w:ascii="Times New Roman" w:hAnsi="Times New Roman" w:cs="Times New Roman"/>
                <w:color w:val="080808"/>
                <w:sz w:val="20"/>
                <w:szCs w:val="20"/>
              </w:rPr>
              <w:t>PPR</w:t>
            </w:r>
            <w:r w:rsidRPr="000C2482">
              <w:rPr>
                <w:rFonts w:ascii="Times New Roman" w:hAnsi="Times New Roman" w:cs="Times New Roman"/>
                <w:color w:val="080808"/>
                <w:spacing w:val="30"/>
                <w:sz w:val="20"/>
                <w:szCs w:val="20"/>
              </w:rPr>
              <w:t xml:space="preserve"> </w:t>
            </w:r>
            <w:r w:rsidRPr="000C2482">
              <w:rPr>
                <w:rFonts w:ascii="Times New Roman" w:hAnsi="Times New Roman" w:cs="Times New Roman"/>
                <w:color w:val="080808"/>
                <w:sz w:val="20"/>
                <w:szCs w:val="20"/>
              </w:rPr>
              <w:t>model</w:t>
            </w:r>
            <w:r w:rsidRPr="000C2482">
              <w:rPr>
                <w:rFonts w:ascii="Times New Roman" w:hAnsi="Times New Roman" w:cs="Times New Roman"/>
                <w:color w:val="080808"/>
                <w:w w:val="103"/>
                <w:sz w:val="20"/>
                <w:szCs w:val="20"/>
              </w:rPr>
              <w:t xml:space="preserve"> </w:t>
            </w:r>
            <w:r w:rsidRPr="000C2482">
              <w:rPr>
                <w:rFonts w:ascii="Times New Roman" w:hAnsi="Times New Roman" w:cs="Times New Roman"/>
                <w:color w:val="080808"/>
                <w:sz w:val="20"/>
                <w:szCs w:val="20"/>
              </w:rPr>
              <w:t>until</w:t>
            </w:r>
            <w:r w:rsidRPr="000C2482">
              <w:rPr>
                <w:rFonts w:ascii="Times New Roman" w:hAnsi="Times New Roman" w:cs="Times New Roman"/>
                <w:color w:val="080808"/>
                <w:spacing w:val="40"/>
                <w:sz w:val="20"/>
                <w:szCs w:val="20"/>
              </w:rPr>
              <w:t xml:space="preserve"> </w:t>
            </w:r>
            <w:r w:rsidRPr="000C2482">
              <w:rPr>
                <w:rFonts w:ascii="Times New Roman" w:hAnsi="Times New Roman" w:cs="Times New Roman"/>
                <w:color w:val="080808"/>
                <w:sz w:val="20"/>
                <w:szCs w:val="20"/>
              </w:rPr>
              <w:t>substantial</w:t>
            </w:r>
            <w:r w:rsidRPr="000C2482">
              <w:rPr>
                <w:rFonts w:ascii="Times New Roman" w:hAnsi="Times New Roman" w:cs="Times New Roman"/>
                <w:color w:val="080808"/>
                <w:spacing w:val="37"/>
                <w:sz w:val="20"/>
                <w:szCs w:val="20"/>
              </w:rPr>
              <w:t xml:space="preserve"> </w:t>
            </w:r>
            <w:r w:rsidRPr="000C2482">
              <w:rPr>
                <w:rFonts w:ascii="Times New Roman" w:hAnsi="Times New Roman" w:cs="Times New Roman"/>
                <w:color w:val="080808"/>
                <w:sz w:val="20"/>
                <w:szCs w:val="20"/>
              </w:rPr>
              <w:t>improvements</w:t>
            </w:r>
            <w:r w:rsidRPr="000C2482">
              <w:rPr>
                <w:rFonts w:ascii="Times New Roman" w:hAnsi="Times New Roman" w:cs="Times New Roman"/>
                <w:color w:val="080808"/>
                <w:spacing w:val="38"/>
                <w:sz w:val="20"/>
                <w:szCs w:val="20"/>
              </w:rPr>
              <w:t xml:space="preserve"> </w:t>
            </w:r>
            <w:r w:rsidRPr="000C2482">
              <w:rPr>
                <w:rFonts w:ascii="Times New Roman" w:hAnsi="Times New Roman" w:cs="Times New Roman"/>
                <w:color w:val="080808"/>
                <w:sz w:val="20"/>
                <w:szCs w:val="20"/>
              </w:rPr>
              <w:t>are</w:t>
            </w:r>
            <w:r w:rsidRPr="000C2482">
              <w:rPr>
                <w:rFonts w:ascii="Times New Roman" w:hAnsi="Times New Roman" w:cs="Times New Roman"/>
                <w:color w:val="080808"/>
                <w:spacing w:val="19"/>
                <w:sz w:val="20"/>
                <w:szCs w:val="20"/>
              </w:rPr>
              <w:t xml:space="preserve"> </w:t>
            </w:r>
            <w:r w:rsidRPr="000C2482">
              <w:rPr>
                <w:rFonts w:ascii="Times New Roman" w:hAnsi="Times New Roman" w:cs="Times New Roman"/>
                <w:color w:val="080808"/>
                <w:sz w:val="20"/>
                <w:szCs w:val="20"/>
              </w:rPr>
              <w:t>made.</w:t>
            </w:r>
          </w:p>
        </w:tc>
        <w:tc>
          <w:tcPr>
            <w:tcW w:w="4140" w:type="dxa"/>
            <w:vMerge w:val="restart"/>
          </w:tcPr>
          <w:p w:rsidR="00DF6549" w:rsidRDefault="00DF6549" w:rsidP="000C2482">
            <w:pPr>
              <w:rPr>
                <w:sz w:val="20"/>
                <w:szCs w:val="20"/>
              </w:rPr>
            </w:pPr>
            <w:r>
              <w:rPr>
                <w:sz w:val="20"/>
                <w:szCs w:val="20"/>
              </w:rPr>
              <w:t xml:space="preserve">SAMHSA has reviewed the each of the comments received. </w:t>
            </w:r>
            <w:r w:rsidR="00250EE6">
              <w:rPr>
                <w:sz w:val="20"/>
                <w:szCs w:val="20"/>
              </w:rPr>
              <w:t xml:space="preserve"> </w:t>
            </w:r>
            <w:r>
              <w:rPr>
                <w:sz w:val="20"/>
                <w:szCs w:val="20"/>
              </w:rPr>
              <w:t>The current PAIMI PPR will expire on September 30, 201</w:t>
            </w:r>
            <w:r w:rsidR="00665472">
              <w:rPr>
                <w:sz w:val="20"/>
                <w:szCs w:val="20"/>
              </w:rPr>
              <w:t>7</w:t>
            </w:r>
            <w:r w:rsidR="00250EE6">
              <w:rPr>
                <w:sz w:val="20"/>
                <w:szCs w:val="20"/>
              </w:rPr>
              <w:t xml:space="preserve"> [OMB </w:t>
            </w:r>
            <w:r w:rsidR="00665472">
              <w:rPr>
                <w:sz w:val="20"/>
                <w:szCs w:val="20"/>
              </w:rPr>
              <w:t xml:space="preserve">Approval </w:t>
            </w:r>
            <w:r w:rsidR="00250EE6">
              <w:rPr>
                <w:sz w:val="20"/>
                <w:szCs w:val="20"/>
              </w:rPr>
              <w:t>0</w:t>
            </w:r>
            <w:r w:rsidR="00665472">
              <w:rPr>
                <w:sz w:val="20"/>
                <w:szCs w:val="20"/>
              </w:rPr>
              <w:t>930- 01</w:t>
            </w:r>
            <w:r w:rsidR="00250EE6">
              <w:rPr>
                <w:sz w:val="20"/>
                <w:szCs w:val="20"/>
              </w:rPr>
              <w:t>69</w:t>
            </w:r>
            <w:r w:rsidR="00665472">
              <w:rPr>
                <w:sz w:val="20"/>
                <w:szCs w:val="20"/>
              </w:rPr>
              <w:t>, Expiration date: September 30, 2017].</w:t>
            </w:r>
            <w:r w:rsidR="00250EE6">
              <w:rPr>
                <w:sz w:val="20"/>
                <w:szCs w:val="20"/>
              </w:rPr>
              <w:t xml:space="preserve">     </w:t>
            </w:r>
          </w:p>
          <w:p w:rsidR="00DF6549" w:rsidRDefault="00DF6549" w:rsidP="000C2482">
            <w:pPr>
              <w:rPr>
                <w:sz w:val="20"/>
                <w:szCs w:val="20"/>
              </w:rPr>
            </w:pPr>
          </w:p>
          <w:p w:rsidR="00DF6549" w:rsidRDefault="00DF6549" w:rsidP="00DF6549">
            <w:pPr>
              <w:rPr>
                <w:sz w:val="20"/>
                <w:szCs w:val="20"/>
              </w:rPr>
            </w:pPr>
            <w:r>
              <w:rPr>
                <w:sz w:val="20"/>
                <w:szCs w:val="20"/>
              </w:rPr>
              <w:t>In FY 2017, SAMHSA will begin the PAIMI PPR revision process. The comments submitted in response to the extension of the PAIMI Rules will be re</w:t>
            </w:r>
            <w:r w:rsidR="00665472">
              <w:rPr>
                <w:sz w:val="20"/>
                <w:szCs w:val="20"/>
              </w:rPr>
              <w:t>tained and re</w:t>
            </w:r>
            <w:r>
              <w:rPr>
                <w:sz w:val="20"/>
                <w:szCs w:val="20"/>
              </w:rPr>
              <w:t>viewed</w:t>
            </w:r>
            <w:r w:rsidR="006C5B44">
              <w:rPr>
                <w:sz w:val="20"/>
                <w:szCs w:val="20"/>
              </w:rPr>
              <w:t xml:space="preserve"> during </w:t>
            </w:r>
            <w:proofErr w:type="gramStart"/>
            <w:r w:rsidR="006C5B44">
              <w:rPr>
                <w:sz w:val="20"/>
                <w:szCs w:val="20"/>
              </w:rPr>
              <w:t>the  revision</w:t>
            </w:r>
            <w:proofErr w:type="gramEnd"/>
            <w:r w:rsidR="006C5B44">
              <w:rPr>
                <w:sz w:val="20"/>
                <w:szCs w:val="20"/>
              </w:rPr>
              <w:t xml:space="preserve"> process.</w:t>
            </w:r>
            <w:r>
              <w:rPr>
                <w:sz w:val="20"/>
                <w:szCs w:val="20"/>
              </w:rPr>
              <w:t xml:space="preserve"> </w:t>
            </w:r>
          </w:p>
          <w:p w:rsidR="00250EE6" w:rsidRDefault="00250EE6" w:rsidP="00DF6549">
            <w:pPr>
              <w:rPr>
                <w:sz w:val="20"/>
                <w:szCs w:val="20"/>
              </w:rPr>
            </w:pPr>
          </w:p>
          <w:p w:rsidR="006C5B44" w:rsidRDefault="00DF6549" w:rsidP="00250EE6">
            <w:pPr>
              <w:rPr>
                <w:sz w:val="20"/>
                <w:szCs w:val="20"/>
              </w:rPr>
            </w:pPr>
            <w:r>
              <w:rPr>
                <w:sz w:val="20"/>
                <w:szCs w:val="20"/>
              </w:rPr>
              <w:t xml:space="preserve">A new federal register notice will be issued </w:t>
            </w:r>
            <w:r w:rsidR="006C5B44">
              <w:rPr>
                <w:sz w:val="20"/>
                <w:szCs w:val="20"/>
              </w:rPr>
              <w:t xml:space="preserve">to solicit </w:t>
            </w:r>
            <w:r>
              <w:rPr>
                <w:sz w:val="20"/>
                <w:szCs w:val="20"/>
              </w:rPr>
              <w:t xml:space="preserve">comments </w:t>
            </w:r>
            <w:r w:rsidR="006C5B44">
              <w:rPr>
                <w:sz w:val="20"/>
                <w:szCs w:val="20"/>
              </w:rPr>
              <w:t xml:space="preserve">on SAMHSA’s proposed PAIMI PPR </w:t>
            </w:r>
            <w:proofErr w:type="gramStart"/>
            <w:r w:rsidR="006C5B44">
              <w:rPr>
                <w:sz w:val="20"/>
                <w:szCs w:val="20"/>
              </w:rPr>
              <w:t>that  include</w:t>
            </w:r>
            <w:proofErr w:type="gramEnd"/>
            <w:r w:rsidR="006C5B44">
              <w:rPr>
                <w:sz w:val="20"/>
                <w:szCs w:val="20"/>
              </w:rPr>
              <w:t xml:space="preserve"> a section to be completed by the PAIMI Advisory Council.</w:t>
            </w:r>
          </w:p>
          <w:p w:rsidR="006C5B44" w:rsidRDefault="006C5B44" w:rsidP="00250EE6">
            <w:pPr>
              <w:rPr>
                <w:sz w:val="20"/>
                <w:szCs w:val="20"/>
              </w:rPr>
            </w:pPr>
          </w:p>
          <w:p w:rsidR="00250EE6" w:rsidRDefault="00250EE6" w:rsidP="00250EE6">
            <w:pPr>
              <w:rPr>
                <w:sz w:val="20"/>
                <w:szCs w:val="20"/>
              </w:rPr>
            </w:pPr>
          </w:p>
          <w:p w:rsidR="00250EE6" w:rsidRPr="000C2482" w:rsidRDefault="00250EE6" w:rsidP="00250EE6">
            <w:pPr>
              <w:rPr>
                <w:sz w:val="20"/>
                <w:szCs w:val="20"/>
              </w:rPr>
            </w:pPr>
          </w:p>
        </w:tc>
      </w:tr>
      <w:tr w:rsidR="00DF6549" w:rsidTr="00AA468F">
        <w:tc>
          <w:tcPr>
            <w:tcW w:w="2430" w:type="dxa"/>
          </w:tcPr>
          <w:p w:rsidR="00DF6549" w:rsidRPr="002D169B" w:rsidRDefault="00DF6549">
            <w:pPr>
              <w:rPr>
                <w:sz w:val="20"/>
                <w:szCs w:val="20"/>
              </w:rPr>
            </w:pPr>
            <w:r>
              <w:rPr>
                <w:sz w:val="20"/>
                <w:szCs w:val="20"/>
              </w:rPr>
              <w:t>disA</w:t>
            </w:r>
            <w:r w:rsidRPr="002D169B">
              <w:rPr>
                <w:sz w:val="20"/>
                <w:szCs w:val="20"/>
              </w:rPr>
              <w:t xml:space="preserve">bility Law Center of Virginia </w:t>
            </w:r>
            <w:r>
              <w:rPr>
                <w:sz w:val="20"/>
                <w:szCs w:val="20"/>
              </w:rPr>
              <w:t xml:space="preserve">(dLCV) </w:t>
            </w:r>
            <w:r w:rsidRPr="002D169B">
              <w:rPr>
                <w:sz w:val="20"/>
                <w:szCs w:val="20"/>
              </w:rPr>
              <w:t>– the Executive Director</w:t>
            </w:r>
          </w:p>
        </w:tc>
        <w:tc>
          <w:tcPr>
            <w:tcW w:w="8010" w:type="dxa"/>
          </w:tcPr>
          <w:p w:rsidR="00DF6549" w:rsidRPr="000C2482" w:rsidRDefault="00DF6549" w:rsidP="00AA468F">
            <w:pPr>
              <w:rPr>
                <w:sz w:val="20"/>
                <w:szCs w:val="20"/>
              </w:rPr>
            </w:pPr>
            <w:r w:rsidRPr="000C2482">
              <w:rPr>
                <w:sz w:val="20"/>
                <w:szCs w:val="20"/>
              </w:rPr>
              <w:t xml:space="preserve">The dLCV also acknowledged that the current PAIMI PPR had issues, but did not </w:t>
            </w:r>
            <w:proofErr w:type="gramStart"/>
            <w:r w:rsidRPr="000C2482">
              <w:rPr>
                <w:sz w:val="20"/>
                <w:szCs w:val="20"/>
              </w:rPr>
              <w:t>support  the</w:t>
            </w:r>
            <w:proofErr w:type="gramEnd"/>
            <w:r w:rsidRPr="000C2482">
              <w:rPr>
                <w:sz w:val="20"/>
                <w:szCs w:val="20"/>
              </w:rPr>
              <w:t xml:space="preserve"> suggestion by the National Disability Rights Network (NDRN) that the PAIMI PPR will be improved if  modeled on the current AIDD PADD PPR. </w:t>
            </w:r>
            <w:r w:rsidR="00AA468F">
              <w:rPr>
                <w:sz w:val="20"/>
                <w:szCs w:val="20"/>
              </w:rPr>
              <w:t xml:space="preserve"> </w:t>
            </w:r>
            <w:proofErr w:type="gramStart"/>
            <w:r w:rsidRPr="000C2482">
              <w:rPr>
                <w:sz w:val="20"/>
                <w:szCs w:val="20"/>
              </w:rPr>
              <w:t>dLCV</w:t>
            </w:r>
            <w:proofErr w:type="gramEnd"/>
            <w:r w:rsidRPr="000C2482">
              <w:rPr>
                <w:sz w:val="20"/>
                <w:szCs w:val="20"/>
              </w:rPr>
              <w:t xml:space="preserve"> also found that the AIDD PPR was more difficult to complete and its design did not accurately reflect the dLCV’s significant work with its PADD funding.  Until NDRN improves the revised PADD PPR, SAMHSA is urged not to use it as a model for the PAIMI Program PPR.</w:t>
            </w:r>
          </w:p>
        </w:tc>
        <w:tc>
          <w:tcPr>
            <w:tcW w:w="4140" w:type="dxa"/>
            <w:vMerge/>
          </w:tcPr>
          <w:p w:rsidR="00DF6549" w:rsidRPr="000C2482" w:rsidRDefault="00DF6549" w:rsidP="000C2482">
            <w:pPr>
              <w:rPr>
                <w:sz w:val="20"/>
                <w:szCs w:val="20"/>
              </w:rPr>
            </w:pPr>
          </w:p>
        </w:tc>
      </w:tr>
      <w:tr w:rsidR="00DF6549" w:rsidTr="00AA468F">
        <w:tc>
          <w:tcPr>
            <w:tcW w:w="2430" w:type="dxa"/>
          </w:tcPr>
          <w:p w:rsidR="00DF6549" w:rsidRPr="002D169B" w:rsidRDefault="00DF6549" w:rsidP="009E4345">
            <w:pPr>
              <w:rPr>
                <w:sz w:val="20"/>
                <w:szCs w:val="20"/>
              </w:rPr>
            </w:pPr>
            <w:r w:rsidRPr="002D169B">
              <w:rPr>
                <w:sz w:val="20"/>
                <w:szCs w:val="20"/>
              </w:rPr>
              <w:t>Disability Rights Washington  (DR-WA)– the Executive Director</w:t>
            </w:r>
            <w:r>
              <w:rPr>
                <w:sz w:val="20"/>
                <w:szCs w:val="20"/>
              </w:rPr>
              <w:t xml:space="preserve"> (ED)</w:t>
            </w:r>
          </w:p>
        </w:tc>
        <w:tc>
          <w:tcPr>
            <w:tcW w:w="8010" w:type="dxa"/>
          </w:tcPr>
          <w:p w:rsidR="00DF6549" w:rsidRPr="000C2482" w:rsidRDefault="00DF6549" w:rsidP="000C2482">
            <w:pPr>
              <w:rPr>
                <w:sz w:val="20"/>
                <w:szCs w:val="20"/>
              </w:rPr>
            </w:pPr>
            <w:r w:rsidRPr="000C2482">
              <w:rPr>
                <w:sz w:val="20"/>
                <w:szCs w:val="20"/>
              </w:rPr>
              <w:t xml:space="preserve">DRW submitted two separate comments: </w:t>
            </w:r>
          </w:p>
          <w:p w:rsidR="00DF6549" w:rsidRPr="000C2482" w:rsidRDefault="00DF6549" w:rsidP="00AA468F">
            <w:pPr>
              <w:rPr>
                <w:sz w:val="20"/>
                <w:szCs w:val="20"/>
              </w:rPr>
            </w:pPr>
            <w:r w:rsidRPr="000C2482">
              <w:rPr>
                <w:sz w:val="20"/>
                <w:szCs w:val="20"/>
              </w:rPr>
              <w:t xml:space="preserve">1) </w:t>
            </w:r>
            <w:proofErr w:type="gramStart"/>
            <w:r w:rsidRPr="000C2482">
              <w:rPr>
                <w:sz w:val="20"/>
                <w:szCs w:val="20"/>
              </w:rPr>
              <w:t>a</w:t>
            </w:r>
            <w:proofErr w:type="gramEnd"/>
            <w:r w:rsidRPr="000C2482">
              <w:rPr>
                <w:sz w:val="20"/>
                <w:szCs w:val="20"/>
              </w:rPr>
              <w:t xml:space="preserve"> letter – The DRQ ED is the PAIMI Program Coordinator and former Chair of the NDRN Outcomes Committee and a member of the AIDD steering committee that advised on the AIDD’s current PPR. He recommends that SAMHSA engage NDRN and cover the costs to create the necessary infrastructure (database, computer generated reports and reporting platform) for the new PAIMI PPR based on the one currently used by the </w:t>
            </w:r>
            <w:proofErr w:type="gramStart"/>
            <w:r w:rsidRPr="000C2482">
              <w:rPr>
                <w:sz w:val="20"/>
                <w:szCs w:val="20"/>
              </w:rPr>
              <w:t>AIDD</w:t>
            </w:r>
            <w:r w:rsidR="00AA468F">
              <w:rPr>
                <w:sz w:val="20"/>
                <w:szCs w:val="20"/>
              </w:rPr>
              <w:t xml:space="preserve"> </w:t>
            </w:r>
            <w:r w:rsidRPr="000C2482">
              <w:rPr>
                <w:sz w:val="20"/>
                <w:szCs w:val="20"/>
              </w:rPr>
              <w:t xml:space="preserve"> PADD</w:t>
            </w:r>
            <w:proofErr w:type="gramEnd"/>
            <w:r w:rsidRPr="000C2482">
              <w:rPr>
                <w:sz w:val="20"/>
                <w:szCs w:val="20"/>
              </w:rPr>
              <w:t xml:space="preserve"> Program. The 57 P&amp;A systems that are members of NDRN also unanimously endorsed a Model PPR format. The model format will be used to facilitate the reporting requirements of the various  federal P&amp;A programs administered by HHS, the Department of Education/Rehabilitation Services Administration (RSA) and Social Security Administration (SSA) into one document and ease the P&amp;A grantees’ annual PPR burdens.</w:t>
            </w:r>
            <w:r>
              <w:rPr>
                <w:sz w:val="20"/>
                <w:szCs w:val="20"/>
              </w:rPr>
              <w:t xml:space="preserve"> </w:t>
            </w:r>
            <w:r w:rsidRPr="000C2482">
              <w:rPr>
                <w:sz w:val="20"/>
                <w:szCs w:val="20"/>
              </w:rPr>
              <w:t xml:space="preserve">2) An email included an additional comment. The ED added wanted additional language added to revise the statutory requirements of the PAIMI Act at 42 USC 10824 (a) and cited in 81 Fed. Reg. 19611.  </w:t>
            </w:r>
          </w:p>
        </w:tc>
        <w:tc>
          <w:tcPr>
            <w:tcW w:w="4140" w:type="dxa"/>
            <w:vMerge/>
          </w:tcPr>
          <w:p w:rsidR="00DF6549" w:rsidRPr="000C2482" w:rsidRDefault="00DF6549" w:rsidP="000C2482">
            <w:pPr>
              <w:rPr>
                <w:sz w:val="20"/>
                <w:szCs w:val="20"/>
              </w:rPr>
            </w:pPr>
          </w:p>
        </w:tc>
      </w:tr>
      <w:tr w:rsidR="00DF6549" w:rsidTr="00AA468F">
        <w:tc>
          <w:tcPr>
            <w:tcW w:w="2430" w:type="dxa"/>
          </w:tcPr>
          <w:p w:rsidR="00DF6549" w:rsidRPr="00DF6549" w:rsidRDefault="00DF6549" w:rsidP="0023559C">
            <w:pPr>
              <w:rPr>
                <w:sz w:val="20"/>
                <w:szCs w:val="20"/>
              </w:rPr>
            </w:pPr>
            <w:r w:rsidRPr="00DF6549">
              <w:rPr>
                <w:sz w:val="20"/>
                <w:szCs w:val="20"/>
              </w:rPr>
              <w:t>The National Disability Rights Network (NDRN) – Executive Director</w:t>
            </w:r>
          </w:p>
        </w:tc>
        <w:tc>
          <w:tcPr>
            <w:tcW w:w="8010" w:type="dxa"/>
          </w:tcPr>
          <w:p w:rsidR="00DF6549" w:rsidRPr="00DF6549" w:rsidRDefault="00DF6549" w:rsidP="00DF6549">
            <w:pPr>
              <w:rPr>
                <w:sz w:val="20"/>
                <w:szCs w:val="20"/>
              </w:rPr>
            </w:pPr>
            <w:r w:rsidRPr="00DF6549">
              <w:rPr>
                <w:sz w:val="20"/>
                <w:szCs w:val="20"/>
              </w:rPr>
              <w:t>NDRN represents the 57 state protection and advocacy (P&amp;A) systems and supports the extension of the PAIMI Rules. NDRN wants to standardize the PPR reports to ease the burden of its members who must submit a</w:t>
            </w:r>
            <w:r>
              <w:rPr>
                <w:sz w:val="20"/>
                <w:szCs w:val="20"/>
              </w:rPr>
              <w:t>n</w:t>
            </w:r>
            <w:r w:rsidRPr="00DF6549">
              <w:rPr>
                <w:sz w:val="20"/>
                <w:szCs w:val="20"/>
              </w:rPr>
              <w:t xml:space="preserve"> annual PPR for each of their federal P&amp;A grants (around 7). NDRN wants SAMHSA to use the AIDD PPR as the model for any revisions to the PAIMI </w:t>
            </w:r>
            <w:proofErr w:type="gramStart"/>
            <w:r w:rsidRPr="00DF6549">
              <w:rPr>
                <w:sz w:val="20"/>
                <w:szCs w:val="20"/>
              </w:rPr>
              <w:t>PPR,</w:t>
            </w:r>
            <w:proofErr w:type="gramEnd"/>
            <w:r w:rsidRPr="00DF6549">
              <w:rPr>
                <w:sz w:val="20"/>
                <w:szCs w:val="20"/>
              </w:rPr>
              <w:t xml:space="preserve"> include NDRN and the P&amp;A systems in the development processes, </w:t>
            </w:r>
            <w:r>
              <w:rPr>
                <w:sz w:val="20"/>
                <w:szCs w:val="20"/>
              </w:rPr>
              <w:t xml:space="preserve">and </w:t>
            </w:r>
            <w:r w:rsidRPr="00DF6549">
              <w:rPr>
                <w:sz w:val="20"/>
                <w:szCs w:val="20"/>
              </w:rPr>
              <w:t>financially support the upkeep and maintenance of the electronic data base</w:t>
            </w:r>
            <w:r>
              <w:rPr>
                <w:sz w:val="20"/>
                <w:szCs w:val="20"/>
              </w:rPr>
              <w:t xml:space="preserve"> for collecting the </w:t>
            </w:r>
            <w:r w:rsidRPr="00DF6549">
              <w:rPr>
                <w:sz w:val="20"/>
                <w:szCs w:val="20"/>
              </w:rPr>
              <w:t xml:space="preserve">P&amp;A program </w:t>
            </w:r>
            <w:r>
              <w:rPr>
                <w:sz w:val="20"/>
                <w:szCs w:val="20"/>
              </w:rPr>
              <w:t xml:space="preserve">PPR. </w:t>
            </w:r>
            <w:r w:rsidRPr="00DF6549">
              <w:rPr>
                <w:sz w:val="20"/>
                <w:szCs w:val="20"/>
              </w:rPr>
              <w:t xml:space="preserve">  </w:t>
            </w:r>
          </w:p>
        </w:tc>
        <w:tc>
          <w:tcPr>
            <w:tcW w:w="4140" w:type="dxa"/>
            <w:vMerge/>
          </w:tcPr>
          <w:p w:rsidR="00DF6549" w:rsidRPr="000C2482" w:rsidRDefault="00DF6549" w:rsidP="000C2482">
            <w:pPr>
              <w:rPr>
                <w:sz w:val="20"/>
                <w:szCs w:val="20"/>
              </w:rPr>
            </w:pPr>
          </w:p>
        </w:tc>
      </w:tr>
    </w:tbl>
    <w:p w:rsidR="000E5A18" w:rsidRDefault="000E5A18">
      <w:pPr>
        <w:rPr>
          <w:b/>
          <w:sz w:val="32"/>
          <w:szCs w:val="32"/>
        </w:rPr>
      </w:pPr>
    </w:p>
    <w:p w:rsidR="000E5A18" w:rsidRPr="000E5A18" w:rsidRDefault="000E5A18">
      <w:pPr>
        <w:rPr>
          <w:b/>
          <w:sz w:val="32"/>
          <w:szCs w:val="32"/>
        </w:rPr>
      </w:pPr>
    </w:p>
    <w:sectPr w:rsidR="000E5A18" w:rsidRPr="000E5A18" w:rsidSect="00AA468F">
      <w:headerReference w:type="default" r:id="rId7"/>
      <w:pgSz w:w="15840" w:h="12240" w:orient="landscape"/>
      <w:pgMar w:top="720" w:right="1008"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F64" w:rsidRDefault="00C25F64" w:rsidP="00355197">
      <w:pPr>
        <w:spacing w:after="0" w:line="240" w:lineRule="auto"/>
      </w:pPr>
      <w:r>
        <w:separator/>
      </w:r>
    </w:p>
  </w:endnote>
  <w:endnote w:type="continuationSeparator" w:id="0">
    <w:p w:rsidR="00C25F64" w:rsidRDefault="00C25F64" w:rsidP="00355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F64" w:rsidRDefault="00C25F64" w:rsidP="00355197">
      <w:pPr>
        <w:spacing w:after="0" w:line="240" w:lineRule="auto"/>
      </w:pPr>
      <w:r>
        <w:separator/>
      </w:r>
    </w:p>
  </w:footnote>
  <w:footnote w:type="continuationSeparator" w:id="0">
    <w:p w:rsidR="00C25F64" w:rsidRDefault="00C25F64" w:rsidP="00355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197" w:rsidRDefault="003551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A18"/>
    <w:rsid w:val="000039A6"/>
    <w:rsid w:val="00087404"/>
    <w:rsid w:val="000C2482"/>
    <w:rsid w:val="000E5A18"/>
    <w:rsid w:val="0023559C"/>
    <w:rsid w:val="00250EE6"/>
    <w:rsid w:val="002B4AD3"/>
    <w:rsid w:val="002D169B"/>
    <w:rsid w:val="00355197"/>
    <w:rsid w:val="0037172D"/>
    <w:rsid w:val="00414772"/>
    <w:rsid w:val="005166C1"/>
    <w:rsid w:val="005D4787"/>
    <w:rsid w:val="00665472"/>
    <w:rsid w:val="006C5B44"/>
    <w:rsid w:val="00871C5C"/>
    <w:rsid w:val="008D6480"/>
    <w:rsid w:val="009552F4"/>
    <w:rsid w:val="009B245B"/>
    <w:rsid w:val="009E4345"/>
    <w:rsid w:val="00A31664"/>
    <w:rsid w:val="00AA468F"/>
    <w:rsid w:val="00BB05FA"/>
    <w:rsid w:val="00C12631"/>
    <w:rsid w:val="00C25F64"/>
    <w:rsid w:val="00C93AD1"/>
    <w:rsid w:val="00CE7D9A"/>
    <w:rsid w:val="00D72BD2"/>
    <w:rsid w:val="00D96922"/>
    <w:rsid w:val="00DB20D5"/>
    <w:rsid w:val="00DF6549"/>
    <w:rsid w:val="00E8370C"/>
    <w:rsid w:val="00EB2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5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6922"/>
    <w:pPr>
      <w:widowControl w:val="0"/>
      <w:spacing w:after="0" w:line="240" w:lineRule="auto"/>
      <w:ind w:left="115"/>
    </w:pPr>
    <w:rPr>
      <w:rFonts w:ascii="Arial" w:eastAsia="Arial" w:hAnsi="Arial" w:cstheme="minorBidi"/>
      <w:sz w:val="21"/>
      <w:szCs w:val="21"/>
    </w:rPr>
  </w:style>
  <w:style w:type="character" w:customStyle="1" w:styleId="BodyTextChar">
    <w:name w:val="Body Text Char"/>
    <w:basedOn w:val="DefaultParagraphFont"/>
    <w:link w:val="BodyText"/>
    <w:uiPriority w:val="1"/>
    <w:rsid w:val="00D96922"/>
    <w:rPr>
      <w:rFonts w:ascii="Arial" w:eastAsia="Arial" w:hAnsi="Arial" w:cstheme="minorBidi"/>
      <w:sz w:val="21"/>
      <w:szCs w:val="21"/>
    </w:rPr>
  </w:style>
  <w:style w:type="paragraph" w:customStyle="1" w:styleId="Default">
    <w:name w:val="Default"/>
    <w:rsid w:val="00A31664"/>
    <w:pPr>
      <w:autoSpaceDE w:val="0"/>
      <w:autoSpaceDN w:val="0"/>
      <w:adjustRightInd w:val="0"/>
      <w:spacing w:after="0" w:line="240" w:lineRule="auto"/>
    </w:pPr>
    <w:rPr>
      <w:rFonts w:ascii="Calibri" w:hAnsi="Calibri" w:cs="Calibri"/>
      <w:color w:val="000000"/>
    </w:rPr>
  </w:style>
  <w:style w:type="paragraph" w:styleId="Header">
    <w:name w:val="header"/>
    <w:basedOn w:val="Normal"/>
    <w:link w:val="HeaderChar"/>
    <w:uiPriority w:val="99"/>
    <w:unhideWhenUsed/>
    <w:rsid w:val="00355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197"/>
    <w:rPr>
      <w:rFonts w:eastAsiaTheme="minorEastAsia"/>
    </w:rPr>
  </w:style>
  <w:style w:type="paragraph" w:styleId="Footer">
    <w:name w:val="footer"/>
    <w:basedOn w:val="Normal"/>
    <w:link w:val="FooterChar"/>
    <w:uiPriority w:val="99"/>
    <w:unhideWhenUsed/>
    <w:rsid w:val="00355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19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5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6922"/>
    <w:pPr>
      <w:widowControl w:val="0"/>
      <w:spacing w:after="0" w:line="240" w:lineRule="auto"/>
      <w:ind w:left="115"/>
    </w:pPr>
    <w:rPr>
      <w:rFonts w:ascii="Arial" w:eastAsia="Arial" w:hAnsi="Arial" w:cstheme="minorBidi"/>
      <w:sz w:val="21"/>
      <w:szCs w:val="21"/>
    </w:rPr>
  </w:style>
  <w:style w:type="character" w:customStyle="1" w:styleId="BodyTextChar">
    <w:name w:val="Body Text Char"/>
    <w:basedOn w:val="DefaultParagraphFont"/>
    <w:link w:val="BodyText"/>
    <w:uiPriority w:val="1"/>
    <w:rsid w:val="00D96922"/>
    <w:rPr>
      <w:rFonts w:ascii="Arial" w:eastAsia="Arial" w:hAnsi="Arial" w:cstheme="minorBidi"/>
      <w:sz w:val="21"/>
      <w:szCs w:val="21"/>
    </w:rPr>
  </w:style>
  <w:style w:type="paragraph" w:customStyle="1" w:styleId="Default">
    <w:name w:val="Default"/>
    <w:rsid w:val="00A31664"/>
    <w:pPr>
      <w:autoSpaceDE w:val="0"/>
      <w:autoSpaceDN w:val="0"/>
      <w:adjustRightInd w:val="0"/>
      <w:spacing w:after="0" w:line="240" w:lineRule="auto"/>
    </w:pPr>
    <w:rPr>
      <w:rFonts w:ascii="Calibri" w:hAnsi="Calibri" w:cs="Calibri"/>
      <w:color w:val="000000"/>
    </w:rPr>
  </w:style>
  <w:style w:type="paragraph" w:styleId="Header">
    <w:name w:val="header"/>
    <w:basedOn w:val="Normal"/>
    <w:link w:val="HeaderChar"/>
    <w:uiPriority w:val="99"/>
    <w:unhideWhenUsed/>
    <w:rsid w:val="003551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197"/>
    <w:rPr>
      <w:rFonts w:eastAsiaTheme="minorEastAsia"/>
    </w:rPr>
  </w:style>
  <w:style w:type="paragraph" w:styleId="Footer">
    <w:name w:val="footer"/>
    <w:basedOn w:val="Normal"/>
    <w:link w:val="FooterChar"/>
    <w:uiPriority w:val="99"/>
    <w:unhideWhenUsed/>
    <w:rsid w:val="00355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19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cp:lastPrinted>2016-06-10T16:41:00Z</cp:lastPrinted>
  <dcterms:created xsi:type="dcterms:W3CDTF">2016-06-09T18:13:00Z</dcterms:created>
  <dcterms:modified xsi:type="dcterms:W3CDTF">2016-06-10T16:35:00Z</dcterms:modified>
</cp:coreProperties>
</file>